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C5423" w14:textId="27EBEAED" w:rsidR="00AD6896" w:rsidRPr="00C3645A" w:rsidRDefault="00AD6896" w:rsidP="00582BA5">
      <w:pPr>
        <w:pStyle w:val="PubliManuscript"/>
        <w:spacing w:after="0" w:line="240" w:lineRule="auto"/>
        <w:ind w:firstLine="708"/>
        <w:jc w:val="center"/>
        <w:rPr>
          <w:b/>
          <w:color w:val="auto"/>
          <w:sz w:val="28"/>
          <w:szCs w:val="28"/>
        </w:rPr>
      </w:pPr>
      <w:r w:rsidRPr="00C3645A">
        <w:rPr>
          <w:b/>
          <w:color w:val="auto"/>
          <w:sz w:val="28"/>
          <w:szCs w:val="28"/>
        </w:rPr>
        <w:t>Integrated crop</w:t>
      </w:r>
      <w:r w:rsidR="00E80AA9" w:rsidRPr="00C3645A">
        <w:rPr>
          <w:b/>
          <w:color w:val="auto"/>
          <w:sz w:val="28"/>
          <w:szCs w:val="28"/>
        </w:rPr>
        <w:t xml:space="preserve"> and </w:t>
      </w:r>
      <w:r w:rsidRPr="00C3645A">
        <w:rPr>
          <w:b/>
          <w:color w:val="auto"/>
          <w:sz w:val="28"/>
          <w:szCs w:val="28"/>
        </w:rPr>
        <w:t>livestock systems increase both climate change adaptation and mitigation capacities</w:t>
      </w:r>
    </w:p>
    <w:p w14:paraId="6EF4B2BB" w14:textId="77777777" w:rsidR="00AD6896" w:rsidRPr="00C3645A" w:rsidRDefault="00AD6896" w:rsidP="00AD6896">
      <w:pPr>
        <w:pStyle w:val="PubliManuscript"/>
        <w:spacing w:after="0" w:line="240" w:lineRule="auto"/>
        <w:ind w:firstLine="0"/>
        <w:jc w:val="center"/>
        <w:rPr>
          <w:b/>
          <w:color w:val="auto"/>
          <w:sz w:val="28"/>
          <w:szCs w:val="28"/>
        </w:rPr>
      </w:pPr>
    </w:p>
    <w:p w14:paraId="3B417682" w14:textId="315062D8" w:rsidR="009A001B" w:rsidRPr="00C3645A" w:rsidRDefault="009A001B" w:rsidP="009A001B">
      <w:pPr>
        <w:jc w:val="center"/>
        <w:rPr>
          <w:color w:val="auto"/>
          <w:vertAlign w:val="superscript"/>
          <w:lang w:val="pt-BR"/>
        </w:rPr>
      </w:pPr>
      <w:r w:rsidRPr="00C3645A">
        <w:rPr>
          <w:color w:val="auto"/>
          <w:lang w:val="pt-BR"/>
        </w:rPr>
        <w:t>Mathieu Delandmeter</w:t>
      </w:r>
      <w:r w:rsidRPr="00C3645A">
        <w:rPr>
          <w:color w:val="auto"/>
          <w:vertAlign w:val="superscript"/>
          <w:lang w:val="pt-BR"/>
        </w:rPr>
        <w:t>1*</w:t>
      </w:r>
      <w:r w:rsidRPr="00C3645A">
        <w:rPr>
          <w:color w:val="auto"/>
          <w:lang w:val="pt-BR"/>
        </w:rPr>
        <w:t>, Paulo César de Faccio Carvalho</w:t>
      </w:r>
      <w:r w:rsidRPr="00C3645A">
        <w:rPr>
          <w:color w:val="auto"/>
          <w:vertAlign w:val="superscript"/>
          <w:lang w:val="pt-BR"/>
        </w:rPr>
        <w:t>2</w:t>
      </w:r>
      <w:r w:rsidRPr="00C3645A">
        <w:rPr>
          <w:color w:val="auto"/>
          <w:lang w:val="pt-BR"/>
        </w:rPr>
        <w:t>, Carolina Bremm</w:t>
      </w:r>
      <w:r w:rsidRPr="00C3645A">
        <w:rPr>
          <w:color w:val="auto"/>
          <w:vertAlign w:val="superscript"/>
          <w:lang w:val="pt-BR"/>
        </w:rPr>
        <w:t>2</w:t>
      </w:r>
      <w:r w:rsidRPr="00C3645A">
        <w:rPr>
          <w:color w:val="auto"/>
          <w:lang w:val="pt-BR"/>
        </w:rPr>
        <w:t>, Carolina dos Santos Cargnelutti</w:t>
      </w:r>
      <w:r w:rsidR="005B1C3E" w:rsidRPr="00C3645A">
        <w:rPr>
          <w:color w:val="auto"/>
          <w:vertAlign w:val="superscript"/>
          <w:lang w:val="pt-BR"/>
        </w:rPr>
        <w:t>2</w:t>
      </w:r>
      <w:r w:rsidRPr="00C3645A">
        <w:rPr>
          <w:color w:val="auto"/>
          <w:lang w:val="pt-BR"/>
        </w:rPr>
        <w:t>, Jérôme Bindelle</w:t>
      </w:r>
      <w:r w:rsidRPr="00C3645A">
        <w:rPr>
          <w:color w:val="auto"/>
          <w:vertAlign w:val="superscript"/>
          <w:lang w:val="pt-BR"/>
        </w:rPr>
        <w:t>3</w:t>
      </w:r>
      <w:r w:rsidRPr="00C3645A">
        <w:rPr>
          <w:color w:val="auto"/>
          <w:lang w:val="pt-BR"/>
        </w:rPr>
        <w:t>, Benjamin Dumont</w:t>
      </w:r>
      <w:r w:rsidRPr="00C3645A">
        <w:rPr>
          <w:color w:val="auto"/>
          <w:vertAlign w:val="superscript"/>
          <w:lang w:val="pt-BR"/>
        </w:rPr>
        <w:t>1</w:t>
      </w:r>
    </w:p>
    <w:p w14:paraId="651CC92A" w14:textId="77777777" w:rsidR="002A1FBB" w:rsidRPr="00C3645A" w:rsidRDefault="002A1FBB" w:rsidP="002A1FBB">
      <w:pPr>
        <w:jc w:val="both"/>
        <w:rPr>
          <w:color w:val="auto"/>
        </w:rPr>
      </w:pPr>
      <w:r w:rsidRPr="00C3645A">
        <w:rPr>
          <w:color w:val="auto"/>
          <w:vertAlign w:val="superscript"/>
        </w:rPr>
        <w:t xml:space="preserve">1 </w:t>
      </w:r>
      <w:r w:rsidRPr="00C3645A">
        <w:rPr>
          <w:color w:val="auto"/>
        </w:rPr>
        <w:t xml:space="preserve">Liege University, Gembloux Agro-Bio Tech, TERRA Teaching and Research Centre, Plant Sciences/Crop Science, Passage des </w:t>
      </w:r>
      <w:r w:rsidRPr="00C3645A">
        <w:rPr>
          <w:rFonts w:asciiTheme="minorHAnsi" w:hAnsiTheme="minorHAnsi" w:cstheme="minorHAnsi"/>
          <w:color w:val="auto"/>
          <w:szCs w:val="22"/>
        </w:rPr>
        <w:t>Déportés</w:t>
      </w:r>
      <w:r w:rsidRPr="00C3645A">
        <w:rPr>
          <w:color w:val="auto"/>
        </w:rPr>
        <w:t xml:space="preserve"> 2, 5030, Gembloux, Belgium</w:t>
      </w:r>
    </w:p>
    <w:p w14:paraId="1C8FB623" w14:textId="77777777" w:rsidR="00AD6896" w:rsidRPr="00C3645A" w:rsidRDefault="00AD6896" w:rsidP="00AD6896">
      <w:pPr>
        <w:jc w:val="both"/>
        <w:rPr>
          <w:color w:val="auto"/>
        </w:rPr>
      </w:pPr>
      <w:r w:rsidRPr="00C3645A">
        <w:rPr>
          <w:color w:val="auto"/>
          <w:vertAlign w:val="superscript"/>
        </w:rPr>
        <w:t xml:space="preserve">2 </w:t>
      </w:r>
      <w:r w:rsidRPr="00C3645A">
        <w:rPr>
          <w:color w:val="auto"/>
        </w:rPr>
        <w:t>Federal University of Rio Grande do Sul, Animal Science Research Program, Bento Gonçalves Avenue 7712, 91540-00 Porto Alegre, RS, Brazil</w:t>
      </w:r>
    </w:p>
    <w:p w14:paraId="6842B818" w14:textId="77777777" w:rsidR="002A1FBB" w:rsidRPr="00C3645A" w:rsidRDefault="002A1FBB" w:rsidP="002A1FBB">
      <w:pPr>
        <w:jc w:val="both"/>
        <w:rPr>
          <w:color w:val="auto"/>
        </w:rPr>
      </w:pPr>
      <w:r w:rsidRPr="00C3645A">
        <w:rPr>
          <w:color w:val="auto"/>
          <w:vertAlign w:val="superscript"/>
        </w:rPr>
        <w:t xml:space="preserve">3 </w:t>
      </w:r>
      <w:r w:rsidRPr="00C3645A">
        <w:rPr>
          <w:color w:val="auto"/>
        </w:rPr>
        <w:t xml:space="preserve">Liege University, Gembloux Agro-Bio Tech, TERRA Teaching and Research Centre, Animal Sciences, Passage des </w:t>
      </w:r>
      <w:r w:rsidRPr="00C3645A">
        <w:rPr>
          <w:rFonts w:asciiTheme="minorHAnsi" w:hAnsiTheme="minorHAnsi" w:cstheme="minorHAnsi"/>
          <w:color w:val="auto"/>
          <w:szCs w:val="22"/>
        </w:rPr>
        <w:t>Déportés</w:t>
      </w:r>
      <w:r w:rsidRPr="00C3645A">
        <w:rPr>
          <w:color w:val="auto"/>
        </w:rPr>
        <w:t xml:space="preserve"> 2, 5030, Gembloux, Belgium</w:t>
      </w:r>
    </w:p>
    <w:p w14:paraId="6C23292D" w14:textId="083EA394" w:rsidR="00AD6896" w:rsidRPr="00C3645A" w:rsidRDefault="00AD6896" w:rsidP="00AD6896">
      <w:pPr>
        <w:pStyle w:val="PubliManuscript"/>
        <w:spacing w:after="0" w:line="240" w:lineRule="auto"/>
        <w:ind w:firstLine="0"/>
        <w:jc w:val="left"/>
        <w:rPr>
          <w:rFonts w:asciiTheme="minorHAnsi" w:hAnsiTheme="minorHAnsi" w:cstheme="minorHAnsi"/>
          <w:b/>
          <w:color w:val="auto"/>
          <w:szCs w:val="22"/>
        </w:rPr>
      </w:pPr>
      <w:r w:rsidRPr="00C3645A">
        <w:rPr>
          <w:rFonts w:asciiTheme="minorHAnsi" w:hAnsiTheme="minorHAnsi" w:cstheme="minorHAnsi"/>
          <w:color w:val="auto"/>
          <w:szCs w:val="22"/>
          <w:vertAlign w:val="superscript"/>
        </w:rPr>
        <w:t>*</w:t>
      </w:r>
      <w:r w:rsidRPr="00C3645A">
        <w:rPr>
          <w:rFonts w:asciiTheme="minorHAnsi" w:hAnsiTheme="minorHAnsi" w:cstheme="minorHAnsi"/>
          <w:color w:val="auto"/>
          <w:szCs w:val="22"/>
        </w:rPr>
        <w:t xml:space="preserve">Passage des Déportés 2, 5030 Gembloux, Belgium - @ : </w:t>
      </w:r>
      <w:hyperlink r:id="rId7" w:history="1">
        <w:r w:rsidRPr="00C3645A">
          <w:rPr>
            <w:rStyle w:val="Lienhypertexte"/>
            <w:rFonts w:asciiTheme="minorHAnsi" w:hAnsiTheme="minorHAnsi" w:cstheme="minorHAnsi"/>
            <w:color w:val="auto"/>
            <w:szCs w:val="22"/>
          </w:rPr>
          <w:t>mathieu.delandmeter@uliege.be</w:t>
        </w:r>
      </w:hyperlink>
      <w:r w:rsidRPr="00C3645A">
        <w:rPr>
          <w:rFonts w:asciiTheme="minorHAnsi" w:hAnsiTheme="minorHAnsi" w:cstheme="minorHAnsi"/>
          <w:color w:val="auto"/>
          <w:szCs w:val="22"/>
        </w:rPr>
        <w:t xml:space="preserve"> </w:t>
      </w:r>
    </w:p>
    <w:p w14:paraId="1BEF8E93" w14:textId="77777777" w:rsidR="00AD6896" w:rsidRPr="00C3645A" w:rsidRDefault="00AD6896" w:rsidP="00AD6896">
      <w:pPr>
        <w:pStyle w:val="PubliManuscript"/>
        <w:spacing w:after="0" w:line="240" w:lineRule="auto"/>
        <w:ind w:firstLine="0"/>
        <w:rPr>
          <w:color w:val="auto"/>
        </w:rPr>
      </w:pPr>
    </w:p>
    <w:p w14:paraId="503D4E2E" w14:textId="77777777" w:rsidR="00AD6896" w:rsidRPr="00C3645A" w:rsidRDefault="00AD6896" w:rsidP="00AD6896">
      <w:pPr>
        <w:pStyle w:val="PubliManuscript"/>
        <w:spacing w:after="0" w:line="240" w:lineRule="auto"/>
        <w:ind w:firstLine="0"/>
        <w:rPr>
          <w:b/>
          <w:color w:val="auto"/>
          <w:sz w:val="24"/>
        </w:rPr>
      </w:pPr>
      <w:r w:rsidRPr="00C3645A">
        <w:rPr>
          <w:b/>
          <w:color w:val="auto"/>
          <w:sz w:val="24"/>
        </w:rPr>
        <w:t xml:space="preserve">Abstract  </w:t>
      </w:r>
    </w:p>
    <w:p w14:paraId="783210A0" w14:textId="05DDEE84" w:rsidR="0057462B" w:rsidRPr="00C3645A" w:rsidRDefault="0012669E" w:rsidP="00AD6896">
      <w:pPr>
        <w:pStyle w:val="PubliManuscript"/>
        <w:spacing w:after="0" w:line="240" w:lineRule="auto"/>
        <w:ind w:firstLine="0"/>
        <w:rPr>
          <w:color w:val="auto"/>
        </w:rPr>
      </w:pPr>
      <w:r w:rsidRPr="00C3645A">
        <w:rPr>
          <w:color w:val="auto"/>
        </w:rPr>
        <w:t>Integrat</w:t>
      </w:r>
      <w:r w:rsidR="001359CB" w:rsidRPr="00C3645A">
        <w:rPr>
          <w:color w:val="auto"/>
        </w:rPr>
        <w:t>ed</w:t>
      </w:r>
      <w:r w:rsidRPr="00C3645A">
        <w:rPr>
          <w:color w:val="auto"/>
        </w:rPr>
        <w:t xml:space="preserve"> cro</w:t>
      </w:r>
      <w:r w:rsidR="001359CB" w:rsidRPr="00C3645A">
        <w:rPr>
          <w:color w:val="auto"/>
        </w:rPr>
        <w:t>p</w:t>
      </w:r>
      <w:r w:rsidR="006012BC" w:rsidRPr="00C3645A">
        <w:rPr>
          <w:color w:val="auto"/>
        </w:rPr>
        <w:t>-</w:t>
      </w:r>
      <w:r w:rsidRPr="00C3645A">
        <w:rPr>
          <w:color w:val="auto"/>
        </w:rPr>
        <w:t xml:space="preserve">livestock systems (ICLS) </w:t>
      </w:r>
      <w:r w:rsidR="001359CB" w:rsidRPr="00C3645A">
        <w:rPr>
          <w:color w:val="auto"/>
        </w:rPr>
        <w:t>are</w:t>
      </w:r>
      <w:r w:rsidR="19030783" w:rsidRPr="00C3645A">
        <w:rPr>
          <w:color w:val="auto"/>
        </w:rPr>
        <w:t xml:space="preserve"> proposed as </w:t>
      </w:r>
      <w:r w:rsidRPr="00C3645A">
        <w:rPr>
          <w:color w:val="auto"/>
        </w:rPr>
        <w:t>key solutions to</w:t>
      </w:r>
      <w:r w:rsidR="6898CF8A" w:rsidRPr="00C3645A">
        <w:rPr>
          <w:color w:val="auto"/>
        </w:rPr>
        <w:t xml:space="preserve"> the various challenges posed to</w:t>
      </w:r>
      <w:r w:rsidRPr="00C3645A">
        <w:rPr>
          <w:color w:val="auto"/>
        </w:rPr>
        <w:t xml:space="preserve"> </w:t>
      </w:r>
      <w:r w:rsidR="3BF6336A" w:rsidRPr="00C3645A">
        <w:rPr>
          <w:color w:val="auto"/>
        </w:rPr>
        <w:t xml:space="preserve">present-day </w:t>
      </w:r>
      <w:r w:rsidR="5D8A50F6" w:rsidRPr="00C3645A">
        <w:rPr>
          <w:color w:val="auto"/>
        </w:rPr>
        <w:t xml:space="preserve">agriculture which must </w:t>
      </w:r>
      <w:r w:rsidRPr="00C3645A">
        <w:rPr>
          <w:color w:val="auto"/>
        </w:rPr>
        <w:t xml:space="preserve">guarantee high and stable </w:t>
      </w:r>
      <w:r w:rsidR="6B95B013" w:rsidRPr="00C3645A">
        <w:rPr>
          <w:color w:val="auto"/>
        </w:rPr>
        <w:t xml:space="preserve">yields </w:t>
      </w:r>
      <w:r w:rsidRPr="00C3645A">
        <w:rPr>
          <w:color w:val="auto"/>
        </w:rPr>
        <w:t>while minimizing its impacts on the environment. Yet the complex relationships between crops, grasslands and animals on which they rely demand careful and precise management.</w:t>
      </w:r>
      <w:r w:rsidR="00B25A89" w:rsidRPr="00C3645A">
        <w:rPr>
          <w:color w:val="auto"/>
        </w:rPr>
        <w:t xml:space="preserve"> In th</w:t>
      </w:r>
      <w:r w:rsidR="006703C2" w:rsidRPr="00C3645A">
        <w:rPr>
          <w:color w:val="auto"/>
        </w:rPr>
        <w:t>is</w:t>
      </w:r>
      <w:r w:rsidR="00B25A89" w:rsidRPr="00C3645A">
        <w:rPr>
          <w:color w:val="auto"/>
        </w:rPr>
        <w:t xml:space="preserve"> study, </w:t>
      </w:r>
      <w:r w:rsidR="0057462B" w:rsidRPr="00C3645A">
        <w:rPr>
          <w:color w:val="auto"/>
        </w:rPr>
        <w:t>from</w:t>
      </w:r>
      <w:r w:rsidR="00ED6C6A" w:rsidRPr="00C3645A">
        <w:rPr>
          <w:color w:val="auto"/>
        </w:rPr>
        <w:t xml:space="preserve"> a 18-year ICLS field experiment in Brazil, </w:t>
      </w:r>
      <w:r w:rsidR="00C76939" w:rsidRPr="00C3645A">
        <w:rPr>
          <w:color w:val="auto"/>
        </w:rPr>
        <w:t xml:space="preserve">that consists in annual </w:t>
      </w:r>
      <w:r w:rsidR="00BC3FE9" w:rsidRPr="00C3645A">
        <w:rPr>
          <w:color w:val="auto"/>
        </w:rPr>
        <w:t xml:space="preserve">no-till </w:t>
      </w:r>
      <w:r w:rsidR="00C76939" w:rsidRPr="00C3645A">
        <w:rPr>
          <w:color w:val="auto"/>
        </w:rPr>
        <w:t>soybean-</w:t>
      </w:r>
      <w:r w:rsidR="00703F7E" w:rsidRPr="00C3645A">
        <w:rPr>
          <w:color w:val="auto"/>
        </w:rPr>
        <w:t>pastures</w:t>
      </w:r>
      <w:r w:rsidR="00C76939" w:rsidRPr="00C3645A">
        <w:rPr>
          <w:color w:val="auto"/>
        </w:rPr>
        <w:t xml:space="preserve"> </w:t>
      </w:r>
      <w:r w:rsidR="00545AAD" w:rsidRPr="00C3645A">
        <w:rPr>
          <w:color w:val="auto"/>
        </w:rPr>
        <w:t xml:space="preserve">grazed by beef cattle, </w:t>
      </w:r>
      <w:r w:rsidR="00C76939" w:rsidRPr="00C3645A">
        <w:rPr>
          <w:color w:val="auto"/>
        </w:rPr>
        <w:t xml:space="preserve">we </w:t>
      </w:r>
      <w:r w:rsidR="0057462B" w:rsidRPr="00C3645A">
        <w:rPr>
          <w:color w:val="auto"/>
        </w:rPr>
        <w:t xml:space="preserve">investigated the impacts of contrasted </w:t>
      </w:r>
      <w:r w:rsidR="00521DA1" w:rsidRPr="00C3645A">
        <w:rPr>
          <w:color w:val="auto"/>
        </w:rPr>
        <w:t>pastures</w:t>
      </w:r>
      <w:r w:rsidR="0057462B" w:rsidRPr="00C3645A">
        <w:rPr>
          <w:color w:val="auto"/>
        </w:rPr>
        <w:t xml:space="preserve"> grazing intensities</w:t>
      </w:r>
      <w:r w:rsidR="0039490C" w:rsidRPr="00C3645A">
        <w:rPr>
          <w:color w:val="auto"/>
        </w:rPr>
        <w:t xml:space="preserve"> (defined by sward heights of 10, 20, 30 and 40 cm, plus an ungrazed treatment)</w:t>
      </w:r>
      <w:r w:rsidR="0057462B" w:rsidRPr="00C3645A">
        <w:rPr>
          <w:color w:val="auto"/>
        </w:rPr>
        <w:t xml:space="preserve"> on the agroecosystem productivity and soil organic carbon </w:t>
      </w:r>
      <w:r w:rsidR="00DB33BB" w:rsidRPr="00C3645A">
        <w:rPr>
          <w:color w:val="auto"/>
        </w:rPr>
        <w:t xml:space="preserve">(SOC) </w:t>
      </w:r>
      <w:r w:rsidR="0057462B" w:rsidRPr="00C3645A">
        <w:rPr>
          <w:color w:val="auto"/>
        </w:rPr>
        <w:t xml:space="preserve">under both historical and future </w:t>
      </w:r>
      <w:r w:rsidR="009E5C8B" w:rsidRPr="00C3645A">
        <w:rPr>
          <w:color w:val="auto"/>
        </w:rPr>
        <w:t xml:space="preserve">(2040-2070, RCP8.5) </w:t>
      </w:r>
      <w:r w:rsidR="0057462B" w:rsidRPr="00C3645A">
        <w:rPr>
          <w:color w:val="auto"/>
        </w:rPr>
        <w:t xml:space="preserve">climatic conditions. </w:t>
      </w:r>
      <w:r w:rsidR="00EA3705" w:rsidRPr="00C3645A">
        <w:rPr>
          <w:color w:val="auto"/>
        </w:rPr>
        <w:t xml:space="preserve">We </w:t>
      </w:r>
      <w:r w:rsidR="3A496272" w:rsidRPr="00C3645A">
        <w:rPr>
          <w:color w:val="auto"/>
        </w:rPr>
        <w:t>u</w:t>
      </w:r>
      <w:r w:rsidR="00EA3705" w:rsidRPr="00C3645A">
        <w:rPr>
          <w:color w:val="auto"/>
        </w:rPr>
        <w:t xml:space="preserve">sed an innovative methodology to </w:t>
      </w:r>
      <w:r w:rsidR="003B1E9B" w:rsidRPr="00C3645A">
        <w:rPr>
          <w:color w:val="auto"/>
        </w:rPr>
        <w:t>model the ICLS with the</w:t>
      </w:r>
      <w:r w:rsidR="7FEEA8D7" w:rsidRPr="00C3645A">
        <w:rPr>
          <w:color w:val="auto"/>
        </w:rPr>
        <w:t xml:space="preserve"> STICS</w:t>
      </w:r>
      <w:r w:rsidR="003B1E9B" w:rsidRPr="00C3645A">
        <w:rPr>
          <w:color w:val="auto"/>
        </w:rPr>
        <w:t xml:space="preserve"> soil-crop model, </w:t>
      </w:r>
      <w:r w:rsidR="001F0A52" w:rsidRPr="00C3645A">
        <w:rPr>
          <w:color w:val="auto"/>
        </w:rPr>
        <w:t>which was validated with field observations</w:t>
      </w:r>
      <w:r w:rsidR="00A81CF1" w:rsidRPr="00C3645A">
        <w:rPr>
          <w:color w:val="auto"/>
        </w:rPr>
        <w:t xml:space="preserve">. </w:t>
      </w:r>
      <w:r w:rsidR="001C0795" w:rsidRPr="00C3645A">
        <w:rPr>
          <w:color w:val="auto"/>
        </w:rPr>
        <w:t xml:space="preserve">Results showed that </w:t>
      </w:r>
      <w:r w:rsidR="00086684" w:rsidRPr="00C3645A">
        <w:rPr>
          <w:color w:val="auto"/>
        </w:rPr>
        <w:t xml:space="preserve">the </w:t>
      </w:r>
      <w:r w:rsidR="00FF6BBF" w:rsidRPr="00C3645A">
        <w:rPr>
          <w:color w:val="auto"/>
        </w:rPr>
        <w:t>total system production</w:t>
      </w:r>
      <w:r w:rsidR="001A3843" w:rsidRPr="00C3645A">
        <w:rPr>
          <w:color w:val="auto"/>
        </w:rPr>
        <w:t xml:space="preserve"> </w:t>
      </w:r>
      <w:r w:rsidR="00FF6BBF" w:rsidRPr="00C3645A">
        <w:rPr>
          <w:color w:val="auto"/>
        </w:rPr>
        <w:t>increas</w:t>
      </w:r>
      <w:r w:rsidR="14AAE99E" w:rsidRPr="00C3645A">
        <w:rPr>
          <w:color w:val="auto"/>
        </w:rPr>
        <w:t>ed</w:t>
      </w:r>
      <w:r w:rsidR="00FF6BBF" w:rsidRPr="00C3645A">
        <w:rPr>
          <w:color w:val="auto"/>
        </w:rPr>
        <w:t xml:space="preserve"> </w:t>
      </w:r>
      <w:r w:rsidR="4E85B918" w:rsidRPr="00C3645A">
        <w:rPr>
          <w:color w:val="auto"/>
        </w:rPr>
        <w:t xml:space="preserve">along </w:t>
      </w:r>
      <w:r w:rsidR="00B851F2" w:rsidRPr="00C3645A">
        <w:rPr>
          <w:color w:val="auto"/>
        </w:rPr>
        <w:t>with</w:t>
      </w:r>
      <w:r w:rsidR="00FF6BBF" w:rsidRPr="00C3645A">
        <w:rPr>
          <w:color w:val="auto"/>
        </w:rPr>
        <w:t xml:space="preserve"> grazing intensity because of </w:t>
      </w:r>
      <w:r w:rsidR="4AB18DC9" w:rsidRPr="00C3645A">
        <w:rPr>
          <w:color w:val="auto"/>
        </w:rPr>
        <w:t xml:space="preserve">higher </w:t>
      </w:r>
      <w:r w:rsidR="00FF6BBF" w:rsidRPr="00C3645A">
        <w:rPr>
          <w:color w:val="auto"/>
        </w:rPr>
        <w:t>stocking rate</w:t>
      </w:r>
      <w:r w:rsidR="72C4708A" w:rsidRPr="00C3645A">
        <w:rPr>
          <w:color w:val="auto"/>
        </w:rPr>
        <w:t>s</w:t>
      </w:r>
      <w:r w:rsidR="00FF6BBF" w:rsidRPr="00C3645A">
        <w:rPr>
          <w:color w:val="auto"/>
        </w:rPr>
        <w:t xml:space="preserve"> and </w:t>
      </w:r>
      <w:r w:rsidR="7EFD523C" w:rsidRPr="00C3645A">
        <w:rPr>
          <w:color w:val="auto"/>
        </w:rPr>
        <w:t xml:space="preserve">subsequent </w:t>
      </w:r>
      <w:r w:rsidR="00FF6BBF" w:rsidRPr="00C3645A">
        <w:rPr>
          <w:color w:val="auto"/>
        </w:rPr>
        <w:t>live weight gain</w:t>
      </w:r>
      <w:r w:rsidR="7477865A" w:rsidRPr="00C3645A">
        <w:rPr>
          <w:color w:val="auto"/>
        </w:rPr>
        <w:t>s</w:t>
      </w:r>
      <w:r w:rsidR="00FF6BBF" w:rsidRPr="00C3645A">
        <w:rPr>
          <w:color w:val="auto"/>
        </w:rPr>
        <w:t>.</w:t>
      </w:r>
      <w:r w:rsidR="00FF5416" w:rsidRPr="00C3645A">
        <w:rPr>
          <w:color w:val="auto"/>
        </w:rPr>
        <w:t xml:space="preserve"> </w:t>
      </w:r>
      <w:r w:rsidR="00985A82" w:rsidRPr="00C3645A">
        <w:rPr>
          <w:color w:val="auto"/>
        </w:rPr>
        <w:t xml:space="preserve">Moderate </w:t>
      </w:r>
      <w:r w:rsidR="00C009AE" w:rsidRPr="00C3645A">
        <w:rPr>
          <w:color w:val="auto"/>
        </w:rPr>
        <w:t xml:space="preserve">and light </w:t>
      </w:r>
      <w:r w:rsidR="00985A82" w:rsidRPr="00C3645A">
        <w:rPr>
          <w:color w:val="auto"/>
        </w:rPr>
        <w:t>grazing</w:t>
      </w:r>
      <w:r w:rsidR="046A2632" w:rsidRPr="00C3645A">
        <w:rPr>
          <w:color w:val="auto"/>
        </w:rPr>
        <w:t xml:space="preserve"> intensities</w:t>
      </w:r>
      <w:r w:rsidR="00985A82" w:rsidRPr="00C3645A">
        <w:rPr>
          <w:color w:val="auto"/>
        </w:rPr>
        <w:t xml:space="preserve"> (30 and 40</w:t>
      </w:r>
      <w:r w:rsidR="00F11E75" w:rsidRPr="00C3645A">
        <w:rPr>
          <w:color w:val="auto"/>
        </w:rPr>
        <w:t xml:space="preserve"> </w:t>
      </w:r>
      <w:r w:rsidR="00985A82" w:rsidRPr="00C3645A">
        <w:rPr>
          <w:color w:val="auto"/>
        </w:rPr>
        <w:t xml:space="preserve">cm sward heights) resulted in the largest </w:t>
      </w:r>
      <w:r w:rsidR="23C864E4" w:rsidRPr="00C3645A">
        <w:rPr>
          <w:color w:val="auto"/>
        </w:rPr>
        <w:t>increase in</w:t>
      </w:r>
      <w:r w:rsidR="00985A82" w:rsidRPr="00C3645A">
        <w:rPr>
          <w:color w:val="auto"/>
        </w:rPr>
        <w:t xml:space="preserve"> </w:t>
      </w:r>
      <w:r w:rsidR="00E54AC2" w:rsidRPr="00C3645A">
        <w:rPr>
          <w:color w:val="auto"/>
        </w:rPr>
        <w:t>SOC</w:t>
      </w:r>
      <w:r w:rsidR="00985A82" w:rsidRPr="00C3645A">
        <w:rPr>
          <w:color w:val="auto"/>
        </w:rPr>
        <w:t xml:space="preserve"> over the 18-year period</w:t>
      </w:r>
      <w:r w:rsidR="00E96B19" w:rsidRPr="00C3645A">
        <w:rPr>
          <w:color w:val="auto"/>
        </w:rPr>
        <w:t>, w</w:t>
      </w:r>
      <w:r w:rsidR="00753D3F" w:rsidRPr="00C3645A">
        <w:rPr>
          <w:color w:val="auto"/>
        </w:rPr>
        <w:t>ith all ICLS treatments leading to greater SOC</w:t>
      </w:r>
      <w:r w:rsidR="1F570BEB" w:rsidRPr="00C3645A">
        <w:rPr>
          <w:color w:val="auto"/>
        </w:rPr>
        <w:t xml:space="preserve"> contents</w:t>
      </w:r>
      <w:r w:rsidR="00753D3F" w:rsidRPr="00C3645A">
        <w:rPr>
          <w:color w:val="auto"/>
        </w:rPr>
        <w:t xml:space="preserve"> than</w:t>
      </w:r>
      <w:r w:rsidR="00E96B19" w:rsidRPr="00C3645A">
        <w:rPr>
          <w:color w:val="auto"/>
        </w:rPr>
        <w:t xml:space="preserve"> the ungrazed treatment</w:t>
      </w:r>
      <w:r w:rsidR="00985A82" w:rsidRPr="00C3645A">
        <w:rPr>
          <w:color w:val="auto"/>
        </w:rPr>
        <w:t xml:space="preserve">. </w:t>
      </w:r>
      <w:r w:rsidR="00EC5DBC" w:rsidRPr="00C3645A">
        <w:rPr>
          <w:color w:val="auto"/>
        </w:rPr>
        <w:t>When facing climate change</w:t>
      </w:r>
      <w:r w:rsidR="1F01C6D8" w:rsidRPr="00C3645A">
        <w:rPr>
          <w:color w:val="auto"/>
        </w:rPr>
        <w:t xml:space="preserve"> under future conditions</w:t>
      </w:r>
      <w:r w:rsidR="00EC5DBC" w:rsidRPr="00C3645A">
        <w:rPr>
          <w:color w:val="auto"/>
        </w:rPr>
        <w:t xml:space="preserve">, all treatments </w:t>
      </w:r>
      <w:r w:rsidR="00C9462E" w:rsidRPr="00C3645A">
        <w:rPr>
          <w:color w:val="auto"/>
        </w:rPr>
        <w:t>increased</w:t>
      </w:r>
      <w:r w:rsidR="00EC5DBC" w:rsidRPr="00C3645A">
        <w:rPr>
          <w:color w:val="auto"/>
        </w:rPr>
        <w:t xml:space="preserve"> in productivity</w:t>
      </w:r>
      <w:r w:rsidR="00522748" w:rsidRPr="00C3645A">
        <w:rPr>
          <w:color w:val="auto"/>
        </w:rPr>
        <w:t xml:space="preserve"> due to</w:t>
      </w:r>
      <w:r w:rsidR="00EC5DBC" w:rsidRPr="00C3645A">
        <w:rPr>
          <w:color w:val="auto"/>
        </w:rPr>
        <w:t xml:space="preserve"> the CO</w:t>
      </w:r>
      <w:r w:rsidR="00EC5DBC" w:rsidRPr="00C3645A">
        <w:rPr>
          <w:color w:val="auto"/>
          <w:vertAlign w:val="subscript"/>
        </w:rPr>
        <w:t>2</w:t>
      </w:r>
      <w:r w:rsidR="00EC5DBC" w:rsidRPr="00C3645A">
        <w:rPr>
          <w:color w:val="auto"/>
        </w:rPr>
        <w:t xml:space="preserve"> fertilization effect and the increase</w:t>
      </w:r>
      <w:r w:rsidR="00EB082D" w:rsidRPr="00C3645A">
        <w:rPr>
          <w:color w:val="auto"/>
        </w:rPr>
        <w:t>s</w:t>
      </w:r>
      <w:r w:rsidR="00EC5DBC" w:rsidRPr="00C3645A">
        <w:rPr>
          <w:color w:val="auto"/>
        </w:rPr>
        <w:t xml:space="preserve"> in organic amendments that result from the large</w:t>
      </w:r>
      <w:r w:rsidR="00EB082D" w:rsidRPr="00C3645A">
        <w:rPr>
          <w:color w:val="auto"/>
        </w:rPr>
        <w:t>r</w:t>
      </w:r>
      <w:r w:rsidR="00EC5DBC" w:rsidRPr="00C3645A">
        <w:rPr>
          <w:color w:val="auto"/>
        </w:rPr>
        <w:t xml:space="preserve"> stocking rate </w:t>
      </w:r>
      <w:r w:rsidR="60677DBE" w:rsidRPr="00C3645A">
        <w:rPr>
          <w:color w:val="auto"/>
        </w:rPr>
        <w:t xml:space="preserve">allowed by </w:t>
      </w:r>
      <w:r w:rsidR="001862A7" w:rsidRPr="00C3645A">
        <w:rPr>
          <w:color w:val="auto"/>
        </w:rPr>
        <w:t xml:space="preserve">the </w:t>
      </w:r>
      <w:r w:rsidR="51B1E7BD" w:rsidRPr="00C3645A">
        <w:rPr>
          <w:color w:val="auto"/>
        </w:rPr>
        <w:t xml:space="preserve">increased </w:t>
      </w:r>
      <w:r w:rsidR="7F56CC61" w:rsidRPr="00C3645A">
        <w:rPr>
          <w:color w:val="auto"/>
        </w:rPr>
        <w:t>pasture</w:t>
      </w:r>
      <w:r w:rsidR="7A6ED792" w:rsidRPr="00C3645A">
        <w:rPr>
          <w:color w:val="auto"/>
        </w:rPr>
        <w:t xml:space="preserve"> </w:t>
      </w:r>
      <w:r w:rsidR="001862A7" w:rsidRPr="00C3645A">
        <w:rPr>
          <w:color w:val="auto"/>
        </w:rPr>
        <w:t xml:space="preserve">carrying capacity. </w:t>
      </w:r>
      <w:r w:rsidR="00D31F21" w:rsidRPr="00C3645A">
        <w:rPr>
          <w:color w:val="auto"/>
        </w:rPr>
        <w:t xml:space="preserve">Moderate grazing resulted in the most significant enhancements in productivity and SOC levels. These improvements were accompanied by increased resistance to both moderate and extreme climatic events, benefiting herbage production and live weight gain. </w:t>
      </w:r>
      <w:r w:rsidR="00636DF7" w:rsidRPr="00C3645A">
        <w:rPr>
          <w:color w:val="auto"/>
        </w:rPr>
        <w:t xml:space="preserve">Globally, </w:t>
      </w:r>
      <w:r w:rsidR="36F46B6E" w:rsidRPr="00C3645A">
        <w:rPr>
          <w:color w:val="auto"/>
        </w:rPr>
        <w:t xml:space="preserve">our results show that </w:t>
      </w:r>
      <w:r w:rsidR="00636DF7" w:rsidRPr="00C3645A">
        <w:rPr>
          <w:color w:val="auto"/>
        </w:rPr>
        <w:t xml:space="preserve">adding a trophic level (i.e. herbivores) into cropping systems, </w:t>
      </w:r>
      <w:r w:rsidR="00B33B2A" w:rsidRPr="00C3645A">
        <w:rPr>
          <w:color w:val="auto"/>
        </w:rPr>
        <w:t>provided</w:t>
      </w:r>
      <w:r w:rsidR="00BB3FA2" w:rsidRPr="00C3645A">
        <w:rPr>
          <w:color w:val="auto"/>
        </w:rPr>
        <w:t xml:space="preserve"> that</w:t>
      </w:r>
      <w:r w:rsidR="00636DF7" w:rsidRPr="00C3645A">
        <w:rPr>
          <w:color w:val="auto"/>
        </w:rPr>
        <w:t xml:space="preserve"> </w:t>
      </w:r>
      <w:r w:rsidR="43824B51" w:rsidRPr="00C3645A">
        <w:rPr>
          <w:color w:val="auto"/>
        </w:rPr>
        <w:t xml:space="preserve">their </w:t>
      </w:r>
      <w:r w:rsidR="00636DF7" w:rsidRPr="00C3645A">
        <w:rPr>
          <w:color w:val="auto"/>
        </w:rPr>
        <w:t>carrying capacities</w:t>
      </w:r>
      <w:r w:rsidR="00C430A6" w:rsidRPr="00C3645A">
        <w:rPr>
          <w:color w:val="auto"/>
        </w:rPr>
        <w:t xml:space="preserve"> are respected</w:t>
      </w:r>
      <w:r w:rsidR="00636DF7" w:rsidRPr="00C3645A">
        <w:rPr>
          <w:color w:val="auto"/>
        </w:rPr>
        <w:t>, proved to increase t</w:t>
      </w:r>
      <w:r w:rsidR="007F1073" w:rsidRPr="00C3645A">
        <w:rPr>
          <w:color w:val="auto"/>
        </w:rPr>
        <w:t xml:space="preserve">heir </w:t>
      </w:r>
      <w:r w:rsidR="00E360D7" w:rsidRPr="00C3645A">
        <w:rPr>
          <w:color w:val="auto"/>
        </w:rPr>
        <w:t>abilit</w:t>
      </w:r>
      <w:r w:rsidR="2C3D7B23" w:rsidRPr="00C3645A">
        <w:rPr>
          <w:color w:val="auto"/>
        </w:rPr>
        <w:t>y</w:t>
      </w:r>
      <w:r w:rsidR="007F1073" w:rsidRPr="00C3645A">
        <w:rPr>
          <w:color w:val="auto"/>
        </w:rPr>
        <w:t xml:space="preserve"> </w:t>
      </w:r>
      <w:r w:rsidR="175A3FD5" w:rsidRPr="00C3645A">
        <w:rPr>
          <w:color w:val="auto"/>
        </w:rPr>
        <w:t xml:space="preserve">to withstand </w:t>
      </w:r>
      <w:r w:rsidR="007F1073" w:rsidRPr="00C3645A">
        <w:rPr>
          <w:color w:val="auto"/>
        </w:rPr>
        <w:t xml:space="preserve">climate change and </w:t>
      </w:r>
      <w:r w:rsidR="63341A7B" w:rsidRPr="00C3645A">
        <w:rPr>
          <w:color w:val="auto"/>
        </w:rPr>
        <w:t xml:space="preserve">to contribute to its </w:t>
      </w:r>
      <w:r w:rsidR="007F1073" w:rsidRPr="00C3645A">
        <w:rPr>
          <w:color w:val="auto"/>
        </w:rPr>
        <w:t>mitigation.</w:t>
      </w:r>
    </w:p>
    <w:p w14:paraId="55A74678" w14:textId="4119CBC8" w:rsidR="00AD6896" w:rsidRPr="00C3645A" w:rsidRDefault="00AD6896" w:rsidP="00AD6896">
      <w:pPr>
        <w:pStyle w:val="PubliManuscript"/>
        <w:spacing w:after="0" w:line="240" w:lineRule="auto"/>
        <w:ind w:firstLine="0"/>
        <w:rPr>
          <w:color w:val="auto"/>
        </w:rPr>
      </w:pPr>
      <w:r w:rsidRPr="00C3645A">
        <w:rPr>
          <w:b/>
          <w:bCs/>
          <w:color w:val="auto"/>
        </w:rPr>
        <w:t>Keywords</w:t>
      </w:r>
      <w:r w:rsidRPr="00C3645A">
        <w:rPr>
          <w:color w:val="auto"/>
        </w:rPr>
        <w:t xml:space="preserve"> Integrated crop-livestock systems; </w:t>
      </w:r>
      <w:r w:rsidR="00DE5DB4" w:rsidRPr="00C3645A">
        <w:rPr>
          <w:color w:val="auto"/>
        </w:rPr>
        <w:t xml:space="preserve">Climate change; </w:t>
      </w:r>
      <w:r w:rsidRPr="00C3645A">
        <w:rPr>
          <w:color w:val="auto"/>
        </w:rPr>
        <w:t>Resistance;</w:t>
      </w:r>
      <w:r w:rsidR="00491E7D" w:rsidRPr="00C3645A">
        <w:rPr>
          <w:color w:val="auto"/>
        </w:rPr>
        <w:t xml:space="preserve"> Productivity;</w:t>
      </w:r>
      <w:r w:rsidRPr="00C3645A">
        <w:rPr>
          <w:color w:val="auto"/>
        </w:rPr>
        <w:t xml:space="preserve"> Soil organic carbon; </w:t>
      </w:r>
      <w:r w:rsidR="00DE5DB4" w:rsidRPr="00C3645A">
        <w:rPr>
          <w:color w:val="auto"/>
        </w:rPr>
        <w:t>Crop model</w:t>
      </w:r>
      <w:r w:rsidRPr="00C3645A">
        <w:rPr>
          <w:color w:val="auto"/>
        </w:rPr>
        <w:br w:type="page"/>
      </w:r>
    </w:p>
    <w:p w14:paraId="0D4750B3" w14:textId="1D657021" w:rsidR="00AD6896" w:rsidRPr="00C3645A" w:rsidRDefault="00AD6896" w:rsidP="00AD6896">
      <w:pPr>
        <w:pStyle w:val="Publi1"/>
        <w:spacing w:line="240" w:lineRule="auto"/>
      </w:pPr>
      <w:r w:rsidRPr="00C3645A">
        <w:lastRenderedPageBreak/>
        <w:t>Introduction</w:t>
      </w:r>
    </w:p>
    <w:p w14:paraId="497B0B24" w14:textId="51DFACBB" w:rsidR="001C4E48" w:rsidRPr="00C3645A" w:rsidRDefault="003B702D" w:rsidP="008959BB">
      <w:pPr>
        <w:pStyle w:val="PubliManuscript"/>
        <w:rPr>
          <w:color w:val="auto"/>
        </w:rPr>
      </w:pPr>
      <w:r w:rsidRPr="00C3645A">
        <w:rPr>
          <w:color w:val="auto"/>
        </w:rPr>
        <w:t xml:space="preserve">Over the </w:t>
      </w:r>
      <w:r w:rsidR="58D9D8DE" w:rsidRPr="00C3645A">
        <w:rPr>
          <w:color w:val="auto"/>
        </w:rPr>
        <w:t xml:space="preserve">past </w:t>
      </w:r>
      <w:r w:rsidRPr="00C3645A">
        <w:rPr>
          <w:color w:val="auto"/>
        </w:rPr>
        <w:t xml:space="preserve">decades, agriculture experienced a huge and nearly universal specialization due to multiple drivers such as globalization, industrial development and liberalization of trade that </w:t>
      </w:r>
      <w:r w:rsidR="006A1E85" w:rsidRPr="00C3645A">
        <w:rPr>
          <w:color w:val="auto"/>
        </w:rPr>
        <w:t>calls for</w:t>
      </w:r>
      <w:r w:rsidRPr="00C3645A">
        <w:rPr>
          <w:color w:val="auto"/>
        </w:rPr>
        <w:t xml:space="preserve"> economies of scale (Garrett et al., 2020).</w:t>
      </w:r>
      <w:r w:rsidR="00D04E4A" w:rsidRPr="00C3645A">
        <w:rPr>
          <w:color w:val="auto"/>
        </w:rPr>
        <w:t xml:space="preserve"> </w:t>
      </w:r>
      <w:r w:rsidR="007E3ED9" w:rsidRPr="00C3645A">
        <w:rPr>
          <w:color w:val="auto"/>
        </w:rPr>
        <w:t>Empowered by the great promises offered by inputs used in large quantities during the green revolution,</w:t>
      </w:r>
      <w:r w:rsidR="007E3ED9" w:rsidRPr="00C3645A" w:rsidDel="00574818">
        <w:rPr>
          <w:color w:val="auto"/>
        </w:rPr>
        <w:t xml:space="preserve"> </w:t>
      </w:r>
      <w:r w:rsidR="007E3ED9" w:rsidRPr="00C3645A">
        <w:rPr>
          <w:color w:val="auto"/>
        </w:rPr>
        <w:t>crop</w:t>
      </w:r>
      <w:r w:rsidR="00D04E4A" w:rsidRPr="00C3645A">
        <w:rPr>
          <w:color w:val="auto"/>
        </w:rPr>
        <w:t xml:space="preserve"> and livestock production systems have been largely decoupled throughout the world</w:t>
      </w:r>
      <w:r w:rsidR="00582BA5" w:rsidRPr="00C3645A">
        <w:rPr>
          <w:color w:val="auto"/>
        </w:rPr>
        <w:t xml:space="preserve"> in most developed regions</w:t>
      </w:r>
      <w:r w:rsidR="00010B79" w:rsidRPr="00C3645A">
        <w:rPr>
          <w:color w:val="auto"/>
        </w:rPr>
        <w:t xml:space="preserve"> (</w:t>
      </w:r>
      <w:proofErr w:type="spellStart"/>
      <w:r w:rsidR="00010B79" w:rsidRPr="00C3645A">
        <w:rPr>
          <w:color w:val="auto"/>
        </w:rPr>
        <w:t>Mazoyer</w:t>
      </w:r>
      <w:proofErr w:type="spellEnd"/>
      <w:r w:rsidR="00010B79" w:rsidRPr="00C3645A">
        <w:rPr>
          <w:color w:val="auto"/>
        </w:rPr>
        <w:t xml:space="preserve"> and </w:t>
      </w:r>
      <w:proofErr w:type="spellStart"/>
      <w:r w:rsidR="00010B79" w:rsidRPr="00C3645A">
        <w:rPr>
          <w:color w:val="auto"/>
        </w:rPr>
        <w:t>Roudart</w:t>
      </w:r>
      <w:proofErr w:type="spellEnd"/>
      <w:r w:rsidR="00010B79" w:rsidRPr="00C3645A">
        <w:rPr>
          <w:color w:val="auto"/>
        </w:rPr>
        <w:t>, 2002)</w:t>
      </w:r>
      <w:r w:rsidR="00D04E4A" w:rsidRPr="00C3645A">
        <w:rPr>
          <w:color w:val="auto"/>
        </w:rPr>
        <w:t xml:space="preserve">. But this specialization was associated to serious negative </w:t>
      </w:r>
      <w:r w:rsidR="00E532BA" w:rsidRPr="00C3645A">
        <w:rPr>
          <w:color w:val="auto"/>
        </w:rPr>
        <w:t>societal</w:t>
      </w:r>
      <w:r w:rsidR="00D04E4A" w:rsidRPr="00C3645A">
        <w:rPr>
          <w:color w:val="auto"/>
        </w:rPr>
        <w:t xml:space="preserve"> and ecological outcomes, such as degraded water quality, biodiversity loss, </w:t>
      </w:r>
      <w:r w:rsidR="00A77722" w:rsidRPr="00C3645A">
        <w:rPr>
          <w:color w:val="auto"/>
        </w:rPr>
        <w:t xml:space="preserve">pesticide poisoning of humans and non-target species, </w:t>
      </w:r>
      <w:r w:rsidR="00D04E4A" w:rsidRPr="00C3645A">
        <w:rPr>
          <w:color w:val="auto"/>
        </w:rPr>
        <w:t>soil erosion or greenhouse gas emissions</w:t>
      </w:r>
      <w:r w:rsidR="00924174" w:rsidRPr="00C3645A">
        <w:rPr>
          <w:color w:val="auto"/>
        </w:rPr>
        <w:t xml:space="preserve"> (Naylor et al., 2005; </w:t>
      </w:r>
      <w:r w:rsidR="008D2581" w:rsidRPr="00C3645A">
        <w:rPr>
          <w:color w:val="auto"/>
        </w:rPr>
        <w:t>Verhoeven et al., 2006</w:t>
      </w:r>
      <w:r w:rsidR="00997E9F" w:rsidRPr="00C3645A">
        <w:rPr>
          <w:color w:val="auto"/>
        </w:rPr>
        <w:t xml:space="preserve">; </w:t>
      </w:r>
      <w:r w:rsidR="0016449D" w:rsidRPr="00C3645A">
        <w:rPr>
          <w:color w:val="auto"/>
        </w:rPr>
        <w:t xml:space="preserve">Power, 2010; </w:t>
      </w:r>
      <w:r w:rsidR="00D827E0" w:rsidRPr="00C3645A">
        <w:rPr>
          <w:color w:val="auto"/>
        </w:rPr>
        <w:t>Foley et al., 2011)</w:t>
      </w:r>
      <w:r w:rsidR="00F423B6" w:rsidRPr="00C3645A">
        <w:rPr>
          <w:color w:val="auto"/>
        </w:rPr>
        <w:t xml:space="preserve">. </w:t>
      </w:r>
      <w:r w:rsidR="008959BB" w:rsidRPr="00C3645A">
        <w:rPr>
          <w:color w:val="auto"/>
        </w:rPr>
        <w:t xml:space="preserve">Moreover, the growth in production facilitated by this approach relied, among other factors, on </w:t>
      </w:r>
      <w:r w:rsidR="40CC15B4" w:rsidRPr="00C3645A">
        <w:rPr>
          <w:color w:val="auto"/>
        </w:rPr>
        <w:t>high levels of fossil fuels</w:t>
      </w:r>
      <w:r w:rsidR="00043DE0" w:rsidRPr="00C3645A">
        <w:rPr>
          <w:color w:val="auto"/>
        </w:rPr>
        <w:t xml:space="preserve"> use</w:t>
      </w:r>
      <w:r w:rsidR="008959BB" w:rsidRPr="00C3645A">
        <w:rPr>
          <w:color w:val="auto"/>
        </w:rPr>
        <w:t>, such as those associated with nitrogen fertilizer production, food and feed transportation and mechanization (Liu et al., 2010; Garrett et al., 2020). However, these expenses exhibit considerable volatility, as they are contingent on non-renewable resources and susceptible to energy market dynamics (</w:t>
      </w:r>
      <w:proofErr w:type="spellStart"/>
      <w:r w:rsidR="008959BB" w:rsidRPr="00C3645A">
        <w:rPr>
          <w:color w:val="auto"/>
        </w:rPr>
        <w:t>Mazoyer</w:t>
      </w:r>
      <w:proofErr w:type="spellEnd"/>
      <w:r w:rsidR="008959BB" w:rsidRPr="00C3645A">
        <w:rPr>
          <w:color w:val="auto"/>
        </w:rPr>
        <w:t xml:space="preserve"> and </w:t>
      </w:r>
      <w:proofErr w:type="spellStart"/>
      <w:r w:rsidR="008959BB" w:rsidRPr="00C3645A">
        <w:rPr>
          <w:color w:val="auto"/>
        </w:rPr>
        <w:t>Roudart</w:t>
      </w:r>
      <w:proofErr w:type="spellEnd"/>
      <w:r w:rsidR="008959BB" w:rsidRPr="00C3645A">
        <w:rPr>
          <w:color w:val="auto"/>
        </w:rPr>
        <w:t xml:space="preserve">, 2002). Additionally, these costs tend to escalate during occurrences of extreme events, such as </w:t>
      </w:r>
      <w:r w:rsidR="00EC4592" w:rsidRPr="00C3645A">
        <w:rPr>
          <w:color w:val="auto"/>
        </w:rPr>
        <w:t>epidemics,</w:t>
      </w:r>
      <w:r w:rsidR="008959BB" w:rsidRPr="00C3645A">
        <w:rPr>
          <w:color w:val="auto"/>
        </w:rPr>
        <w:t xml:space="preserve"> droughts, floods, and wildfires (Wen et al., 2021), all of which being projected to </w:t>
      </w:r>
      <w:r w:rsidR="05535F28" w:rsidRPr="00C3645A">
        <w:rPr>
          <w:color w:val="auto"/>
        </w:rPr>
        <w:t>increase in</w:t>
      </w:r>
      <w:r w:rsidR="008959BB" w:rsidRPr="00C3645A">
        <w:rPr>
          <w:color w:val="auto"/>
        </w:rPr>
        <w:t xml:space="preserve"> frequency in the future with a high level of confidence (IPCC, 2022).</w:t>
      </w:r>
    </w:p>
    <w:p w14:paraId="05871361" w14:textId="77777777" w:rsidR="00D47F74" w:rsidRPr="00C3645A" w:rsidRDefault="00AD6896" w:rsidP="00D47F74">
      <w:pPr>
        <w:pStyle w:val="PubliManuscript"/>
        <w:rPr>
          <w:color w:val="auto"/>
        </w:rPr>
      </w:pPr>
      <w:r w:rsidRPr="00C3645A">
        <w:rPr>
          <w:color w:val="auto"/>
        </w:rPr>
        <w:t>To address these issues, integrated crop</w:t>
      </w:r>
      <w:r w:rsidR="65E87BAA" w:rsidRPr="00C3645A">
        <w:rPr>
          <w:color w:val="auto"/>
        </w:rPr>
        <w:t xml:space="preserve"> and </w:t>
      </w:r>
      <w:r w:rsidRPr="00C3645A">
        <w:rPr>
          <w:color w:val="auto"/>
        </w:rPr>
        <w:t xml:space="preserve">livestock systems (ICLS) are increasingly </w:t>
      </w:r>
      <w:r w:rsidR="6672BCDC" w:rsidRPr="00C3645A">
        <w:rPr>
          <w:color w:val="auto"/>
        </w:rPr>
        <w:t xml:space="preserve">proposed </w:t>
      </w:r>
      <w:r w:rsidRPr="00C3645A">
        <w:rPr>
          <w:color w:val="auto"/>
        </w:rPr>
        <w:t xml:space="preserve">as key solutions to maintain high </w:t>
      </w:r>
      <w:r w:rsidR="4E6098C0" w:rsidRPr="00C3645A">
        <w:rPr>
          <w:color w:val="auto"/>
        </w:rPr>
        <w:t xml:space="preserve">levels of </w:t>
      </w:r>
      <w:r w:rsidRPr="00C3645A">
        <w:rPr>
          <w:color w:val="auto"/>
        </w:rPr>
        <w:t xml:space="preserve">food production while minimizing </w:t>
      </w:r>
      <w:r w:rsidR="167D8A2A" w:rsidRPr="00C3645A">
        <w:rPr>
          <w:color w:val="auto"/>
        </w:rPr>
        <w:t xml:space="preserve">the </w:t>
      </w:r>
      <w:r w:rsidRPr="00C3645A">
        <w:rPr>
          <w:color w:val="auto"/>
        </w:rPr>
        <w:t>agricultural impacts on the environment</w:t>
      </w:r>
      <w:r w:rsidR="00E975B7" w:rsidRPr="00C3645A">
        <w:rPr>
          <w:color w:val="auto"/>
        </w:rPr>
        <w:t xml:space="preserve"> (</w:t>
      </w:r>
      <w:proofErr w:type="spellStart"/>
      <w:r w:rsidR="00E975B7" w:rsidRPr="00C3645A">
        <w:rPr>
          <w:color w:val="auto"/>
        </w:rPr>
        <w:t>Bonaudo</w:t>
      </w:r>
      <w:proofErr w:type="spellEnd"/>
      <w:r w:rsidR="00E975B7" w:rsidRPr="00C3645A">
        <w:rPr>
          <w:color w:val="auto"/>
        </w:rPr>
        <w:t xml:space="preserve"> et al., 2014</w:t>
      </w:r>
      <w:r w:rsidR="00EB0F60" w:rsidRPr="00C3645A">
        <w:rPr>
          <w:color w:val="auto"/>
        </w:rPr>
        <w:t>; Lemaire et al., 2016; Garrett et al., 2020</w:t>
      </w:r>
      <w:r w:rsidR="00E975B7" w:rsidRPr="00C3645A">
        <w:rPr>
          <w:color w:val="auto"/>
        </w:rPr>
        <w:t>)</w:t>
      </w:r>
      <w:r w:rsidR="00F836D4" w:rsidRPr="00C3645A">
        <w:rPr>
          <w:color w:val="auto"/>
        </w:rPr>
        <w:t xml:space="preserve">. </w:t>
      </w:r>
      <w:r w:rsidR="00D20880" w:rsidRPr="00C3645A">
        <w:rPr>
          <w:color w:val="auto"/>
        </w:rPr>
        <w:t xml:space="preserve">They rely on the natural and long-established complementarities between crops and livestock: animals eat and convert </w:t>
      </w:r>
      <w:r w:rsidR="398E0EED" w:rsidRPr="00C3645A">
        <w:rPr>
          <w:color w:val="auto"/>
        </w:rPr>
        <w:t xml:space="preserve">forage and </w:t>
      </w:r>
      <w:r w:rsidR="00D20880" w:rsidRPr="00C3645A">
        <w:rPr>
          <w:color w:val="auto"/>
        </w:rPr>
        <w:t>crop products, by-products and residues that are inedible for humans while they contribute to maintain soil fertility throughout manure production</w:t>
      </w:r>
      <w:r w:rsidR="3D0CDE51" w:rsidRPr="00C3645A">
        <w:rPr>
          <w:color w:val="auto"/>
        </w:rPr>
        <w:t xml:space="preserve"> and habitats for auxiliaries in the agroecosystem</w:t>
      </w:r>
      <w:r w:rsidR="457C0940" w:rsidRPr="00C3645A">
        <w:rPr>
          <w:color w:val="auto"/>
        </w:rPr>
        <w:t xml:space="preserve"> th</w:t>
      </w:r>
      <w:r w:rsidR="00AF0B3B" w:rsidRPr="00C3645A">
        <w:rPr>
          <w:color w:val="auto"/>
        </w:rPr>
        <w:t>r</w:t>
      </w:r>
      <w:r w:rsidR="457C0940" w:rsidRPr="00C3645A">
        <w:rPr>
          <w:color w:val="auto"/>
        </w:rPr>
        <w:t>ough grazing</w:t>
      </w:r>
      <w:r w:rsidR="007E2C39" w:rsidRPr="00C3645A">
        <w:rPr>
          <w:color w:val="auto"/>
        </w:rPr>
        <w:t xml:space="preserve"> </w:t>
      </w:r>
      <w:r w:rsidR="457C0940" w:rsidRPr="00C3645A">
        <w:rPr>
          <w:color w:val="auto"/>
        </w:rPr>
        <w:t>lands</w:t>
      </w:r>
      <w:r w:rsidR="00D20880" w:rsidRPr="00C3645A">
        <w:rPr>
          <w:color w:val="auto"/>
        </w:rPr>
        <w:t>.</w:t>
      </w:r>
      <w:r w:rsidR="00A330F5" w:rsidRPr="00C3645A">
        <w:rPr>
          <w:color w:val="auto"/>
        </w:rPr>
        <w:t xml:space="preserve"> </w:t>
      </w:r>
      <w:r w:rsidR="00037A00" w:rsidRPr="00C3645A">
        <w:rPr>
          <w:color w:val="auto"/>
        </w:rPr>
        <w:t>These complementarities might be harnessed across different spatiotemporal scales</w:t>
      </w:r>
      <w:r w:rsidR="00BF3390" w:rsidRPr="00C3645A">
        <w:rPr>
          <w:color w:val="auto"/>
        </w:rPr>
        <w:t xml:space="preserve"> under various forms,</w:t>
      </w:r>
      <w:r w:rsidR="00F3707F" w:rsidRPr="00C3645A">
        <w:rPr>
          <w:color w:val="auto"/>
        </w:rPr>
        <w:t xml:space="preserve"> </w:t>
      </w:r>
      <w:r w:rsidR="000023DF" w:rsidRPr="00C3645A">
        <w:rPr>
          <w:color w:val="auto"/>
        </w:rPr>
        <w:t>each adapted to specific social and pedoclimatic context</w:t>
      </w:r>
      <w:r w:rsidR="004D3B6C" w:rsidRPr="00C3645A">
        <w:rPr>
          <w:color w:val="auto"/>
        </w:rPr>
        <w:t>s</w:t>
      </w:r>
      <w:r w:rsidR="00BF3390" w:rsidRPr="00C3645A">
        <w:rPr>
          <w:color w:val="auto"/>
        </w:rPr>
        <w:t xml:space="preserve"> (</w:t>
      </w:r>
      <w:r w:rsidR="002474A0" w:rsidRPr="00C3645A">
        <w:rPr>
          <w:color w:val="auto"/>
        </w:rPr>
        <w:t xml:space="preserve">Russelle et al., 2007; </w:t>
      </w:r>
      <w:r w:rsidR="00244026" w:rsidRPr="00C3645A">
        <w:rPr>
          <w:color w:val="auto"/>
        </w:rPr>
        <w:t>Herrero et al., 2010</w:t>
      </w:r>
      <w:r w:rsidR="00086655" w:rsidRPr="00C3645A">
        <w:rPr>
          <w:color w:val="auto"/>
        </w:rPr>
        <w:t xml:space="preserve">; </w:t>
      </w:r>
      <w:r w:rsidR="001B12AF" w:rsidRPr="00C3645A">
        <w:rPr>
          <w:color w:val="auto"/>
        </w:rPr>
        <w:t xml:space="preserve">Bell and Moore, 2012; </w:t>
      </w:r>
      <w:r w:rsidR="00770E81" w:rsidRPr="00C3645A">
        <w:rPr>
          <w:color w:val="auto"/>
        </w:rPr>
        <w:t xml:space="preserve">de </w:t>
      </w:r>
      <w:r w:rsidR="00086655" w:rsidRPr="00C3645A">
        <w:rPr>
          <w:color w:val="auto"/>
        </w:rPr>
        <w:t>Moraes et al., 2014</w:t>
      </w:r>
      <w:r w:rsidR="00244026" w:rsidRPr="00C3645A">
        <w:rPr>
          <w:color w:val="auto"/>
        </w:rPr>
        <w:t>)</w:t>
      </w:r>
      <w:r w:rsidR="000023DF" w:rsidRPr="00C3645A">
        <w:rPr>
          <w:color w:val="auto"/>
        </w:rPr>
        <w:t xml:space="preserve">. ICLS </w:t>
      </w:r>
      <w:r w:rsidR="24CE7BD9" w:rsidRPr="00C3645A">
        <w:rPr>
          <w:color w:val="auto"/>
        </w:rPr>
        <w:t>can be organized at various scales</w:t>
      </w:r>
      <w:r w:rsidR="42403403" w:rsidRPr="00C3645A">
        <w:rPr>
          <w:color w:val="auto"/>
        </w:rPr>
        <w:t>, ranging</w:t>
      </w:r>
      <w:r w:rsidR="000023DF" w:rsidRPr="00C3645A">
        <w:rPr>
          <w:color w:val="auto"/>
        </w:rPr>
        <w:t xml:space="preserve"> from </w:t>
      </w:r>
      <w:r w:rsidR="00037A00" w:rsidRPr="00C3645A">
        <w:rPr>
          <w:color w:val="auto"/>
        </w:rPr>
        <w:t xml:space="preserve">within </w:t>
      </w:r>
      <w:r w:rsidR="000023DF" w:rsidRPr="00C3645A">
        <w:rPr>
          <w:color w:val="auto"/>
        </w:rPr>
        <w:t>the farm,</w:t>
      </w:r>
      <w:r w:rsidR="00037A00" w:rsidRPr="00C3645A">
        <w:rPr>
          <w:color w:val="auto"/>
        </w:rPr>
        <w:t xml:space="preserve"> with pastures or cover crops grazing</w:t>
      </w:r>
      <w:r w:rsidR="00F4520B" w:rsidRPr="00C3645A">
        <w:rPr>
          <w:color w:val="auto"/>
        </w:rPr>
        <w:t>, to</w:t>
      </w:r>
      <w:r w:rsidR="0022058E" w:rsidRPr="00C3645A">
        <w:rPr>
          <w:color w:val="auto"/>
        </w:rPr>
        <w:t xml:space="preserve"> beyond the farm level with exchanges such as manure, grain and straw within local groups of farmers </w:t>
      </w:r>
      <w:r w:rsidR="0022058E" w:rsidRPr="00C3645A">
        <w:rPr>
          <w:color w:val="auto"/>
        </w:rPr>
        <w:lastRenderedPageBreak/>
        <w:t>(Martin et al., 2016).</w:t>
      </w:r>
      <w:r w:rsidR="00037A00" w:rsidRPr="00C3645A">
        <w:rPr>
          <w:color w:val="auto"/>
        </w:rPr>
        <w:t xml:space="preserve"> </w:t>
      </w:r>
      <w:r w:rsidR="00AB6DDD" w:rsidRPr="00C3645A">
        <w:rPr>
          <w:color w:val="auto"/>
        </w:rPr>
        <w:t>Including the animals into cropping systems allows to enhance nutrient cycling and functional diversity, helping e.g. for weed, pests and diseases control (</w:t>
      </w:r>
      <w:r w:rsidR="00324D08" w:rsidRPr="00C3645A">
        <w:rPr>
          <w:color w:val="auto"/>
        </w:rPr>
        <w:t xml:space="preserve">Lemaire et al., 2016; </w:t>
      </w:r>
      <w:proofErr w:type="spellStart"/>
      <w:r w:rsidR="001441DC" w:rsidRPr="00C3645A">
        <w:rPr>
          <w:color w:val="auto"/>
        </w:rPr>
        <w:t>Bonaudo</w:t>
      </w:r>
      <w:proofErr w:type="spellEnd"/>
      <w:r w:rsidR="001441DC" w:rsidRPr="00C3645A">
        <w:rPr>
          <w:color w:val="auto"/>
        </w:rPr>
        <w:t xml:space="preserve"> et al., 2014)</w:t>
      </w:r>
      <w:r w:rsidR="00AB6DDD" w:rsidRPr="00C3645A">
        <w:rPr>
          <w:color w:val="auto"/>
        </w:rPr>
        <w:t xml:space="preserve">. </w:t>
      </w:r>
      <w:r w:rsidR="00D47F74" w:rsidRPr="00C3645A">
        <w:rPr>
          <w:color w:val="auto"/>
        </w:rPr>
        <w:t xml:space="preserve">Among the associated socio-economic benefits, we find better farm productivity, income diversification, resilience to prices volatility and decreasing dependence on external inputs (de Albuquerque et al., 2021; </w:t>
      </w:r>
      <w:proofErr w:type="spellStart"/>
      <w:r w:rsidR="00D47F74" w:rsidRPr="00C3645A">
        <w:rPr>
          <w:color w:val="auto"/>
        </w:rPr>
        <w:t>Bonaudo</w:t>
      </w:r>
      <w:proofErr w:type="spellEnd"/>
      <w:r w:rsidR="00D47F74" w:rsidRPr="00C3645A">
        <w:rPr>
          <w:color w:val="auto"/>
        </w:rPr>
        <w:t xml:space="preserve"> et al., 2014; Bell et al., 2014).</w:t>
      </w:r>
    </w:p>
    <w:p w14:paraId="37DC2BE2" w14:textId="2955B7DF" w:rsidR="00B15405" w:rsidRPr="00C3645A" w:rsidRDefault="00AD6896" w:rsidP="00B15405">
      <w:pPr>
        <w:pStyle w:val="PubliManuscript"/>
        <w:rPr>
          <w:color w:val="auto"/>
        </w:rPr>
      </w:pPr>
      <w:r w:rsidRPr="00C3645A">
        <w:rPr>
          <w:color w:val="auto"/>
        </w:rPr>
        <w:t xml:space="preserve">Climate change poses additional </w:t>
      </w:r>
      <w:r w:rsidR="00D47F74" w:rsidRPr="00C3645A">
        <w:rPr>
          <w:color w:val="auto"/>
        </w:rPr>
        <w:t xml:space="preserve">threats </w:t>
      </w:r>
      <w:r w:rsidRPr="00C3645A">
        <w:rPr>
          <w:color w:val="auto"/>
        </w:rPr>
        <w:t xml:space="preserve">on agricultural systems, notably due to the increasing frequency, intensity and duration of heatwaves, droughts and rainfall events (IPCC, 2019). There is strong evidence that </w:t>
      </w:r>
      <w:r w:rsidR="00B53826" w:rsidRPr="00C3645A">
        <w:rPr>
          <w:color w:val="auto"/>
        </w:rPr>
        <w:t xml:space="preserve">higher ecosystem biodiversity </w:t>
      </w:r>
      <w:r w:rsidRPr="00C3645A">
        <w:rPr>
          <w:color w:val="auto"/>
        </w:rPr>
        <w:t>increases the</w:t>
      </w:r>
      <w:r w:rsidR="0D3A3615" w:rsidRPr="00C3645A">
        <w:rPr>
          <w:color w:val="auto"/>
        </w:rPr>
        <w:t>ir</w:t>
      </w:r>
      <w:r w:rsidRPr="00C3645A">
        <w:rPr>
          <w:color w:val="auto"/>
        </w:rPr>
        <w:t xml:space="preserve"> resistance and resilience to climate extremes </w:t>
      </w:r>
      <w:r w:rsidR="3C69F1FB" w:rsidRPr="00C3645A">
        <w:rPr>
          <w:color w:val="auto"/>
        </w:rPr>
        <w:t xml:space="preserve">thanks to the complementarities of the different trophic levels </w:t>
      </w:r>
      <w:r w:rsidRPr="00C3645A">
        <w:rPr>
          <w:color w:val="auto"/>
        </w:rPr>
        <w:t xml:space="preserve">(Isbell et al., 2015; Di Falco and Chavas, 2008; Lin et al., 2011; </w:t>
      </w:r>
      <w:r w:rsidR="008F5659" w:rsidRPr="00C3645A">
        <w:rPr>
          <w:color w:val="auto"/>
        </w:rPr>
        <w:t>Gaudin et al., 2015</w:t>
      </w:r>
      <w:r w:rsidRPr="00C3645A">
        <w:rPr>
          <w:color w:val="auto"/>
        </w:rPr>
        <w:t>). However, there is still little knowledge on the impact of adding a trophic level (i.e. herbivore animals) in cropping systems on their stability and resistance.</w:t>
      </w:r>
      <w:r w:rsidR="00284C07" w:rsidRPr="00C3645A">
        <w:rPr>
          <w:color w:val="auto"/>
        </w:rPr>
        <w:t xml:space="preserve"> </w:t>
      </w:r>
      <w:r w:rsidR="000C5F5D" w:rsidRPr="00C3645A">
        <w:rPr>
          <w:color w:val="auto"/>
        </w:rPr>
        <w:t xml:space="preserve">Domestic herbivores play a critical role in </w:t>
      </w:r>
      <w:r w:rsidR="002B1F44" w:rsidRPr="00C3645A">
        <w:rPr>
          <w:color w:val="auto"/>
        </w:rPr>
        <w:t xml:space="preserve">the </w:t>
      </w:r>
      <w:r w:rsidR="000C5F5D" w:rsidRPr="00C3645A">
        <w:rPr>
          <w:color w:val="auto"/>
        </w:rPr>
        <w:t>carbon cycle (</w:t>
      </w:r>
      <w:proofErr w:type="spellStart"/>
      <w:r w:rsidR="000C5F5D" w:rsidRPr="00C3645A">
        <w:rPr>
          <w:color w:val="auto"/>
        </w:rPr>
        <w:t>Soussana</w:t>
      </w:r>
      <w:proofErr w:type="spellEnd"/>
      <w:r w:rsidR="000C5F5D" w:rsidRPr="00C3645A">
        <w:rPr>
          <w:color w:val="auto"/>
        </w:rPr>
        <w:t xml:space="preserve"> and Lemaire, 2014), and it was shown that the accumulation of soil organic matter can enhance the capacity of an ecosystem to recover from various disturbances such as droughts, floods or fires (</w:t>
      </w:r>
      <w:proofErr w:type="spellStart"/>
      <w:r w:rsidR="000C5F5D" w:rsidRPr="00C3645A">
        <w:rPr>
          <w:color w:val="auto"/>
        </w:rPr>
        <w:t>Franzluebbers</w:t>
      </w:r>
      <w:proofErr w:type="spellEnd"/>
      <w:r w:rsidR="000C5F5D" w:rsidRPr="00C3645A">
        <w:rPr>
          <w:color w:val="auto"/>
        </w:rPr>
        <w:t xml:space="preserve">, 2010). </w:t>
      </w:r>
      <w:r w:rsidR="00EE7E70" w:rsidRPr="00C3645A">
        <w:rPr>
          <w:color w:val="auto"/>
        </w:rPr>
        <w:t>It is</w:t>
      </w:r>
      <w:r w:rsidR="00284C07" w:rsidRPr="00C3645A">
        <w:rPr>
          <w:color w:val="auto"/>
        </w:rPr>
        <w:t xml:space="preserve"> suggest</w:t>
      </w:r>
      <w:r w:rsidR="00EE7E70" w:rsidRPr="00C3645A">
        <w:rPr>
          <w:color w:val="auto"/>
        </w:rPr>
        <w:t>ed</w:t>
      </w:r>
      <w:r w:rsidR="00284C07" w:rsidRPr="00C3645A">
        <w:rPr>
          <w:color w:val="auto"/>
        </w:rPr>
        <w:t xml:space="preserve"> that ICLS encourage farm resilience to climate change through larger farm productivity</w:t>
      </w:r>
      <w:r w:rsidR="00287779" w:rsidRPr="00C3645A">
        <w:rPr>
          <w:color w:val="auto"/>
        </w:rPr>
        <w:t>, income</w:t>
      </w:r>
      <w:r w:rsidR="00284C07" w:rsidRPr="00C3645A">
        <w:rPr>
          <w:color w:val="auto"/>
        </w:rPr>
        <w:t xml:space="preserve"> diversification, nutrient cycling and economic risk mitigation</w:t>
      </w:r>
      <w:r w:rsidR="00B8076A" w:rsidRPr="00C3645A">
        <w:rPr>
          <w:color w:val="auto"/>
        </w:rPr>
        <w:t xml:space="preserve"> (Thornton and Herrero, 2015; Sekaran et al., 2021)</w:t>
      </w:r>
      <w:r w:rsidR="00284C07" w:rsidRPr="00C3645A">
        <w:rPr>
          <w:color w:val="auto"/>
        </w:rPr>
        <w:t>.</w:t>
      </w:r>
      <w:r w:rsidR="0018607B" w:rsidRPr="00C3645A">
        <w:rPr>
          <w:color w:val="auto"/>
        </w:rPr>
        <w:t xml:space="preserve"> </w:t>
      </w:r>
      <w:r w:rsidR="003449EB" w:rsidRPr="00C3645A">
        <w:rPr>
          <w:color w:val="auto"/>
        </w:rPr>
        <w:t xml:space="preserve">But the agronomic and environmental responses </w:t>
      </w:r>
      <w:r w:rsidR="0006503A" w:rsidRPr="00C3645A">
        <w:rPr>
          <w:color w:val="auto"/>
        </w:rPr>
        <w:t>of</w:t>
      </w:r>
      <w:r w:rsidR="003449EB" w:rsidRPr="00C3645A">
        <w:rPr>
          <w:color w:val="auto"/>
        </w:rPr>
        <w:t xml:space="preserve"> such systems to changing climatic conditions have not been evaluated yet. </w:t>
      </w:r>
      <w:r w:rsidRPr="00C3645A">
        <w:rPr>
          <w:color w:val="auto"/>
        </w:rPr>
        <w:t xml:space="preserve">De Albuquerque et al. (2021) and Peterson et al. (2020), respectively based on a long-term field experiment and on its </w:t>
      </w:r>
      <w:r w:rsidR="00D358A7" w:rsidRPr="00C3645A">
        <w:rPr>
          <w:color w:val="auto"/>
        </w:rPr>
        <w:t xml:space="preserve">mechanistic </w:t>
      </w:r>
      <w:r w:rsidRPr="00C3645A">
        <w:rPr>
          <w:color w:val="auto"/>
        </w:rPr>
        <w:t xml:space="preserve">simulation, </w:t>
      </w:r>
      <w:r w:rsidR="007F1513" w:rsidRPr="00C3645A">
        <w:rPr>
          <w:color w:val="auto"/>
        </w:rPr>
        <w:t>indicated</w:t>
      </w:r>
      <w:r w:rsidRPr="00C3645A">
        <w:rPr>
          <w:color w:val="auto"/>
        </w:rPr>
        <w:t xml:space="preserve"> that integrating livestock into soybean systems improves their long-term yields stability and resilience, providing a buffer against climate stress. </w:t>
      </w:r>
      <w:r w:rsidR="001D44E5" w:rsidRPr="00C3645A">
        <w:rPr>
          <w:color w:val="auto"/>
        </w:rPr>
        <w:t>Yet</w:t>
      </w:r>
      <w:r w:rsidRPr="00C3645A">
        <w:rPr>
          <w:color w:val="auto"/>
        </w:rPr>
        <w:t xml:space="preserve"> questions remain regarding the soil-crop-animal interactions that are driving these results</w:t>
      </w:r>
      <w:r w:rsidR="0093318F" w:rsidRPr="00C3645A">
        <w:rPr>
          <w:color w:val="auto"/>
        </w:rPr>
        <w:t>, and</w:t>
      </w:r>
      <w:r w:rsidRPr="00C3645A">
        <w:rPr>
          <w:color w:val="auto"/>
        </w:rPr>
        <w:t xml:space="preserve"> </w:t>
      </w:r>
      <w:r w:rsidR="0093318F" w:rsidRPr="00C3645A">
        <w:rPr>
          <w:color w:val="auto"/>
        </w:rPr>
        <w:t xml:space="preserve">in </w:t>
      </w:r>
      <w:r w:rsidR="089DB4C9" w:rsidRPr="00C3645A">
        <w:rPr>
          <w:color w:val="auto"/>
        </w:rPr>
        <w:t xml:space="preserve">which </w:t>
      </w:r>
      <w:r w:rsidR="0093318F" w:rsidRPr="00C3645A">
        <w:rPr>
          <w:color w:val="auto"/>
        </w:rPr>
        <w:t xml:space="preserve">conditions and under which management these interactions are </w:t>
      </w:r>
      <w:r w:rsidR="007F4CC8" w:rsidRPr="00C3645A">
        <w:rPr>
          <w:color w:val="auto"/>
        </w:rPr>
        <w:t>favored</w:t>
      </w:r>
      <w:r w:rsidR="00B15405" w:rsidRPr="00C3645A">
        <w:rPr>
          <w:color w:val="auto"/>
        </w:rPr>
        <w:t>. In that perspective, crop modelling appears as a relevant tool to investigate the performance and impacts of contrasted ICLS, differing by the crops in the rotation and the level of livestock integration under diversified pedo-climatic conditions</w:t>
      </w:r>
      <w:r w:rsidR="00301980" w:rsidRPr="00C3645A">
        <w:rPr>
          <w:color w:val="auto"/>
        </w:rPr>
        <w:t xml:space="preserve"> (Rai et al., 2022)</w:t>
      </w:r>
      <w:r w:rsidR="00B15405" w:rsidRPr="00C3645A">
        <w:rPr>
          <w:color w:val="auto"/>
        </w:rPr>
        <w:t>. Process-based models support multi-criteria analyses and allow a granular analysis of the different mechanisms that drive productivity and environmental indicators</w:t>
      </w:r>
      <w:r w:rsidR="0086129E" w:rsidRPr="00C3645A">
        <w:rPr>
          <w:color w:val="auto"/>
        </w:rPr>
        <w:t xml:space="preserve"> (</w:t>
      </w:r>
      <w:proofErr w:type="spellStart"/>
      <w:r w:rsidR="0086129E" w:rsidRPr="00C3645A">
        <w:rPr>
          <w:color w:val="auto"/>
        </w:rPr>
        <w:t>Bassu</w:t>
      </w:r>
      <w:proofErr w:type="spellEnd"/>
      <w:r w:rsidR="0086129E" w:rsidRPr="00C3645A">
        <w:rPr>
          <w:color w:val="auto"/>
        </w:rPr>
        <w:t xml:space="preserve"> et al., 2014; </w:t>
      </w:r>
      <w:proofErr w:type="spellStart"/>
      <w:r w:rsidR="00131B12" w:rsidRPr="00C3645A">
        <w:rPr>
          <w:color w:val="auto"/>
        </w:rPr>
        <w:t>Asseng</w:t>
      </w:r>
      <w:proofErr w:type="spellEnd"/>
      <w:r w:rsidR="00131B12" w:rsidRPr="00C3645A">
        <w:rPr>
          <w:color w:val="auto"/>
        </w:rPr>
        <w:t xml:space="preserve"> </w:t>
      </w:r>
      <w:r w:rsidR="00131B12" w:rsidRPr="00C3645A">
        <w:rPr>
          <w:color w:val="auto"/>
        </w:rPr>
        <w:lastRenderedPageBreak/>
        <w:t>et al., 2019</w:t>
      </w:r>
      <w:r w:rsidR="00674A1C" w:rsidRPr="00C3645A">
        <w:rPr>
          <w:color w:val="auto"/>
        </w:rPr>
        <w:t>; Leng et al., 2019</w:t>
      </w:r>
      <w:r w:rsidR="001F0B1C" w:rsidRPr="00C3645A">
        <w:rPr>
          <w:color w:val="auto"/>
        </w:rPr>
        <w:t>; Smith et al., 2020</w:t>
      </w:r>
      <w:r w:rsidR="00131B12" w:rsidRPr="00C3645A">
        <w:rPr>
          <w:color w:val="auto"/>
        </w:rPr>
        <w:t>)</w:t>
      </w:r>
      <w:r w:rsidR="00B15405" w:rsidRPr="00C3645A">
        <w:rPr>
          <w:color w:val="auto"/>
        </w:rPr>
        <w:t>.</w:t>
      </w:r>
    </w:p>
    <w:p w14:paraId="4638EDA2" w14:textId="2BCE9995" w:rsidR="00AD6896" w:rsidRPr="00C3645A" w:rsidRDefault="00AD6896" w:rsidP="00AD6896">
      <w:pPr>
        <w:pStyle w:val="PubliManuscript"/>
        <w:rPr>
          <w:color w:val="auto"/>
        </w:rPr>
      </w:pPr>
      <w:r w:rsidRPr="00C3645A">
        <w:rPr>
          <w:color w:val="auto"/>
        </w:rPr>
        <w:t xml:space="preserve"> In this paper, we </w:t>
      </w:r>
      <w:r w:rsidR="00EF2B25" w:rsidRPr="00C3645A">
        <w:rPr>
          <w:color w:val="auto"/>
        </w:rPr>
        <w:t>simulate and compare various ICLS under historical and future climatic conditions</w:t>
      </w:r>
      <w:r w:rsidRPr="00C3645A">
        <w:rPr>
          <w:color w:val="auto"/>
        </w:rPr>
        <w:t xml:space="preserve">. An 18-year </w:t>
      </w:r>
      <w:r w:rsidR="00EF2B25" w:rsidRPr="00C3645A">
        <w:rPr>
          <w:color w:val="auto"/>
        </w:rPr>
        <w:t>ICLS</w:t>
      </w:r>
      <w:r w:rsidRPr="00C3645A">
        <w:rPr>
          <w:color w:val="auto"/>
        </w:rPr>
        <w:t xml:space="preserve"> field experiment consisting in soybean-pastures grazed by cattle beef, with contrasting grazing intensities, was used to validate </w:t>
      </w:r>
      <w:r w:rsidR="00110514" w:rsidRPr="00C3645A">
        <w:rPr>
          <w:color w:val="auto"/>
        </w:rPr>
        <w:t xml:space="preserve">our </w:t>
      </w:r>
      <w:r w:rsidR="00663050" w:rsidRPr="00C3645A">
        <w:rPr>
          <w:color w:val="auto"/>
        </w:rPr>
        <w:t>simulati</w:t>
      </w:r>
      <w:r w:rsidR="0DCC0F9D" w:rsidRPr="00C3645A">
        <w:rPr>
          <w:color w:val="auto"/>
        </w:rPr>
        <w:t>on</w:t>
      </w:r>
      <w:r w:rsidR="00663050" w:rsidRPr="00C3645A">
        <w:rPr>
          <w:color w:val="auto"/>
        </w:rPr>
        <w:t xml:space="preserve"> </w:t>
      </w:r>
      <w:r w:rsidR="00110514" w:rsidRPr="00C3645A">
        <w:rPr>
          <w:color w:val="auto"/>
        </w:rPr>
        <w:t>methodolog</w:t>
      </w:r>
      <w:r w:rsidR="00663050" w:rsidRPr="00C3645A">
        <w:rPr>
          <w:color w:val="auto"/>
        </w:rPr>
        <w:t>y</w:t>
      </w:r>
      <w:r w:rsidRPr="00C3645A">
        <w:rPr>
          <w:color w:val="auto"/>
        </w:rPr>
        <w:t>. The objectives of this study are (</w:t>
      </w:r>
      <w:proofErr w:type="spellStart"/>
      <w:r w:rsidRPr="00C3645A">
        <w:rPr>
          <w:i/>
          <w:iCs/>
          <w:color w:val="auto"/>
        </w:rPr>
        <w:t>i</w:t>
      </w:r>
      <w:proofErr w:type="spellEnd"/>
      <w:r w:rsidRPr="00C3645A">
        <w:rPr>
          <w:color w:val="auto"/>
        </w:rPr>
        <w:t xml:space="preserve">) to establish the methodology to </w:t>
      </w:r>
      <w:r w:rsidR="00415BA1" w:rsidRPr="00C3645A">
        <w:rPr>
          <w:color w:val="auto"/>
        </w:rPr>
        <w:t>model</w:t>
      </w:r>
      <w:r w:rsidRPr="00C3645A">
        <w:rPr>
          <w:color w:val="auto"/>
        </w:rPr>
        <w:t xml:space="preserve"> the grazing process</w:t>
      </w:r>
      <w:r w:rsidR="3BEDD12F" w:rsidRPr="00C3645A">
        <w:rPr>
          <w:color w:val="auto"/>
        </w:rPr>
        <w:t xml:space="preserve"> with STICS</w:t>
      </w:r>
      <w:r w:rsidR="005B164D" w:rsidRPr="00C3645A">
        <w:rPr>
          <w:color w:val="auto"/>
        </w:rPr>
        <w:t xml:space="preserve">, </w:t>
      </w:r>
      <w:r w:rsidR="00174A7A" w:rsidRPr="00C3645A">
        <w:rPr>
          <w:color w:val="auto"/>
        </w:rPr>
        <w:t xml:space="preserve">simulated by sward cuts on one side and dung and urine depositions on the other, </w:t>
      </w:r>
      <w:r w:rsidRPr="00C3645A">
        <w:rPr>
          <w:color w:val="auto"/>
        </w:rPr>
        <w:t xml:space="preserve">and </w:t>
      </w:r>
      <w:r w:rsidR="00627E4D" w:rsidRPr="00C3645A">
        <w:rPr>
          <w:color w:val="auto"/>
        </w:rPr>
        <w:t xml:space="preserve">to compute </w:t>
      </w:r>
      <w:r w:rsidRPr="00C3645A">
        <w:rPr>
          <w:color w:val="auto"/>
        </w:rPr>
        <w:t>the associated livestock live weight gain, (</w:t>
      </w:r>
      <w:r w:rsidRPr="00C3645A">
        <w:rPr>
          <w:i/>
          <w:iCs/>
          <w:color w:val="auto"/>
        </w:rPr>
        <w:t>ii</w:t>
      </w:r>
      <w:r w:rsidRPr="00C3645A">
        <w:rPr>
          <w:color w:val="auto"/>
        </w:rPr>
        <w:t xml:space="preserve">) to compare, under historical climatic conditions, the total productivity of the system, considering soybean, herbage and </w:t>
      </w:r>
      <w:r w:rsidR="000664AC" w:rsidRPr="00C3645A">
        <w:rPr>
          <w:color w:val="auto"/>
        </w:rPr>
        <w:t>beef cattle live weight gain</w:t>
      </w:r>
      <w:r w:rsidRPr="00C3645A">
        <w:rPr>
          <w:color w:val="auto"/>
        </w:rPr>
        <w:t>, resulting from the contrasted grazing intensities and the presence or absence of animals, but also their impact</w:t>
      </w:r>
      <w:r w:rsidR="005E50C7" w:rsidRPr="00C3645A">
        <w:rPr>
          <w:color w:val="auto"/>
        </w:rPr>
        <w:t>s</w:t>
      </w:r>
      <w:r w:rsidRPr="00C3645A">
        <w:rPr>
          <w:color w:val="auto"/>
        </w:rPr>
        <w:t xml:space="preserve"> on soil organic carbon, and (</w:t>
      </w:r>
      <w:r w:rsidRPr="00C3645A">
        <w:rPr>
          <w:i/>
          <w:iCs/>
          <w:color w:val="auto"/>
        </w:rPr>
        <w:t>iii</w:t>
      </w:r>
      <w:r w:rsidRPr="00C3645A">
        <w:rPr>
          <w:color w:val="auto"/>
        </w:rPr>
        <w:t xml:space="preserve">) to investigate, under projected future climatic conditions, their capacities of adaptation to climate change </w:t>
      </w:r>
      <w:r w:rsidR="00826A68" w:rsidRPr="00C3645A">
        <w:rPr>
          <w:color w:val="auto"/>
        </w:rPr>
        <w:t>(productivity, stability an</w:t>
      </w:r>
      <w:r w:rsidR="00606960" w:rsidRPr="00C3645A">
        <w:rPr>
          <w:color w:val="auto"/>
        </w:rPr>
        <w:t>d resistance</w:t>
      </w:r>
      <w:r w:rsidR="00826A68" w:rsidRPr="00C3645A">
        <w:rPr>
          <w:color w:val="auto"/>
        </w:rPr>
        <w:t xml:space="preserve">) </w:t>
      </w:r>
      <w:r w:rsidR="00B01D86" w:rsidRPr="00C3645A">
        <w:rPr>
          <w:color w:val="auto"/>
        </w:rPr>
        <w:t>and mitigation (carbon sequestration)</w:t>
      </w:r>
      <w:r w:rsidRPr="00C3645A">
        <w:rPr>
          <w:color w:val="auto"/>
        </w:rPr>
        <w:t>.</w:t>
      </w:r>
    </w:p>
    <w:p w14:paraId="11012936" w14:textId="77777777" w:rsidR="00AD6896" w:rsidRPr="00C3645A" w:rsidRDefault="00AD6896" w:rsidP="00AD6896">
      <w:pPr>
        <w:pStyle w:val="Publi1"/>
        <w:spacing w:line="240" w:lineRule="auto"/>
      </w:pPr>
      <w:r w:rsidRPr="00C3645A">
        <w:t>Material and Methods</w:t>
      </w:r>
    </w:p>
    <w:p w14:paraId="7496A96C" w14:textId="77777777" w:rsidR="00AD6896" w:rsidRPr="00C3645A" w:rsidRDefault="00AD6896" w:rsidP="00AD6896">
      <w:pPr>
        <w:pStyle w:val="Publi2"/>
        <w:rPr>
          <w:color w:val="auto"/>
        </w:rPr>
      </w:pPr>
      <w:r w:rsidRPr="00C3645A">
        <w:rPr>
          <w:color w:val="auto"/>
        </w:rPr>
        <w:t xml:space="preserve"> Field experiment</w:t>
      </w:r>
    </w:p>
    <w:p w14:paraId="52EE85E6" w14:textId="64A4C975" w:rsidR="00AD6896" w:rsidRPr="00C3645A" w:rsidRDefault="00AD6896" w:rsidP="00AD6896">
      <w:pPr>
        <w:pStyle w:val="PubliManuscript"/>
        <w:rPr>
          <w:color w:val="auto"/>
        </w:rPr>
      </w:pPr>
      <w:r w:rsidRPr="00C3645A">
        <w:rPr>
          <w:color w:val="auto"/>
        </w:rPr>
        <w:t xml:space="preserve">The experimental site is located at </w:t>
      </w:r>
      <w:proofErr w:type="spellStart"/>
      <w:r w:rsidRPr="00C3645A">
        <w:rPr>
          <w:color w:val="auto"/>
        </w:rPr>
        <w:t>Espinilho</w:t>
      </w:r>
      <w:proofErr w:type="spellEnd"/>
      <w:r w:rsidRPr="00C3645A">
        <w:rPr>
          <w:color w:val="auto"/>
        </w:rPr>
        <w:t xml:space="preserve"> farm, in São Miguel das </w:t>
      </w:r>
      <w:proofErr w:type="spellStart"/>
      <w:r w:rsidRPr="00C3645A">
        <w:rPr>
          <w:color w:val="auto"/>
        </w:rPr>
        <w:t>Missões</w:t>
      </w:r>
      <w:proofErr w:type="spellEnd"/>
      <w:r w:rsidRPr="00C3645A">
        <w:rPr>
          <w:color w:val="auto"/>
        </w:rPr>
        <w:t xml:space="preserve"> district, Rio Grande do Sul State, Southern Brazil (28°94′19′'S latitude, 54°35′11′'W longitude, 465 m </w:t>
      </w:r>
      <w:proofErr w:type="spellStart"/>
      <w:r w:rsidRPr="00C3645A">
        <w:rPr>
          <w:color w:val="auto"/>
        </w:rPr>
        <w:t>a.s.l</w:t>
      </w:r>
      <w:proofErr w:type="spellEnd"/>
      <w:r w:rsidRPr="00C3645A">
        <w:rPr>
          <w:color w:val="auto"/>
        </w:rPr>
        <w:t xml:space="preserve">.). The region has a warm, humid subtropical climate with an average annual temperature of 19°C and precipitation of 1850 mm (Peterson et al., 2019). The soil is a clayey </w:t>
      </w:r>
      <w:proofErr w:type="spellStart"/>
      <w:r w:rsidR="007F4CC8" w:rsidRPr="00C3645A">
        <w:rPr>
          <w:color w:val="auto"/>
        </w:rPr>
        <w:t>o</w:t>
      </w:r>
      <w:r w:rsidRPr="00C3645A">
        <w:rPr>
          <w:color w:val="auto"/>
        </w:rPr>
        <w:t>xisol</w:t>
      </w:r>
      <w:proofErr w:type="spellEnd"/>
      <w:r w:rsidRPr="00C3645A">
        <w:rPr>
          <w:color w:val="auto"/>
        </w:rPr>
        <w:t xml:space="preserve"> (Rhodic Hapludox, Soil Survey Staff, 1999), deep and well-drained with clayey texture (540, 270 and 190 g kg−1 of clay, silt and sand, respectively).</w:t>
      </w:r>
    </w:p>
    <w:p w14:paraId="2E3CB54F" w14:textId="6F850849" w:rsidR="009906BA" w:rsidRPr="00C3645A" w:rsidRDefault="009906BA" w:rsidP="009906BA">
      <w:pPr>
        <w:pStyle w:val="PubliManuscript"/>
        <w:rPr>
          <w:color w:val="auto"/>
        </w:rPr>
      </w:pPr>
      <w:r w:rsidRPr="00C3645A">
        <w:rPr>
          <w:color w:val="auto"/>
        </w:rPr>
        <w:t>The area has been managed since 1993 as no-till soybean in summer and black oat non grazed cover crop in winter.</w:t>
      </w:r>
      <w:r w:rsidR="006952C8" w:rsidRPr="00C3645A">
        <w:rPr>
          <w:color w:val="auto"/>
        </w:rPr>
        <w:t xml:space="preserve"> </w:t>
      </w:r>
      <w:r w:rsidRPr="00C3645A">
        <w:rPr>
          <w:color w:val="auto"/>
        </w:rPr>
        <w:t>In 2001, an experiment conducted over 22 hectares started as an integrated soybean-beef cattle annual rotation with a mixture of black oat (</w:t>
      </w:r>
      <w:r w:rsidRPr="00C3645A">
        <w:rPr>
          <w:i/>
          <w:iCs/>
          <w:color w:val="auto"/>
        </w:rPr>
        <w:t xml:space="preserve">Avena strigose </w:t>
      </w:r>
      <w:proofErr w:type="spellStart"/>
      <w:r w:rsidRPr="00C3645A">
        <w:rPr>
          <w:color w:val="auto"/>
        </w:rPr>
        <w:t>Schreb</w:t>
      </w:r>
      <w:proofErr w:type="spellEnd"/>
      <w:r w:rsidRPr="00C3645A">
        <w:rPr>
          <w:color w:val="auto"/>
        </w:rPr>
        <w:t>.) and Italian ryegrass (</w:t>
      </w:r>
      <w:r w:rsidRPr="00C3645A">
        <w:rPr>
          <w:i/>
          <w:iCs/>
          <w:color w:val="auto"/>
        </w:rPr>
        <w:t xml:space="preserve">Lolium </w:t>
      </w:r>
      <w:proofErr w:type="spellStart"/>
      <w:r w:rsidRPr="00C3645A">
        <w:rPr>
          <w:i/>
          <w:iCs/>
          <w:color w:val="auto"/>
        </w:rPr>
        <w:t>multiflorum</w:t>
      </w:r>
      <w:proofErr w:type="spellEnd"/>
      <w:r w:rsidRPr="00C3645A">
        <w:rPr>
          <w:i/>
          <w:iCs/>
          <w:color w:val="auto"/>
        </w:rPr>
        <w:t xml:space="preserve"> </w:t>
      </w:r>
      <w:r w:rsidRPr="00C3645A">
        <w:rPr>
          <w:color w:val="auto"/>
        </w:rPr>
        <w:t>Lam.) pastures during winter and soybean (</w:t>
      </w:r>
      <w:r w:rsidRPr="00C3645A">
        <w:rPr>
          <w:i/>
          <w:iCs/>
          <w:color w:val="auto"/>
        </w:rPr>
        <w:t xml:space="preserve">Glycine max. </w:t>
      </w:r>
      <w:r w:rsidRPr="00C3645A">
        <w:rPr>
          <w:color w:val="auto"/>
        </w:rPr>
        <w:t xml:space="preserve">(L.) </w:t>
      </w:r>
      <w:proofErr w:type="spellStart"/>
      <w:r w:rsidRPr="00C3645A">
        <w:rPr>
          <w:color w:val="auto"/>
        </w:rPr>
        <w:t>Merr</w:t>
      </w:r>
      <w:proofErr w:type="spellEnd"/>
      <w:r w:rsidRPr="00C3645A">
        <w:rPr>
          <w:color w:val="auto"/>
        </w:rPr>
        <w:t>.) during summer. Soybean management remain</w:t>
      </w:r>
      <w:r w:rsidR="00A864EA" w:rsidRPr="00C3645A">
        <w:rPr>
          <w:color w:val="auto"/>
        </w:rPr>
        <w:t>ed</w:t>
      </w:r>
      <w:r w:rsidRPr="00C3645A">
        <w:rPr>
          <w:color w:val="auto"/>
        </w:rPr>
        <w:t xml:space="preserve"> quite similar</w:t>
      </w:r>
      <w:r w:rsidR="007E59F9" w:rsidRPr="00C3645A">
        <w:rPr>
          <w:color w:val="auto"/>
        </w:rPr>
        <w:t xml:space="preserve"> between treatments</w:t>
      </w:r>
      <w:r w:rsidRPr="00C3645A">
        <w:rPr>
          <w:color w:val="auto"/>
        </w:rPr>
        <w:t>.</w:t>
      </w:r>
      <w:r w:rsidR="00A52015" w:rsidRPr="00C3645A">
        <w:rPr>
          <w:color w:val="auto"/>
        </w:rPr>
        <w:t xml:space="preserve"> In Rio Grande do Sul, soybean is usually sown in November and harvested in April, with flowering occurring in December-January (Zanon et al., 2016).</w:t>
      </w:r>
    </w:p>
    <w:p w14:paraId="74F469E4" w14:textId="4F74F82A" w:rsidR="00AD6896" w:rsidRPr="00C3645A" w:rsidRDefault="00AD6896" w:rsidP="00AD6896">
      <w:pPr>
        <w:pStyle w:val="PubliManuscript"/>
        <w:rPr>
          <w:color w:val="auto"/>
        </w:rPr>
      </w:pPr>
      <w:r w:rsidRPr="00C3645A">
        <w:rPr>
          <w:color w:val="auto"/>
        </w:rPr>
        <w:lastRenderedPageBreak/>
        <w:t>Treatments consisted of four different grazing intensities defined by contrasting sward heights under continuous stocking (</w:t>
      </w:r>
      <w:r w:rsidR="00AC3553" w:rsidRPr="00C3645A">
        <w:rPr>
          <w:color w:val="auto"/>
        </w:rPr>
        <w:t xml:space="preserve">respectively </w:t>
      </w:r>
      <w:r w:rsidRPr="00C3645A">
        <w:rPr>
          <w:color w:val="auto"/>
        </w:rPr>
        <w:t xml:space="preserve">10, 20, 30 and 40 cm, </w:t>
      </w:r>
      <w:r w:rsidR="00AC3553" w:rsidRPr="00C3645A">
        <w:rPr>
          <w:color w:val="auto"/>
        </w:rPr>
        <w:t>denoted G10, G20, G30 and G40</w:t>
      </w:r>
      <w:r w:rsidRPr="00C3645A">
        <w:rPr>
          <w:color w:val="auto"/>
        </w:rPr>
        <w:t>) and an ungrazed control treatment</w:t>
      </w:r>
      <w:r w:rsidR="001B6EF3" w:rsidRPr="00C3645A">
        <w:rPr>
          <w:color w:val="auto"/>
        </w:rPr>
        <w:t>, denoted UG</w:t>
      </w:r>
      <w:r w:rsidRPr="00C3645A">
        <w:rPr>
          <w:color w:val="auto"/>
        </w:rPr>
        <w:t xml:space="preserve"> (de Albuquerque et al., 2021). The 12 experimental paddocks (three replicates for each treatment) ranged from 0.8 to 3.6 ha. To ensure that sward height remain</w:t>
      </w:r>
      <w:r w:rsidR="24587BFE" w:rsidRPr="00C3645A">
        <w:rPr>
          <w:color w:val="auto"/>
        </w:rPr>
        <w:t>ed</w:t>
      </w:r>
      <w:r w:rsidRPr="00C3645A">
        <w:rPr>
          <w:color w:val="auto"/>
        </w:rPr>
        <w:t xml:space="preserve"> close to</w:t>
      </w:r>
      <w:r w:rsidR="16EF4AF0" w:rsidRPr="00C3645A">
        <w:rPr>
          <w:color w:val="auto"/>
        </w:rPr>
        <w:t xml:space="preserve"> the </w:t>
      </w:r>
      <w:r w:rsidRPr="00C3645A">
        <w:rPr>
          <w:color w:val="auto"/>
        </w:rPr>
        <w:t>target, grazing management consisted in maintaining three tester animals per paddock continuously during the stocking period, plus a variable number of put-and-take animals</w:t>
      </w:r>
      <w:r w:rsidR="034AF04F" w:rsidRPr="00C3645A">
        <w:rPr>
          <w:color w:val="auto"/>
        </w:rPr>
        <w:t xml:space="preserve"> adjusted on a</w:t>
      </w:r>
      <w:r w:rsidRPr="00C3645A">
        <w:rPr>
          <w:color w:val="auto"/>
        </w:rPr>
        <w:t xml:space="preserve"> </w:t>
      </w:r>
      <w:r w:rsidR="16451629" w:rsidRPr="00C3645A">
        <w:rPr>
          <w:color w:val="auto"/>
        </w:rPr>
        <w:t xml:space="preserve">monthly basis </w:t>
      </w:r>
      <w:r w:rsidRPr="00C3645A">
        <w:rPr>
          <w:color w:val="auto"/>
        </w:rPr>
        <w:t>(</w:t>
      </w:r>
      <w:proofErr w:type="spellStart"/>
      <w:r w:rsidRPr="00C3645A">
        <w:rPr>
          <w:color w:val="auto"/>
        </w:rPr>
        <w:t>Kunrath</w:t>
      </w:r>
      <w:proofErr w:type="spellEnd"/>
      <w:r w:rsidRPr="00C3645A">
        <w:rPr>
          <w:color w:val="auto"/>
        </w:rPr>
        <w:t xml:space="preserve"> et al., 2020). Grazing usually started in June-July, with an initial sward height of 24 ± 4 cm, and lasted </w:t>
      </w:r>
      <w:r w:rsidR="262C65CE" w:rsidRPr="00C3645A">
        <w:rPr>
          <w:color w:val="auto"/>
        </w:rPr>
        <w:t xml:space="preserve">for </w:t>
      </w:r>
      <w:r w:rsidRPr="00C3645A">
        <w:rPr>
          <w:color w:val="auto"/>
        </w:rPr>
        <w:t>124 ± 16 days. Average stocking rates used to maintain target sward heights throughout the stocking period were 376, 651, 948 and 1331 kg of live weight ha</w:t>
      </w:r>
      <w:r w:rsidRPr="00C3645A">
        <w:rPr>
          <w:color w:val="auto"/>
          <w:vertAlign w:val="superscript"/>
        </w:rPr>
        <w:t>−1</w:t>
      </w:r>
      <w:r w:rsidRPr="00C3645A">
        <w:rPr>
          <w:color w:val="auto"/>
        </w:rPr>
        <w:t xml:space="preserve"> fr</w:t>
      </w:r>
      <w:r w:rsidR="115801B3" w:rsidRPr="00C3645A">
        <w:rPr>
          <w:color w:val="auto"/>
        </w:rPr>
        <w:t>om</w:t>
      </w:r>
      <w:r w:rsidRPr="00C3645A">
        <w:rPr>
          <w:color w:val="auto"/>
        </w:rPr>
        <w:t xml:space="preserve"> light to intense grazing</w:t>
      </w:r>
      <w:r w:rsidR="211E143F" w:rsidRPr="00C3645A">
        <w:rPr>
          <w:color w:val="auto"/>
        </w:rPr>
        <w:t>, respectively</w:t>
      </w:r>
      <w:r w:rsidRPr="00C3645A">
        <w:rPr>
          <w:color w:val="auto"/>
        </w:rPr>
        <w:t xml:space="preserve">. Experimental animals were crossbred Angus × Hereford × </w:t>
      </w:r>
      <w:proofErr w:type="spellStart"/>
      <w:r w:rsidRPr="00C3645A">
        <w:rPr>
          <w:color w:val="auto"/>
        </w:rPr>
        <w:t>Nelore</w:t>
      </w:r>
      <w:proofErr w:type="spellEnd"/>
      <w:r w:rsidRPr="00C3645A">
        <w:rPr>
          <w:color w:val="auto"/>
        </w:rPr>
        <w:t xml:space="preserve"> steers with </w:t>
      </w:r>
      <w:r w:rsidR="2098AC92" w:rsidRPr="00C3645A">
        <w:rPr>
          <w:color w:val="auto"/>
        </w:rPr>
        <w:t xml:space="preserve">an </w:t>
      </w:r>
      <w:r w:rsidRPr="00C3645A">
        <w:rPr>
          <w:color w:val="auto"/>
        </w:rPr>
        <w:t>initial body weight of 210 ± 23 kg and 12 months of age on average (de Albuquerque et al., 2021).</w:t>
      </w:r>
    </w:p>
    <w:p w14:paraId="163DA8D5" w14:textId="0B6AF6AA" w:rsidR="00AD6896" w:rsidRPr="00C3645A" w:rsidRDefault="004A79A9" w:rsidP="00AD6896">
      <w:pPr>
        <w:pStyle w:val="Publi2"/>
        <w:rPr>
          <w:color w:val="auto"/>
        </w:rPr>
      </w:pPr>
      <w:r w:rsidRPr="00C3645A">
        <w:rPr>
          <w:color w:val="auto"/>
        </w:rPr>
        <w:t xml:space="preserve"> </w:t>
      </w:r>
      <w:r w:rsidR="00AD6896" w:rsidRPr="00C3645A">
        <w:rPr>
          <w:color w:val="auto"/>
        </w:rPr>
        <w:t>Weather data</w:t>
      </w:r>
    </w:p>
    <w:p w14:paraId="2B9713D8" w14:textId="3C029105" w:rsidR="008C110E" w:rsidRPr="00C3645A" w:rsidRDefault="00AD6896" w:rsidP="008C110E">
      <w:pPr>
        <w:pStyle w:val="PubliManuscript"/>
        <w:rPr>
          <w:color w:val="auto"/>
        </w:rPr>
      </w:pPr>
      <w:r w:rsidRPr="00C3645A">
        <w:rPr>
          <w:color w:val="auto"/>
        </w:rPr>
        <w:t xml:space="preserve">Historical weather data were collected by a station located at the experimental site. </w:t>
      </w:r>
      <w:r w:rsidR="00337A85" w:rsidRPr="00C3645A">
        <w:rPr>
          <w:color w:val="auto"/>
        </w:rPr>
        <w:t xml:space="preserve">For the future climatic conditions, we selected the period 2041-2058, under the Representative Concentration Pathway (RCP) 8.5, </w:t>
      </w:r>
      <w:r w:rsidR="00337A85" w:rsidRPr="00C3645A">
        <w:rPr>
          <w:rFonts w:eastAsia="Calibri"/>
          <w:color w:val="auto"/>
          <w:lang w:val="en-GB"/>
        </w:rPr>
        <w:t xml:space="preserve">to evaluate the impacts of an average </w:t>
      </w:r>
      <w:r w:rsidR="00087DC1" w:rsidRPr="00C3645A">
        <w:rPr>
          <w:rFonts w:eastAsia="Calibri"/>
          <w:color w:val="auto"/>
          <w:lang w:val="en-GB"/>
        </w:rPr>
        <w:t xml:space="preserve">global </w:t>
      </w:r>
      <w:r w:rsidR="00337A85" w:rsidRPr="00C3645A">
        <w:rPr>
          <w:rFonts w:eastAsia="Calibri"/>
          <w:color w:val="auto"/>
          <w:lang w:val="en-GB"/>
        </w:rPr>
        <w:t>temperature increase of ~2°C</w:t>
      </w:r>
      <w:r w:rsidR="009436FA" w:rsidRPr="00C3645A">
        <w:rPr>
          <w:rFonts w:eastAsia="Calibri"/>
          <w:color w:val="auto"/>
          <w:lang w:val="en-GB"/>
        </w:rPr>
        <w:t xml:space="preserve"> (relatively to 1986-2005)</w:t>
      </w:r>
      <w:r w:rsidR="00337A85" w:rsidRPr="00C3645A">
        <w:rPr>
          <w:rFonts w:eastAsia="Calibri"/>
          <w:color w:val="auto"/>
          <w:lang w:val="en-GB"/>
        </w:rPr>
        <w:t xml:space="preserve">. </w:t>
      </w:r>
      <w:r w:rsidR="005A5634" w:rsidRPr="00C3645A">
        <w:rPr>
          <w:rFonts w:eastAsia="Calibri"/>
          <w:color w:val="auto"/>
          <w:lang w:val="en-GB"/>
        </w:rPr>
        <w:t>Such a value is usually achieved under RCP8.5 at the horizon 2040-2070 or under RCP4.5 at the horizon 2070-2100</w:t>
      </w:r>
      <w:r w:rsidR="007630CF" w:rsidRPr="00C3645A">
        <w:rPr>
          <w:rFonts w:eastAsia="Calibri"/>
          <w:color w:val="auto"/>
          <w:lang w:val="en-GB"/>
        </w:rPr>
        <w:t xml:space="preserve"> (IPCC, 2013)</w:t>
      </w:r>
      <w:r w:rsidR="005A5634" w:rsidRPr="00C3645A">
        <w:rPr>
          <w:rFonts w:eastAsia="Calibri"/>
          <w:color w:val="auto"/>
          <w:lang w:val="en-GB"/>
        </w:rPr>
        <w:t xml:space="preserve">. </w:t>
      </w:r>
      <w:r w:rsidR="00443935" w:rsidRPr="00C3645A">
        <w:rPr>
          <w:rFonts w:eastAsia="Calibri"/>
          <w:color w:val="auto"/>
          <w:lang w:val="en-GB"/>
        </w:rPr>
        <w:t>We selected t</w:t>
      </w:r>
      <w:r w:rsidR="00145F45" w:rsidRPr="00C3645A">
        <w:rPr>
          <w:rFonts w:eastAsia="Calibri"/>
          <w:color w:val="auto"/>
          <w:lang w:val="en-GB"/>
        </w:rPr>
        <w:t xml:space="preserve">he period of time 2040-2070 and the RCP8.5 </w:t>
      </w:r>
      <w:r w:rsidR="009217AF" w:rsidRPr="00C3645A">
        <w:rPr>
          <w:rFonts w:eastAsia="Calibri"/>
          <w:color w:val="auto"/>
          <w:lang w:val="en-GB"/>
        </w:rPr>
        <w:t>in order to allow the comparison of</w:t>
      </w:r>
      <w:r w:rsidR="00145F45" w:rsidRPr="00C3645A">
        <w:rPr>
          <w:rFonts w:eastAsia="Calibri"/>
          <w:color w:val="auto"/>
          <w:lang w:val="en-GB"/>
        </w:rPr>
        <w:t xml:space="preserve"> our results with other similar studies such as Peterson et al. (2020).</w:t>
      </w:r>
      <w:r w:rsidR="00167D95" w:rsidRPr="00C3645A">
        <w:rPr>
          <w:color w:val="auto"/>
        </w:rPr>
        <w:t xml:space="preserve"> </w:t>
      </w:r>
      <w:r w:rsidRPr="00C3645A">
        <w:rPr>
          <w:color w:val="auto"/>
        </w:rPr>
        <w:t>Future meteorological conditions (temperature, solar radiation, precipitation, atmospheric CO</w:t>
      </w:r>
      <w:r w:rsidRPr="00C3645A">
        <w:rPr>
          <w:color w:val="auto"/>
          <w:vertAlign w:val="subscript"/>
        </w:rPr>
        <w:t>2</w:t>
      </w:r>
      <w:r w:rsidRPr="00C3645A">
        <w:rPr>
          <w:color w:val="auto"/>
        </w:rPr>
        <w:t xml:space="preserve"> content) for the years 2041-2058 were provided by Peterson et al. (202</w:t>
      </w:r>
      <w:r w:rsidR="00AD75BB" w:rsidRPr="00C3645A">
        <w:rPr>
          <w:color w:val="auto"/>
        </w:rPr>
        <w:t>0</w:t>
      </w:r>
      <w:r w:rsidRPr="00C3645A">
        <w:rPr>
          <w:color w:val="auto"/>
        </w:rPr>
        <w:t xml:space="preserve">), </w:t>
      </w:r>
      <w:r w:rsidR="008C110E" w:rsidRPr="00C3645A">
        <w:rPr>
          <w:color w:val="auto"/>
        </w:rPr>
        <w:t xml:space="preserve">based on an ensemble of 6 CMIP5 Global Climate Models using </w:t>
      </w:r>
      <w:bookmarkStart w:id="0" w:name="_Hlk146720525"/>
      <w:r w:rsidR="00E3240F" w:rsidRPr="00C3645A">
        <w:rPr>
          <w:color w:val="auto"/>
        </w:rPr>
        <w:t>RCP</w:t>
      </w:r>
      <w:r w:rsidR="008C110E" w:rsidRPr="00C3645A">
        <w:rPr>
          <w:color w:val="auto"/>
        </w:rPr>
        <w:t xml:space="preserve">8.5 with very high greenhouse gas emissions (IPCC, 2014). </w:t>
      </w:r>
      <w:bookmarkEnd w:id="0"/>
    </w:p>
    <w:p w14:paraId="7770DC99" w14:textId="5DE11EB5" w:rsidR="00016384" w:rsidRPr="00C3645A" w:rsidRDefault="001B5555">
      <w:pPr>
        <w:pStyle w:val="PubliManuscript"/>
        <w:rPr>
          <w:color w:val="auto"/>
        </w:rPr>
      </w:pPr>
      <w:r w:rsidRPr="00C3645A">
        <w:rPr>
          <w:color w:val="auto"/>
        </w:rPr>
        <w:t>Daily</w:t>
      </w:r>
      <w:r w:rsidR="002424C7" w:rsidRPr="00C3645A">
        <w:rPr>
          <w:color w:val="auto"/>
        </w:rPr>
        <w:t xml:space="preserve"> rainfall and temperatures</w:t>
      </w:r>
      <w:r w:rsidR="00BC56DA" w:rsidRPr="00C3645A">
        <w:rPr>
          <w:color w:val="auto"/>
        </w:rPr>
        <w:t>, averaged over each month of the two periods 2001-2018 and 2041-2058</w:t>
      </w:r>
      <w:r w:rsidR="00AF458E" w:rsidRPr="00C3645A">
        <w:rPr>
          <w:color w:val="auto"/>
        </w:rPr>
        <w:t>,</w:t>
      </w:r>
      <w:r w:rsidRPr="00C3645A">
        <w:rPr>
          <w:color w:val="auto"/>
        </w:rPr>
        <w:t xml:space="preserve"> are shown on Fig. A</w:t>
      </w:r>
      <w:r w:rsidR="00DE5209" w:rsidRPr="00C3645A">
        <w:rPr>
          <w:color w:val="auto"/>
        </w:rPr>
        <w:t>1</w:t>
      </w:r>
      <w:r w:rsidRPr="00C3645A">
        <w:rPr>
          <w:color w:val="auto"/>
        </w:rPr>
        <w:t>.</w:t>
      </w:r>
      <w:r w:rsidR="00222CC5" w:rsidRPr="00C3645A">
        <w:rPr>
          <w:color w:val="auto"/>
        </w:rPr>
        <w:t xml:space="preserve"> </w:t>
      </w:r>
      <w:r w:rsidR="00C1217E" w:rsidRPr="00C3645A">
        <w:rPr>
          <w:color w:val="auto"/>
        </w:rPr>
        <w:t>In the future period 2041-2058, compared to the historical 2001-2018</w:t>
      </w:r>
      <w:r w:rsidR="454C8138" w:rsidRPr="00C3645A">
        <w:rPr>
          <w:color w:val="auto"/>
        </w:rPr>
        <w:t xml:space="preserve"> period</w:t>
      </w:r>
      <w:r w:rsidR="00C1217E" w:rsidRPr="00C3645A">
        <w:rPr>
          <w:color w:val="auto"/>
        </w:rPr>
        <w:t>, t</w:t>
      </w:r>
      <w:r w:rsidR="00222CC5" w:rsidRPr="00C3645A">
        <w:rPr>
          <w:color w:val="auto"/>
        </w:rPr>
        <w:t>he average total annual rainfall increase</w:t>
      </w:r>
      <w:r w:rsidR="4B90251E" w:rsidRPr="00C3645A">
        <w:rPr>
          <w:color w:val="auto"/>
        </w:rPr>
        <w:t>s</w:t>
      </w:r>
      <w:r w:rsidR="00222CC5" w:rsidRPr="00C3645A">
        <w:rPr>
          <w:color w:val="auto"/>
        </w:rPr>
        <w:t xml:space="preserve"> from </w:t>
      </w:r>
      <w:r w:rsidR="002D1046" w:rsidRPr="00C3645A">
        <w:rPr>
          <w:color w:val="auto"/>
        </w:rPr>
        <w:t>1699</w:t>
      </w:r>
      <w:r w:rsidR="00222CC5" w:rsidRPr="00C3645A">
        <w:rPr>
          <w:color w:val="auto"/>
        </w:rPr>
        <w:t xml:space="preserve"> mm to </w:t>
      </w:r>
      <w:r w:rsidR="002308DD" w:rsidRPr="00C3645A">
        <w:rPr>
          <w:color w:val="auto"/>
        </w:rPr>
        <w:t>2318</w:t>
      </w:r>
      <w:r w:rsidR="00222CC5" w:rsidRPr="00C3645A">
        <w:rPr>
          <w:color w:val="auto"/>
        </w:rPr>
        <w:t xml:space="preserve"> mm. But this </w:t>
      </w:r>
      <w:r w:rsidR="001A13D5" w:rsidRPr="00C3645A">
        <w:rPr>
          <w:color w:val="auto"/>
        </w:rPr>
        <w:t>would</w:t>
      </w:r>
      <w:r w:rsidR="00222CC5" w:rsidRPr="00C3645A">
        <w:rPr>
          <w:color w:val="auto"/>
        </w:rPr>
        <w:t xml:space="preserve"> be contrasted between seasons, with an increase of </w:t>
      </w:r>
      <w:r w:rsidR="3D8A484F" w:rsidRPr="00C3645A">
        <w:rPr>
          <w:color w:val="auto"/>
        </w:rPr>
        <w:t xml:space="preserve">rainfall </w:t>
      </w:r>
      <w:r w:rsidR="00222CC5" w:rsidRPr="00C3645A">
        <w:rPr>
          <w:color w:val="auto"/>
        </w:rPr>
        <w:t>in summer (+5</w:t>
      </w:r>
      <w:r w:rsidR="00E13E25" w:rsidRPr="00C3645A">
        <w:rPr>
          <w:color w:val="auto"/>
        </w:rPr>
        <w:t>7</w:t>
      </w:r>
      <w:r w:rsidR="00222CC5" w:rsidRPr="00C3645A">
        <w:rPr>
          <w:color w:val="auto"/>
        </w:rPr>
        <w:t>%) but a decrease in winter (-</w:t>
      </w:r>
      <w:r w:rsidR="00222CC5" w:rsidRPr="00C3645A">
        <w:rPr>
          <w:color w:val="auto"/>
        </w:rPr>
        <w:lastRenderedPageBreak/>
        <w:t>26%).</w:t>
      </w:r>
      <w:r w:rsidRPr="00C3645A">
        <w:rPr>
          <w:color w:val="auto"/>
        </w:rPr>
        <w:t xml:space="preserve"> </w:t>
      </w:r>
      <w:r w:rsidR="00026A80" w:rsidRPr="00C3645A">
        <w:rPr>
          <w:color w:val="auto"/>
        </w:rPr>
        <w:t xml:space="preserve">The </w:t>
      </w:r>
      <w:r w:rsidR="00973517" w:rsidRPr="00C3645A">
        <w:rPr>
          <w:color w:val="auto"/>
        </w:rPr>
        <w:t>average yearly temperature is projected to rise</w:t>
      </w:r>
      <w:r w:rsidR="00026A80" w:rsidRPr="00C3645A">
        <w:rPr>
          <w:color w:val="auto"/>
        </w:rPr>
        <w:t xml:space="preserve"> from 20.</w:t>
      </w:r>
      <w:r w:rsidR="51F1E232" w:rsidRPr="00C3645A">
        <w:rPr>
          <w:color w:val="auto"/>
        </w:rPr>
        <w:t>4</w:t>
      </w:r>
      <w:r w:rsidR="00026A80" w:rsidRPr="00C3645A">
        <w:rPr>
          <w:color w:val="auto"/>
        </w:rPr>
        <w:t>°C in historical climatic conditions to 2</w:t>
      </w:r>
      <w:r w:rsidR="598C10B6" w:rsidRPr="00C3645A">
        <w:rPr>
          <w:color w:val="auto"/>
        </w:rPr>
        <w:t>3</w:t>
      </w:r>
      <w:r w:rsidR="00026A80" w:rsidRPr="00C3645A">
        <w:rPr>
          <w:color w:val="auto"/>
        </w:rPr>
        <w:t>.</w:t>
      </w:r>
      <w:r w:rsidR="3ED2BCC8" w:rsidRPr="00C3645A">
        <w:rPr>
          <w:color w:val="auto"/>
        </w:rPr>
        <w:t>0</w:t>
      </w:r>
      <w:r w:rsidR="00026A80" w:rsidRPr="00C3645A">
        <w:rPr>
          <w:color w:val="auto"/>
        </w:rPr>
        <w:t>°C</w:t>
      </w:r>
      <w:r w:rsidR="00DB4840" w:rsidRPr="00C3645A">
        <w:rPr>
          <w:color w:val="auto"/>
        </w:rPr>
        <w:t xml:space="preserve"> in the future</w:t>
      </w:r>
      <w:r w:rsidR="00026A80" w:rsidRPr="00C3645A">
        <w:rPr>
          <w:color w:val="auto"/>
        </w:rPr>
        <w:t xml:space="preserve">. </w:t>
      </w:r>
      <w:r w:rsidR="002E1A00" w:rsidRPr="00C3645A">
        <w:rPr>
          <w:color w:val="auto"/>
        </w:rPr>
        <w:t xml:space="preserve">The </w:t>
      </w:r>
      <w:r w:rsidR="00667AB4" w:rsidRPr="00C3645A">
        <w:rPr>
          <w:color w:val="auto"/>
        </w:rPr>
        <w:t xml:space="preserve">absolute </w:t>
      </w:r>
      <w:r w:rsidR="002E1A00" w:rsidRPr="00C3645A">
        <w:rPr>
          <w:color w:val="auto"/>
        </w:rPr>
        <w:t>increase will be higher over summer months (+</w:t>
      </w:r>
      <w:r w:rsidR="00E13E25" w:rsidRPr="00C3645A">
        <w:rPr>
          <w:color w:val="auto"/>
        </w:rPr>
        <w:t>4.01</w:t>
      </w:r>
      <w:r w:rsidR="002E1A00" w:rsidRPr="00C3645A">
        <w:rPr>
          <w:color w:val="auto"/>
        </w:rPr>
        <w:t>°C) than winter (+1.75°C).</w:t>
      </w:r>
      <w:r w:rsidR="00026A80" w:rsidRPr="00C3645A">
        <w:rPr>
          <w:color w:val="auto"/>
        </w:rPr>
        <w:t xml:space="preserve"> </w:t>
      </w:r>
      <w:r w:rsidR="00016384" w:rsidRPr="00C3645A">
        <w:rPr>
          <w:color w:val="auto"/>
        </w:rPr>
        <w:t>The atmospheric CO</w:t>
      </w:r>
      <w:r w:rsidR="00016384" w:rsidRPr="00C3645A">
        <w:rPr>
          <w:color w:val="auto"/>
          <w:vertAlign w:val="subscript"/>
        </w:rPr>
        <w:t xml:space="preserve">2 </w:t>
      </w:r>
      <w:r w:rsidR="00016384" w:rsidRPr="00C3645A">
        <w:rPr>
          <w:color w:val="auto"/>
        </w:rPr>
        <w:t xml:space="preserve">content </w:t>
      </w:r>
      <w:r w:rsidR="00BC45D0" w:rsidRPr="00C3645A">
        <w:rPr>
          <w:color w:val="auto"/>
        </w:rPr>
        <w:t>also increase</w:t>
      </w:r>
      <w:r w:rsidR="050855D5" w:rsidRPr="00C3645A">
        <w:rPr>
          <w:color w:val="auto"/>
        </w:rPr>
        <w:t>s</w:t>
      </w:r>
      <w:r w:rsidR="00BC45D0" w:rsidRPr="00C3645A">
        <w:rPr>
          <w:color w:val="auto"/>
        </w:rPr>
        <w:t>,</w:t>
      </w:r>
      <w:r w:rsidR="00016384" w:rsidRPr="00C3645A">
        <w:rPr>
          <w:color w:val="auto"/>
        </w:rPr>
        <w:t xml:space="preserve"> from 385 ppm to 575 ppm.</w:t>
      </w:r>
      <w:r w:rsidR="004E61C8" w:rsidRPr="00C3645A">
        <w:rPr>
          <w:color w:val="auto"/>
        </w:rPr>
        <w:t xml:space="preserve"> </w:t>
      </w:r>
      <w:r w:rsidR="00572350" w:rsidRPr="00C3645A">
        <w:rPr>
          <w:color w:val="auto"/>
        </w:rPr>
        <w:t>Of paramount importance, it is anticipated that forthcoming climatic conditions will lead to a heightened occurrence of extreme events, including floods and droughts (IPCC, 2014), which is addressed in Section 2.5</w:t>
      </w:r>
      <w:r w:rsidR="004E61C8" w:rsidRPr="00C3645A">
        <w:rPr>
          <w:color w:val="auto"/>
        </w:rPr>
        <w:t>.</w:t>
      </w:r>
    </w:p>
    <w:p w14:paraId="6CDD9603" w14:textId="77777777" w:rsidR="00AD6896" w:rsidRPr="00C3645A" w:rsidRDefault="00AD6896" w:rsidP="00AD6896">
      <w:pPr>
        <w:pStyle w:val="Publi2"/>
        <w:rPr>
          <w:color w:val="auto"/>
        </w:rPr>
      </w:pPr>
      <w:r w:rsidRPr="00C3645A">
        <w:rPr>
          <w:color w:val="auto"/>
        </w:rPr>
        <w:t xml:space="preserve"> The soil-crop model STICS</w:t>
      </w:r>
    </w:p>
    <w:p w14:paraId="0BD0EFDF" w14:textId="5DDD581D" w:rsidR="00AD6896" w:rsidRPr="00C3645A" w:rsidRDefault="0051659E" w:rsidP="00AD6896">
      <w:pPr>
        <w:pStyle w:val="PubliManuscript"/>
        <w:rPr>
          <w:color w:val="auto"/>
        </w:rPr>
      </w:pPr>
      <w:r w:rsidRPr="00C3645A">
        <w:rPr>
          <w:color w:val="auto"/>
        </w:rPr>
        <w:t>W</w:t>
      </w:r>
      <w:r w:rsidR="00AD6896" w:rsidRPr="00C3645A">
        <w:rPr>
          <w:color w:val="auto"/>
        </w:rPr>
        <w:t>e used the standard version 10 of STICS (</w:t>
      </w:r>
      <w:proofErr w:type="spellStart"/>
      <w:r w:rsidR="00AD6896" w:rsidRPr="00C3645A">
        <w:rPr>
          <w:i/>
          <w:iCs/>
          <w:color w:val="auto"/>
        </w:rPr>
        <w:t>Simulateur</w:t>
      </w:r>
      <w:proofErr w:type="spellEnd"/>
      <w:r w:rsidR="00AD6896" w:rsidRPr="00C3645A">
        <w:rPr>
          <w:i/>
          <w:iCs/>
          <w:color w:val="auto"/>
        </w:rPr>
        <w:t xml:space="preserve"> </w:t>
      </w:r>
      <w:proofErr w:type="spellStart"/>
      <w:r w:rsidR="00AD6896" w:rsidRPr="00C3645A">
        <w:rPr>
          <w:i/>
          <w:iCs/>
          <w:color w:val="auto"/>
        </w:rPr>
        <w:t>mulTIdisciplinaire</w:t>
      </w:r>
      <w:proofErr w:type="spellEnd"/>
      <w:r w:rsidR="00AD6896" w:rsidRPr="00C3645A">
        <w:rPr>
          <w:i/>
          <w:iCs/>
          <w:color w:val="auto"/>
        </w:rPr>
        <w:t xml:space="preserve"> pour les Cultures Standard</w:t>
      </w:r>
      <w:r w:rsidR="00AD6896" w:rsidRPr="00C3645A">
        <w:rPr>
          <w:color w:val="auto"/>
        </w:rPr>
        <w:t xml:space="preserve">). STICS is a soil-crop model which computes changes in agronomic (e.g. biomass and yield) and environmental variables (e.g. soil organic carbon, nitrate leaching, soil water and nitrogen, etc.) from input variables and parameters relating to weather conditions, soils and cropping systems (Brisson et al., 2009). It is a process-based model that simulates plant growth as well as </w:t>
      </w:r>
      <w:r w:rsidR="00F228A9" w:rsidRPr="00C3645A">
        <w:rPr>
          <w:color w:val="auto"/>
        </w:rPr>
        <w:t xml:space="preserve">the flow of </w:t>
      </w:r>
      <w:r w:rsidR="00AD6896" w:rsidRPr="00C3645A">
        <w:rPr>
          <w:color w:val="auto"/>
        </w:rPr>
        <w:t>water, C and N fluxes</w:t>
      </w:r>
      <w:r w:rsidR="00983751" w:rsidRPr="00C3645A">
        <w:rPr>
          <w:color w:val="auto"/>
        </w:rPr>
        <w:t xml:space="preserve">. </w:t>
      </w:r>
      <w:r w:rsidR="00E774B7" w:rsidRPr="00C3645A">
        <w:rPr>
          <w:color w:val="auto"/>
        </w:rPr>
        <w:t>To simulate</w:t>
      </w:r>
      <w:r w:rsidR="004C0200" w:rsidRPr="00C3645A">
        <w:rPr>
          <w:color w:val="auto"/>
        </w:rPr>
        <w:t xml:space="preserve"> soil C and N mineralization, it is based on the AMG model (</w:t>
      </w:r>
      <w:proofErr w:type="spellStart"/>
      <w:r w:rsidR="004C0200" w:rsidRPr="00C3645A">
        <w:rPr>
          <w:color w:val="auto"/>
        </w:rPr>
        <w:t>Clivot</w:t>
      </w:r>
      <w:proofErr w:type="spellEnd"/>
      <w:r w:rsidR="004C0200" w:rsidRPr="00C3645A">
        <w:rPr>
          <w:color w:val="auto"/>
        </w:rPr>
        <w:t xml:space="preserve"> et al., 2019).</w:t>
      </w:r>
      <w:r w:rsidR="00983751" w:rsidRPr="00C3645A">
        <w:rPr>
          <w:color w:val="auto"/>
        </w:rPr>
        <w:t xml:space="preserve"> </w:t>
      </w:r>
      <w:r w:rsidR="00714440" w:rsidRPr="00C3645A">
        <w:rPr>
          <w:color w:val="auto"/>
        </w:rPr>
        <w:t>Chaining</w:t>
      </w:r>
      <w:r w:rsidR="00510D29" w:rsidRPr="00C3645A">
        <w:rPr>
          <w:color w:val="auto"/>
        </w:rPr>
        <w:t xml:space="preserve"> simulations </w:t>
      </w:r>
      <w:r w:rsidR="293AF024" w:rsidRPr="00C3645A">
        <w:rPr>
          <w:color w:val="auto"/>
        </w:rPr>
        <w:t xml:space="preserve">across years </w:t>
      </w:r>
      <w:r w:rsidR="42A2F75A" w:rsidRPr="00C3645A">
        <w:rPr>
          <w:color w:val="auto"/>
        </w:rPr>
        <w:t>is used</w:t>
      </w:r>
      <w:r w:rsidR="00510D29" w:rsidRPr="00C3645A">
        <w:rPr>
          <w:color w:val="auto"/>
        </w:rPr>
        <w:t xml:space="preserve"> to </w:t>
      </w:r>
      <w:r w:rsidR="4E51A56B" w:rsidRPr="00C3645A">
        <w:rPr>
          <w:color w:val="auto"/>
        </w:rPr>
        <w:t>model</w:t>
      </w:r>
      <w:r w:rsidR="00510D29" w:rsidRPr="00C3645A">
        <w:rPr>
          <w:color w:val="auto"/>
        </w:rPr>
        <w:t xml:space="preserve"> trends and impacts across long-term rotations, encompassing both crops and grasslands</w:t>
      </w:r>
      <w:r w:rsidR="00983751" w:rsidRPr="00C3645A">
        <w:rPr>
          <w:color w:val="auto"/>
        </w:rPr>
        <w:t>.</w:t>
      </w:r>
    </w:p>
    <w:p w14:paraId="607500CE" w14:textId="60407991" w:rsidR="00F95A24" w:rsidRPr="00C3645A" w:rsidRDefault="00744AE0" w:rsidP="00AD6896">
      <w:pPr>
        <w:pStyle w:val="PubliManuscript"/>
        <w:rPr>
          <w:color w:val="auto"/>
        </w:rPr>
      </w:pPr>
      <w:r w:rsidRPr="00C3645A">
        <w:rPr>
          <w:color w:val="auto"/>
        </w:rPr>
        <w:t>Increasing</w:t>
      </w:r>
      <w:r w:rsidR="00F95A24" w:rsidRPr="00C3645A">
        <w:rPr>
          <w:color w:val="auto"/>
        </w:rPr>
        <w:t xml:space="preserve"> atmospheric CO</w:t>
      </w:r>
      <w:r w:rsidR="00F95A24" w:rsidRPr="00C3645A">
        <w:rPr>
          <w:color w:val="auto"/>
          <w:vertAlign w:val="subscript"/>
        </w:rPr>
        <w:t xml:space="preserve">2 </w:t>
      </w:r>
      <w:r w:rsidR="00F95A24" w:rsidRPr="00C3645A">
        <w:rPr>
          <w:color w:val="auto"/>
        </w:rPr>
        <w:t xml:space="preserve">concentration </w:t>
      </w:r>
      <w:r w:rsidR="00F901F7" w:rsidRPr="00C3645A">
        <w:rPr>
          <w:color w:val="auto"/>
        </w:rPr>
        <w:t>due to</w:t>
      </w:r>
      <w:r w:rsidR="00F95A24" w:rsidRPr="00C3645A">
        <w:rPr>
          <w:color w:val="auto"/>
        </w:rPr>
        <w:t xml:space="preserve"> climate change </w:t>
      </w:r>
      <w:r w:rsidR="007D1BFE" w:rsidRPr="00C3645A">
        <w:rPr>
          <w:color w:val="auto"/>
        </w:rPr>
        <w:t xml:space="preserve">acts to </w:t>
      </w:r>
      <w:r w:rsidR="001100BE" w:rsidRPr="00C3645A">
        <w:rPr>
          <w:color w:val="auto"/>
        </w:rPr>
        <w:t>enhance</w:t>
      </w:r>
      <w:r w:rsidR="00F95A24" w:rsidRPr="00C3645A">
        <w:rPr>
          <w:color w:val="auto"/>
        </w:rPr>
        <w:t xml:space="preserve"> the radiation use efficiency</w:t>
      </w:r>
      <w:r w:rsidR="001100BE" w:rsidRPr="00C3645A">
        <w:rPr>
          <w:color w:val="auto"/>
        </w:rPr>
        <w:t xml:space="preserve"> </w:t>
      </w:r>
      <w:r w:rsidR="002026B7" w:rsidRPr="00C3645A">
        <w:rPr>
          <w:color w:val="auto"/>
        </w:rPr>
        <w:t>(RUE</w:t>
      </w:r>
      <w:r w:rsidR="00046BD1" w:rsidRPr="00C3645A">
        <w:rPr>
          <w:color w:val="auto"/>
        </w:rPr>
        <w:t>) through an exponential factor</w:t>
      </w:r>
      <w:r w:rsidR="001100BE" w:rsidRPr="00C3645A">
        <w:rPr>
          <w:color w:val="auto"/>
        </w:rPr>
        <w:t>.</w:t>
      </w:r>
      <w:r w:rsidR="00632A93" w:rsidRPr="00C3645A">
        <w:rPr>
          <w:color w:val="auto"/>
        </w:rPr>
        <w:t xml:space="preserve"> </w:t>
      </w:r>
      <w:r w:rsidR="00494647" w:rsidRPr="00C3645A">
        <w:rPr>
          <w:color w:val="auto"/>
        </w:rPr>
        <w:t>The rate of increase for this factor</w:t>
      </w:r>
      <w:r w:rsidR="00745E9D" w:rsidRPr="00C3645A">
        <w:rPr>
          <w:color w:val="auto"/>
        </w:rPr>
        <w:t xml:space="preserve"> mainly varies with the plant metabolism (C</w:t>
      </w:r>
      <w:r w:rsidR="004D48AD" w:rsidRPr="00C3645A">
        <w:rPr>
          <w:color w:val="auto"/>
          <w:vertAlign w:val="subscript"/>
        </w:rPr>
        <w:t>3</w:t>
      </w:r>
      <w:r w:rsidR="00745E9D" w:rsidRPr="00C3645A">
        <w:rPr>
          <w:color w:val="auto"/>
        </w:rPr>
        <w:t>/C</w:t>
      </w:r>
      <w:r w:rsidR="004D48AD" w:rsidRPr="00C3645A">
        <w:rPr>
          <w:color w:val="auto"/>
          <w:vertAlign w:val="subscript"/>
        </w:rPr>
        <w:t>4</w:t>
      </w:r>
      <w:r w:rsidR="00745E9D" w:rsidRPr="00C3645A">
        <w:rPr>
          <w:color w:val="auto"/>
        </w:rPr>
        <w:t>).</w:t>
      </w:r>
      <w:r w:rsidR="00494647" w:rsidRPr="00C3645A">
        <w:rPr>
          <w:color w:val="auto"/>
        </w:rPr>
        <w:t xml:space="preserve"> </w:t>
      </w:r>
      <w:r w:rsidR="00632A93" w:rsidRPr="00C3645A">
        <w:rPr>
          <w:color w:val="auto"/>
        </w:rPr>
        <w:t xml:space="preserve">The projections that we used for the weather data over the period 2041-2058 predict </w:t>
      </w:r>
      <w:r w:rsidR="001100BE" w:rsidRPr="00C3645A">
        <w:rPr>
          <w:color w:val="auto"/>
        </w:rPr>
        <w:t>a CO</w:t>
      </w:r>
      <w:r w:rsidR="001100BE" w:rsidRPr="00C3645A">
        <w:rPr>
          <w:color w:val="auto"/>
          <w:vertAlign w:val="subscript"/>
        </w:rPr>
        <w:t xml:space="preserve">2 </w:t>
      </w:r>
      <w:r w:rsidR="001100BE" w:rsidRPr="00C3645A">
        <w:rPr>
          <w:color w:val="auto"/>
        </w:rPr>
        <w:t xml:space="preserve">concentration of 575 ppm, </w:t>
      </w:r>
      <w:r w:rsidR="00632A93" w:rsidRPr="00C3645A">
        <w:rPr>
          <w:color w:val="auto"/>
        </w:rPr>
        <w:t>which induces a</w:t>
      </w:r>
      <w:r w:rsidR="423BAE1A" w:rsidRPr="00C3645A">
        <w:rPr>
          <w:color w:val="auto"/>
        </w:rPr>
        <w:t>n</w:t>
      </w:r>
      <w:r w:rsidR="00AB2EF4" w:rsidRPr="00C3645A">
        <w:rPr>
          <w:color w:val="auto"/>
        </w:rPr>
        <w:t xml:space="preserve"> 18%-increase </w:t>
      </w:r>
      <w:r w:rsidR="001349CD" w:rsidRPr="00C3645A">
        <w:rPr>
          <w:color w:val="auto"/>
        </w:rPr>
        <w:t xml:space="preserve">of RUE </w:t>
      </w:r>
      <w:r w:rsidR="009B08EC" w:rsidRPr="00C3645A">
        <w:rPr>
          <w:color w:val="auto"/>
        </w:rPr>
        <w:t>for both pastures and soybean</w:t>
      </w:r>
      <w:r w:rsidR="3A590E3D" w:rsidRPr="00C3645A">
        <w:rPr>
          <w:color w:val="auto"/>
        </w:rPr>
        <w:t>s</w:t>
      </w:r>
      <w:r w:rsidR="009B08EC" w:rsidRPr="00C3645A">
        <w:rPr>
          <w:color w:val="auto"/>
        </w:rPr>
        <w:t>.</w:t>
      </w:r>
      <w:r w:rsidR="004A530D" w:rsidRPr="00C3645A">
        <w:rPr>
          <w:color w:val="auto"/>
        </w:rPr>
        <w:t xml:space="preserve"> </w:t>
      </w:r>
      <w:r w:rsidR="0046510E" w:rsidRPr="00C3645A">
        <w:rPr>
          <w:color w:val="auto"/>
        </w:rPr>
        <w:t>The model also considers a decrease in stomatal conductance</w:t>
      </w:r>
      <w:r w:rsidR="00777FC7" w:rsidRPr="00C3645A">
        <w:rPr>
          <w:color w:val="auto"/>
        </w:rPr>
        <w:t xml:space="preserve"> that is proportional to the increase in RUE</w:t>
      </w:r>
      <w:r w:rsidR="002A0B62" w:rsidRPr="00C3645A">
        <w:rPr>
          <w:color w:val="auto"/>
        </w:rPr>
        <w:t xml:space="preserve"> (Brisson et al., 2009)</w:t>
      </w:r>
      <w:r w:rsidR="0046510E" w:rsidRPr="00C3645A">
        <w:rPr>
          <w:color w:val="auto"/>
        </w:rPr>
        <w:t>.</w:t>
      </w:r>
    </w:p>
    <w:p w14:paraId="698EFE5F" w14:textId="77777777" w:rsidR="00AD6896" w:rsidRPr="00C3645A" w:rsidRDefault="00AD6896" w:rsidP="00AD6896">
      <w:pPr>
        <w:pStyle w:val="Publi2"/>
        <w:rPr>
          <w:color w:val="auto"/>
        </w:rPr>
      </w:pPr>
      <w:r w:rsidRPr="00C3645A">
        <w:rPr>
          <w:color w:val="auto"/>
        </w:rPr>
        <w:t xml:space="preserve"> Livestock integration into the soil-crop model</w:t>
      </w:r>
    </w:p>
    <w:p w14:paraId="4091D791" w14:textId="5C3D1A47" w:rsidR="00425B84" w:rsidRPr="00C3645A" w:rsidRDefault="00AD6896" w:rsidP="00425B84">
      <w:pPr>
        <w:pStyle w:val="PubliManuscript"/>
        <w:rPr>
          <w:color w:val="auto"/>
        </w:rPr>
      </w:pPr>
      <w:r w:rsidRPr="00C3645A">
        <w:rPr>
          <w:color w:val="auto"/>
        </w:rPr>
        <w:t xml:space="preserve">Grazing animals are not explicitly included in the STICS model. Between </w:t>
      </w:r>
      <w:r w:rsidR="00004D8C" w:rsidRPr="00C3645A">
        <w:rPr>
          <w:color w:val="auto"/>
        </w:rPr>
        <w:t>the beginning and the end of the grazing period</w:t>
      </w:r>
      <w:r w:rsidRPr="00C3645A">
        <w:rPr>
          <w:color w:val="auto"/>
        </w:rPr>
        <w:t xml:space="preserve">, </w:t>
      </w:r>
      <w:r w:rsidR="00DC7668" w:rsidRPr="00C3645A">
        <w:rPr>
          <w:color w:val="auto"/>
        </w:rPr>
        <w:t xml:space="preserve">to mimic the grazing process, </w:t>
      </w:r>
      <w:r w:rsidRPr="00C3645A">
        <w:rPr>
          <w:color w:val="auto"/>
        </w:rPr>
        <w:t xml:space="preserve">we simulated successive cuts at time intervals based on the observed </w:t>
      </w:r>
      <w:r w:rsidR="00746CC8" w:rsidRPr="00C3645A">
        <w:rPr>
          <w:color w:val="auto"/>
        </w:rPr>
        <w:t xml:space="preserve">averaged </w:t>
      </w:r>
      <w:r w:rsidRPr="00C3645A">
        <w:rPr>
          <w:color w:val="auto"/>
        </w:rPr>
        <w:t>return time of animals on a same grass til</w:t>
      </w:r>
      <w:r w:rsidR="005E7E69" w:rsidRPr="00C3645A">
        <w:rPr>
          <w:color w:val="auto"/>
        </w:rPr>
        <w:t>l</w:t>
      </w:r>
      <w:r w:rsidRPr="00C3645A">
        <w:rPr>
          <w:color w:val="auto"/>
        </w:rPr>
        <w:t>e</w:t>
      </w:r>
      <w:r w:rsidR="005E7E69" w:rsidRPr="00C3645A">
        <w:rPr>
          <w:color w:val="auto"/>
        </w:rPr>
        <w:t>r</w:t>
      </w:r>
      <w:r w:rsidR="00CB2536" w:rsidRPr="00C3645A">
        <w:rPr>
          <w:color w:val="auto"/>
        </w:rPr>
        <w:t>, with a first constraint: (</w:t>
      </w:r>
      <w:proofErr w:type="spellStart"/>
      <w:r w:rsidR="00CB2536" w:rsidRPr="00C3645A">
        <w:rPr>
          <w:i/>
          <w:iCs/>
          <w:color w:val="auto"/>
        </w:rPr>
        <w:t>i</w:t>
      </w:r>
      <w:proofErr w:type="spellEnd"/>
      <w:r w:rsidR="00CB2536" w:rsidRPr="00C3645A">
        <w:rPr>
          <w:color w:val="auto"/>
        </w:rPr>
        <w:t xml:space="preserve">) the time between two successive cuts had to be close to the resting period observed on the field between two successive bites on the same tiller, from 7 days for G10 to 30 days for G40 (P. Carvalho, </w:t>
      </w:r>
      <w:r w:rsidR="00CB2536" w:rsidRPr="00C3645A">
        <w:rPr>
          <w:color w:val="auto"/>
        </w:rPr>
        <w:lastRenderedPageBreak/>
        <w:t>personal communication)</w:t>
      </w:r>
      <w:r w:rsidR="0059255E" w:rsidRPr="00C3645A">
        <w:rPr>
          <w:color w:val="auto"/>
        </w:rPr>
        <w:t xml:space="preserve">. </w:t>
      </w:r>
      <w:r w:rsidRPr="00C3645A">
        <w:rPr>
          <w:color w:val="auto"/>
        </w:rPr>
        <w:t>The remaining sward height after a cut is a parameter of the model</w:t>
      </w:r>
      <w:r w:rsidR="004C35B5" w:rsidRPr="00C3645A">
        <w:rPr>
          <w:color w:val="auto"/>
        </w:rPr>
        <w:t>.</w:t>
      </w:r>
      <w:r w:rsidRPr="00C3645A">
        <w:rPr>
          <w:color w:val="auto"/>
        </w:rPr>
        <w:t xml:space="preserve"> </w:t>
      </w:r>
      <w:r w:rsidR="004C35B5" w:rsidRPr="00C3645A">
        <w:rPr>
          <w:color w:val="auto"/>
        </w:rPr>
        <w:t xml:space="preserve">It was manually set </w:t>
      </w:r>
      <w:r w:rsidR="00472353" w:rsidRPr="00C3645A">
        <w:rPr>
          <w:color w:val="auto"/>
        </w:rPr>
        <w:t>in a manner</w:t>
      </w:r>
      <w:r w:rsidR="004C35B5" w:rsidRPr="00C3645A">
        <w:rPr>
          <w:color w:val="auto"/>
        </w:rPr>
        <w:t xml:space="preserve"> that the average height between two cuts is close to the observed sward height (Table A1 and Fig. A2</w:t>
      </w:r>
      <w:r w:rsidR="00DE0F97" w:rsidRPr="00C3645A">
        <w:rPr>
          <w:color w:val="auto"/>
        </w:rPr>
        <w:t>), with a second constraint:</w:t>
      </w:r>
      <w:r w:rsidR="007F53FB" w:rsidRPr="00C3645A">
        <w:rPr>
          <w:color w:val="auto"/>
        </w:rPr>
        <w:t xml:space="preserve"> (</w:t>
      </w:r>
      <w:r w:rsidR="007F53FB" w:rsidRPr="00C3645A">
        <w:rPr>
          <w:i/>
          <w:iCs/>
          <w:color w:val="auto"/>
        </w:rPr>
        <w:t>ii</w:t>
      </w:r>
      <w:r w:rsidR="007F53FB" w:rsidRPr="00C3645A">
        <w:rPr>
          <w:color w:val="auto"/>
        </w:rPr>
        <w:t xml:space="preserve">) the sward height remaining after a cut had to be realistic considering that the cuts simulate a steer bite and that, on average, steers remove about 50-55% of the canopy height at each bite (Laca et al., 1992). The parameters that we used are available in Table A1. </w:t>
      </w:r>
      <w:r w:rsidR="00425B84" w:rsidRPr="00C3645A">
        <w:rPr>
          <w:color w:val="auto"/>
        </w:rPr>
        <w:t>Similarly to field observations, the total herbage production (THP) was computed as the sum of initial herbage mass and the herbage accumulation rate from all subperiods (</w:t>
      </w:r>
      <w:proofErr w:type="spellStart"/>
      <w:r w:rsidR="00425B84" w:rsidRPr="00C3645A">
        <w:rPr>
          <w:color w:val="auto"/>
        </w:rPr>
        <w:t>Kunrath</w:t>
      </w:r>
      <w:proofErr w:type="spellEnd"/>
      <w:r w:rsidR="00425B84" w:rsidRPr="00C3645A">
        <w:rPr>
          <w:color w:val="auto"/>
        </w:rPr>
        <w:t xml:space="preserve"> et al., 2020). </w:t>
      </w:r>
    </w:p>
    <w:p w14:paraId="3CCEA140" w14:textId="6B697C70" w:rsidR="00794F83" w:rsidRPr="00C3645A" w:rsidRDefault="00FD4A62" w:rsidP="00794F83">
      <w:pPr>
        <w:pStyle w:val="PubliManuscript"/>
        <w:rPr>
          <w:color w:val="auto"/>
        </w:rPr>
      </w:pPr>
      <w:r w:rsidRPr="00C3645A">
        <w:rPr>
          <w:color w:val="auto"/>
        </w:rPr>
        <w:t xml:space="preserve">For simulating the animal </w:t>
      </w:r>
      <w:r w:rsidR="0092628A" w:rsidRPr="00C3645A">
        <w:rPr>
          <w:color w:val="auto"/>
        </w:rPr>
        <w:t>excreta</w:t>
      </w:r>
      <w:r w:rsidRPr="00C3645A">
        <w:rPr>
          <w:color w:val="auto"/>
        </w:rPr>
        <w:t xml:space="preserve"> on the pasture</w:t>
      </w:r>
      <w:r w:rsidR="000B797F" w:rsidRPr="00C3645A">
        <w:rPr>
          <w:color w:val="auto"/>
        </w:rPr>
        <w:t xml:space="preserve"> (</w:t>
      </w:r>
      <w:r w:rsidRPr="00C3645A">
        <w:rPr>
          <w:color w:val="auto"/>
        </w:rPr>
        <w:t>dung and urine</w:t>
      </w:r>
      <w:r w:rsidR="000B797F" w:rsidRPr="00C3645A">
        <w:rPr>
          <w:color w:val="auto"/>
        </w:rPr>
        <w:t>)</w:t>
      </w:r>
      <w:r w:rsidRPr="00C3645A">
        <w:rPr>
          <w:color w:val="auto"/>
        </w:rPr>
        <w:t xml:space="preserve">, we used the methodology </w:t>
      </w:r>
      <w:r w:rsidR="0073205D" w:rsidRPr="00C3645A">
        <w:rPr>
          <w:color w:val="auto"/>
        </w:rPr>
        <w:t>proposed by</w:t>
      </w:r>
      <w:r w:rsidRPr="00C3645A">
        <w:rPr>
          <w:color w:val="auto"/>
        </w:rPr>
        <w:t xml:space="preserve"> </w:t>
      </w:r>
      <w:proofErr w:type="spellStart"/>
      <w:r w:rsidRPr="00C3645A">
        <w:rPr>
          <w:color w:val="auto"/>
        </w:rPr>
        <w:t>Graux</w:t>
      </w:r>
      <w:proofErr w:type="spellEnd"/>
      <w:r w:rsidRPr="00C3645A">
        <w:rPr>
          <w:color w:val="auto"/>
        </w:rPr>
        <w:t xml:space="preserve"> et al. (2020). </w:t>
      </w:r>
      <w:r w:rsidR="00F82F05" w:rsidRPr="00C3645A">
        <w:rPr>
          <w:color w:val="auto"/>
        </w:rPr>
        <w:t>At each cutting event</w:t>
      </w:r>
      <w:r w:rsidR="00C6157B" w:rsidRPr="00C3645A">
        <w:rPr>
          <w:color w:val="auto"/>
        </w:rPr>
        <w:t>, liquid manure and urea are spread, simulating animal faeces and urine.</w:t>
      </w:r>
      <w:r w:rsidR="001350F6" w:rsidRPr="00C3645A">
        <w:rPr>
          <w:color w:val="auto"/>
        </w:rPr>
        <w:t xml:space="preserve"> </w:t>
      </w:r>
      <w:r w:rsidR="005D39A1" w:rsidRPr="00C3645A">
        <w:rPr>
          <w:color w:val="auto"/>
        </w:rPr>
        <w:t>Nitrogen (N) amount associated to animal faeces is a linear function of the biomass that was removed by the cuts, which represents animals dry matter intake (DMI)</w:t>
      </w:r>
      <w:r w:rsidR="001350F6" w:rsidRPr="00C3645A">
        <w:rPr>
          <w:color w:val="auto"/>
        </w:rPr>
        <w:t>. The total quantity of animal faeces is derived from the N quantity</w:t>
      </w:r>
      <w:r w:rsidR="00FA3D1B" w:rsidRPr="00C3645A">
        <w:rPr>
          <w:color w:val="auto"/>
        </w:rPr>
        <w:t>, assuming that the N content in faeces is constant.</w:t>
      </w:r>
      <w:r w:rsidR="00303B87" w:rsidRPr="00C3645A">
        <w:rPr>
          <w:color w:val="auto"/>
        </w:rPr>
        <w:t xml:space="preserve"> Finally, the C:N ratio of animal faeces is derived from plant N concentration the day before the cutting event.</w:t>
      </w:r>
      <w:r w:rsidR="0033578D" w:rsidRPr="00C3645A">
        <w:rPr>
          <w:color w:val="auto"/>
        </w:rPr>
        <w:t xml:space="preserve"> </w:t>
      </w:r>
      <w:r w:rsidR="00E8009F" w:rsidRPr="00C3645A">
        <w:rPr>
          <w:color w:val="auto"/>
        </w:rPr>
        <w:t>N quantity in urine is computed as animal N intake minu</w:t>
      </w:r>
      <w:r w:rsidR="000C3F26" w:rsidRPr="00C3645A">
        <w:rPr>
          <w:color w:val="auto"/>
        </w:rPr>
        <w:t xml:space="preserve">s N lost in faeces and N </w:t>
      </w:r>
      <w:r w:rsidR="21FCE95D" w:rsidRPr="00C3645A">
        <w:rPr>
          <w:color w:val="auto"/>
        </w:rPr>
        <w:t xml:space="preserve">retained </w:t>
      </w:r>
      <w:r w:rsidR="000C3F26" w:rsidRPr="00C3645A">
        <w:rPr>
          <w:color w:val="auto"/>
        </w:rPr>
        <w:t>for growth</w:t>
      </w:r>
      <w:r w:rsidR="009B1172" w:rsidRPr="00C3645A">
        <w:rPr>
          <w:color w:val="auto"/>
        </w:rPr>
        <w:t xml:space="preserve">. </w:t>
      </w:r>
      <w:r w:rsidR="005A72B9" w:rsidRPr="00C3645A">
        <w:rPr>
          <w:color w:val="auto"/>
        </w:rPr>
        <w:t>Only two parameters, relating to the linear relationships between DMI and animal faeces N and urine N were respectively modified</w:t>
      </w:r>
      <w:r w:rsidR="009B1172" w:rsidRPr="00C3645A">
        <w:rPr>
          <w:color w:val="auto"/>
        </w:rPr>
        <w:t xml:space="preserve">: the first according to Da Souza et al. (2019), that measured steers individual </w:t>
      </w:r>
      <w:r w:rsidR="008B13B0" w:rsidRPr="00C3645A">
        <w:rPr>
          <w:color w:val="auto"/>
        </w:rPr>
        <w:t xml:space="preserve">DMI and fecal production; </w:t>
      </w:r>
      <w:r w:rsidR="00794F83" w:rsidRPr="00C3645A">
        <w:rPr>
          <w:color w:val="auto"/>
        </w:rPr>
        <w:t xml:space="preserve">and the second considering that animals in our experiment are growing beef cattle and not dairy cows (such as simulated by </w:t>
      </w:r>
      <w:proofErr w:type="spellStart"/>
      <w:r w:rsidR="00794F83" w:rsidRPr="00C3645A">
        <w:rPr>
          <w:color w:val="auto"/>
        </w:rPr>
        <w:t>Graux</w:t>
      </w:r>
      <w:proofErr w:type="spellEnd"/>
      <w:r w:rsidR="00794F83" w:rsidRPr="00C3645A">
        <w:rPr>
          <w:color w:val="auto"/>
        </w:rPr>
        <w:t xml:space="preserve"> et al., 2020). All modelling equations and further details to compute C and N amount of animal excreta are available in Appendix B.</w:t>
      </w:r>
    </w:p>
    <w:p w14:paraId="14B445A3" w14:textId="7A12AE37" w:rsidR="00AD6896" w:rsidRPr="00C3645A" w:rsidRDefault="7D3762E2" w:rsidP="00AD6896">
      <w:pPr>
        <w:pStyle w:val="PubliManuscript"/>
        <w:rPr>
          <w:color w:val="auto"/>
        </w:rPr>
      </w:pPr>
      <w:r w:rsidRPr="00C3645A">
        <w:rPr>
          <w:color w:val="auto"/>
        </w:rPr>
        <w:t>L</w:t>
      </w:r>
      <w:r w:rsidR="00AD6896" w:rsidRPr="00C3645A">
        <w:rPr>
          <w:color w:val="auto"/>
        </w:rPr>
        <w:t xml:space="preserve">ive weight (LW) gain </w:t>
      </w:r>
      <w:r w:rsidR="7C7D4A52" w:rsidRPr="00C3645A">
        <w:rPr>
          <w:color w:val="auto"/>
        </w:rPr>
        <w:t xml:space="preserve">of the animals </w:t>
      </w:r>
      <w:r w:rsidR="00723403" w:rsidRPr="00C3645A">
        <w:rPr>
          <w:color w:val="auto"/>
        </w:rPr>
        <w:t>was</w:t>
      </w:r>
      <w:r w:rsidR="00AD6896" w:rsidRPr="00C3645A">
        <w:rPr>
          <w:color w:val="auto"/>
        </w:rPr>
        <w:t xml:space="preserve"> computed from total herbage production following the relationship of Figure </w:t>
      </w:r>
      <w:r w:rsidR="00692004" w:rsidRPr="00C3645A">
        <w:rPr>
          <w:color w:val="auto"/>
        </w:rPr>
        <w:t>A</w:t>
      </w:r>
      <w:r w:rsidR="0047073A" w:rsidRPr="00C3645A">
        <w:rPr>
          <w:color w:val="auto"/>
        </w:rPr>
        <w:t>3</w:t>
      </w:r>
      <w:r w:rsidR="00AD6896" w:rsidRPr="00C3645A">
        <w:rPr>
          <w:color w:val="auto"/>
        </w:rPr>
        <w:t>.</w:t>
      </w:r>
      <w:r w:rsidR="006D00E3" w:rsidRPr="00C3645A">
        <w:rPr>
          <w:color w:val="auto"/>
        </w:rPr>
        <w:t xml:space="preserve"> B</w:t>
      </w:r>
      <w:r w:rsidR="000F5D8C" w:rsidRPr="00C3645A">
        <w:rPr>
          <w:color w:val="auto"/>
        </w:rPr>
        <w:t xml:space="preserve">ased on </w:t>
      </w:r>
      <w:r w:rsidR="00932358" w:rsidRPr="00C3645A">
        <w:rPr>
          <w:color w:val="auto"/>
        </w:rPr>
        <w:t xml:space="preserve">the field observations of </w:t>
      </w:r>
      <w:r w:rsidR="00992793" w:rsidRPr="00C3645A">
        <w:rPr>
          <w:color w:val="auto"/>
        </w:rPr>
        <w:t>de Albuquerque et al. (2019)</w:t>
      </w:r>
      <w:r w:rsidR="000F5D8C" w:rsidRPr="00C3645A">
        <w:rPr>
          <w:color w:val="auto"/>
        </w:rPr>
        <w:t>,</w:t>
      </w:r>
      <w:r w:rsidR="00AD6896" w:rsidRPr="00C3645A">
        <w:rPr>
          <w:color w:val="auto"/>
        </w:rPr>
        <w:t xml:space="preserve"> </w:t>
      </w:r>
      <w:r w:rsidR="006D00E3" w:rsidRPr="00C3645A">
        <w:rPr>
          <w:color w:val="auto"/>
        </w:rPr>
        <w:t xml:space="preserve">we linked </w:t>
      </w:r>
      <w:r w:rsidR="00AD6896" w:rsidRPr="00C3645A">
        <w:rPr>
          <w:color w:val="auto"/>
        </w:rPr>
        <w:t xml:space="preserve">the observed total herbage production </w:t>
      </w:r>
      <w:r w:rsidR="00BB71C2" w:rsidRPr="00C3645A">
        <w:rPr>
          <w:color w:val="auto"/>
        </w:rPr>
        <w:t>(</w:t>
      </w:r>
      <w:r w:rsidR="00AD6896" w:rsidRPr="00C3645A">
        <w:rPr>
          <w:color w:val="auto"/>
        </w:rPr>
        <w:t>kg DM ha</w:t>
      </w:r>
      <w:r w:rsidR="00AD6896" w:rsidRPr="00C3645A">
        <w:rPr>
          <w:color w:val="auto"/>
          <w:vertAlign w:val="superscript"/>
        </w:rPr>
        <w:t>-1</w:t>
      </w:r>
      <w:r w:rsidR="00AD6896" w:rsidRPr="00C3645A">
        <w:rPr>
          <w:color w:val="auto"/>
        </w:rPr>
        <w:t>)</w:t>
      </w:r>
      <w:r w:rsidR="005810E6" w:rsidRPr="00C3645A">
        <w:rPr>
          <w:color w:val="auto"/>
        </w:rPr>
        <w:t xml:space="preserve"> -</w:t>
      </w:r>
      <w:r w:rsidR="00AD6896" w:rsidRPr="00C3645A">
        <w:rPr>
          <w:color w:val="auto"/>
        </w:rPr>
        <w:t xml:space="preserve"> i.e. the herbage available for grazing measured with exclusion cages (</w:t>
      </w:r>
      <w:proofErr w:type="spellStart"/>
      <w:r w:rsidR="00AD6896" w:rsidRPr="00C3645A">
        <w:rPr>
          <w:color w:val="auto"/>
        </w:rPr>
        <w:t>Kunrath</w:t>
      </w:r>
      <w:proofErr w:type="spellEnd"/>
      <w:r w:rsidR="00AD6896" w:rsidRPr="00C3645A">
        <w:rPr>
          <w:color w:val="auto"/>
        </w:rPr>
        <w:t xml:space="preserve"> et al., 2020; Klingman, 1943)</w:t>
      </w:r>
      <w:r w:rsidR="00057B18" w:rsidRPr="00C3645A">
        <w:rPr>
          <w:color w:val="auto"/>
        </w:rPr>
        <w:t xml:space="preserve"> - </w:t>
      </w:r>
      <w:r w:rsidR="00AD6896" w:rsidRPr="00C3645A">
        <w:rPr>
          <w:color w:val="auto"/>
        </w:rPr>
        <w:t>with the observed total live weight gain</w:t>
      </w:r>
      <w:r w:rsidR="00FB3FBE" w:rsidRPr="00C3645A">
        <w:rPr>
          <w:color w:val="auto"/>
        </w:rPr>
        <w:t xml:space="preserve"> per hectare</w:t>
      </w:r>
      <w:r w:rsidR="00AD6896" w:rsidRPr="00C3645A">
        <w:rPr>
          <w:color w:val="auto"/>
        </w:rPr>
        <w:t xml:space="preserve"> (in kg LW ha</w:t>
      </w:r>
      <w:r w:rsidR="00AD6896" w:rsidRPr="00C3645A">
        <w:rPr>
          <w:color w:val="auto"/>
          <w:vertAlign w:val="superscript"/>
        </w:rPr>
        <w:t>-1</w:t>
      </w:r>
      <w:r w:rsidR="00AD6896" w:rsidRPr="00C3645A">
        <w:rPr>
          <w:color w:val="auto"/>
        </w:rPr>
        <w:t xml:space="preserve">). </w:t>
      </w:r>
      <w:r w:rsidR="007B3555" w:rsidRPr="00C3645A">
        <w:rPr>
          <w:color w:val="auto"/>
        </w:rPr>
        <w:t>The ratio between the two is</w:t>
      </w:r>
      <w:r w:rsidR="00A5747C" w:rsidRPr="00C3645A">
        <w:rPr>
          <w:color w:val="auto"/>
        </w:rPr>
        <w:t xml:space="preserve"> known as</w:t>
      </w:r>
      <w:r w:rsidR="007B3555" w:rsidRPr="00C3645A">
        <w:rPr>
          <w:color w:val="auto"/>
        </w:rPr>
        <w:t xml:space="preserve"> the Forage Conversion Ratio (FCR)</w:t>
      </w:r>
      <w:r w:rsidR="00514F0B" w:rsidRPr="00C3645A">
        <w:rPr>
          <w:color w:val="auto"/>
        </w:rPr>
        <w:t xml:space="preserve">. </w:t>
      </w:r>
      <w:r w:rsidR="007B3555" w:rsidRPr="00C3645A">
        <w:rPr>
          <w:color w:val="auto"/>
        </w:rPr>
        <w:t xml:space="preserve">This ratio decreases with decreasing grazing intensities (Fig. A3), meaning that lower </w:t>
      </w:r>
      <w:r w:rsidR="007B3555" w:rsidRPr="00C3645A">
        <w:rPr>
          <w:color w:val="auto"/>
        </w:rPr>
        <w:lastRenderedPageBreak/>
        <w:t>stocking rates induce forage losses</w:t>
      </w:r>
      <w:r w:rsidR="00E80E6E" w:rsidRPr="00C3645A">
        <w:rPr>
          <w:color w:val="auto"/>
        </w:rPr>
        <w:t>.</w:t>
      </w:r>
    </w:p>
    <w:p w14:paraId="62E0482B" w14:textId="51F7936E" w:rsidR="00AD6896" w:rsidRPr="00C3645A" w:rsidRDefault="00830091" w:rsidP="00AD6896">
      <w:pPr>
        <w:pStyle w:val="Publi2"/>
        <w:rPr>
          <w:color w:val="auto"/>
        </w:rPr>
      </w:pPr>
      <w:r w:rsidRPr="00C3645A">
        <w:rPr>
          <w:color w:val="auto"/>
        </w:rPr>
        <w:t xml:space="preserve"> </w:t>
      </w:r>
      <w:r w:rsidR="00AD6896" w:rsidRPr="00C3645A">
        <w:rPr>
          <w:color w:val="auto"/>
        </w:rPr>
        <w:t>Systemic indicators</w:t>
      </w:r>
    </w:p>
    <w:p w14:paraId="15ADCC29" w14:textId="77777777" w:rsidR="00FD3129" w:rsidRPr="00C3645A" w:rsidRDefault="00C62143" w:rsidP="00E56933">
      <w:pPr>
        <w:pStyle w:val="PubliManuscript"/>
        <w:rPr>
          <w:color w:val="auto"/>
        </w:rPr>
      </w:pPr>
      <w:r w:rsidRPr="00C3645A">
        <w:rPr>
          <w:color w:val="auto"/>
        </w:rPr>
        <w:t xml:space="preserve">The total productivity of the system was computed following </w:t>
      </w:r>
      <w:r w:rsidR="00C30BD7" w:rsidRPr="00C3645A">
        <w:rPr>
          <w:color w:val="auto"/>
        </w:rPr>
        <w:t>three</w:t>
      </w:r>
      <w:r w:rsidRPr="00C3645A">
        <w:rPr>
          <w:color w:val="auto"/>
        </w:rPr>
        <w:t xml:space="preserve"> axes. Firstly, we considered (</w:t>
      </w:r>
      <w:proofErr w:type="spellStart"/>
      <w:r w:rsidRPr="00C3645A">
        <w:rPr>
          <w:i/>
          <w:iCs/>
          <w:color w:val="auto"/>
        </w:rPr>
        <w:t>i</w:t>
      </w:r>
      <w:proofErr w:type="spellEnd"/>
      <w:r w:rsidRPr="00C3645A">
        <w:rPr>
          <w:color w:val="auto"/>
        </w:rPr>
        <w:t>) the agronomic production as the sum of herbage production and soybean production (both expressed in T DM ha</w:t>
      </w:r>
      <w:r w:rsidRPr="00C3645A">
        <w:rPr>
          <w:color w:val="auto"/>
          <w:vertAlign w:val="superscript"/>
        </w:rPr>
        <w:t>-1</w:t>
      </w:r>
      <w:r w:rsidRPr="00C3645A">
        <w:rPr>
          <w:color w:val="auto"/>
        </w:rPr>
        <w:t xml:space="preserve">). </w:t>
      </w:r>
      <w:r w:rsidR="007C2769" w:rsidRPr="00C3645A">
        <w:rPr>
          <w:color w:val="auto"/>
        </w:rPr>
        <w:t>Secondly, we investigated (</w:t>
      </w:r>
      <w:r w:rsidR="007C2769" w:rsidRPr="00C3645A">
        <w:rPr>
          <w:i/>
          <w:iCs/>
          <w:color w:val="auto"/>
        </w:rPr>
        <w:t>ii</w:t>
      </w:r>
      <w:r w:rsidR="007C2769" w:rsidRPr="00C3645A">
        <w:rPr>
          <w:color w:val="auto"/>
        </w:rPr>
        <w:t>) the food-related energic production through the sum of nutritive values of meat and soybean for humans (expressed in kcal ha</w:t>
      </w:r>
      <w:r w:rsidR="007C2769" w:rsidRPr="00C3645A">
        <w:rPr>
          <w:color w:val="auto"/>
          <w:vertAlign w:val="superscript"/>
        </w:rPr>
        <w:t>-1</w:t>
      </w:r>
      <w:r w:rsidR="007C2769" w:rsidRPr="00C3645A">
        <w:rPr>
          <w:color w:val="auto"/>
        </w:rPr>
        <w:t>). Finally, (</w:t>
      </w:r>
      <w:r w:rsidR="007C2769" w:rsidRPr="00C3645A">
        <w:rPr>
          <w:i/>
          <w:iCs/>
          <w:color w:val="auto"/>
        </w:rPr>
        <w:t>iii</w:t>
      </w:r>
      <w:r w:rsidR="007C2769" w:rsidRPr="00C3645A">
        <w:rPr>
          <w:color w:val="auto"/>
        </w:rPr>
        <w:t>) the economic values of production were considered through the gross profit, i.e. the sum of meat and soybean production (expressed in USD ha</w:t>
      </w:r>
      <w:r w:rsidR="007C2769" w:rsidRPr="00C3645A">
        <w:rPr>
          <w:color w:val="auto"/>
          <w:vertAlign w:val="superscript"/>
        </w:rPr>
        <w:t>-1</w:t>
      </w:r>
      <w:r w:rsidR="007C2769" w:rsidRPr="00C3645A">
        <w:rPr>
          <w:color w:val="auto"/>
        </w:rPr>
        <w:t xml:space="preserve">). </w:t>
      </w:r>
    </w:p>
    <w:p w14:paraId="35797349" w14:textId="13AF009A" w:rsidR="00FD3129" w:rsidRPr="00C3645A" w:rsidRDefault="007C2769" w:rsidP="00E56933">
      <w:pPr>
        <w:pStyle w:val="PubliManuscript"/>
        <w:rPr>
          <w:color w:val="auto"/>
        </w:rPr>
      </w:pPr>
      <w:r w:rsidRPr="00C3645A">
        <w:rPr>
          <w:color w:val="auto"/>
        </w:rPr>
        <w:t xml:space="preserve">Concerning the nutritive value of live weight gain, </w:t>
      </w:r>
      <w:r w:rsidR="002977F6" w:rsidRPr="00C3645A">
        <w:rPr>
          <w:color w:val="auto"/>
        </w:rPr>
        <w:t xml:space="preserve">we considered that 1 kg of live weight gain was equal to 0.83 </w:t>
      </w:r>
      <w:proofErr w:type="spellStart"/>
      <w:r w:rsidR="002977F6" w:rsidRPr="00C3645A">
        <w:rPr>
          <w:color w:val="auto"/>
        </w:rPr>
        <w:t>Mcal</w:t>
      </w:r>
      <w:proofErr w:type="spellEnd"/>
      <w:r w:rsidR="002977F6" w:rsidRPr="00C3645A">
        <w:rPr>
          <w:color w:val="auto"/>
        </w:rPr>
        <w:t xml:space="preserve">, </w:t>
      </w:r>
      <w:r w:rsidRPr="00C3645A">
        <w:rPr>
          <w:color w:val="auto"/>
        </w:rPr>
        <w:t xml:space="preserve">taking into account </w:t>
      </w:r>
      <w:r w:rsidR="002977F6" w:rsidRPr="00C3645A">
        <w:rPr>
          <w:color w:val="auto"/>
        </w:rPr>
        <w:t>(</w:t>
      </w:r>
      <w:proofErr w:type="spellStart"/>
      <w:r w:rsidR="002977F6" w:rsidRPr="00C3645A">
        <w:rPr>
          <w:i/>
          <w:iCs/>
          <w:color w:val="auto"/>
        </w:rPr>
        <w:t>i</w:t>
      </w:r>
      <w:proofErr w:type="spellEnd"/>
      <w:r w:rsidR="002977F6" w:rsidRPr="00C3645A">
        <w:rPr>
          <w:color w:val="auto"/>
        </w:rPr>
        <w:t>)</w:t>
      </w:r>
      <w:r w:rsidR="002977F6" w:rsidRPr="00C3645A">
        <w:rPr>
          <w:i/>
          <w:iCs/>
          <w:color w:val="auto"/>
        </w:rPr>
        <w:t xml:space="preserve"> </w:t>
      </w:r>
      <w:r w:rsidR="00BA79D6" w:rsidRPr="00C3645A">
        <w:rPr>
          <w:color w:val="auto"/>
        </w:rPr>
        <w:t>a</w:t>
      </w:r>
      <w:r w:rsidRPr="00C3645A">
        <w:rPr>
          <w:color w:val="auto"/>
        </w:rPr>
        <w:t xml:space="preserve"> dressing percentage, i.e. the ratio of carcass weight over total live weight, </w:t>
      </w:r>
      <w:r w:rsidR="00D4111A" w:rsidRPr="00C3645A">
        <w:rPr>
          <w:color w:val="auto"/>
        </w:rPr>
        <w:t>equal to</w:t>
      </w:r>
      <w:r w:rsidRPr="00C3645A">
        <w:rPr>
          <w:color w:val="auto"/>
        </w:rPr>
        <w:t xml:space="preserve"> 52% (reported in our field experiment by Aguinaga et al. (2006)), </w:t>
      </w:r>
      <w:r w:rsidR="00606CA5" w:rsidRPr="00C3645A">
        <w:rPr>
          <w:color w:val="auto"/>
        </w:rPr>
        <w:t>(</w:t>
      </w:r>
      <w:r w:rsidR="00606CA5" w:rsidRPr="00C3645A">
        <w:rPr>
          <w:i/>
          <w:iCs/>
          <w:color w:val="auto"/>
        </w:rPr>
        <w:t>ii</w:t>
      </w:r>
      <w:r w:rsidR="00606CA5" w:rsidRPr="00C3645A">
        <w:rPr>
          <w:color w:val="auto"/>
        </w:rPr>
        <w:t xml:space="preserve">) </w:t>
      </w:r>
      <w:r w:rsidRPr="00C3645A">
        <w:rPr>
          <w:color w:val="auto"/>
        </w:rPr>
        <w:t>that</w:t>
      </w:r>
      <w:r w:rsidR="00691927" w:rsidRPr="00C3645A">
        <w:rPr>
          <w:color w:val="auto"/>
        </w:rPr>
        <w:t>,</w:t>
      </w:r>
      <w:r w:rsidRPr="00C3645A">
        <w:rPr>
          <w:color w:val="auto"/>
        </w:rPr>
        <w:t xml:space="preserve"> in average</w:t>
      </w:r>
      <w:r w:rsidR="00691927" w:rsidRPr="00C3645A">
        <w:rPr>
          <w:color w:val="auto"/>
        </w:rPr>
        <w:t>,</w:t>
      </w:r>
      <w:r w:rsidRPr="00C3645A">
        <w:rPr>
          <w:color w:val="auto"/>
        </w:rPr>
        <w:t xml:space="preserve"> 62.73% of this carcass is available for retail product (Diles et al., 1996)</w:t>
      </w:r>
      <w:r w:rsidR="00691927" w:rsidRPr="00C3645A">
        <w:rPr>
          <w:color w:val="auto"/>
        </w:rPr>
        <w:t>,</w:t>
      </w:r>
      <w:r w:rsidRPr="00C3645A">
        <w:rPr>
          <w:color w:val="auto"/>
        </w:rPr>
        <w:t xml:space="preserve"> and</w:t>
      </w:r>
      <w:r w:rsidR="00691927" w:rsidRPr="00C3645A">
        <w:rPr>
          <w:color w:val="auto"/>
        </w:rPr>
        <w:t xml:space="preserve"> (</w:t>
      </w:r>
      <w:r w:rsidR="00691927" w:rsidRPr="00C3645A">
        <w:rPr>
          <w:i/>
          <w:iCs/>
          <w:color w:val="auto"/>
        </w:rPr>
        <w:t>iii</w:t>
      </w:r>
      <w:r w:rsidR="00691927" w:rsidRPr="00C3645A">
        <w:rPr>
          <w:color w:val="auto"/>
        </w:rPr>
        <w:t>)</w:t>
      </w:r>
      <w:r w:rsidRPr="00C3645A">
        <w:rPr>
          <w:color w:val="auto"/>
        </w:rPr>
        <w:t xml:space="preserve"> that 1 kg of beef meat</w:t>
      </w:r>
      <w:r w:rsidR="00143E80" w:rsidRPr="00C3645A">
        <w:rPr>
          <w:color w:val="auto"/>
        </w:rPr>
        <w:t>, i.e. the retail product,</w:t>
      </w:r>
      <w:r w:rsidRPr="00C3645A">
        <w:rPr>
          <w:color w:val="auto"/>
        </w:rPr>
        <w:t xml:space="preserve"> is equal to 2.54 </w:t>
      </w:r>
      <w:proofErr w:type="spellStart"/>
      <w:r w:rsidRPr="00C3645A">
        <w:rPr>
          <w:color w:val="auto"/>
        </w:rPr>
        <w:t>Mcal</w:t>
      </w:r>
      <w:proofErr w:type="spellEnd"/>
      <w:r w:rsidRPr="00C3645A">
        <w:rPr>
          <w:color w:val="auto"/>
        </w:rPr>
        <w:t xml:space="preserve"> (USDA, 2019)</w:t>
      </w:r>
      <w:r w:rsidR="003B4B65" w:rsidRPr="00C3645A">
        <w:rPr>
          <w:color w:val="auto"/>
        </w:rPr>
        <w:t>. Fo</w:t>
      </w:r>
      <w:r w:rsidR="00B1659C" w:rsidRPr="00C3645A">
        <w:rPr>
          <w:color w:val="auto"/>
        </w:rPr>
        <w:t>r soybean</w:t>
      </w:r>
      <w:r w:rsidR="7D8B3416" w:rsidRPr="00C3645A">
        <w:rPr>
          <w:color w:val="auto"/>
        </w:rPr>
        <w:t>s</w:t>
      </w:r>
      <w:r w:rsidR="00B1659C" w:rsidRPr="00C3645A">
        <w:rPr>
          <w:color w:val="auto"/>
        </w:rPr>
        <w:t xml:space="preserve">, </w:t>
      </w:r>
      <w:r w:rsidR="00785E98" w:rsidRPr="00C3645A">
        <w:rPr>
          <w:color w:val="auto"/>
        </w:rPr>
        <w:t xml:space="preserve">we considered that 1 kg of </w:t>
      </w:r>
      <w:r w:rsidR="0065392B" w:rsidRPr="00C3645A">
        <w:rPr>
          <w:color w:val="auto"/>
        </w:rPr>
        <w:t>grain yield</w:t>
      </w:r>
      <w:r w:rsidR="00785E98" w:rsidRPr="00C3645A">
        <w:rPr>
          <w:color w:val="auto"/>
        </w:rPr>
        <w:t xml:space="preserve"> was equal to 4.7 </w:t>
      </w:r>
      <w:proofErr w:type="spellStart"/>
      <w:r w:rsidR="00785E98" w:rsidRPr="00C3645A">
        <w:rPr>
          <w:color w:val="auto"/>
        </w:rPr>
        <w:t>Mcal</w:t>
      </w:r>
      <w:proofErr w:type="spellEnd"/>
      <w:r w:rsidR="00B1659C" w:rsidRPr="00C3645A">
        <w:rPr>
          <w:color w:val="auto"/>
        </w:rPr>
        <w:t xml:space="preserve"> (USDA, 2019</w:t>
      </w:r>
      <w:r w:rsidR="00E56933" w:rsidRPr="00C3645A">
        <w:rPr>
          <w:color w:val="auto"/>
        </w:rPr>
        <w:t xml:space="preserve">). </w:t>
      </w:r>
    </w:p>
    <w:p w14:paraId="47AE54E4" w14:textId="675B5284" w:rsidR="00E56933" w:rsidRPr="00C3645A" w:rsidRDefault="00E56933" w:rsidP="00E56933">
      <w:pPr>
        <w:pStyle w:val="PubliManuscript"/>
        <w:rPr>
          <w:color w:val="auto"/>
        </w:rPr>
      </w:pPr>
      <w:r w:rsidRPr="00C3645A">
        <w:rPr>
          <w:color w:val="auto"/>
        </w:rPr>
        <w:t xml:space="preserve">Regarding profitability, operational costs of soybean, </w:t>
      </w:r>
      <w:r w:rsidR="009731A1" w:rsidRPr="00C3645A">
        <w:rPr>
          <w:color w:val="auto"/>
        </w:rPr>
        <w:t>pastures</w:t>
      </w:r>
      <w:r w:rsidRPr="00C3645A">
        <w:rPr>
          <w:color w:val="auto"/>
        </w:rPr>
        <w:t xml:space="preserve"> and livestock operations were taken into account</w:t>
      </w:r>
      <w:r w:rsidR="007C5E8E" w:rsidRPr="00C3645A">
        <w:rPr>
          <w:color w:val="auto"/>
        </w:rPr>
        <w:t>,</w:t>
      </w:r>
      <w:r w:rsidRPr="00C3645A">
        <w:rPr>
          <w:color w:val="auto"/>
        </w:rPr>
        <w:t xml:space="preserve"> </w:t>
      </w:r>
      <w:r w:rsidR="008D792E" w:rsidRPr="00C3645A">
        <w:rPr>
          <w:color w:val="auto"/>
        </w:rPr>
        <w:t>altogether</w:t>
      </w:r>
      <w:r w:rsidR="00D339C5" w:rsidRPr="00C3645A">
        <w:rPr>
          <w:color w:val="auto"/>
        </w:rPr>
        <w:t xml:space="preserve"> with</w:t>
      </w:r>
      <w:r w:rsidRPr="00C3645A">
        <w:rPr>
          <w:color w:val="auto"/>
        </w:rPr>
        <w:t xml:space="preserve"> grain and animal sales.</w:t>
      </w:r>
      <w:r w:rsidR="00780CCB" w:rsidRPr="00C3645A">
        <w:rPr>
          <w:color w:val="auto"/>
        </w:rPr>
        <w:t xml:space="preserve"> Costs and revenues were </w:t>
      </w:r>
      <w:r w:rsidR="00FA5F14" w:rsidRPr="00C3645A">
        <w:rPr>
          <w:color w:val="auto"/>
        </w:rPr>
        <w:t>calculate</w:t>
      </w:r>
      <w:r w:rsidR="001A1144" w:rsidRPr="00C3645A">
        <w:rPr>
          <w:color w:val="auto"/>
        </w:rPr>
        <w:t xml:space="preserve">d using historical market sale prices. </w:t>
      </w:r>
      <w:r w:rsidR="00A631C8" w:rsidRPr="00C3645A">
        <w:rPr>
          <w:color w:val="auto"/>
        </w:rPr>
        <w:t>Livestock operational costs</w:t>
      </w:r>
      <w:r w:rsidR="00383584" w:rsidRPr="00C3645A">
        <w:rPr>
          <w:color w:val="auto"/>
        </w:rPr>
        <w:t xml:space="preserve"> and opportunity costs of capital were specific to </w:t>
      </w:r>
      <w:r w:rsidR="001E6CB9" w:rsidRPr="00C3645A">
        <w:rPr>
          <w:color w:val="auto"/>
        </w:rPr>
        <w:t>each ungrazed and ICLS</w:t>
      </w:r>
      <w:r w:rsidR="00383584" w:rsidRPr="00C3645A">
        <w:rPr>
          <w:color w:val="auto"/>
        </w:rPr>
        <w:t xml:space="preserve"> treatment, whereas soybean costs were considered as constant between treatments given that crop management was similar.</w:t>
      </w:r>
      <w:r w:rsidRPr="00C3645A">
        <w:rPr>
          <w:color w:val="auto"/>
        </w:rPr>
        <w:t xml:space="preserve"> </w:t>
      </w:r>
      <w:bookmarkStart w:id="1" w:name="_Hlk152052652"/>
      <w:r w:rsidRPr="00C3645A">
        <w:rPr>
          <w:color w:val="auto"/>
        </w:rPr>
        <w:t xml:space="preserve">The whole computational methodology for this third metric was adapted from de Albuquerque et al. (2021). </w:t>
      </w:r>
      <w:bookmarkEnd w:id="1"/>
      <w:r w:rsidR="00B774AB" w:rsidRPr="00C3645A">
        <w:rPr>
          <w:color w:val="auto"/>
        </w:rPr>
        <w:t xml:space="preserve">Both costs and revenues from grain and animal </w:t>
      </w:r>
      <w:r w:rsidR="0046792C" w:rsidRPr="00C3645A">
        <w:rPr>
          <w:color w:val="auto"/>
        </w:rPr>
        <w:t xml:space="preserve">products </w:t>
      </w:r>
      <w:r w:rsidR="00B774AB" w:rsidRPr="00C3645A">
        <w:rPr>
          <w:color w:val="auto"/>
        </w:rPr>
        <w:t xml:space="preserve">were considered constant </w:t>
      </w:r>
      <w:r w:rsidR="0046792C" w:rsidRPr="00C3645A">
        <w:rPr>
          <w:color w:val="auto"/>
        </w:rPr>
        <w:t xml:space="preserve">even in the future climatic scenario, in order to </w:t>
      </w:r>
      <w:r w:rsidR="00060185" w:rsidRPr="00C3645A">
        <w:rPr>
          <w:color w:val="auto"/>
        </w:rPr>
        <w:t>avoid economic hypotheses within</w:t>
      </w:r>
      <w:r w:rsidR="00B555BD" w:rsidRPr="00C3645A">
        <w:rPr>
          <w:color w:val="auto"/>
        </w:rPr>
        <w:t xml:space="preserve"> productivity comparisons.</w:t>
      </w:r>
    </w:p>
    <w:p w14:paraId="53DD5EA9" w14:textId="04CD3DC7" w:rsidR="00E04737" w:rsidRPr="00C3645A" w:rsidRDefault="00E04737" w:rsidP="00E04737">
      <w:pPr>
        <w:pStyle w:val="PubliManuscript"/>
        <w:rPr>
          <w:color w:val="auto"/>
        </w:rPr>
      </w:pPr>
      <w:r w:rsidRPr="00C3645A">
        <w:rPr>
          <w:color w:val="auto"/>
        </w:rPr>
        <w:t xml:space="preserve">To study the adaptation of assessed systems to climate change, we considered the evolution of the total productivities of the systems, but also their stability and resistance against </w:t>
      </w:r>
      <w:r w:rsidR="00565736" w:rsidRPr="00C3645A">
        <w:rPr>
          <w:color w:val="auto"/>
        </w:rPr>
        <w:t>extreme climati</w:t>
      </w:r>
      <w:r w:rsidR="0090740B" w:rsidRPr="00C3645A">
        <w:rPr>
          <w:color w:val="auto"/>
        </w:rPr>
        <w:t xml:space="preserve">c </w:t>
      </w:r>
      <w:r w:rsidR="00565736" w:rsidRPr="00C3645A">
        <w:rPr>
          <w:color w:val="auto"/>
        </w:rPr>
        <w:t xml:space="preserve">events </w:t>
      </w:r>
      <w:r w:rsidRPr="00C3645A">
        <w:rPr>
          <w:color w:val="auto"/>
        </w:rPr>
        <w:t>project</w:t>
      </w:r>
      <w:r w:rsidR="00565736" w:rsidRPr="00C3645A">
        <w:rPr>
          <w:color w:val="auto"/>
        </w:rPr>
        <w:t>ed</w:t>
      </w:r>
      <w:r w:rsidRPr="00C3645A">
        <w:rPr>
          <w:color w:val="auto"/>
        </w:rPr>
        <w:t xml:space="preserve"> for the period 2041-2058 under RCP8.5.</w:t>
      </w:r>
    </w:p>
    <w:p w14:paraId="618A8CF0" w14:textId="77777777" w:rsidR="000F43F6" w:rsidRPr="00C3645A" w:rsidRDefault="000F43F6" w:rsidP="000F43F6">
      <w:pPr>
        <w:pStyle w:val="PubliManuscript"/>
        <w:rPr>
          <w:color w:val="auto"/>
        </w:rPr>
      </w:pPr>
      <w:r w:rsidRPr="00C3645A">
        <w:rPr>
          <w:color w:val="auto"/>
        </w:rPr>
        <w:t xml:space="preserve">Following the definition of Isbell et al. (2015), the stability of the agroecosystem productivities, namely total herbage production, soybean yield and live weight gain, were computed as the ratio of </w:t>
      </w:r>
      <w:r w:rsidRPr="00C3645A">
        <w:rPr>
          <w:color w:val="auto"/>
        </w:rPr>
        <w:lastRenderedPageBreak/>
        <w:t>their respective mean productivity (</w:t>
      </w:r>
      <m:oMath>
        <m:r>
          <w:rPr>
            <w:rFonts w:ascii="Cambria Math" w:hAnsi="Cambria Math"/>
            <w:color w:val="auto"/>
          </w:rPr>
          <m:t>μ</m:t>
        </m:r>
      </m:oMath>
      <w:r w:rsidRPr="00C3645A">
        <w:rPr>
          <w:color w:val="auto"/>
        </w:rPr>
        <w:t>) over their respective standard deviation (</w:t>
      </w:r>
      <m:oMath>
        <m:r>
          <w:rPr>
            <w:rFonts w:ascii="Cambria Math" w:hAnsi="Cambria Math"/>
            <w:color w:val="auto"/>
          </w:rPr>
          <m:t>σ</m:t>
        </m:r>
      </m:oMath>
      <w:r w:rsidRPr="00C3645A">
        <w:rPr>
          <w:color w:val="auto"/>
        </w:rPr>
        <w:t>):</w:t>
      </w:r>
    </w:p>
    <w:p w14:paraId="5EBB6ED8" w14:textId="674012D2" w:rsidR="00BE0060" w:rsidRPr="00C3645A" w:rsidRDefault="00066C8B" w:rsidP="4A4BFAD7">
      <w:pPr>
        <w:pStyle w:val="PubliManuscript"/>
        <w:jc w:val="center"/>
        <w:rPr>
          <w:color w:val="auto"/>
        </w:rPr>
      </w:pPr>
      <m:oMathPara>
        <m:oMath>
          <m:eqArr>
            <m:eqArrPr>
              <m:maxDist m:val="1"/>
              <m:ctrlPr>
                <w:rPr>
                  <w:rFonts w:ascii="Cambria Math" w:hAnsi="Cambria Math"/>
                  <w:i/>
                  <w:color w:val="auto"/>
                </w:rPr>
              </m:ctrlPr>
            </m:eqArrPr>
            <m:e>
              <m:r>
                <m:rPr>
                  <m:sty m:val="p"/>
                </m:rPr>
                <w:rPr>
                  <w:rFonts w:ascii="Cambria Math" w:hAnsi="Cambria Math"/>
                  <w:color w:val="auto"/>
                </w:rPr>
                <m:t>Stability</m:t>
              </m:r>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μ</m:t>
                  </m:r>
                </m:num>
                <m:den>
                  <m:r>
                    <w:rPr>
                      <w:rFonts w:ascii="Cambria Math" w:hAnsi="Cambria Math"/>
                      <w:color w:val="auto"/>
                    </w:rPr>
                    <m:t>σ</m:t>
                  </m:r>
                </m:den>
              </m:f>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1</m:t>
                  </m:r>
                </m:e>
              </m:d>
            </m:e>
          </m:eqArr>
        </m:oMath>
      </m:oMathPara>
    </w:p>
    <w:p w14:paraId="53BC737F" w14:textId="0E20D5D7" w:rsidR="00B04C9E" w:rsidRPr="00C3645A" w:rsidRDefault="00B04C9E" w:rsidP="00B04C9E">
      <w:pPr>
        <w:pStyle w:val="PubliManuscript"/>
        <w:rPr>
          <w:color w:val="auto"/>
        </w:rPr>
      </w:pPr>
      <w:r w:rsidRPr="00C3645A">
        <w:rPr>
          <w:color w:val="auto"/>
        </w:rPr>
        <w:t xml:space="preserve">Stability indicators are dimensionless and thus directly comparable between different levels of productivity. Yet, considering concomitantly the </w:t>
      </w:r>
      <w:r w:rsidR="00DE5331" w:rsidRPr="00C3645A">
        <w:rPr>
          <w:color w:val="auto"/>
        </w:rPr>
        <w:t>standard deviation</w:t>
      </w:r>
      <w:r w:rsidRPr="00C3645A">
        <w:rPr>
          <w:color w:val="auto"/>
        </w:rPr>
        <w:t xml:space="preserve"> and the mean productivity </w:t>
      </w:r>
      <w:r w:rsidR="00BA0EAD" w:rsidRPr="00C3645A">
        <w:rPr>
          <w:color w:val="auto"/>
        </w:rPr>
        <w:t xml:space="preserve">within </w:t>
      </w:r>
      <w:r w:rsidR="00D65241" w:rsidRPr="00C3645A">
        <w:rPr>
          <w:color w:val="auto"/>
        </w:rPr>
        <w:t xml:space="preserve">the stability indicator </w:t>
      </w:r>
      <w:r w:rsidRPr="00C3645A">
        <w:rPr>
          <w:color w:val="auto"/>
        </w:rPr>
        <w:t xml:space="preserve">remains of importance to avoid penalizing hypothetic systems that would be relatively unproductive but might be considered as ‘stable’ in the sense that their (low) yields would not </w:t>
      </w:r>
      <w:proofErr w:type="spellStart"/>
      <w:r w:rsidRPr="00C3645A">
        <w:rPr>
          <w:color w:val="auto"/>
        </w:rPr>
        <w:t>vary</w:t>
      </w:r>
      <w:proofErr w:type="spellEnd"/>
      <w:r w:rsidRPr="00C3645A">
        <w:rPr>
          <w:color w:val="auto"/>
        </w:rPr>
        <w:t xml:space="preserve"> much.</w:t>
      </w:r>
    </w:p>
    <w:p w14:paraId="2DA9C90C" w14:textId="77777777" w:rsidR="008C16A1" w:rsidRPr="00C3645A" w:rsidRDefault="000F1664" w:rsidP="008C16A1">
      <w:pPr>
        <w:pStyle w:val="PubliManuscript"/>
        <w:rPr>
          <w:color w:val="auto"/>
        </w:rPr>
      </w:pPr>
      <w:r w:rsidRPr="00C3645A">
        <w:rPr>
          <w:color w:val="auto"/>
        </w:rPr>
        <w:t>As defined by Isbell et al. (2015), resistance represents the ability for an agroecosystem to retrieve productivity levels close to normal after a climatic event. Following Isbel et al. (2015), to characterize the years as ‘normal’ or ‘moderately’/’extremely’ dry or wet, we rely on the Standardized Precipitation-Evapotranspiration Index (SPEI) drought index. The SPEI, which characterizes the onset, duration and magnitude of a drought based on the difference between precipitations and evapotranspiration (Vicente-Serrano et al., 2010), was computed for each month out of the 18-year period. Potential evapotranspiration was calculated based on Penman’s formula (Penman, 1948). The SPEI therefore captures the impact of temperature on water demand.</w:t>
      </w:r>
      <w:r w:rsidR="008C16A1" w:rsidRPr="00C3645A">
        <w:rPr>
          <w:color w:val="auto"/>
        </w:rPr>
        <w:t xml:space="preserve"> </w:t>
      </w:r>
    </w:p>
    <w:p w14:paraId="29DF34CF" w14:textId="2FF66D12" w:rsidR="0011062B" w:rsidRPr="00C3645A" w:rsidRDefault="006F2A26" w:rsidP="0011062B">
      <w:pPr>
        <w:pStyle w:val="PubliManuscript"/>
        <w:rPr>
          <w:color w:val="auto"/>
        </w:rPr>
      </w:pPr>
      <w:r w:rsidRPr="00C3645A">
        <w:rPr>
          <w:color w:val="auto"/>
        </w:rPr>
        <w:t>A time scale of 3 months was used, meaning that for each month, the SPEI-3 index was based on the water balance of the concerned month and the two preceding ones. More precisely, each cropping season was characterized according to the 3-month period preceding its harvest (usually February-April for soybean and September-November for pasture). The 3-month time scale was selected as the best compromise to cover the average period from the flowering of soybean to its harvest (~</w:t>
      </w:r>
      <w:r w:rsidR="009B5638" w:rsidRPr="00C3645A">
        <w:rPr>
          <w:color w:val="auto"/>
        </w:rPr>
        <w:t>3</w:t>
      </w:r>
      <w:r w:rsidRPr="00C3645A">
        <w:rPr>
          <w:color w:val="auto"/>
        </w:rPr>
        <w:t xml:space="preserve"> months), </w:t>
      </w:r>
      <w:r w:rsidR="002626FD" w:rsidRPr="00C3645A">
        <w:rPr>
          <w:color w:val="auto"/>
        </w:rPr>
        <w:t>the most sensitive period for stress to impact soybean grain filling (~</w:t>
      </w:r>
      <w:r w:rsidR="00131665" w:rsidRPr="00C3645A">
        <w:rPr>
          <w:color w:val="auto"/>
        </w:rPr>
        <w:t xml:space="preserve"> last </w:t>
      </w:r>
      <w:r w:rsidR="002626FD" w:rsidRPr="00C3645A">
        <w:rPr>
          <w:color w:val="auto"/>
        </w:rPr>
        <w:t xml:space="preserve">2 months), </w:t>
      </w:r>
      <w:r w:rsidRPr="00C3645A">
        <w:rPr>
          <w:color w:val="auto"/>
        </w:rPr>
        <w:t>the whole growing season of pasture (~6 months)</w:t>
      </w:r>
      <w:r w:rsidR="00D75F29" w:rsidRPr="00C3645A">
        <w:rPr>
          <w:color w:val="auto"/>
        </w:rPr>
        <w:t xml:space="preserve"> and</w:t>
      </w:r>
      <w:r w:rsidRPr="00C3645A">
        <w:rPr>
          <w:color w:val="auto"/>
        </w:rPr>
        <w:t xml:space="preserve"> the active grazing period (~4 months) </w:t>
      </w:r>
      <w:r w:rsidR="00C6165A" w:rsidRPr="00C3645A">
        <w:rPr>
          <w:color w:val="auto"/>
        </w:rPr>
        <w:t>(</w:t>
      </w:r>
      <w:proofErr w:type="spellStart"/>
      <w:r w:rsidR="00C6165A" w:rsidRPr="00C3645A">
        <w:rPr>
          <w:color w:val="auto"/>
        </w:rPr>
        <w:t>Sionit</w:t>
      </w:r>
      <w:proofErr w:type="spellEnd"/>
      <w:r w:rsidR="00C6165A" w:rsidRPr="00C3645A">
        <w:rPr>
          <w:color w:val="auto"/>
        </w:rPr>
        <w:t xml:space="preserve"> and Kramer, 1977</w:t>
      </w:r>
      <w:r w:rsidR="00171F14" w:rsidRPr="00C3645A">
        <w:rPr>
          <w:color w:val="auto"/>
        </w:rPr>
        <w:t xml:space="preserve">; </w:t>
      </w:r>
      <w:r w:rsidR="003D6E3D" w:rsidRPr="00C3645A">
        <w:rPr>
          <w:color w:val="auto"/>
        </w:rPr>
        <w:t xml:space="preserve">Zanon et al., 2016; </w:t>
      </w:r>
      <w:r w:rsidR="00171F14" w:rsidRPr="00C3645A">
        <w:rPr>
          <w:color w:val="auto"/>
        </w:rPr>
        <w:t>Poudel et al., 2023</w:t>
      </w:r>
      <w:r w:rsidR="00C6165A" w:rsidRPr="00C3645A">
        <w:rPr>
          <w:color w:val="auto"/>
        </w:rPr>
        <w:t>)</w:t>
      </w:r>
      <w:r w:rsidRPr="00C3645A">
        <w:rPr>
          <w:color w:val="auto"/>
        </w:rPr>
        <w:t xml:space="preserve">. As an example, following the definition of the SPEI index, a value of SPEI-3 of -1.28 for the month of April 2005 corresponds to a 3-month drought (as indicated by the negative value) that has only occurred once per decade during the months of February to April over the period 2001-2018 (Isbell et al., 2015). </w:t>
      </w:r>
    </w:p>
    <w:p w14:paraId="500548E5" w14:textId="27BC712A" w:rsidR="0011062B" w:rsidRPr="00C3645A" w:rsidRDefault="006F2A26" w:rsidP="0011062B">
      <w:pPr>
        <w:pStyle w:val="PubliManuscript"/>
        <w:rPr>
          <w:color w:val="auto"/>
        </w:rPr>
      </w:pPr>
      <w:r w:rsidRPr="00C3645A">
        <w:rPr>
          <w:color w:val="auto"/>
        </w:rPr>
        <w:lastRenderedPageBreak/>
        <w:t>In a second time, we identified climatic events as ‘extreme’ if they occurred less than once per decade, i.e. less than 10%</w:t>
      </w:r>
      <w:r w:rsidR="00230270" w:rsidRPr="00C3645A">
        <w:rPr>
          <w:color w:val="auto"/>
        </w:rPr>
        <w:t xml:space="preserve"> of time</w:t>
      </w:r>
      <w:r w:rsidRPr="00C3645A">
        <w:rPr>
          <w:color w:val="auto"/>
        </w:rPr>
        <w:t xml:space="preserve"> (below quantile q</w:t>
      </w:r>
      <w:r w:rsidRPr="00C3645A">
        <w:rPr>
          <w:color w:val="auto"/>
          <w:vertAlign w:val="subscript"/>
        </w:rPr>
        <w:t xml:space="preserve">0.1 </w:t>
      </w:r>
      <w:r w:rsidRPr="00C3645A">
        <w:rPr>
          <w:color w:val="auto"/>
        </w:rPr>
        <w:t>for extreme dry events and above quantile q</w:t>
      </w:r>
      <w:r w:rsidRPr="00C3645A">
        <w:rPr>
          <w:color w:val="auto"/>
          <w:vertAlign w:val="subscript"/>
        </w:rPr>
        <w:t>0.9</w:t>
      </w:r>
      <w:r w:rsidRPr="00C3645A">
        <w:rPr>
          <w:color w:val="auto"/>
        </w:rPr>
        <w:t xml:space="preserve"> for extreme wet events). Similarly, they were identified as ‘moderate’ if they occurred between once out of four years and once per decade (between quantiles q</w:t>
      </w:r>
      <w:r w:rsidRPr="00C3645A">
        <w:rPr>
          <w:color w:val="auto"/>
          <w:vertAlign w:val="subscript"/>
        </w:rPr>
        <w:t xml:space="preserve">0.1  </w:t>
      </w:r>
      <w:r w:rsidRPr="00C3645A">
        <w:rPr>
          <w:color w:val="auto"/>
        </w:rPr>
        <w:t>and q</w:t>
      </w:r>
      <w:r w:rsidRPr="00C3645A">
        <w:rPr>
          <w:color w:val="auto"/>
          <w:vertAlign w:val="subscript"/>
        </w:rPr>
        <w:t xml:space="preserve">0.25 </w:t>
      </w:r>
      <w:r w:rsidRPr="00C3645A">
        <w:rPr>
          <w:color w:val="auto"/>
        </w:rPr>
        <w:t>for moderately dry and between quantiles q</w:t>
      </w:r>
      <w:r w:rsidRPr="00C3645A">
        <w:rPr>
          <w:color w:val="auto"/>
          <w:vertAlign w:val="subscript"/>
        </w:rPr>
        <w:t>0.75</w:t>
      </w:r>
      <w:r w:rsidRPr="00C3645A">
        <w:rPr>
          <w:color w:val="auto"/>
        </w:rPr>
        <w:t xml:space="preserve"> and q</w:t>
      </w:r>
      <w:r w:rsidRPr="00C3645A">
        <w:rPr>
          <w:color w:val="auto"/>
          <w:vertAlign w:val="subscript"/>
        </w:rPr>
        <w:t>0.9</w:t>
      </w:r>
      <w:r w:rsidRPr="00C3645A">
        <w:rPr>
          <w:color w:val="auto"/>
        </w:rPr>
        <w:t xml:space="preserve"> for moderately wet events). Periods that were neither moderate nor extreme were categorized as ‘normal’. </w:t>
      </w:r>
    </w:p>
    <w:p w14:paraId="278C9C3D" w14:textId="28834BF2" w:rsidR="006F2A26" w:rsidRPr="00C3645A" w:rsidRDefault="006F2A26" w:rsidP="0011062B">
      <w:pPr>
        <w:pStyle w:val="PubliManuscript"/>
        <w:rPr>
          <w:color w:val="auto"/>
        </w:rPr>
      </w:pPr>
      <w:r w:rsidRPr="00C3645A">
        <w:rPr>
          <w:color w:val="auto"/>
        </w:rPr>
        <w:t>Finally, in order to compute the SPEI-3 index for the future period 2041-2058, we used the same coefficients of the distribution that were obtained under the historical period 2001-2018. Indeed, the aim remains to characterize the changes in dry and wet events relatively to the current climatic conditions. In the same way, for categorizing these future events, we used the same quantiles that were computed over the historical period. Results of the characterization of climatic years are shown in Figure 1.</w:t>
      </w:r>
    </w:p>
    <w:p w14:paraId="1A8C59CE" w14:textId="75A79F7C" w:rsidR="00AD6896" w:rsidRPr="00C3645A" w:rsidRDefault="00193E70" w:rsidP="00AD6896">
      <w:pPr>
        <w:pStyle w:val="PubliManuscript"/>
        <w:rPr>
          <w:color w:val="auto"/>
        </w:rPr>
      </w:pPr>
      <w:r w:rsidRPr="00C3645A">
        <w:rPr>
          <w:noProof/>
          <w:color w:val="auto"/>
        </w:rPr>
        <w:drawing>
          <wp:inline distT="0" distB="0" distL="0" distR="0" wp14:anchorId="2D8C37A0" wp14:editId="4D757AEB">
            <wp:extent cx="5759526" cy="4072890"/>
            <wp:effectExtent l="0" t="0" r="0" b="3810"/>
            <wp:docPr id="13471147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14735" name="Image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9526" cy="4072890"/>
                    </a:xfrm>
                    <a:prstGeom prst="rect">
                      <a:avLst/>
                    </a:prstGeom>
                    <a:noFill/>
                    <a:ln>
                      <a:noFill/>
                    </a:ln>
                  </pic:spPr>
                </pic:pic>
              </a:graphicData>
            </a:graphic>
          </wp:inline>
        </w:drawing>
      </w:r>
    </w:p>
    <w:p w14:paraId="4D8E4499" w14:textId="03B780A1" w:rsidR="00AD6896" w:rsidRPr="00C3645A" w:rsidRDefault="00AD6896" w:rsidP="00B239B4">
      <w:pPr>
        <w:pStyle w:val="PubliManuscript"/>
        <w:spacing w:line="240" w:lineRule="auto"/>
        <w:ind w:firstLine="0"/>
        <w:rPr>
          <w:b/>
          <w:bCs/>
          <w:color w:val="auto"/>
        </w:rPr>
      </w:pPr>
      <w:r w:rsidRPr="00C3645A">
        <w:rPr>
          <w:b/>
          <w:bCs/>
          <w:color w:val="auto"/>
        </w:rPr>
        <w:t xml:space="preserve">Figure </w:t>
      </w:r>
      <w:r w:rsidR="00081B3C" w:rsidRPr="00C3645A">
        <w:rPr>
          <w:b/>
          <w:bCs/>
          <w:color w:val="auto"/>
        </w:rPr>
        <w:t>1</w:t>
      </w:r>
      <w:r w:rsidRPr="00C3645A">
        <w:rPr>
          <w:b/>
          <w:bCs/>
          <w:color w:val="auto"/>
        </w:rPr>
        <w:t xml:space="preserve">. </w:t>
      </w:r>
      <w:r w:rsidR="00516B6D" w:rsidRPr="00C3645A">
        <w:rPr>
          <w:b/>
          <w:bCs/>
          <w:color w:val="auto"/>
        </w:rPr>
        <w:t>SPEI-3 index</w:t>
      </w:r>
      <w:r w:rsidR="00DA36B6" w:rsidRPr="00C3645A">
        <w:rPr>
          <w:b/>
          <w:bCs/>
          <w:color w:val="auto"/>
        </w:rPr>
        <w:t xml:space="preserve"> (expressing the dryness/wetness</w:t>
      </w:r>
      <w:r w:rsidR="00E12C36" w:rsidRPr="00C3645A">
        <w:rPr>
          <w:b/>
          <w:bCs/>
          <w:color w:val="auto"/>
        </w:rPr>
        <w:t>)</w:t>
      </w:r>
      <w:r w:rsidR="00516B6D" w:rsidRPr="00C3645A">
        <w:rPr>
          <w:b/>
          <w:bCs/>
          <w:color w:val="auto"/>
        </w:rPr>
        <w:t>, computed for each month for a) the historical period 2001-201</w:t>
      </w:r>
      <w:r w:rsidR="00E62426" w:rsidRPr="00C3645A">
        <w:rPr>
          <w:b/>
          <w:bCs/>
          <w:color w:val="auto"/>
        </w:rPr>
        <w:t>8</w:t>
      </w:r>
      <w:r w:rsidR="00516B6D" w:rsidRPr="00C3645A">
        <w:rPr>
          <w:b/>
          <w:bCs/>
          <w:color w:val="auto"/>
        </w:rPr>
        <w:t xml:space="preserve"> and b) </w:t>
      </w:r>
      <w:r w:rsidR="0004664F" w:rsidRPr="00C3645A">
        <w:rPr>
          <w:b/>
          <w:bCs/>
          <w:color w:val="auto"/>
        </w:rPr>
        <w:t xml:space="preserve">the future period </w:t>
      </w:r>
      <w:r w:rsidR="00516B6D" w:rsidRPr="00C3645A">
        <w:rPr>
          <w:b/>
          <w:bCs/>
          <w:color w:val="auto"/>
        </w:rPr>
        <w:t>2041-205</w:t>
      </w:r>
      <w:r w:rsidR="00E62426" w:rsidRPr="00C3645A">
        <w:rPr>
          <w:b/>
          <w:bCs/>
          <w:color w:val="auto"/>
        </w:rPr>
        <w:t>8</w:t>
      </w:r>
      <w:r w:rsidR="00B17CA2" w:rsidRPr="00C3645A">
        <w:rPr>
          <w:b/>
          <w:bCs/>
          <w:color w:val="auto"/>
        </w:rPr>
        <w:t xml:space="preserve"> (RCP8.5)</w:t>
      </w:r>
      <w:r w:rsidRPr="00C3645A">
        <w:rPr>
          <w:b/>
          <w:bCs/>
          <w:color w:val="auto"/>
        </w:rPr>
        <w:t>.</w:t>
      </w:r>
      <w:r w:rsidR="00516B6D" w:rsidRPr="00C3645A">
        <w:rPr>
          <w:b/>
          <w:bCs/>
          <w:color w:val="auto"/>
        </w:rPr>
        <w:t xml:space="preserve"> The colors designate the category of climatic events</w:t>
      </w:r>
      <w:r w:rsidR="00B239B4" w:rsidRPr="00C3645A">
        <w:rPr>
          <w:b/>
          <w:bCs/>
          <w:color w:val="auto"/>
        </w:rPr>
        <w:t xml:space="preserve"> (extremely/moderately dry/wet).</w:t>
      </w:r>
      <w:r w:rsidR="004E215C" w:rsidRPr="00C3645A">
        <w:rPr>
          <w:b/>
          <w:bCs/>
          <w:color w:val="auto"/>
        </w:rPr>
        <w:t xml:space="preserve"> </w:t>
      </w:r>
      <w:r w:rsidR="006835A9" w:rsidRPr="00C3645A">
        <w:rPr>
          <w:b/>
          <w:bCs/>
          <w:color w:val="auto"/>
        </w:rPr>
        <w:t>Dashed</w:t>
      </w:r>
      <w:r w:rsidR="004E215C" w:rsidRPr="00C3645A">
        <w:rPr>
          <w:b/>
          <w:bCs/>
          <w:color w:val="auto"/>
        </w:rPr>
        <w:t xml:space="preserve"> lines </w:t>
      </w:r>
      <w:r w:rsidR="00ED5F51" w:rsidRPr="00C3645A">
        <w:rPr>
          <w:b/>
          <w:bCs/>
          <w:color w:val="auto"/>
        </w:rPr>
        <w:t xml:space="preserve">refer to the </w:t>
      </w:r>
      <w:r w:rsidR="00ED5F51" w:rsidRPr="00C3645A">
        <w:rPr>
          <w:b/>
          <w:bCs/>
          <w:color w:val="auto"/>
        </w:rPr>
        <w:lastRenderedPageBreak/>
        <w:t>quantiles</w:t>
      </w:r>
      <w:r w:rsidR="00DD4B2A" w:rsidRPr="00C3645A">
        <w:rPr>
          <w:b/>
          <w:bCs/>
          <w:color w:val="auto"/>
        </w:rPr>
        <w:t xml:space="preserve"> q</w:t>
      </w:r>
      <w:r w:rsidR="00DD4B2A" w:rsidRPr="00C3645A">
        <w:rPr>
          <w:b/>
          <w:bCs/>
          <w:color w:val="auto"/>
          <w:vertAlign w:val="subscript"/>
        </w:rPr>
        <w:t>0.1</w:t>
      </w:r>
      <w:r w:rsidR="00DD4B2A" w:rsidRPr="00C3645A">
        <w:rPr>
          <w:b/>
          <w:bCs/>
          <w:color w:val="auto"/>
        </w:rPr>
        <w:t>, q</w:t>
      </w:r>
      <w:r w:rsidR="00DD4B2A" w:rsidRPr="00C3645A">
        <w:rPr>
          <w:b/>
          <w:bCs/>
          <w:color w:val="auto"/>
          <w:vertAlign w:val="subscript"/>
        </w:rPr>
        <w:t>0.25</w:t>
      </w:r>
      <w:r w:rsidR="00DD4B2A" w:rsidRPr="00C3645A">
        <w:rPr>
          <w:b/>
          <w:bCs/>
          <w:color w:val="auto"/>
        </w:rPr>
        <w:t>,</w:t>
      </w:r>
      <w:r w:rsidR="00DD4B2A" w:rsidRPr="00C3645A">
        <w:rPr>
          <w:b/>
          <w:bCs/>
          <w:color w:val="auto"/>
          <w:vertAlign w:val="subscript"/>
        </w:rPr>
        <w:t xml:space="preserve"> </w:t>
      </w:r>
      <w:r w:rsidR="00DD4B2A" w:rsidRPr="00C3645A">
        <w:rPr>
          <w:b/>
          <w:bCs/>
          <w:color w:val="auto"/>
        </w:rPr>
        <w:t>q</w:t>
      </w:r>
      <w:r w:rsidR="00DD4B2A" w:rsidRPr="00C3645A">
        <w:rPr>
          <w:b/>
          <w:bCs/>
          <w:color w:val="auto"/>
          <w:vertAlign w:val="subscript"/>
        </w:rPr>
        <w:t xml:space="preserve">0.75 </w:t>
      </w:r>
      <w:r w:rsidR="00DD4B2A" w:rsidRPr="00C3645A">
        <w:rPr>
          <w:b/>
          <w:bCs/>
          <w:color w:val="auto"/>
        </w:rPr>
        <w:t>and q</w:t>
      </w:r>
      <w:r w:rsidR="00DD4B2A" w:rsidRPr="00C3645A">
        <w:rPr>
          <w:b/>
          <w:bCs/>
          <w:color w:val="auto"/>
          <w:vertAlign w:val="subscript"/>
        </w:rPr>
        <w:t>0.9</w:t>
      </w:r>
      <w:r w:rsidR="00DD4B2A" w:rsidRPr="00C3645A">
        <w:rPr>
          <w:b/>
          <w:bCs/>
          <w:color w:val="auto"/>
        </w:rPr>
        <w:t xml:space="preserve">, </w:t>
      </w:r>
      <w:r w:rsidR="00DD4B2A" w:rsidRPr="00C3645A">
        <w:rPr>
          <w:b/>
          <w:bCs/>
          <w:color w:val="auto"/>
          <w:vertAlign w:val="subscript"/>
        </w:rPr>
        <w:t xml:space="preserve"> </w:t>
      </w:r>
      <w:r w:rsidR="00E95B8F" w:rsidRPr="00C3645A">
        <w:rPr>
          <w:b/>
          <w:bCs/>
          <w:color w:val="auto"/>
        </w:rPr>
        <w:t>which determine the category of climatic events</w:t>
      </w:r>
      <w:r w:rsidR="00ED5F51" w:rsidRPr="00C3645A">
        <w:rPr>
          <w:b/>
          <w:bCs/>
          <w:color w:val="auto"/>
        </w:rPr>
        <w:t>.</w:t>
      </w:r>
    </w:p>
    <w:p w14:paraId="3A02D85C" w14:textId="77777777" w:rsidR="0011062B" w:rsidRPr="00C3645A" w:rsidRDefault="0011062B" w:rsidP="0011062B">
      <w:pPr>
        <w:pStyle w:val="PubliManuscript"/>
        <w:rPr>
          <w:color w:val="auto"/>
        </w:rPr>
      </w:pPr>
      <w:r w:rsidRPr="00C3645A">
        <w:rPr>
          <w:color w:val="auto"/>
        </w:rPr>
        <w:t>Following the definition of Isbell et al. (2015), resistance was finally computed as</w:t>
      </w:r>
    </w:p>
    <w:p w14:paraId="1A331CB0" w14:textId="77777777" w:rsidR="0011062B" w:rsidRPr="00C3645A" w:rsidRDefault="00066C8B" w:rsidP="0011062B">
      <w:pPr>
        <w:pStyle w:val="PubliManuscript"/>
        <w:jc w:val="center"/>
        <w:rPr>
          <w:color w:val="auto"/>
        </w:rPr>
      </w:pPr>
      <m:oMathPara>
        <m:oMath>
          <m:eqArr>
            <m:eqArrPr>
              <m:maxDist m:val="1"/>
              <m:ctrlPr>
                <w:rPr>
                  <w:rFonts w:ascii="Cambria Math" w:hAnsi="Cambria Math"/>
                  <w:i/>
                  <w:color w:val="auto"/>
                </w:rPr>
              </m:ctrlPr>
            </m:eqArrPr>
            <m:e>
              <m:r>
                <m:rPr>
                  <m:sty m:val="p"/>
                </m:rPr>
                <w:rPr>
                  <w:rFonts w:ascii="Cambria Math" w:hAnsi="Cambria Math"/>
                  <w:color w:val="auto"/>
                </w:rPr>
                <m:t>Ω</m:t>
              </m:r>
              <m:r>
                <w:rPr>
                  <w:rFonts w:ascii="Cambria Math" w:hAnsi="Cambria Math"/>
                  <w:color w:val="auto"/>
                </w:rPr>
                <m:t xml:space="preserve">= </m:t>
              </m:r>
              <m:f>
                <m:fPr>
                  <m:ctrlPr>
                    <w:rPr>
                      <w:rFonts w:ascii="Cambria Math" w:hAnsi="Cambria Math"/>
                      <w:i/>
                      <w:color w:val="auto"/>
                    </w:rPr>
                  </m:ctrlPr>
                </m:fPr>
                <m:num>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num>
                <m:den>
                  <m:d>
                    <m:dPr>
                      <m:begChr m:val="|"/>
                      <m:endChr m:val="|"/>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 xml:space="preserve"> Y</m:t>
                          </m:r>
                        </m:e>
                        <m:sub>
                          <m:r>
                            <w:rPr>
                              <w:rFonts w:ascii="Cambria Math" w:hAnsi="Cambria Math"/>
                              <w:color w:val="auto"/>
                            </w:rPr>
                            <m:t>e</m:t>
                          </m:r>
                        </m:sub>
                      </m:sSub>
                      <m:r>
                        <w:rPr>
                          <w:rFonts w:ascii="Cambria Math" w:hAnsi="Cambria Math"/>
                          <w:color w:val="auto"/>
                        </w:rPr>
                        <m:t>-</m:t>
                      </m:r>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r>
                        <w:rPr>
                          <w:rFonts w:ascii="Cambria Math" w:hAnsi="Cambria Math"/>
                          <w:color w:val="auto"/>
                        </w:rPr>
                        <m:t xml:space="preserve"> </m:t>
                      </m:r>
                    </m:e>
                  </m:d>
                </m:den>
              </m:f>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2</m:t>
                  </m:r>
                </m:e>
              </m:d>
            </m:e>
          </m:eqArr>
          <m:r>
            <w:rPr>
              <w:rFonts w:ascii="Cambria Math" w:hAnsi="Cambria Math"/>
              <w:color w:val="auto"/>
            </w:rPr>
            <m:t xml:space="preserve"> </m:t>
          </m:r>
        </m:oMath>
      </m:oMathPara>
    </w:p>
    <w:p w14:paraId="65EA7BDE" w14:textId="2634141C" w:rsidR="00AD6896" w:rsidRPr="00C3645A" w:rsidRDefault="0011062B" w:rsidP="0011062B">
      <w:pPr>
        <w:pStyle w:val="PubliManuscript"/>
        <w:ind w:firstLine="0"/>
        <w:rPr>
          <w:color w:val="auto"/>
        </w:rPr>
      </w:pPr>
      <w:r w:rsidRPr="00C3645A">
        <w:rPr>
          <w:color w:val="auto"/>
        </w:rPr>
        <w:t xml:space="preserve">with </w:t>
      </w:r>
      <m:oMath>
        <m:acc>
          <m:accPr>
            <m:chr m:val="̅"/>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n</m:t>
                </m:r>
              </m:sub>
            </m:sSub>
          </m:e>
        </m:acc>
      </m:oMath>
      <w:r w:rsidRPr="00C3645A">
        <w:rPr>
          <w:color w:val="auto"/>
        </w:rPr>
        <w:t xml:space="preserve"> the mean productivity during normal years and </w:t>
      </w:r>
      <m:oMath>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e</m:t>
            </m:r>
          </m:sub>
        </m:sSub>
      </m:oMath>
      <w:r w:rsidRPr="00C3645A">
        <w:rPr>
          <w:color w:val="auto"/>
        </w:rPr>
        <w:t xml:space="preserve"> the productivity during an extreme event (moderately/extremely wet/dry).</w:t>
      </w:r>
    </w:p>
    <w:p w14:paraId="6F9EEF21" w14:textId="090066AD" w:rsidR="00AD6896" w:rsidRPr="00C3645A" w:rsidRDefault="00AD6896" w:rsidP="00AD6896">
      <w:pPr>
        <w:pStyle w:val="Publi2"/>
        <w:rPr>
          <w:color w:val="auto"/>
        </w:rPr>
      </w:pPr>
      <w:r w:rsidRPr="00C3645A">
        <w:rPr>
          <w:color w:val="auto"/>
        </w:rPr>
        <w:t xml:space="preserve"> Model parameterization</w:t>
      </w:r>
      <w:r w:rsidR="00A32898" w:rsidRPr="00C3645A">
        <w:rPr>
          <w:color w:val="auto"/>
        </w:rPr>
        <w:t>, calibration</w:t>
      </w:r>
      <w:r w:rsidRPr="00C3645A">
        <w:rPr>
          <w:color w:val="auto"/>
        </w:rPr>
        <w:t xml:space="preserve"> and validation</w:t>
      </w:r>
    </w:p>
    <w:p w14:paraId="24735ED0" w14:textId="311300E1" w:rsidR="008846B9" w:rsidRPr="00C3645A" w:rsidRDefault="008846B9" w:rsidP="008846B9">
      <w:pPr>
        <w:pStyle w:val="PubliManuscript"/>
        <w:rPr>
          <w:color w:val="auto"/>
        </w:rPr>
      </w:pPr>
      <w:r w:rsidRPr="00C3645A">
        <w:rPr>
          <w:color w:val="auto"/>
        </w:rPr>
        <w:t xml:space="preserve">Soil parameters were initially retrieved from </w:t>
      </w:r>
      <w:proofErr w:type="spellStart"/>
      <w:r w:rsidRPr="00C3645A">
        <w:rPr>
          <w:color w:val="auto"/>
        </w:rPr>
        <w:t>SoilGrids</w:t>
      </w:r>
      <w:proofErr w:type="spellEnd"/>
      <w:r w:rsidRPr="00C3645A">
        <w:rPr>
          <w:color w:val="auto"/>
        </w:rPr>
        <w:t xml:space="preserve"> maps of soil properties (Poggio et al., 2021), with </w:t>
      </w:r>
      <w:proofErr w:type="spellStart"/>
      <w:r w:rsidRPr="00C3645A">
        <w:rPr>
          <w:color w:val="auto"/>
        </w:rPr>
        <w:t>pedotransfer</w:t>
      </w:r>
      <w:proofErr w:type="spellEnd"/>
      <w:r w:rsidRPr="00C3645A">
        <w:rPr>
          <w:color w:val="auto"/>
        </w:rPr>
        <w:t xml:space="preserve"> functions from the R package </w:t>
      </w:r>
      <w:r w:rsidRPr="00C3645A">
        <w:rPr>
          <w:i/>
          <w:iCs/>
          <w:color w:val="auto"/>
        </w:rPr>
        <w:t>euptf2</w:t>
      </w:r>
      <w:r w:rsidR="00FF0E25" w:rsidRPr="00C3645A">
        <w:rPr>
          <w:i/>
          <w:iCs/>
          <w:color w:val="auto"/>
        </w:rPr>
        <w:t xml:space="preserve"> </w:t>
      </w:r>
      <w:r w:rsidR="00FF0E25" w:rsidRPr="00C3645A">
        <w:rPr>
          <w:color w:val="auto"/>
        </w:rPr>
        <w:t>(Szabó et al., 2021)</w:t>
      </w:r>
      <w:r w:rsidRPr="00C3645A">
        <w:rPr>
          <w:color w:val="auto"/>
        </w:rPr>
        <w:t>. Some soil parameters</w:t>
      </w:r>
      <w:r w:rsidR="001D40C1" w:rsidRPr="00C3645A">
        <w:rPr>
          <w:color w:val="auto"/>
        </w:rPr>
        <w:t xml:space="preserve"> related to soil water content and soil organic carbon</w:t>
      </w:r>
      <w:r w:rsidRPr="00C3645A">
        <w:rPr>
          <w:color w:val="auto"/>
        </w:rPr>
        <w:t xml:space="preserve"> were then manually adapted according to field observations.</w:t>
      </w:r>
    </w:p>
    <w:p w14:paraId="790928F5" w14:textId="5AC613FC" w:rsidR="008846B9" w:rsidRPr="00C3645A" w:rsidRDefault="008846B9" w:rsidP="008846B9">
      <w:pPr>
        <w:pStyle w:val="PubliManuscript"/>
        <w:rPr>
          <w:color w:val="auto"/>
        </w:rPr>
      </w:pPr>
      <w:r w:rsidRPr="00C3645A">
        <w:rPr>
          <w:color w:val="auto"/>
        </w:rPr>
        <w:t>For the modeling of soybeans, we started with the standard plant file of the STICS model</w:t>
      </w:r>
      <w:r w:rsidR="000244D8" w:rsidRPr="00C3645A">
        <w:rPr>
          <w:color w:val="auto"/>
        </w:rPr>
        <w:t xml:space="preserve"> (Beaudoin et al., 2022)</w:t>
      </w:r>
      <w:r w:rsidR="00ED0549" w:rsidRPr="00C3645A">
        <w:rPr>
          <w:color w:val="auto"/>
        </w:rPr>
        <w:t>. Parameters used to compute root system growth are based on the future standard parameter file</w:t>
      </w:r>
      <w:r w:rsidR="00AF3F73" w:rsidRPr="00C3645A">
        <w:rPr>
          <w:color w:val="auto"/>
        </w:rPr>
        <w:t xml:space="preserve"> for pea</w:t>
      </w:r>
      <w:r w:rsidRPr="00C3645A">
        <w:rPr>
          <w:color w:val="auto"/>
        </w:rPr>
        <w:t xml:space="preserve"> </w:t>
      </w:r>
      <w:r w:rsidR="00CB1A31" w:rsidRPr="00C3645A">
        <w:rPr>
          <w:color w:val="auto"/>
        </w:rPr>
        <w:t>(</w:t>
      </w:r>
      <w:r w:rsidR="008258DE" w:rsidRPr="00C3645A">
        <w:rPr>
          <w:color w:val="auto"/>
        </w:rPr>
        <w:t>L.</w:t>
      </w:r>
      <w:r w:rsidR="00CB1A31" w:rsidRPr="00C3645A">
        <w:rPr>
          <w:color w:val="auto"/>
        </w:rPr>
        <w:t xml:space="preserve"> </w:t>
      </w:r>
      <w:proofErr w:type="spellStart"/>
      <w:r w:rsidR="00CB1A31" w:rsidRPr="00C3645A">
        <w:rPr>
          <w:color w:val="auto"/>
        </w:rPr>
        <w:t>Strullu</w:t>
      </w:r>
      <w:proofErr w:type="spellEnd"/>
      <w:r w:rsidR="00CB1A31" w:rsidRPr="00C3645A">
        <w:rPr>
          <w:color w:val="auto"/>
        </w:rPr>
        <w:t>, personal communication)</w:t>
      </w:r>
      <w:r w:rsidR="00AD4C11" w:rsidRPr="00C3645A">
        <w:rPr>
          <w:color w:val="auto"/>
        </w:rPr>
        <w:t xml:space="preserve">. </w:t>
      </w:r>
      <w:r w:rsidR="00E70AAE" w:rsidRPr="00C3645A">
        <w:rPr>
          <w:color w:val="auto"/>
        </w:rPr>
        <w:t>The parameterization was adapted</w:t>
      </w:r>
      <w:r w:rsidRPr="00C3645A">
        <w:rPr>
          <w:color w:val="auto"/>
        </w:rPr>
        <w:t xml:space="preserve"> according to data available for another field experiment in </w:t>
      </w:r>
      <w:proofErr w:type="spellStart"/>
      <w:r w:rsidRPr="00C3645A">
        <w:rPr>
          <w:color w:val="auto"/>
        </w:rPr>
        <w:t>Brazilia</w:t>
      </w:r>
      <w:proofErr w:type="spellEnd"/>
      <w:r w:rsidRPr="00C3645A">
        <w:rPr>
          <w:color w:val="auto"/>
        </w:rPr>
        <w:t xml:space="preserve"> (Brazil) (Kothari et al., 2022). We slightly modified some cardinal temperatures. The base temperature at which growth starts was increased from 4°C to 9°C, in agreement with Kothari et al. (2022) that simulated soybean development with several crop model</w:t>
      </w:r>
      <w:r w:rsidR="00B61FED" w:rsidRPr="00C3645A">
        <w:rPr>
          <w:color w:val="auto"/>
        </w:rPr>
        <w:t>s</w:t>
      </w:r>
      <w:r w:rsidRPr="00C3645A">
        <w:rPr>
          <w:color w:val="auto"/>
        </w:rPr>
        <w:t xml:space="preserve"> and used values ranging from 7 to 10°C, and in concordance with the field experiment of Souza et al. (2013) that reported a base temperature of 10°C. Still following Souza et al. (2013) and Kothari et al. (2022), the temperature above which foliar growth stops was decreased from 45°C to 38°C. Finally, the maximal temperature above which grain filling stops was increased from 30°C to 32°C, in accordance with the chamber experiments of Boote et al. (2018) and </w:t>
      </w:r>
      <w:proofErr w:type="spellStart"/>
      <w:r w:rsidRPr="00C3645A">
        <w:rPr>
          <w:color w:val="auto"/>
        </w:rPr>
        <w:t>Alsajri</w:t>
      </w:r>
      <w:proofErr w:type="spellEnd"/>
      <w:r w:rsidRPr="00C3645A">
        <w:rPr>
          <w:color w:val="auto"/>
        </w:rPr>
        <w:t xml:space="preserve"> et al. (2020). Based on these changes, radiation use efficiencies and thermal times between crop development stages were slightly adapted</w:t>
      </w:r>
      <w:r w:rsidR="00A53E22" w:rsidRPr="00C3645A">
        <w:rPr>
          <w:color w:val="auto"/>
        </w:rPr>
        <w:t xml:space="preserve"> (Table A2)</w:t>
      </w:r>
      <w:r w:rsidRPr="00C3645A">
        <w:rPr>
          <w:color w:val="auto"/>
        </w:rPr>
        <w:t xml:space="preserve">. </w:t>
      </w:r>
    </w:p>
    <w:p w14:paraId="44B14CAC" w14:textId="4653D7BE" w:rsidR="000E7E49" w:rsidRPr="00C3645A" w:rsidRDefault="000E7E49" w:rsidP="0085138D">
      <w:pPr>
        <w:pStyle w:val="PubliManuscript"/>
        <w:rPr>
          <w:color w:val="auto"/>
        </w:rPr>
      </w:pPr>
      <w:r w:rsidRPr="00C3645A">
        <w:rPr>
          <w:color w:val="auto"/>
        </w:rPr>
        <w:t xml:space="preserve">For the pasture, we used the standard parameters for Italian ryegrass, that were modified considering also that the pasture is actually composed of black oat seeded into ryegrass </w:t>
      </w:r>
      <w:r w:rsidR="006B644F" w:rsidRPr="00C3645A">
        <w:rPr>
          <w:color w:val="auto"/>
        </w:rPr>
        <w:t>which naturally regrowths from one season to another</w:t>
      </w:r>
      <w:r w:rsidRPr="00C3645A">
        <w:rPr>
          <w:color w:val="auto"/>
        </w:rPr>
        <w:t xml:space="preserve"> (</w:t>
      </w:r>
      <w:r w:rsidR="004B2EA3" w:rsidRPr="00C3645A">
        <w:rPr>
          <w:color w:val="auto"/>
        </w:rPr>
        <w:t>Table A2</w:t>
      </w:r>
      <w:r w:rsidRPr="00C3645A">
        <w:rPr>
          <w:color w:val="auto"/>
        </w:rPr>
        <w:t>).</w:t>
      </w:r>
      <w:r w:rsidR="0085138D" w:rsidRPr="00C3645A">
        <w:rPr>
          <w:color w:val="auto"/>
        </w:rPr>
        <w:t xml:space="preserve"> Parameters used to compute root system </w:t>
      </w:r>
      <w:r w:rsidR="0085138D" w:rsidRPr="00C3645A">
        <w:rPr>
          <w:color w:val="auto"/>
        </w:rPr>
        <w:lastRenderedPageBreak/>
        <w:t>growth of pasture are based on the future standard parameter file (</w:t>
      </w:r>
      <w:proofErr w:type="spellStart"/>
      <w:r w:rsidR="00022A8A" w:rsidRPr="00C3645A">
        <w:rPr>
          <w:color w:val="auto"/>
        </w:rPr>
        <w:t>Graux</w:t>
      </w:r>
      <w:proofErr w:type="spellEnd"/>
      <w:r w:rsidR="00022A8A" w:rsidRPr="00C3645A">
        <w:rPr>
          <w:color w:val="auto"/>
        </w:rPr>
        <w:t xml:space="preserve"> et al., in prep.</w:t>
      </w:r>
      <w:r w:rsidR="0085138D" w:rsidRPr="00C3645A">
        <w:rPr>
          <w:color w:val="auto"/>
        </w:rPr>
        <w:t>). </w:t>
      </w:r>
    </w:p>
    <w:p w14:paraId="37CD6996" w14:textId="77777777" w:rsidR="00D30C32" w:rsidRPr="00C3645A" w:rsidRDefault="00D30C32" w:rsidP="00D30C32">
      <w:pPr>
        <w:pStyle w:val="PubliManuscript"/>
        <w:rPr>
          <w:color w:val="auto"/>
        </w:rPr>
      </w:pPr>
      <w:r w:rsidRPr="00C3645A">
        <w:rPr>
          <w:color w:val="auto"/>
        </w:rPr>
        <w:t>To evaluate the accuracy of the model simulations based on the historical records, three indicators were concomitantly used (Beaudoin et al., 2008) : the Root Mean Square Error (RMSE), the Model Efficiency (EF) and the Normalized Deviation (ND):</w:t>
      </w:r>
    </w:p>
    <w:p w14:paraId="5E586AF2" w14:textId="77777777" w:rsidR="00D30C32" w:rsidRPr="00C3645A" w:rsidRDefault="00D30C32" w:rsidP="00D30C32">
      <w:pPr>
        <w:pStyle w:val="PubliManuscript"/>
        <w:spacing w:line="240" w:lineRule="auto"/>
        <w:ind w:firstLine="0"/>
        <w:rPr>
          <w:color w:val="auto"/>
        </w:rPr>
      </w:pPr>
      <m:oMathPara>
        <m:oMath>
          <m:r>
            <w:rPr>
              <w:rFonts w:ascii="Cambria Math" w:hAnsi="Cambria Math"/>
              <w:color w:val="auto"/>
            </w:rPr>
            <m:t xml:space="preserve">RMSE= </m:t>
          </m:r>
          <m:rad>
            <m:radPr>
              <m:degHide m:val="1"/>
              <m:ctrlPr>
                <w:rPr>
                  <w:rFonts w:ascii="Cambria Math" w:hAnsi="Cambria Math"/>
                  <w:i/>
                  <w:color w:val="auto"/>
                </w:rPr>
              </m:ctrlPr>
            </m:radPr>
            <m:deg/>
            <m:e>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acc>
                        <m:accPr>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e>
          </m:rad>
        </m:oMath>
      </m:oMathPara>
    </w:p>
    <w:p w14:paraId="010B9C63" w14:textId="77777777" w:rsidR="00D30C32" w:rsidRPr="00C3645A" w:rsidRDefault="00D30C32" w:rsidP="00D30C32">
      <w:pPr>
        <w:pStyle w:val="PubliManuscript"/>
        <w:spacing w:line="240" w:lineRule="auto"/>
        <w:ind w:firstLine="0"/>
        <w:rPr>
          <w:color w:val="auto"/>
        </w:rPr>
      </w:pPr>
      <m:oMathPara>
        <m:oMath>
          <m:r>
            <w:rPr>
              <w:rFonts w:ascii="Cambria Math" w:hAnsi="Cambria Math"/>
              <w:color w:val="auto"/>
            </w:rPr>
            <m:t xml:space="preserve">EF=1- </m:t>
          </m:r>
          <m:f>
            <m:fPr>
              <m:ctrlPr>
                <w:rPr>
                  <w:rFonts w:ascii="Cambria Math" w:hAnsi="Cambria Math"/>
                  <w:i/>
                  <w:color w:val="auto"/>
                </w:rPr>
              </m:ctrlPr>
            </m:fPr>
            <m:num>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acc>
                        <m:accPr>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acc>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e>
                    <m:sup>
                      <m:r>
                        <w:rPr>
                          <w:rFonts w:ascii="Cambria Math" w:hAnsi="Cambria Math"/>
                          <w:color w:val="auto"/>
                        </w:rPr>
                        <m:t>2</m:t>
                      </m:r>
                    </m:sup>
                  </m:sSup>
                </m:e>
              </m:nary>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p>
                    <m:sSupPr>
                      <m:ctrlPr>
                        <w:rPr>
                          <w:rFonts w:ascii="Cambria Math" w:hAnsi="Cambria Math"/>
                          <w:i/>
                          <w:color w:val="auto"/>
                        </w:rPr>
                      </m:ctrlPr>
                    </m:sSupPr>
                    <m:e>
                      <m:r>
                        <w:rPr>
                          <w:rFonts w:ascii="Cambria Math" w:hAnsi="Cambria Math"/>
                          <w:color w:val="auto"/>
                        </w:rPr>
                        <m:t>(</m:t>
                      </m:r>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r>
                        <w:rPr>
                          <w:rFonts w:ascii="Cambria Math" w:hAnsi="Cambria Math"/>
                          <w:color w:val="auto"/>
                        </w:rPr>
                        <m:t>-</m:t>
                      </m:r>
                      <m:acc>
                        <m:accPr>
                          <m:chr m:val="̅"/>
                          <m:ctrlPr>
                            <w:rPr>
                              <w:rFonts w:ascii="Cambria Math" w:hAnsi="Cambria Math"/>
                              <w:i/>
                              <w:color w:val="auto"/>
                            </w:rPr>
                          </m:ctrlPr>
                        </m:accPr>
                        <m:e>
                          <m:r>
                            <w:rPr>
                              <w:rFonts w:ascii="Cambria Math" w:hAnsi="Cambria Math"/>
                              <w:color w:val="auto"/>
                            </w:rPr>
                            <m:t>Y</m:t>
                          </m:r>
                        </m:e>
                      </m:acc>
                      <m:r>
                        <w:rPr>
                          <w:rFonts w:ascii="Cambria Math" w:hAnsi="Cambria Math"/>
                          <w:color w:val="auto"/>
                        </w:rPr>
                        <m:t>)</m:t>
                      </m:r>
                    </m:e>
                    <m:sup>
                      <m:r>
                        <w:rPr>
                          <w:rFonts w:ascii="Cambria Math" w:hAnsi="Cambria Math"/>
                          <w:color w:val="auto"/>
                        </w:rPr>
                        <m:t>2</m:t>
                      </m:r>
                    </m:sup>
                  </m:sSup>
                </m:e>
              </m:nary>
            </m:den>
          </m:f>
        </m:oMath>
      </m:oMathPara>
    </w:p>
    <w:p w14:paraId="357B269B" w14:textId="77777777" w:rsidR="00D30C32" w:rsidRPr="00C3645A" w:rsidRDefault="00D30C32" w:rsidP="00D30C32">
      <w:pPr>
        <w:pStyle w:val="PubliManuscript"/>
        <w:spacing w:line="240" w:lineRule="auto"/>
        <w:ind w:firstLine="0"/>
        <w:rPr>
          <w:color w:val="auto"/>
        </w:rPr>
      </w:pPr>
      <m:oMathPara>
        <m:oMath>
          <m:r>
            <w:rPr>
              <w:rFonts w:ascii="Cambria Math" w:hAnsi="Cambria Math"/>
              <w:color w:val="auto"/>
            </w:rPr>
            <m:t xml:space="preserve">ND= </m:t>
          </m:r>
          <m:f>
            <m:fPr>
              <m:ctrlPr>
                <w:rPr>
                  <w:rFonts w:ascii="Cambria Math" w:hAnsi="Cambria Math"/>
                  <w:i/>
                  <w:color w:val="auto"/>
                </w:rPr>
              </m:ctrlPr>
            </m:fPr>
            <m:num>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nary>
              <m:r>
                <w:rPr>
                  <w:rFonts w:ascii="Cambria Math" w:hAnsi="Cambria Math"/>
                  <w:color w:val="auto"/>
                </w:rPr>
                <m:t xml:space="preserve">- </m:t>
              </m:r>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acc>
                        <m:accPr>
                          <m:ctrlPr>
                            <w:rPr>
                              <w:rFonts w:ascii="Cambria Math" w:hAnsi="Cambria Math"/>
                              <w:i/>
                              <w:color w:val="auto"/>
                            </w:rPr>
                          </m:ctrlPr>
                        </m:accPr>
                        <m:e>
                          <m:r>
                            <w:rPr>
                              <w:rFonts w:ascii="Cambria Math" w:hAnsi="Cambria Math"/>
                              <w:color w:val="auto"/>
                            </w:rPr>
                            <m:t>Y</m:t>
                          </m:r>
                        </m:e>
                      </m:acc>
                    </m:e>
                    <m:sub>
                      <m:r>
                        <w:rPr>
                          <w:rFonts w:ascii="Cambria Math" w:hAnsi="Cambria Math"/>
                          <w:color w:val="auto"/>
                        </w:rPr>
                        <m:t>i</m:t>
                      </m:r>
                    </m:sub>
                  </m:sSub>
                </m:e>
              </m:nary>
            </m:num>
            <m:den>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nary>
            </m:den>
          </m:f>
        </m:oMath>
      </m:oMathPara>
    </w:p>
    <w:p w14:paraId="6F5B3117" w14:textId="1BAA28FC" w:rsidR="00AD6896" w:rsidRPr="00C3645A" w:rsidRDefault="00D30C32" w:rsidP="00D30C32">
      <w:pPr>
        <w:pStyle w:val="PubliManuscript"/>
        <w:rPr>
          <w:color w:val="auto"/>
        </w:rPr>
      </w:pPr>
      <w:r w:rsidRPr="00C3645A">
        <w:rPr>
          <w:color w:val="auto"/>
        </w:rPr>
        <w:t xml:space="preserve">with </w:t>
      </w:r>
      <m:oMath>
        <m:acc>
          <m:accPr>
            <m:ctrlPr>
              <w:rPr>
                <w:rFonts w:ascii="Cambria Math" w:hAnsi="Cambria Math"/>
                <w:i/>
                <w:color w:val="auto"/>
              </w:rPr>
            </m:ctrlPr>
          </m:accPr>
          <m:e>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e>
        </m:acc>
      </m:oMath>
      <w:r w:rsidRPr="00C3645A">
        <w:rPr>
          <w:color w:val="auto"/>
        </w:rPr>
        <w:t xml:space="preserve"> the simulations and </w:t>
      </w:r>
      <m:oMath>
        <m:sSub>
          <m:sSubPr>
            <m:ctrlPr>
              <w:rPr>
                <w:rFonts w:ascii="Cambria Math" w:hAnsi="Cambria Math"/>
                <w:i/>
                <w:color w:val="auto"/>
              </w:rPr>
            </m:ctrlPr>
          </m:sSubPr>
          <m:e>
            <m:r>
              <w:rPr>
                <w:rFonts w:ascii="Cambria Math" w:hAnsi="Cambria Math"/>
                <w:color w:val="auto"/>
              </w:rPr>
              <m:t>Y</m:t>
            </m:r>
          </m:e>
          <m:sub>
            <m:r>
              <w:rPr>
                <w:rFonts w:ascii="Cambria Math" w:hAnsi="Cambria Math"/>
                <w:color w:val="auto"/>
              </w:rPr>
              <m:t>i</m:t>
            </m:r>
          </m:sub>
        </m:sSub>
      </m:oMath>
      <w:r w:rsidRPr="00C3645A">
        <w:rPr>
          <w:color w:val="auto"/>
        </w:rPr>
        <w:t xml:space="preserve"> the observations. We consider that the model is adequate when </w:t>
      </w:r>
      <m:oMath>
        <m:r>
          <w:rPr>
            <w:rFonts w:ascii="Cambria Math" w:hAnsi="Cambria Math"/>
            <w:color w:val="auto"/>
          </w:rPr>
          <m:t>EF ≥0.5</m:t>
        </m:r>
      </m:oMath>
      <w:r w:rsidRPr="00C3645A">
        <w:rPr>
          <w:color w:val="auto"/>
        </w:rPr>
        <w:t xml:space="preserve"> and </w:t>
      </w:r>
      <m:oMath>
        <m:r>
          <w:rPr>
            <w:rFonts w:ascii="Cambria Math" w:hAnsi="Cambria Math"/>
            <w:color w:val="auto"/>
          </w:rPr>
          <m:t>|ND| ≤ 0.1</m:t>
        </m:r>
      </m:oMath>
      <w:r w:rsidRPr="00C3645A">
        <w:rPr>
          <w:color w:val="auto"/>
        </w:rPr>
        <w:t xml:space="preserve"> (Beaudoin et al., 2008).</w:t>
      </w:r>
    </w:p>
    <w:p w14:paraId="18773BAA" w14:textId="0BFB7F45" w:rsidR="00AD6896" w:rsidRPr="00C3645A" w:rsidRDefault="00AD6896" w:rsidP="00AD6896">
      <w:pPr>
        <w:pStyle w:val="Publi1"/>
        <w:spacing w:line="240" w:lineRule="auto"/>
      </w:pPr>
      <w:r w:rsidRPr="00C3645A">
        <w:t>Results</w:t>
      </w:r>
    </w:p>
    <w:p w14:paraId="3138A96C" w14:textId="173BE70B" w:rsidR="00AD6896" w:rsidRPr="00C3645A" w:rsidRDefault="00AD6896" w:rsidP="00AD6896">
      <w:pPr>
        <w:pStyle w:val="Publi2"/>
        <w:rPr>
          <w:color w:val="auto"/>
        </w:rPr>
      </w:pPr>
      <w:r w:rsidRPr="00C3645A">
        <w:rPr>
          <w:color w:val="auto"/>
        </w:rPr>
        <w:t xml:space="preserve"> </w:t>
      </w:r>
      <w:r w:rsidR="005D5608" w:rsidRPr="00C3645A">
        <w:rPr>
          <w:color w:val="auto"/>
        </w:rPr>
        <w:t>Pasture, crop and livestock p</w:t>
      </w:r>
      <w:r w:rsidRPr="00C3645A">
        <w:rPr>
          <w:color w:val="auto"/>
        </w:rPr>
        <w:t>roductivity</w:t>
      </w:r>
    </w:p>
    <w:p w14:paraId="5B4BF020" w14:textId="03E3DD4B" w:rsidR="00D42348" w:rsidRPr="00C3645A" w:rsidRDefault="00C37010" w:rsidP="008D39D3">
      <w:pPr>
        <w:pStyle w:val="PubliManuscript"/>
        <w:rPr>
          <w:color w:val="auto"/>
        </w:rPr>
      </w:pPr>
      <w:r w:rsidRPr="00C3645A">
        <w:rPr>
          <w:color w:val="auto"/>
        </w:rPr>
        <w:t>Simulated sward heights during the stocking period were close to targeted heights and close to field observations (Fig. A</w:t>
      </w:r>
      <w:r w:rsidR="003A0660" w:rsidRPr="00C3645A">
        <w:rPr>
          <w:color w:val="auto"/>
        </w:rPr>
        <w:t>4</w:t>
      </w:r>
      <w:r w:rsidRPr="00C3645A">
        <w:rPr>
          <w:color w:val="auto"/>
        </w:rPr>
        <w:t>).</w:t>
      </w:r>
      <w:r w:rsidR="008D39D3" w:rsidRPr="00C3645A">
        <w:rPr>
          <w:color w:val="auto"/>
        </w:rPr>
        <w:t xml:space="preserve"> </w:t>
      </w:r>
      <w:r w:rsidR="00D42348" w:rsidRPr="00C3645A">
        <w:rPr>
          <w:color w:val="auto"/>
        </w:rPr>
        <w:t>The model successfully simulated the total herbage production (Fig. 2a and 2b), live weight gain (Fig. 2c and 2d) and soybean grain yield (Fig. 2e and 2f), with EF being above the 0.5 threshold and ND being lower to 0.1 in absolute value, for the three variable</w:t>
      </w:r>
      <w:r w:rsidR="00C97E06" w:rsidRPr="00C3645A">
        <w:rPr>
          <w:color w:val="auto"/>
        </w:rPr>
        <w:t>s</w:t>
      </w:r>
      <w:r w:rsidR="00D42348" w:rsidRPr="00C3645A">
        <w:rPr>
          <w:color w:val="auto"/>
        </w:rPr>
        <w:t xml:space="preserve"> (Fig. 2a, 2c and 2e). No contrasted trend between grazing treatments were reported which guarantees that further differences in treatments comparisons will not be due to model bias. We see with the </w:t>
      </w:r>
      <w:r w:rsidR="00012D3B" w:rsidRPr="00C3645A">
        <w:rPr>
          <w:color w:val="auto"/>
        </w:rPr>
        <w:t>distributions of</w:t>
      </w:r>
      <w:r w:rsidR="00D42348" w:rsidRPr="00C3645A">
        <w:rPr>
          <w:color w:val="auto"/>
        </w:rPr>
        <w:t xml:space="preserve"> THP (Fig. 2b), live weight gain (Fig. 2d) and soybean yield (Fig. 2f) that the model was able to reproduce the productivity trends between the treatments</w:t>
      </w:r>
      <w:r w:rsidR="00A554CD" w:rsidRPr="00C3645A">
        <w:rPr>
          <w:color w:val="auto"/>
        </w:rPr>
        <w:t>,</w:t>
      </w:r>
      <w:r w:rsidR="00D42348" w:rsidRPr="00C3645A">
        <w:rPr>
          <w:color w:val="auto"/>
        </w:rPr>
        <w:t xml:space="preserve"> </w:t>
      </w:r>
      <w:r w:rsidR="007D4B29" w:rsidRPr="00C3645A">
        <w:rPr>
          <w:color w:val="auto"/>
        </w:rPr>
        <w:t>with no significant difference between observations and simulations</w:t>
      </w:r>
      <w:r w:rsidR="00391E0D" w:rsidRPr="00C3645A">
        <w:rPr>
          <w:color w:val="auto"/>
        </w:rPr>
        <w:t xml:space="preserve"> (</w:t>
      </w:r>
      <w:r w:rsidR="00391E0D" w:rsidRPr="00C3645A">
        <w:rPr>
          <w:i/>
          <w:iCs/>
          <w:color w:val="auto"/>
        </w:rPr>
        <w:t xml:space="preserve">p </w:t>
      </w:r>
      <w:r w:rsidR="00391E0D" w:rsidRPr="00C3645A">
        <w:rPr>
          <w:color w:val="auto"/>
        </w:rPr>
        <w:t>&lt; 0.05)</w:t>
      </w:r>
      <w:r w:rsidR="007D4B29" w:rsidRPr="00C3645A">
        <w:rPr>
          <w:color w:val="auto"/>
        </w:rPr>
        <w:t>.</w:t>
      </w:r>
      <w:r w:rsidR="00C56DD5" w:rsidRPr="00C3645A">
        <w:rPr>
          <w:color w:val="auto"/>
        </w:rPr>
        <w:t xml:space="preserve"> </w:t>
      </w:r>
    </w:p>
    <w:p w14:paraId="46DF1D14" w14:textId="07E2BFEA" w:rsidR="00461922" w:rsidRPr="00C3645A" w:rsidRDefault="007D3E2E">
      <w:pPr>
        <w:pStyle w:val="PubliManuscript"/>
        <w:rPr>
          <w:color w:val="auto"/>
        </w:rPr>
      </w:pPr>
      <w:r w:rsidRPr="00C3645A">
        <w:rPr>
          <w:color w:val="auto"/>
        </w:rPr>
        <w:t>Considering dung and urine depositions appeared to be essential in the simulation process (Fig. A</w:t>
      </w:r>
      <w:r w:rsidR="003A0660" w:rsidRPr="00C3645A">
        <w:rPr>
          <w:color w:val="auto"/>
        </w:rPr>
        <w:t>5</w:t>
      </w:r>
      <w:r w:rsidRPr="00C3645A">
        <w:rPr>
          <w:color w:val="auto"/>
        </w:rPr>
        <w:t>). They allowed to simulate a total herbage production that is larger for the grazed treatments G20, G30 and G40 than for the ungrazed treatment. Accurate estimation of pasture production was also a critical point for accurate live weight grain simulations</w:t>
      </w:r>
      <w:r w:rsidR="006769A0" w:rsidRPr="00C3645A">
        <w:rPr>
          <w:color w:val="auto"/>
        </w:rPr>
        <w:t>.</w:t>
      </w:r>
      <w:r w:rsidR="00D733DC" w:rsidRPr="00C3645A">
        <w:rPr>
          <w:color w:val="auto"/>
        </w:rPr>
        <w:t xml:space="preserve"> </w:t>
      </w:r>
    </w:p>
    <w:p w14:paraId="3496A816" w14:textId="5E599FDA" w:rsidR="00AD6896" w:rsidRPr="00C3645A" w:rsidRDefault="00193E70" w:rsidP="00AD6896">
      <w:pPr>
        <w:pStyle w:val="PubliManuscript"/>
        <w:jc w:val="center"/>
        <w:rPr>
          <w:color w:val="auto"/>
        </w:rPr>
      </w:pPr>
      <w:r w:rsidRPr="00C3645A">
        <w:rPr>
          <w:noProof/>
          <w:color w:val="auto"/>
        </w:rPr>
        <w:lastRenderedPageBreak/>
        <w:drawing>
          <wp:inline distT="0" distB="0" distL="0" distR="0" wp14:anchorId="71A9D9C2" wp14:editId="3B6377B6">
            <wp:extent cx="5760718" cy="5422105"/>
            <wp:effectExtent l="0" t="0" r="0" b="0"/>
            <wp:docPr id="156455268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52683" name="Imag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18" cy="5422105"/>
                    </a:xfrm>
                    <a:prstGeom prst="rect">
                      <a:avLst/>
                    </a:prstGeom>
                    <a:noFill/>
                    <a:ln>
                      <a:noFill/>
                    </a:ln>
                  </pic:spPr>
                </pic:pic>
              </a:graphicData>
            </a:graphic>
          </wp:inline>
        </w:drawing>
      </w:r>
    </w:p>
    <w:p w14:paraId="12BB254B" w14:textId="64E364D1" w:rsidR="00AD6896" w:rsidRPr="00C3645A" w:rsidRDefault="00AD6896" w:rsidP="00780AF9">
      <w:pPr>
        <w:pStyle w:val="PubliManuscript"/>
        <w:spacing w:line="240" w:lineRule="auto"/>
        <w:ind w:firstLine="0"/>
        <w:rPr>
          <w:b/>
          <w:bCs/>
          <w:color w:val="auto"/>
        </w:rPr>
      </w:pPr>
      <w:r w:rsidRPr="00C3645A">
        <w:rPr>
          <w:b/>
          <w:bCs/>
          <w:color w:val="auto"/>
        </w:rPr>
        <w:t xml:space="preserve">Figure </w:t>
      </w:r>
      <w:r w:rsidR="00081B3C" w:rsidRPr="00C3645A">
        <w:rPr>
          <w:b/>
          <w:bCs/>
          <w:color w:val="auto"/>
        </w:rPr>
        <w:t>2</w:t>
      </w:r>
      <w:r w:rsidRPr="00C3645A">
        <w:rPr>
          <w:b/>
          <w:bCs/>
          <w:color w:val="auto"/>
        </w:rPr>
        <w:t xml:space="preserve">. Goodness of fit results for a) </w:t>
      </w:r>
      <w:r w:rsidR="00373710" w:rsidRPr="00C3645A">
        <w:rPr>
          <w:b/>
          <w:bCs/>
          <w:color w:val="auto"/>
        </w:rPr>
        <w:t>pasture biomass</w:t>
      </w:r>
      <w:r w:rsidRPr="00C3645A">
        <w:rPr>
          <w:b/>
          <w:bCs/>
          <w:color w:val="auto"/>
        </w:rPr>
        <w:t>, b) total herbage production</w:t>
      </w:r>
      <w:r w:rsidR="00461316" w:rsidRPr="00C3645A">
        <w:rPr>
          <w:b/>
          <w:bCs/>
          <w:color w:val="auto"/>
        </w:rPr>
        <w:t xml:space="preserve"> (THP)</w:t>
      </w:r>
      <w:r w:rsidR="009A7E56" w:rsidRPr="00C3645A">
        <w:rPr>
          <w:b/>
          <w:bCs/>
          <w:color w:val="auto"/>
        </w:rPr>
        <w:t xml:space="preserve"> distribution</w:t>
      </w:r>
      <w:r w:rsidRPr="00C3645A">
        <w:rPr>
          <w:b/>
          <w:bCs/>
          <w:color w:val="auto"/>
        </w:rPr>
        <w:t>, c) cattle live weight</w:t>
      </w:r>
      <w:r w:rsidR="00F668F5" w:rsidRPr="00C3645A">
        <w:rPr>
          <w:b/>
          <w:bCs/>
          <w:color w:val="auto"/>
        </w:rPr>
        <w:t xml:space="preserve"> (LW)</w:t>
      </w:r>
      <w:r w:rsidRPr="00C3645A">
        <w:rPr>
          <w:b/>
          <w:bCs/>
          <w:color w:val="auto"/>
        </w:rPr>
        <w:t xml:space="preserve"> gain, </w:t>
      </w:r>
      <w:r w:rsidR="00D87CA5" w:rsidRPr="00C3645A">
        <w:rPr>
          <w:b/>
          <w:bCs/>
          <w:color w:val="auto"/>
        </w:rPr>
        <w:t>d) cattle live weight gain</w:t>
      </w:r>
      <w:r w:rsidR="006027E6" w:rsidRPr="00C3645A">
        <w:rPr>
          <w:b/>
          <w:bCs/>
          <w:color w:val="auto"/>
        </w:rPr>
        <w:t xml:space="preserve"> distribution</w:t>
      </w:r>
      <w:r w:rsidR="00D87CA5" w:rsidRPr="00C3645A">
        <w:rPr>
          <w:b/>
          <w:bCs/>
          <w:color w:val="auto"/>
        </w:rPr>
        <w:t>, e</w:t>
      </w:r>
      <w:r w:rsidRPr="00C3645A">
        <w:rPr>
          <w:b/>
          <w:bCs/>
          <w:color w:val="auto"/>
        </w:rPr>
        <w:t>) soybean grain yield</w:t>
      </w:r>
      <w:r w:rsidR="00D87CA5" w:rsidRPr="00C3645A">
        <w:rPr>
          <w:b/>
          <w:bCs/>
          <w:color w:val="auto"/>
        </w:rPr>
        <w:t xml:space="preserve"> and f) soybean grain yield</w:t>
      </w:r>
      <w:r w:rsidR="00746015" w:rsidRPr="00C3645A">
        <w:rPr>
          <w:b/>
          <w:bCs/>
          <w:color w:val="auto"/>
        </w:rPr>
        <w:t xml:space="preserve"> distribution</w:t>
      </w:r>
      <w:r w:rsidR="00D87CA5" w:rsidRPr="00C3645A">
        <w:rPr>
          <w:b/>
          <w:bCs/>
          <w:color w:val="auto"/>
        </w:rPr>
        <w:t>.</w:t>
      </w:r>
      <w:r w:rsidR="002233B8" w:rsidRPr="00C3645A">
        <w:rPr>
          <w:b/>
          <w:bCs/>
          <w:color w:val="auto"/>
        </w:rPr>
        <w:t xml:space="preserve"> For the variables distributions, only the years for which observations were available for all five treatments were used.</w:t>
      </w:r>
      <w:r w:rsidR="00DB52AD" w:rsidRPr="00C3645A">
        <w:rPr>
          <w:b/>
          <w:bCs/>
          <w:color w:val="auto"/>
        </w:rPr>
        <w:t xml:space="preserve"> </w:t>
      </w:r>
      <w:r w:rsidR="003C75CE" w:rsidRPr="00C3645A">
        <w:rPr>
          <w:b/>
          <w:bCs/>
          <w:color w:val="auto"/>
        </w:rPr>
        <w:t xml:space="preserve">Letters refer to groups </w:t>
      </w:r>
      <w:r w:rsidR="003B69D9" w:rsidRPr="00C3645A">
        <w:rPr>
          <w:b/>
          <w:bCs/>
          <w:color w:val="auto"/>
        </w:rPr>
        <w:t xml:space="preserve">statistically different </w:t>
      </w:r>
      <w:r w:rsidR="003C75CE" w:rsidRPr="00C3645A">
        <w:rPr>
          <w:b/>
          <w:bCs/>
          <w:color w:val="auto"/>
        </w:rPr>
        <w:t>(</w:t>
      </w:r>
      <w:r w:rsidR="003C75CE" w:rsidRPr="00C3645A">
        <w:rPr>
          <w:b/>
          <w:bCs/>
          <w:i/>
          <w:iCs/>
          <w:color w:val="auto"/>
        </w:rPr>
        <w:t xml:space="preserve">p </w:t>
      </w:r>
      <w:r w:rsidR="003C75CE" w:rsidRPr="00C3645A">
        <w:rPr>
          <w:b/>
          <w:bCs/>
          <w:color w:val="auto"/>
        </w:rPr>
        <w:t xml:space="preserve">&lt; 0.05). </w:t>
      </w:r>
      <w:r w:rsidR="00DB52AD" w:rsidRPr="00C3645A">
        <w:rPr>
          <w:b/>
          <w:bCs/>
          <w:color w:val="auto"/>
        </w:rPr>
        <w:t xml:space="preserve">G10, G20, G30 and G40 </w:t>
      </w:r>
      <w:r w:rsidR="002558F0" w:rsidRPr="00C3645A">
        <w:rPr>
          <w:b/>
          <w:bCs/>
          <w:color w:val="auto"/>
        </w:rPr>
        <w:t xml:space="preserve">refer to the grazing </w:t>
      </w:r>
      <w:r w:rsidR="00C234F9" w:rsidRPr="00C3645A">
        <w:rPr>
          <w:b/>
          <w:bCs/>
          <w:color w:val="auto"/>
        </w:rPr>
        <w:t xml:space="preserve">intensity </w:t>
      </w:r>
      <w:r w:rsidR="002558F0" w:rsidRPr="00C3645A">
        <w:rPr>
          <w:b/>
          <w:bCs/>
          <w:color w:val="auto"/>
        </w:rPr>
        <w:t xml:space="preserve">treatment, </w:t>
      </w:r>
      <w:r w:rsidR="00C04895" w:rsidRPr="00C3645A">
        <w:rPr>
          <w:b/>
          <w:bCs/>
          <w:color w:val="auto"/>
        </w:rPr>
        <w:t>and</w:t>
      </w:r>
      <w:r w:rsidR="002558F0" w:rsidRPr="00C3645A">
        <w:rPr>
          <w:b/>
          <w:bCs/>
          <w:color w:val="auto"/>
        </w:rPr>
        <w:t xml:space="preserve"> UG designates the ungrazed treatment.</w:t>
      </w:r>
      <w:r w:rsidR="008E7B74" w:rsidRPr="00C3645A">
        <w:rPr>
          <w:b/>
          <w:bCs/>
          <w:color w:val="auto"/>
        </w:rPr>
        <w:t xml:space="preserve"> </w:t>
      </w:r>
    </w:p>
    <w:p w14:paraId="7BA8F707" w14:textId="0D228EE3" w:rsidR="00DA632D" w:rsidRPr="00C3645A" w:rsidRDefault="00B809B8" w:rsidP="00AD6896">
      <w:pPr>
        <w:pStyle w:val="PubliManuscript"/>
        <w:rPr>
          <w:color w:val="auto"/>
        </w:rPr>
      </w:pPr>
      <w:r w:rsidRPr="00C3645A">
        <w:rPr>
          <w:color w:val="auto"/>
        </w:rPr>
        <w:t>Our s</w:t>
      </w:r>
      <w:r w:rsidR="008848C7" w:rsidRPr="00C3645A">
        <w:rPr>
          <w:color w:val="auto"/>
        </w:rPr>
        <w:t>imulations established a lower THP for G10 and UG treatments</w:t>
      </w:r>
      <w:r w:rsidR="005F3ADA" w:rsidRPr="00C3645A">
        <w:rPr>
          <w:color w:val="auto"/>
        </w:rPr>
        <w:t xml:space="preserve"> compared to G30 and G40</w:t>
      </w:r>
      <w:r w:rsidR="008848C7" w:rsidRPr="00C3645A">
        <w:rPr>
          <w:color w:val="auto"/>
        </w:rPr>
        <w:t xml:space="preserve"> </w:t>
      </w:r>
      <w:r w:rsidR="0049215A" w:rsidRPr="00C3645A">
        <w:rPr>
          <w:color w:val="auto"/>
        </w:rPr>
        <w:t>(</w:t>
      </w:r>
      <w:r w:rsidR="0049215A" w:rsidRPr="00C3645A">
        <w:rPr>
          <w:i/>
          <w:iCs/>
          <w:color w:val="auto"/>
        </w:rPr>
        <w:t xml:space="preserve">p </w:t>
      </w:r>
      <w:r w:rsidR="002C6818" w:rsidRPr="00C3645A">
        <w:rPr>
          <w:color w:val="auto"/>
        </w:rPr>
        <w:t>&lt;</w:t>
      </w:r>
      <w:r w:rsidR="0049215A" w:rsidRPr="00C3645A">
        <w:rPr>
          <w:color w:val="auto"/>
        </w:rPr>
        <w:t xml:space="preserve"> 0.05</w:t>
      </w:r>
      <w:r w:rsidR="00C07F17" w:rsidRPr="00C3645A">
        <w:rPr>
          <w:color w:val="auto"/>
        </w:rPr>
        <w:t xml:space="preserve">; </w:t>
      </w:r>
      <w:r w:rsidR="00545235" w:rsidRPr="00C3645A">
        <w:rPr>
          <w:color w:val="auto"/>
        </w:rPr>
        <w:t>Table A</w:t>
      </w:r>
      <w:r w:rsidR="004208EB" w:rsidRPr="00C3645A">
        <w:rPr>
          <w:color w:val="auto"/>
        </w:rPr>
        <w:t>3</w:t>
      </w:r>
      <w:r w:rsidR="00545235" w:rsidRPr="00C3645A">
        <w:rPr>
          <w:color w:val="auto"/>
        </w:rPr>
        <w:t xml:space="preserve">). </w:t>
      </w:r>
      <w:r w:rsidR="006B6465" w:rsidRPr="00C3645A">
        <w:rPr>
          <w:color w:val="auto"/>
        </w:rPr>
        <w:t>The</w:t>
      </w:r>
      <w:r w:rsidR="007D2F4C" w:rsidRPr="00C3645A">
        <w:rPr>
          <w:color w:val="auto"/>
        </w:rPr>
        <w:t xml:space="preserve"> model reproduced the same hierarchy in THP than what was observed on the field: G40 &gt; G30 &gt; G20 &gt; UG &gt; G10</w:t>
      </w:r>
      <w:r w:rsidR="00F86AE2" w:rsidRPr="00C3645A">
        <w:rPr>
          <w:color w:val="auto"/>
        </w:rPr>
        <w:t xml:space="preserve"> (Fig. 4a)</w:t>
      </w:r>
      <w:r w:rsidR="00FD11DB" w:rsidRPr="00C3645A">
        <w:rPr>
          <w:color w:val="auto"/>
        </w:rPr>
        <w:t>, with</w:t>
      </w:r>
      <w:r w:rsidR="00AD6896" w:rsidRPr="00C3645A">
        <w:rPr>
          <w:color w:val="auto"/>
        </w:rPr>
        <w:t xml:space="preserve"> the ungrazed treatment production </w:t>
      </w:r>
      <w:r w:rsidR="0051679E" w:rsidRPr="00C3645A">
        <w:rPr>
          <w:color w:val="auto"/>
        </w:rPr>
        <w:t>being</w:t>
      </w:r>
      <w:r w:rsidR="00AD6896" w:rsidRPr="00C3645A">
        <w:rPr>
          <w:color w:val="auto"/>
        </w:rPr>
        <w:t xml:space="preserve"> lower than for intensities G20, G30 and G40</w:t>
      </w:r>
      <w:r w:rsidR="0004421A" w:rsidRPr="00C3645A">
        <w:rPr>
          <w:color w:val="auto"/>
        </w:rPr>
        <w:t xml:space="preserve"> </w:t>
      </w:r>
      <w:r w:rsidR="00AD6896" w:rsidRPr="00C3645A">
        <w:rPr>
          <w:color w:val="auto"/>
        </w:rPr>
        <w:t>(</w:t>
      </w:r>
      <w:proofErr w:type="spellStart"/>
      <w:r w:rsidR="00AD6896" w:rsidRPr="00C3645A">
        <w:rPr>
          <w:color w:val="auto"/>
        </w:rPr>
        <w:t>Kunrath</w:t>
      </w:r>
      <w:proofErr w:type="spellEnd"/>
      <w:r w:rsidR="00AD6896" w:rsidRPr="00C3645A">
        <w:rPr>
          <w:color w:val="auto"/>
        </w:rPr>
        <w:t xml:space="preserve"> et al., 2020; de Albuquerque et al., 2021). </w:t>
      </w:r>
    </w:p>
    <w:p w14:paraId="53CE9BDD" w14:textId="074115AF" w:rsidR="002E05B8" w:rsidRPr="00C3645A" w:rsidRDefault="00AD6896" w:rsidP="00C4341F">
      <w:pPr>
        <w:pStyle w:val="PubliManuscript"/>
        <w:rPr>
          <w:color w:val="auto"/>
        </w:rPr>
      </w:pPr>
      <w:r w:rsidRPr="00C3645A">
        <w:rPr>
          <w:color w:val="auto"/>
        </w:rPr>
        <w:t xml:space="preserve">On the other hand, total live weight gain </w:t>
      </w:r>
      <w:r w:rsidR="003C5D73" w:rsidRPr="00C3645A">
        <w:rPr>
          <w:color w:val="auto"/>
        </w:rPr>
        <w:t xml:space="preserve">per hectare </w:t>
      </w:r>
      <w:r w:rsidRPr="00C3645A">
        <w:rPr>
          <w:color w:val="auto"/>
        </w:rPr>
        <w:t>increased with grazing intensity (</w:t>
      </w:r>
      <w:r w:rsidR="00433ACD" w:rsidRPr="00C3645A">
        <w:rPr>
          <w:i/>
          <w:iCs/>
          <w:color w:val="auto"/>
        </w:rPr>
        <w:t xml:space="preserve">p </w:t>
      </w:r>
      <w:r w:rsidR="00433ACD" w:rsidRPr="00C3645A">
        <w:rPr>
          <w:color w:val="auto"/>
        </w:rPr>
        <w:t>&lt; 0.05;</w:t>
      </w:r>
      <w:r w:rsidR="006F1A0F" w:rsidRPr="00C3645A">
        <w:rPr>
          <w:color w:val="auto"/>
        </w:rPr>
        <w:t xml:space="preserve"> </w:t>
      </w:r>
      <w:r w:rsidRPr="00C3645A">
        <w:rPr>
          <w:color w:val="auto"/>
        </w:rPr>
        <w:t xml:space="preserve">Fig. </w:t>
      </w:r>
      <w:r w:rsidR="0047073A" w:rsidRPr="00C3645A">
        <w:rPr>
          <w:color w:val="auto"/>
        </w:rPr>
        <w:t>2</w:t>
      </w:r>
      <w:r w:rsidR="005C007D" w:rsidRPr="00C3645A">
        <w:rPr>
          <w:color w:val="auto"/>
        </w:rPr>
        <w:t>d</w:t>
      </w:r>
      <w:r w:rsidR="006F1A0F" w:rsidRPr="00C3645A">
        <w:rPr>
          <w:color w:val="auto"/>
        </w:rPr>
        <w:t xml:space="preserve"> and Table A</w:t>
      </w:r>
      <w:r w:rsidR="004208EB" w:rsidRPr="00C3645A">
        <w:rPr>
          <w:color w:val="auto"/>
        </w:rPr>
        <w:t>3</w:t>
      </w:r>
      <w:r w:rsidRPr="00C3645A">
        <w:rPr>
          <w:color w:val="auto"/>
        </w:rPr>
        <w:t>), inducing a gross profit that increase</w:t>
      </w:r>
      <w:r w:rsidR="00C36BB3" w:rsidRPr="00C3645A">
        <w:rPr>
          <w:color w:val="auto"/>
        </w:rPr>
        <w:t>d</w:t>
      </w:r>
      <w:r w:rsidRPr="00C3645A">
        <w:rPr>
          <w:color w:val="auto"/>
        </w:rPr>
        <w:t xml:space="preserve"> with the inclusion of animals into the system and with grazing intensity</w:t>
      </w:r>
      <w:r w:rsidR="00C4341F" w:rsidRPr="00C3645A">
        <w:rPr>
          <w:color w:val="auto"/>
        </w:rPr>
        <w:t>.</w:t>
      </w:r>
    </w:p>
    <w:p w14:paraId="29DCB972" w14:textId="3AAEF6EF" w:rsidR="000D2583" w:rsidRPr="00C3645A" w:rsidRDefault="00CE53A4" w:rsidP="000D2583">
      <w:pPr>
        <w:pStyle w:val="PubliManuscript"/>
        <w:rPr>
          <w:color w:val="auto"/>
        </w:rPr>
      </w:pPr>
      <w:r w:rsidRPr="00C3645A">
        <w:rPr>
          <w:color w:val="auto"/>
        </w:rPr>
        <w:lastRenderedPageBreak/>
        <w:t>Concerning soybean yields, the model did not simulate any significant difference between treatments</w:t>
      </w:r>
      <w:r w:rsidR="0075341A" w:rsidRPr="00C3645A">
        <w:rPr>
          <w:color w:val="auto"/>
        </w:rPr>
        <w:t xml:space="preserve"> (</w:t>
      </w:r>
      <w:r w:rsidR="0075341A" w:rsidRPr="00C3645A">
        <w:rPr>
          <w:i/>
          <w:iCs/>
          <w:color w:val="auto"/>
        </w:rPr>
        <w:t xml:space="preserve">p </w:t>
      </w:r>
      <w:r w:rsidR="0075341A" w:rsidRPr="00C3645A">
        <w:rPr>
          <w:color w:val="auto"/>
        </w:rPr>
        <w:t>&gt; 0.05</w:t>
      </w:r>
      <w:r w:rsidR="00591E59" w:rsidRPr="00C3645A">
        <w:rPr>
          <w:color w:val="auto"/>
        </w:rPr>
        <w:t>; Fig. 2f and Table A</w:t>
      </w:r>
      <w:r w:rsidR="004208EB" w:rsidRPr="00C3645A">
        <w:rPr>
          <w:color w:val="auto"/>
        </w:rPr>
        <w:t>3</w:t>
      </w:r>
      <w:r w:rsidR="0075341A" w:rsidRPr="00C3645A">
        <w:rPr>
          <w:color w:val="auto"/>
        </w:rPr>
        <w:t>)</w:t>
      </w:r>
      <w:r w:rsidR="00AC009E" w:rsidRPr="00C3645A">
        <w:rPr>
          <w:color w:val="auto"/>
        </w:rPr>
        <w:t xml:space="preserve">, similarly to the results of field observations </w:t>
      </w:r>
      <w:r w:rsidR="00600A34" w:rsidRPr="00C3645A">
        <w:rPr>
          <w:color w:val="auto"/>
        </w:rPr>
        <w:t>(</w:t>
      </w:r>
      <w:r w:rsidR="002200BB" w:rsidRPr="00C3645A">
        <w:rPr>
          <w:color w:val="auto"/>
        </w:rPr>
        <w:t>Peterson et al., 2019</w:t>
      </w:r>
      <w:r w:rsidR="00600A34" w:rsidRPr="00C3645A">
        <w:rPr>
          <w:color w:val="auto"/>
        </w:rPr>
        <w:t>).</w:t>
      </w:r>
    </w:p>
    <w:p w14:paraId="342DD5B7" w14:textId="77777777" w:rsidR="008F6D67" w:rsidRPr="00C3645A" w:rsidRDefault="008F6D67" w:rsidP="008F6D67">
      <w:pPr>
        <w:pStyle w:val="PubliManuscript"/>
        <w:rPr>
          <w:color w:val="auto"/>
        </w:rPr>
      </w:pPr>
      <w:r w:rsidRPr="00C3645A">
        <w:rPr>
          <w:noProof/>
          <w:color w:val="auto"/>
        </w:rPr>
        <w:drawing>
          <wp:inline distT="0" distB="0" distL="0" distR="0" wp14:anchorId="2B19D4F2" wp14:editId="190B2281">
            <wp:extent cx="5759523" cy="4072888"/>
            <wp:effectExtent l="0" t="0" r="0" b="0"/>
            <wp:docPr id="778145414" name="Image 8" descr="Une image contenant texte, capture d’écran, Caractère color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45414" name="Image 8" descr="Une image contenant texte, capture d’écran, Caractère coloré, diagramm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523" cy="4072888"/>
                    </a:xfrm>
                    <a:prstGeom prst="rect">
                      <a:avLst/>
                    </a:prstGeom>
                    <a:noFill/>
                    <a:ln>
                      <a:noFill/>
                    </a:ln>
                  </pic:spPr>
                </pic:pic>
              </a:graphicData>
            </a:graphic>
          </wp:inline>
        </w:drawing>
      </w:r>
    </w:p>
    <w:p w14:paraId="4D10F3A9" w14:textId="7BDE1111" w:rsidR="008F6D67" w:rsidRPr="00C3645A" w:rsidRDefault="008F6D67" w:rsidP="00D73425">
      <w:pPr>
        <w:pStyle w:val="PubliManuscript"/>
        <w:spacing w:line="240" w:lineRule="auto"/>
        <w:ind w:firstLine="0"/>
        <w:rPr>
          <w:b/>
          <w:bCs/>
          <w:color w:val="auto"/>
        </w:rPr>
      </w:pPr>
      <w:bookmarkStart w:id="2" w:name="_Hlk151970028"/>
      <w:r w:rsidRPr="00C3645A">
        <w:rPr>
          <w:b/>
          <w:bCs/>
          <w:color w:val="auto"/>
        </w:rPr>
        <w:t xml:space="preserve">Figure </w:t>
      </w:r>
      <w:r w:rsidR="007020FB" w:rsidRPr="00C3645A">
        <w:rPr>
          <w:b/>
          <w:bCs/>
          <w:color w:val="auto"/>
        </w:rPr>
        <w:t>3</w:t>
      </w:r>
      <w:r w:rsidRPr="00C3645A">
        <w:rPr>
          <w:b/>
          <w:bCs/>
          <w:color w:val="auto"/>
        </w:rPr>
        <w:t xml:space="preserve">. </w:t>
      </w:r>
      <w:r w:rsidR="008D58AE" w:rsidRPr="00C3645A">
        <w:rPr>
          <w:b/>
          <w:bCs/>
          <w:color w:val="auto"/>
        </w:rPr>
        <w:t>T</w:t>
      </w:r>
      <w:r w:rsidRPr="00C3645A">
        <w:rPr>
          <w:b/>
          <w:bCs/>
          <w:color w:val="auto"/>
        </w:rPr>
        <w:t>otal productivity expressed</w:t>
      </w:r>
      <w:r w:rsidR="00D84745" w:rsidRPr="00C3645A">
        <w:rPr>
          <w:b/>
          <w:bCs/>
          <w:color w:val="auto"/>
        </w:rPr>
        <w:t xml:space="preserve"> </w:t>
      </w:r>
      <w:r w:rsidRPr="00C3645A">
        <w:rPr>
          <w:b/>
          <w:bCs/>
          <w:color w:val="auto"/>
        </w:rPr>
        <w:t>in</w:t>
      </w:r>
      <w:r w:rsidR="00D84745" w:rsidRPr="00C3645A">
        <w:rPr>
          <w:b/>
          <w:bCs/>
          <w:color w:val="auto"/>
        </w:rPr>
        <w:t xml:space="preserve"> terms of a) biomass production</w:t>
      </w:r>
      <w:r w:rsidRPr="00C3645A">
        <w:rPr>
          <w:b/>
          <w:bCs/>
          <w:color w:val="auto"/>
        </w:rPr>
        <w:t xml:space="preserve"> </w:t>
      </w:r>
      <w:r w:rsidR="00D84745" w:rsidRPr="00C3645A">
        <w:rPr>
          <w:b/>
          <w:bCs/>
          <w:color w:val="auto"/>
        </w:rPr>
        <w:t>[</w:t>
      </w:r>
      <w:r w:rsidRPr="00C3645A">
        <w:rPr>
          <w:b/>
          <w:bCs/>
          <w:color w:val="auto"/>
        </w:rPr>
        <w:t>T ha</w:t>
      </w:r>
      <w:r w:rsidRPr="00C3645A">
        <w:rPr>
          <w:b/>
          <w:bCs/>
          <w:color w:val="auto"/>
          <w:vertAlign w:val="superscript"/>
        </w:rPr>
        <w:t>-1</w:t>
      </w:r>
      <w:r w:rsidR="00D84745" w:rsidRPr="00C3645A">
        <w:rPr>
          <w:b/>
          <w:bCs/>
          <w:color w:val="auto"/>
        </w:rPr>
        <w:t>]</w:t>
      </w:r>
      <w:r w:rsidR="001E5DC6" w:rsidRPr="00C3645A">
        <w:rPr>
          <w:b/>
          <w:bCs/>
          <w:color w:val="auto"/>
        </w:rPr>
        <w:t>,</w:t>
      </w:r>
      <w:r w:rsidRPr="00C3645A">
        <w:rPr>
          <w:b/>
          <w:bCs/>
          <w:color w:val="auto"/>
          <w:vertAlign w:val="superscript"/>
        </w:rPr>
        <w:t xml:space="preserve"> </w:t>
      </w:r>
      <w:r w:rsidR="00C943E8" w:rsidRPr="00C3645A">
        <w:rPr>
          <w:b/>
          <w:bCs/>
          <w:color w:val="auto"/>
        </w:rPr>
        <w:t xml:space="preserve">b) </w:t>
      </w:r>
      <w:r w:rsidR="003E62F6" w:rsidRPr="00C3645A">
        <w:rPr>
          <w:b/>
          <w:bCs/>
          <w:color w:val="auto"/>
        </w:rPr>
        <w:t>nutritive value [</w:t>
      </w:r>
      <w:proofErr w:type="spellStart"/>
      <w:r w:rsidR="00C943E8" w:rsidRPr="00C3645A">
        <w:rPr>
          <w:b/>
          <w:bCs/>
          <w:color w:val="auto"/>
        </w:rPr>
        <w:t>Mcal</w:t>
      </w:r>
      <w:proofErr w:type="spellEnd"/>
      <w:r w:rsidR="00C943E8" w:rsidRPr="00C3645A">
        <w:rPr>
          <w:b/>
          <w:bCs/>
          <w:color w:val="auto"/>
        </w:rPr>
        <w:t xml:space="preserve"> ha</w:t>
      </w:r>
      <w:r w:rsidR="00C943E8" w:rsidRPr="00C3645A">
        <w:rPr>
          <w:b/>
          <w:bCs/>
          <w:color w:val="auto"/>
          <w:vertAlign w:val="superscript"/>
        </w:rPr>
        <w:t>-</w:t>
      </w:r>
      <w:r w:rsidR="00C943E8" w:rsidRPr="00C3645A">
        <w:rPr>
          <w:b/>
          <w:bCs/>
          <w:color w:val="auto"/>
        </w:rPr>
        <w:t>1</w:t>
      </w:r>
      <w:r w:rsidR="003E62F6" w:rsidRPr="00C3645A">
        <w:rPr>
          <w:b/>
          <w:bCs/>
          <w:color w:val="auto"/>
        </w:rPr>
        <w:t xml:space="preserve">] </w:t>
      </w:r>
      <w:r w:rsidR="00C943E8" w:rsidRPr="00C3645A">
        <w:rPr>
          <w:b/>
          <w:bCs/>
          <w:color w:val="auto"/>
        </w:rPr>
        <w:t>and c</w:t>
      </w:r>
      <w:r w:rsidRPr="00C3645A">
        <w:rPr>
          <w:b/>
          <w:bCs/>
          <w:color w:val="auto"/>
        </w:rPr>
        <w:t xml:space="preserve">) </w:t>
      </w:r>
      <w:r w:rsidR="003E62F6" w:rsidRPr="00C3645A">
        <w:rPr>
          <w:b/>
          <w:bCs/>
          <w:color w:val="auto"/>
        </w:rPr>
        <w:t>economic value [</w:t>
      </w:r>
      <w:r w:rsidR="004A6254" w:rsidRPr="00C3645A">
        <w:rPr>
          <w:b/>
          <w:bCs/>
          <w:color w:val="auto"/>
        </w:rPr>
        <w:t>US dollars (</w:t>
      </w:r>
      <w:r w:rsidRPr="00C3645A">
        <w:rPr>
          <w:b/>
          <w:bCs/>
          <w:color w:val="auto"/>
        </w:rPr>
        <w:t>USD</w:t>
      </w:r>
      <w:r w:rsidR="004A6254" w:rsidRPr="00C3645A">
        <w:rPr>
          <w:b/>
          <w:bCs/>
          <w:color w:val="auto"/>
        </w:rPr>
        <w:t>)</w:t>
      </w:r>
      <w:r w:rsidRPr="00C3645A">
        <w:rPr>
          <w:b/>
          <w:bCs/>
          <w:color w:val="auto"/>
        </w:rPr>
        <w:t xml:space="preserve"> ha</w:t>
      </w:r>
      <w:r w:rsidRPr="00C3645A">
        <w:rPr>
          <w:b/>
          <w:bCs/>
          <w:color w:val="auto"/>
          <w:vertAlign w:val="superscript"/>
        </w:rPr>
        <w:t>-1</w:t>
      </w:r>
      <w:r w:rsidR="003E62F6" w:rsidRPr="00C3645A">
        <w:rPr>
          <w:b/>
          <w:bCs/>
          <w:color w:val="auto"/>
        </w:rPr>
        <w:t>],</w:t>
      </w:r>
      <w:r w:rsidR="00775CB3" w:rsidRPr="00C3645A">
        <w:rPr>
          <w:b/>
          <w:bCs/>
          <w:color w:val="auto"/>
        </w:rPr>
        <w:t xml:space="preserve"> </w:t>
      </w:r>
      <w:r w:rsidR="00CC07C0" w:rsidRPr="00C3645A">
        <w:rPr>
          <w:b/>
          <w:bCs/>
          <w:color w:val="auto"/>
        </w:rPr>
        <w:t>under</w:t>
      </w:r>
      <w:r w:rsidRPr="00C3645A">
        <w:rPr>
          <w:b/>
          <w:bCs/>
          <w:color w:val="auto"/>
        </w:rPr>
        <w:t xml:space="preserve"> historical (2001-2018) and future (2041-2058, RCP8.5) climatic conditions.</w:t>
      </w:r>
      <w:r w:rsidR="000B2441" w:rsidRPr="00C3645A">
        <w:rPr>
          <w:b/>
          <w:bCs/>
          <w:color w:val="auto"/>
        </w:rPr>
        <w:t xml:space="preserve"> </w:t>
      </w:r>
      <w:r w:rsidR="0095727D" w:rsidRPr="00C3645A">
        <w:rPr>
          <w:b/>
          <w:bCs/>
          <w:color w:val="auto"/>
        </w:rPr>
        <w:t xml:space="preserve">For each treatment, productivity gains in the future period </w:t>
      </w:r>
      <w:r w:rsidR="004920AF" w:rsidRPr="00C3645A">
        <w:rPr>
          <w:b/>
          <w:bCs/>
          <w:color w:val="auto"/>
        </w:rPr>
        <w:t xml:space="preserve">2041-2058 </w:t>
      </w:r>
      <w:r w:rsidR="0095727D" w:rsidRPr="00C3645A">
        <w:rPr>
          <w:b/>
          <w:bCs/>
          <w:color w:val="auto"/>
        </w:rPr>
        <w:t>are written in percents,</w:t>
      </w:r>
      <w:r w:rsidR="004920AF" w:rsidRPr="00C3645A">
        <w:rPr>
          <w:b/>
          <w:bCs/>
          <w:color w:val="auto"/>
        </w:rPr>
        <w:t xml:space="preserve"> relative</w:t>
      </w:r>
      <w:r w:rsidR="009C5B87" w:rsidRPr="00C3645A">
        <w:rPr>
          <w:b/>
          <w:bCs/>
          <w:color w:val="auto"/>
        </w:rPr>
        <w:t>ly</w:t>
      </w:r>
      <w:r w:rsidR="004920AF" w:rsidRPr="00C3645A">
        <w:rPr>
          <w:b/>
          <w:bCs/>
          <w:color w:val="auto"/>
        </w:rPr>
        <w:t xml:space="preserve"> to the historical period 2001-2018.</w:t>
      </w:r>
      <w:r w:rsidR="0095727D" w:rsidRPr="00C3645A">
        <w:rPr>
          <w:b/>
          <w:bCs/>
          <w:color w:val="auto"/>
        </w:rPr>
        <w:t xml:space="preserve"> G10, G20, G30 and G40 refer to the grazing intensity treatment, and UG designates the ungrazed treatment. </w:t>
      </w:r>
    </w:p>
    <w:bookmarkEnd w:id="2"/>
    <w:p w14:paraId="0482125D" w14:textId="73C302A4" w:rsidR="000D2583" w:rsidRPr="00C3645A" w:rsidRDefault="002838A0" w:rsidP="000D2583">
      <w:pPr>
        <w:pStyle w:val="PubliManuscript"/>
        <w:rPr>
          <w:color w:val="auto"/>
        </w:rPr>
      </w:pPr>
      <w:r w:rsidRPr="00C3645A">
        <w:rPr>
          <w:color w:val="auto"/>
        </w:rPr>
        <w:t>Total system production</w:t>
      </w:r>
      <w:r w:rsidR="00E73F09" w:rsidRPr="00C3645A">
        <w:rPr>
          <w:color w:val="auto"/>
        </w:rPr>
        <w:t xml:space="preserve">, in terms of gross productivity in tons per ha, </w:t>
      </w:r>
      <w:r w:rsidR="00BD7E34" w:rsidRPr="00C3645A">
        <w:rPr>
          <w:color w:val="auto"/>
        </w:rPr>
        <w:t xml:space="preserve">followed the same hierarchy than THP (Fig. </w:t>
      </w:r>
      <w:r w:rsidR="001E5CD9" w:rsidRPr="00C3645A">
        <w:rPr>
          <w:color w:val="auto"/>
        </w:rPr>
        <w:t>3</w:t>
      </w:r>
      <w:r w:rsidR="00BD7E34" w:rsidRPr="00C3645A">
        <w:rPr>
          <w:color w:val="auto"/>
        </w:rPr>
        <w:t xml:space="preserve">a). But when expressed in nutritive (Fig. </w:t>
      </w:r>
      <w:r w:rsidR="001E5CD9" w:rsidRPr="00C3645A">
        <w:rPr>
          <w:color w:val="auto"/>
        </w:rPr>
        <w:t>3</w:t>
      </w:r>
      <w:r w:rsidR="00BD7E34" w:rsidRPr="00C3645A">
        <w:rPr>
          <w:color w:val="auto"/>
        </w:rPr>
        <w:t xml:space="preserve">b) and economic (Fig. </w:t>
      </w:r>
      <w:r w:rsidR="001E5CD9" w:rsidRPr="00C3645A">
        <w:rPr>
          <w:color w:val="auto"/>
        </w:rPr>
        <w:t>3</w:t>
      </w:r>
      <w:r w:rsidR="00BD7E34" w:rsidRPr="00C3645A">
        <w:rPr>
          <w:color w:val="auto"/>
        </w:rPr>
        <w:t>c) value</w:t>
      </w:r>
      <w:r w:rsidR="00151154" w:rsidRPr="00C3645A">
        <w:rPr>
          <w:color w:val="auto"/>
        </w:rPr>
        <w:t>s</w:t>
      </w:r>
      <w:r w:rsidR="00BD7E34" w:rsidRPr="00C3645A">
        <w:rPr>
          <w:color w:val="auto"/>
        </w:rPr>
        <w:t xml:space="preserve">, </w:t>
      </w:r>
      <w:r w:rsidR="00D6206B" w:rsidRPr="00C3645A">
        <w:rPr>
          <w:color w:val="auto"/>
        </w:rPr>
        <w:t xml:space="preserve">because of the different conversion coefficients that result from these metrics, </w:t>
      </w:r>
      <w:r w:rsidR="002C45DF" w:rsidRPr="00C3645A">
        <w:rPr>
          <w:color w:val="auto"/>
        </w:rPr>
        <w:t xml:space="preserve">the live weight production associated with the </w:t>
      </w:r>
      <w:r w:rsidR="00033108" w:rsidRPr="00C3645A">
        <w:rPr>
          <w:color w:val="auto"/>
        </w:rPr>
        <w:t>pastures</w:t>
      </w:r>
      <w:r w:rsidR="00467DE4" w:rsidRPr="00C3645A">
        <w:rPr>
          <w:color w:val="auto"/>
        </w:rPr>
        <w:t xml:space="preserve"> grazing induce</w:t>
      </w:r>
      <w:r w:rsidR="00D11AF7" w:rsidRPr="00C3645A">
        <w:rPr>
          <w:color w:val="auto"/>
        </w:rPr>
        <w:t>d</w:t>
      </w:r>
      <w:r w:rsidR="00467DE4" w:rsidRPr="00C3645A">
        <w:rPr>
          <w:color w:val="auto"/>
        </w:rPr>
        <w:t xml:space="preserve"> </w:t>
      </w:r>
      <w:r w:rsidR="00EA3AE8" w:rsidRPr="00C3645A">
        <w:rPr>
          <w:color w:val="auto"/>
        </w:rPr>
        <w:t>an</w:t>
      </w:r>
      <w:r w:rsidR="00F9734F" w:rsidRPr="00C3645A">
        <w:rPr>
          <w:color w:val="auto"/>
        </w:rPr>
        <w:t xml:space="preserve"> </w:t>
      </w:r>
      <w:r w:rsidR="00467DE4" w:rsidRPr="00C3645A">
        <w:rPr>
          <w:color w:val="auto"/>
        </w:rPr>
        <w:t xml:space="preserve">increasing total system production with increasing grazing intensity, the difference being exacerbated </w:t>
      </w:r>
      <w:r w:rsidR="006054F3" w:rsidRPr="00C3645A">
        <w:rPr>
          <w:color w:val="auto"/>
        </w:rPr>
        <w:t xml:space="preserve">and significative </w:t>
      </w:r>
      <w:r w:rsidR="0088678D" w:rsidRPr="00C3645A">
        <w:rPr>
          <w:color w:val="auto"/>
        </w:rPr>
        <w:t>(</w:t>
      </w:r>
      <w:r w:rsidR="0088678D" w:rsidRPr="00C3645A">
        <w:rPr>
          <w:i/>
          <w:iCs/>
          <w:color w:val="auto"/>
        </w:rPr>
        <w:t xml:space="preserve">p </w:t>
      </w:r>
      <w:r w:rsidR="0088678D" w:rsidRPr="00C3645A">
        <w:rPr>
          <w:color w:val="auto"/>
        </w:rPr>
        <w:t xml:space="preserve">&lt; 0.05) </w:t>
      </w:r>
      <w:r w:rsidR="00467DE4" w:rsidRPr="00C3645A">
        <w:rPr>
          <w:color w:val="auto"/>
        </w:rPr>
        <w:t xml:space="preserve">when US Dollars </w:t>
      </w:r>
      <w:r w:rsidR="001C32A1" w:rsidRPr="00C3645A">
        <w:rPr>
          <w:color w:val="auto"/>
        </w:rPr>
        <w:t xml:space="preserve">was used </w:t>
      </w:r>
      <w:r w:rsidR="00467DE4" w:rsidRPr="00C3645A">
        <w:rPr>
          <w:color w:val="auto"/>
        </w:rPr>
        <w:t>as metric</w:t>
      </w:r>
      <w:r w:rsidR="009A60E0" w:rsidRPr="00C3645A">
        <w:rPr>
          <w:color w:val="auto"/>
        </w:rPr>
        <w:t xml:space="preserve"> (Table A4)</w:t>
      </w:r>
      <w:r w:rsidR="00467DE4" w:rsidRPr="00C3645A">
        <w:rPr>
          <w:color w:val="auto"/>
        </w:rPr>
        <w:t>.</w:t>
      </w:r>
    </w:p>
    <w:p w14:paraId="288FC39B" w14:textId="77777777" w:rsidR="00AD6896" w:rsidRPr="00C3645A" w:rsidRDefault="00AD6896" w:rsidP="00AD6896">
      <w:pPr>
        <w:pStyle w:val="Publi2"/>
        <w:rPr>
          <w:color w:val="auto"/>
        </w:rPr>
      </w:pPr>
      <w:r w:rsidRPr="00C3645A">
        <w:rPr>
          <w:color w:val="auto"/>
        </w:rPr>
        <w:t xml:space="preserve"> Soil organic carbon</w:t>
      </w:r>
    </w:p>
    <w:p w14:paraId="7DFC6EA1" w14:textId="44AD67C2" w:rsidR="00D72DBB" w:rsidRPr="00C3645A" w:rsidRDefault="00DE67C7" w:rsidP="00E72698">
      <w:pPr>
        <w:pStyle w:val="PubliManuscript"/>
        <w:rPr>
          <w:color w:val="auto"/>
        </w:rPr>
      </w:pPr>
      <w:bookmarkStart w:id="3" w:name="_Hlk146724834"/>
      <w:r w:rsidRPr="00C3645A">
        <w:rPr>
          <w:color w:val="auto"/>
        </w:rPr>
        <w:t xml:space="preserve">Globally, the soil </w:t>
      </w:r>
      <w:bookmarkEnd w:id="3"/>
      <w:r w:rsidRPr="00C3645A">
        <w:rPr>
          <w:color w:val="auto"/>
        </w:rPr>
        <w:t xml:space="preserve">organic carbon increased in all treatments over the whole 18-year period (Fig. </w:t>
      </w:r>
      <w:r w:rsidRPr="00C3645A">
        <w:rPr>
          <w:color w:val="auto"/>
        </w:rPr>
        <w:lastRenderedPageBreak/>
        <w:t xml:space="preserve">A6). Losses of carbon were occurring during the soybean phase but were compensated by the storage of C during the pasture season, which storage was systematically slightly bigger than the previous loss. Moderate and light grazing (G30 and G40 treatments) appeared to increase the most the soil organic carbon content (Fig. </w:t>
      </w:r>
      <w:r w:rsidR="00896553" w:rsidRPr="00C3645A">
        <w:rPr>
          <w:color w:val="auto"/>
        </w:rPr>
        <w:t>4</w:t>
      </w:r>
      <w:r w:rsidRPr="00C3645A">
        <w:rPr>
          <w:color w:val="auto"/>
        </w:rPr>
        <w:t xml:space="preserve">), the difference being more marked over the whole soil horizon considered by STICS (Fig </w:t>
      </w:r>
      <w:r w:rsidR="00896553" w:rsidRPr="00C3645A">
        <w:rPr>
          <w:color w:val="auto"/>
        </w:rPr>
        <w:t>4</w:t>
      </w:r>
      <w:r w:rsidRPr="00C3645A">
        <w:rPr>
          <w:color w:val="auto"/>
        </w:rPr>
        <w:t xml:space="preserve">b). Grazed </w:t>
      </w:r>
      <w:r w:rsidR="0062471E" w:rsidRPr="00C3645A">
        <w:rPr>
          <w:color w:val="auto"/>
        </w:rPr>
        <w:t xml:space="preserve">pastures </w:t>
      </w:r>
      <w:r w:rsidRPr="00C3645A">
        <w:rPr>
          <w:color w:val="auto"/>
        </w:rPr>
        <w:t>globally allowed to increase soil organic carbon compared to the ungrazed treatment</w:t>
      </w:r>
      <w:r w:rsidR="00386D8A" w:rsidRPr="00C3645A">
        <w:rPr>
          <w:color w:val="auto"/>
        </w:rPr>
        <w:t>.</w:t>
      </w:r>
    </w:p>
    <w:p w14:paraId="48F76B45" w14:textId="744143F8" w:rsidR="009344D2" w:rsidRPr="00C3645A" w:rsidRDefault="00006416" w:rsidP="009344D2">
      <w:pPr>
        <w:pStyle w:val="Publi2"/>
        <w:rPr>
          <w:color w:val="auto"/>
        </w:rPr>
      </w:pPr>
      <w:r w:rsidRPr="00C3645A">
        <w:rPr>
          <w:color w:val="auto"/>
        </w:rPr>
        <w:t xml:space="preserve"> </w:t>
      </w:r>
      <w:r w:rsidR="00AD6896" w:rsidRPr="00C3645A">
        <w:rPr>
          <w:color w:val="auto"/>
        </w:rPr>
        <w:t>Adaptation to climate change</w:t>
      </w:r>
    </w:p>
    <w:p w14:paraId="5E2C4BC9" w14:textId="65CB005C" w:rsidR="009344D2" w:rsidRPr="00C3645A" w:rsidRDefault="009344D2" w:rsidP="009344D2">
      <w:pPr>
        <w:pStyle w:val="PubliManuscript"/>
        <w:numPr>
          <w:ilvl w:val="0"/>
          <w:numId w:val="5"/>
        </w:numPr>
        <w:rPr>
          <w:b/>
          <w:bCs/>
          <w:color w:val="auto"/>
        </w:rPr>
      </w:pPr>
      <w:r w:rsidRPr="00C3645A">
        <w:rPr>
          <w:b/>
          <w:bCs/>
          <w:color w:val="auto"/>
        </w:rPr>
        <w:t>Productivity</w:t>
      </w:r>
    </w:p>
    <w:p w14:paraId="04158AF3" w14:textId="77777777" w:rsidR="00B276C6" w:rsidRPr="00C3645A" w:rsidRDefault="00AD6896" w:rsidP="0024692D">
      <w:pPr>
        <w:pStyle w:val="PubliManuscript"/>
        <w:rPr>
          <w:color w:val="auto"/>
        </w:rPr>
      </w:pPr>
      <w:r w:rsidRPr="00C3645A">
        <w:rPr>
          <w:color w:val="auto"/>
        </w:rPr>
        <w:t xml:space="preserve">Globally, the total productivity of the system </w:t>
      </w:r>
      <w:r w:rsidR="76313DEA" w:rsidRPr="00C3645A">
        <w:rPr>
          <w:color w:val="auto"/>
        </w:rPr>
        <w:t xml:space="preserve">is expected to </w:t>
      </w:r>
      <w:r w:rsidRPr="00C3645A">
        <w:rPr>
          <w:color w:val="auto"/>
        </w:rPr>
        <w:t xml:space="preserve">increase in the </w:t>
      </w:r>
      <w:r w:rsidR="00511AFB" w:rsidRPr="00C3645A">
        <w:rPr>
          <w:color w:val="auto"/>
        </w:rPr>
        <w:t>future (</w:t>
      </w:r>
      <w:r w:rsidRPr="00C3645A">
        <w:rPr>
          <w:color w:val="auto"/>
        </w:rPr>
        <w:t>period 2041-205</w:t>
      </w:r>
      <w:r w:rsidR="003A2F1A" w:rsidRPr="00C3645A">
        <w:rPr>
          <w:color w:val="auto"/>
        </w:rPr>
        <w:t>8</w:t>
      </w:r>
      <w:r w:rsidR="00511AFB" w:rsidRPr="00C3645A">
        <w:rPr>
          <w:color w:val="auto"/>
        </w:rPr>
        <w:t>)</w:t>
      </w:r>
      <w:r w:rsidRPr="00C3645A">
        <w:rPr>
          <w:color w:val="auto"/>
        </w:rPr>
        <w:t xml:space="preserve"> </w:t>
      </w:r>
      <w:r w:rsidR="001A2478" w:rsidRPr="00C3645A">
        <w:rPr>
          <w:color w:val="auto"/>
        </w:rPr>
        <w:t xml:space="preserve">under the </w:t>
      </w:r>
      <w:r w:rsidR="00764060" w:rsidRPr="00C3645A">
        <w:rPr>
          <w:color w:val="auto"/>
        </w:rPr>
        <w:t xml:space="preserve">climate change </w:t>
      </w:r>
      <w:r w:rsidR="001A2478" w:rsidRPr="00C3645A">
        <w:rPr>
          <w:color w:val="auto"/>
        </w:rPr>
        <w:t xml:space="preserve">scenario RCP8.5 </w:t>
      </w:r>
      <w:r w:rsidRPr="00C3645A">
        <w:rPr>
          <w:color w:val="auto"/>
        </w:rPr>
        <w:t xml:space="preserve">(Fig. </w:t>
      </w:r>
      <w:r w:rsidR="007020FB" w:rsidRPr="00C3645A">
        <w:rPr>
          <w:color w:val="auto"/>
        </w:rPr>
        <w:t>3</w:t>
      </w:r>
      <w:r w:rsidR="00D02C25" w:rsidRPr="00C3645A">
        <w:rPr>
          <w:color w:val="auto"/>
        </w:rPr>
        <w:t>, Table</w:t>
      </w:r>
      <w:r w:rsidR="00B12AFC" w:rsidRPr="00C3645A">
        <w:rPr>
          <w:color w:val="auto"/>
        </w:rPr>
        <w:t>s</w:t>
      </w:r>
      <w:r w:rsidR="00D02C25" w:rsidRPr="00C3645A">
        <w:rPr>
          <w:color w:val="auto"/>
        </w:rPr>
        <w:t xml:space="preserve"> A</w:t>
      </w:r>
      <w:r w:rsidR="004208EB" w:rsidRPr="00C3645A">
        <w:rPr>
          <w:color w:val="auto"/>
        </w:rPr>
        <w:t>3</w:t>
      </w:r>
      <w:r w:rsidR="003A3E9C" w:rsidRPr="00C3645A">
        <w:rPr>
          <w:color w:val="auto"/>
        </w:rPr>
        <w:t>, A4</w:t>
      </w:r>
      <w:r w:rsidR="00D02C25" w:rsidRPr="00C3645A">
        <w:rPr>
          <w:color w:val="auto"/>
        </w:rPr>
        <w:t xml:space="preserve"> and </w:t>
      </w:r>
      <w:r w:rsidR="00517C87" w:rsidRPr="00C3645A">
        <w:rPr>
          <w:color w:val="auto"/>
        </w:rPr>
        <w:t>A</w:t>
      </w:r>
      <w:r w:rsidR="004208EB" w:rsidRPr="00C3645A">
        <w:rPr>
          <w:color w:val="auto"/>
        </w:rPr>
        <w:t>5</w:t>
      </w:r>
      <w:r w:rsidRPr="00C3645A">
        <w:rPr>
          <w:color w:val="auto"/>
        </w:rPr>
        <w:t xml:space="preserve">). </w:t>
      </w:r>
      <w:r w:rsidR="00FF496F" w:rsidRPr="00C3645A">
        <w:rPr>
          <w:color w:val="auto"/>
        </w:rPr>
        <w:t>Average s</w:t>
      </w:r>
      <w:r w:rsidR="00306829" w:rsidRPr="00C3645A">
        <w:rPr>
          <w:color w:val="auto"/>
        </w:rPr>
        <w:t xml:space="preserve">oybean </w:t>
      </w:r>
      <w:r w:rsidR="00542C68" w:rsidRPr="00C3645A">
        <w:rPr>
          <w:color w:val="auto"/>
        </w:rPr>
        <w:t xml:space="preserve">grain yield would </w:t>
      </w:r>
      <w:r w:rsidR="00AB5E44" w:rsidRPr="00C3645A">
        <w:rPr>
          <w:color w:val="auto"/>
        </w:rPr>
        <w:t xml:space="preserve">significatively </w:t>
      </w:r>
      <w:r w:rsidR="00A4193A" w:rsidRPr="00C3645A">
        <w:rPr>
          <w:color w:val="auto"/>
        </w:rPr>
        <w:t>raise</w:t>
      </w:r>
      <w:r w:rsidR="00AB5E44" w:rsidRPr="00C3645A">
        <w:rPr>
          <w:color w:val="auto"/>
        </w:rPr>
        <w:t xml:space="preserve"> (</w:t>
      </w:r>
      <w:r w:rsidR="00AB5E44" w:rsidRPr="00C3645A">
        <w:rPr>
          <w:i/>
          <w:iCs/>
          <w:color w:val="auto"/>
        </w:rPr>
        <w:t xml:space="preserve">p </w:t>
      </w:r>
      <w:r w:rsidR="00AB5E44" w:rsidRPr="00C3645A">
        <w:rPr>
          <w:color w:val="auto"/>
        </w:rPr>
        <w:t>&lt; 0.05)</w:t>
      </w:r>
      <w:r w:rsidR="00542C68" w:rsidRPr="00C3645A">
        <w:rPr>
          <w:color w:val="auto"/>
        </w:rPr>
        <w:t xml:space="preserve"> </w:t>
      </w:r>
      <w:r w:rsidR="00CD4B7D" w:rsidRPr="00C3645A">
        <w:rPr>
          <w:color w:val="auto"/>
        </w:rPr>
        <w:t>from 3</w:t>
      </w:r>
      <w:r w:rsidR="00F17A68" w:rsidRPr="00C3645A">
        <w:rPr>
          <w:color w:val="auto"/>
        </w:rPr>
        <w:t>9</w:t>
      </w:r>
      <w:r w:rsidR="00CD4B7D" w:rsidRPr="00C3645A">
        <w:rPr>
          <w:color w:val="auto"/>
        </w:rPr>
        <w:t xml:space="preserve">.52% (UG) to </w:t>
      </w:r>
      <w:r w:rsidR="00F17A68" w:rsidRPr="00C3645A">
        <w:rPr>
          <w:color w:val="auto"/>
        </w:rPr>
        <w:t>41.05</w:t>
      </w:r>
      <w:r w:rsidR="00CD4B7D" w:rsidRPr="00C3645A">
        <w:rPr>
          <w:color w:val="auto"/>
        </w:rPr>
        <w:t>%</w:t>
      </w:r>
      <w:r w:rsidR="00723A70" w:rsidRPr="00C3645A">
        <w:rPr>
          <w:color w:val="auto"/>
        </w:rPr>
        <w:t xml:space="preserve"> (G</w:t>
      </w:r>
      <w:r w:rsidR="00F17A68" w:rsidRPr="00C3645A">
        <w:rPr>
          <w:color w:val="auto"/>
        </w:rPr>
        <w:t>1</w:t>
      </w:r>
      <w:r w:rsidR="00723A70" w:rsidRPr="00C3645A">
        <w:rPr>
          <w:color w:val="auto"/>
        </w:rPr>
        <w:t>0).</w:t>
      </w:r>
      <w:r w:rsidR="005547D3" w:rsidRPr="00C3645A">
        <w:rPr>
          <w:color w:val="auto"/>
        </w:rPr>
        <w:t xml:space="preserve"> </w:t>
      </w:r>
      <w:r w:rsidR="0024692D" w:rsidRPr="00C3645A">
        <w:rPr>
          <w:color w:val="auto"/>
        </w:rPr>
        <w:t>N</w:t>
      </w:r>
      <w:r w:rsidR="00F64AED" w:rsidRPr="00C3645A">
        <w:rPr>
          <w:color w:val="auto"/>
        </w:rPr>
        <w:t>o substantial differences in these increases were noticed between treatments (Table A3)</w:t>
      </w:r>
      <w:r w:rsidR="00B276C6" w:rsidRPr="00C3645A">
        <w:rPr>
          <w:color w:val="auto"/>
        </w:rPr>
        <w:t>.</w:t>
      </w:r>
    </w:p>
    <w:p w14:paraId="3F166277" w14:textId="64540322" w:rsidR="00195356" w:rsidRPr="00C3645A" w:rsidRDefault="00F815F9" w:rsidP="0024692D">
      <w:pPr>
        <w:pStyle w:val="PubliManuscript"/>
        <w:rPr>
          <w:color w:val="auto"/>
        </w:rPr>
      </w:pPr>
      <w:r w:rsidRPr="00C3645A">
        <w:rPr>
          <w:color w:val="auto"/>
        </w:rPr>
        <w:t>For herbage production and live weight gain, moderate to light grazing intensities productions would increase the most</w:t>
      </w:r>
      <w:r w:rsidR="008940A9" w:rsidRPr="00C3645A">
        <w:rPr>
          <w:color w:val="auto"/>
        </w:rPr>
        <w:t xml:space="preserve">. </w:t>
      </w:r>
      <w:r w:rsidR="00BF1CE8" w:rsidRPr="00C3645A">
        <w:rPr>
          <w:color w:val="auto"/>
        </w:rPr>
        <w:t>Average herbage production</w:t>
      </w:r>
      <w:r w:rsidR="00723A70" w:rsidRPr="00C3645A">
        <w:rPr>
          <w:color w:val="auto"/>
        </w:rPr>
        <w:t xml:space="preserve"> would </w:t>
      </w:r>
      <w:r w:rsidR="001B2C56" w:rsidRPr="00C3645A">
        <w:rPr>
          <w:color w:val="auto"/>
        </w:rPr>
        <w:t xml:space="preserve">significatively </w:t>
      </w:r>
      <w:r w:rsidR="00AB6A44" w:rsidRPr="00C3645A">
        <w:rPr>
          <w:color w:val="auto"/>
        </w:rPr>
        <w:t xml:space="preserve">increase </w:t>
      </w:r>
      <w:r w:rsidR="008E7DD7" w:rsidRPr="00C3645A">
        <w:rPr>
          <w:color w:val="auto"/>
        </w:rPr>
        <w:t>for all</w:t>
      </w:r>
      <w:r w:rsidR="0039052E" w:rsidRPr="00C3645A">
        <w:rPr>
          <w:color w:val="auto"/>
        </w:rPr>
        <w:t xml:space="preserve"> treatments</w:t>
      </w:r>
      <w:r w:rsidR="00F7741B" w:rsidRPr="00C3645A">
        <w:rPr>
          <w:color w:val="auto"/>
        </w:rPr>
        <w:t xml:space="preserve"> </w:t>
      </w:r>
      <w:r w:rsidR="001B2C56" w:rsidRPr="00C3645A">
        <w:rPr>
          <w:color w:val="auto"/>
        </w:rPr>
        <w:t>(</w:t>
      </w:r>
      <w:r w:rsidR="001B2C56" w:rsidRPr="00C3645A">
        <w:rPr>
          <w:i/>
          <w:iCs/>
          <w:color w:val="auto"/>
        </w:rPr>
        <w:t xml:space="preserve">p </w:t>
      </w:r>
      <w:r w:rsidR="001B2C56" w:rsidRPr="00C3645A">
        <w:rPr>
          <w:color w:val="auto"/>
        </w:rPr>
        <w:t>&lt; 0.05),</w:t>
      </w:r>
      <w:r w:rsidR="001B2C56" w:rsidRPr="00C3645A">
        <w:rPr>
          <w:i/>
          <w:iCs/>
          <w:color w:val="auto"/>
        </w:rPr>
        <w:t xml:space="preserve"> </w:t>
      </w:r>
      <w:r w:rsidR="00723A70" w:rsidRPr="00C3645A">
        <w:rPr>
          <w:color w:val="auto"/>
        </w:rPr>
        <w:t xml:space="preserve">from </w:t>
      </w:r>
      <w:r w:rsidR="00BA3463" w:rsidRPr="00C3645A">
        <w:rPr>
          <w:color w:val="auto"/>
        </w:rPr>
        <w:t>22.75</w:t>
      </w:r>
      <w:r w:rsidR="00723A70" w:rsidRPr="00C3645A">
        <w:rPr>
          <w:color w:val="auto"/>
        </w:rPr>
        <w:t xml:space="preserve">% </w:t>
      </w:r>
      <w:r w:rsidR="00F7741B" w:rsidRPr="00C3645A">
        <w:rPr>
          <w:color w:val="auto"/>
        </w:rPr>
        <w:t xml:space="preserve">(G10) </w:t>
      </w:r>
      <w:r w:rsidR="00723A70" w:rsidRPr="00C3645A">
        <w:rPr>
          <w:color w:val="auto"/>
        </w:rPr>
        <w:t xml:space="preserve">to </w:t>
      </w:r>
      <w:r w:rsidR="00BA3463" w:rsidRPr="00C3645A">
        <w:rPr>
          <w:color w:val="auto"/>
        </w:rPr>
        <w:t>24.14</w:t>
      </w:r>
      <w:r w:rsidR="00723A70" w:rsidRPr="00C3645A">
        <w:rPr>
          <w:color w:val="auto"/>
        </w:rPr>
        <w:t xml:space="preserve">% </w:t>
      </w:r>
      <w:r w:rsidR="003244E4" w:rsidRPr="00C3645A">
        <w:rPr>
          <w:color w:val="auto"/>
        </w:rPr>
        <w:t>(G</w:t>
      </w:r>
      <w:r w:rsidR="00BA3463" w:rsidRPr="00C3645A">
        <w:rPr>
          <w:color w:val="auto"/>
        </w:rPr>
        <w:t>3</w:t>
      </w:r>
      <w:r w:rsidR="003244E4" w:rsidRPr="00C3645A">
        <w:rPr>
          <w:color w:val="auto"/>
        </w:rPr>
        <w:t xml:space="preserve">0), but </w:t>
      </w:r>
      <w:r w:rsidR="004C4541" w:rsidRPr="00C3645A">
        <w:rPr>
          <w:color w:val="auto"/>
        </w:rPr>
        <w:t>with a smaller amelioration</w:t>
      </w:r>
      <w:r w:rsidR="00D035FC" w:rsidRPr="00C3645A">
        <w:rPr>
          <w:color w:val="auto"/>
        </w:rPr>
        <w:t xml:space="preserve"> </w:t>
      </w:r>
      <w:r w:rsidR="00D94EF9" w:rsidRPr="00C3645A">
        <w:rPr>
          <w:color w:val="auto"/>
        </w:rPr>
        <w:t>for the ungrazed treatment</w:t>
      </w:r>
      <w:r w:rsidR="00A52DC4" w:rsidRPr="00C3645A">
        <w:rPr>
          <w:color w:val="auto"/>
        </w:rPr>
        <w:t xml:space="preserve"> (</w:t>
      </w:r>
      <w:r w:rsidR="00D035FC" w:rsidRPr="00C3645A">
        <w:rPr>
          <w:color w:val="auto"/>
        </w:rPr>
        <w:t xml:space="preserve">+15.04%; </w:t>
      </w:r>
      <w:r w:rsidR="00A52DC4" w:rsidRPr="00C3645A">
        <w:rPr>
          <w:color w:val="auto"/>
        </w:rPr>
        <w:t>Table</w:t>
      </w:r>
      <w:r w:rsidR="0022581E" w:rsidRPr="00C3645A">
        <w:rPr>
          <w:color w:val="auto"/>
        </w:rPr>
        <w:t>s</w:t>
      </w:r>
      <w:r w:rsidR="00A52DC4" w:rsidRPr="00C3645A">
        <w:rPr>
          <w:color w:val="auto"/>
        </w:rPr>
        <w:t xml:space="preserve"> A</w:t>
      </w:r>
      <w:r w:rsidR="009079D6" w:rsidRPr="00C3645A">
        <w:rPr>
          <w:color w:val="auto"/>
        </w:rPr>
        <w:t>3</w:t>
      </w:r>
      <w:r w:rsidR="0022581E" w:rsidRPr="00C3645A">
        <w:rPr>
          <w:color w:val="auto"/>
        </w:rPr>
        <w:t xml:space="preserve"> and A</w:t>
      </w:r>
      <w:r w:rsidR="009079D6" w:rsidRPr="00C3645A">
        <w:rPr>
          <w:color w:val="auto"/>
        </w:rPr>
        <w:t>5</w:t>
      </w:r>
      <w:r w:rsidR="00A52DC4" w:rsidRPr="00C3645A">
        <w:rPr>
          <w:color w:val="auto"/>
        </w:rPr>
        <w:t>)</w:t>
      </w:r>
      <w:r w:rsidR="00723A70" w:rsidRPr="00C3645A">
        <w:rPr>
          <w:color w:val="auto"/>
        </w:rPr>
        <w:t>.</w:t>
      </w:r>
      <w:r w:rsidR="00CA5FFA" w:rsidRPr="00C3645A">
        <w:rPr>
          <w:color w:val="auto"/>
        </w:rPr>
        <w:t xml:space="preserve"> </w:t>
      </w:r>
      <w:r w:rsidR="00240794" w:rsidRPr="00C3645A">
        <w:rPr>
          <w:color w:val="auto"/>
        </w:rPr>
        <w:t xml:space="preserve">The relative increases </w:t>
      </w:r>
      <w:r w:rsidR="1A3E8B57" w:rsidRPr="00C3645A">
        <w:rPr>
          <w:color w:val="auto"/>
        </w:rPr>
        <w:t xml:space="preserve">in </w:t>
      </w:r>
      <w:r w:rsidR="00240794" w:rsidRPr="00C3645A">
        <w:rPr>
          <w:color w:val="auto"/>
        </w:rPr>
        <w:t xml:space="preserve">the </w:t>
      </w:r>
      <w:r w:rsidR="008C311B" w:rsidRPr="00C3645A">
        <w:rPr>
          <w:color w:val="auto"/>
        </w:rPr>
        <w:t xml:space="preserve">economic </w:t>
      </w:r>
      <w:r w:rsidR="00240794" w:rsidRPr="00C3645A">
        <w:rPr>
          <w:color w:val="auto"/>
        </w:rPr>
        <w:t xml:space="preserve">productivity would be even larger (up to </w:t>
      </w:r>
      <w:r w:rsidR="003E1AF0" w:rsidRPr="00C3645A">
        <w:rPr>
          <w:color w:val="auto"/>
        </w:rPr>
        <w:t>38.49</w:t>
      </w:r>
      <w:r w:rsidR="00240794" w:rsidRPr="00C3645A">
        <w:rPr>
          <w:color w:val="auto"/>
        </w:rPr>
        <w:t xml:space="preserve">% for the </w:t>
      </w:r>
      <w:r w:rsidR="003E1AF0" w:rsidRPr="00C3645A">
        <w:rPr>
          <w:color w:val="auto"/>
        </w:rPr>
        <w:t>live weight gain</w:t>
      </w:r>
      <w:r w:rsidR="00240794" w:rsidRPr="00C3645A">
        <w:rPr>
          <w:color w:val="auto"/>
        </w:rPr>
        <w:t xml:space="preserve"> and up to </w:t>
      </w:r>
      <w:r w:rsidR="005D3664" w:rsidRPr="00C3645A">
        <w:rPr>
          <w:color w:val="auto"/>
        </w:rPr>
        <w:t>77</w:t>
      </w:r>
      <w:r w:rsidR="00240794" w:rsidRPr="00C3645A">
        <w:rPr>
          <w:color w:val="auto"/>
        </w:rPr>
        <w:t>% for the soybean), given that we assumed fixed operational and opportunity cos</w:t>
      </w:r>
      <w:r w:rsidR="00032B7C" w:rsidRPr="00C3645A">
        <w:rPr>
          <w:color w:val="auto"/>
        </w:rPr>
        <w:t>ts</w:t>
      </w:r>
      <w:r w:rsidR="00F04201" w:rsidRPr="00C3645A">
        <w:rPr>
          <w:color w:val="auto"/>
        </w:rPr>
        <w:t>.</w:t>
      </w:r>
      <w:r w:rsidR="00E87B14" w:rsidRPr="00C3645A">
        <w:rPr>
          <w:color w:val="auto"/>
        </w:rPr>
        <w:t xml:space="preserve"> Similarly, live weight gain would also significatively increase</w:t>
      </w:r>
      <w:r w:rsidR="00E67B0C" w:rsidRPr="00C3645A">
        <w:rPr>
          <w:color w:val="auto"/>
        </w:rPr>
        <w:t xml:space="preserve"> (</w:t>
      </w:r>
      <w:r w:rsidR="00E67B0C" w:rsidRPr="00C3645A">
        <w:rPr>
          <w:i/>
          <w:iCs/>
          <w:color w:val="auto"/>
        </w:rPr>
        <w:t xml:space="preserve">p </w:t>
      </w:r>
      <w:r w:rsidR="00E67B0C" w:rsidRPr="00C3645A">
        <w:rPr>
          <w:color w:val="auto"/>
        </w:rPr>
        <w:t>&lt; 0.05)</w:t>
      </w:r>
      <w:r w:rsidR="00E87B14" w:rsidRPr="00C3645A">
        <w:rPr>
          <w:color w:val="auto"/>
        </w:rPr>
        <w:t xml:space="preserve"> for ICLS treatments, except for the light grazing </w:t>
      </w:r>
      <w:r w:rsidR="000414C2" w:rsidRPr="00C3645A">
        <w:rPr>
          <w:color w:val="auto"/>
        </w:rPr>
        <w:t>(G40</w:t>
      </w:r>
      <w:r w:rsidR="00E67B0C" w:rsidRPr="00C3645A">
        <w:rPr>
          <w:color w:val="auto"/>
        </w:rPr>
        <w:t xml:space="preserve">) </w:t>
      </w:r>
      <w:r w:rsidR="00E87B14" w:rsidRPr="00C3645A">
        <w:rPr>
          <w:color w:val="auto"/>
        </w:rPr>
        <w:t>treatment (Table A3).</w:t>
      </w:r>
    </w:p>
    <w:p w14:paraId="798581C4" w14:textId="291DBEC9" w:rsidR="00FB6358" w:rsidRPr="00C3645A" w:rsidRDefault="00FB6358" w:rsidP="00921233">
      <w:pPr>
        <w:pStyle w:val="PubliManuscript"/>
        <w:rPr>
          <w:color w:val="auto"/>
        </w:rPr>
      </w:pPr>
      <w:r w:rsidRPr="00C3645A">
        <w:rPr>
          <w:color w:val="auto"/>
        </w:rPr>
        <w:t xml:space="preserve">However, if the average productivity of herbage would increase in the future, this would also </w:t>
      </w:r>
      <w:r w:rsidR="002A338E" w:rsidRPr="00C3645A">
        <w:rPr>
          <w:color w:val="auto"/>
        </w:rPr>
        <w:t xml:space="preserve">often </w:t>
      </w:r>
      <w:r w:rsidRPr="00C3645A">
        <w:rPr>
          <w:color w:val="auto"/>
        </w:rPr>
        <w:t xml:space="preserve">be associated </w:t>
      </w:r>
      <w:r w:rsidR="00546D09" w:rsidRPr="00C3645A">
        <w:rPr>
          <w:color w:val="auto"/>
        </w:rPr>
        <w:t>with greater inter-annual variability</w:t>
      </w:r>
      <w:r w:rsidR="00EF700C" w:rsidRPr="00C3645A">
        <w:rPr>
          <w:color w:val="auto"/>
        </w:rPr>
        <w:t xml:space="preserve"> (up to +18% in THP standard deviation for the G30 treatment; Table A</w:t>
      </w:r>
      <w:r w:rsidR="004208EB" w:rsidRPr="00C3645A">
        <w:rPr>
          <w:color w:val="auto"/>
        </w:rPr>
        <w:t>3</w:t>
      </w:r>
      <w:r w:rsidR="00C85695" w:rsidRPr="00C3645A">
        <w:rPr>
          <w:color w:val="auto"/>
        </w:rPr>
        <w:t xml:space="preserve"> a</w:t>
      </w:r>
      <w:r w:rsidR="00854790" w:rsidRPr="00C3645A">
        <w:rPr>
          <w:color w:val="auto"/>
        </w:rPr>
        <w:t>nd Fig. A7</w:t>
      </w:r>
      <w:r w:rsidR="00EF700C" w:rsidRPr="00C3645A">
        <w:rPr>
          <w:color w:val="auto"/>
        </w:rPr>
        <w:t>)</w:t>
      </w:r>
      <w:r w:rsidR="00546D09" w:rsidRPr="00C3645A">
        <w:rPr>
          <w:color w:val="auto"/>
        </w:rPr>
        <w:t xml:space="preserve">. </w:t>
      </w:r>
      <w:r w:rsidR="003F5C02" w:rsidRPr="00C3645A">
        <w:rPr>
          <w:color w:val="auto"/>
        </w:rPr>
        <w:t>In the other direction</w:t>
      </w:r>
      <w:r w:rsidR="00546D09" w:rsidRPr="00C3645A">
        <w:rPr>
          <w:color w:val="auto"/>
        </w:rPr>
        <w:t>, for soybeans, inter-annual yields variability would also decrease with climate change (</w:t>
      </w:r>
      <w:r w:rsidR="00AE1AB7" w:rsidRPr="00C3645A">
        <w:rPr>
          <w:color w:val="auto"/>
        </w:rPr>
        <w:t>up to -30% in soybean grain yield standard deviation for the G30 treatment; Table A</w:t>
      </w:r>
      <w:r w:rsidR="004208EB" w:rsidRPr="00C3645A">
        <w:rPr>
          <w:color w:val="auto"/>
        </w:rPr>
        <w:t>3</w:t>
      </w:r>
      <w:r w:rsidR="00AE1AB7" w:rsidRPr="00C3645A">
        <w:rPr>
          <w:color w:val="auto"/>
        </w:rPr>
        <w:t xml:space="preserve"> and </w:t>
      </w:r>
      <w:r w:rsidR="00546D09" w:rsidRPr="00C3645A">
        <w:rPr>
          <w:color w:val="auto"/>
        </w:rPr>
        <w:t>Fig. A7).</w:t>
      </w:r>
    </w:p>
    <w:p w14:paraId="1E7882F9" w14:textId="58ED0038" w:rsidR="001D7D76" w:rsidRPr="00C3645A" w:rsidRDefault="002A6DD3" w:rsidP="00F9499D">
      <w:pPr>
        <w:pStyle w:val="PubliManuscript"/>
        <w:numPr>
          <w:ilvl w:val="0"/>
          <w:numId w:val="5"/>
        </w:numPr>
        <w:rPr>
          <w:b/>
          <w:bCs/>
          <w:color w:val="auto"/>
        </w:rPr>
      </w:pPr>
      <w:r w:rsidRPr="00C3645A">
        <w:rPr>
          <w:b/>
          <w:bCs/>
          <w:color w:val="auto"/>
        </w:rPr>
        <w:t>Soil organic carbon</w:t>
      </w:r>
    </w:p>
    <w:p w14:paraId="69EF4D68" w14:textId="0BA7153E" w:rsidR="00E95373" w:rsidRPr="00C3645A" w:rsidRDefault="00885EF4" w:rsidP="00E95373">
      <w:pPr>
        <w:pStyle w:val="PubliManuscript"/>
        <w:rPr>
          <w:color w:val="auto"/>
        </w:rPr>
      </w:pPr>
      <w:r w:rsidRPr="00C3645A">
        <w:rPr>
          <w:color w:val="auto"/>
        </w:rPr>
        <w:t xml:space="preserve">As for crop production, SOC content is expected to increase during the period 2041-2058, and </w:t>
      </w:r>
      <w:r w:rsidRPr="00C3645A">
        <w:rPr>
          <w:color w:val="auto"/>
        </w:rPr>
        <w:lastRenderedPageBreak/>
        <w:t xml:space="preserve">the increase is expected to be greater than the one observed </w:t>
      </w:r>
      <w:r w:rsidR="00CF79AC" w:rsidRPr="00C3645A">
        <w:rPr>
          <w:color w:val="auto"/>
        </w:rPr>
        <w:t>during the</w:t>
      </w:r>
      <w:r w:rsidRPr="00C3645A">
        <w:rPr>
          <w:color w:val="auto"/>
        </w:rPr>
        <w:t xml:space="preserve"> historic</w:t>
      </w:r>
      <w:r w:rsidR="00DF273A" w:rsidRPr="00C3645A">
        <w:rPr>
          <w:color w:val="auto"/>
        </w:rPr>
        <w:t>al</w:t>
      </w:r>
      <w:r w:rsidRPr="00C3645A">
        <w:rPr>
          <w:color w:val="auto"/>
        </w:rPr>
        <w:t xml:space="preserve"> period (Fig. </w:t>
      </w:r>
      <w:r w:rsidR="00F64894" w:rsidRPr="00C3645A">
        <w:rPr>
          <w:color w:val="auto"/>
        </w:rPr>
        <w:t>4</w:t>
      </w:r>
      <w:r w:rsidRPr="00C3645A">
        <w:rPr>
          <w:color w:val="auto"/>
        </w:rPr>
        <w:t xml:space="preserve">). For the different treatments G10, G20, G30, G40 and UG, SOC augmentation would respectively be 75%, 104%, 79%, 87% and 45% larger during the period 2041-2058 compared to the historical period 2001-2018, for the soil horizon 0-30 cm. Over the whole soil profile, these differences would respectively be 61%, 69%, 61%, 63% and 40% for the treatments G10, G20, G30, G40 and UG. Hence it is the G20 treatment that experienced the highest SOC augmentations when comparing the two periods of time. As for the historical period, the increases in SOC under the climate change scenario would be greater for moderate and light grazing intensities over both the 0-30 cm </w:t>
      </w:r>
      <w:r w:rsidR="00904905" w:rsidRPr="00C3645A">
        <w:rPr>
          <w:color w:val="auto"/>
        </w:rPr>
        <w:t xml:space="preserve">(G30: +10.14%, G40: +10.20%) </w:t>
      </w:r>
      <w:r w:rsidRPr="00C3645A">
        <w:rPr>
          <w:color w:val="auto"/>
        </w:rPr>
        <w:t xml:space="preserve">and the whole soil </w:t>
      </w:r>
      <w:r w:rsidR="00904905" w:rsidRPr="00C3645A">
        <w:rPr>
          <w:color w:val="auto"/>
        </w:rPr>
        <w:t>(G30: +</w:t>
      </w:r>
      <w:r w:rsidR="00651576" w:rsidRPr="00C3645A">
        <w:rPr>
          <w:color w:val="auto"/>
        </w:rPr>
        <w:t>21.75</w:t>
      </w:r>
      <w:r w:rsidR="00904905" w:rsidRPr="00C3645A">
        <w:rPr>
          <w:color w:val="auto"/>
        </w:rPr>
        <w:t>%, G40: +</w:t>
      </w:r>
      <w:r w:rsidR="00651576" w:rsidRPr="00C3645A">
        <w:rPr>
          <w:color w:val="auto"/>
        </w:rPr>
        <w:t>22.91</w:t>
      </w:r>
      <w:r w:rsidR="00904905" w:rsidRPr="00C3645A">
        <w:rPr>
          <w:color w:val="auto"/>
        </w:rPr>
        <w:t xml:space="preserve">%) </w:t>
      </w:r>
      <w:r w:rsidRPr="00C3645A">
        <w:rPr>
          <w:color w:val="auto"/>
        </w:rPr>
        <w:t>horizons</w:t>
      </w:r>
      <w:r w:rsidR="00F74C52" w:rsidRPr="00C3645A">
        <w:rPr>
          <w:color w:val="auto"/>
        </w:rPr>
        <w:t xml:space="preserve">. </w:t>
      </w:r>
    </w:p>
    <w:p w14:paraId="12153E9C" w14:textId="714733CB" w:rsidR="00CE2795" w:rsidRPr="00C3645A" w:rsidRDefault="00C45DE5" w:rsidP="00C45DE5">
      <w:pPr>
        <w:pStyle w:val="PubliManuscript"/>
        <w:ind w:firstLine="0"/>
        <w:rPr>
          <w:color w:val="auto"/>
        </w:rPr>
      </w:pPr>
      <w:r w:rsidRPr="00C3645A">
        <w:rPr>
          <w:color w:val="auto"/>
        </w:rPr>
        <w:tab/>
        <w:t xml:space="preserve">Compared to the </w:t>
      </w:r>
      <w:r w:rsidR="6AF0A788" w:rsidRPr="00C3645A">
        <w:rPr>
          <w:color w:val="auto"/>
        </w:rPr>
        <w:t xml:space="preserve">intense grazing </w:t>
      </w:r>
      <w:r w:rsidRPr="00C3645A">
        <w:rPr>
          <w:color w:val="auto"/>
        </w:rPr>
        <w:t xml:space="preserve">treatment (G10), moderate </w:t>
      </w:r>
      <w:r w:rsidR="003E6B8E" w:rsidRPr="00C3645A">
        <w:rPr>
          <w:color w:val="auto"/>
        </w:rPr>
        <w:t xml:space="preserve">to light </w:t>
      </w:r>
      <w:r w:rsidRPr="00C3645A">
        <w:rPr>
          <w:color w:val="auto"/>
        </w:rPr>
        <w:t xml:space="preserve">grazing (G30 and G40) </w:t>
      </w:r>
      <w:r w:rsidR="006E4F18" w:rsidRPr="00C3645A">
        <w:rPr>
          <w:color w:val="auto"/>
        </w:rPr>
        <w:t>appeared</w:t>
      </w:r>
      <w:r w:rsidRPr="00C3645A">
        <w:rPr>
          <w:color w:val="auto"/>
        </w:rPr>
        <w:t xml:space="preserve"> to </w:t>
      </w:r>
      <w:r w:rsidR="00BB0C31" w:rsidRPr="00C3645A">
        <w:rPr>
          <w:color w:val="auto"/>
        </w:rPr>
        <w:t xml:space="preserve">sequester carbon into the soil at deeper horizons when evaluating the percentage of soil organic carbon that </w:t>
      </w:r>
      <w:r w:rsidR="00774F0B" w:rsidRPr="00C3645A">
        <w:rPr>
          <w:color w:val="auto"/>
        </w:rPr>
        <w:t>was</w:t>
      </w:r>
      <w:r w:rsidR="00BB0C31" w:rsidRPr="00C3645A">
        <w:rPr>
          <w:color w:val="auto"/>
        </w:rPr>
        <w:t xml:space="preserve"> stored below 30 centimeters.</w:t>
      </w:r>
      <w:r w:rsidRPr="00C3645A">
        <w:rPr>
          <w:color w:val="auto"/>
        </w:rPr>
        <w:t xml:space="preserve"> </w:t>
      </w:r>
    </w:p>
    <w:p w14:paraId="617C3A32" w14:textId="2AD98FA1" w:rsidR="00AD6896" w:rsidRPr="00C3645A" w:rsidRDefault="009B39D5" w:rsidP="00AD6896">
      <w:pPr>
        <w:pStyle w:val="PubliManuscript"/>
        <w:spacing w:line="240" w:lineRule="auto"/>
        <w:ind w:firstLine="0"/>
        <w:jc w:val="center"/>
        <w:rPr>
          <w:b/>
          <w:bCs/>
          <w:color w:val="auto"/>
        </w:rPr>
      </w:pPr>
      <w:r w:rsidRPr="00C3645A">
        <w:rPr>
          <w:noProof/>
          <w:color w:val="auto"/>
        </w:rPr>
        <w:drawing>
          <wp:inline distT="0" distB="0" distL="0" distR="0" wp14:anchorId="7767CD41" wp14:editId="0C5B3672">
            <wp:extent cx="5544912" cy="3921123"/>
            <wp:effectExtent l="0" t="0" r="0" b="0"/>
            <wp:docPr id="1954743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43170"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4912" cy="3921123"/>
                    </a:xfrm>
                    <a:prstGeom prst="rect">
                      <a:avLst/>
                    </a:prstGeom>
                  </pic:spPr>
                </pic:pic>
              </a:graphicData>
            </a:graphic>
          </wp:inline>
        </w:drawing>
      </w:r>
    </w:p>
    <w:p w14:paraId="75D17098" w14:textId="7A9D6CE3" w:rsidR="00AD6896" w:rsidRPr="00C3645A" w:rsidRDefault="00AD6896" w:rsidP="00E53F46">
      <w:pPr>
        <w:pStyle w:val="PubliManuscript"/>
        <w:spacing w:line="240" w:lineRule="auto"/>
        <w:ind w:firstLine="0"/>
        <w:rPr>
          <w:b/>
          <w:bCs/>
          <w:color w:val="auto"/>
        </w:rPr>
      </w:pPr>
      <w:r w:rsidRPr="00C3645A">
        <w:rPr>
          <w:b/>
          <w:bCs/>
          <w:color w:val="auto"/>
        </w:rPr>
        <w:t xml:space="preserve">Figure </w:t>
      </w:r>
      <w:r w:rsidR="00F64894" w:rsidRPr="00C3645A">
        <w:rPr>
          <w:b/>
          <w:bCs/>
          <w:color w:val="auto"/>
        </w:rPr>
        <w:t>4</w:t>
      </w:r>
      <w:r w:rsidRPr="00C3645A">
        <w:rPr>
          <w:b/>
          <w:bCs/>
          <w:color w:val="auto"/>
        </w:rPr>
        <w:t>. S</w:t>
      </w:r>
      <w:r w:rsidR="00B44AD5" w:rsidRPr="00C3645A">
        <w:rPr>
          <w:b/>
          <w:bCs/>
          <w:color w:val="auto"/>
        </w:rPr>
        <w:t>oil organic carbon (SO</w:t>
      </w:r>
      <w:r w:rsidRPr="00C3645A">
        <w:rPr>
          <w:b/>
          <w:bCs/>
          <w:color w:val="auto"/>
        </w:rPr>
        <w:t>C</w:t>
      </w:r>
      <w:r w:rsidR="00B44AD5" w:rsidRPr="00C3645A">
        <w:rPr>
          <w:b/>
          <w:bCs/>
          <w:color w:val="auto"/>
        </w:rPr>
        <w:t>)</w:t>
      </w:r>
      <w:r w:rsidRPr="00C3645A">
        <w:rPr>
          <w:b/>
          <w:bCs/>
          <w:color w:val="auto"/>
        </w:rPr>
        <w:t xml:space="preserve"> evolution</w:t>
      </w:r>
      <w:r w:rsidR="00E53F46" w:rsidRPr="00C3645A">
        <w:rPr>
          <w:b/>
          <w:bCs/>
          <w:color w:val="auto"/>
        </w:rPr>
        <w:t xml:space="preserve"> </w:t>
      </w:r>
      <w:r w:rsidR="00DD4932" w:rsidRPr="00C3645A">
        <w:rPr>
          <w:b/>
          <w:bCs/>
          <w:color w:val="auto"/>
        </w:rPr>
        <w:t>over</w:t>
      </w:r>
      <w:r w:rsidR="00350E06" w:rsidRPr="00C3645A">
        <w:rPr>
          <w:b/>
          <w:bCs/>
          <w:color w:val="auto"/>
        </w:rPr>
        <w:t xml:space="preserve"> the 18-year period</w:t>
      </w:r>
      <w:r w:rsidR="003E518D" w:rsidRPr="00C3645A">
        <w:rPr>
          <w:b/>
          <w:bCs/>
          <w:color w:val="auto"/>
        </w:rPr>
        <w:t>, as simulated under</w:t>
      </w:r>
      <w:r w:rsidR="00E53F46" w:rsidRPr="00C3645A">
        <w:rPr>
          <w:b/>
          <w:bCs/>
          <w:color w:val="auto"/>
        </w:rPr>
        <w:t xml:space="preserve"> historical and future climatic conditions</w:t>
      </w:r>
      <w:r w:rsidR="00C127E5" w:rsidRPr="00C3645A">
        <w:rPr>
          <w:b/>
          <w:bCs/>
          <w:color w:val="auto"/>
        </w:rPr>
        <w:t>. Results are reported</w:t>
      </w:r>
      <w:r w:rsidR="004D47A9" w:rsidRPr="00C3645A">
        <w:rPr>
          <w:b/>
          <w:bCs/>
          <w:color w:val="auto"/>
        </w:rPr>
        <w:t xml:space="preserve"> over a) the soil horizon 0-30</w:t>
      </w:r>
      <w:r w:rsidR="005553A4" w:rsidRPr="00C3645A">
        <w:rPr>
          <w:b/>
          <w:bCs/>
          <w:color w:val="auto"/>
        </w:rPr>
        <w:t xml:space="preserve"> </w:t>
      </w:r>
      <w:r w:rsidR="004D47A9" w:rsidRPr="00C3645A">
        <w:rPr>
          <w:b/>
          <w:bCs/>
          <w:color w:val="auto"/>
        </w:rPr>
        <w:t>cm and b) the whole soil horizon</w:t>
      </w:r>
      <w:r w:rsidR="00961BD4" w:rsidRPr="00C3645A">
        <w:rPr>
          <w:b/>
          <w:bCs/>
          <w:color w:val="auto"/>
        </w:rPr>
        <w:t xml:space="preserve"> considered by STICS</w:t>
      </w:r>
      <w:r w:rsidR="005553A4" w:rsidRPr="00C3645A">
        <w:rPr>
          <w:b/>
          <w:bCs/>
          <w:color w:val="auto"/>
        </w:rPr>
        <w:t xml:space="preserve"> (0-200 cm)</w:t>
      </w:r>
      <w:r w:rsidR="00E53F46" w:rsidRPr="00C3645A">
        <w:rPr>
          <w:b/>
          <w:bCs/>
          <w:color w:val="auto"/>
        </w:rPr>
        <w:t xml:space="preserve">. </w:t>
      </w:r>
      <w:r w:rsidR="008F1C73" w:rsidRPr="00C3645A">
        <w:rPr>
          <w:b/>
          <w:bCs/>
          <w:color w:val="auto"/>
        </w:rPr>
        <w:t>G10, G20, G30 and G40 refer to the grazing intensity treatment, and UG designates the ungrazed treatment.</w:t>
      </w:r>
    </w:p>
    <w:p w14:paraId="440D37E9" w14:textId="74B44132" w:rsidR="00E84AD3" w:rsidRPr="00C3645A" w:rsidRDefault="00E84AD3" w:rsidP="00063851">
      <w:pPr>
        <w:pStyle w:val="PubliManuscript"/>
        <w:numPr>
          <w:ilvl w:val="0"/>
          <w:numId w:val="5"/>
        </w:numPr>
        <w:rPr>
          <w:b/>
          <w:bCs/>
          <w:color w:val="auto"/>
        </w:rPr>
      </w:pPr>
      <w:r w:rsidRPr="00C3645A">
        <w:rPr>
          <w:b/>
          <w:bCs/>
          <w:color w:val="auto"/>
        </w:rPr>
        <w:t>Stability and resistance</w:t>
      </w:r>
    </w:p>
    <w:p w14:paraId="6EEF94F5" w14:textId="0F86E664" w:rsidR="00327563" w:rsidRPr="00C3645A" w:rsidRDefault="009872BE" w:rsidP="00E84AD3">
      <w:pPr>
        <w:pStyle w:val="PubliManuscript"/>
        <w:rPr>
          <w:color w:val="auto"/>
        </w:rPr>
      </w:pPr>
      <w:bookmarkStart w:id="4" w:name="_Hlk146782550"/>
      <w:bookmarkStart w:id="5" w:name="_Hlk146782584"/>
      <w:r w:rsidRPr="00C3645A">
        <w:rPr>
          <w:color w:val="auto"/>
        </w:rPr>
        <w:lastRenderedPageBreak/>
        <w:t>The stability criterion computed over the three productivity variables are compared in Fig. A8</w:t>
      </w:r>
      <w:bookmarkEnd w:id="4"/>
      <w:r w:rsidRPr="00C3645A">
        <w:rPr>
          <w:color w:val="auto"/>
        </w:rPr>
        <w:t>. Concerning soybean grain yield (Fig. A8a), as expected with previous results, the model did not simulate much difference between treatments. Yet it suggests that soybean stability would increase when facing future climate change conditions</w:t>
      </w:r>
      <w:bookmarkEnd w:id="5"/>
      <w:r w:rsidRPr="00C3645A">
        <w:rPr>
          <w:color w:val="auto"/>
        </w:rPr>
        <w:t xml:space="preserve">. For total herbage production (Fig. A8b), the ungrazed treatment, which had low productivity levels (Fig. </w:t>
      </w:r>
      <w:r w:rsidR="007020FB" w:rsidRPr="00C3645A">
        <w:rPr>
          <w:color w:val="auto"/>
        </w:rPr>
        <w:t>3</w:t>
      </w:r>
      <w:r w:rsidRPr="00C3645A">
        <w:rPr>
          <w:color w:val="auto"/>
        </w:rPr>
        <w:t xml:space="preserve">a), is expected to exhibit greater stability. Finally, for the live weight gain (Fig. A8c), whereas during the historical period, the stability followed the same trend than productivity (Fig. </w:t>
      </w:r>
      <w:r w:rsidR="007020FB" w:rsidRPr="00C3645A">
        <w:rPr>
          <w:color w:val="auto"/>
        </w:rPr>
        <w:t>3</w:t>
      </w:r>
      <w:r w:rsidRPr="00C3645A">
        <w:rPr>
          <w:color w:val="auto"/>
        </w:rPr>
        <w:t>c), it appeared that the stability would be similar between the different treatments for the period 2041-2058. This reveals that the larger live weight gain associated with higher grazing intensity comes with greater variability</w:t>
      </w:r>
      <w:r w:rsidR="00D92811" w:rsidRPr="00C3645A">
        <w:rPr>
          <w:color w:val="auto"/>
        </w:rPr>
        <w:t>.</w:t>
      </w:r>
    </w:p>
    <w:p w14:paraId="685E4229" w14:textId="21226F5F" w:rsidR="0065612B" w:rsidRPr="00C3645A" w:rsidRDefault="009538F6" w:rsidP="00E84AD3">
      <w:pPr>
        <w:pStyle w:val="PubliManuscript"/>
        <w:rPr>
          <w:color w:val="auto"/>
        </w:rPr>
      </w:pPr>
      <w:r w:rsidRPr="00C3645A">
        <w:rPr>
          <w:color w:val="auto"/>
        </w:rPr>
        <w:t xml:space="preserve">When analyzing the linear regressions between the productivity of soybean or herbage production on one hand and the SPEI-3 index on the other (Fig. </w:t>
      </w:r>
      <w:r w:rsidR="00C3552C" w:rsidRPr="00C3645A">
        <w:rPr>
          <w:color w:val="auto"/>
        </w:rPr>
        <w:t>5</w:t>
      </w:r>
      <w:r w:rsidRPr="00C3645A">
        <w:rPr>
          <w:color w:val="auto"/>
        </w:rPr>
        <w:t>), both herbage production and soybean yield were found to significatively increase with the SPEI-3 index</w:t>
      </w:r>
      <w:r w:rsidR="005649F4" w:rsidRPr="00C3645A">
        <w:rPr>
          <w:color w:val="auto"/>
        </w:rPr>
        <w:t xml:space="preserve"> (</w:t>
      </w:r>
      <w:r w:rsidR="005649F4" w:rsidRPr="00C3645A">
        <w:rPr>
          <w:i/>
          <w:iCs/>
          <w:color w:val="auto"/>
        </w:rPr>
        <w:t xml:space="preserve">p </w:t>
      </w:r>
      <w:r w:rsidR="005649F4" w:rsidRPr="00C3645A">
        <w:rPr>
          <w:color w:val="auto"/>
        </w:rPr>
        <w:t>&lt; 0.05)</w:t>
      </w:r>
      <w:r w:rsidRPr="00C3645A">
        <w:rPr>
          <w:color w:val="auto"/>
        </w:rPr>
        <w:t>. These results highlight the fact that wetter periods between September and November for pastures and between February and April for soybean are associated to higher production</w:t>
      </w:r>
      <w:r w:rsidR="002750E5" w:rsidRPr="00C3645A">
        <w:rPr>
          <w:color w:val="auto"/>
        </w:rPr>
        <w:t xml:space="preserve">. </w:t>
      </w:r>
    </w:p>
    <w:p w14:paraId="4D1E7A4A" w14:textId="77777777" w:rsidR="00C77842" w:rsidRPr="00C3645A" w:rsidRDefault="00C77842" w:rsidP="00C77842">
      <w:pPr>
        <w:jc w:val="both"/>
        <w:rPr>
          <w:b/>
          <w:bCs/>
          <w:color w:val="auto"/>
        </w:rPr>
      </w:pPr>
      <w:r w:rsidRPr="00C3645A">
        <w:rPr>
          <w:b/>
          <w:bCs/>
          <w:noProof/>
          <w:color w:val="auto"/>
        </w:rPr>
        <w:drawing>
          <wp:inline distT="0" distB="0" distL="0" distR="0" wp14:anchorId="1166CAAB" wp14:editId="226D6201">
            <wp:extent cx="5760718" cy="4073733"/>
            <wp:effectExtent l="0" t="0" r="0" b="0"/>
            <wp:docPr id="844590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90283"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18" cy="4073733"/>
                    </a:xfrm>
                    <a:prstGeom prst="rect">
                      <a:avLst/>
                    </a:prstGeom>
                  </pic:spPr>
                </pic:pic>
              </a:graphicData>
            </a:graphic>
          </wp:inline>
        </w:drawing>
      </w:r>
    </w:p>
    <w:p w14:paraId="0ED65BBC" w14:textId="7441E2B8" w:rsidR="00C77842" w:rsidRPr="00C3645A" w:rsidRDefault="00C77842" w:rsidP="00C77842">
      <w:pPr>
        <w:jc w:val="both"/>
        <w:rPr>
          <w:rFonts w:ascii="Times New Roman" w:hAnsi="Times New Roman"/>
          <w:b/>
          <w:bCs/>
          <w:color w:val="auto"/>
        </w:rPr>
      </w:pPr>
      <w:r w:rsidRPr="00C3645A">
        <w:rPr>
          <w:rFonts w:ascii="Times New Roman" w:hAnsi="Times New Roman"/>
          <w:b/>
          <w:bCs/>
          <w:color w:val="auto"/>
        </w:rPr>
        <w:lastRenderedPageBreak/>
        <w:t xml:space="preserve">Figure </w:t>
      </w:r>
      <w:r w:rsidR="00352C40" w:rsidRPr="00C3645A">
        <w:rPr>
          <w:rFonts w:ascii="Times New Roman" w:hAnsi="Times New Roman"/>
          <w:b/>
          <w:bCs/>
          <w:color w:val="auto"/>
        </w:rPr>
        <w:t>5</w:t>
      </w:r>
      <w:r w:rsidRPr="00C3645A">
        <w:rPr>
          <w:rFonts w:ascii="Times New Roman" w:hAnsi="Times New Roman"/>
          <w:b/>
          <w:bCs/>
          <w:color w:val="auto"/>
        </w:rPr>
        <w:t xml:space="preserve">. Linear regression between the SPEI-3 index </w:t>
      </w:r>
      <w:r w:rsidR="000518AD" w:rsidRPr="00C3645A">
        <w:rPr>
          <w:rFonts w:ascii="Times New Roman" w:hAnsi="Times New Roman"/>
          <w:b/>
          <w:bCs/>
          <w:color w:val="auto"/>
        </w:rPr>
        <w:t>(</w:t>
      </w:r>
      <w:r w:rsidR="004E506D" w:rsidRPr="00C3645A">
        <w:rPr>
          <w:rFonts w:ascii="Times New Roman" w:hAnsi="Times New Roman"/>
          <w:b/>
          <w:bCs/>
          <w:color w:val="auto"/>
        </w:rPr>
        <w:t xml:space="preserve">expressing the </w:t>
      </w:r>
      <w:r w:rsidR="000518AD" w:rsidRPr="00C3645A">
        <w:rPr>
          <w:rFonts w:ascii="Times New Roman" w:hAnsi="Times New Roman"/>
          <w:b/>
          <w:bCs/>
          <w:color w:val="auto"/>
        </w:rPr>
        <w:t>dryness</w:t>
      </w:r>
      <w:r w:rsidR="00674740" w:rsidRPr="00C3645A">
        <w:rPr>
          <w:rFonts w:ascii="Times New Roman" w:hAnsi="Times New Roman"/>
          <w:b/>
          <w:bCs/>
          <w:color w:val="auto"/>
        </w:rPr>
        <w:t>/wetness</w:t>
      </w:r>
      <w:r w:rsidR="000518AD" w:rsidRPr="00C3645A">
        <w:rPr>
          <w:rFonts w:ascii="Times New Roman" w:hAnsi="Times New Roman"/>
          <w:b/>
          <w:bCs/>
          <w:color w:val="auto"/>
        </w:rPr>
        <w:t xml:space="preserve"> </w:t>
      </w:r>
      <w:r w:rsidR="00417C7A" w:rsidRPr="00C3645A">
        <w:rPr>
          <w:rFonts w:ascii="Times New Roman" w:hAnsi="Times New Roman"/>
          <w:b/>
          <w:bCs/>
          <w:color w:val="auto"/>
        </w:rPr>
        <w:t>related to the 3 months preceding harvest</w:t>
      </w:r>
      <w:r w:rsidR="00CB29DE" w:rsidRPr="00C3645A">
        <w:rPr>
          <w:rFonts w:ascii="Times New Roman" w:hAnsi="Times New Roman"/>
          <w:b/>
          <w:bCs/>
          <w:color w:val="auto"/>
        </w:rPr>
        <w:t>)</w:t>
      </w:r>
      <w:r w:rsidR="00417C7A" w:rsidRPr="00C3645A">
        <w:rPr>
          <w:rFonts w:ascii="Times New Roman" w:hAnsi="Times New Roman"/>
          <w:b/>
          <w:bCs/>
          <w:color w:val="auto"/>
        </w:rPr>
        <w:t xml:space="preserve"> </w:t>
      </w:r>
      <w:r w:rsidRPr="00C3645A">
        <w:rPr>
          <w:rFonts w:ascii="Times New Roman" w:hAnsi="Times New Roman"/>
          <w:b/>
          <w:bCs/>
          <w:color w:val="auto"/>
        </w:rPr>
        <w:t>and the annual productivity of a) the pasture, i.e. the total herbage production, and b) the soybean grain yield. For readability, the intervals of confidence are not shown.</w:t>
      </w:r>
      <w:r w:rsidR="00B7501E" w:rsidRPr="00C3645A">
        <w:rPr>
          <w:rFonts w:ascii="Times New Roman" w:hAnsi="Times New Roman"/>
          <w:b/>
          <w:bCs/>
          <w:color w:val="auto"/>
        </w:rPr>
        <w:t xml:space="preserve"> </w:t>
      </w:r>
      <w:r w:rsidR="008F1C73" w:rsidRPr="00C3645A">
        <w:rPr>
          <w:rFonts w:ascii="Times New Roman" w:hAnsi="Times New Roman"/>
          <w:b/>
          <w:bCs/>
          <w:color w:val="auto"/>
        </w:rPr>
        <w:t>G10, G20, G30 and G40 refer to the grazing intensity treatment, and UG designates the ungrazed treatment.</w:t>
      </w:r>
    </w:p>
    <w:p w14:paraId="1B1795B9" w14:textId="39E0BCAD" w:rsidR="00286509" w:rsidRPr="00C3645A" w:rsidRDefault="00C57C6B" w:rsidP="0065612B">
      <w:pPr>
        <w:pStyle w:val="PubliManuscript"/>
        <w:rPr>
          <w:color w:val="auto"/>
        </w:rPr>
      </w:pPr>
      <w:r w:rsidRPr="00C3645A">
        <w:rPr>
          <w:color w:val="auto"/>
        </w:rPr>
        <w:t>Resistance capacities to extreme and moderate climatic events</w:t>
      </w:r>
      <w:r w:rsidR="00E84AD3" w:rsidRPr="00C3645A">
        <w:rPr>
          <w:color w:val="auto"/>
        </w:rPr>
        <w:t xml:space="preserve"> </w:t>
      </w:r>
      <w:r w:rsidR="00363153" w:rsidRPr="00C3645A">
        <w:rPr>
          <w:color w:val="auto"/>
        </w:rPr>
        <w:t>during</w:t>
      </w:r>
      <w:r w:rsidRPr="00C3645A">
        <w:rPr>
          <w:color w:val="auto"/>
        </w:rPr>
        <w:t xml:space="preserve"> the future climatic conditions in 2041-2058</w:t>
      </w:r>
      <w:r w:rsidR="00363153" w:rsidRPr="00C3645A">
        <w:rPr>
          <w:color w:val="auto"/>
        </w:rPr>
        <w:t xml:space="preserve"> are respectively</w:t>
      </w:r>
      <w:r w:rsidRPr="00C3645A">
        <w:rPr>
          <w:color w:val="auto"/>
        </w:rPr>
        <w:t xml:space="preserve"> presented in Fig. </w:t>
      </w:r>
      <w:r w:rsidR="0047073A" w:rsidRPr="00C3645A">
        <w:rPr>
          <w:color w:val="auto"/>
        </w:rPr>
        <w:t xml:space="preserve">6 </w:t>
      </w:r>
      <w:r w:rsidR="00313807" w:rsidRPr="00C3645A">
        <w:rPr>
          <w:color w:val="auto"/>
        </w:rPr>
        <w:t>and Fig. A</w:t>
      </w:r>
      <w:r w:rsidR="00FD3EBB" w:rsidRPr="00C3645A">
        <w:rPr>
          <w:color w:val="auto"/>
        </w:rPr>
        <w:t>9</w:t>
      </w:r>
      <w:r w:rsidR="00E84AD3" w:rsidRPr="00C3645A">
        <w:rPr>
          <w:color w:val="auto"/>
        </w:rPr>
        <w:t>.</w:t>
      </w:r>
      <w:r w:rsidR="00651798" w:rsidRPr="00C3645A">
        <w:rPr>
          <w:color w:val="auto"/>
        </w:rPr>
        <w:t xml:space="preserve"> Concerning </w:t>
      </w:r>
      <w:r w:rsidR="000E28B4" w:rsidRPr="00C3645A">
        <w:rPr>
          <w:color w:val="auto"/>
        </w:rPr>
        <w:t>soybean</w:t>
      </w:r>
      <w:r w:rsidR="00651798" w:rsidRPr="00C3645A">
        <w:rPr>
          <w:color w:val="auto"/>
        </w:rPr>
        <w:t xml:space="preserve">, </w:t>
      </w:r>
      <w:r w:rsidR="000E28B4" w:rsidRPr="00C3645A">
        <w:rPr>
          <w:color w:val="auto"/>
        </w:rPr>
        <w:t xml:space="preserve">no </w:t>
      </w:r>
      <w:r w:rsidR="00D85B5A" w:rsidRPr="00C3645A">
        <w:rPr>
          <w:color w:val="auto"/>
        </w:rPr>
        <w:t xml:space="preserve">substantial </w:t>
      </w:r>
      <w:r w:rsidR="000E28B4" w:rsidRPr="00C3645A">
        <w:rPr>
          <w:color w:val="auto"/>
        </w:rPr>
        <w:t>impact of grazing intensity</w:t>
      </w:r>
      <w:r w:rsidR="00F6754F" w:rsidRPr="00C3645A">
        <w:rPr>
          <w:color w:val="auto"/>
        </w:rPr>
        <w:t xml:space="preserve"> was found on its resistance to moderate</w:t>
      </w:r>
      <w:r w:rsidR="002D223F" w:rsidRPr="00C3645A">
        <w:rPr>
          <w:color w:val="auto"/>
        </w:rPr>
        <w:t xml:space="preserve"> and extreme</w:t>
      </w:r>
      <w:r w:rsidR="00F6754F" w:rsidRPr="00C3645A">
        <w:rPr>
          <w:color w:val="auto"/>
        </w:rPr>
        <w:t xml:space="preserve"> climatic events (</w:t>
      </w:r>
      <w:r w:rsidR="00A6447A" w:rsidRPr="00C3645A">
        <w:rPr>
          <w:color w:val="auto"/>
        </w:rPr>
        <w:t xml:space="preserve">Fig. 6a and </w:t>
      </w:r>
      <w:r w:rsidR="005919A8" w:rsidRPr="00C3645A">
        <w:rPr>
          <w:color w:val="auto"/>
        </w:rPr>
        <w:t xml:space="preserve">Fig. </w:t>
      </w:r>
      <w:r w:rsidR="00F6754F" w:rsidRPr="00C3645A">
        <w:rPr>
          <w:color w:val="auto"/>
        </w:rPr>
        <w:t>A</w:t>
      </w:r>
      <w:r w:rsidR="00FD3EBB" w:rsidRPr="00C3645A">
        <w:rPr>
          <w:color w:val="auto"/>
        </w:rPr>
        <w:t>9</w:t>
      </w:r>
      <w:r w:rsidR="00E85034" w:rsidRPr="00C3645A">
        <w:rPr>
          <w:color w:val="auto"/>
        </w:rPr>
        <w:t>a</w:t>
      </w:r>
      <w:r w:rsidR="00F6754F" w:rsidRPr="00C3645A">
        <w:rPr>
          <w:color w:val="auto"/>
        </w:rPr>
        <w:t>)</w:t>
      </w:r>
      <w:r w:rsidR="00591006" w:rsidRPr="00C3645A">
        <w:rPr>
          <w:color w:val="auto"/>
        </w:rPr>
        <w:t xml:space="preserve">. </w:t>
      </w:r>
      <w:r w:rsidR="00371996" w:rsidRPr="00C3645A">
        <w:rPr>
          <w:color w:val="auto"/>
        </w:rPr>
        <w:t xml:space="preserve">Yet only one period was categorized as extreme for soybean (extremely wet). </w:t>
      </w:r>
      <w:r w:rsidR="005919A8" w:rsidRPr="00C3645A">
        <w:rPr>
          <w:color w:val="auto"/>
        </w:rPr>
        <w:t>The ungrazed treatment exhibited a greater resistance for herbage production compared to the ICLS treatments (Fig. A</w:t>
      </w:r>
      <w:r w:rsidR="00FD3EBB" w:rsidRPr="00C3645A">
        <w:rPr>
          <w:color w:val="auto"/>
        </w:rPr>
        <w:t>9</w:t>
      </w:r>
      <w:r w:rsidR="005919A8" w:rsidRPr="00C3645A">
        <w:rPr>
          <w:color w:val="auto"/>
        </w:rPr>
        <w:t xml:space="preserve">b and Fig. A6b). </w:t>
      </w:r>
      <w:r w:rsidR="00E85034" w:rsidRPr="00C3645A">
        <w:rPr>
          <w:color w:val="auto"/>
        </w:rPr>
        <w:t xml:space="preserve">For the total herbage production and the live weight gain, </w:t>
      </w:r>
      <w:r w:rsidR="003C13C2" w:rsidRPr="00C3645A">
        <w:rPr>
          <w:color w:val="auto"/>
        </w:rPr>
        <w:t xml:space="preserve">within ICLS treatments, </w:t>
      </w:r>
      <w:r w:rsidR="00E85034" w:rsidRPr="00C3645A">
        <w:rPr>
          <w:color w:val="auto"/>
        </w:rPr>
        <w:t>moderate</w:t>
      </w:r>
      <w:r w:rsidR="00A21D6B" w:rsidRPr="00C3645A">
        <w:rPr>
          <w:color w:val="auto"/>
        </w:rPr>
        <w:t xml:space="preserve"> and light</w:t>
      </w:r>
      <w:r w:rsidR="00E85034" w:rsidRPr="00C3645A">
        <w:rPr>
          <w:color w:val="auto"/>
        </w:rPr>
        <w:t xml:space="preserve"> grazing intensities </w:t>
      </w:r>
      <w:r w:rsidR="00A21D6B" w:rsidRPr="00C3645A">
        <w:rPr>
          <w:color w:val="auto"/>
        </w:rPr>
        <w:t xml:space="preserve">(G30 and G40) </w:t>
      </w:r>
      <w:r w:rsidR="00E85034" w:rsidRPr="00C3645A">
        <w:rPr>
          <w:color w:val="auto"/>
        </w:rPr>
        <w:t>showed greater resistance capacities to both moderate and extreme climatic events (Fig. A</w:t>
      </w:r>
      <w:r w:rsidR="00FD3EBB" w:rsidRPr="00C3645A">
        <w:rPr>
          <w:color w:val="auto"/>
        </w:rPr>
        <w:t>9</w:t>
      </w:r>
      <w:r w:rsidR="00E85034" w:rsidRPr="00C3645A">
        <w:rPr>
          <w:color w:val="auto"/>
        </w:rPr>
        <w:t>b, Fig. A</w:t>
      </w:r>
      <w:r w:rsidR="00FD3EBB" w:rsidRPr="00C3645A">
        <w:rPr>
          <w:color w:val="auto"/>
        </w:rPr>
        <w:t>9</w:t>
      </w:r>
      <w:r w:rsidR="00E85034" w:rsidRPr="00C3645A">
        <w:rPr>
          <w:color w:val="auto"/>
        </w:rPr>
        <w:t xml:space="preserve">c, Fig. </w:t>
      </w:r>
      <w:r w:rsidR="0047073A" w:rsidRPr="00C3645A">
        <w:rPr>
          <w:color w:val="auto"/>
        </w:rPr>
        <w:t>6</w:t>
      </w:r>
      <w:r w:rsidR="00E85034" w:rsidRPr="00C3645A">
        <w:rPr>
          <w:color w:val="auto"/>
        </w:rPr>
        <w:t xml:space="preserve">b and Fig. </w:t>
      </w:r>
      <w:r w:rsidR="0047073A" w:rsidRPr="00C3645A">
        <w:rPr>
          <w:color w:val="auto"/>
        </w:rPr>
        <w:t>6</w:t>
      </w:r>
      <w:r w:rsidR="00E85034" w:rsidRPr="00C3645A">
        <w:rPr>
          <w:color w:val="auto"/>
        </w:rPr>
        <w:t xml:space="preserve">c). </w:t>
      </w:r>
    </w:p>
    <w:p w14:paraId="7B1C58CE" w14:textId="77777777" w:rsidR="00E84AD3" w:rsidRPr="00C3645A" w:rsidRDefault="00E84AD3" w:rsidP="00E84AD3">
      <w:pPr>
        <w:pStyle w:val="PubliManuscript"/>
        <w:jc w:val="center"/>
        <w:rPr>
          <w:color w:val="auto"/>
        </w:rPr>
      </w:pPr>
      <w:r w:rsidRPr="00C3645A">
        <w:rPr>
          <w:noProof/>
          <w:color w:val="auto"/>
        </w:rPr>
        <w:drawing>
          <wp:inline distT="0" distB="0" distL="0" distR="0" wp14:anchorId="3C769F30" wp14:editId="73F84DBF">
            <wp:extent cx="5759520" cy="4072886"/>
            <wp:effectExtent l="0" t="0" r="0" b="0"/>
            <wp:docPr id="16581245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24539" name="Imag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9520" cy="4072886"/>
                    </a:xfrm>
                    <a:prstGeom prst="rect">
                      <a:avLst/>
                    </a:prstGeom>
                    <a:noFill/>
                    <a:ln>
                      <a:noFill/>
                    </a:ln>
                  </pic:spPr>
                </pic:pic>
              </a:graphicData>
            </a:graphic>
          </wp:inline>
        </w:drawing>
      </w:r>
    </w:p>
    <w:p w14:paraId="7ED96EA7" w14:textId="486C6A4F" w:rsidR="00AD6896" w:rsidRPr="00C3645A" w:rsidRDefault="00271113" w:rsidP="005917E6">
      <w:pPr>
        <w:jc w:val="both"/>
        <w:rPr>
          <w:b/>
          <w:bCs/>
          <w:color w:val="auto"/>
        </w:rPr>
      </w:pPr>
      <w:bookmarkStart w:id="6" w:name="_Hlk151970046"/>
      <w:r w:rsidRPr="00C3645A">
        <w:rPr>
          <w:rFonts w:ascii="Times New Roman" w:hAnsi="Times New Roman"/>
          <w:b/>
          <w:bCs/>
          <w:color w:val="auto"/>
        </w:rPr>
        <w:t xml:space="preserve">Figure </w:t>
      </w:r>
      <w:r w:rsidR="00081B3C" w:rsidRPr="00C3645A">
        <w:rPr>
          <w:rFonts w:ascii="Times New Roman" w:hAnsi="Times New Roman"/>
          <w:b/>
          <w:bCs/>
          <w:color w:val="auto"/>
        </w:rPr>
        <w:t>6</w:t>
      </w:r>
      <w:r w:rsidRPr="00C3645A">
        <w:rPr>
          <w:rFonts w:ascii="Times New Roman" w:hAnsi="Times New Roman"/>
          <w:b/>
          <w:bCs/>
          <w:color w:val="auto"/>
        </w:rPr>
        <w:t xml:space="preserve">. Resistance </w:t>
      </w:r>
      <w:r w:rsidR="00D6179A" w:rsidRPr="00C3645A">
        <w:rPr>
          <w:rFonts w:ascii="Times New Roman" w:hAnsi="Times New Roman"/>
          <w:b/>
          <w:bCs/>
          <w:color w:val="auto"/>
        </w:rPr>
        <w:t>(Ω</w:t>
      </w:r>
      <w:r w:rsidR="00701F07" w:rsidRPr="00C3645A">
        <w:rPr>
          <w:rFonts w:ascii="Times New Roman" w:hAnsi="Times New Roman"/>
          <w:b/>
          <w:bCs/>
          <w:color w:val="auto"/>
        </w:rPr>
        <w:t>, dimensionless</w:t>
      </w:r>
      <w:r w:rsidR="00D6179A" w:rsidRPr="00C3645A">
        <w:rPr>
          <w:rFonts w:ascii="Times New Roman" w:hAnsi="Times New Roman"/>
          <w:b/>
          <w:bCs/>
          <w:color w:val="auto"/>
        </w:rPr>
        <w:t xml:space="preserve">) </w:t>
      </w:r>
      <w:r w:rsidR="000C7AC9" w:rsidRPr="00C3645A">
        <w:rPr>
          <w:rFonts w:ascii="Times New Roman" w:hAnsi="Times New Roman"/>
          <w:b/>
          <w:bCs/>
          <w:color w:val="auto"/>
        </w:rPr>
        <w:t>against</w:t>
      </w:r>
      <w:r w:rsidR="00214322" w:rsidRPr="00C3645A">
        <w:rPr>
          <w:rFonts w:ascii="Times New Roman" w:hAnsi="Times New Roman"/>
          <w:b/>
          <w:bCs/>
          <w:color w:val="auto"/>
        </w:rPr>
        <w:t xml:space="preserve"> </w:t>
      </w:r>
      <w:r w:rsidR="00DC7644" w:rsidRPr="00C3645A">
        <w:rPr>
          <w:rFonts w:ascii="Times New Roman" w:hAnsi="Times New Roman"/>
          <w:b/>
          <w:bCs/>
          <w:color w:val="auto"/>
        </w:rPr>
        <w:t xml:space="preserve">the </w:t>
      </w:r>
      <w:r w:rsidRPr="00C3645A">
        <w:rPr>
          <w:rFonts w:ascii="Times New Roman" w:hAnsi="Times New Roman"/>
          <w:b/>
          <w:bCs/>
          <w:color w:val="auto"/>
        </w:rPr>
        <w:t>extreme climatic events</w:t>
      </w:r>
      <w:r w:rsidR="00214322" w:rsidRPr="00C3645A">
        <w:rPr>
          <w:rFonts w:ascii="Times New Roman" w:hAnsi="Times New Roman"/>
          <w:b/>
          <w:bCs/>
          <w:color w:val="auto"/>
        </w:rPr>
        <w:t xml:space="preserve"> </w:t>
      </w:r>
      <w:r w:rsidR="00DC7644" w:rsidRPr="00C3645A">
        <w:rPr>
          <w:rFonts w:ascii="Times New Roman" w:hAnsi="Times New Roman"/>
          <w:b/>
          <w:bCs/>
          <w:color w:val="auto"/>
        </w:rPr>
        <w:t>of</w:t>
      </w:r>
      <w:r w:rsidR="00214322" w:rsidRPr="00C3645A">
        <w:rPr>
          <w:rFonts w:ascii="Times New Roman" w:hAnsi="Times New Roman"/>
          <w:b/>
          <w:bCs/>
          <w:color w:val="auto"/>
        </w:rPr>
        <w:t xml:space="preserve"> the period 2041-2058</w:t>
      </w:r>
      <w:r w:rsidR="00B4060B" w:rsidRPr="00C3645A">
        <w:rPr>
          <w:rFonts w:ascii="Times New Roman" w:hAnsi="Times New Roman"/>
          <w:b/>
          <w:bCs/>
          <w:color w:val="auto"/>
        </w:rPr>
        <w:t xml:space="preserve"> </w:t>
      </w:r>
      <w:r w:rsidR="008A3A4B" w:rsidRPr="00C3645A">
        <w:rPr>
          <w:rFonts w:ascii="Times New Roman" w:hAnsi="Times New Roman"/>
          <w:b/>
          <w:bCs/>
          <w:color w:val="auto"/>
        </w:rPr>
        <w:t xml:space="preserve">(RCP8.5) </w:t>
      </w:r>
      <w:r w:rsidR="00B4060B" w:rsidRPr="00C3645A">
        <w:rPr>
          <w:rFonts w:ascii="Times New Roman" w:hAnsi="Times New Roman"/>
          <w:b/>
          <w:bCs/>
          <w:color w:val="auto"/>
        </w:rPr>
        <w:t xml:space="preserve">for a) soybean </w:t>
      </w:r>
      <w:r w:rsidR="00262640" w:rsidRPr="00C3645A">
        <w:rPr>
          <w:rFonts w:ascii="Times New Roman" w:hAnsi="Times New Roman"/>
          <w:b/>
          <w:bCs/>
          <w:color w:val="auto"/>
        </w:rPr>
        <w:t>grain yield</w:t>
      </w:r>
      <w:r w:rsidR="006C163E" w:rsidRPr="00C3645A">
        <w:rPr>
          <w:rFonts w:ascii="Times New Roman" w:hAnsi="Times New Roman"/>
          <w:b/>
          <w:bCs/>
          <w:color w:val="auto"/>
        </w:rPr>
        <w:t>,</w:t>
      </w:r>
      <w:r w:rsidR="00262640" w:rsidRPr="00C3645A">
        <w:rPr>
          <w:rFonts w:ascii="Times New Roman" w:hAnsi="Times New Roman"/>
          <w:b/>
          <w:bCs/>
          <w:color w:val="auto"/>
        </w:rPr>
        <w:t xml:space="preserve"> b) total herbage production and c) live weight gain.</w:t>
      </w:r>
      <w:r w:rsidR="0032689E" w:rsidRPr="00C3645A">
        <w:rPr>
          <w:rFonts w:ascii="Times New Roman" w:hAnsi="Times New Roman"/>
          <w:b/>
          <w:bCs/>
          <w:color w:val="auto"/>
        </w:rPr>
        <w:t xml:space="preserve"> </w:t>
      </w:r>
      <w:r w:rsidR="008F1C73" w:rsidRPr="00C3645A">
        <w:rPr>
          <w:rFonts w:ascii="Times New Roman" w:hAnsi="Times New Roman"/>
          <w:b/>
          <w:bCs/>
          <w:color w:val="auto"/>
        </w:rPr>
        <w:lastRenderedPageBreak/>
        <w:t>G10, G20, G30 and G40 refer to the grazing intensity treatment, and UG designates the ungrazed treatment</w:t>
      </w:r>
      <w:r w:rsidR="008F1C73" w:rsidRPr="00C3645A">
        <w:rPr>
          <w:b/>
          <w:bCs/>
          <w:color w:val="auto"/>
        </w:rPr>
        <w:t xml:space="preserve">. </w:t>
      </w:r>
    </w:p>
    <w:bookmarkEnd w:id="6"/>
    <w:p w14:paraId="3D0E20C3" w14:textId="76A003FE" w:rsidR="008D3EB8" w:rsidRPr="00C3645A" w:rsidRDefault="008D3EB8" w:rsidP="008D3EB8">
      <w:pPr>
        <w:pStyle w:val="Publi1"/>
      </w:pPr>
      <w:r w:rsidRPr="00C3645A">
        <w:t>Discussion</w:t>
      </w:r>
    </w:p>
    <w:p w14:paraId="0E6BFCB7" w14:textId="3B860F46" w:rsidR="00AD6896" w:rsidRPr="00C3645A" w:rsidRDefault="008D3EB8" w:rsidP="005D2668">
      <w:pPr>
        <w:pStyle w:val="Publi2"/>
        <w:jc w:val="both"/>
        <w:rPr>
          <w:color w:val="auto"/>
        </w:rPr>
      </w:pPr>
      <w:r w:rsidRPr="00C3645A">
        <w:rPr>
          <w:color w:val="auto"/>
        </w:rPr>
        <w:t xml:space="preserve"> </w:t>
      </w:r>
      <w:r w:rsidR="002051D6" w:rsidRPr="00C3645A">
        <w:rPr>
          <w:color w:val="auto"/>
        </w:rPr>
        <w:t xml:space="preserve">The influence of metrics in </w:t>
      </w:r>
      <w:r w:rsidR="005C5E7A" w:rsidRPr="00C3645A">
        <w:rPr>
          <w:color w:val="auto"/>
        </w:rPr>
        <w:t>crop-livestock systems productivity comparisons</w:t>
      </w:r>
    </w:p>
    <w:p w14:paraId="3E0C77F6" w14:textId="6E1B9C1E" w:rsidR="00DA3C2E" w:rsidRPr="00C3645A" w:rsidRDefault="00DA3C2E" w:rsidP="00DA3C2E">
      <w:pPr>
        <w:pStyle w:val="PubliManuscript"/>
        <w:rPr>
          <w:color w:val="auto"/>
        </w:rPr>
      </w:pPr>
      <w:r w:rsidRPr="00C3645A">
        <w:rPr>
          <w:color w:val="auto"/>
        </w:rPr>
        <w:t>Global productivity comparisons between treatments differ according to the metrics that we considered. Expressed in tons per ha, the comparison of total herbage production and soybean grain yield highlighted the effect of grazing intensity on total herbage production, this last decreasing with increasing grazing intensity but yet being greater with light to moderate grazing intensities compared to the ungrazed treatment. When expressed in nutritive and economic values, the productivity of ICLS treatments showed to increase together with grazing intensity, underlining the sward valorization that herbivores allow.</w:t>
      </w:r>
    </w:p>
    <w:p w14:paraId="283B46B3" w14:textId="47948376" w:rsidR="00ED3765" w:rsidRPr="00C3645A" w:rsidRDefault="00DA3C2E" w:rsidP="00DA3C2E">
      <w:pPr>
        <w:pStyle w:val="PubliManuscript"/>
        <w:rPr>
          <w:color w:val="auto"/>
        </w:rPr>
      </w:pPr>
      <w:r w:rsidRPr="00C3645A">
        <w:rPr>
          <w:color w:val="auto"/>
        </w:rPr>
        <w:t xml:space="preserve">Except for the more intensive grazing management (G10), the larger herbage production under all other ICLS is explained by the stimulation which the frequent defoliation performed by animals (simulated by cuts in our model) represents. In our methodology, each cut that simulates the grazing process </w:t>
      </w:r>
      <w:proofErr w:type="spellStart"/>
      <w:r w:rsidRPr="00C3645A">
        <w:rPr>
          <w:i/>
          <w:iCs/>
          <w:color w:val="auto"/>
        </w:rPr>
        <w:t>i</w:t>
      </w:r>
      <w:proofErr w:type="spellEnd"/>
      <w:r w:rsidRPr="00C3645A">
        <w:rPr>
          <w:color w:val="auto"/>
        </w:rPr>
        <w:t xml:space="preserve">) reduces the leaf area index to certain levels computed from the residual sward height and </w:t>
      </w:r>
      <w:r w:rsidRPr="00C3645A">
        <w:rPr>
          <w:i/>
          <w:iCs/>
          <w:color w:val="auto"/>
        </w:rPr>
        <w:t>ii</w:t>
      </w:r>
      <w:r w:rsidRPr="00C3645A">
        <w:rPr>
          <w:color w:val="auto"/>
        </w:rPr>
        <w:t xml:space="preserve">) maintains the pasture in a vegetative process. The growth of LAI in the STICS model follows a logistic function of crop development stages (Brisson et al., 2009), being maximal at a certain development stage and then declining gradually as the plant approaches flowering stage. Therefore, in our grazing simulation, moderate grazing allows to observe a maximal LAI growth rapidly after a precedent cut, whereas overgrazing (G10), resulting in a low residual LAI, leads to an initial slow LAI growth rate (before the inflexion point in the logistic function). At the other extreme of the spectrum, low grazing intensity (G40) results in a high residual LAI, which leads to a rapidly declining LAI growth rate (after the inflexion point in the logistic function). The mechanistic modelling approach reproduces properly the stimulating impact of grazing on sward growth as it was observed on the field, which was explained by the extension of the vegetative period of plants by sound herbivory without compromising its growth rates, while ungrazed </w:t>
      </w:r>
      <w:r w:rsidR="00534A4C" w:rsidRPr="00C3645A">
        <w:rPr>
          <w:color w:val="auto"/>
        </w:rPr>
        <w:t xml:space="preserve">pastures </w:t>
      </w:r>
      <w:r w:rsidRPr="00C3645A">
        <w:rPr>
          <w:color w:val="auto"/>
        </w:rPr>
        <w:t>tend to present early internode elongation, flowering and also sometimes lodging (</w:t>
      </w:r>
      <w:proofErr w:type="spellStart"/>
      <w:r w:rsidRPr="00C3645A">
        <w:rPr>
          <w:color w:val="auto"/>
        </w:rPr>
        <w:t>Kunrath</w:t>
      </w:r>
      <w:proofErr w:type="spellEnd"/>
      <w:r w:rsidRPr="00C3645A">
        <w:rPr>
          <w:color w:val="auto"/>
        </w:rPr>
        <w:t xml:space="preserve"> et al., 2020</w:t>
      </w:r>
      <w:r w:rsidR="0046151D" w:rsidRPr="00C3645A">
        <w:rPr>
          <w:color w:val="auto"/>
        </w:rPr>
        <w:t>).</w:t>
      </w:r>
      <w:r w:rsidR="00083D0D" w:rsidRPr="00C3645A">
        <w:rPr>
          <w:color w:val="auto"/>
        </w:rPr>
        <w:t xml:space="preserve"> </w:t>
      </w:r>
      <w:r w:rsidR="000F7D29" w:rsidRPr="00C3645A">
        <w:rPr>
          <w:color w:val="auto"/>
        </w:rPr>
        <w:t>W</w:t>
      </w:r>
      <w:r w:rsidR="00083D0D" w:rsidRPr="00C3645A">
        <w:rPr>
          <w:color w:val="auto"/>
        </w:rPr>
        <w:t xml:space="preserve">e also observed that the simulations </w:t>
      </w:r>
      <w:r w:rsidR="00083D0D" w:rsidRPr="00C3645A">
        <w:rPr>
          <w:color w:val="auto"/>
        </w:rPr>
        <w:lastRenderedPageBreak/>
        <w:t>exhibit a lower variability than field observations, especially for herbage production (Fig. 2b). We believe that this is due (</w:t>
      </w:r>
      <w:proofErr w:type="spellStart"/>
      <w:r w:rsidR="00083D0D" w:rsidRPr="00C3645A">
        <w:rPr>
          <w:i/>
          <w:iCs/>
          <w:color w:val="auto"/>
        </w:rPr>
        <w:t>i</w:t>
      </w:r>
      <w:proofErr w:type="spellEnd"/>
      <w:r w:rsidR="00083D0D" w:rsidRPr="00C3645A">
        <w:rPr>
          <w:color w:val="auto"/>
        </w:rPr>
        <w:t>) to the deterministic propriety of the model, whereas field observations come from replicates into the field experiment design which induce further variability within each treatment</w:t>
      </w:r>
      <w:r w:rsidR="007E2F5E" w:rsidRPr="00C3645A">
        <w:rPr>
          <w:color w:val="auto"/>
        </w:rPr>
        <w:t>; but also (</w:t>
      </w:r>
      <w:r w:rsidR="007E2F5E" w:rsidRPr="00C3645A">
        <w:rPr>
          <w:i/>
          <w:iCs/>
          <w:color w:val="auto"/>
        </w:rPr>
        <w:t>ii</w:t>
      </w:r>
      <w:r w:rsidR="007E2F5E" w:rsidRPr="00C3645A">
        <w:rPr>
          <w:color w:val="auto"/>
        </w:rPr>
        <w:t>) to th</w:t>
      </w:r>
      <w:r w:rsidR="0032583A" w:rsidRPr="00C3645A">
        <w:rPr>
          <w:color w:val="auto"/>
        </w:rPr>
        <w:t>e</w:t>
      </w:r>
      <w:r w:rsidR="007E2F5E" w:rsidRPr="00C3645A">
        <w:rPr>
          <w:color w:val="auto"/>
        </w:rPr>
        <w:t xml:space="preserve"> sensitive </w:t>
      </w:r>
      <w:r w:rsidR="00AF7E15" w:rsidRPr="00C3645A">
        <w:rPr>
          <w:color w:val="auto"/>
        </w:rPr>
        <w:t xml:space="preserve">grazing </w:t>
      </w:r>
      <w:r w:rsidR="00C473FE" w:rsidRPr="00C3645A">
        <w:rPr>
          <w:color w:val="auto"/>
        </w:rPr>
        <w:t>organization</w:t>
      </w:r>
      <w:r w:rsidR="007E2F5E" w:rsidRPr="00C3645A">
        <w:rPr>
          <w:color w:val="auto"/>
        </w:rPr>
        <w:t xml:space="preserve"> of the field experiment, which requires </w:t>
      </w:r>
      <w:r w:rsidR="00A112FF" w:rsidRPr="00C3645A">
        <w:rPr>
          <w:color w:val="auto"/>
        </w:rPr>
        <w:t xml:space="preserve">to </w:t>
      </w:r>
      <w:r w:rsidR="00FC5FE1" w:rsidRPr="00C3645A">
        <w:rPr>
          <w:color w:val="auto"/>
        </w:rPr>
        <w:t>frequent</w:t>
      </w:r>
      <w:r w:rsidR="00A112FF" w:rsidRPr="00C3645A">
        <w:rPr>
          <w:color w:val="auto"/>
        </w:rPr>
        <w:t>ly</w:t>
      </w:r>
      <w:r w:rsidR="00FC5FE1" w:rsidRPr="00C3645A">
        <w:rPr>
          <w:color w:val="auto"/>
        </w:rPr>
        <w:t xml:space="preserve"> </w:t>
      </w:r>
      <w:r w:rsidR="00A112FF" w:rsidRPr="00C3645A">
        <w:rPr>
          <w:color w:val="auto"/>
        </w:rPr>
        <w:t>adjust the number of grazing</w:t>
      </w:r>
      <w:r w:rsidR="007E2F5E" w:rsidRPr="00C3645A">
        <w:rPr>
          <w:color w:val="auto"/>
        </w:rPr>
        <w:t xml:space="preserve"> animals</w:t>
      </w:r>
      <w:r w:rsidR="00511520" w:rsidRPr="00C3645A">
        <w:rPr>
          <w:color w:val="auto"/>
        </w:rPr>
        <w:t xml:space="preserve"> in order to maintain </w:t>
      </w:r>
      <w:r w:rsidR="00460D19" w:rsidRPr="00C3645A">
        <w:rPr>
          <w:color w:val="auto"/>
        </w:rPr>
        <w:t>the target</w:t>
      </w:r>
      <w:r w:rsidR="00906250" w:rsidRPr="00C3645A">
        <w:rPr>
          <w:color w:val="auto"/>
        </w:rPr>
        <w:t>ed</w:t>
      </w:r>
      <w:r w:rsidR="00460D19" w:rsidRPr="00C3645A">
        <w:rPr>
          <w:color w:val="auto"/>
        </w:rPr>
        <w:t xml:space="preserve"> sward height</w:t>
      </w:r>
      <w:r w:rsidR="00C95E5D" w:rsidRPr="00C3645A">
        <w:rPr>
          <w:color w:val="auto"/>
        </w:rPr>
        <w:t>s</w:t>
      </w:r>
      <w:r w:rsidR="000A70FD" w:rsidRPr="00C3645A">
        <w:rPr>
          <w:color w:val="auto"/>
        </w:rPr>
        <w:t>,</w:t>
      </w:r>
      <w:r w:rsidR="00AF6F8C" w:rsidRPr="00C3645A">
        <w:rPr>
          <w:color w:val="auto"/>
        </w:rPr>
        <w:t xml:space="preserve"> whereas the model automatically performs</w:t>
      </w:r>
      <w:r w:rsidR="006B0EC0" w:rsidRPr="00C3645A">
        <w:rPr>
          <w:color w:val="auto"/>
        </w:rPr>
        <w:t xml:space="preserve"> regular</w:t>
      </w:r>
      <w:r w:rsidR="00AF6F8C" w:rsidRPr="00C3645A">
        <w:rPr>
          <w:color w:val="auto"/>
        </w:rPr>
        <w:t xml:space="preserve"> cuts</w:t>
      </w:r>
      <w:r w:rsidR="00607C1F" w:rsidRPr="00C3645A">
        <w:rPr>
          <w:color w:val="auto"/>
        </w:rPr>
        <w:t xml:space="preserve"> at the exact same height</w:t>
      </w:r>
      <w:r w:rsidR="00D048F7" w:rsidRPr="00C3645A">
        <w:rPr>
          <w:color w:val="auto"/>
        </w:rPr>
        <w:t xml:space="preserve"> </w:t>
      </w:r>
      <w:r w:rsidR="006E54F5" w:rsidRPr="00C3645A">
        <w:rPr>
          <w:color w:val="auto"/>
        </w:rPr>
        <w:t>within each treatment</w:t>
      </w:r>
      <w:r w:rsidR="00AF6F8C" w:rsidRPr="00C3645A">
        <w:rPr>
          <w:color w:val="auto"/>
        </w:rPr>
        <w:t>.</w:t>
      </w:r>
      <w:r w:rsidR="000A70FD" w:rsidRPr="00C3645A">
        <w:rPr>
          <w:color w:val="auto"/>
        </w:rPr>
        <w:t xml:space="preserve"> </w:t>
      </w:r>
    </w:p>
    <w:p w14:paraId="6C5ABF47" w14:textId="18AC650B" w:rsidR="008E22E9" w:rsidRPr="00C3645A" w:rsidRDefault="008E22E9" w:rsidP="008E22E9">
      <w:pPr>
        <w:pStyle w:val="PubliManuscript"/>
        <w:rPr>
          <w:color w:val="auto"/>
        </w:rPr>
      </w:pPr>
      <w:r w:rsidRPr="00C3645A">
        <w:rPr>
          <w:color w:val="auto"/>
        </w:rPr>
        <w:t xml:space="preserve">Concerning soybean yields, the absence of significative difference between treatments is in line with the field experiment where yields were found to be similar between grazed and ungrazed paddocks. Yet, both the field experiment and our simulations suggest that soybean cultivated in ungrazed systems would lead to very slightly bigger yields than within the ICLS treatments (except for G40 in the field experiment), in agreement with </w:t>
      </w:r>
      <w:proofErr w:type="spellStart"/>
      <w:r w:rsidRPr="00C3645A">
        <w:rPr>
          <w:color w:val="auto"/>
        </w:rPr>
        <w:t>Franzluebbers</w:t>
      </w:r>
      <w:proofErr w:type="spellEnd"/>
      <w:r w:rsidRPr="00C3645A">
        <w:rPr>
          <w:color w:val="auto"/>
        </w:rPr>
        <w:t xml:space="preserve"> et al. (2014) and with Brazilian farmers perceptions that grazing is detrimental to soybean production (</w:t>
      </w:r>
      <w:proofErr w:type="spellStart"/>
      <w:r w:rsidRPr="00C3645A">
        <w:rPr>
          <w:color w:val="auto"/>
        </w:rPr>
        <w:t>Kunrath</w:t>
      </w:r>
      <w:proofErr w:type="spellEnd"/>
      <w:r w:rsidRPr="00C3645A">
        <w:rPr>
          <w:color w:val="auto"/>
        </w:rPr>
        <w:t xml:space="preserve"> et al., 2020). This could be associated with lower soil water content and slower </w:t>
      </w:r>
      <w:r w:rsidR="00D445C9" w:rsidRPr="00C3645A">
        <w:rPr>
          <w:color w:val="auto"/>
        </w:rPr>
        <w:t xml:space="preserve">soybean </w:t>
      </w:r>
      <w:r w:rsidRPr="00C3645A">
        <w:rPr>
          <w:color w:val="auto"/>
        </w:rPr>
        <w:t xml:space="preserve">maturation that are observed with winter grazing (Peterson et al., 2019; </w:t>
      </w:r>
      <w:proofErr w:type="spellStart"/>
      <w:r w:rsidRPr="00C3645A">
        <w:rPr>
          <w:color w:val="auto"/>
        </w:rPr>
        <w:t>Kunrath</w:t>
      </w:r>
      <w:proofErr w:type="spellEnd"/>
      <w:r w:rsidRPr="00C3645A">
        <w:rPr>
          <w:color w:val="auto"/>
        </w:rPr>
        <w:t xml:space="preserve"> et al., 2020). We believe that further calibration of soybean model parameters with granular field datasets would be helpful to better understand the impact of soil factors on soybean development.</w:t>
      </w:r>
    </w:p>
    <w:p w14:paraId="7E0F7B87" w14:textId="3A5FA14C" w:rsidR="00F014E0" w:rsidRPr="00C3645A" w:rsidRDefault="008E22E9" w:rsidP="00031CBB">
      <w:pPr>
        <w:pStyle w:val="PubliManuscript"/>
        <w:rPr>
          <w:color w:val="auto"/>
        </w:rPr>
      </w:pPr>
      <w:r w:rsidRPr="00C3645A">
        <w:rPr>
          <w:color w:val="auto"/>
        </w:rPr>
        <w:t>From the nutritive perspective, our results showed that the calories provided by meat, considering the dressing percentage and the ratio of retail product, are almost negligible compared to soybean calories, but yet increase the nutritive value of ICLS compared to the ungrazed treatment</w:t>
      </w:r>
      <w:r w:rsidR="00034F7B" w:rsidRPr="00C3645A">
        <w:rPr>
          <w:color w:val="auto"/>
        </w:rPr>
        <w:t xml:space="preserve"> (de Albuquerque et al., 20</w:t>
      </w:r>
      <w:r w:rsidR="00DA0C02" w:rsidRPr="00C3645A">
        <w:rPr>
          <w:color w:val="auto"/>
        </w:rPr>
        <w:t>21</w:t>
      </w:r>
      <w:r w:rsidR="00034F7B" w:rsidRPr="00C3645A">
        <w:rPr>
          <w:color w:val="auto"/>
        </w:rPr>
        <w:t>)</w:t>
      </w:r>
      <w:r w:rsidRPr="00C3645A">
        <w:rPr>
          <w:color w:val="auto"/>
        </w:rPr>
        <w:t>.</w:t>
      </w:r>
      <w:r w:rsidR="00DD050E" w:rsidRPr="00C3645A">
        <w:rPr>
          <w:color w:val="auto"/>
        </w:rPr>
        <w:t xml:space="preserve"> </w:t>
      </w:r>
      <w:r w:rsidR="00CD3750" w:rsidRPr="00C3645A">
        <w:rPr>
          <w:color w:val="auto"/>
        </w:rPr>
        <w:t>Moreover, u</w:t>
      </w:r>
      <w:r w:rsidR="00CB36AE" w:rsidRPr="00C3645A">
        <w:rPr>
          <w:color w:val="auto"/>
        </w:rPr>
        <w:t xml:space="preserve">sing proteins as a metric could increase meat value relatively to soybean, considering that animal-derived proteins are of higher </w:t>
      </w:r>
      <w:r w:rsidR="00AE622D" w:rsidRPr="00C3645A">
        <w:rPr>
          <w:color w:val="auto"/>
        </w:rPr>
        <w:t>nutritional value</w:t>
      </w:r>
      <w:r w:rsidR="00CB36AE" w:rsidRPr="00C3645A">
        <w:rPr>
          <w:color w:val="auto"/>
        </w:rPr>
        <w:t xml:space="preserve"> than plant-derived proteins (</w:t>
      </w:r>
      <w:proofErr w:type="spellStart"/>
      <w:r w:rsidR="00CB36AE" w:rsidRPr="00C3645A">
        <w:rPr>
          <w:color w:val="auto"/>
        </w:rPr>
        <w:t>Peyraud</w:t>
      </w:r>
      <w:proofErr w:type="spellEnd"/>
      <w:r w:rsidR="00CB36AE" w:rsidRPr="00C3645A">
        <w:rPr>
          <w:color w:val="auto"/>
        </w:rPr>
        <w:t xml:space="preserve"> and Peeters, 2016; de Albuquerque et al., 2021).</w:t>
      </w:r>
      <w:r w:rsidR="00031CBB" w:rsidRPr="00C3645A">
        <w:rPr>
          <w:color w:val="auto"/>
        </w:rPr>
        <w:t xml:space="preserve"> </w:t>
      </w:r>
      <w:r w:rsidRPr="00C3645A">
        <w:rPr>
          <w:color w:val="auto"/>
        </w:rPr>
        <w:t>The economic comparison suggests furthermore that the integration of livestock into cropping systems allows nowadays to boost the monetary profit in a considerable way</w:t>
      </w:r>
      <w:r w:rsidR="001C6DF9" w:rsidRPr="00C3645A">
        <w:rPr>
          <w:color w:val="auto"/>
        </w:rPr>
        <w:t xml:space="preserve"> (</w:t>
      </w:r>
      <w:r w:rsidR="008D43A5" w:rsidRPr="00C3645A">
        <w:rPr>
          <w:color w:val="auto"/>
        </w:rPr>
        <w:t xml:space="preserve">Russelle et al., 2007; </w:t>
      </w:r>
      <w:r w:rsidR="001C6DF9" w:rsidRPr="00C3645A">
        <w:rPr>
          <w:color w:val="auto"/>
        </w:rPr>
        <w:t>Sekaran et al., 2021</w:t>
      </w:r>
      <w:r w:rsidR="008D43A5" w:rsidRPr="00C3645A">
        <w:rPr>
          <w:color w:val="auto"/>
        </w:rPr>
        <w:t>)</w:t>
      </w:r>
      <w:r w:rsidRPr="00C3645A">
        <w:rPr>
          <w:color w:val="auto"/>
        </w:rPr>
        <w:t xml:space="preserve">. The conversion of live weight gain into nutritive value and gross profit was however assumed to be constant between the treatments, while Aguinaga et al. (2006) suggested that meat quality was actually higher in moderate grazing intensities as compared to intensive and light ones. Indeed, both the body condition score and </w:t>
      </w:r>
      <w:r w:rsidRPr="00C3645A">
        <w:rPr>
          <w:color w:val="auto"/>
        </w:rPr>
        <w:lastRenderedPageBreak/>
        <w:t>fat thickness showed a quadratic response with grazing intensities, pointing out the importance of considering not only total live weight gain per hectare but also animals’ individual performances (Aguinaga et al., 2006). Considering this in our simulations could also lead to a quadratic response of total live weight gain per hectare (expressed in nutritive value and gross profit) to grazing intensity, as suggested by de Albuquerque et al. (2021</w:t>
      </w:r>
      <w:r w:rsidR="00C4341F" w:rsidRPr="00C3645A">
        <w:rPr>
          <w:color w:val="auto"/>
        </w:rPr>
        <w:t>).</w:t>
      </w:r>
    </w:p>
    <w:p w14:paraId="7335CD32" w14:textId="71AF4810" w:rsidR="00C4341F" w:rsidRPr="00C3645A" w:rsidRDefault="001C2854" w:rsidP="005D2668">
      <w:pPr>
        <w:pStyle w:val="Publi2"/>
        <w:jc w:val="both"/>
        <w:rPr>
          <w:color w:val="auto"/>
        </w:rPr>
      </w:pPr>
      <w:r w:rsidRPr="00C3645A">
        <w:rPr>
          <w:color w:val="auto"/>
        </w:rPr>
        <w:t xml:space="preserve"> </w:t>
      </w:r>
      <w:r w:rsidR="009700E4" w:rsidRPr="00C3645A">
        <w:rPr>
          <w:color w:val="auto"/>
        </w:rPr>
        <w:t>Pasture</w:t>
      </w:r>
      <w:r w:rsidR="002F23DD" w:rsidRPr="00C3645A">
        <w:rPr>
          <w:color w:val="auto"/>
        </w:rPr>
        <w:t xml:space="preserve"> grazing help</w:t>
      </w:r>
      <w:r w:rsidR="0053446F" w:rsidRPr="00C3645A">
        <w:rPr>
          <w:color w:val="auto"/>
        </w:rPr>
        <w:t>s</w:t>
      </w:r>
      <w:r w:rsidR="002F23DD" w:rsidRPr="00C3645A">
        <w:rPr>
          <w:color w:val="auto"/>
        </w:rPr>
        <w:t xml:space="preserve"> to sequester carbon </w:t>
      </w:r>
    </w:p>
    <w:p w14:paraId="04FFFF74" w14:textId="23A196AA" w:rsidR="00FF1822" w:rsidRPr="00C3645A" w:rsidRDefault="004F3276" w:rsidP="001C2854">
      <w:pPr>
        <w:pStyle w:val="PubliManuscript"/>
        <w:rPr>
          <w:color w:val="auto"/>
        </w:rPr>
      </w:pPr>
      <w:r w:rsidRPr="00C3645A">
        <w:rPr>
          <w:color w:val="auto"/>
        </w:rPr>
        <w:t xml:space="preserve">The global increase in soil organic carbon for all treatments </w:t>
      </w:r>
      <w:r w:rsidR="00EC3691" w:rsidRPr="00C3645A">
        <w:rPr>
          <w:color w:val="auto"/>
        </w:rPr>
        <w:t xml:space="preserve">can be related to the absence of tillage and the incorporation of </w:t>
      </w:r>
      <w:r w:rsidR="006739A5" w:rsidRPr="00C3645A">
        <w:rPr>
          <w:color w:val="auto"/>
        </w:rPr>
        <w:t>pasture</w:t>
      </w:r>
      <w:r w:rsidR="00EC3691" w:rsidRPr="00C3645A">
        <w:rPr>
          <w:color w:val="auto"/>
        </w:rPr>
        <w:t xml:space="preserve"> into the rotation (Maia</w:t>
      </w:r>
      <w:r w:rsidR="00CC1BD1" w:rsidRPr="00C3645A">
        <w:rPr>
          <w:color w:val="auto"/>
        </w:rPr>
        <w:t xml:space="preserve"> et al., </w:t>
      </w:r>
      <w:r w:rsidR="00EC3691" w:rsidRPr="00C3645A">
        <w:rPr>
          <w:color w:val="auto"/>
        </w:rPr>
        <w:t>2010</w:t>
      </w:r>
      <w:r w:rsidR="00CC1BD1" w:rsidRPr="00C3645A">
        <w:rPr>
          <w:color w:val="auto"/>
        </w:rPr>
        <w:t xml:space="preserve">; </w:t>
      </w:r>
      <w:proofErr w:type="spellStart"/>
      <w:r w:rsidR="001D4A14" w:rsidRPr="00C3645A">
        <w:rPr>
          <w:color w:val="auto"/>
        </w:rPr>
        <w:t>Soussana</w:t>
      </w:r>
      <w:proofErr w:type="spellEnd"/>
      <w:r w:rsidR="001D4A14" w:rsidRPr="00C3645A">
        <w:rPr>
          <w:color w:val="auto"/>
        </w:rPr>
        <w:t xml:space="preserve"> et al., </w:t>
      </w:r>
      <w:r w:rsidR="002D1428" w:rsidRPr="00C3645A">
        <w:rPr>
          <w:color w:val="auto"/>
        </w:rPr>
        <w:t>2004</w:t>
      </w:r>
      <w:r w:rsidR="00EC3691" w:rsidRPr="00C3645A">
        <w:rPr>
          <w:color w:val="auto"/>
        </w:rPr>
        <w:t xml:space="preserve">). </w:t>
      </w:r>
      <w:r w:rsidR="006A75BD" w:rsidRPr="00C3645A">
        <w:rPr>
          <w:color w:val="auto"/>
        </w:rPr>
        <w:t xml:space="preserve">The oscillations in SOC that were predicted by the model, </w:t>
      </w:r>
      <w:r w:rsidR="009A49B5" w:rsidRPr="00C3645A">
        <w:rPr>
          <w:color w:val="auto"/>
        </w:rPr>
        <w:t>the SOC</w:t>
      </w:r>
      <w:r w:rsidR="00592898" w:rsidRPr="00C3645A">
        <w:rPr>
          <w:color w:val="auto"/>
        </w:rPr>
        <w:t xml:space="preserve"> content</w:t>
      </w:r>
      <w:r w:rsidR="009A49B5" w:rsidRPr="00C3645A">
        <w:rPr>
          <w:color w:val="auto"/>
        </w:rPr>
        <w:t xml:space="preserve"> increasing during the pasture phase and declining during the cropping phase, were also found in other pasture-crop rotations (</w:t>
      </w:r>
      <w:proofErr w:type="spellStart"/>
      <w:r w:rsidR="009A49B5" w:rsidRPr="00C3645A">
        <w:rPr>
          <w:color w:val="auto"/>
        </w:rPr>
        <w:t>Franzluebbers</w:t>
      </w:r>
      <w:proofErr w:type="spellEnd"/>
      <w:r w:rsidR="009A49B5" w:rsidRPr="00C3645A">
        <w:rPr>
          <w:color w:val="auto"/>
        </w:rPr>
        <w:t xml:space="preserve"> et al., 2014). </w:t>
      </w:r>
    </w:p>
    <w:p w14:paraId="63EA67A9" w14:textId="31FCB922" w:rsidR="00BE1681" w:rsidRPr="00C3645A" w:rsidRDefault="00BE1681" w:rsidP="001C2854">
      <w:pPr>
        <w:pStyle w:val="PubliManuscript"/>
        <w:rPr>
          <w:color w:val="auto"/>
        </w:rPr>
      </w:pPr>
      <w:r w:rsidRPr="00C3645A">
        <w:rPr>
          <w:color w:val="auto"/>
        </w:rPr>
        <w:t xml:space="preserve">The positive effect of </w:t>
      </w:r>
      <w:r w:rsidR="00B71FF1" w:rsidRPr="00C3645A">
        <w:rPr>
          <w:color w:val="auto"/>
        </w:rPr>
        <w:t>pasture</w:t>
      </w:r>
      <w:r w:rsidRPr="00C3645A">
        <w:rPr>
          <w:color w:val="auto"/>
        </w:rPr>
        <w:t xml:space="preserve"> grazing on SOC is explained by the greater biomass production that it allowed, </w:t>
      </w:r>
      <w:r w:rsidR="00836381" w:rsidRPr="00C3645A">
        <w:rPr>
          <w:color w:val="auto"/>
        </w:rPr>
        <w:t xml:space="preserve">notably through mineralization, </w:t>
      </w:r>
      <w:r w:rsidRPr="00C3645A">
        <w:rPr>
          <w:color w:val="auto"/>
        </w:rPr>
        <w:t xml:space="preserve">and by the return to the soil of this biomass </w:t>
      </w:r>
      <w:proofErr w:type="spellStart"/>
      <w:r w:rsidR="007E377F" w:rsidRPr="00C3645A">
        <w:rPr>
          <w:i/>
          <w:iCs/>
          <w:color w:val="auto"/>
        </w:rPr>
        <w:t>i</w:t>
      </w:r>
      <w:proofErr w:type="spellEnd"/>
      <w:r w:rsidR="007E377F" w:rsidRPr="00C3645A">
        <w:rPr>
          <w:color w:val="auto"/>
        </w:rPr>
        <w:t xml:space="preserve">) under the form of manure and urine during grazing season or </w:t>
      </w:r>
      <w:r w:rsidR="007E377F" w:rsidRPr="00C3645A">
        <w:rPr>
          <w:i/>
          <w:iCs/>
          <w:color w:val="auto"/>
        </w:rPr>
        <w:t>ii</w:t>
      </w:r>
      <w:r w:rsidR="007E377F" w:rsidRPr="00C3645A">
        <w:rPr>
          <w:color w:val="auto"/>
        </w:rPr>
        <w:t>) as residue at the end of the season</w:t>
      </w:r>
      <w:r w:rsidR="003E4AC9" w:rsidRPr="00C3645A">
        <w:rPr>
          <w:color w:val="auto"/>
        </w:rPr>
        <w:t xml:space="preserve">. </w:t>
      </w:r>
      <w:r w:rsidR="00CA207B" w:rsidRPr="00C3645A">
        <w:rPr>
          <w:color w:val="auto"/>
        </w:rPr>
        <w:t xml:space="preserve">This was already confirmed by numerous studies (IPCC, 2019; Tracy and Zhang, 2008) that explained the larger SOC positive evolution with grazing by greater aggregate stability and labile organic matter pools in near-surface soil depths (Liebig et al., 2011), stimulation of processes such as C cycling from aboveground plant litter to soil, above-ground production, root exudation and respiration rates, increased tillering, etc. (Liebig et al., 2005). </w:t>
      </w:r>
      <w:proofErr w:type="spellStart"/>
      <w:r w:rsidR="00CA207B" w:rsidRPr="00C3645A">
        <w:rPr>
          <w:color w:val="auto"/>
        </w:rPr>
        <w:t>Franzluebbers</w:t>
      </w:r>
      <w:proofErr w:type="spellEnd"/>
      <w:r w:rsidR="00CA207B" w:rsidRPr="00C3645A">
        <w:rPr>
          <w:color w:val="auto"/>
        </w:rPr>
        <w:t xml:space="preserve"> and Stuedemann (2008) also noticed, when comparing wheat-cover crop systems grazed by cattle or left unharvested, an increase in soil microbial biomass C with grazing.</w:t>
      </w:r>
    </w:p>
    <w:p w14:paraId="413A3DC0" w14:textId="64A830BE" w:rsidR="00033CF9" w:rsidRPr="00C3645A" w:rsidRDefault="00FF1822" w:rsidP="001C2854">
      <w:pPr>
        <w:pStyle w:val="PubliManuscript"/>
        <w:rPr>
          <w:color w:val="auto"/>
        </w:rPr>
      </w:pPr>
      <w:r w:rsidRPr="00C3645A">
        <w:rPr>
          <w:color w:val="auto"/>
        </w:rPr>
        <w:t>The greater C sequestration under moderate</w:t>
      </w:r>
      <w:r w:rsidR="003F70D7" w:rsidRPr="00C3645A">
        <w:rPr>
          <w:color w:val="auto"/>
        </w:rPr>
        <w:t xml:space="preserve"> and light</w:t>
      </w:r>
      <w:r w:rsidRPr="00C3645A">
        <w:rPr>
          <w:color w:val="auto"/>
        </w:rPr>
        <w:t xml:space="preserve"> grazing (G30 and G40)</w:t>
      </w:r>
      <w:r w:rsidR="000B13A8" w:rsidRPr="00C3645A">
        <w:rPr>
          <w:color w:val="auto"/>
        </w:rPr>
        <w:t xml:space="preserve"> that we reported</w:t>
      </w:r>
      <w:r w:rsidR="00104220" w:rsidRPr="00C3645A">
        <w:rPr>
          <w:color w:val="auto"/>
        </w:rPr>
        <w:t xml:space="preserve"> </w:t>
      </w:r>
      <w:r w:rsidR="009535B6" w:rsidRPr="00C3645A">
        <w:rPr>
          <w:color w:val="auto"/>
        </w:rPr>
        <w:t>is in line</w:t>
      </w:r>
      <w:r w:rsidR="00104220" w:rsidRPr="00C3645A">
        <w:rPr>
          <w:color w:val="auto"/>
        </w:rPr>
        <w:t xml:space="preserve"> with the conclusions of </w:t>
      </w:r>
      <w:proofErr w:type="spellStart"/>
      <w:r w:rsidR="00104220" w:rsidRPr="00C3645A">
        <w:rPr>
          <w:color w:val="auto"/>
        </w:rPr>
        <w:t>Cecagno</w:t>
      </w:r>
      <w:proofErr w:type="spellEnd"/>
      <w:r w:rsidR="00104220" w:rsidRPr="00C3645A">
        <w:rPr>
          <w:color w:val="auto"/>
        </w:rPr>
        <w:t xml:space="preserve"> et al. (2018) within the same field experiment</w:t>
      </w:r>
      <w:r w:rsidR="003E4AC9" w:rsidRPr="00C3645A">
        <w:rPr>
          <w:color w:val="auto"/>
        </w:rPr>
        <w:t>. B</w:t>
      </w:r>
      <w:r w:rsidR="00104220" w:rsidRPr="00C3645A">
        <w:rPr>
          <w:color w:val="auto"/>
        </w:rPr>
        <w:t>ased on a simulation of SOC from annual C inputs</w:t>
      </w:r>
      <w:r w:rsidR="003B1207" w:rsidRPr="00C3645A">
        <w:rPr>
          <w:color w:val="auto"/>
        </w:rPr>
        <w:t xml:space="preserve">, </w:t>
      </w:r>
      <w:r w:rsidR="006E2EAA" w:rsidRPr="00C3645A">
        <w:rPr>
          <w:color w:val="auto"/>
        </w:rPr>
        <w:t xml:space="preserve">they </w:t>
      </w:r>
      <w:r w:rsidR="003B1207" w:rsidRPr="00C3645A">
        <w:rPr>
          <w:color w:val="auto"/>
        </w:rPr>
        <w:t>revealed a higher potential of C sequestration with G30 and G40 grazing intensities.</w:t>
      </w:r>
      <w:r w:rsidR="00665EEB" w:rsidRPr="00C3645A">
        <w:rPr>
          <w:color w:val="auto"/>
        </w:rPr>
        <w:t xml:space="preserve"> This also agrees with </w:t>
      </w:r>
      <w:proofErr w:type="spellStart"/>
      <w:r w:rsidR="00665EEB" w:rsidRPr="00C3645A">
        <w:rPr>
          <w:color w:val="auto"/>
        </w:rPr>
        <w:t>Soussana</w:t>
      </w:r>
      <w:proofErr w:type="spellEnd"/>
      <w:r w:rsidR="00665EEB" w:rsidRPr="00C3645A">
        <w:rPr>
          <w:color w:val="auto"/>
        </w:rPr>
        <w:t xml:space="preserve"> et al. (2014), </w:t>
      </w:r>
      <w:r w:rsidR="00402DC4" w:rsidRPr="00C3645A">
        <w:rPr>
          <w:color w:val="auto"/>
        </w:rPr>
        <w:t>who</w:t>
      </w:r>
      <w:r w:rsidR="00665EEB" w:rsidRPr="00C3645A">
        <w:rPr>
          <w:color w:val="auto"/>
        </w:rPr>
        <w:t xml:space="preserve"> explain</w:t>
      </w:r>
      <w:r w:rsidR="00DB4DFE" w:rsidRPr="00C3645A">
        <w:rPr>
          <w:color w:val="auto"/>
        </w:rPr>
        <w:t>ed</w:t>
      </w:r>
      <w:r w:rsidR="00665EEB" w:rsidRPr="00C3645A">
        <w:rPr>
          <w:color w:val="auto"/>
        </w:rPr>
        <w:t xml:space="preserve"> that </w:t>
      </w:r>
      <w:r w:rsidR="003E24CC" w:rsidRPr="00C3645A">
        <w:rPr>
          <w:color w:val="auto"/>
        </w:rPr>
        <w:t xml:space="preserve">overgrazing might impair C sequestration by negative impacts linked to excessive active N forms, with </w:t>
      </w:r>
      <w:r w:rsidR="00290A87" w:rsidRPr="00C3645A">
        <w:rPr>
          <w:color w:val="auto"/>
        </w:rPr>
        <w:t>intensive grassland management</w:t>
      </w:r>
      <w:r w:rsidR="00665EEB" w:rsidRPr="00C3645A">
        <w:rPr>
          <w:color w:val="auto"/>
        </w:rPr>
        <w:t xml:space="preserve"> lower</w:t>
      </w:r>
      <w:r w:rsidR="00290A87" w:rsidRPr="00C3645A">
        <w:rPr>
          <w:color w:val="auto"/>
        </w:rPr>
        <w:t>ing</w:t>
      </w:r>
      <w:r w:rsidR="00665EEB" w:rsidRPr="00C3645A">
        <w:rPr>
          <w:color w:val="auto"/>
        </w:rPr>
        <w:t xml:space="preserve"> the C:N ratio of plant litter</w:t>
      </w:r>
      <w:r w:rsidR="00F32FEE" w:rsidRPr="00C3645A">
        <w:rPr>
          <w:color w:val="auto"/>
        </w:rPr>
        <w:t xml:space="preserve"> and thus</w:t>
      </w:r>
      <w:r w:rsidR="00665EEB" w:rsidRPr="00C3645A">
        <w:rPr>
          <w:color w:val="auto"/>
        </w:rPr>
        <w:t xml:space="preserve"> leading to faster </w:t>
      </w:r>
      <w:r w:rsidR="00665EEB" w:rsidRPr="00C3645A">
        <w:rPr>
          <w:color w:val="auto"/>
        </w:rPr>
        <w:lastRenderedPageBreak/>
        <w:t>degradation and shorter residence time.</w:t>
      </w:r>
    </w:p>
    <w:p w14:paraId="41BF1973" w14:textId="1FC4FABD" w:rsidR="00F9499D" w:rsidRPr="00C3645A" w:rsidRDefault="00CA207B" w:rsidP="005D2668">
      <w:pPr>
        <w:pStyle w:val="Publi2"/>
        <w:jc w:val="both"/>
        <w:rPr>
          <w:color w:val="auto"/>
        </w:rPr>
      </w:pPr>
      <w:r w:rsidRPr="00C3645A">
        <w:rPr>
          <w:color w:val="auto"/>
        </w:rPr>
        <w:t xml:space="preserve"> </w:t>
      </w:r>
      <w:r w:rsidR="00CA10B9" w:rsidRPr="00C3645A">
        <w:rPr>
          <w:color w:val="auto"/>
        </w:rPr>
        <w:t>Moderate grazing is best for adapt</w:t>
      </w:r>
      <w:r w:rsidR="009C5C29" w:rsidRPr="00C3645A">
        <w:rPr>
          <w:color w:val="auto"/>
        </w:rPr>
        <w:t>ing</w:t>
      </w:r>
      <w:r w:rsidR="00CA10B9" w:rsidRPr="00C3645A">
        <w:rPr>
          <w:color w:val="auto"/>
        </w:rPr>
        <w:t xml:space="preserve"> to and mitigat</w:t>
      </w:r>
      <w:r w:rsidR="009C5C29" w:rsidRPr="00C3645A">
        <w:rPr>
          <w:color w:val="auto"/>
        </w:rPr>
        <w:t>ing</w:t>
      </w:r>
      <w:r w:rsidR="00CA10B9" w:rsidRPr="00C3645A">
        <w:rPr>
          <w:color w:val="auto"/>
        </w:rPr>
        <w:t xml:space="preserve"> climate change</w:t>
      </w:r>
    </w:p>
    <w:p w14:paraId="1325ED52" w14:textId="66058749" w:rsidR="00EF7E88" w:rsidRPr="00C3645A" w:rsidRDefault="00805A76" w:rsidP="0052032A">
      <w:pPr>
        <w:pStyle w:val="PubliManuscript"/>
        <w:ind w:firstLine="708"/>
        <w:rPr>
          <w:color w:val="auto"/>
          <w:highlight w:val="yellow"/>
        </w:rPr>
      </w:pPr>
      <w:r w:rsidRPr="00C3645A">
        <w:rPr>
          <w:color w:val="auto"/>
        </w:rPr>
        <w:t>The overall increase of system productivity under the climate change scenario is mainly associated with the CO</w:t>
      </w:r>
      <w:r w:rsidRPr="00C3645A">
        <w:rPr>
          <w:color w:val="auto"/>
          <w:vertAlign w:val="subscript"/>
        </w:rPr>
        <w:t xml:space="preserve">2 </w:t>
      </w:r>
      <w:r w:rsidRPr="00C3645A">
        <w:rPr>
          <w:color w:val="auto"/>
        </w:rPr>
        <w:t xml:space="preserve">fertilization effect, </w:t>
      </w:r>
      <w:r w:rsidR="00705F69" w:rsidRPr="00C3645A">
        <w:rPr>
          <w:color w:val="auto"/>
        </w:rPr>
        <w:t>which increases the radiation use efficiency</w:t>
      </w:r>
      <w:r w:rsidR="007A104A" w:rsidRPr="00C3645A">
        <w:rPr>
          <w:color w:val="auto"/>
        </w:rPr>
        <w:t xml:space="preserve"> because of the greater atmospheric CO</w:t>
      </w:r>
      <w:r w:rsidR="007A104A" w:rsidRPr="00C3645A">
        <w:rPr>
          <w:color w:val="auto"/>
          <w:vertAlign w:val="subscript"/>
        </w:rPr>
        <w:t xml:space="preserve">2 </w:t>
      </w:r>
      <w:r w:rsidR="007A104A" w:rsidRPr="00C3645A">
        <w:rPr>
          <w:color w:val="auto"/>
        </w:rPr>
        <w:t>content</w:t>
      </w:r>
      <w:r w:rsidR="0026559D" w:rsidRPr="00C3645A">
        <w:rPr>
          <w:color w:val="auto"/>
        </w:rPr>
        <w:t xml:space="preserve"> and modifies water and nutrient cycles</w:t>
      </w:r>
      <w:r w:rsidR="006454C0" w:rsidRPr="00C3645A">
        <w:rPr>
          <w:color w:val="auto"/>
        </w:rPr>
        <w:t xml:space="preserve"> (Kimball et al., 2002)</w:t>
      </w:r>
      <w:r w:rsidR="007A104A" w:rsidRPr="00C3645A">
        <w:rPr>
          <w:color w:val="auto"/>
        </w:rPr>
        <w:t>.</w:t>
      </w:r>
      <w:r w:rsidR="008C4006" w:rsidRPr="00C3645A">
        <w:rPr>
          <w:color w:val="auto"/>
        </w:rPr>
        <w:t xml:space="preserve"> Yet we did not take into account potential </w:t>
      </w:r>
      <w:r w:rsidR="00406123" w:rsidRPr="00C3645A">
        <w:rPr>
          <w:color w:val="auto"/>
        </w:rPr>
        <w:t>changes in prices or nutritive values that could happen in the future, for instance because of a loss in grain or meat quality</w:t>
      </w:r>
      <w:r w:rsidR="00D518E2" w:rsidRPr="00C3645A">
        <w:rPr>
          <w:color w:val="auto"/>
        </w:rPr>
        <w:t xml:space="preserve">, nor potential </w:t>
      </w:r>
      <w:r w:rsidR="00450F27" w:rsidRPr="00C3645A">
        <w:rPr>
          <w:color w:val="auto"/>
        </w:rPr>
        <w:t>pressures</w:t>
      </w:r>
      <w:r w:rsidR="006C3CE7" w:rsidRPr="00C3645A">
        <w:rPr>
          <w:color w:val="auto"/>
        </w:rPr>
        <w:t xml:space="preserve"> such as pests</w:t>
      </w:r>
      <w:r w:rsidR="009B3CD8" w:rsidRPr="00C3645A">
        <w:rPr>
          <w:color w:val="auto"/>
        </w:rPr>
        <w:t xml:space="preserve"> or</w:t>
      </w:r>
      <w:r w:rsidR="006C3CE7" w:rsidRPr="00C3645A">
        <w:rPr>
          <w:color w:val="auto"/>
        </w:rPr>
        <w:t xml:space="preserve"> diseases that are expected to increase in the future (</w:t>
      </w:r>
      <w:r w:rsidR="002B2B6F" w:rsidRPr="00C3645A">
        <w:rPr>
          <w:color w:val="auto"/>
        </w:rPr>
        <w:t>IPCC, 2022</w:t>
      </w:r>
      <w:r w:rsidR="006C3CE7" w:rsidRPr="00C3645A">
        <w:rPr>
          <w:color w:val="auto"/>
        </w:rPr>
        <w:t xml:space="preserve">). </w:t>
      </w:r>
      <w:r w:rsidR="00E84CCE" w:rsidRPr="00C3645A">
        <w:rPr>
          <w:color w:val="auto"/>
        </w:rPr>
        <w:t xml:space="preserve">Potential </w:t>
      </w:r>
      <w:r w:rsidR="00B72A77" w:rsidRPr="00C3645A">
        <w:rPr>
          <w:color w:val="auto"/>
        </w:rPr>
        <w:t xml:space="preserve">plant </w:t>
      </w:r>
      <w:r w:rsidR="00E84CCE" w:rsidRPr="00C3645A">
        <w:rPr>
          <w:color w:val="auto"/>
        </w:rPr>
        <w:t xml:space="preserve">damage </w:t>
      </w:r>
      <w:r w:rsidR="00B72A77" w:rsidRPr="00C3645A">
        <w:rPr>
          <w:color w:val="auto"/>
        </w:rPr>
        <w:t xml:space="preserve">due to </w:t>
      </w:r>
      <w:r w:rsidR="00997776" w:rsidRPr="00C3645A">
        <w:rPr>
          <w:color w:val="auto"/>
        </w:rPr>
        <w:t xml:space="preserve">violent </w:t>
      </w:r>
      <w:r w:rsidR="00B72A77" w:rsidRPr="00C3645A">
        <w:rPr>
          <w:color w:val="auto"/>
        </w:rPr>
        <w:t>wind</w:t>
      </w:r>
      <w:r w:rsidR="00997776" w:rsidRPr="00C3645A">
        <w:rPr>
          <w:color w:val="auto"/>
        </w:rPr>
        <w:t>s</w:t>
      </w:r>
      <w:r w:rsidR="00B72A77" w:rsidRPr="00C3645A">
        <w:rPr>
          <w:color w:val="auto"/>
        </w:rPr>
        <w:t xml:space="preserve"> or floods</w:t>
      </w:r>
      <w:r w:rsidR="00F6607D" w:rsidRPr="00C3645A">
        <w:rPr>
          <w:color w:val="auto"/>
        </w:rPr>
        <w:t xml:space="preserve"> </w:t>
      </w:r>
      <w:r w:rsidR="008F4DB8" w:rsidRPr="00C3645A">
        <w:rPr>
          <w:color w:val="auto"/>
        </w:rPr>
        <w:t>-</w:t>
      </w:r>
      <w:r w:rsidR="00F6607D" w:rsidRPr="00C3645A">
        <w:rPr>
          <w:color w:val="auto"/>
        </w:rPr>
        <w:t xml:space="preserve">such as </w:t>
      </w:r>
      <w:r w:rsidR="009B49D4" w:rsidRPr="00C3645A">
        <w:rPr>
          <w:color w:val="auto"/>
        </w:rPr>
        <w:t>foliage destruction or lodging</w:t>
      </w:r>
      <w:r w:rsidR="008F4DB8" w:rsidRPr="00C3645A">
        <w:rPr>
          <w:color w:val="auto"/>
        </w:rPr>
        <w:t>-</w:t>
      </w:r>
      <w:r w:rsidR="009B49D4" w:rsidRPr="00C3645A">
        <w:rPr>
          <w:color w:val="auto"/>
        </w:rPr>
        <w:t xml:space="preserve"> is also not considered by the model</w:t>
      </w:r>
      <w:r w:rsidR="00473FEE" w:rsidRPr="00C3645A">
        <w:rPr>
          <w:color w:val="auto"/>
        </w:rPr>
        <w:t>.</w:t>
      </w:r>
      <w:r w:rsidR="00B72A77" w:rsidRPr="00C3645A">
        <w:rPr>
          <w:color w:val="auto"/>
        </w:rPr>
        <w:t xml:space="preserve"> </w:t>
      </w:r>
    </w:p>
    <w:p w14:paraId="65B991F0" w14:textId="35149B04" w:rsidR="0014521E" w:rsidRPr="00C3645A" w:rsidRDefault="0014521E" w:rsidP="0014521E">
      <w:pPr>
        <w:pStyle w:val="PubliManuscript"/>
        <w:ind w:firstLine="708"/>
        <w:rPr>
          <w:color w:val="auto"/>
        </w:rPr>
      </w:pPr>
      <w:r w:rsidRPr="00C3645A">
        <w:rPr>
          <w:color w:val="auto"/>
        </w:rPr>
        <w:t xml:space="preserve">It appeared that soybean yield was very sensitive to the </w:t>
      </w:r>
      <w:r w:rsidR="009062F9" w:rsidRPr="00C3645A">
        <w:rPr>
          <w:color w:val="auto"/>
        </w:rPr>
        <w:t xml:space="preserve">model </w:t>
      </w:r>
      <w:r w:rsidRPr="00C3645A">
        <w:rPr>
          <w:color w:val="auto"/>
        </w:rPr>
        <w:t>parameter stopping grain filling over a threshold temperature.</w:t>
      </w:r>
      <w:r w:rsidR="00EF7E88" w:rsidRPr="00C3645A">
        <w:rPr>
          <w:color w:val="auto"/>
        </w:rPr>
        <w:t xml:space="preserve"> </w:t>
      </w:r>
      <w:r w:rsidR="00096DC8" w:rsidRPr="00C3645A">
        <w:rPr>
          <w:color w:val="auto"/>
        </w:rPr>
        <w:t>This</w:t>
      </w:r>
      <w:r w:rsidRPr="00C3645A">
        <w:rPr>
          <w:color w:val="auto"/>
        </w:rPr>
        <w:t xml:space="preserve"> parameter </w:t>
      </w:r>
      <w:r w:rsidR="00096DC8" w:rsidRPr="00C3645A">
        <w:rPr>
          <w:color w:val="auto"/>
        </w:rPr>
        <w:t xml:space="preserve">was set to 32°C </w:t>
      </w:r>
      <w:r w:rsidRPr="00C3645A">
        <w:rPr>
          <w:color w:val="auto"/>
        </w:rPr>
        <w:t>according to the literature, but</w:t>
      </w:r>
      <w:r w:rsidR="001D15C3" w:rsidRPr="00C3645A">
        <w:rPr>
          <w:color w:val="auto"/>
        </w:rPr>
        <w:t xml:space="preserve"> we observed that if </w:t>
      </w:r>
      <w:r w:rsidR="008C1984" w:rsidRPr="00C3645A">
        <w:rPr>
          <w:color w:val="auto"/>
        </w:rPr>
        <w:t>we changed it to</w:t>
      </w:r>
      <w:r w:rsidR="001D15C3" w:rsidRPr="00C3645A">
        <w:rPr>
          <w:color w:val="auto"/>
        </w:rPr>
        <w:t xml:space="preserve"> 30°C, average soybean yields would </w:t>
      </w:r>
      <w:r w:rsidR="00EB552A" w:rsidRPr="00C3645A">
        <w:rPr>
          <w:color w:val="auto"/>
        </w:rPr>
        <w:t xml:space="preserve">actually </w:t>
      </w:r>
      <w:r w:rsidR="00CB6C28" w:rsidRPr="00C3645A">
        <w:rPr>
          <w:color w:val="auto"/>
        </w:rPr>
        <w:t xml:space="preserve">slightly decrease with even </w:t>
      </w:r>
      <w:r w:rsidR="0075437F" w:rsidRPr="00C3645A">
        <w:rPr>
          <w:color w:val="auto"/>
        </w:rPr>
        <w:t xml:space="preserve">sometimes </w:t>
      </w:r>
      <w:r w:rsidR="00CB6C28" w:rsidRPr="00C3645A">
        <w:rPr>
          <w:color w:val="auto"/>
        </w:rPr>
        <w:t xml:space="preserve">null yields </w:t>
      </w:r>
      <w:r w:rsidR="00604B6B" w:rsidRPr="00C3645A">
        <w:rPr>
          <w:color w:val="auto"/>
        </w:rPr>
        <w:t>(results not shown).</w:t>
      </w:r>
      <w:r w:rsidR="001E464D" w:rsidRPr="00C3645A">
        <w:rPr>
          <w:color w:val="auto"/>
        </w:rPr>
        <w:t xml:space="preserve"> F</w:t>
      </w:r>
      <w:r w:rsidRPr="00C3645A">
        <w:rPr>
          <w:color w:val="auto"/>
        </w:rPr>
        <w:t xml:space="preserve">urther </w:t>
      </w:r>
      <w:r w:rsidR="001E4EE9" w:rsidRPr="00C3645A">
        <w:rPr>
          <w:color w:val="auto"/>
        </w:rPr>
        <w:t xml:space="preserve">sensitivity </w:t>
      </w:r>
      <w:r w:rsidR="0078191C" w:rsidRPr="00C3645A">
        <w:rPr>
          <w:color w:val="auto"/>
        </w:rPr>
        <w:t>studies</w:t>
      </w:r>
      <w:r w:rsidRPr="00C3645A">
        <w:rPr>
          <w:color w:val="auto"/>
        </w:rPr>
        <w:t xml:space="preserve"> about the influence of elevated temperatures on crop development, phenology and yield would be </w:t>
      </w:r>
      <w:r w:rsidR="001952AB" w:rsidRPr="00C3645A">
        <w:rPr>
          <w:color w:val="auto"/>
        </w:rPr>
        <w:t xml:space="preserve">therefore </w:t>
      </w:r>
      <w:r w:rsidRPr="00C3645A">
        <w:rPr>
          <w:color w:val="auto"/>
        </w:rPr>
        <w:t>welcomed since the associated parameters have a strong impact on the evolution of crop productivity with climate change</w:t>
      </w:r>
      <w:r w:rsidR="001A26C9" w:rsidRPr="00C3645A">
        <w:rPr>
          <w:color w:val="auto"/>
        </w:rPr>
        <w:t>.</w:t>
      </w:r>
    </w:p>
    <w:p w14:paraId="4D4EB487" w14:textId="2BCDF09B" w:rsidR="00836373" w:rsidRPr="00C3645A" w:rsidRDefault="00846958" w:rsidP="00805A76">
      <w:pPr>
        <w:pStyle w:val="PubliManuscript"/>
        <w:ind w:firstLine="708"/>
        <w:rPr>
          <w:color w:val="auto"/>
        </w:rPr>
      </w:pPr>
      <w:r w:rsidRPr="00C3645A">
        <w:rPr>
          <w:color w:val="auto"/>
        </w:rPr>
        <w:t xml:space="preserve">The future increase in </w:t>
      </w:r>
      <w:r w:rsidR="008F4DB8" w:rsidRPr="00C3645A">
        <w:rPr>
          <w:color w:val="auto"/>
        </w:rPr>
        <w:t>pasture</w:t>
      </w:r>
      <w:r w:rsidRPr="00C3645A">
        <w:rPr>
          <w:color w:val="auto"/>
        </w:rPr>
        <w:t xml:space="preserve"> biomass also results from the good management that we consider</w:t>
      </w:r>
      <w:r w:rsidR="009F32C5" w:rsidRPr="00C3645A">
        <w:rPr>
          <w:color w:val="auto"/>
        </w:rPr>
        <w:t xml:space="preserve"> in </w:t>
      </w:r>
      <w:r w:rsidR="00921886" w:rsidRPr="00C3645A">
        <w:rPr>
          <w:color w:val="auto"/>
        </w:rPr>
        <w:t xml:space="preserve">our </w:t>
      </w:r>
      <w:r w:rsidR="009F32C5" w:rsidRPr="00C3645A">
        <w:rPr>
          <w:color w:val="auto"/>
        </w:rPr>
        <w:t>simulations</w:t>
      </w:r>
      <w:r w:rsidRPr="00C3645A">
        <w:rPr>
          <w:color w:val="auto"/>
        </w:rPr>
        <w:t xml:space="preserve">. Indeed, an increase in sward biomass induces </w:t>
      </w:r>
      <w:r w:rsidR="005C2864" w:rsidRPr="00C3645A">
        <w:rPr>
          <w:color w:val="auto"/>
        </w:rPr>
        <w:t>a growth</w:t>
      </w:r>
      <w:r w:rsidRPr="00C3645A">
        <w:rPr>
          <w:color w:val="auto"/>
        </w:rPr>
        <w:t xml:space="preserve"> in the fertilization associated with the different cuts that simulate animals</w:t>
      </w:r>
      <w:r w:rsidR="00624F67" w:rsidRPr="00C3645A">
        <w:rPr>
          <w:color w:val="auto"/>
        </w:rPr>
        <w:t>’</w:t>
      </w:r>
      <w:r w:rsidRPr="00C3645A">
        <w:rPr>
          <w:color w:val="auto"/>
        </w:rPr>
        <w:t xml:space="preserve"> dung and urine, since this is computed by the model from the biomass that is removed at each cut.</w:t>
      </w:r>
      <w:r w:rsidR="0037062A" w:rsidRPr="00C3645A">
        <w:rPr>
          <w:color w:val="auto"/>
        </w:rPr>
        <w:t xml:space="preserve"> We therefore simulate an increase in the stocking rate which is in accordance with the sward capacity.</w:t>
      </w:r>
      <w:r w:rsidR="004C6D77" w:rsidRPr="00C3645A">
        <w:rPr>
          <w:color w:val="auto"/>
        </w:rPr>
        <w:t xml:space="preserve"> But this </w:t>
      </w:r>
      <w:r w:rsidR="008E3BDD" w:rsidRPr="00C3645A">
        <w:rPr>
          <w:color w:val="auto"/>
        </w:rPr>
        <w:t>does not take into account potential stresses on animals</w:t>
      </w:r>
      <w:r w:rsidR="00C04FC7" w:rsidRPr="00C3645A">
        <w:rPr>
          <w:color w:val="auto"/>
        </w:rPr>
        <w:t xml:space="preserve"> that could induce</w:t>
      </w:r>
      <w:r w:rsidR="00E86E94" w:rsidRPr="00C3645A">
        <w:rPr>
          <w:color w:val="auto"/>
        </w:rPr>
        <w:t>,</w:t>
      </w:r>
      <w:r w:rsidR="00C04FC7" w:rsidRPr="00C3645A">
        <w:rPr>
          <w:color w:val="auto"/>
        </w:rPr>
        <w:t xml:space="preserve"> </w:t>
      </w:r>
      <w:r w:rsidR="00E32C97" w:rsidRPr="00C3645A">
        <w:rPr>
          <w:color w:val="auto"/>
        </w:rPr>
        <w:t>for example</w:t>
      </w:r>
      <w:r w:rsidR="00E86E94" w:rsidRPr="00C3645A">
        <w:rPr>
          <w:color w:val="auto"/>
        </w:rPr>
        <w:t>,</w:t>
      </w:r>
      <w:r w:rsidR="00C04FC7" w:rsidRPr="00C3645A">
        <w:rPr>
          <w:color w:val="auto"/>
        </w:rPr>
        <w:t xml:space="preserve"> </w:t>
      </w:r>
      <w:r w:rsidR="00CD3E4D" w:rsidRPr="00C3645A">
        <w:rPr>
          <w:color w:val="auto"/>
        </w:rPr>
        <w:t xml:space="preserve">a </w:t>
      </w:r>
      <w:r w:rsidR="00C04FC7" w:rsidRPr="00C3645A">
        <w:rPr>
          <w:color w:val="auto"/>
        </w:rPr>
        <w:t>reduc</w:t>
      </w:r>
      <w:r w:rsidR="00A129A1" w:rsidRPr="00C3645A">
        <w:rPr>
          <w:color w:val="auto"/>
        </w:rPr>
        <w:t>tion of</w:t>
      </w:r>
      <w:r w:rsidR="00C04FC7" w:rsidRPr="00C3645A">
        <w:rPr>
          <w:color w:val="auto"/>
        </w:rPr>
        <w:t xml:space="preserve"> fertility and meat production</w:t>
      </w:r>
      <w:r w:rsidR="008E3BDD" w:rsidRPr="00C3645A">
        <w:rPr>
          <w:color w:val="auto"/>
        </w:rPr>
        <w:t xml:space="preserve"> (</w:t>
      </w:r>
      <w:proofErr w:type="spellStart"/>
      <w:r w:rsidR="0060225B" w:rsidRPr="00C3645A">
        <w:rPr>
          <w:color w:val="auto"/>
        </w:rPr>
        <w:t>Sejian</w:t>
      </w:r>
      <w:proofErr w:type="spellEnd"/>
      <w:r w:rsidR="0060225B" w:rsidRPr="00C3645A">
        <w:rPr>
          <w:color w:val="auto"/>
        </w:rPr>
        <w:t xml:space="preserve"> et al., 2018; </w:t>
      </w:r>
      <w:proofErr w:type="spellStart"/>
      <w:r w:rsidR="00E43031" w:rsidRPr="00C3645A">
        <w:rPr>
          <w:color w:val="auto"/>
        </w:rPr>
        <w:t>Bernabucci</w:t>
      </w:r>
      <w:proofErr w:type="spellEnd"/>
      <w:r w:rsidR="00E43031" w:rsidRPr="00C3645A">
        <w:rPr>
          <w:color w:val="auto"/>
        </w:rPr>
        <w:t>, 2019</w:t>
      </w:r>
      <w:r w:rsidR="008E3BDD" w:rsidRPr="00C3645A">
        <w:rPr>
          <w:color w:val="auto"/>
        </w:rPr>
        <w:t>).</w:t>
      </w:r>
      <w:r w:rsidR="00467D72" w:rsidRPr="00C3645A">
        <w:rPr>
          <w:color w:val="auto"/>
        </w:rPr>
        <w:t xml:space="preserve"> </w:t>
      </w:r>
    </w:p>
    <w:p w14:paraId="6C8472F0" w14:textId="1281E612" w:rsidR="0014521E" w:rsidRPr="00C3645A" w:rsidRDefault="007B3684" w:rsidP="0014521E">
      <w:pPr>
        <w:pStyle w:val="PubliManuscript"/>
        <w:ind w:firstLine="708"/>
        <w:rPr>
          <w:color w:val="auto"/>
        </w:rPr>
      </w:pPr>
      <w:r w:rsidRPr="00C3645A">
        <w:rPr>
          <w:color w:val="auto"/>
        </w:rPr>
        <w:t xml:space="preserve">Few studies evaluated the impact of climate change on soybean yields and </w:t>
      </w:r>
      <w:r w:rsidR="0086000E" w:rsidRPr="00C3645A">
        <w:rPr>
          <w:color w:val="auto"/>
        </w:rPr>
        <w:t>temporary pastures</w:t>
      </w:r>
      <w:r w:rsidRPr="00C3645A">
        <w:rPr>
          <w:color w:val="auto"/>
        </w:rPr>
        <w:t xml:space="preserve"> biomasses, and even fewer within ICLS</w:t>
      </w:r>
      <w:r w:rsidR="001A26C9" w:rsidRPr="00C3645A">
        <w:rPr>
          <w:color w:val="auto"/>
        </w:rPr>
        <w:t>.</w:t>
      </w:r>
      <w:r w:rsidRPr="00C3645A">
        <w:rPr>
          <w:color w:val="auto"/>
        </w:rPr>
        <w:t xml:space="preserve"> </w:t>
      </w:r>
      <w:r w:rsidR="00DC6238" w:rsidRPr="00C3645A">
        <w:rPr>
          <w:color w:val="auto"/>
        </w:rPr>
        <w:t>Our climate change projections d</w:t>
      </w:r>
      <w:r w:rsidR="00F9499D" w:rsidRPr="00C3645A">
        <w:rPr>
          <w:color w:val="auto"/>
        </w:rPr>
        <w:t>isagree</w:t>
      </w:r>
      <w:r w:rsidR="00DC6238" w:rsidRPr="00C3645A">
        <w:rPr>
          <w:color w:val="auto"/>
        </w:rPr>
        <w:t xml:space="preserve"> </w:t>
      </w:r>
      <w:r w:rsidR="00F9499D" w:rsidRPr="00C3645A">
        <w:rPr>
          <w:color w:val="auto"/>
        </w:rPr>
        <w:t>with Peterson</w:t>
      </w:r>
      <w:r w:rsidR="00DC6238" w:rsidRPr="00C3645A">
        <w:rPr>
          <w:color w:val="auto"/>
        </w:rPr>
        <w:t xml:space="preserve"> et al. (</w:t>
      </w:r>
      <w:r w:rsidR="00F9499D" w:rsidRPr="00C3645A">
        <w:rPr>
          <w:color w:val="auto"/>
        </w:rPr>
        <w:t>2020</w:t>
      </w:r>
      <w:r w:rsidR="00DC6238" w:rsidRPr="00C3645A">
        <w:rPr>
          <w:color w:val="auto"/>
        </w:rPr>
        <w:t xml:space="preserve">) that simulated with the APSIM model one ungrazed and one </w:t>
      </w:r>
      <w:r w:rsidR="00E06EE6" w:rsidRPr="00C3645A">
        <w:rPr>
          <w:color w:val="auto"/>
        </w:rPr>
        <w:t>crop-livestock</w:t>
      </w:r>
      <w:r w:rsidR="00DC6238" w:rsidRPr="00C3645A">
        <w:rPr>
          <w:color w:val="auto"/>
        </w:rPr>
        <w:t xml:space="preserve"> systems at the same site </w:t>
      </w:r>
      <w:r w:rsidR="006E11A0" w:rsidRPr="00C3645A">
        <w:rPr>
          <w:color w:val="auto"/>
        </w:rPr>
        <w:t xml:space="preserve">than in our study </w:t>
      </w:r>
      <w:r w:rsidR="00DC6238" w:rsidRPr="00C3645A">
        <w:rPr>
          <w:color w:val="auto"/>
        </w:rPr>
        <w:t>and which predicted average declines</w:t>
      </w:r>
      <w:r w:rsidR="00295C49" w:rsidRPr="00C3645A">
        <w:rPr>
          <w:color w:val="auto"/>
        </w:rPr>
        <w:t xml:space="preserve"> of 15%</w:t>
      </w:r>
      <w:r w:rsidR="00DC6238" w:rsidRPr="00C3645A">
        <w:rPr>
          <w:color w:val="auto"/>
        </w:rPr>
        <w:t xml:space="preserve"> for soybean yield and </w:t>
      </w:r>
      <w:r w:rsidR="00295C49" w:rsidRPr="00C3645A">
        <w:rPr>
          <w:color w:val="auto"/>
        </w:rPr>
        <w:t xml:space="preserve">of 23% </w:t>
      </w:r>
      <w:r w:rsidR="00DC6238" w:rsidRPr="00C3645A">
        <w:rPr>
          <w:color w:val="auto"/>
        </w:rPr>
        <w:lastRenderedPageBreak/>
        <w:t xml:space="preserve">for </w:t>
      </w:r>
      <w:r w:rsidR="00B64A48" w:rsidRPr="00C3645A">
        <w:rPr>
          <w:color w:val="auto"/>
        </w:rPr>
        <w:t>pasture</w:t>
      </w:r>
      <w:r w:rsidR="00DC6238" w:rsidRPr="00C3645A">
        <w:rPr>
          <w:color w:val="auto"/>
        </w:rPr>
        <w:t xml:space="preserve"> biomass</w:t>
      </w:r>
      <w:r w:rsidR="00F9499D" w:rsidRPr="00C3645A">
        <w:rPr>
          <w:color w:val="auto"/>
        </w:rPr>
        <w:t>. But</w:t>
      </w:r>
      <w:r w:rsidR="00DC6238" w:rsidRPr="00C3645A">
        <w:rPr>
          <w:color w:val="auto"/>
        </w:rPr>
        <w:t xml:space="preserve"> </w:t>
      </w:r>
      <w:r w:rsidR="00995484" w:rsidRPr="00C3645A">
        <w:rPr>
          <w:color w:val="auto"/>
        </w:rPr>
        <w:t>their simulations did not consider</w:t>
      </w:r>
      <w:r w:rsidR="00F9499D" w:rsidRPr="00C3645A">
        <w:rPr>
          <w:color w:val="auto"/>
        </w:rPr>
        <w:t xml:space="preserve"> </w:t>
      </w:r>
      <w:r w:rsidR="008004E8" w:rsidRPr="00C3645A">
        <w:rPr>
          <w:color w:val="auto"/>
        </w:rPr>
        <w:t xml:space="preserve">neither </w:t>
      </w:r>
      <w:r w:rsidR="00995484" w:rsidRPr="00C3645A">
        <w:rPr>
          <w:color w:val="auto"/>
        </w:rPr>
        <w:t xml:space="preserve">the </w:t>
      </w:r>
      <w:r w:rsidR="00F9499D" w:rsidRPr="00C3645A">
        <w:rPr>
          <w:color w:val="auto"/>
        </w:rPr>
        <w:t>CO</w:t>
      </w:r>
      <w:r w:rsidR="00F9499D" w:rsidRPr="00C3645A">
        <w:rPr>
          <w:color w:val="auto"/>
          <w:vertAlign w:val="subscript"/>
        </w:rPr>
        <w:t>2</w:t>
      </w:r>
      <w:r w:rsidR="00F9499D" w:rsidRPr="00C3645A">
        <w:rPr>
          <w:color w:val="auto"/>
        </w:rPr>
        <w:t xml:space="preserve"> fertilization effect </w:t>
      </w:r>
      <w:r w:rsidR="0012751B" w:rsidRPr="00C3645A">
        <w:rPr>
          <w:color w:val="auto"/>
        </w:rPr>
        <w:t xml:space="preserve">nor the returns </w:t>
      </w:r>
      <w:r w:rsidR="00F9499D" w:rsidRPr="00C3645A">
        <w:rPr>
          <w:color w:val="auto"/>
        </w:rPr>
        <w:t>of dung and urine</w:t>
      </w:r>
      <w:r w:rsidR="00A7666D" w:rsidRPr="00C3645A">
        <w:rPr>
          <w:color w:val="auto"/>
        </w:rPr>
        <w:t xml:space="preserve">, which we believe were the main factors explaining the productivity increases that we </w:t>
      </w:r>
      <w:r w:rsidR="00CF5534" w:rsidRPr="00C3645A">
        <w:rPr>
          <w:color w:val="auto"/>
        </w:rPr>
        <w:t>predicted</w:t>
      </w:r>
      <w:r w:rsidR="00F9499D" w:rsidRPr="00C3645A">
        <w:rPr>
          <w:color w:val="auto"/>
        </w:rPr>
        <w:t>.</w:t>
      </w:r>
      <w:r w:rsidR="00FB1440" w:rsidRPr="00C3645A">
        <w:rPr>
          <w:color w:val="auto"/>
        </w:rPr>
        <w:t xml:space="preserve"> </w:t>
      </w:r>
      <w:proofErr w:type="spellStart"/>
      <w:r w:rsidR="00307FDA" w:rsidRPr="00C3645A">
        <w:rPr>
          <w:color w:val="auto"/>
        </w:rPr>
        <w:t>Toreti</w:t>
      </w:r>
      <w:proofErr w:type="spellEnd"/>
      <w:r w:rsidR="00307FDA" w:rsidRPr="00C3645A">
        <w:rPr>
          <w:color w:val="auto"/>
        </w:rPr>
        <w:t xml:space="preserve"> et al. (2020) suggested that the recent efforts to estimate CO</w:t>
      </w:r>
      <w:r w:rsidR="00307FDA" w:rsidRPr="00C3645A">
        <w:rPr>
          <w:color w:val="auto"/>
          <w:vertAlign w:val="subscript"/>
        </w:rPr>
        <w:t>2</w:t>
      </w:r>
      <w:r w:rsidR="00307FDA" w:rsidRPr="00C3645A">
        <w:rPr>
          <w:color w:val="auto"/>
        </w:rPr>
        <w:t>-induced crop responses</w:t>
      </w:r>
      <w:r w:rsidR="008C6D34" w:rsidRPr="00C3645A">
        <w:rPr>
          <w:color w:val="auto"/>
        </w:rPr>
        <w:t xml:space="preserve"> narrowed their uncertainties and</w:t>
      </w:r>
      <w:r w:rsidR="00307FDA" w:rsidRPr="00C3645A">
        <w:rPr>
          <w:color w:val="auto"/>
        </w:rPr>
        <w:t xml:space="preserve"> make mandatory to consider the CO</w:t>
      </w:r>
      <w:r w:rsidR="00307FDA" w:rsidRPr="00C3645A">
        <w:rPr>
          <w:color w:val="auto"/>
          <w:vertAlign w:val="subscript"/>
        </w:rPr>
        <w:t xml:space="preserve">2 </w:t>
      </w:r>
      <w:r w:rsidR="00307FDA" w:rsidRPr="00C3645A">
        <w:rPr>
          <w:color w:val="auto"/>
        </w:rPr>
        <w:t xml:space="preserve">effect in climate change impact simulations. </w:t>
      </w:r>
      <w:r w:rsidR="00FB1440" w:rsidRPr="00C3645A">
        <w:rPr>
          <w:color w:val="auto"/>
        </w:rPr>
        <w:t>Kothari et al. (2022), from a multi-model study involving ten prominent models, analyzed separately the responses of soybean to temperature and CO</w:t>
      </w:r>
      <w:r w:rsidR="00FB1440" w:rsidRPr="00C3645A">
        <w:rPr>
          <w:color w:val="auto"/>
          <w:vertAlign w:val="subscript"/>
        </w:rPr>
        <w:t xml:space="preserve">2 </w:t>
      </w:r>
      <w:r w:rsidR="00FB1440" w:rsidRPr="00C3645A">
        <w:rPr>
          <w:color w:val="auto"/>
        </w:rPr>
        <w:t>concentration increases, and reported for a one-year Brazilian location decreases of soybean yield under +3°C temperature ranging from 38% to no effect, and increases of 5% to 41% under a CO</w:t>
      </w:r>
      <w:r w:rsidR="00FB1440" w:rsidRPr="00C3645A">
        <w:rPr>
          <w:color w:val="auto"/>
          <w:vertAlign w:val="subscript"/>
        </w:rPr>
        <w:t xml:space="preserve">2 </w:t>
      </w:r>
      <w:r w:rsidR="00FB1440" w:rsidRPr="00C3645A">
        <w:rPr>
          <w:color w:val="auto"/>
        </w:rPr>
        <w:t>concentration from 360 to 540 ppm.</w:t>
      </w:r>
      <w:r w:rsidR="0026559D" w:rsidRPr="00C3645A">
        <w:rPr>
          <w:color w:val="auto"/>
        </w:rPr>
        <w:t xml:space="preserve"> </w:t>
      </w:r>
      <w:proofErr w:type="spellStart"/>
      <w:r w:rsidR="005110EA" w:rsidRPr="00C3645A">
        <w:rPr>
          <w:color w:val="auto"/>
        </w:rPr>
        <w:t>Tubiello</w:t>
      </w:r>
      <w:proofErr w:type="spellEnd"/>
      <w:r w:rsidR="005110EA" w:rsidRPr="00C3645A">
        <w:rPr>
          <w:color w:val="auto"/>
        </w:rPr>
        <w:t xml:space="preserve"> et al. (2007) similarly reported increases of above-ground production in C3 pastures grasses and legumes from +10 to +20%, under a CO</w:t>
      </w:r>
      <w:r w:rsidR="005110EA" w:rsidRPr="00C3645A">
        <w:rPr>
          <w:color w:val="auto"/>
          <w:vertAlign w:val="subscript"/>
        </w:rPr>
        <w:t xml:space="preserve">2 </w:t>
      </w:r>
      <w:r w:rsidR="005110EA" w:rsidRPr="00C3645A">
        <w:rPr>
          <w:color w:val="auto"/>
        </w:rPr>
        <w:t>concentration of 550 ppm.</w:t>
      </w:r>
    </w:p>
    <w:p w14:paraId="1C31B913" w14:textId="3B5E52FD" w:rsidR="00453CFE" w:rsidRPr="00C3645A" w:rsidRDefault="005E5955" w:rsidP="00453CFE">
      <w:pPr>
        <w:pStyle w:val="PubliManuscript"/>
        <w:rPr>
          <w:color w:val="auto"/>
        </w:rPr>
      </w:pPr>
      <w:r w:rsidRPr="00C3645A">
        <w:rPr>
          <w:color w:val="auto"/>
        </w:rPr>
        <w:t>M</w:t>
      </w:r>
      <w:r w:rsidR="00392B53" w:rsidRPr="00C3645A">
        <w:rPr>
          <w:color w:val="auto"/>
        </w:rPr>
        <w:t>oderate grazing</w:t>
      </w:r>
      <w:r w:rsidRPr="00C3645A">
        <w:rPr>
          <w:color w:val="auto"/>
        </w:rPr>
        <w:t xml:space="preserve"> was found to lead to the greatest augmentations in total herbage production and live weight gain when facing the climate change scenario. </w:t>
      </w:r>
      <w:r w:rsidR="00453CFE" w:rsidRPr="00C3645A">
        <w:rPr>
          <w:color w:val="auto"/>
        </w:rPr>
        <w:t>Grazing allows to benefit the most from the CO</w:t>
      </w:r>
      <w:r w:rsidR="00453CFE" w:rsidRPr="00C3645A">
        <w:rPr>
          <w:color w:val="auto"/>
          <w:vertAlign w:val="subscript"/>
        </w:rPr>
        <w:t>2</w:t>
      </w:r>
      <w:r w:rsidR="00453CFE" w:rsidRPr="00C3645A">
        <w:rPr>
          <w:color w:val="auto"/>
        </w:rPr>
        <w:t>-fertilization effect since the biomass growth restarts faster after each bite (simulated by a cut), whereas in the ungrazed treatment, sward biomass still reaches a plateau, yet earlier than in the historical climatic conditions.</w:t>
      </w:r>
    </w:p>
    <w:p w14:paraId="4187B950" w14:textId="322237DA" w:rsidR="005E5955" w:rsidRPr="00C3645A" w:rsidRDefault="00A13E1A" w:rsidP="00392B53">
      <w:pPr>
        <w:pStyle w:val="PubliManuscript"/>
        <w:ind w:firstLine="708"/>
        <w:rPr>
          <w:color w:val="auto"/>
        </w:rPr>
      </w:pPr>
      <w:r w:rsidRPr="00C3645A">
        <w:rPr>
          <w:color w:val="auto"/>
        </w:rPr>
        <w:t xml:space="preserve">It also appeared that the resistance capacities of herbage production and live weight gain </w:t>
      </w:r>
      <w:r w:rsidR="003E33EC" w:rsidRPr="00C3645A">
        <w:rPr>
          <w:color w:val="auto"/>
        </w:rPr>
        <w:t xml:space="preserve">to climatic events </w:t>
      </w:r>
      <w:r w:rsidRPr="00C3645A">
        <w:rPr>
          <w:color w:val="auto"/>
        </w:rPr>
        <w:t>were greater under moderate grazing</w:t>
      </w:r>
      <w:r w:rsidR="005106BD" w:rsidRPr="00C3645A">
        <w:rPr>
          <w:color w:val="auto"/>
        </w:rPr>
        <w:t>, in accordance with Modernel et al. (2019</w:t>
      </w:r>
      <w:r w:rsidR="00E44ED5" w:rsidRPr="00C3645A">
        <w:rPr>
          <w:color w:val="auto"/>
        </w:rPr>
        <w:t>) which found greater resistance of herbage accumulation and animal live weight to droughts with moderate sheep grazing intensity compared to the</w:t>
      </w:r>
      <w:r w:rsidR="00AF6B85" w:rsidRPr="00C3645A">
        <w:rPr>
          <w:color w:val="auto"/>
        </w:rPr>
        <w:t xml:space="preserve"> </w:t>
      </w:r>
      <w:r w:rsidR="00E44ED5" w:rsidRPr="00C3645A">
        <w:rPr>
          <w:color w:val="auto"/>
        </w:rPr>
        <w:t>overgrazing management</w:t>
      </w:r>
      <w:r w:rsidR="00AF6B85" w:rsidRPr="00C3645A">
        <w:rPr>
          <w:color w:val="auto"/>
        </w:rPr>
        <w:t xml:space="preserve"> typical in Uruguay</w:t>
      </w:r>
      <w:r w:rsidR="005106BD" w:rsidRPr="00C3645A">
        <w:rPr>
          <w:color w:val="auto"/>
        </w:rPr>
        <w:t>.</w:t>
      </w:r>
    </w:p>
    <w:p w14:paraId="666E884C" w14:textId="4A84C708" w:rsidR="00AD7437" w:rsidRPr="00C3645A" w:rsidRDefault="007718AE" w:rsidP="003C5C2E">
      <w:pPr>
        <w:pStyle w:val="PubliManuscript"/>
        <w:rPr>
          <w:color w:val="auto"/>
        </w:rPr>
      </w:pPr>
      <w:r w:rsidRPr="00C3645A">
        <w:rPr>
          <w:color w:val="auto"/>
        </w:rPr>
        <w:t xml:space="preserve">Light to moderate grazing (G30 and G40) also </w:t>
      </w:r>
      <w:r w:rsidR="00580C77" w:rsidRPr="00C3645A">
        <w:rPr>
          <w:color w:val="auto"/>
        </w:rPr>
        <w:t>proved</w:t>
      </w:r>
      <w:r w:rsidRPr="00C3645A">
        <w:rPr>
          <w:color w:val="auto"/>
        </w:rPr>
        <w:t xml:space="preserve"> to be ideal to increase carbon sequestration</w:t>
      </w:r>
      <w:r w:rsidR="00701DB2" w:rsidRPr="00C3645A">
        <w:rPr>
          <w:color w:val="auto"/>
        </w:rPr>
        <w:t>, in accordance with the literature (</w:t>
      </w:r>
      <w:proofErr w:type="spellStart"/>
      <w:r w:rsidR="00D0733A" w:rsidRPr="00C3645A">
        <w:rPr>
          <w:color w:val="auto"/>
        </w:rPr>
        <w:t>Soussana</w:t>
      </w:r>
      <w:proofErr w:type="spellEnd"/>
      <w:r w:rsidR="00D0733A" w:rsidRPr="00C3645A">
        <w:rPr>
          <w:color w:val="auto"/>
        </w:rPr>
        <w:t xml:space="preserve"> et al., 20</w:t>
      </w:r>
      <w:r w:rsidR="00576EAD" w:rsidRPr="00C3645A">
        <w:rPr>
          <w:color w:val="auto"/>
        </w:rPr>
        <w:t>10</w:t>
      </w:r>
      <w:r w:rsidR="00D0733A" w:rsidRPr="00C3645A">
        <w:rPr>
          <w:color w:val="auto"/>
        </w:rPr>
        <w:t xml:space="preserve">; </w:t>
      </w:r>
      <w:r w:rsidR="00701DB2" w:rsidRPr="00C3645A">
        <w:rPr>
          <w:color w:val="auto"/>
        </w:rPr>
        <w:t>Abdalla et al., 2018;</w:t>
      </w:r>
      <w:r w:rsidR="00801271" w:rsidRPr="00C3645A">
        <w:rPr>
          <w:color w:val="auto"/>
        </w:rPr>
        <w:t xml:space="preserve"> Chang et al., 2021)</w:t>
      </w:r>
      <w:r w:rsidRPr="00C3645A">
        <w:rPr>
          <w:color w:val="auto"/>
        </w:rPr>
        <w:t>.</w:t>
      </w:r>
      <w:r w:rsidR="00DE6B6C" w:rsidRPr="00C3645A">
        <w:rPr>
          <w:color w:val="auto"/>
        </w:rPr>
        <w:t xml:space="preserve"> The greater increase in SOC for the 2041-2058 period compared to the historical 2001-2018 one is due to the increase in biomass </w:t>
      </w:r>
      <w:r w:rsidR="0046335E" w:rsidRPr="00C3645A">
        <w:rPr>
          <w:color w:val="auto"/>
        </w:rPr>
        <w:t>production combined with the increase in organic amendments that represent animals</w:t>
      </w:r>
      <w:r w:rsidR="00673C80" w:rsidRPr="00C3645A">
        <w:rPr>
          <w:color w:val="auto"/>
        </w:rPr>
        <w:t>’</w:t>
      </w:r>
      <w:r w:rsidR="0046335E" w:rsidRPr="00C3645A">
        <w:rPr>
          <w:color w:val="auto"/>
        </w:rPr>
        <w:t xml:space="preserve"> dung and urine. That explains why the ungrazed treatment </w:t>
      </w:r>
      <w:r w:rsidR="009B62C2" w:rsidRPr="00C3645A">
        <w:rPr>
          <w:color w:val="auto"/>
        </w:rPr>
        <w:t xml:space="preserve">led to </w:t>
      </w:r>
      <w:r w:rsidR="00086301" w:rsidRPr="00C3645A">
        <w:rPr>
          <w:color w:val="auto"/>
        </w:rPr>
        <w:t>the smallest increase in SOC evolution.</w:t>
      </w:r>
      <w:r w:rsidR="00FC5AEA" w:rsidRPr="00C3645A">
        <w:rPr>
          <w:color w:val="auto"/>
        </w:rPr>
        <w:t xml:space="preserve"> Moderate grazing was also found to </w:t>
      </w:r>
      <w:r w:rsidR="0077171E" w:rsidRPr="00C3645A">
        <w:rPr>
          <w:color w:val="auto"/>
        </w:rPr>
        <w:t>store</w:t>
      </w:r>
      <w:r w:rsidR="0059637A" w:rsidRPr="00C3645A">
        <w:rPr>
          <w:color w:val="auto"/>
        </w:rPr>
        <w:t xml:space="preserve"> carbon </w:t>
      </w:r>
      <w:r w:rsidR="00DA3016" w:rsidRPr="00C3645A">
        <w:rPr>
          <w:color w:val="auto"/>
        </w:rPr>
        <w:t>deeper</w:t>
      </w:r>
      <w:r w:rsidR="0059637A" w:rsidRPr="00C3645A">
        <w:rPr>
          <w:color w:val="auto"/>
        </w:rPr>
        <w:t>, which proved to be positive for organic carbon stability</w:t>
      </w:r>
      <w:r w:rsidR="0009365D" w:rsidRPr="00C3645A">
        <w:rPr>
          <w:color w:val="auto"/>
        </w:rPr>
        <w:t xml:space="preserve"> with lower turnover and mineralization rates, making it unlikely to respond rapidly to warming global temperatures</w:t>
      </w:r>
      <w:r w:rsidR="004B05DB" w:rsidRPr="00C3645A">
        <w:rPr>
          <w:color w:val="auto"/>
        </w:rPr>
        <w:t xml:space="preserve"> and thus beneficial for soils fertility and </w:t>
      </w:r>
      <w:r w:rsidR="004B05DB" w:rsidRPr="00C3645A">
        <w:rPr>
          <w:color w:val="auto"/>
        </w:rPr>
        <w:lastRenderedPageBreak/>
        <w:t>climate change mitigation</w:t>
      </w:r>
      <w:r w:rsidR="005A0230" w:rsidRPr="00C3645A">
        <w:rPr>
          <w:color w:val="auto"/>
        </w:rPr>
        <w:t xml:space="preserve"> (Schrumpf et al., 2013</w:t>
      </w:r>
      <w:r w:rsidR="0009365D" w:rsidRPr="00C3645A">
        <w:rPr>
          <w:color w:val="auto"/>
        </w:rPr>
        <w:t xml:space="preserve">; </w:t>
      </w:r>
      <w:proofErr w:type="spellStart"/>
      <w:r w:rsidR="00D63796" w:rsidRPr="00C3645A">
        <w:rPr>
          <w:color w:val="auto"/>
        </w:rPr>
        <w:t>Soussana</w:t>
      </w:r>
      <w:proofErr w:type="spellEnd"/>
      <w:r w:rsidR="00D63796" w:rsidRPr="00C3645A">
        <w:rPr>
          <w:color w:val="auto"/>
        </w:rPr>
        <w:t xml:space="preserve"> et al., 2014; </w:t>
      </w:r>
      <w:r w:rsidR="0009365D" w:rsidRPr="00C3645A">
        <w:rPr>
          <w:color w:val="auto"/>
        </w:rPr>
        <w:t>Jackson et al., 2017</w:t>
      </w:r>
      <w:r w:rsidR="004B05DB" w:rsidRPr="00C3645A">
        <w:rPr>
          <w:color w:val="auto"/>
        </w:rPr>
        <w:t>)</w:t>
      </w:r>
      <w:r w:rsidR="005A0230" w:rsidRPr="00C3645A">
        <w:rPr>
          <w:color w:val="auto"/>
        </w:rPr>
        <w:t xml:space="preserve">. </w:t>
      </w:r>
      <w:r w:rsidR="001F58E1" w:rsidRPr="00C3645A">
        <w:rPr>
          <w:color w:val="auto"/>
        </w:rPr>
        <w:t xml:space="preserve">Since SOC depth distribution is closely related to roots depth distribution (Schrumpf et al., 2013), this also suggests that the greater resistance capacities of moderate grazing </w:t>
      </w:r>
      <w:r w:rsidR="00F70EF7" w:rsidRPr="00C3645A">
        <w:rPr>
          <w:color w:val="auto"/>
        </w:rPr>
        <w:t xml:space="preserve">to extreme climatic events </w:t>
      </w:r>
      <w:r w:rsidR="001F58E1" w:rsidRPr="00C3645A">
        <w:rPr>
          <w:color w:val="auto"/>
        </w:rPr>
        <w:t>might</w:t>
      </w:r>
      <w:r w:rsidR="009547E7" w:rsidRPr="00C3645A">
        <w:rPr>
          <w:color w:val="auto"/>
        </w:rPr>
        <w:t xml:space="preserve"> originate from </w:t>
      </w:r>
      <w:r w:rsidR="0001070D" w:rsidRPr="00C3645A">
        <w:rPr>
          <w:color w:val="auto"/>
        </w:rPr>
        <w:t>deeper</w:t>
      </w:r>
      <w:r w:rsidR="009547E7" w:rsidRPr="00C3645A">
        <w:rPr>
          <w:color w:val="auto"/>
        </w:rPr>
        <w:t xml:space="preserve"> rooting systems.</w:t>
      </w:r>
    </w:p>
    <w:p w14:paraId="417E6E67" w14:textId="43310668" w:rsidR="007718AE" w:rsidRPr="00C3645A" w:rsidRDefault="007A1641" w:rsidP="00AD7437">
      <w:pPr>
        <w:pStyle w:val="PubliManuscript"/>
        <w:rPr>
          <w:color w:val="auto"/>
        </w:rPr>
      </w:pPr>
      <w:r w:rsidRPr="00C3645A">
        <w:rPr>
          <w:color w:val="auto"/>
        </w:rPr>
        <w:t xml:space="preserve">These results </w:t>
      </w:r>
      <w:r w:rsidR="00232918" w:rsidRPr="00C3645A">
        <w:rPr>
          <w:color w:val="auto"/>
        </w:rPr>
        <w:t xml:space="preserve">highlight </w:t>
      </w:r>
      <w:r w:rsidR="00146368" w:rsidRPr="00C3645A">
        <w:rPr>
          <w:color w:val="auto"/>
        </w:rPr>
        <w:t>the importance of crop-pastures rotations to increase the climate change mitigation potential that represent agricultural soils.</w:t>
      </w:r>
      <w:r w:rsidR="00232918" w:rsidRPr="00C3645A">
        <w:rPr>
          <w:color w:val="auto"/>
        </w:rPr>
        <w:t xml:space="preserve"> Moreover, they suggest </w:t>
      </w:r>
      <w:r w:rsidRPr="00C3645A">
        <w:rPr>
          <w:color w:val="auto"/>
        </w:rPr>
        <w:t>that,</w:t>
      </w:r>
      <w:r w:rsidR="00146368" w:rsidRPr="00C3645A">
        <w:rPr>
          <w:color w:val="auto"/>
        </w:rPr>
        <w:t xml:space="preserve"> </w:t>
      </w:r>
      <w:r w:rsidRPr="00C3645A">
        <w:rPr>
          <w:color w:val="auto"/>
        </w:rPr>
        <w:t>whenever it is possible, it would</w:t>
      </w:r>
      <w:r w:rsidR="00B36FC6" w:rsidRPr="00C3645A">
        <w:rPr>
          <w:color w:val="auto"/>
        </w:rPr>
        <w:t xml:space="preserve"> be</w:t>
      </w:r>
      <w:r w:rsidRPr="00C3645A">
        <w:rPr>
          <w:color w:val="auto"/>
        </w:rPr>
        <w:t xml:space="preserve"> profitable to increase </w:t>
      </w:r>
      <w:r w:rsidR="008B5F6A" w:rsidRPr="00C3645A">
        <w:rPr>
          <w:color w:val="auto"/>
        </w:rPr>
        <w:t>the stocking rate</w:t>
      </w:r>
      <w:r w:rsidR="00A9390E" w:rsidRPr="00C3645A">
        <w:rPr>
          <w:color w:val="auto"/>
        </w:rPr>
        <w:t xml:space="preserve"> to enhance the productivity</w:t>
      </w:r>
      <w:r w:rsidR="00146368" w:rsidRPr="00C3645A">
        <w:rPr>
          <w:color w:val="auto"/>
        </w:rPr>
        <w:t xml:space="preserve"> and carbon sequestration</w:t>
      </w:r>
      <w:r w:rsidR="00A9390E" w:rsidRPr="00C3645A">
        <w:rPr>
          <w:color w:val="auto"/>
        </w:rPr>
        <w:t xml:space="preserve">, but only in the limits of </w:t>
      </w:r>
      <w:r w:rsidR="007A5CD8" w:rsidRPr="00C3645A">
        <w:rPr>
          <w:color w:val="auto"/>
        </w:rPr>
        <w:t xml:space="preserve">the sward carrying capacity since </w:t>
      </w:r>
      <w:r w:rsidR="00077785" w:rsidRPr="00C3645A">
        <w:rPr>
          <w:color w:val="auto"/>
        </w:rPr>
        <w:t>our simulations</w:t>
      </w:r>
      <w:r w:rsidR="007A5CD8" w:rsidRPr="00C3645A">
        <w:rPr>
          <w:color w:val="auto"/>
        </w:rPr>
        <w:t xml:space="preserve"> show</w:t>
      </w:r>
      <w:r w:rsidR="00077785" w:rsidRPr="00C3645A">
        <w:rPr>
          <w:color w:val="auto"/>
        </w:rPr>
        <w:t>ed</w:t>
      </w:r>
      <w:r w:rsidR="007A5CD8" w:rsidRPr="00C3645A">
        <w:rPr>
          <w:color w:val="auto"/>
        </w:rPr>
        <w:t xml:space="preserve"> that overgrazing leads to </w:t>
      </w:r>
      <w:r w:rsidR="00923ECF" w:rsidRPr="00C3645A">
        <w:rPr>
          <w:color w:val="auto"/>
        </w:rPr>
        <w:t xml:space="preserve">relatively </w:t>
      </w:r>
      <w:r w:rsidR="007A5CD8" w:rsidRPr="00C3645A">
        <w:rPr>
          <w:color w:val="auto"/>
        </w:rPr>
        <w:t xml:space="preserve">smaller </w:t>
      </w:r>
      <w:r w:rsidR="00923ECF" w:rsidRPr="00C3645A">
        <w:rPr>
          <w:color w:val="auto"/>
        </w:rPr>
        <w:t>SOC stocks</w:t>
      </w:r>
      <w:r w:rsidR="00A6198A" w:rsidRPr="00C3645A">
        <w:rPr>
          <w:color w:val="auto"/>
        </w:rPr>
        <w:t xml:space="preserve"> but also poorer adaptation to climate change</w:t>
      </w:r>
      <w:r w:rsidR="00BB4AA9" w:rsidRPr="00C3645A">
        <w:rPr>
          <w:color w:val="auto"/>
        </w:rPr>
        <w:t>.</w:t>
      </w:r>
      <w:r w:rsidR="00605AF8" w:rsidRPr="00C3645A">
        <w:rPr>
          <w:color w:val="auto"/>
        </w:rPr>
        <w:t xml:space="preserve"> </w:t>
      </w:r>
      <w:r w:rsidR="00F1331B" w:rsidRPr="00C3645A">
        <w:rPr>
          <w:color w:val="auto"/>
        </w:rPr>
        <w:t xml:space="preserve">As explained by </w:t>
      </w:r>
      <w:proofErr w:type="spellStart"/>
      <w:r w:rsidR="00F1331B" w:rsidRPr="00C3645A">
        <w:rPr>
          <w:color w:val="auto"/>
        </w:rPr>
        <w:t>Soussana</w:t>
      </w:r>
      <w:proofErr w:type="spellEnd"/>
      <w:r w:rsidR="00F1331B" w:rsidRPr="00C3645A">
        <w:rPr>
          <w:color w:val="auto"/>
        </w:rPr>
        <w:t xml:space="preserve"> et al. (2014), a tradeoff must be found between maximizing C harvest by grazing for live weight gain and maximizing C returned to the soil, </w:t>
      </w:r>
      <w:r w:rsidR="00A64EC7" w:rsidRPr="00C3645A">
        <w:rPr>
          <w:color w:val="auto"/>
        </w:rPr>
        <w:t>which appears to be around sward heights of 30-40</w:t>
      </w:r>
      <w:r w:rsidR="00902844" w:rsidRPr="00C3645A">
        <w:rPr>
          <w:color w:val="auto"/>
        </w:rPr>
        <w:t xml:space="preserve"> </w:t>
      </w:r>
      <w:r w:rsidR="00A64EC7" w:rsidRPr="00C3645A">
        <w:rPr>
          <w:color w:val="auto"/>
        </w:rPr>
        <w:t>cm</w:t>
      </w:r>
      <w:r w:rsidR="004C1460" w:rsidRPr="00C3645A">
        <w:rPr>
          <w:color w:val="auto"/>
        </w:rPr>
        <w:t xml:space="preserve"> under the considered pedoclimatic conditions and in association with </w:t>
      </w:r>
      <w:r w:rsidR="006818D4" w:rsidRPr="00C3645A">
        <w:rPr>
          <w:color w:val="auto"/>
        </w:rPr>
        <w:t xml:space="preserve">no-till </w:t>
      </w:r>
      <w:r w:rsidR="004C1460" w:rsidRPr="00C3645A">
        <w:rPr>
          <w:color w:val="auto"/>
        </w:rPr>
        <w:t>soybean</w:t>
      </w:r>
      <w:r w:rsidR="00A64EC7" w:rsidRPr="00C3645A">
        <w:rPr>
          <w:color w:val="auto"/>
        </w:rPr>
        <w:t>.</w:t>
      </w:r>
    </w:p>
    <w:p w14:paraId="5FCABDDD" w14:textId="2E649703" w:rsidR="00AD6896" w:rsidRPr="00C3645A" w:rsidRDefault="00A23AD3" w:rsidP="005D2668">
      <w:pPr>
        <w:pStyle w:val="Publi2"/>
        <w:jc w:val="both"/>
        <w:rPr>
          <w:color w:val="auto"/>
        </w:rPr>
      </w:pPr>
      <w:r w:rsidRPr="00C3645A">
        <w:rPr>
          <w:color w:val="auto"/>
        </w:rPr>
        <w:t xml:space="preserve"> </w:t>
      </w:r>
      <w:r w:rsidR="004B20DA" w:rsidRPr="00C3645A">
        <w:rPr>
          <w:color w:val="auto"/>
        </w:rPr>
        <w:t xml:space="preserve">Assessing the </w:t>
      </w:r>
      <w:r w:rsidR="00295B1F" w:rsidRPr="00C3645A">
        <w:rPr>
          <w:color w:val="auto"/>
        </w:rPr>
        <w:t xml:space="preserve">potential of </w:t>
      </w:r>
      <w:r w:rsidR="004B20DA" w:rsidRPr="00C3645A">
        <w:rPr>
          <w:color w:val="auto"/>
        </w:rPr>
        <w:t xml:space="preserve">ICLS </w:t>
      </w:r>
      <w:r w:rsidR="00295B1F" w:rsidRPr="00C3645A">
        <w:rPr>
          <w:color w:val="auto"/>
        </w:rPr>
        <w:t>under</w:t>
      </w:r>
      <w:r w:rsidR="004B20DA" w:rsidRPr="00C3645A">
        <w:rPr>
          <w:color w:val="auto"/>
        </w:rPr>
        <w:t xml:space="preserve"> climate change through process-based models</w:t>
      </w:r>
    </w:p>
    <w:p w14:paraId="0E8E0B2A" w14:textId="4B234AA3" w:rsidR="00295B1F" w:rsidRPr="00C3645A" w:rsidRDefault="004B20DA" w:rsidP="006F252E">
      <w:pPr>
        <w:pStyle w:val="PubliManuscript"/>
        <w:rPr>
          <w:color w:val="auto"/>
        </w:rPr>
      </w:pPr>
      <w:bookmarkStart w:id="7" w:name="_Hlk152052734"/>
      <w:r w:rsidRPr="00C3645A">
        <w:rPr>
          <w:color w:val="auto"/>
        </w:rPr>
        <w:t>In Brazil, between 2010 and 2016, the Low</w:t>
      </w:r>
      <w:r w:rsidR="00CC3E1C" w:rsidRPr="00C3645A">
        <w:rPr>
          <w:color w:val="auto"/>
        </w:rPr>
        <w:t xml:space="preserve"> </w:t>
      </w:r>
      <w:r w:rsidRPr="00C3645A">
        <w:rPr>
          <w:color w:val="auto"/>
        </w:rPr>
        <w:t>Carbon Agriculture Plan successfully increased the number of ICLS at a rate of 1 million hectares per year (</w:t>
      </w:r>
      <w:r w:rsidR="00D22064" w:rsidRPr="00C3645A">
        <w:rPr>
          <w:color w:val="auto"/>
        </w:rPr>
        <w:t>Rodrigues et al., 2019</w:t>
      </w:r>
      <w:r w:rsidRPr="00C3645A">
        <w:rPr>
          <w:color w:val="auto"/>
        </w:rPr>
        <w:t>). Yet, the Brazilian example still constitutes an exception which was only made possible, as summarized by Moraes et al.</w:t>
      </w:r>
      <w:r w:rsidR="00014340" w:rsidRPr="00C3645A">
        <w:rPr>
          <w:color w:val="auto"/>
        </w:rPr>
        <w:t xml:space="preserve"> (</w:t>
      </w:r>
      <w:r w:rsidRPr="00C3645A">
        <w:rPr>
          <w:color w:val="auto"/>
        </w:rPr>
        <w:t>2014</w:t>
      </w:r>
      <w:r w:rsidR="00014340" w:rsidRPr="00C3645A">
        <w:rPr>
          <w:color w:val="auto"/>
        </w:rPr>
        <w:t>)</w:t>
      </w:r>
      <w:r w:rsidRPr="00C3645A">
        <w:rPr>
          <w:color w:val="auto"/>
        </w:rPr>
        <w:t xml:space="preserve">, by taking the most of the synergisms that result from no-till, a high plant functional diversity and </w:t>
      </w:r>
      <w:proofErr w:type="spellStart"/>
      <w:r w:rsidRPr="00C3645A">
        <w:rPr>
          <w:i/>
          <w:iCs/>
          <w:color w:val="auto"/>
        </w:rPr>
        <w:t>rotatinuous</w:t>
      </w:r>
      <w:proofErr w:type="spellEnd"/>
      <w:r w:rsidRPr="00C3645A">
        <w:rPr>
          <w:color w:val="auto"/>
        </w:rPr>
        <w:t xml:space="preserve"> stocking management (i.e. low intensity </w:t>
      </w:r>
      <w:r w:rsidR="00C5754E" w:rsidRPr="00C3645A">
        <w:rPr>
          <w:color w:val="auto"/>
        </w:rPr>
        <w:t xml:space="preserve">and </w:t>
      </w:r>
      <w:r w:rsidRPr="00C3645A">
        <w:rPr>
          <w:color w:val="auto"/>
        </w:rPr>
        <w:t>frequent grazing</w:t>
      </w:r>
      <w:r w:rsidR="00EC6E23" w:rsidRPr="00C3645A">
        <w:rPr>
          <w:color w:val="auto"/>
        </w:rPr>
        <w:t xml:space="preserve"> (Carvalho</w:t>
      </w:r>
      <w:r w:rsidR="001045E9" w:rsidRPr="00C3645A">
        <w:rPr>
          <w:color w:val="auto"/>
        </w:rPr>
        <w:t>,</w:t>
      </w:r>
      <w:r w:rsidR="00EC6E23" w:rsidRPr="00C3645A">
        <w:rPr>
          <w:color w:val="auto"/>
        </w:rPr>
        <w:t xml:space="preserve"> 2013)</w:t>
      </w:r>
      <w:r w:rsidRPr="00C3645A">
        <w:rPr>
          <w:color w:val="auto"/>
        </w:rPr>
        <w:t xml:space="preserve">). The main challenges that brake ICLS wider adoption in other regions of the world include their high infrastructure, labor and financial capital requirements (and hence lack of investment), sustainable awareness and lack of skills by the farmers (Sekaran et al., 2021). </w:t>
      </w:r>
    </w:p>
    <w:bookmarkEnd w:id="7"/>
    <w:p w14:paraId="701D0910" w14:textId="7FA47777" w:rsidR="00295B1F" w:rsidRPr="00C3645A" w:rsidRDefault="004B20DA" w:rsidP="00F91FEC">
      <w:pPr>
        <w:pStyle w:val="PubliManuscript"/>
        <w:rPr>
          <w:color w:val="auto"/>
        </w:rPr>
      </w:pPr>
      <w:r w:rsidRPr="00C3645A">
        <w:rPr>
          <w:color w:val="auto"/>
        </w:rPr>
        <w:t xml:space="preserve">Overcoming these challenges requires new approaches to </w:t>
      </w:r>
      <w:r w:rsidR="00295B1F" w:rsidRPr="00C3645A">
        <w:rPr>
          <w:color w:val="auto"/>
        </w:rPr>
        <w:t xml:space="preserve">help </w:t>
      </w:r>
      <w:r w:rsidR="0089755C" w:rsidRPr="00C3645A">
        <w:rPr>
          <w:color w:val="auto"/>
        </w:rPr>
        <w:t>lift</w:t>
      </w:r>
      <w:r w:rsidRPr="00C3645A">
        <w:rPr>
          <w:color w:val="auto"/>
        </w:rPr>
        <w:t xml:space="preserve"> the lock-ins</w:t>
      </w:r>
      <w:r w:rsidR="0089755C" w:rsidRPr="00C3645A">
        <w:rPr>
          <w:color w:val="auto"/>
        </w:rPr>
        <w:t>, to which process-based model</w:t>
      </w:r>
      <w:r w:rsidR="00014340" w:rsidRPr="00C3645A">
        <w:rPr>
          <w:color w:val="auto"/>
        </w:rPr>
        <w:t>s</w:t>
      </w:r>
      <w:r w:rsidR="0089755C" w:rsidRPr="00C3645A">
        <w:rPr>
          <w:color w:val="auto"/>
        </w:rPr>
        <w:t xml:space="preserve"> can bring answers</w:t>
      </w:r>
      <w:r w:rsidR="00295B1F" w:rsidRPr="00C3645A">
        <w:rPr>
          <w:color w:val="auto"/>
        </w:rPr>
        <w:t xml:space="preserve">. </w:t>
      </w:r>
      <w:r w:rsidR="0089755C" w:rsidRPr="00C3645A">
        <w:rPr>
          <w:color w:val="auto"/>
        </w:rPr>
        <w:t>P</w:t>
      </w:r>
      <w:r w:rsidR="00354245" w:rsidRPr="00C3645A">
        <w:rPr>
          <w:color w:val="auto"/>
        </w:rPr>
        <w:t xml:space="preserve">rocess-based models </w:t>
      </w:r>
      <w:r w:rsidR="0089755C" w:rsidRPr="00C3645A">
        <w:rPr>
          <w:color w:val="auto"/>
        </w:rPr>
        <w:t xml:space="preserve">allow to </w:t>
      </w:r>
      <w:r w:rsidR="003E4210" w:rsidRPr="00C3645A">
        <w:rPr>
          <w:color w:val="auto"/>
        </w:rPr>
        <w:t>compare</w:t>
      </w:r>
      <w:r w:rsidR="0089755C" w:rsidRPr="00C3645A">
        <w:rPr>
          <w:color w:val="auto"/>
        </w:rPr>
        <w:t xml:space="preserve"> </w:t>
      </w:r>
      <w:r w:rsidR="00014340" w:rsidRPr="00C3645A">
        <w:rPr>
          <w:i/>
          <w:iCs/>
          <w:color w:val="auto"/>
        </w:rPr>
        <w:t xml:space="preserve">in silico </w:t>
      </w:r>
      <w:r w:rsidR="0089755C" w:rsidRPr="00C3645A">
        <w:rPr>
          <w:color w:val="auto"/>
        </w:rPr>
        <w:t>various soil and plant management itineraries as well as different sequence</w:t>
      </w:r>
      <w:r w:rsidR="00EB3696" w:rsidRPr="00C3645A">
        <w:rPr>
          <w:color w:val="auto"/>
        </w:rPr>
        <w:t>s</w:t>
      </w:r>
      <w:r w:rsidR="0089755C" w:rsidRPr="00C3645A">
        <w:rPr>
          <w:color w:val="auto"/>
        </w:rPr>
        <w:t xml:space="preserve"> of crop-pasture rotations, and </w:t>
      </w:r>
      <w:r w:rsidR="00A44598" w:rsidRPr="00C3645A">
        <w:rPr>
          <w:color w:val="auto"/>
        </w:rPr>
        <w:t>constitute</w:t>
      </w:r>
      <w:r w:rsidR="0089755C" w:rsidRPr="00C3645A">
        <w:rPr>
          <w:color w:val="auto"/>
        </w:rPr>
        <w:t xml:space="preserve"> therefore naturally </w:t>
      </w:r>
      <w:r w:rsidR="002F238E" w:rsidRPr="00C3645A">
        <w:rPr>
          <w:color w:val="auto"/>
        </w:rPr>
        <w:t xml:space="preserve">key tools to investigate the performance and behavior of contrasted </w:t>
      </w:r>
      <w:r w:rsidR="002F238E" w:rsidRPr="00C3645A">
        <w:rPr>
          <w:color w:val="auto"/>
        </w:rPr>
        <w:lastRenderedPageBreak/>
        <w:t xml:space="preserve">ICLS. </w:t>
      </w:r>
      <w:r w:rsidR="00295B1F" w:rsidRPr="00C3645A">
        <w:rPr>
          <w:color w:val="auto"/>
        </w:rPr>
        <w:t>Allowing to</w:t>
      </w:r>
      <w:r w:rsidR="00C259A6" w:rsidRPr="00C3645A">
        <w:rPr>
          <w:color w:val="auto"/>
        </w:rPr>
        <w:t xml:space="preserve"> experiment contrasted pedological </w:t>
      </w:r>
      <w:r w:rsidR="00295B1F" w:rsidRPr="00C3645A">
        <w:rPr>
          <w:color w:val="auto"/>
        </w:rPr>
        <w:t xml:space="preserve">and </w:t>
      </w:r>
      <w:r w:rsidR="00C259A6" w:rsidRPr="00C3645A">
        <w:rPr>
          <w:color w:val="auto"/>
        </w:rPr>
        <w:t>climatic</w:t>
      </w:r>
      <w:r w:rsidR="00295B1F" w:rsidRPr="00C3645A">
        <w:rPr>
          <w:color w:val="auto"/>
        </w:rPr>
        <w:t xml:space="preserve"> (historic</w:t>
      </w:r>
      <w:r w:rsidR="00335E34" w:rsidRPr="00C3645A">
        <w:rPr>
          <w:color w:val="auto"/>
        </w:rPr>
        <w:t>al</w:t>
      </w:r>
      <w:r w:rsidR="00295B1F" w:rsidRPr="00C3645A">
        <w:rPr>
          <w:color w:val="auto"/>
        </w:rPr>
        <w:t xml:space="preserve"> and future)</w:t>
      </w:r>
      <w:r w:rsidR="00C259A6" w:rsidRPr="00C3645A">
        <w:rPr>
          <w:color w:val="auto"/>
        </w:rPr>
        <w:t xml:space="preserve"> conditions, they </w:t>
      </w:r>
      <w:r w:rsidR="00295B1F" w:rsidRPr="00C3645A">
        <w:rPr>
          <w:color w:val="auto"/>
        </w:rPr>
        <w:t>might</w:t>
      </w:r>
      <w:r w:rsidR="00C259A6" w:rsidRPr="00C3645A">
        <w:rPr>
          <w:color w:val="auto"/>
        </w:rPr>
        <w:t xml:space="preserve"> become </w:t>
      </w:r>
      <w:r w:rsidR="00295B1F" w:rsidRPr="00C3645A">
        <w:rPr>
          <w:color w:val="auto"/>
        </w:rPr>
        <w:t>essential</w:t>
      </w:r>
      <w:r w:rsidR="00C259A6" w:rsidRPr="00C3645A">
        <w:rPr>
          <w:color w:val="auto"/>
        </w:rPr>
        <w:t xml:space="preserve"> to investigate </w:t>
      </w:r>
      <w:r w:rsidR="00C14A85" w:rsidRPr="00C3645A">
        <w:rPr>
          <w:color w:val="auto"/>
        </w:rPr>
        <w:t xml:space="preserve">how ICLS </w:t>
      </w:r>
      <w:r w:rsidR="00DF5E45" w:rsidRPr="00C3645A">
        <w:rPr>
          <w:color w:val="auto"/>
        </w:rPr>
        <w:t>can</w:t>
      </w:r>
      <w:r w:rsidR="00A91324" w:rsidRPr="00C3645A">
        <w:rPr>
          <w:color w:val="auto"/>
        </w:rPr>
        <w:t xml:space="preserve"> contribu</w:t>
      </w:r>
      <w:r w:rsidR="00966965" w:rsidRPr="00C3645A">
        <w:rPr>
          <w:color w:val="auto"/>
        </w:rPr>
        <w:t>te</w:t>
      </w:r>
      <w:r w:rsidR="002F238E" w:rsidRPr="00C3645A">
        <w:rPr>
          <w:color w:val="auto"/>
        </w:rPr>
        <w:t xml:space="preserve"> for adapting to and mitigating climate change. </w:t>
      </w:r>
      <w:r w:rsidR="00295B1F" w:rsidRPr="00C3645A">
        <w:rPr>
          <w:color w:val="auto"/>
        </w:rPr>
        <w:t xml:space="preserve">So far, process-based models which simulate the interactions of crops, grasslands and animals at the level of the agroecosystem are still very rare. Our methodology, which might be generalized to any other process-based model able to simulate sward mowing and organic matter inputs, proved to be adequate to approximate and simulate ICLS with contrasted grazing intensities. </w:t>
      </w:r>
      <w:r w:rsidR="00F91FEC" w:rsidRPr="00C3645A">
        <w:rPr>
          <w:color w:val="auto"/>
        </w:rPr>
        <w:t>W</w:t>
      </w:r>
      <w:r w:rsidR="00AD6896" w:rsidRPr="00C3645A">
        <w:rPr>
          <w:color w:val="auto"/>
        </w:rPr>
        <w:t xml:space="preserve">e believe that an ever-better understanding of the </w:t>
      </w:r>
      <w:r w:rsidR="00F91FEC" w:rsidRPr="00C3645A">
        <w:rPr>
          <w:color w:val="auto"/>
        </w:rPr>
        <w:t>role</w:t>
      </w:r>
      <w:r w:rsidR="00AD6896" w:rsidRPr="00C3645A">
        <w:rPr>
          <w:color w:val="auto"/>
        </w:rPr>
        <w:t xml:space="preserve"> ICLS </w:t>
      </w:r>
      <w:r w:rsidR="00F91FEC" w:rsidRPr="00C3645A">
        <w:rPr>
          <w:color w:val="auto"/>
        </w:rPr>
        <w:t>can play in guaranteeing</w:t>
      </w:r>
      <w:r w:rsidR="00AD6896" w:rsidRPr="00C3645A">
        <w:rPr>
          <w:color w:val="auto"/>
        </w:rPr>
        <w:t xml:space="preserve"> a </w:t>
      </w:r>
      <w:r w:rsidR="00EF00F6" w:rsidRPr="00C3645A">
        <w:rPr>
          <w:color w:val="auto"/>
        </w:rPr>
        <w:t>large</w:t>
      </w:r>
      <w:r w:rsidR="00AD6896" w:rsidRPr="00C3645A">
        <w:rPr>
          <w:color w:val="auto"/>
        </w:rPr>
        <w:t xml:space="preserve">, diversified and stable production </w:t>
      </w:r>
      <w:r w:rsidR="00A3245C" w:rsidRPr="00C3645A">
        <w:rPr>
          <w:color w:val="auto"/>
        </w:rPr>
        <w:t>will</w:t>
      </w:r>
      <w:r w:rsidR="00AD6896" w:rsidRPr="00C3645A">
        <w:rPr>
          <w:color w:val="auto"/>
        </w:rPr>
        <w:t xml:space="preserve"> help </w:t>
      </w:r>
      <w:r w:rsidR="00F91FEC" w:rsidRPr="00C3645A">
        <w:rPr>
          <w:color w:val="auto"/>
        </w:rPr>
        <w:t>to</w:t>
      </w:r>
      <w:r w:rsidR="00AD6896" w:rsidRPr="00C3645A">
        <w:rPr>
          <w:color w:val="auto"/>
        </w:rPr>
        <w:t xml:space="preserve"> respond to </w:t>
      </w:r>
      <w:r w:rsidR="00F91FEC" w:rsidRPr="00C3645A">
        <w:rPr>
          <w:color w:val="auto"/>
        </w:rPr>
        <w:t>the</w:t>
      </w:r>
      <w:r w:rsidR="00AD6896" w:rsidRPr="00C3645A">
        <w:rPr>
          <w:color w:val="auto"/>
        </w:rPr>
        <w:t xml:space="preserve"> challenges</w:t>
      </w:r>
      <w:r w:rsidR="00F91FEC" w:rsidRPr="00C3645A">
        <w:rPr>
          <w:color w:val="auto"/>
        </w:rPr>
        <w:t xml:space="preserve"> preventing their wider adoption</w:t>
      </w:r>
      <w:r w:rsidR="00AD6896" w:rsidRPr="00C3645A">
        <w:rPr>
          <w:color w:val="auto"/>
        </w:rPr>
        <w:t>.</w:t>
      </w:r>
    </w:p>
    <w:p w14:paraId="014355E9" w14:textId="77777777" w:rsidR="00AD6896" w:rsidRPr="00C3645A" w:rsidRDefault="00AD6896" w:rsidP="00AD6896">
      <w:pPr>
        <w:pStyle w:val="Publi1"/>
        <w:spacing w:line="240" w:lineRule="auto"/>
      </w:pPr>
      <w:r w:rsidRPr="00C3645A">
        <w:t>Declarations of interest</w:t>
      </w:r>
    </w:p>
    <w:p w14:paraId="0F438977" w14:textId="77777777" w:rsidR="00AD6896" w:rsidRPr="00C3645A" w:rsidRDefault="00AD6896" w:rsidP="00AD6896">
      <w:pPr>
        <w:pStyle w:val="PubliManuscript"/>
        <w:rPr>
          <w:color w:val="auto"/>
        </w:rPr>
      </w:pPr>
      <w:r w:rsidRPr="00C3645A">
        <w:rPr>
          <w:color w:val="auto"/>
        </w:rPr>
        <w:t>The authors declare no conflicts of interest.</w:t>
      </w:r>
    </w:p>
    <w:p w14:paraId="2CFD4817" w14:textId="77777777" w:rsidR="00AD6896" w:rsidRPr="00C3645A" w:rsidRDefault="00AD6896" w:rsidP="00AD6896">
      <w:pPr>
        <w:pStyle w:val="Publi1"/>
        <w:spacing w:line="240" w:lineRule="auto"/>
      </w:pPr>
      <w:r w:rsidRPr="00C3645A">
        <w:t>Acknowledgement</w:t>
      </w:r>
    </w:p>
    <w:p w14:paraId="693ED943" w14:textId="7EC6EDEC" w:rsidR="00FB6D94" w:rsidRPr="00C3645A" w:rsidRDefault="00215C85" w:rsidP="008E6F04">
      <w:pPr>
        <w:pStyle w:val="PubliManuscript"/>
        <w:rPr>
          <w:color w:val="auto"/>
        </w:rPr>
      </w:pPr>
      <w:r w:rsidRPr="00C3645A">
        <w:rPr>
          <w:color w:val="auto"/>
        </w:rPr>
        <w:t>This study was partially funded by the F.R.S</w:t>
      </w:r>
      <w:r w:rsidR="009A0A3E" w:rsidRPr="00C3645A">
        <w:rPr>
          <w:color w:val="auto"/>
        </w:rPr>
        <w:t>.</w:t>
      </w:r>
      <w:r w:rsidRPr="00C3645A">
        <w:rPr>
          <w:color w:val="auto"/>
        </w:rPr>
        <w:t>-FNRS (Belgian Fund for Scientific Research; Research Fellow grant (number 44221) awarded to M. Delandmeter), and by a CONFAP-WBI cooperation project (</w:t>
      </w:r>
      <w:proofErr w:type="spellStart"/>
      <w:r w:rsidRPr="00C3645A">
        <w:rPr>
          <w:i/>
          <w:iCs/>
          <w:color w:val="auto"/>
        </w:rPr>
        <w:t>Wallonie-Bruxelles</w:t>
      </w:r>
      <w:proofErr w:type="spellEnd"/>
      <w:r w:rsidRPr="00C3645A">
        <w:rPr>
          <w:i/>
          <w:iCs/>
          <w:color w:val="auto"/>
        </w:rPr>
        <w:t xml:space="preserve"> International</w:t>
      </w:r>
      <w:r w:rsidRPr="00C3645A">
        <w:rPr>
          <w:color w:val="auto"/>
        </w:rPr>
        <w:t xml:space="preserve"> - SUB/2022/564785, WBI, Brussels). We thank Amélie Gaudin for providing the weather data under future climatic conditions used in Peterson et al. (202</w:t>
      </w:r>
      <w:r w:rsidR="00AD75BB" w:rsidRPr="00C3645A">
        <w:rPr>
          <w:color w:val="auto"/>
        </w:rPr>
        <w:t>0</w:t>
      </w:r>
      <w:r w:rsidRPr="00C3645A">
        <w:rPr>
          <w:color w:val="auto"/>
        </w:rPr>
        <w:t xml:space="preserve">). We also thank Julie Constantin for sharing its parameterization of soybean with the STICS model, used in Kothari et al. (2022). We are also thankful to Loïc </w:t>
      </w:r>
      <w:proofErr w:type="spellStart"/>
      <w:r w:rsidRPr="00C3645A">
        <w:rPr>
          <w:color w:val="auto"/>
        </w:rPr>
        <w:t>Strullu</w:t>
      </w:r>
      <w:proofErr w:type="spellEnd"/>
      <w:r w:rsidRPr="00C3645A">
        <w:rPr>
          <w:color w:val="auto"/>
        </w:rPr>
        <w:t xml:space="preserve">, Anne-Isabelle </w:t>
      </w:r>
      <w:proofErr w:type="spellStart"/>
      <w:r w:rsidRPr="00C3645A">
        <w:rPr>
          <w:color w:val="auto"/>
        </w:rPr>
        <w:t>Graux</w:t>
      </w:r>
      <w:proofErr w:type="spellEnd"/>
      <w:r w:rsidRPr="00C3645A">
        <w:rPr>
          <w:color w:val="auto"/>
        </w:rPr>
        <w:t xml:space="preserve"> and Fabien Ferchaud who shared the parameterization of pea and pasture plant files. We finally greet the entire team of the Research Group on Grazing Ecology (GPEP) of the UFRGS for hosting M. Delandmeter within their office and the sharing of their expertise on subtropical integrated crop-livestock systems</w:t>
      </w:r>
      <w:r w:rsidR="001A018D" w:rsidRPr="00C3645A">
        <w:rPr>
          <w:color w:val="auto"/>
        </w:rPr>
        <w:t>.</w:t>
      </w:r>
      <w:r w:rsidR="00FB6D94" w:rsidRPr="00C3645A">
        <w:rPr>
          <w:color w:val="auto"/>
        </w:rPr>
        <w:br w:type="page"/>
      </w:r>
    </w:p>
    <w:p w14:paraId="61386756" w14:textId="68C50432" w:rsidR="00AD6896" w:rsidRPr="00C3645A" w:rsidRDefault="00AD6896" w:rsidP="00BF75D1">
      <w:pPr>
        <w:pStyle w:val="Publi1"/>
      </w:pPr>
      <w:r w:rsidRPr="00C3645A">
        <w:lastRenderedPageBreak/>
        <w:t>Reference</w:t>
      </w:r>
      <w:r w:rsidR="00BF75D1" w:rsidRPr="00C3645A">
        <w:t>s</w:t>
      </w:r>
    </w:p>
    <w:p w14:paraId="3EB7E632" w14:textId="1EBA9873" w:rsidR="00893202" w:rsidRPr="00C3645A" w:rsidRDefault="00893202"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Abdalla, M., Hastings, A., Chadwick, D. R., Jones, D. L., Evans, C. D., Jones, M. B., ... &amp; Smith, P. (2018). Critical review of the impacts of grazing intensity on soil organic carbon storage and other soil quality indicators in extensively managed grasslands. </w:t>
      </w:r>
      <w:r w:rsidRPr="00C3645A">
        <w:rPr>
          <w:rFonts w:ascii="Arial" w:hAnsi="Arial" w:cs="Arial"/>
          <w:i/>
          <w:iCs/>
          <w:color w:val="auto"/>
          <w:sz w:val="20"/>
          <w:szCs w:val="20"/>
          <w:shd w:val="clear" w:color="auto" w:fill="FFFFFF"/>
        </w:rPr>
        <w:t>Agriculture, Ecosystems &amp;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253</w:t>
      </w:r>
      <w:r w:rsidRPr="00C3645A">
        <w:rPr>
          <w:rFonts w:ascii="Arial" w:hAnsi="Arial" w:cs="Arial"/>
          <w:color w:val="auto"/>
          <w:sz w:val="20"/>
          <w:szCs w:val="20"/>
          <w:shd w:val="clear" w:color="auto" w:fill="FFFFFF"/>
        </w:rPr>
        <w:t>, 62-81.</w:t>
      </w:r>
    </w:p>
    <w:p w14:paraId="344342F5" w14:textId="752F9D71" w:rsidR="00D05309" w:rsidRPr="00C3645A" w:rsidRDefault="00D05309" w:rsidP="000317D2">
      <w:pPr>
        <w:pStyle w:val="PubliManuscript"/>
        <w:spacing w:line="240"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Alsajri</w:t>
      </w:r>
      <w:proofErr w:type="spellEnd"/>
      <w:r w:rsidRPr="00C3645A">
        <w:rPr>
          <w:rFonts w:ascii="Arial" w:hAnsi="Arial" w:cs="Arial"/>
          <w:color w:val="auto"/>
          <w:sz w:val="20"/>
          <w:szCs w:val="20"/>
          <w:shd w:val="clear" w:color="auto" w:fill="FFFFFF"/>
        </w:rPr>
        <w:t xml:space="preserve">, F. A., </w:t>
      </w:r>
      <w:proofErr w:type="spellStart"/>
      <w:r w:rsidRPr="00C3645A">
        <w:rPr>
          <w:rFonts w:ascii="Arial" w:hAnsi="Arial" w:cs="Arial"/>
          <w:color w:val="auto"/>
          <w:sz w:val="20"/>
          <w:szCs w:val="20"/>
          <w:shd w:val="clear" w:color="auto" w:fill="FFFFFF"/>
        </w:rPr>
        <w:t>Wijewardana</w:t>
      </w:r>
      <w:proofErr w:type="spellEnd"/>
      <w:r w:rsidRPr="00C3645A">
        <w:rPr>
          <w:rFonts w:ascii="Arial" w:hAnsi="Arial" w:cs="Arial"/>
          <w:color w:val="auto"/>
          <w:sz w:val="20"/>
          <w:szCs w:val="20"/>
          <w:shd w:val="clear" w:color="auto" w:fill="FFFFFF"/>
        </w:rPr>
        <w:t xml:space="preserve">, C., Irby, J. T., </w:t>
      </w:r>
      <w:proofErr w:type="spellStart"/>
      <w:r w:rsidRPr="00C3645A">
        <w:rPr>
          <w:rFonts w:ascii="Arial" w:hAnsi="Arial" w:cs="Arial"/>
          <w:color w:val="auto"/>
          <w:sz w:val="20"/>
          <w:szCs w:val="20"/>
          <w:shd w:val="clear" w:color="auto" w:fill="FFFFFF"/>
        </w:rPr>
        <w:t>Bellaloui</w:t>
      </w:r>
      <w:proofErr w:type="spellEnd"/>
      <w:r w:rsidRPr="00C3645A">
        <w:rPr>
          <w:rFonts w:ascii="Arial" w:hAnsi="Arial" w:cs="Arial"/>
          <w:color w:val="auto"/>
          <w:sz w:val="20"/>
          <w:szCs w:val="20"/>
          <w:shd w:val="clear" w:color="auto" w:fill="FFFFFF"/>
        </w:rPr>
        <w:t>, N., Krutz, L. J., Golden, B., ... &amp; Reddy, K. R. (2020). Developing functional relationships between temperature and soybean yield and seed quality. </w:t>
      </w:r>
      <w:r w:rsidRPr="00C3645A">
        <w:rPr>
          <w:rFonts w:ascii="Arial" w:hAnsi="Arial" w:cs="Arial"/>
          <w:i/>
          <w:iCs/>
          <w:color w:val="auto"/>
          <w:sz w:val="20"/>
          <w:szCs w:val="20"/>
          <w:shd w:val="clear" w:color="auto" w:fill="FFFFFF"/>
        </w:rPr>
        <w:t>Agronomy Journal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112</w:t>
      </w:r>
      <w:r w:rsidRPr="00C3645A">
        <w:rPr>
          <w:rFonts w:ascii="Arial" w:hAnsi="Arial" w:cs="Arial"/>
          <w:color w:val="auto"/>
          <w:sz w:val="20"/>
          <w:szCs w:val="20"/>
          <w:shd w:val="clear" w:color="auto" w:fill="FFFFFF"/>
        </w:rPr>
        <w:t xml:space="preserve">(1), 194-204. </w:t>
      </w:r>
      <w:hyperlink r:id="rId14" w:history="1">
        <w:r w:rsidR="006C22DD" w:rsidRPr="00C3645A">
          <w:rPr>
            <w:rFonts w:ascii="Arial" w:hAnsi="Arial" w:cs="Arial"/>
            <w:color w:val="auto"/>
            <w:sz w:val="20"/>
            <w:szCs w:val="20"/>
          </w:rPr>
          <w:t>https://doi.org/10.1002/agj2.20034</w:t>
        </w:r>
      </w:hyperlink>
    </w:p>
    <w:p w14:paraId="35A81D45" w14:textId="46A49DB7" w:rsidR="00667712" w:rsidRPr="00C3645A" w:rsidRDefault="00215509" w:rsidP="000317D2">
      <w:pPr>
        <w:pStyle w:val="PubliManuscript"/>
        <w:spacing w:line="240" w:lineRule="auto"/>
        <w:ind w:firstLine="0"/>
        <w:rPr>
          <w:rFonts w:ascii="Arial" w:hAnsi="Arial" w:cs="Arial"/>
          <w:color w:val="auto"/>
          <w:sz w:val="20"/>
          <w:szCs w:val="20"/>
        </w:rPr>
      </w:pPr>
      <w:r w:rsidRPr="00C3645A">
        <w:rPr>
          <w:rFonts w:ascii="Arial" w:hAnsi="Arial" w:cs="Arial"/>
          <w:color w:val="auto"/>
          <w:sz w:val="20"/>
          <w:szCs w:val="20"/>
          <w:shd w:val="clear" w:color="auto" w:fill="FFFFFF"/>
        </w:rPr>
        <w:t xml:space="preserve">Angelidis, A., Crompton, L., </w:t>
      </w:r>
      <w:proofErr w:type="spellStart"/>
      <w:r w:rsidRPr="00C3645A">
        <w:rPr>
          <w:rFonts w:ascii="Arial" w:hAnsi="Arial" w:cs="Arial"/>
          <w:color w:val="auto"/>
          <w:sz w:val="20"/>
          <w:szCs w:val="20"/>
          <w:shd w:val="clear" w:color="auto" w:fill="FFFFFF"/>
        </w:rPr>
        <w:t>Misselbrook</w:t>
      </w:r>
      <w:proofErr w:type="spellEnd"/>
      <w:r w:rsidRPr="00C3645A">
        <w:rPr>
          <w:rFonts w:ascii="Arial" w:hAnsi="Arial" w:cs="Arial"/>
          <w:color w:val="auto"/>
          <w:sz w:val="20"/>
          <w:szCs w:val="20"/>
          <w:shd w:val="clear" w:color="auto" w:fill="FFFFFF"/>
        </w:rPr>
        <w:t xml:space="preserve">, T., Yan, T., Reynolds, C. K., &amp; </w:t>
      </w:r>
      <w:proofErr w:type="spellStart"/>
      <w:r w:rsidRPr="00C3645A">
        <w:rPr>
          <w:rFonts w:ascii="Arial" w:hAnsi="Arial" w:cs="Arial"/>
          <w:color w:val="auto"/>
          <w:sz w:val="20"/>
          <w:szCs w:val="20"/>
          <w:shd w:val="clear" w:color="auto" w:fill="FFFFFF"/>
        </w:rPr>
        <w:t>Stergiadis</w:t>
      </w:r>
      <w:proofErr w:type="spellEnd"/>
      <w:r w:rsidRPr="00C3645A">
        <w:rPr>
          <w:rFonts w:ascii="Arial" w:hAnsi="Arial" w:cs="Arial"/>
          <w:color w:val="auto"/>
          <w:sz w:val="20"/>
          <w:szCs w:val="20"/>
          <w:shd w:val="clear" w:color="auto" w:fill="FFFFFF"/>
        </w:rPr>
        <w:t>, S. (2019). Evaluation and prediction of nitrogen use efficiency and outputs in faeces and urine in beef cattle. </w:t>
      </w:r>
      <w:r w:rsidRPr="00C3645A">
        <w:rPr>
          <w:rFonts w:ascii="Arial" w:hAnsi="Arial" w:cs="Arial"/>
          <w:i/>
          <w:iCs/>
          <w:color w:val="auto"/>
          <w:sz w:val="20"/>
          <w:szCs w:val="20"/>
          <w:shd w:val="clear" w:color="auto" w:fill="FFFFFF"/>
        </w:rPr>
        <w:t>Agriculture, Ecosystems &amp;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280</w:t>
      </w:r>
      <w:r w:rsidRPr="00C3645A">
        <w:rPr>
          <w:rFonts w:ascii="Arial" w:hAnsi="Arial" w:cs="Arial"/>
          <w:color w:val="auto"/>
          <w:sz w:val="20"/>
          <w:szCs w:val="20"/>
          <w:shd w:val="clear" w:color="auto" w:fill="FFFFFF"/>
        </w:rPr>
        <w:t xml:space="preserve">, 1-15. </w:t>
      </w:r>
      <w:hyperlink r:id="rId15" w:tgtFrame="_blank" w:tooltip="Persistent link using digital object identifier" w:history="1">
        <w:r w:rsidR="000754B8" w:rsidRPr="00C3645A">
          <w:rPr>
            <w:rFonts w:ascii="Arial" w:hAnsi="Arial" w:cs="Arial"/>
            <w:color w:val="auto"/>
            <w:sz w:val="20"/>
            <w:szCs w:val="20"/>
          </w:rPr>
          <w:t>https://doi.org/10.1016/j.agee.2019.04.013</w:t>
        </w:r>
      </w:hyperlink>
    </w:p>
    <w:p w14:paraId="43DF77A2" w14:textId="3B9C3DF9" w:rsidR="00A80342" w:rsidRPr="00C3645A" w:rsidRDefault="00A80342" w:rsidP="001F7C72">
      <w:pPr>
        <w:spacing w:after="0" w:line="240" w:lineRule="auto"/>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Asseng</w:t>
      </w:r>
      <w:proofErr w:type="spellEnd"/>
      <w:r w:rsidRPr="00C3645A">
        <w:rPr>
          <w:rFonts w:ascii="Arial" w:hAnsi="Arial" w:cs="Arial"/>
          <w:color w:val="auto"/>
          <w:sz w:val="20"/>
          <w:szCs w:val="20"/>
          <w:shd w:val="clear" w:color="auto" w:fill="FFFFFF"/>
        </w:rPr>
        <w:t xml:space="preserve">, S., </w:t>
      </w:r>
      <w:proofErr w:type="spellStart"/>
      <w:r w:rsidRPr="00C3645A">
        <w:rPr>
          <w:rFonts w:ascii="Arial" w:hAnsi="Arial" w:cs="Arial"/>
          <w:color w:val="auto"/>
          <w:sz w:val="20"/>
          <w:szCs w:val="20"/>
          <w:shd w:val="clear" w:color="auto" w:fill="FFFFFF"/>
        </w:rPr>
        <w:t>Martre</w:t>
      </w:r>
      <w:proofErr w:type="spellEnd"/>
      <w:r w:rsidRPr="00C3645A">
        <w:rPr>
          <w:rFonts w:ascii="Arial" w:hAnsi="Arial" w:cs="Arial"/>
          <w:color w:val="auto"/>
          <w:sz w:val="20"/>
          <w:szCs w:val="20"/>
          <w:shd w:val="clear" w:color="auto" w:fill="FFFFFF"/>
        </w:rPr>
        <w:t xml:space="preserve">, P., Maiorano, A., </w:t>
      </w:r>
      <w:proofErr w:type="spellStart"/>
      <w:r w:rsidRPr="00C3645A">
        <w:rPr>
          <w:rFonts w:ascii="Arial" w:hAnsi="Arial" w:cs="Arial"/>
          <w:color w:val="auto"/>
          <w:sz w:val="20"/>
          <w:szCs w:val="20"/>
          <w:shd w:val="clear" w:color="auto" w:fill="FFFFFF"/>
        </w:rPr>
        <w:t>Rötter</w:t>
      </w:r>
      <w:proofErr w:type="spellEnd"/>
      <w:r w:rsidRPr="00C3645A">
        <w:rPr>
          <w:rFonts w:ascii="Arial" w:hAnsi="Arial" w:cs="Arial"/>
          <w:color w:val="auto"/>
          <w:sz w:val="20"/>
          <w:szCs w:val="20"/>
          <w:shd w:val="clear" w:color="auto" w:fill="FFFFFF"/>
        </w:rPr>
        <w:t>, R. P., O’Leary, G. J., Fitzgerald, G. J., ... &amp; Ewert, F. (2019). Climate change impact and adaptation for wheat protein. </w:t>
      </w:r>
      <w:r w:rsidRPr="00C3645A">
        <w:rPr>
          <w:rFonts w:ascii="Arial" w:hAnsi="Arial" w:cs="Arial"/>
          <w:i/>
          <w:iCs/>
          <w:color w:val="auto"/>
          <w:sz w:val="20"/>
          <w:szCs w:val="20"/>
          <w:shd w:val="clear" w:color="auto" w:fill="FFFFFF"/>
        </w:rPr>
        <w:t>Global change biology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25</w:t>
      </w:r>
      <w:r w:rsidRPr="00C3645A">
        <w:rPr>
          <w:rFonts w:ascii="Arial" w:hAnsi="Arial" w:cs="Arial"/>
          <w:color w:val="auto"/>
          <w:sz w:val="20"/>
          <w:szCs w:val="20"/>
          <w:shd w:val="clear" w:color="auto" w:fill="FFFFFF"/>
        </w:rPr>
        <w:t xml:space="preserve">(1), 155-173. </w:t>
      </w:r>
      <w:hyperlink r:id="rId16" w:history="1">
        <w:r w:rsidR="001F7C72" w:rsidRPr="00C3645A">
          <w:rPr>
            <w:rFonts w:ascii="Arial" w:hAnsi="Arial" w:cs="Arial"/>
            <w:color w:val="auto"/>
            <w:sz w:val="20"/>
            <w:szCs w:val="20"/>
            <w:shd w:val="clear" w:color="auto" w:fill="FFFFFF"/>
          </w:rPr>
          <w:t>https://doi.org/10.1111/gcb.14481</w:t>
        </w:r>
      </w:hyperlink>
    </w:p>
    <w:p w14:paraId="6168B06C" w14:textId="352B1062" w:rsidR="001F7C72" w:rsidRPr="00C3645A" w:rsidRDefault="001F7C72" w:rsidP="001F7C72">
      <w:pPr>
        <w:spacing w:after="0" w:line="240" w:lineRule="auto"/>
        <w:jc w:val="both"/>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Bassu</w:t>
      </w:r>
      <w:proofErr w:type="spellEnd"/>
      <w:r w:rsidRPr="00C3645A">
        <w:rPr>
          <w:rFonts w:ascii="Arial" w:hAnsi="Arial" w:cs="Arial"/>
          <w:color w:val="auto"/>
          <w:sz w:val="20"/>
          <w:szCs w:val="20"/>
          <w:shd w:val="clear" w:color="auto" w:fill="FFFFFF"/>
        </w:rPr>
        <w:t xml:space="preserve">, S., Brisson, N., Durand, J. L., Boote, K., Lizaso, J., Jones, J. W., ... &amp; </w:t>
      </w:r>
      <w:proofErr w:type="spellStart"/>
      <w:r w:rsidRPr="00C3645A">
        <w:rPr>
          <w:rFonts w:ascii="Arial" w:hAnsi="Arial" w:cs="Arial"/>
          <w:color w:val="auto"/>
          <w:sz w:val="20"/>
          <w:szCs w:val="20"/>
          <w:shd w:val="clear" w:color="auto" w:fill="FFFFFF"/>
        </w:rPr>
        <w:t>Waha</w:t>
      </w:r>
      <w:proofErr w:type="spellEnd"/>
      <w:r w:rsidRPr="00C3645A">
        <w:rPr>
          <w:rFonts w:ascii="Arial" w:hAnsi="Arial" w:cs="Arial"/>
          <w:color w:val="auto"/>
          <w:sz w:val="20"/>
          <w:szCs w:val="20"/>
          <w:shd w:val="clear" w:color="auto" w:fill="FFFFFF"/>
        </w:rPr>
        <w:t>, K. (2014). How do various maize crop models vary in their responses to climate change factors?. </w:t>
      </w:r>
      <w:r w:rsidRPr="00C3645A">
        <w:rPr>
          <w:rFonts w:ascii="Arial" w:hAnsi="Arial" w:cs="Arial"/>
          <w:i/>
          <w:iCs/>
          <w:color w:val="auto"/>
          <w:sz w:val="20"/>
          <w:szCs w:val="20"/>
          <w:shd w:val="clear" w:color="auto" w:fill="FFFFFF"/>
        </w:rPr>
        <w:t>Global change biology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20</w:t>
      </w:r>
      <w:r w:rsidRPr="00C3645A">
        <w:rPr>
          <w:rFonts w:ascii="Arial" w:hAnsi="Arial" w:cs="Arial"/>
          <w:color w:val="auto"/>
          <w:sz w:val="20"/>
          <w:szCs w:val="20"/>
          <w:shd w:val="clear" w:color="auto" w:fill="FFFFFF"/>
        </w:rPr>
        <w:t xml:space="preserve">(7), 2301-2320. </w:t>
      </w:r>
      <w:hyperlink r:id="rId17" w:history="1">
        <w:r w:rsidRPr="00C3645A">
          <w:rPr>
            <w:rFonts w:ascii="Arial" w:hAnsi="Arial" w:cs="Arial"/>
            <w:color w:val="auto"/>
            <w:sz w:val="20"/>
            <w:szCs w:val="20"/>
            <w:shd w:val="clear" w:color="auto" w:fill="FFFFFF"/>
          </w:rPr>
          <w:t>https://doi.org/10.1111/gcb.12520</w:t>
        </w:r>
      </w:hyperlink>
    </w:p>
    <w:p w14:paraId="30DED661" w14:textId="6801E8EA" w:rsidR="003A2CB9" w:rsidRPr="00C3645A" w:rsidRDefault="003A2CB9" w:rsidP="00166713">
      <w:pPr>
        <w:pStyle w:val="PubliManuscript"/>
        <w:spacing w:line="240" w:lineRule="auto"/>
        <w:ind w:firstLine="0"/>
        <w:rPr>
          <w:rFonts w:ascii="Arial" w:hAnsi="Arial" w:cs="Arial"/>
          <w:color w:val="auto"/>
          <w:sz w:val="20"/>
          <w:szCs w:val="20"/>
        </w:rPr>
      </w:pPr>
      <w:r w:rsidRPr="00C3645A">
        <w:rPr>
          <w:rFonts w:ascii="Arial" w:hAnsi="Arial" w:cs="Arial"/>
          <w:color w:val="auto"/>
          <w:sz w:val="20"/>
          <w:szCs w:val="20"/>
          <w:shd w:val="clear" w:color="auto" w:fill="FFFFFF"/>
        </w:rPr>
        <w:t xml:space="preserve">Beaudoin, N., Launay, M., </w:t>
      </w:r>
      <w:proofErr w:type="spellStart"/>
      <w:r w:rsidRPr="00C3645A">
        <w:rPr>
          <w:rFonts w:ascii="Arial" w:hAnsi="Arial" w:cs="Arial"/>
          <w:color w:val="auto"/>
          <w:sz w:val="20"/>
          <w:szCs w:val="20"/>
          <w:shd w:val="clear" w:color="auto" w:fill="FFFFFF"/>
        </w:rPr>
        <w:t>Sauboua</w:t>
      </w:r>
      <w:proofErr w:type="spellEnd"/>
      <w:r w:rsidRPr="00C3645A">
        <w:rPr>
          <w:rFonts w:ascii="Arial" w:hAnsi="Arial" w:cs="Arial"/>
          <w:color w:val="auto"/>
          <w:sz w:val="20"/>
          <w:szCs w:val="20"/>
          <w:shd w:val="clear" w:color="auto" w:fill="FFFFFF"/>
        </w:rPr>
        <w:t xml:space="preserve">, E., </w:t>
      </w:r>
      <w:proofErr w:type="spellStart"/>
      <w:r w:rsidRPr="00C3645A">
        <w:rPr>
          <w:rFonts w:ascii="Arial" w:hAnsi="Arial" w:cs="Arial"/>
          <w:color w:val="auto"/>
          <w:sz w:val="20"/>
          <w:szCs w:val="20"/>
          <w:shd w:val="clear" w:color="auto" w:fill="FFFFFF"/>
        </w:rPr>
        <w:t>Ponsardin</w:t>
      </w:r>
      <w:proofErr w:type="spellEnd"/>
      <w:r w:rsidRPr="00C3645A">
        <w:rPr>
          <w:rFonts w:ascii="Arial" w:hAnsi="Arial" w:cs="Arial"/>
          <w:color w:val="auto"/>
          <w:sz w:val="20"/>
          <w:szCs w:val="20"/>
          <w:shd w:val="clear" w:color="auto" w:fill="FFFFFF"/>
        </w:rPr>
        <w:t xml:space="preserve">, G., &amp; Mary, B. (2008). Evaluation of the soil-crop model STICS over 8 years against the “on farm” database of </w:t>
      </w:r>
      <w:proofErr w:type="spellStart"/>
      <w:r w:rsidRPr="00C3645A">
        <w:rPr>
          <w:rFonts w:ascii="Arial" w:hAnsi="Arial" w:cs="Arial"/>
          <w:color w:val="auto"/>
          <w:sz w:val="20"/>
          <w:szCs w:val="20"/>
          <w:shd w:val="clear" w:color="auto" w:fill="FFFFFF"/>
        </w:rPr>
        <w:t>Bruyères</w:t>
      </w:r>
      <w:proofErr w:type="spellEnd"/>
      <w:r w:rsidRPr="00C3645A">
        <w:rPr>
          <w:rFonts w:ascii="Arial" w:hAnsi="Arial" w:cs="Arial"/>
          <w:color w:val="auto"/>
          <w:sz w:val="20"/>
          <w:szCs w:val="20"/>
          <w:shd w:val="clear" w:color="auto" w:fill="FFFFFF"/>
        </w:rPr>
        <w:t xml:space="preserve"> catchment. </w:t>
      </w:r>
      <w:r w:rsidRPr="00C3645A">
        <w:rPr>
          <w:rFonts w:ascii="Arial" w:hAnsi="Arial" w:cs="Arial"/>
          <w:i/>
          <w:iCs/>
          <w:color w:val="auto"/>
          <w:sz w:val="20"/>
          <w:szCs w:val="20"/>
          <w:shd w:val="clear" w:color="auto" w:fill="FFFFFF"/>
        </w:rPr>
        <w:t>European Journal of Agronomy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29</w:t>
      </w:r>
      <w:r w:rsidRPr="00C3645A">
        <w:rPr>
          <w:rFonts w:ascii="Arial" w:hAnsi="Arial" w:cs="Arial"/>
          <w:color w:val="auto"/>
          <w:sz w:val="20"/>
          <w:szCs w:val="20"/>
          <w:shd w:val="clear" w:color="auto" w:fill="FFFFFF"/>
        </w:rPr>
        <w:t xml:space="preserve">(1), 46-57. </w:t>
      </w:r>
      <w:hyperlink r:id="rId18" w:tgtFrame="_blank" w:tooltip="Persistent link using digital object identifier" w:history="1">
        <w:r w:rsidRPr="00C3645A">
          <w:rPr>
            <w:rFonts w:ascii="Arial" w:hAnsi="Arial" w:cs="Arial"/>
            <w:color w:val="auto"/>
            <w:sz w:val="20"/>
            <w:szCs w:val="20"/>
          </w:rPr>
          <w:t>https://doi.org/10.1016/j.eja.2008.03.001</w:t>
        </w:r>
      </w:hyperlink>
    </w:p>
    <w:p w14:paraId="33A9317C" w14:textId="106C96B8" w:rsidR="00166713" w:rsidRPr="00C3645A" w:rsidRDefault="00166713" w:rsidP="00166713">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Beaudoin N., </w:t>
      </w:r>
      <w:proofErr w:type="spellStart"/>
      <w:r w:rsidRPr="00C3645A">
        <w:rPr>
          <w:rFonts w:ascii="Arial" w:hAnsi="Arial" w:cs="Arial"/>
          <w:color w:val="auto"/>
          <w:sz w:val="20"/>
          <w:szCs w:val="20"/>
          <w:shd w:val="clear" w:color="auto" w:fill="FFFFFF"/>
        </w:rPr>
        <w:t>Lecharpentier</w:t>
      </w:r>
      <w:proofErr w:type="spellEnd"/>
      <w:r w:rsidRPr="00C3645A">
        <w:rPr>
          <w:rFonts w:ascii="Arial" w:hAnsi="Arial" w:cs="Arial"/>
          <w:color w:val="auto"/>
          <w:sz w:val="20"/>
          <w:szCs w:val="20"/>
          <w:shd w:val="clear" w:color="auto" w:fill="FFFFFF"/>
        </w:rPr>
        <w:t xml:space="preserve"> P., </w:t>
      </w:r>
      <w:proofErr w:type="spellStart"/>
      <w:r w:rsidRPr="00C3645A">
        <w:rPr>
          <w:rFonts w:ascii="Arial" w:hAnsi="Arial" w:cs="Arial"/>
          <w:color w:val="auto"/>
          <w:sz w:val="20"/>
          <w:szCs w:val="20"/>
          <w:shd w:val="clear" w:color="auto" w:fill="FFFFFF"/>
        </w:rPr>
        <w:t>Ripoche</w:t>
      </w:r>
      <w:proofErr w:type="spellEnd"/>
      <w:r w:rsidRPr="00C3645A">
        <w:rPr>
          <w:rFonts w:ascii="Arial" w:hAnsi="Arial" w:cs="Arial"/>
          <w:color w:val="auto"/>
          <w:sz w:val="20"/>
          <w:szCs w:val="20"/>
          <w:shd w:val="clear" w:color="auto" w:fill="FFFFFF"/>
        </w:rPr>
        <w:t xml:space="preserve"> D., </w:t>
      </w:r>
      <w:proofErr w:type="spellStart"/>
      <w:r w:rsidRPr="00C3645A">
        <w:rPr>
          <w:rFonts w:ascii="Arial" w:hAnsi="Arial" w:cs="Arial"/>
          <w:color w:val="auto"/>
          <w:sz w:val="20"/>
          <w:szCs w:val="20"/>
          <w:shd w:val="clear" w:color="auto" w:fill="FFFFFF"/>
        </w:rPr>
        <w:t>Strullu</w:t>
      </w:r>
      <w:proofErr w:type="spellEnd"/>
      <w:r w:rsidRPr="00C3645A">
        <w:rPr>
          <w:rFonts w:ascii="Arial" w:hAnsi="Arial" w:cs="Arial"/>
          <w:color w:val="auto"/>
          <w:sz w:val="20"/>
          <w:szCs w:val="20"/>
          <w:shd w:val="clear" w:color="auto" w:fill="FFFFFF"/>
        </w:rPr>
        <w:t xml:space="preserve"> L., Mary B., Leonard J., Launay M., </w:t>
      </w:r>
      <w:proofErr w:type="spellStart"/>
      <w:r w:rsidRPr="00C3645A">
        <w:rPr>
          <w:rFonts w:ascii="Arial" w:hAnsi="Arial" w:cs="Arial"/>
          <w:color w:val="auto"/>
          <w:sz w:val="20"/>
          <w:szCs w:val="20"/>
          <w:shd w:val="clear" w:color="auto" w:fill="FFFFFF"/>
        </w:rPr>
        <w:t>Justes</w:t>
      </w:r>
      <w:proofErr w:type="spellEnd"/>
      <w:r w:rsidRPr="00C3645A">
        <w:rPr>
          <w:rFonts w:ascii="Arial" w:hAnsi="Arial" w:cs="Arial"/>
          <w:color w:val="auto"/>
          <w:sz w:val="20"/>
          <w:szCs w:val="20"/>
          <w:shd w:val="clear" w:color="auto" w:fill="FFFFFF"/>
        </w:rPr>
        <w:t xml:space="preserve"> E., eds. 2022. STICS soil-crop model. Conceptual framework, equations and uses, Versailles, Éditions </w:t>
      </w:r>
      <w:proofErr w:type="spellStart"/>
      <w:r w:rsidRPr="00C3645A">
        <w:rPr>
          <w:rFonts w:ascii="Arial" w:hAnsi="Arial" w:cs="Arial"/>
          <w:color w:val="auto"/>
          <w:sz w:val="20"/>
          <w:szCs w:val="20"/>
          <w:shd w:val="clear" w:color="auto" w:fill="FFFFFF"/>
        </w:rPr>
        <w:t>Quæ</w:t>
      </w:r>
      <w:proofErr w:type="spellEnd"/>
      <w:r w:rsidRPr="00C3645A">
        <w:rPr>
          <w:rFonts w:ascii="Arial" w:hAnsi="Arial" w:cs="Arial"/>
          <w:color w:val="auto"/>
          <w:sz w:val="20"/>
          <w:szCs w:val="20"/>
          <w:shd w:val="clear" w:color="auto" w:fill="FFFFFF"/>
        </w:rPr>
        <w:t>.</w:t>
      </w:r>
    </w:p>
    <w:p w14:paraId="2954E56C" w14:textId="311DDB09" w:rsidR="00B03B0C" w:rsidRPr="00C3645A" w:rsidRDefault="00B03B0C" w:rsidP="000317D2">
      <w:pPr>
        <w:pStyle w:val="PubliManuscript"/>
        <w:spacing w:line="240" w:lineRule="auto"/>
        <w:ind w:firstLine="0"/>
        <w:rPr>
          <w:rStyle w:val="anchor-text"/>
          <w:rFonts w:ascii="Arial" w:hAnsi="Arial" w:cs="Arial"/>
          <w:color w:val="auto"/>
          <w:sz w:val="20"/>
          <w:szCs w:val="20"/>
        </w:rPr>
      </w:pPr>
      <w:r w:rsidRPr="00C3645A">
        <w:rPr>
          <w:rFonts w:ascii="Arial" w:hAnsi="Arial" w:cs="Arial"/>
          <w:color w:val="auto"/>
          <w:sz w:val="20"/>
          <w:szCs w:val="20"/>
          <w:shd w:val="clear" w:color="auto" w:fill="FFFFFF"/>
        </w:rPr>
        <w:t>Bell, L. W., &amp; Moore, A. D. (2012). Integrated crop–livestock systems in Australian agriculture: Trends, drivers and implications. </w:t>
      </w:r>
      <w:r w:rsidRPr="00C3645A">
        <w:rPr>
          <w:rFonts w:ascii="Arial" w:hAnsi="Arial" w:cs="Arial"/>
          <w:i/>
          <w:iCs/>
          <w:color w:val="auto"/>
          <w:sz w:val="20"/>
          <w:szCs w:val="20"/>
          <w:shd w:val="clear" w:color="auto" w:fill="FFFFFF"/>
        </w:rPr>
        <w:t>Agricultural Systems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111</w:t>
      </w:r>
      <w:r w:rsidRPr="00C3645A">
        <w:rPr>
          <w:rFonts w:ascii="Arial" w:hAnsi="Arial" w:cs="Arial"/>
          <w:color w:val="auto"/>
          <w:sz w:val="20"/>
          <w:szCs w:val="20"/>
          <w:shd w:val="clear" w:color="auto" w:fill="FFFFFF"/>
        </w:rPr>
        <w:t xml:space="preserve">, 1-12. </w:t>
      </w:r>
      <w:hyperlink r:id="rId19" w:history="1">
        <w:r w:rsidR="001B12AF" w:rsidRPr="00C3645A">
          <w:rPr>
            <w:rStyle w:val="Lienhypertexte"/>
            <w:rFonts w:ascii="Arial" w:hAnsi="Arial" w:cs="Arial"/>
            <w:color w:val="auto"/>
            <w:sz w:val="20"/>
            <w:szCs w:val="20"/>
            <w:u w:val="none"/>
          </w:rPr>
          <w:t>https://doi.org/10.1016/j.agsy.2012.04.003</w:t>
        </w:r>
      </w:hyperlink>
    </w:p>
    <w:p w14:paraId="167D1009" w14:textId="6F546E25" w:rsidR="001F5F7C" w:rsidRPr="00C3645A" w:rsidRDefault="001F5F7C" w:rsidP="000317D2">
      <w:pPr>
        <w:pStyle w:val="PubliManuscript"/>
        <w:spacing w:line="240" w:lineRule="auto"/>
        <w:ind w:firstLine="0"/>
        <w:rPr>
          <w:rStyle w:val="anchor-text"/>
          <w:rFonts w:ascii="Arial" w:hAnsi="Arial" w:cs="Arial"/>
          <w:color w:val="auto"/>
          <w:sz w:val="20"/>
          <w:szCs w:val="20"/>
        </w:rPr>
      </w:pPr>
      <w:r w:rsidRPr="00C3645A">
        <w:rPr>
          <w:rFonts w:ascii="Arial" w:hAnsi="Arial" w:cs="Arial"/>
          <w:color w:val="auto"/>
          <w:sz w:val="20"/>
          <w:szCs w:val="20"/>
          <w:shd w:val="clear" w:color="auto" w:fill="FFFFFF"/>
        </w:rPr>
        <w:t>Bell, L. W., Moore, A. D., &amp; Kirkegaard, J. A. (2014). Evolution in crop–livestock integration systems that improve farm productivity and environmental performance in Australia. </w:t>
      </w:r>
      <w:r w:rsidRPr="00C3645A">
        <w:rPr>
          <w:rFonts w:ascii="Arial" w:hAnsi="Arial" w:cs="Arial"/>
          <w:i/>
          <w:iCs/>
          <w:color w:val="auto"/>
          <w:sz w:val="20"/>
          <w:szCs w:val="20"/>
          <w:shd w:val="clear" w:color="auto" w:fill="FFFFFF"/>
        </w:rPr>
        <w:t>European Journal of Agronomy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57</w:t>
      </w:r>
      <w:r w:rsidRPr="00C3645A">
        <w:rPr>
          <w:rFonts w:ascii="Arial" w:hAnsi="Arial" w:cs="Arial"/>
          <w:color w:val="auto"/>
          <w:sz w:val="20"/>
          <w:szCs w:val="20"/>
          <w:shd w:val="clear" w:color="auto" w:fill="FFFFFF"/>
        </w:rPr>
        <w:t xml:space="preserve">, 10-20. </w:t>
      </w:r>
      <w:hyperlink r:id="rId20" w:tgtFrame="_blank" w:tooltip="Persistent link using digital object identifier" w:history="1">
        <w:r w:rsidR="00964B93" w:rsidRPr="00C3645A">
          <w:rPr>
            <w:rStyle w:val="anchor-text"/>
            <w:rFonts w:ascii="Arial" w:hAnsi="Arial" w:cs="Arial"/>
            <w:color w:val="auto"/>
            <w:sz w:val="20"/>
            <w:szCs w:val="20"/>
          </w:rPr>
          <w:t>https://doi.org/10.1016/j.eja.2013.04.007</w:t>
        </w:r>
      </w:hyperlink>
    </w:p>
    <w:p w14:paraId="4F296C25" w14:textId="5F0BAF75" w:rsidR="003E4DD5" w:rsidRPr="00C3645A" w:rsidRDefault="003E4DD5" w:rsidP="000317D2">
      <w:pPr>
        <w:pStyle w:val="PubliManuscript"/>
        <w:spacing w:line="240"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Bernabucci</w:t>
      </w:r>
      <w:proofErr w:type="spellEnd"/>
      <w:r w:rsidRPr="00C3645A">
        <w:rPr>
          <w:rFonts w:ascii="Arial" w:hAnsi="Arial" w:cs="Arial"/>
          <w:color w:val="auto"/>
          <w:sz w:val="20"/>
          <w:szCs w:val="20"/>
          <w:shd w:val="clear" w:color="auto" w:fill="FFFFFF"/>
        </w:rPr>
        <w:t>, U. (2019). Climate change: impact on livestock and how can we adapt. </w:t>
      </w:r>
      <w:r w:rsidRPr="00C3645A">
        <w:rPr>
          <w:rFonts w:ascii="Arial" w:hAnsi="Arial" w:cs="Arial"/>
          <w:i/>
          <w:iCs/>
          <w:color w:val="auto"/>
          <w:sz w:val="20"/>
          <w:szCs w:val="20"/>
          <w:shd w:val="clear" w:color="auto" w:fill="FFFFFF"/>
        </w:rPr>
        <w:t>Animal Frontiers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9</w:t>
      </w:r>
      <w:r w:rsidRPr="00C3645A">
        <w:rPr>
          <w:rFonts w:ascii="Arial" w:hAnsi="Arial" w:cs="Arial"/>
          <w:color w:val="auto"/>
          <w:sz w:val="20"/>
          <w:szCs w:val="20"/>
          <w:shd w:val="clear" w:color="auto" w:fill="FFFFFF"/>
        </w:rPr>
        <w:t xml:space="preserve">(1), 3-5. </w:t>
      </w:r>
      <w:hyperlink r:id="rId21" w:history="1">
        <w:r w:rsidR="00832E0D" w:rsidRPr="00C3645A">
          <w:rPr>
            <w:rFonts w:ascii="Arial" w:hAnsi="Arial" w:cs="Arial"/>
            <w:color w:val="auto"/>
            <w:sz w:val="20"/>
            <w:szCs w:val="20"/>
          </w:rPr>
          <w:t>https://doi.org/10.1093/af/vfy039</w:t>
        </w:r>
      </w:hyperlink>
    </w:p>
    <w:p w14:paraId="65EE5154" w14:textId="414F9385" w:rsidR="00200F3B" w:rsidRPr="00C3645A" w:rsidRDefault="00200F3B" w:rsidP="000317D2">
      <w:pPr>
        <w:pStyle w:val="PubliManuscript"/>
        <w:spacing w:line="240" w:lineRule="auto"/>
        <w:ind w:firstLine="0"/>
        <w:rPr>
          <w:rStyle w:val="anchor-text"/>
          <w:rFonts w:ascii="Arial" w:hAnsi="Arial" w:cs="Arial"/>
          <w:color w:val="auto"/>
          <w:sz w:val="20"/>
          <w:szCs w:val="20"/>
        </w:rPr>
      </w:pPr>
      <w:proofErr w:type="spellStart"/>
      <w:r w:rsidRPr="00C3645A">
        <w:rPr>
          <w:rFonts w:ascii="Arial" w:hAnsi="Arial" w:cs="Arial"/>
          <w:color w:val="auto"/>
          <w:sz w:val="20"/>
          <w:szCs w:val="20"/>
          <w:shd w:val="clear" w:color="auto" w:fill="FFFFFF"/>
        </w:rPr>
        <w:t>Bonaudo</w:t>
      </w:r>
      <w:proofErr w:type="spellEnd"/>
      <w:r w:rsidRPr="00C3645A">
        <w:rPr>
          <w:rFonts w:ascii="Arial" w:hAnsi="Arial" w:cs="Arial"/>
          <w:color w:val="auto"/>
          <w:sz w:val="20"/>
          <w:szCs w:val="20"/>
          <w:shd w:val="clear" w:color="auto" w:fill="FFFFFF"/>
        </w:rPr>
        <w:t xml:space="preserve">, T., </w:t>
      </w:r>
      <w:proofErr w:type="spellStart"/>
      <w:r w:rsidRPr="00C3645A">
        <w:rPr>
          <w:rFonts w:ascii="Arial" w:hAnsi="Arial" w:cs="Arial"/>
          <w:color w:val="auto"/>
          <w:sz w:val="20"/>
          <w:szCs w:val="20"/>
          <w:shd w:val="clear" w:color="auto" w:fill="FFFFFF"/>
        </w:rPr>
        <w:t>Bendahan</w:t>
      </w:r>
      <w:proofErr w:type="spellEnd"/>
      <w:r w:rsidRPr="00C3645A">
        <w:rPr>
          <w:rFonts w:ascii="Arial" w:hAnsi="Arial" w:cs="Arial"/>
          <w:color w:val="auto"/>
          <w:sz w:val="20"/>
          <w:szCs w:val="20"/>
          <w:shd w:val="clear" w:color="auto" w:fill="FFFFFF"/>
        </w:rPr>
        <w:t xml:space="preserve">, A. B., Sabatier, R., </w:t>
      </w:r>
      <w:proofErr w:type="spellStart"/>
      <w:r w:rsidRPr="00C3645A">
        <w:rPr>
          <w:rFonts w:ascii="Arial" w:hAnsi="Arial" w:cs="Arial"/>
          <w:color w:val="auto"/>
          <w:sz w:val="20"/>
          <w:szCs w:val="20"/>
          <w:shd w:val="clear" w:color="auto" w:fill="FFFFFF"/>
        </w:rPr>
        <w:t>Ryschawy</w:t>
      </w:r>
      <w:proofErr w:type="spellEnd"/>
      <w:r w:rsidRPr="00C3645A">
        <w:rPr>
          <w:rFonts w:ascii="Arial" w:hAnsi="Arial" w:cs="Arial"/>
          <w:color w:val="auto"/>
          <w:sz w:val="20"/>
          <w:szCs w:val="20"/>
          <w:shd w:val="clear" w:color="auto" w:fill="FFFFFF"/>
        </w:rPr>
        <w:t xml:space="preserve">, J., Bellon, S., Leger, F., ... &amp; </w:t>
      </w:r>
      <w:proofErr w:type="spellStart"/>
      <w:r w:rsidRPr="00C3645A">
        <w:rPr>
          <w:rFonts w:ascii="Arial" w:hAnsi="Arial" w:cs="Arial"/>
          <w:color w:val="auto"/>
          <w:sz w:val="20"/>
          <w:szCs w:val="20"/>
          <w:shd w:val="clear" w:color="auto" w:fill="FFFFFF"/>
        </w:rPr>
        <w:t>Tichit</w:t>
      </w:r>
      <w:proofErr w:type="spellEnd"/>
      <w:r w:rsidRPr="00C3645A">
        <w:rPr>
          <w:rFonts w:ascii="Arial" w:hAnsi="Arial" w:cs="Arial"/>
          <w:color w:val="auto"/>
          <w:sz w:val="20"/>
          <w:szCs w:val="20"/>
          <w:shd w:val="clear" w:color="auto" w:fill="FFFFFF"/>
        </w:rPr>
        <w:t>, M. (2014). Agroecological principles for the redesign of integrated crop–livestock systems. </w:t>
      </w:r>
      <w:r w:rsidR="0015402A" w:rsidRPr="00C3645A">
        <w:rPr>
          <w:rFonts w:ascii="Arial" w:hAnsi="Arial" w:cs="Arial"/>
          <w:i/>
          <w:iCs/>
          <w:color w:val="auto"/>
          <w:sz w:val="20"/>
          <w:szCs w:val="20"/>
          <w:shd w:val="clear" w:color="auto" w:fill="FFFFFF"/>
        </w:rPr>
        <w:t>E</w:t>
      </w:r>
      <w:r w:rsidRPr="00C3645A">
        <w:rPr>
          <w:rFonts w:ascii="Arial" w:hAnsi="Arial" w:cs="Arial"/>
          <w:i/>
          <w:iCs/>
          <w:color w:val="auto"/>
          <w:sz w:val="20"/>
          <w:szCs w:val="20"/>
          <w:shd w:val="clear" w:color="auto" w:fill="FFFFFF"/>
        </w:rPr>
        <w:t>uropean Journal of Agronomy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57</w:t>
      </w:r>
      <w:r w:rsidRPr="00C3645A">
        <w:rPr>
          <w:rFonts w:ascii="Arial" w:hAnsi="Arial" w:cs="Arial"/>
          <w:color w:val="auto"/>
          <w:sz w:val="20"/>
          <w:szCs w:val="20"/>
          <w:shd w:val="clear" w:color="auto" w:fill="FFFFFF"/>
        </w:rPr>
        <w:t xml:space="preserve">, 43-51. </w:t>
      </w:r>
      <w:hyperlink r:id="rId22" w:tgtFrame="_blank" w:tooltip="Persistent link using digital object identifier" w:history="1">
        <w:r w:rsidRPr="00C3645A">
          <w:rPr>
            <w:rStyle w:val="anchor-text"/>
            <w:rFonts w:ascii="Arial" w:hAnsi="Arial" w:cs="Arial"/>
            <w:color w:val="auto"/>
            <w:sz w:val="20"/>
            <w:szCs w:val="20"/>
          </w:rPr>
          <w:t>https://doi.org/10.1016/j.eja.2013.09.010</w:t>
        </w:r>
      </w:hyperlink>
    </w:p>
    <w:p w14:paraId="26A93365" w14:textId="27EA357F" w:rsidR="000B2735" w:rsidRPr="00C3645A" w:rsidRDefault="000B2735"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Boote, K. J., Prasad, V., Allen Jr, L. H., Singh, P., &amp; Jones, J. W. (2018). Modeling sensitivity of grain yield to elevated temperature in the DSSAT crop models for peanut, soybean, dry bean, chickpea, sorghum, and millet. </w:t>
      </w:r>
      <w:r w:rsidRPr="00C3645A">
        <w:rPr>
          <w:rFonts w:ascii="Arial" w:hAnsi="Arial" w:cs="Arial"/>
          <w:i/>
          <w:iCs/>
          <w:color w:val="auto"/>
          <w:sz w:val="20"/>
          <w:szCs w:val="20"/>
          <w:shd w:val="clear" w:color="auto" w:fill="FFFFFF"/>
        </w:rPr>
        <w:t>European Journal of Agronomy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100</w:t>
      </w:r>
      <w:r w:rsidRPr="00C3645A">
        <w:rPr>
          <w:rFonts w:ascii="Arial" w:hAnsi="Arial" w:cs="Arial"/>
          <w:color w:val="auto"/>
          <w:sz w:val="20"/>
          <w:szCs w:val="20"/>
          <w:shd w:val="clear" w:color="auto" w:fill="FFFFFF"/>
        </w:rPr>
        <w:t xml:space="preserve">, 99-109. </w:t>
      </w:r>
      <w:hyperlink r:id="rId23" w:tgtFrame="_blank" w:tooltip="Persistent link using digital object identifier" w:history="1">
        <w:r w:rsidR="00503181" w:rsidRPr="00C3645A">
          <w:rPr>
            <w:rStyle w:val="anchor-text"/>
            <w:rFonts w:ascii="Arial" w:hAnsi="Arial" w:cs="Arial"/>
            <w:color w:val="auto"/>
            <w:sz w:val="20"/>
            <w:szCs w:val="20"/>
          </w:rPr>
          <w:t>https://doi.org/10.1016/j.eja.2017.09.002</w:t>
        </w:r>
      </w:hyperlink>
    </w:p>
    <w:p w14:paraId="18503212" w14:textId="4C5F4ED0" w:rsidR="009E3363" w:rsidRPr="00C3645A" w:rsidRDefault="009E3363" w:rsidP="000317D2">
      <w:pPr>
        <w:pStyle w:val="PubliManuscript"/>
        <w:spacing w:line="240"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Brankatschk</w:t>
      </w:r>
      <w:proofErr w:type="spellEnd"/>
      <w:r w:rsidRPr="00C3645A">
        <w:rPr>
          <w:rFonts w:ascii="Arial" w:hAnsi="Arial" w:cs="Arial"/>
          <w:color w:val="auto"/>
          <w:sz w:val="20"/>
          <w:szCs w:val="20"/>
          <w:shd w:val="clear" w:color="auto" w:fill="FFFFFF"/>
        </w:rPr>
        <w:t>, G., &amp; Finkbeiner, M. (2014). Application of the Cereal Unit in a new allocation procedure for agricultural life cycle assessments. </w:t>
      </w:r>
      <w:r w:rsidRPr="00C3645A">
        <w:rPr>
          <w:rFonts w:ascii="Arial" w:hAnsi="Arial" w:cs="Arial"/>
          <w:i/>
          <w:iCs/>
          <w:color w:val="auto"/>
          <w:sz w:val="20"/>
          <w:szCs w:val="20"/>
          <w:shd w:val="clear" w:color="auto" w:fill="FFFFFF"/>
        </w:rPr>
        <w:t>Journal of Cleaner Production</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73</w:t>
      </w:r>
      <w:r w:rsidRPr="00C3645A">
        <w:rPr>
          <w:rFonts w:ascii="Arial" w:hAnsi="Arial" w:cs="Arial"/>
          <w:color w:val="auto"/>
          <w:sz w:val="20"/>
          <w:szCs w:val="20"/>
          <w:shd w:val="clear" w:color="auto" w:fill="FFFFFF"/>
        </w:rPr>
        <w:t xml:space="preserve">, 72-79. </w:t>
      </w:r>
      <w:hyperlink r:id="rId24" w:tgtFrame="_blank" w:tooltip="Persistent link using digital object identifier" w:history="1">
        <w:r w:rsidRPr="00C3645A">
          <w:rPr>
            <w:rStyle w:val="anchor-text"/>
            <w:rFonts w:ascii="Arial" w:hAnsi="Arial" w:cs="Arial"/>
            <w:color w:val="auto"/>
            <w:sz w:val="20"/>
            <w:szCs w:val="20"/>
          </w:rPr>
          <w:t>https://doi.org/10.1016/j.jclepro.2014.02.005</w:t>
        </w:r>
      </w:hyperlink>
    </w:p>
    <w:p w14:paraId="4BE12725" w14:textId="1E0A9DB0" w:rsidR="00AD6896" w:rsidRPr="00C3645A" w:rsidRDefault="00AD6896"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Brisson, N., Launay, M., Mary, B., Beaudoin, N. (2009). </w:t>
      </w:r>
      <w:r w:rsidRPr="00C3645A">
        <w:rPr>
          <w:rFonts w:ascii="Arial" w:hAnsi="Arial" w:cs="Arial"/>
          <w:i/>
          <w:iCs/>
          <w:color w:val="auto"/>
          <w:sz w:val="20"/>
          <w:szCs w:val="20"/>
          <w:shd w:val="clear" w:color="auto" w:fill="FFFFFF"/>
        </w:rPr>
        <w:t>Conceptual basis, formalizations and parameterization of the STICS crop model</w:t>
      </w:r>
      <w:r w:rsidRPr="00C3645A">
        <w:rPr>
          <w:rFonts w:ascii="Arial" w:hAnsi="Arial" w:cs="Arial"/>
          <w:color w:val="auto"/>
          <w:sz w:val="20"/>
          <w:szCs w:val="20"/>
          <w:shd w:val="clear" w:color="auto" w:fill="FFFFFF"/>
        </w:rPr>
        <w:t xml:space="preserve">. Ed. </w:t>
      </w:r>
      <w:proofErr w:type="spellStart"/>
      <w:r w:rsidRPr="00C3645A">
        <w:rPr>
          <w:rFonts w:ascii="Arial" w:hAnsi="Arial" w:cs="Arial"/>
          <w:color w:val="auto"/>
          <w:sz w:val="20"/>
          <w:szCs w:val="20"/>
          <w:shd w:val="clear" w:color="auto" w:fill="FFFFFF"/>
        </w:rPr>
        <w:t>Quae</w:t>
      </w:r>
      <w:proofErr w:type="spellEnd"/>
      <w:r w:rsidRPr="00C3645A">
        <w:rPr>
          <w:rFonts w:ascii="Arial" w:hAnsi="Arial" w:cs="Arial"/>
          <w:color w:val="auto"/>
          <w:sz w:val="20"/>
          <w:szCs w:val="20"/>
          <w:shd w:val="clear" w:color="auto" w:fill="FFFFFF"/>
        </w:rPr>
        <w:t>. 297</w:t>
      </w:r>
    </w:p>
    <w:p w14:paraId="28F86BB8" w14:textId="164991DF" w:rsidR="00245BC4" w:rsidRPr="00C3645A" w:rsidRDefault="00E82E92" w:rsidP="00B03ABB">
      <w:pPr>
        <w:pStyle w:val="PubliManuscript"/>
        <w:spacing w:line="240" w:lineRule="auto"/>
        <w:ind w:firstLine="0"/>
        <w:rPr>
          <w:rStyle w:val="anchor-text"/>
          <w:rFonts w:ascii="Arial" w:hAnsi="Arial" w:cs="Arial"/>
          <w:color w:val="auto"/>
          <w:sz w:val="20"/>
          <w:szCs w:val="20"/>
        </w:rPr>
      </w:pPr>
      <w:r w:rsidRPr="00C3645A">
        <w:rPr>
          <w:rFonts w:ascii="Arial" w:hAnsi="Arial" w:cs="Arial"/>
          <w:color w:val="auto"/>
          <w:sz w:val="20"/>
          <w:szCs w:val="20"/>
          <w:shd w:val="clear" w:color="auto" w:fill="FFFFFF"/>
        </w:rPr>
        <w:t>Carvalho</w:t>
      </w:r>
      <w:r w:rsidR="00245BC4" w:rsidRPr="00C3645A">
        <w:rPr>
          <w:rFonts w:ascii="Arial" w:hAnsi="Arial" w:cs="Arial"/>
          <w:color w:val="auto"/>
          <w:sz w:val="20"/>
          <w:szCs w:val="20"/>
          <w:shd w:val="clear" w:color="auto" w:fill="FFFFFF"/>
        </w:rPr>
        <w:t>, P. C.</w:t>
      </w:r>
      <w:r w:rsidRPr="00C3645A">
        <w:rPr>
          <w:rFonts w:ascii="Arial" w:hAnsi="Arial" w:cs="Arial"/>
          <w:color w:val="auto"/>
          <w:sz w:val="20"/>
          <w:szCs w:val="20"/>
          <w:shd w:val="clear" w:color="auto" w:fill="FFFFFF"/>
        </w:rPr>
        <w:t xml:space="preserve"> F.</w:t>
      </w:r>
      <w:r w:rsidR="00245BC4" w:rsidRPr="00C3645A">
        <w:rPr>
          <w:rFonts w:ascii="Arial" w:hAnsi="Arial" w:cs="Arial"/>
          <w:color w:val="auto"/>
          <w:sz w:val="20"/>
          <w:szCs w:val="20"/>
          <w:shd w:val="clear" w:color="auto" w:fill="FFFFFF"/>
        </w:rPr>
        <w:t xml:space="preserve"> (2013). Harry Stobbs Memorial Lecture: Can grazing behavior support innovations in grassland management?. </w:t>
      </w:r>
      <w:r w:rsidR="00245BC4" w:rsidRPr="00C3645A">
        <w:rPr>
          <w:rFonts w:ascii="Arial" w:hAnsi="Arial" w:cs="Arial"/>
          <w:i/>
          <w:iCs/>
          <w:color w:val="auto"/>
          <w:sz w:val="20"/>
          <w:szCs w:val="20"/>
          <w:shd w:val="clear" w:color="auto" w:fill="FFFFFF"/>
        </w:rPr>
        <w:t>Tropical Grasslands-</w:t>
      </w:r>
      <w:proofErr w:type="spellStart"/>
      <w:r w:rsidR="00245BC4" w:rsidRPr="00C3645A">
        <w:rPr>
          <w:rFonts w:ascii="Arial" w:hAnsi="Arial" w:cs="Arial"/>
          <w:i/>
          <w:iCs/>
          <w:color w:val="auto"/>
          <w:sz w:val="20"/>
          <w:szCs w:val="20"/>
          <w:shd w:val="clear" w:color="auto" w:fill="FFFFFF"/>
        </w:rPr>
        <w:t>Forrajes</w:t>
      </w:r>
      <w:proofErr w:type="spellEnd"/>
      <w:r w:rsidR="00245BC4" w:rsidRPr="00C3645A">
        <w:rPr>
          <w:rFonts w:ascii="Arial" w:hAnsi="Arial" w:cs="Arial"/>
          <w:i/>
          <w:iCs/>
          <w:color w:val="auto"/>
          <w:sz w:val="20"/>
          <w:szCs w:val="20"/>
          <w:shd w:val="clear" w:color="auto" w:fill="FFFFFF"/>
        </w:rPr>
        <w:t xml:space="preserve"> </w:t>
      </w:r>
      <w:proofErr w:type="spellStart"/>
      <w:r w:rsidR="00245BC4" w:rsidRPr="00C3645A">
        <w:rPr>
          <w:rFonts w:ascii="Arial" w:hAnsi="Arial" w:cs="Arial"/>
          <w:i/>
          <w:iCs/>
          <w:color w:val="auto"/>
          <w:sz w:val="20"/>
          <w:szCs w:val="20"/>
          <w:shd w:val="clear" w:color="auto" w:fill="FFFFFF"/>
        </w:rPr>
        <w:t>Tropicales</w:t>
      </w:r>
      <w:proofErr w:type="spellEnd"/>
      <w:r w:rsidR="00245BC4" w:rsidRPr="00C3645A">
        <w:rPr>
          <w:rFonts w:ascii="Arial" w:hAnsi="Arial" w:cs="Arial"/>
          <w:color w:val="auto"/>
          <w:sz w:val="20"/>
          <w:szCs w:val="20"/>
          <w:shd w:val="clear" w:color="auto" w:fill="FFFFFF"/>
        </w:rPr>
        <w:t>, </w:t>
      </w:r>
      <w:r w:rsidR="00245BC4" w:rsidRPr="00C3645A">
        <w:rPr>
          <w:rFonts w:ascii="Arial" w:hAnsi="Arial" w:cs="Arial"/>
          <w:i/>
          <w:iCs/>
          <w:color w:val="auto"/>
          <w:sz w:val="20"/>
          <w:szCs w:val="20"/>
          <w:shd w:val="clear" w:color="auto" w:fill="FFFFFF"/>
        </w:rPr>
        <w:t>1</w:t>
      </w:r>
      <w:r w:rsidR="00245BC4" w:rsidRPr="00C3645A">
        <w:rPr>
          <w:rFonts w:ascii="Arial" w:hAnsi="Arial" w:cs="Arial"/>
          <w:color w:val="auto"/>
          <w:sz w:val="20"/>
          <w:szCs w:val="20"/>
          <w:shd w:val="clear" w:color="auto" w:fill="FFFFFF"/>
        </w:rPr>
        <w:t xml:space="preserve">(2), 137-155. </w:t>
      </w:r>
      <w:r w:rsidR="00B03ABB" w:rsidRPr="00C3645A">
        <w:rPr>
          <w:rStyle w:val="anchor-text"/>
          <w:rFonts w:ascii="Arial" w:hAnsi="Arial" w:cs="Arial"/>
          <w:color w:val="auto"/>
          <w:sz w:val="20"/>
          <w:szCs w:val="20"/>
        </w:rPr>
        <w:t>https://doi.org/10.17138/tgft(1)137-155.</w:t>
      </w:r>
    </w:p>
    <w:p w14:paraId="6F466BF8" w14:textId="3E3D3BCE" w:rsidR="005F2B5E" w:rsidRPr="00C3645A" w:rsidRDefault="00AF4A47" w:rsidP="0069415E">
      <w:pPr>
        <w:pStyle w:val="Default"/>
        <w:jc w:val="both"/>
        <w:rPr>
          <w:rStyle w:val="anchor-text"/>
          <w:rFonts w:ascii="Arial" w:eastAsia="ヒラギノ角ゴ Pro W3" w:hAnsi="Arial" w:cs="Arial"/>
          <w:color w:val="auto"/>
          <w:sz w:val="20"/>
          <w:szCs w:val="20"/>
        </w:rPr>
      </w:pPr>
      <w:proofErr w:type="spellStart"/>
      <w:r w:rsidRPr="00C3645A">
        <w:rPr>
          <w:rFonts w:ascii="Arial" w:hAnsi="Arial" w:cs="Arial"/>
          <w:color w:val="auto"/>
          <w:sz w:val="20"/>
          <w:szCs w:val="20"/>
          <w:shd w:val="clear" w:color="auto" w:fill="FFFFFF"/>
          <w:lang w:val="en-US"/>
        </w:rPr>
        <w:t>Cecagno</w:t>
      </w:r>
      <w:proofErr w:type="spellEnd"/>
      <w:r w:rsidRPr="00C3645A">
        <w:rPr>
          <w:rFonts w:ascii="Arial" w:hAnsi="Arial" w:cs="Arial"/>
          <w:color w:val="auto"/>
          <w:sz w:val="20"/>
          <w:szCs w:val="20"/>
          <w:shd w:val="clear" w:color="auto" w:fill="FFFFFF"/>
          <w:lang w:val="en-US"/>
        </w:rPr>
        <w:t xml:space="preserve">, D., Gomes, M. V., Costa, S. E. V. G. D. A., Martins, A. P., </w:t>
      </w:r>
      <w:proofErr w:type="spellStart"/>
      <w:r w:rsidRPr="00C3645A">
        <w:rPr>
          <w:rFonts w:ascii="Arial" w:hAnsi="Arial" w:cs="Arial"/>
          <w:color w:val="auto"/>
          <w:sz w:val="20"/>
          <w:szCs w:val="20"/>
          <w:shd w:val="clear" w:color="auto" w:fill="FFFFFF"/>
          <w:lang w:val="en-US"/>
        </w:rPr>
        <w:t>Denardin</w:t>
      </w:r>
      <w:proofErr w:type="spellEnd"/>
      <w:r w:rsidRPr="00C3645A">
        <w:rPr>
          <w:rFonts w:ascii="Arial" w:hAnsi="Arial" w:cs="Arial"/>
          <w:color w:val="auto"/>
          <w:sz w:val="20"/>
          <w:szCs w:val="20"/>
          <w:shd w:val="clear" w:color="auto" w:fill="FFFFFF"/>
          <w:lang w:val="en-US"/>
        </w:rPr>
        <w:t>, L. G. D. O., Bayer, C., ... &amp; Carvalho, P. C. D. F. (2018). Soil organic carbon in an integrated crop-livestock system under different grazing intensities. </w:t>
      </w:r>
      <w:proofErr w:type="spellStart"/>
      <w:r w:rsidRPr="00C3645A">
        <w:rPr>
          <w:rFonts w:ascii="Arial" w:hAnsi="Arial" w:cs="Arial"/>
          <w:i/>
          <w:iCs/>
          <w:color w:val="auto"/>
          <w:sz w:val="20"/>
          <w:szCs w:val="20"/>
          <w:shd w:val="clear" w:color="auto" w:fill="FFFFFF"/>
        </w:rPr>
        <w:t>Revista</w:t>
      </w:r>
      <w:proofErr w:type="spellEnd"/>
      <w:r w:rsidRPr="00C3645A">
        <w:rPr>
          <w:rFonts w:ascii="Arial" w:hAnsi="Arial" w:cs="Arial"/>
          <w:i/>
          <w:iCs/>
          <w:color w:val="auto"/>
          <w:sz w:val="20"/>
          <w:szCs w:val="20"/>
          <w:shd w:val="clear" w:color="auto" w:fill="FFFFFF"/>
        </w:rPr>
        <w:t xml:space="preserve"> </w:t>
      </w:r>
      <w:proofErr w:type="spellStart"/>
      <w:r w:rsidRPr="00C3645A">
        <w:rPr>
          <w:rFonts w:ascii="Arial" w:hAnsi="Arial" w:cs="Arial"/>
          <w:i/>
          <w:iCs/>
          <w:color w:val="auto"/>
          <w:sz w:val="20"/>
          <w:szCs w:val="20"/>
          <w:shd w:val="clear" w:color="auto" w:fill="FFFFFF"/>
        </w:rPr>
        <w:t>Brasileira</w:t>
      </w:r>
      <w:proofErr w:type="spellEnd"/>
      <w:r w:rsidRPr="00C3645A">
        <w:rPr>
          <w:rFonts w:ascii="Arial" w:hAnsi="Arial" w:cs="Arial"/>
          <w:i/>
          <w:iCs/>
          <w:color w:val="auto"/>
          <w:sz w:val="20"/>
          <w:szCs w:val="20"/>
          <w:shd w:val="clear" w:color="auto" w:fill="FFFFFF"/>
        </w:rPr>
        <w:t xml:space="preserve"> de </w:t>
      </w:r>
      <w:proofErr w:type="spellStart"/>
      <w:r w:rsidRPr="00C3645A">
        <w:rPr>
          <w:rFonts w:ascii="Arial" w:hAnsi="Arial" w:cs="Arial"/>
          <w:i/>
          <w:iCs/>
          <w:color w:val="auto"/>
          <w:sz w:val="20"/>
          <w:szCs w:val="20"/>
          <w:shd w:val="clear" w:color="auto" w:fill="FFFFFF"/>
        </w:rPr>
        <w:t>Ciências</w:t>
      </w:r>
      <w:proofErr w:type="spellEnd"/>
      <w:r w:rsidRPr="00C3645A">
        <w:rPr>
          <w:rFonts w:ascii="Arial" w:hAnsi="Arial" w:cs="Arial"/>
          <w:i/>
          <w:iCs/>
          <w:color w:val="auto"/>
          <w:sz w:val="20"/>
          <w:szCs w:val="20"/>
          <w:shd w:val="clear" w:color="auto" w:fill="FFFFFF"/>
        </w:rPr>
        <w:t xml:space="preserve"> </w:t>
      </w:r>
      <w:proofErr w:type="spellStart"/>
      <w:r w:rsidRPr="00C3645A">
        <w:rPr>
          <w:rFonts w:ascii="Arial" w:hAnsi="Arial" w:cs="Arial"/>
          <w:i/>
          <w:iCs/>
          <w:color w:val="auto"/>
          <w:sz w:val="20"/>
          <w:szCs w:val="20"/>
          <w:shd w:val="clear" w:color="auto" w:fill="FFFFFF"/>
        </w:rPr>
        <w:t>Agrárias</w:t>
      </w:r>
      <w:proofErr w:type="spellEnd"/>
      <w:r w:rsidRPr="00C3645A">
        <w:rPr>
          <w:rFonts w:ascii="Arial" w:hAnsi="Arial" w:cs="Arial"/>
          <w:i/>
          <w:iCs/>
          <w:color w:val="auto"/>
          <w:sz w:val="20"/>
          <w:szCs w:val="20"/>
          <w:shd w:val="clear" w:color="auto" w:fill="FFFFFF"/>
        </w:rPr>
        <w:t xml:space="preserve"> (</w:t>
      </w:r>
      <w:proofErr w:type="spellStart"/>
      <w:r w:rsidRPr="00C3645A">
        <w:rPr>
          <w:rFonts w:ascii="Arial" w:hAnsi="Arial" w:cs="Arial"/>
          <w:i/>
          <w:iCs/>
          <w:color w:val="auto"/>
          <w:sz w:val="20"/>
          <w:szCs w:val="20"/>
          <w:shd w:val="clear" w:color="auto" w:fill="FFFFFF"/>
        </w:rPr>
        <w:t>Agrária</w:t>
      </w:r>
      <w:proofErr w:type="spellEnd"/>
      <w:r w:rsidRPr="00C3645A">
        <w:rPr>
          <w:rFonts w:ascii="Arial" w:hAnsi="Arial" w:cs="Arial"/>
          <w:i/>
          <w:iCs/>
          <w:color w:val="auto"/>
          <w:sz w:val="20"/>
          <w:szCs w:val="20"/>
          <w:shd w:val="clear" w:color="auto" w:fill="FFFFFF"/>
        </w:rPr>
        <w:t xml:space="preserve">). Recife. Vol. 13, n. 3 (2018), e5553, 7 p. </w:t>
      </w:r>
      <w:r w:rsidR="0069415E" w:rsidRPr="00C3645A">
        <w:rPr>
          <w:rStyle w:val="anchor-text"/>
          <w:rFonts w:ascii="Arial" w:eastAsia="ヒラギノ角ゴ Pro W3" w:hAnsi="Arial" w:cs="Arial"/>
          <w:color w:val="auto"/>
          <w:sz w:val="20"/>
          <w:szCs w:val="20"/>
        </w:rPr>
        <w:t>https://doi.org/10.5039/agraria.v13i3a5553</w:t>
      </w:r>
    </w:p>
    <w:p w14:paraId="76353068" w14:textId="5FDF1C71" w:rsidR="001A7F0E" w:rsidRPr="00C3645A" w:rsidRDefault="001A7F0E"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Chang, J., </w:t>
      </w:r>
      <w:proofErr w:type="spellStart"/>
      <w:r w:rsidRPr="00C3645A">
        <w:rPr>
          <w:rFonts w:ascii="Arial" w:hAnsi="Arial" w:cs="Arial"/>
          <w:color w:val="auto"/>
          <w:sz w:val="20"/>
          <w:szCs w:val="20"/>
          <w:shd w:val="clear" w:color="auto" w:fill="FFFFFF"/>
        </w:rPr>
        <w:t>Ciais</w:t>
      </w:r>
      <w:proofErr w:type="spellEnd"/>
      <w:r w:rsidRPr="00C3645A">
        <w:rPr>
          <w:rFonts w:ascii="Arial" w:hAnsi="Arial" w:cs="Arial"/>
          <w:color w:val="auto"/>
          <w:sz w:val="20"/>
          <w:szCs w:val="20"/>
          <w:shd w:val="clear" w:color="auto" w:fill="FFFFFF"/>
        </w:rPr>
        <w:t xml:space="preserve">, P., Gasser, T., Smith, P., Herrero, M., Havlík, P., ... &amp; Zhu, D. (2021). Climate warming from managed grasslands cancels the cooling effect of carbon sinks in sparsely grazed and </w:t>
      </w:r>
      <w:r w:rsidRPr="00C3645A">
        <w:rPr>
          <w:rFonts w:ascii="Arial" w:hAnsi="Arial" w:cs="Arial"/>
          <w:color w:val="auto"/>
          <w:sz w:val="20"/>
          <w:szCs w:val="20"/>
          <w:shd w:val="clear" w:color="auto" w:fill="FFFFFF"/>
        </w:rPr>
        <w:lastRenderedPageBreak/>
        <w:t>natural grasslands. </w:t>
      </w:r>
      <w:r w:rsidRPr="00C3645A">
        <w:rPr>
          <w:rFonts w:ascii="Arial" w:hAnsi="Arial" w:cs="Arial"/>
          <w:i/>
          <w:iCs/>
          <w:color w:val="auto"/>
          <w:sz w:val="20"/>
          <w:szCs w:val="20"/>
          <w:shd w:val="clear" w:color="auto" w:fill="FFFFFF"/>
        </w:rPr>
        <w:t>Nature Communications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12</w:t>
      </w:r>
      <w:r w:rsidRPr="00C3645A">
        <w:rPr>
          <w:rFonts w:ascii="Arial" w:hAnsi="Arial" w:cs="Arial"/>
          <w:color w:val="auto"/>
          <w:sz w:val="20"/>
          <w:szCs w:val="20"/>
          <w:shd w:val="clear" w:color="auto" w:fill="FFFFFF"/>
        </w:rPr>
        <w:t>(1), 118.</w:t>
      </w:r>
    </w:p>
    <w:p w14:paraId="6614288D" w14:textId="1ACE44E1" w:rsidR="00F71680" w:rsidRPr="00C3645A" w:rsidRDefault="00F71680" w:rsidP="000317D2">
      <w:pPr>
        <w:pStyle w:val="PubliManuscript"/>
        <w:spacing w:line="240" w:lineRule="auto"/>
        <w:ind w:firstLine="0"/>
        <w:rPr>
          <w:rFonts w:ascii="Arial" w:hAnsi="Arial" w:cs="Arial"/>
          <w:color w:val="auto"/>
          <w:sz w:val="20"/>
          <w:szCs w:val="20"/>
        </w:rPr>
      </w:pPr>
      <w:proofErr w:type="spellStart"/>
      <w:r w:rsidRPr="00C3645A">
        <w:rPr>
          <w:rFonts w:ascii="Arial" w:hAnsi="Arial" w:cs="Arial"/>
          <w:color w:val="auto"/>
          <w:sz w:val="20"/>
          <w:szCs w:val="20"/>
          <w:shd w:val="clear" w:color="auto" w:fill="FFFFFF"/>
        </w:rPr>
        <w:t>Clivot</w:t>
      </w:r>
      <w:proofErr w:type="spellEnd"/>
      <w:r w:rsidRPr="00C3645A">
        <w:rPr>
          <w:rFonts w:ascii="Arial" w:hAnsi="Arial" w:cs="Arial"/>
          <w:color w:val="auto"/>
          <w:sz w:val="20"/>
          <w:szCs w:val="20"/>
          <w:shd w:val="clear" w:color="auto" w:fill="FFFFFF"/>
        </w:rPr>
        <w:t xml:space="preserve">, H., </w:t>
      </w:r>
      <w:proofErr w:type="spellStart"/>
      <w:r w:rsidRPr="00C3645A">
        <w:rPr>
          <w:rFonts w:ascii="Arial" w:hAnsi="Arial" w:cs="Arial"/>
          <w:color w:val="auto"/>
          <w:sz w:val="20"/>
          <w:szCs w:val="20"/>
          <w:shd w:val="clear" w:color="auto" w:fill="FFFFFF"/>
        </w:rPr>
        <w:t>Mouny</w:t>
      </w:r>
      <w:proofErr w:type="spellEnd"/>
      <w:r w:rsidRPr="00C3645A">
        <w:rPr>
          <w:rFonts w:ascii="Arial" w:hAnsi="Arial" w:cs="Arial"/>
          <w:color w:val="auto"/>
          <w:sz w:val="20"/>
          <w:szCs w:val="20"/>
          <w:shd w:val="clear" w:color="auto" w:fill="FFFFFF"/>
        </w:rPr>
        <w:t xml:space="preserve">, J. C., </w:t>
      </w:r>
      <w:proofErr w:type="spellStart"/>
      <w:r w:rsidRPr="00C3645A">
        <w:rPr>
          <w:rFonts w:ascii="Arial" w:hAnsi="Arial" w:cs="Arial"/>
          <w:color w:val="auto"/>
          <w:sz w:val="20"/>
          <w:szCs w:val="20"/>
          <w:shd w:val="clear" w:color="auto" w:fill="FFFFFF"/>
        </w:rPr>
        <w:t>Duparque</w:t>
      </w:r>
      <w:proofErr w:type="spellEnd"/>
      <w:r w:rsidRPr="00C3645A">
        <w:rPr>
          <w:rFonts w:ascii="Arial" w:hAnsi="Arial" w:cs="Arial"/>
          <w:color w:val="auto"/>
          <w:sz w:val="20"/>
          <w:szCs w:val="20"/>
          <w:shd w:val="clear" w:color="auto" w:fill="FFFFFF"/>
        </w:rPr>
        <w:t xml:space="preserve">, A., Dinh, J. L., </w:t>
      </w:r>
      <w:proofErr w:type="spellStart"/>
      <w:r w:rsidRPr="00C3645A">
        <w:rPr>
          <w:rFonts w:ascii="Arial" w:hAnsi="Arial" w:cs="Arial"/>
          <w:color w:val="auto"/>
          <w:sz w:val="20"/>
          <w:szCs w:val="20"/>
          <w:shd w:val="clear" w:color="auto" w:fill="FFFFFF"/>
        </w:rPr>
        <w:t>Denoroy</w:t>
      </w:r>
      <w:proofErr w:type="spellEnd"/>
      <w:r w:rsidRPr="00C3645A">
        <w:rPr>
          <w:rFonts w:ascii="Arial" w:hAnsi="Arial" w:cs="Arial"/>
          <w:color w:val="auto"/>
          <w:sz w:val="20"/>
          <w:szCs w:val="20"/>
          <w:shd w:val="clear" w:color="auto" w:fill="FFFFFF"/>
        </w:rPr>
        <w:t xml:space="preserve">, P., </w:t>
      </w:r>
      <w:proofErr w:type="spellStart"/>
      <w:r w:rsidRPr="00C3645A">
        <w:rPr>
          <w:rFonts w:ascii="Arial" w:hAnsi="Arial" w:cs="Arial"/>
          <w:color w:val="auto"/>
          <w:sz w:val="20"/>
          <w:szCs w:val="20"/>
          <w:shd w:val="clear" w:color="auto" w:fill="FFFFFF"/>
        </w:rPr>
        <w:t>Houot</w:t>
      </w:r>
      <w:proofErr w:type="spellEnd"/>
      <w:r w:rsidRPr="00C3645A">
        <w:rPr>
          <w:rFonts w:ascii="Arial" w:hAnsi="Arial" w:cs="Arial"/>
          <w:color w:val="auto"/>
          <w:sz w:val="20"/>
          <w:szCs w:val="20"/>
          <w:shd w:val="clear" w:color="auto" w:fill="FFFFFF"/>
        </w:rPr>
        <w:t>, S., ... &amp; Mary, B. (2019). Modeling soil organic carbon evolution in long-term arable experiments with AMG model. </w:t>
      </w:r>
      <w:r w:rsidRPr="00C3645A">
        <w:rPr>
          <w:rFonts w:ascii="Arial" w:hAnsi="Arial" w:cs="Arial"/>
          <w:i/>
          <w:iCs/>
          <w:color w:val="auto"/>
          <w:sz w:val="20"/>
          <w:szCs w:val="20"/>
          <w:shd w:val="clear" w:color="auto" w:fill="FFFFFF"/>
        </w:rPr>
        <w:t>Environmental modelling &amp; software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118</w:t>
      </w:r>
      <w:r w:rsidRPr="00C3645A">
        <w:rPr>
          <w:rFonts w:ascii="Arial" w:hAnsi="Arial" w:cs="Arial"/>
          <w:color w:val="auto"/>
          <w:sz w:val="20"/>
          <w:szCs w:val="20"/>
          <w:shd w:val="clear" w:color="auto" w:fill="FFFFFF"/>
        </w:rPr>
        <w:t xml:space="preserve">, 99-113. </w:t>
      </w:r>
      <w:hyperlink r:id="rId25" w:tgtFrame="_blank" w:tooltip="Persistent link using digital object identifier" w:history="1">
        <w:r w:rsidRPr="00C3645A">
          <w:rPr>
            <w:rStyle w:val="anchor-text"/>
            <w:rFonts w:ascii="Arial" w:hAnsi="Arial" w:cs="Arial"/>
            <w:color w:val="auto"/>
            <w:sz w:val="20"/>
            <w:szCs w:val="20"/>
          </w:rPr>
          <w:t>https://doi.org/10.1016/j.envsoft.2019.04.004</w:t>
        </w:r>
      </w:hyperlink>
    </w:p>
    <w:p w14:paraId="63372F1D" w14:textId="05DDD440" w:rsidR="00AC78A3" w:rsidRPr="00C3645A" w:rsidRDefault="00AC78A3" w:rsidP="000317D2">
      <w:pPr>
        <w:pStyle w:val="PubliManuscript"/>
        <w:spacing w:line="240" w:lineRule="auto"/>
        <w:ind w:firstLine="0"/>
        <w:rPr>
          <w:rFonts w:ascii="Arial" w:hAnsi="Arial" w:cs="Arial"/>
          <w:color w:val="auto"/>
          <w:sz w:val="20"/>
          <w:szCs w:val="20"/>
          <w:shd w:val="clear" w:color="auto" w:fill="FFFFFF"/>
          <w:lang w:val="fr-BE"/>
        </w:rPr>
      </w:pPr>
      <w:r w:rsidRPr="00C3645A">
        <w:rPr>
          <w:rFonts w:ascii="Arial" w:hAnsi="Arial" w:cs="Arial"/>
          <w:color w:val="auto"/>
          <w:sz w:val="20"/>
          <w:szCs w:val="20"/>
          <w:shd w:val="clear" w:color="auto" w:fill="FFFFFF"/>
        </w:rPr>
        <w:t xml:space="preserve">de Albuquerque Nunes, P. A., Laca, E. A., de Faccio Carvalho, P. C., Li, M., de Souza Filho, W., Robinson </w:t>
      </w:r>
      <w:proofErr w:type="spellStart"/>
      <w:r w:rsidRPr="00C3645A">
        <w:rPr>
          <w:rFonts w:ascii="Arial" w:hAnsi="Arial" w:cs="Arial"/>
          <w:color w:val="auto"/>
          <w:sz w:val="20"/>
          <w:szCs w:val="20"/>
          <w:shd w:val="clear" w:color="auto" w:fill="FFFFFF"/>
        </w:rPr>
        <w:t>Kunrath</w:t>
      </w:r>
      <w:proofErr w:type="spellEnd"/>
      <w:r w:rsidRPr="00C3645A">
        <w:rPr>
          <w:rFonts w:ascii="Arial" w:hAnsi="Arial" w:cs="Arial"/>
          <w:color w:val="auto"/>
          <w:sz w:val="20"/>
          <w:szCs w:val="20"/>
          <w:shd w:val="clear" w:color="auto" w:fill="FFFFFF"/>
        </w:rPr>
        <w:t>, T., ... &amp; Gaudin, A. (2021). Livestock integration into soybean systems improves long-term system stability and profits without compromising crop yields. </w:t>
      </w:r>
      <w:r w:rsidRPr="00C3645A">
        <w:rPr>
          <w:rFonts w:ascii="Arial" w:hAnsi="Arial" w:cs="Arial"/>
          <w:i/>
          <w:iCs/>
          <w:color w:val="auto"/>
          <w:sz w:val="20"/>
          <w:szCs w:val="20"/>
          <w:shd w:val="clear" w:color="auto" w:fill="FFFFFF"/>
          <w:lang w:val="fr-BE"/>
        </w:rPr>
        <w:t>Scientific reports</w:t>
      </w:r>
      <w:r w:rsidRPr="00C3645A">
        <w:rPr>
          <w:rFonts w:ascii="Arial" w:hAnsi="Arial" w:cs="Arial"/>
          <w:color w:val="auto"/>
          <w:sz w:val="20"/>
          <w:szCs w:val="20"/>
          <w:shd w:val="clear" w:color="auto" w:fill="FFFFFF"/>
          <w:lang w:val="fr-BE"/>
        </w:rPr>
        <w:t>, </w:t>
      </w:r>
      <w:r w:rsidRPr="00C3645A">
        <w:rPr>
          <w:rFonts w:ascii="Arial" w:hAnsi="Arial" w:cs="Arial"/>
          <w:i/>
          <w:iCs/>
          <w:color w:val="auto"/>
          <w:sz w:val="20"/>
          <w:szCs w:val="20"/>
          <w:shd w:val="clear" w:color="auto" w:fill="FFFFFF"/>
          <w:lang w:val="fr-BE"/>
        </w:rPr>
        <w:t>11</w:t>
      </w:r>
      <w:r w:rsidRPr="00C3645A">
        <w:rPr>
          <w:rFonts w:ascii="Arial" w:hAnsi="Arial" w:cs="Arial"/>
          <w:color w:val="auto"/>
          <w:sz w:val="20"/>
          <w:szCs w:val="20"/>
          <w:shd w:val="clear" w:color="auto" w:fill="FFFFFF"/>
          <w:lang w:val="fr-BE"/>
        </w:rPr>
        <w:t xml:space="preserve">(1), 1649. </w:t>
      </w:r>
      <w:r w:rsidR="00836692" w:rsidRPr="00C3645A">
        <w:rPr>
          <w:rFonts w:ascii="Arial" w:hAnsi="Arial" w:cs="Arial"/>
          <w:color w:val="auto"/>
          <w:sz w:val="20"/>
          <w:szCs w:val="20"/>
          <w:shd w:val="clear" w:color="auto" w:fill="FFFFFF"/>
          <w:lang w:val="fr-BE"/>
        </w:rPr>
        <w:t>https://doi.org/10.1038/s41598-021-81270-z</w:t>
      </w:r>
    </w:p>
    <w:p w14:paraId="34658935" w14:textId="4BE9505A" w:rsidR="002445D2" w:rsidRPr="00C3645A" w:rsidRDefault="002445D2" w:rsidP="000317D2">
      <w:pPr>
        <w:pStyle w:val="PubliManuscript"/>
        <w:spacing w:line="240" w:lineRule="auto"/>
        <w:ind w:firstLine="0"/>
        <w:rPr>
          <w:rStyle w:val="anchor-text"/>
          <w:rFonts w:ascii="Arial" w:hAnsi="Arial" w:cs="Arial"/>
          <w:color w:val="auto"/>
          <w:sz w:val="20"/>
          <w:szCs w:val="20"/>
        </w:rPr>
      </w:pPr>
      <w:r w:rsidRPr="00C3645A">
        <w:rPr>
          <w:rFonts w:ascii="Arial" w:hAnsi="Arial" w:cs="Arial"/>
          <w:color w:val="auto"/>
          <w:sz w:val="20"/>
          <w:szCs w:val="20"/>
          <w:shd w:val="clear" w:color="auto" w:fill="FFFFFF"/>
          <w:lang w:val="fr-BE"/>
        </w:rPr>
        <w:t xml:space="preserve">de </w:t>
      </w:r>
      <w:proofErr w:type="spellStart"/>
      <w:r w:rsidRPr="00C3645A">
        <w:rPr>
          <w:rFonts w:ascii="Arial" w:hAnsi="Arial" w:cs="Arial"/>
          <w:color w:val="auto"/>
          <w:sz w:val="20"/>
          <w:szCs w:val="20"/>
          <w:shd w:val="clear" w:color="auto" w:fill="FFFFFF"/>
          <w:lang w:val="fr-BE"/>
        </w:rPr>
        <w:t>Moraes</w:t>
      </w:r>
      <w:proofErr w:type="spellEnd"/>
      <w:r w:rsidRPr="00C3645A">
        <w:rPr>
          <w:rFonts w:ascii="Arial" w:hAnsi="Arial" w:cs="Arial"/>
          <w:color w:val="auto"/>
          <w:sz w:val="20"/>
          <w:szCs w:val="20"/>
          <w:shd w:val="clear" w:color="auto" w:fill="FFFFFF"/>
          <w:lang w:val="fr-BE"/>
        </w:rPr>
        <w:t xml:space="preserve">, A., de </w:t>
      </w:r>
      <w:proofErr w:type="spellStart"/>
      <w:r w:rsidRPr="00C3645A">
        <w:rPr>
          <w:rFonts w:ascii="Arial" w:hAnsi="Arial" w:cs="Arial"/>
          <w:color w:val="auto"/>
          <w:sz w:val="20"/>
          <w:szCs w:val="20"/>
          <w:shd w:val="clear" w:color="auto" w:fill="FFFFFF"/>
          <w:lang w:val="fr-BE"/>
        </w:rPr>
        <w:t>Faccio</w:t>
      </w:r>
      <w:proofErr w:type="spellEnd"/>
      <w:r w:rsidRPr="00C3645A">
        <w:rPr>
          <w:rFonts w:ascii="Arial" w:hAnsi="Arial" w:cs="Arial"/>
          <w:color w:val="auto"/>
          <w:sz w:val="20"/>
          <w:szCs w:val="20"/>
          <w:shd w:val="clear" w:color="auto" w:fill="FFFFFF"/>
          <w:lang w:val="fr-BE"/>
        </w:rPr>
        <w:t xml:space="preserve"> Carvalho, P. C., </w:t>
      </w:r>
      <w:proofErr w:type="spellStart"/>
      <w:r w:rsidRPr="00C3645A">
        <w:rPr>
          <w:rFonts w:ascii="Arial" w:hAnsi="Arial" w:cs="Arial"/>
          <w:color w:val="auto"/>
          <w:sz w:val="20"/>
          <w:szCs w:val="20"/>
          <w:shd w:val="clear" w:color="auto" w:fill="FFFFFF"/>
          <w:lang w:val="fr-BE"/>
        </w:rPr>
        <w:t>Anghinoni</w:t>
      </w:r>
      <w:proofErr w:type="spellEnd"/>
      <w:r w:rsidRPr="00C3645A">
        <w:rPr>
          <w:rFonts w:ascii="Arial" w:hAnsi="Arial" w:cs="Arial"/>
          <w:color w:val="auto"/>
          <w:sz w:val="20"/>
          <w:szCs w:val="20"/>
          <w:shd w:val="clear" w:color="auto" w:fill="FFFFFF"/>
          <w:lang w:val="fr-BE"/>
        </w:rPr>
        <w:t xml:space="preserve">, I., </w:t>
      </w:r>
      <w:proofErr w:type="spellStart"/>
      <w:r w:rsidRPr="00C3645A">
        <w:rPr>
          <w:rFonts w:ascii="Arial" w:hAnsi="Arial" w:cs="Arial"/>
          <w:color w:val="auto"/>
          <w:sz w:val="20"/>
          <w:szCs w:val="20"/>
          <w:shd w:val="clear" w:color="auto" w:fill="FFFFFF"/>
          <w:lang w:val="fr-BE"/>
        </w:rPr>
        <w:t>Lustosa</w:t>
      </w:r>
      <w:proofErr w:type="spellEnd"/>
      <w:r w:rsidRPr="00C3645A">
        <w:rPr>
          <w:rFonts w:ascii="Arial" w:hAnsi="Arial" w:cs="Arial"/>
          <w:color w:val="auto"/>
          <w:sz w:val="20"/>
          <w:szCs w:val="20"/>
          <w:shd w:val="clear" w:color="auto" w:fill="FFFFFF"/>
          <w:lang w:val="fr-BE"/>
        </w:rPr>
        <w:t xml:space="preserve">, S. B. C., de Andrade, S. E. V. G., &amp; </w:t>
      </w:r>
      <w:proofErr w:type="spellStart"/>
      <w:r w:rsidRPr="00C3645A">
        <w:rPr>
          <w:rFonts w:ascii="Arial" w:hAnsi="Arial" w:cs="Arial"/>
          <w:color w:val="auto"/>
          <w:sz w:val="20"/>
          <w:szCs w:val="20"/>
          <w:shd w:val="clear" w:color="auto" w:fill="FFFFFF"/>
          <w:lang w:val="fr-BE"/>
        </w:rPr>
        <w:t>Kunrath</w:t>
      </w:r>
      <w:proofErr w:type="spellEnd"/>
      <w:r w:rsidRPr="00C3645A">
        <w:rPr>
          <w:rFonts w:ascii="Arial" w:hAnsi="Arial" w:cs="Arial"/>
          <w:color w:val="auto"/>
          <w:sz w:val="20"/>
          <w:szCs w:val="20"/>
          <w:shd w:val="clear" w:color="auto" w:fill="FFFFFF"/>
          <w:lang w:val="fr-BE"/>
        </w:rPr>
        <w:t xml:space="preserve">, T. R. (2014). </w:t>
      </w:r>
      <w:r w:rsidRPr="00C3645A">
        <w:rPr>
          <w:rFonts w:ascii="Arial" w:hAnsi="Arial" w:cs="Arial"/>
          <w:color w:val="auto"/>
          <w:sz w:val="20"/>
          <w:szCs w:val="20"/>
          <w:shd w:val="clear" w:color="auto" w:fill="FFFFFF"/>
        </w:rPr>
        <w:t>Integrated crop–livestock systems in the Brazilian subtropics. </w:t>
      </w:r>
      <w:r w:rsidRPr="00C3645A">
        <w:rPr>
          <w:rFonts w:ascii="Arial" w:hAnsi="Arial" w:cs="Arial"/>
          <w:i/>
          <w:iCs/>
          <w:color w:val="auto"/>
          <w:sz w:val="20"/>
          <w:szCs w:val="20"/>
          <w:shd w:val="clear" w:color="auto" w:fill="FFFFFF"/>
        </w:rPr>
        <w:t>European Journal of Agronomy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57</w:t>
      </w:r>
      <w:r w:rsidRPr="00C3645A">
        <w:rPr>
          <w:rFonts w:ascii="Arial" w:hAnsi="Arial" w:cs="Arial"/>
          <w:color w:val="auto"/>
          <w:sz w:val="20"/>
          <w:szCs w:val="20"/>
          <w:shd w:val="clear" w:color="auto" w:fill="FFFFFF"/>
        </w:rPr>
        <w:t xml:space="preserve">, 4-9. </w:t>
      </w:r>
      <w:hyperlink r:id="rId26" w:tgtFrame="_blank" w:tooltip="Persistent link using digital object identifier" w:history="1">
        <w:r w:rsidRPr="00C3645A">
          <w:rPr>
            <w:rStyle w:val="anchor-text"/>
            <w:rFonts w:ascii="Arial" w:hAnsi="Arial" w:cs="Arial"/>
            <w:color w:val="auto"/>
            <w:sz w:val="20"/>
            <w:szCs w:val="20"/>
          </w:rPr>
          <w:t>https://doi.org/10.1016/j.eja.2013.10.004</w:t>
        </w:r>
      </w:hyperlink>
    </w:p>
    <w:p w14:paraId="122244A5" w14:textId="01AAD8BF" w:rsidR="00FE6988" w:rsidRPr="00C3645A" w:rsidRDefault="00FE6988"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Di Falco, S., &amp; Chavas, J. P. (2008). Rainfall shocks, resilience, and the effects of crop biodiversity on agroecosystem productivity. </w:t>
      </w:r>
      <w:r w:rsidRPr="00C3645A">
        <w:rPr>
          <w:rFonts w:ascii="Arial" w:hAnsi="Arial" w:cs="Arial"/>
          <w:i/>
          <w:iCs/>
          <w:color w:val="auto"/>
          <w:sz w:val="20"/>
          <w:szCs w:val="20"/>
          <w:shd w:val="clear" w:color="auto" w:fill="FFFFFF"/>
        </w:rPr>
        <w:t>Land Economics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84</w:t>
      </w:r>
      <w:r w:rsidRPr="00C3645A">
        <w:rPr>
          <w:rFonts w:ascii="Arial" w:hAnsi="Arial" w:cs="Arial"/>
          <w:color w:val="auto"/>
          <w:sz w:val="20"/>
          <w:szCs w:val="20"/>
          <w:shd w:val="clear" w:color="auto" w:fill="FFFFFF"/>
        </w:rPr>
        <w:t xml:space="preserve">(1), 83-96. </w:t>
      </w:r>
      <w:hyperlink r:id="rId27" w:history="1">
        <w:r w:rsidR="00133834" w:rsidRPr="00C3645A">
          <w:rPr>
            <w:rStyle w:val="Lienhypertexte"/>
            <w:rFonts w:ascii="Arial" w:hAnsi="Arial" w:cs="Arial"/>
            <w:color w:val="auto"/>
            <w:sz w:val="20"/>
            <w:szCs w:val="20"/>
            <w:u w:val="none"/>
            <w:shd w:val="clear" w:color="auto" w:fill="FFFFFF"/>
          </w:rPr>
          <w:t>https://doi.org/10.3368/le.84.1.83</w:t>
        </w:r>
      </w:hyperlink>
    </w:p>
    <w:p w14:paraId="6E2971AF" w14:textId="5E2B54C1" w:rsidR="00133834" w:rsidRPr="00C3645A" w:rsidRDefault="00133834"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Diles, J. J. B., Green, R. D., Shepard, H. H., Mathiews, G. L., Hughes, L. J., &amp; Miller, M. F. (1996). Relationships between body measurements obtained on yearling </w:t>
      </w:r>
      <w:proofErr w:type="spellStart"/>
      <w:r w:rsidRPr="00C3645A">
        <w:rPr>
          <w:rFonts w:ascii="Arial" w:hAnsi="Arial" w:cs="Arial"/>
          <w:color w:val="auto"/>
          <w:sz w:val="20"/>
          <w:szCs w:val="20"/>
          <w:shd w:val="clear" w:color="auto" w:fill="FFFFFF"/>
        </w:rPr>
        <w:t>brangus</w:t>
      </w:r>
      <w:proofErr w:type="spellEnd"/>
      <w:r w:rsidRPr="00C3645A">
        <w:rPr>
          <w:rFonts w:ascii="Arial" w:hAnsi="Arial" w:cs="Arial"/>
          <w:color w:val="auto"/>
          <w:sz w:val="20"/>
          <w:szCs w:val="20"/>
          <w:shd w:val="clear" w:color="auto" w:fill="FFFFFF"/>
        </w:rPr>
        <w:t xml:space="preserve"> bulls and measures of carcass merit obtained from their steer clone-mates. </w:t>
      </w:r>
      <w:r w:rsidRPr="00C3645A">
        <w:rPr>
          <w:rFonts w:ascii="Arial" w:hAnsi="Arial" w:cs="Arial"/>
          <w:i/>
          <w:iCs/>
          <w:color w:val="auto"/>
          <w:sz w:val="20"/>
          <w:szCs w:val="20"/>
          <w:shd w:val="clear" w:color="auto" w:fill="FFFFFF"/>
        </w:rPr>
        <w:t>The Professional Animal Scientist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12</w:t>
      </w:r>
      <w:r w:rsidRPr="00C3645A">
        <w:rPr>
          <w:rFonts w:ascii="Arial" w:hAnsi="Arial" w:cs="Arial"/>
          <w:color w:val="auto"/>
          <w:sz w:val="20"/>
          <w:szCs w:val="20"/>
          <w:shd w:val="clear" w:color="auto" w:fill="FFFFFF"/>
        </w:rPr>
        <w:t xml:space="preserve">(4), 244-249. </w:t>
      </w:r>
      <w:hyperlink r:id="rId28" w:tgtFrame="_blank" w:tooltip="Persistent link using digital object identifier" w:history="1">
        <w:r w:rsidR="00653F31" w:rsidRPr="00C3645A">
          <w:rPr>
            <w:rStyle w:val="anchor-text"/>
            <w:rFonts w:ascii="Arial" w:hAnsi="Arial" w:cs="Arial"/>
            <w:color w:val="auto"/>
            <w:sz w:val="20"/>
            <w:szCs w:val="20"/>
          </w:rPr>
          <w:t>https://doi.org/10.15232/S1080-7446(15)32530-4</w:t>
        </w:r>
      </w:hyperlink>
    </w:p>
    <w:p w14:paraId="648B4FBF" w14:textId="7DA00B84" w:rsidR="00F814FD" w:rsidRPr="00C3645A" w:rsidRDefault="00F814FD" w:rsidP="000317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rPr>
        <w:t xml:space="preserve">Foley, J. A., </w:t>
      </w:r>
      <w:proofErr w:type="spellStart"/>
      <w:r w:rsidRPr="00C3645A">
        <w:rPr>
          <w:rFonts w:ascii="Arial" w:hAnsi="Arial" w:cs="Arial"/>
          <w:color w:val="auto"/>
          <w:sz w:val="20"/>
          <w:szCs w:val="20"/>
          <w:shd w:val="clear" w:color="auto" w:fill="FFFFFF"/>
        </w:rPr>
        <w:t>Ramankutty</w:t>
      </w:r>
      <w:proofErr w:type="spellEnd"/>
      <w:r w:rsidRPr="00C3645A">
        <w:rPr>
          <w:rFonts w:ascii="Arial" w:hAnsi="Arial" w:cs="Arial"/>
          <w:color w:val="auto"/>
          <w:sz w:val="20"/>
          <w:szCs w:val="20"/>
          <w:shd w:val="clear" w:color="auto" w:fill="FFFFFF"/>
        </w:rPr>
        <w:t>, N., Brauman, K. A., Cassidy, E. S., Gerber, J. S., Johnston, M., ... &amp; Zaks, D. P. (2011). Solutions for a cultivated planet. </w:t>
      </w:r>
      <w:r w:rsidRPr="00C3645A">
        <w:rPr>
          <w:rFonts w:ascii="Arial" w:hAnsi="Arial" w:cs="Arial"/>
          <w:i/>
          <w:iCs/>
          <w:color w:val="auto"/>
          <w:sz w:val="20"/>
          <w:szCs w:val="20"/>
          <w:shd w:val="clear" w:color="auto" w:fill="FFFFFF"/>
        </w:rPr>
        <w:t>Nature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478</w:t>
      </w:r>
      <w:r w:rsidRPr="00C3645A">
        <w:rPr>
          <w:rFonts w:ascii="Arial" w:hAnsi="Arial" w:cs="Arial"/>
          <w:color w:val="auto"/>
          <w:sz w:val="20"/>
          <w:szCs w:val="20"/>
          <w:shd w:val="clear" w:color="auto" w:fill="FFFFFF"/>
        </w:rPr>
        <w:t xml:space="preserve">(7369), 337-342. </w:t>
      </w:r>
      <w:hyperlink r:id="rId29" w:history="1">
        <w:r w:rsidR="001000EF" w:rsidRPr="00C3645A">
          <w:rPr>
            <w:rStyle w:val="Lienhypertexte"/>
            <w:rFonts w:ascii="Arial" w:hAnsi="Arial" w:cs="Arial"/>
            <w:color w:val="auto"/>
            <w:sz w:val="20"/>
            <w:szCs w:val="20"/>
            <w:u w:val="none"/>
            <w:shd w:val="clear" w:color="auto" w:fill="FFFFFF"/>
          </w:rPr>
          <w:t>https://doi.org/10.1038/nature10452</w:t>
        </w:r>
      </w:hyperlink>
    </w:p>
    <w:p w14:paraId="745D15F1" w14:textId="7DF9C1C6" w:rsidR="00734094" w:rsidRPr="00C3645A" w:rsidRDefault="00536475" w:rsidP="000317D2">
      <w:pPr>
        <w:spacing w:after="0" w:line="240" w:lineRule="auto"/>
        <w:jc w:val="both"/>
        <w:rPr>
          <w:rStyle w:val="Lienhypertexte"/>
          <w:rFonts w:ascii="Arial" w:hAnsi="Arial" w:cs="Arial"/>
          <w:color w:val="auto"/>
          <w:sz w:val="20"/>
          <w:szCs w:val="20"/>
          <w:u w:val="none"/>
          <w:shd w:val="clear" w:color="auto" w:fill="FFFFFF"/>
        </w:rPr>
      </w:pPr>
      <w:proofErr w:type="spellStart"/>
      <w:r w:rsidRPr="00C3645A">
        <w:rPr>
          <w:rFonts w:ascii="Arial" w:hAnsi="Arial" w:cs="Arial"/>
          <w:color w:val="auto"/>
          <w:sz w:val="20"/>
          <w:szCs w:val="20"/>
          <w:shd w:val="clear" w:color="auto" w:fill="FFFFFF"/>
          <w:lang w:val="de-DE"/>
        </w:rPr>
        <w:t>Franzluebbers</w:t>
      </w:r>
      <w:proofErr w:type="spellEnd"/>
      <w:r w:rsidRPr="00C3645A">
        <w:rPr>
          <w:rFonts w:ascii="Arial" w:hAnsi="Arial" w:cs="Arial"/>
          <w:color w:val="auto"/>
          <w:sz w:val="20"/>
          <w:szCs w:val="20"/>
          <w:shd w:val="clear" w:color="auto" w:fill="FFFFFF"/>
          <w:lang w:val="de-DE"/>
        </w:rPr>
        <w:t xml:space="preserve">, A. J., &amp; </w:t>
      </w:r>
      <w:proofErr w:type="spellStart"/>
      <w:r w:rsidRPr="00C3645A">
        <w:rPr>
          <w:rFonts w:ascii="Arial" w:hAnsi="Arial" w:cs="Arial"/>
          <w:color w:val="auto"/>
          <w:sz w:val="20"/>
          <w:szCs w:val="20"/>
          <w:shd w:val="clear" w:color="auto" w:fill="FFFFFF"/>
          <w:lang w:val="de-DE"/>
        </w:rPr>
        <w:t>Stuedemann</w:t>
      </w:r>
      <w:proofErr w:type="spellEnd"/>
      <w:r w:rsidRPr="00C3645A">
        <w:rPr>
          <w:rFonts w:ascii="Arial" w:hAnsi="Arial" w:cs="Arial"/>
          <w:color w:val="auto"/>
          <w:sz w:val="20"/>
          <w:szCs w:val="20"/>
          <w:shd w:val="clear" w:color="auto" w:fill="FFFFFF"/>
          <w:lang w:val="de-DE"/>
        </w:rPr>
        <w:t xml:space="preserve">, J. A. (2008). </w:t>
      </w:r>
      <w:r w:rsidRPr="00C3645A">
        <w:rPr>
          <w:rFonts w:ascii="Arial" w:hAnsi="Arial" w:cs="Arial"/>
          <w:color w:val="auto"/>
          <w:sz w:val="20"/>
          <w:szCs w:val="20"/>
          <w:shd w:val="clear" w:color="auto" w:fill="FFFFFF"/>
        </w:rPr>
        <w:t>Early response of soil organic fractions to tillage and integrated crop–livestock production. </w:t>
      </w:r>
      <w:r w:rsidRPr="00C3645A">
        <w:rPr>
          <w:rFonts w:ascii="Arial" w:hAnsi="Arial" w:cs="Arial"/>
          <w:i/>
          <w:iCs/>
          <w:color w:val="auto"/>
          <w:sz w:val="20"/>
          <w:szCs w:val="20"/>
          <w:shd w:val="clear" w:color="auto" w:fill="FFFFFF"/>
        </w:rPr>
        <w:t>Soil Science Society of America Journal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72</w:t>
      </w:r>
      <w:r w:rsidRPr="00C3645A">
        <w:rPr>
          <w:rFonts w:ascii="Arial" w:hAnsi="Arial" w:cs="Arial"/>
          <w:color w:val="auto"/>
          <w:sz w:val="20"/>
          <w:szCs w:val="20"/>
          <w:shd w:val="clear" w:color="auto" w:fill="FFFFFF"/>
        </w:rPr>
        <w:t xml:space="preserve">(3), 613-625. </w:t>
      </w:r>
      <w:r w:rsidR="009A35F9" w:rsidRPr="00C3645A">
        <w:rPr>
          <w:rFonts w:ascii="Arial" w:hAnsi="Arial" w:cs="Arial"/>
          <w:color w:val="auto"/>
          <w:sz w:val="20"/>
          <w:szCs w:val="20"/>
          <w:shd w:val="clear" w:color="auto" w:fill="FFFFFF"/>
        </w:rPr>
        <w:t xml:space="preserve"> </w:t>
      </w:r>
      <w:hyperlink r:id="rId30" w:history="1">
        <w:r w:rsidR="001226ED" w:rsidRPr="00C3645A">
          <w:rPr>
            <w:rStyle w:val="Lienhypertexte"/>
            <w:rFonts w:ascii="Arial" w:hAnsi="Arial" w:cs="Arial"/>
            <w:color w:val="auto"/>
            <w:sz w:val="20"/>
            <w:szCs w:val="20"/>
            <w:u w:val="none"/>
            <w:shd w:val="clear" w:color="auto" w:fill="FFFFFF"/>
          </w:rPr>
          <w:t>https://doi.org/10.2136/sssaj2007.0121</w:t>
        </w:r>
      </w:hyperlink>
    </w:p>
    <w:p w14:paraId="4264B87E" w14:textId="425B24B2" w:rsidR="00734094" w:rsidRPr="00C3645A" w:rsidRDefault="00734094" w:rsidP="00FB7CC2">
      <w:pPr>
        <w:pStyle w:val="dx-doi"/>
        <w:spacing w:before="0" w:after="0"/>
        <w:jc w:val="both"/>
        <w:rPr>
          <w:rFonts w:ascii="Arial" w:hAnsi="Arial" w:cs="Arial"/>
          <w:sz w:val="20"/>
          <w:szCs w:val="20"/>
          <w:shd w:val="clear" w:color="auto" w:fill="FFFFFF"/>
        </w:rPr>
      </w:pPr>
      <w:proofErr w:type="spellStart"/>
      <w:r w:rsidRPr="00C3645A">
        <w:rPr>
          <w:rFonts w:ascii="Arial" w:hAnsi="Arial" w:cs="Arial"/>
          <w:sz w:val="20"/>
          <w:szCs w:val="20"/>
          <w:shd w:val="clear" w:color="auto" w:fill="FFFFFF"/>
          <w:lang w:val="en-US"/>
        </w:rPr>
        <w:t>Franzluebbers</w:t>
      </w:r>
      <w:proofErr w:type="spellEnd"/>
      <w:r w:rsidRPr="00C3645A">
        <w:rPr>
          <w:rFonts w:ascii="Arial" w:hAnsi="Arial" w:cs="Arial"/>
          <w:sz w:val="20"/>
          <w:szCs w:val="20"/>
          <w:shd w:val="clear" w:color="auto" w:fill="FFFFFF"/>
          <w:lang w:val="en-US"/>
        </w:rPr>
        <w:t>, A. J. (2010). Will we allow soil carbon to feed our needs?. </w:t>
      </w:r>
      <w:r w:rsidRPr="00C3645A">
        <w:rPr>
          <w:rFonts w:ascii="Arial" w:hAnsi="Arial" w:cs="Arial"/>
          <w:i/>
          <w:iCs/>
          <w:sz w:val="20"/>
          <w:szCs w:val="20"/>
          <w:shd w:val="clear" w:color="auto" w:fill="FFFFFF"/>
        </w:rPr>
        <w:t>Carbon management</w:t>
      </w:r>
      <w:r w:rsidRPr="00C3645A">
        <w:rPr>
          <w:rFonts w:ascii="Arial" w:hAnsi="Arial" w:cs="Arial"/>
          <w:sz w:val="20"/>
          <w:szCs w:val="20"/>
          <w:shd w:val="clear" w:color="auto" w:fill="FFFFFF"/>
        </w:rPr>
        <w:t>, </w:t>
      </w:r>
      <w:r w:rsidRPr="00C3645A">
        <w:rPr>
          <w:rFonts w:ascii="Arial" w:hAnsi="Arial" w:cs="Arial"/>
          <w:i/>
          <w:iCs/>
          <w:sz w:val="20"/>
          <w:szCs w:val="20"/>
          <w:shd w:val="clear" w:color="auto" w:fill="FFFFFF"/>
        </w:rPr>
        <w:t>1</w:t>
      </w:r>
      <w:r w:rsidRPr="00C3645A">
        <w:rPr>
          <w:rFonts w:ascii="Arial" w:hAnsi="Arial" w:cs="Arial"/>
          <w:sz w:val="20"/>
          <w:szCs w:val="20"/>
          <w:shd w:val="clear" w:color="auto" w:fill="FFFFFF"/>
        </w:rPr>
        <w:t xml:space="preserve">(2), 237-251. </w:t>
      </w:r>
      <w:hyperlink r:id="rId31" w:history="1">
        <w:r w:rsidR="00FB7CC2" w:rsidRPr="00C3645A">
          <w:rPr>
            <w:rFonts w:ascii="Arial" w:hAnsi="Arial" w:cs="Arial"/>
            <w:sz w:val="20"/>
            <w:szCs w:val="20"/>
            <w:shd w:val="clear" w:color="auto" w:fill="FFFFFF"/>
          </w:rPr>
          <w:t>https://doi.org/10.4155/cmt.10.25</w:t>
        </w:r>
      </w:hyperlink>
    </w:p>
    <w:p w14:paraId="75E0FEAC" w14:textId="6A866F32" w:rsidR="009747BB" w:rsidRPr="00C3645A" w:rsidRDefault="009747BB" w:rsidP="000317D2">
      <w:pPr>
        <w:shd w:val="clear" w:color="auto" w:fill="FFFFFF"/>
        <w:spacing w:before="100" w:beforeAutospacing="1" w:after="100" w:afterAutospacing="1" w:line="240" w:lineRule="auto"/>
        <w:jc w:val="both"/>
        <w:rPr>
          <w:rStyle w:val="anchor-text"/>
          <w:rFonts w:ascii="Arial" w:hAnsi="Arial" w:cs="Arial"/>
          <w:color w:val="auto"/>
          <w:sz w:val="20"/>
          <w:szCs w:val="20"/>
        </w:rPr>
      </w:pPr>
      <w:proofErr w:type="spellStart"/>
      <w:r w:rsidRPr="00C3645A">
        <w:rPr>
          <w:rFonts w:ascii="Arial" w:hAnsi="Arial" w:cs="Arial"/>
          <w:color w:val="auto"/>
          <w:sz w:val="20"/>
          <w:szCs w:val="20"/>
          <w:shd w:val="clear" w:color="auto" w:fill="FFFFFF"/>
          <w:lang w:val="fr-BE"/>
        </w:rPr>
        <w:t>Franzluebbers</w:t>
      </w:r>
      <w:proofErr w:type="spellEnd"/>
      <w:r w:rsidRPr="00C3645A">
        <w:rPr>
          <w:rFonts w:ascii="Arial" w:hAnsi="Arial" w:cs="Arial"/>
          <w:color w:val="auto"/>
          <w:sz w:val="20"/>
          <w:szCs w:val="20"/>
          <w:shd w:val="clear" w:color="auto" w:fill="FFFFFF"/>
          <w:lang w:val="fr-BE"/>
        </w:rPr>
        <w:t xml:space="preserve">, A. J., </w:t>
      </w:r>
      <w:proofErr w:type="spellStart"/>
      <w:r w:rsidRPr="00C3645A">
        <w:rPr>
          <w:rFonts w:ascii="Arial" w:hAnsi="Arial" w:cs="Arial"/>
          <w:color w:val="auto"/>
          <w:sz w:val="20"/>
          <w:szCs w:val="20"/>
          <w:shd w:val="clear" w:color="auto" w:fill="FFFFFF"/>
          <w:lang w:val="fr-BE"/>
        </w:rPr>
        <w:t>Sawchik</w:t>
      </w:r>
      <w:proofErr w:type="spellEnd"/>
      <w:r w:rsidRPr="00C3645A">
        <w:rPr>
          <w:rFonts w:ascii="Arial" w:hAnsi="Arial" w:cs="Arial"/>
          <w:color w:val="auto"/>
          <w:sz w:val="20"/>
          <w:szCs w:val="20"/>
          <w:shd w:val="clear" w:color="auto" w:fill="FFFFFF"/>
          <w:lang w:val="fr-BE"/>
        </w:rPr>
        <w:t xml:space="preserve">, J., &amp; </w:t>
      </w:r>
      <w:proofErr w:type="spellStart"/>
      <w:r w:rsidRPr="00C3645A">
        <w:rPr>
          <w:rFonts w:ascii="Arial" w:hAnsi="Arial" w:cs="Arial"/>
          <w:color w:val="auto"/>
          <w:sz w:val="20"/>
          <w:szCs w:val="20"/>
          <w:shd w:val="clear" w:color="auto" w:fill="FFFFFF"/>
          <w:lang w:val="fr-BE"/>
        </w:rPr>
        <w:t>Taboada</w:t>
      </w:r>
      <w:proofErr w:type="spellEnd"/>
      <w:r w:rsidRPr="00C3645A">
        <w:rPr>
          <w:rFonts w:ascii="Arial" w:hAnsi="Arial" w:cs="Arial"/>
          <w:color w:val="auto"/>
          <w:sz w:val="20"/>
          <w:szCs w:val="20"/>
          <w:shd w:val="clear" w:color="auto" w:fill="FFFFFF"/>
          <w:lang w:val="fr-BE"/>
        </w:rPr>
        <w:t xml:space="preserve">, M. A. (2014). </w:t>
      </w:r>
      <w:r w:rsidRPr="00C3645A">
        <w:rPr>
          <w:rFonts w:ascii="Arial" w:hAnsi="Arial" w:cs="Arial"/>
          <w:color w:val="auto"/>
          <w:sz w:val="20"/>
          <w:szCs w:val="20"/>
          <w:shd w:val="clear" w:color="auto" w:fill="FFFFFF"/>
        </w:rPr>
        <w:t>Agronomic and environmental impacts of pasture–crop rotations in temperate North and South America. </w:t>
      </w:r>
      <w:r w:rsidRPr="00C3645A">
        <w:rPr>
          <w:rFonts w:ascii="Arial" w:hAnsi="Arial" w:cs="Arial"/>
          <w:i/>
          <w:iCs/>
          <w:color w:val="auto"/>
          <w:sz w:val="20"/>
          <w:szCs w:val="20"/>
          <w:shd w:val="clear" w:color="auto" w:fill="FFFFFF"/>
        </w:rPr>
        <w:t>Agriculture, Ecosystems &amp;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190</w:t>
      </w:r>
      <w:r w:rsidRPr="00C3645A">
        <w:rPr>
          <w:rFonts w:ascii="Arial" w:hAnsi="Arial" w:cs="Arial"/>
          <w:color w:val="auto"/>
          <w:sz w:val="20"/>
          <w:szCs w:val="20"/>
          <w:shd w:val="clear" w:color="auto" w:fill="FFFFFF"/>
        </w:rPr>
        <w:t>, 18-26.</w:t>
      </w:r>
      <w:r w:rsidR="00F02DE9" w:rsidRPr="00C3645A">
        <w:rPr>
          <w:rFonts w:ascii="Arial" w:hAnsi="Arial" w:cs="Arial"/>
          <w:color w:val="auto"/>
          <w:sz w:val="20"/>
          <w:szCs w:val="20"/>
          <w:shd w:val="clear" w:color="auto" w:fill="FFFFFF"/>
        </w:rPr>
        <w:t xml:space="preserve"> </w:t>
      </w:r>
      <w:hyperlink r:id="rId32" w:tgtFrame="_blank" w:tooltip="Persistent link using digital object identifier" w:history="1">
        <w:r w:rsidR="00F02DE9" w:rsidRPr="00C3645A">
          <w:rPr>
            <w:rStyle w:val="anchor-text"/>
            <w:rFonts w:ascii="Arial" w:hAnsi="Arial" w:cs="Arial"/>
            <w:color w:val="auto"/>
            <w:sz w:val="20"/>
            <w:szCs w:val="20"/>
          </w:rPr>
          <w:t>https://doi.org/10.1016/j.agee.2013.09.017</w:t>
        </w:r>
      </w:hyperlink>
    </w:p>
    <w:p w14:paraId="3A2F9671" w14:textId="7A6FC55D" w:rsidR="000E1A47" w:rsidRPr="00C3645A" w:rsidRDefault="000E1A47" w:rsidP="000317D2">
      <w:pPr>
        <w:shd w:val="clear" w:color="auto" w:fill="FFFFFF"/>
        <w:spacing w:before="100" w:beforeAutospacing="1" w:after="100" w:afterAutospacing="1" w:line="240" w:lineRule="auto"/>
        <w:jc w:val="both"/>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Garrett, R. D., </w:t>
      </w:r>
      <w:proofErr w:type="spellStart"/>
      <w:r w:rsidRPr="00C3645A">
        <w:rPr>
          <w:rFonts w:ascii="Arial" w:hAnsi="Arial" w:cs="Arial"/>
          <w:color w:val="auto"/>
          <w:sz w:val="20"/>
          <w:szCs w:val="20"/>
          <w:shd w:val="clear" w:color="auto" w:fill="FFFFFF"/>
        </w:rPr>
        <w:t>Ryschawy</w:t>
      </w:r>
      <w:proofErr w:type="spellEnd"/>
      <w:r w:rsidRPr="00C3645A">
        <w:rPr>
          <w:rFonts w:ascii="Arial" w:hAnsi="Arial" w:cs="Arial"/>
          <w:color w:val="auto"/>
          <w:sz w:val="20"/>
          <w:szCs w:val="20"/>
          <w:shd w:val="clear" w:color="auto" w:fill="FFFFFF"/>
        </w:rPr>
        <w:t>, J., Bell, L. W., Cortner, O., Ferreira, J., Garik, A. V., ... &amp; Valentim, J. F. (2020). Drivers of decoupling and recoupling of crop and livestock systems at farm and territorial scales. </w:t>
      </w:r>
      <w:r w:rsidRPr="00C3645A">
        <w:rPr>
          <w:rFonts w:ascii="Arial" w:hAnsi="Arial" w:cs="Arial"/>
          <w:i/>
          <w:iCs/>
          <w:color w:val="auto"/>
          <w:sz w:val="20"/>
          <w:szCs w:val="20"/>
          <w:shd w:val="clear" w:color="auto" w:fill="FFFFFF"/>
        </w:rPr>
        <w:t>Ecology and Society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25</w:t>
      </w:r>
      <w:r w:rsidRPr="00C3645A">
        <w:rPr>
          <w:rFonts w:ascii="Arial" w:hAnsi="Arial" w:cs="Arial"/>
          <w:color w:val="auto"/>
          <w:sz w:val="20"/>
          <w:szCs w:val="20"/>
          <w:shd w:val="clear" w:color="auto" w:fill="FFFFFF"/>
        </w:rPr>
        <w:t xml:space="preserve">(1), 24. </w:t>
      </w:r>
      <w:hyperlink r:id="rId33" w:tgtFrame="_blank" w:history="1">
        <w:r w:rsidR="00E346E3" w:rsidRPr="00C3645A">
          <w:rPr>
            <w:rFonts w:ascii="Arial" w:hAnsi="Arial" w:cs="Arial"/>
            <w:color w:val="auto"/>
            <w:sz w:val="20"/>
            <w:szCs w:val="20"/>
            <w:shd w:val="clear" w:color="auto" w:fill="FFFFFF"/>
          </w:rPr>
          <w:t>https://doi.org/10.5751/ES-11412-250124</w:t>
        </w:r>
      </w:hyperlink>
    </w:p>
    <w:p w14:paraId="7CAD1EED" w14:textId="36CD1D12" w:rsidR="001000EF" w:rsidRPr="00C3645A" w:rsidRDefault="001000EF" w:rsidP="000317D2">
      <w:pPr>
        <w:shd w:val="clear" w:color="auto" w:fill="FFFFFF"/>
        <w:spacing w:before="100" w:beforeAutospacing="1" w:after="100" w:afterAutospacing="1" w:line="240" w:lineRule="auto"/>
        <w:jc w:val="both"/>
        <w:rPr>
          <w:rFonts w:ascii="Arial" w:eastAsia="Times New Roman" w:hAnsi="Arial" w:cs="Arial"/>
          <w:color w:val="auto"/>
          <w:sz w:val="20"/>
          <w:szCs w:val="20"/>
        </w:rPr>
      </w:pPr>
      <w:r w:rsidRPr="00C3645A">
        <w:rPr>
          <w:rFonts w:ascii="Arial" w:hAnsi="Arial" w:cs="Arial"/>
          <w:color w:val="auto"/>
          <w:sz w:val="20"/>
          <w:szCs w:val="20"/>
          <w:shd w:val="clear" w:color="auto" w:fill="FFFFFF"/>
        </w:rPr>
        <w:t xml:space="preserve">Gaudin, A. C., Tolhurst, T. N., Ker, A. P., </w:t>
      </w:r>
      <w:proofErr w:type="spellStart"/>
      <w:r w:rsidRPr="00C3645A">
        <w:rPr>
          <w:rFonts w:ascii="Arial" w:hAnsi="Arial" w:cs="Arial"/>
          <w:color w:val="auto"/>
          <w:sz w:val="20"/>
          <w:szCs w:val="20"/>
          <w:shd w:val="clear" w:color="auto" w:fill="FFFFFF"/>
        </w:rPr>
        <w:t>Janovicek</w:t>
      </w:r>
      <w:proofErr w:type="spellEnd"/>
      <w:r w:rsidRPr="00C3645A">
        <w:rPr>
          <w:rFonts w:ascii="Arial" w:hAnsi="Arial" w:cs="Arial"/>
          <w:color w:val="auto"/>
          <w:sz w:val="20"/>
          <w:szCs w:val="20"/>
          <w:shd w:val="clear" w:color="auto" w:fill="FFFFFF"/>
        </w:rPr>
        <w:t>, K., Tortora, C., Martin, R. C., &amp; Deen, W. (2015). Increasing crop diversity mitigates weather variations and improves yield stability. </w:t>
      </w:r>
      <w:proofErr w:type="spellStart"/>
      <w:r w:rsidRPr="00C3645A">
        <w:rPr>
          <w:rFonts w:ascii="Arial" w:hAnsi="Arial" w:cs="Arial"/>
          <w:i/>
          <w:iCs/>
          <w:color w:val="auto"/>
          <w:sz w:val="20"/>
          <w:szCs w:val="20"/>
          <w:shd w:val="clear" w:color="auto" w:fill="FFFFFF"/>
        </w:rPr>
        <w:t>PloS</w:t>
      </w:r>
      <w:proofErr w:type="spellEnd"/>
      <w:r w:rsidRPr="00C3645A">
        <w:rPr>
          <w:rFonts w:ascii="Arial" w:hAnsi="Arial" w:cs="Arial"/>
          <w:i/>
          <w:iCs/>
          <w:color w:val="auto"/>
          <w:sz w:val="20"/>
          <w:szCs w:val="20"/>
          <w:shd w:val="clear" w:color="auto" w:fill="FFFFFF"/>
        </w:rPr>
        <w:t xml:space="preserve"> one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w:t>
      </w:r>
      <w:r w:rsidRPr="00C3645A">
        <w:rPr>
          <w:rFonts w:ascii="Arial" w:hAnsi="Arial" w:cs="Arial"/>
          <w:color w:val="auto"/>
          <w:sz w:val="20"/>
          <w:szCs w:val="20"/>
          <w:shd w:val="clear" w:color="auto" w:fill="FFFFFF"/>
        </w:rPr>
        <w:t xml:space="preserve">(2), e0113261. </w:t>
      </w:r>
      <w:hyperlink r:id="rId34" w:history="1">
        <w:r w:rsidR="009916A9" w:rsidRPr="00C3645A">
          <w:rPr>
            <w:rStyle w:val="Lienhypertexte"/>
            <w:rFonts w:ascii="Arial" w:hAnsi="Arial" w:cs="Arial"/>
            <w:color w:val="auto"/>
            <w:sz w:val="20"/>
            <w:szCs w:val="20"/>
            <w:u w:val="none"/>
          </w:rPr>
          <w:t>https://doi.org/10.1371/journal.pone.0113261</w:t>
        </w:r>
      </w:hyperlink>
    </w:p>
    <w:p w14:paraId="22988A4E" w14:textId="4BE0BF91" w:rsidR="00EB47F8" w:rsidRPr="00C3645A" w:rsidRDefault="0022239A" w:rsidP="000317D2">
      <w:pPr>
        <w:pStyle w:val="PubliManuscript"/>
        <w:spacing w:line="240"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Graux</w:t>
      </w:r>
      <w:proofErr w:type="spellEnd"/>
      <w:r w:rsidRPr="00C3645A">
        <w:rPr>
          <w:rFonts w:ascii="Arial" w:hAnsi="Arial" w:cs="Arial"/>
          <w:color w:val="auto"/>
          <w:sz w:val="20"/>
          <w:szCs w:val="20"/>
          <w:shd w:val="clear" w:color="auto" w:fill="FFFFFF"/>
        </w:rPr>
        <w:t xml:space="preserve">, A. I., </w:t>
      </w:r>
      <w:proofErr w:type="spellStart"/>
      <w:r w:rsidRPr="00C3645A">
        <w:rPr>
          <w:rFonts w:ascii="Arial" w:hAnsi="Arial" w:cs="Arial"/>
          <w:color w:val="auto"/>
          <w:sz w:val="20"/>
          <w:szCs w:val="20"/>
          <w:shd w:val="clear" w:color="auto" w:fill="FFFFFF"/>
        </w:rPr>
        <w:t>Resmond</w:t>
      </w:r>
      <w:proofErr w:type="spellEnd"/>
      <w:r w:rsidRPr="00C3645A">
        <w:rPr>
          <w:rFonts w:ascii="Arial" w:hAnsi="Arial" w:cs="Arial"/>
          <w:color w:val="auto"/>
          <w:sz w:val="20"/>
          <w:szCs w:val="20"/>
          <w:shd w:val="clear" w:color="auto" w:fill="FFFFFF"/>
        </w:rPr>
        <w:t xml:space="preserve">, R., Casellas, E., </w:t>
      </w:r>
      <w:proofErr w:type="spellStart"/>
      <w:r w:rsidRPr="00C3645A">
        <w:rPr>
          <w:rFonts w:ascii="Arial" w:hAnsi="Arial" w:cs="Arial"/>
          <w:color w:val="auto"/>
          <w:sz w:val="20"/>
          <w:szCs w:val="20"/>
          <w:shd w:val="clear" w:color="auto" w:fill="FFFFFF"/>
        </w:rPr>
        <w:t>Delaby</w:t>
      </w:r>
      <w:proofErr w:type="spellEnd"/>
      <w:r w:rsidRPr="00C3645A">
        <w:rPr>
          <w:rFonts w:ascii="Arial" w:hAnsi="Arial" w:cs="Arial"/>
          <w:color w:val="auto"/>
          <w:sz w:val="20"/>
          <w:szCs w:val="20"/>
          <w:shd w:val="clear" w:color="auto" w:fill="FFFFFF"/>
        </w:rPr>
        <w:t xml:space="preserve">, L., </w:t>
      </w:r>
      <w:proofErr w:type="spellStart"/>
      <w:r w:rsidRPr="00C3645A">
        <w:rPr>
          <w:rFonts w:ascii="Arial" w:hAnsi="Arial" w:cs="Arial"/>
          <w:color w:val="auto"/>
          <w:sz w:val="20"/>
          <w:szCs w:val="20"/>
          <w:shd w:val="clear" w:color="auto" w:fill="FFFFFF"/>
        </w:rPr>
        <w:t>Faverdin</w:t>
      </w:r>
      <w:proofErr w:type="spellEnd"/>
      <w:r w:rsidRPr="00C3645A">
        <w:rPr>
          <w:rFonts w:ascii="Arial" w:hAnsi="Arial" w:cs="Arial"/>
          <w:color w:val="auto"/>
          <w:sz w:val="20"/>
          <w:szCs w:val="20"/>
          <w:shd w:val="clear" w:color="auto" w:fill="FFFFFF"/>
        </w:rPr>
        <w:t xml:space="preserve">, P., Le Bas, C., ... &amp; </w:t>
      </w:r>
      <w:proofErr w:type="spellStart"/>
      <w:r w:rsidRPr="00C3645A">
        <w:rPr>
          <w:rFonts w:ascii="Arial" w:hAnsi="Arial" w:cs="Arial"/>
          <w:color w:val="auto"/>
          <w:sz w:val="20"/>
          <w:szCs w:val="20"/>
          <w:shd w:val="clear" w:color="auto" w:fill="FFFFFF"/>
        </w:rPr>
        <w:t>Peyraud</w:t>
      </w:r>
      <w:proofErr w:type="spellEnd"/>
      <w:r w:rsidRPr="00C3645A">
        <w:rPr>
          <w:rFonts w:ascii="Arial" w:hAnsi="Arial" w:cs="Arial"/>
          <w:color w:val="auto"/>
          <w:sz w:val="20"/>
          <w:szCs w:val="20"/>
          <w:shd w:val="clear" w:color="auto" w:fill="FFFFFF"/>
        </w:rPr>
        <w:t>, J. L. (2020). High-resolution assessment of French grassland dry matter and nitrogen yields. </w:t>
      </w:r>
      <w:r w:rsidRPr="00C3645A">
        <w:rPr>
          <w:rFonts w:ascii="Arial" w:hAnsi="Arial" w:cs="Arial"/>
          <w:i/>
          <w:iCs/>
          <w:color w:val="auto"/>
          <w:sz w:val="20"/>
          <w:szCs w:val="20"/>
          <w:shd w:val="clear" w:color="auto" w:fill="FFFFFF"/>
        </w:rPr>
        <w:t>European Journal of Agronomy</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112</w:t>
      </w:r>
      <w:r w:rsidRPr="00C3645A">
        <w:rPr>
          <w:rFonts w:ascii="Arial" w:hAnsi="Arial" w:cs="Arial"/>
          <w:color w:val="auto"/>
          <w:sz w:val="20"/>
          <w:szCs w:val="20"/>
          <w:shd w:val="clear" w:color="auto" w:fill="FFFFFF"/>
        </w:rPr>
        <w:t xml:space="preserve">, 125952. </w:t>
      </w:r>
      <w:hyperlink r:id="rId35" w:tgtFrame="_blank" w:tooltip="Persistent link using digital object identifier" w:history="1">
        <w:r w:rsidRPr="00C3645A">
          <w:rPr>
            <w:rFonts w:ascii="Arial" w:hAnsi="Arial" w:cs="Arial"/>
            <w:color w:val="auto"/>
            <w:sz w:val="20"/>
            <w:szCs w:val="20"/>
            <w:shd w:val="clear" w:color="auto" w:fill="FFFFFF"/>
          </w:rPr>
          <w:t>https://doi.org/10.1016/j.eja.2019.125952</w:t>
        </w:r>
      </w:hyperlink>
    </w:p>
    <w:p w14:paraId="1D0708A9" w14:textId="7E35E63B" w:rsidR="006B2BCE" w:rsidRPr="00C3645A" w:rsidRDefault="006B2BCE" w:rsidP="006B2BCE">
      <w:pPr>
        <w:pStyle w:val="PubliManuscript"/>
        <w:spacing w:line="240"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Graux</w:t>
      </w:r>
      <w:proofErr w:type="spellEnd"/>
      <w:r w:rsidRPr="00C3645A">
        <w:rPr>
          <w:rFonts w:ascii="Arial" w:hAnsi="Arial" w:cs="Arial"/>
          <w:color w:val="auto"/>
          <w:sz w:val="20"/>
          <w:szCs w:val="20"/>
          <w:shd w:val="clear" w:color="auto" w:fill="FFFFFF"/>
        </w:rPr>
        <w:t xml:space="preserve"> A.I., </w:t>
      </w:r>
      <w:proofErr w:type="spellStart"/>
      <w:r w:rsidRPr="00C3645A">
        <w:rPr>
          <w:rFonts w:ascii="Arial" w:hAnsi="Arial" w:cs="Arial"/>
          <w:color w:val="auto"/>
          <w:sz w:val="20"/>
          <w:szCs w:val="20"/>
          <w:shd w:val="clear" w:color="auto" w:fill="FFFFFF"/>
        </w:rPr>
        <w:t>Cadéro</w:t>
      </w:r>
      <w:proofErr w:type="spellEnd"/>
      <w:r w:rsidRPr="00C3645A">
        <w:rPr>
          <w:rFonts w:ascii="Arial" w:hAnsi="Arial" w:cs="Arial"/>
          <w:color w:val="auto"/>
          <w:sz w:val="20"/>
          <w:szCs w:val="20"/>
          <w:shd w:val="clear" w:color="auto" w:fill="FFFFFF"/>
        </w:rPr>
        <w:t xml:space="preserve"> A., Casellas E., Buis S., Charpentier P., </w:t>
      </w:r>
      <w:proofErr w:type="spellStart"/>
      <w:r w:rsidRPr="00C3645A">
        <w:rPr>
          <w:rFonts w:ascii="Arial" w:hAnsi="Arial" w:cs="Arial"/>
          <w:color w:val="auto"/>
          <w:sz w:val="20"/>
          <w:szCs w:val="20"/>
          <w:shd w:val="clear" w:color="auto" w:fill="FFFFFF"/>
        </w:rPr>
        <w:t>Decau</w:t>
      </w:r>
      <w:proofErr w:type="spellEnd"/>
      <w:r w:rsidRPr="00C3645A">
        <w:rPr>
          <w:rFonts w:ascii="Arial" w:hAnsi="Arial" w:cs="Arial"/>
          <w:color w:val="auto"/>
          <w:sz w:val="20"/>
          <w:szCs w:val="20"/>
          <w:shd w:val="clear" w:color="auto" w:fill="FFFFFF"/>
        </w:rPr>
        <w:t xml:space="preserve"> M.L., </w:t>
      </w:r>
      <w:proofErr w:type="spellStart"/>
      <w:r w:rsidRPr="00C3645A">
        <w:rPr>
          <w:rFonts w:ascii="Arial" w:hAnsi="Arial" w:cs="Arial"/>
          <w:color w:val="auto"/>
          <w:sz w:val="20"/>
          <w:szCs w:val="20"/>
          <w:shd w:val="clear" w:color="auto" w:fill="FFFFFF"/>
        </w:rPr>
        <w:t>Louault</w:t>
      </w:r>
      <w:proofErr w:type="spellEnd"/>
      <w:r w:rsidRPr="00C3645A">
        <w:rPr>
          <w:rFonts w:ascii="Arial" w:hAnsi="Arial" w:cs="Arial"/>
          <w:color w:val="auto"/>
          <w:sz w:val="20"/>
          <w:szCs w:val="20"/>
          <w:shd w:val="clear" w:color="auto" w:fill="FFFFFF"/>
        </w:rPr>
        <w:t xml:space="preserve"> F., </w:t>
      </w:r>
      <w:proofErr w:type="spellStart"/>
      <w:r w:rsidRPr="00C3645A">
        <w:rPr>
          <w:rFonts w:ascii="Arial" w:hAnsi="Arial" w:cs="Arial"/>
          <w:color w:val="auto"/>
          <w:sz w:val="20"/>
          <w:szCs w:val="20"/>
          <w:shd w:val="clear" w:color="auto" w:fill="FFFFFF"/>
        </w:rPr>
        <w:t>Strullu</w:t>
      </w:r>
      <w:proofErr w:type="spellEnd"/>
      <w:r w:rsidRPr="00C3645A">
        <w:rPr>
          <w:rFonts w:ascii="Arial" w:hAnsi="Arial" w:cs="Arial"/>
          <w:color w:val="auto"/>
          <w:sz w:val="20"/>
          <w:szCs w:val="20"/>
          <w:shd w:val="clear" w:color="auto" w:fill="FFFFFF"/>
        </w:rPr>
        <w:t xml:space="preserve"> L., </w:t>
      </w:r>
      <w:proofErr w:type="spellStart"/>
      <w:r w:rsidRPr="00C3645A">
        <w:rPr>
          <w:rFonts w:ascii="Arial" w:hAnsi="Arial" w:cs="Arial"/>
          <w:color w:val="auto"/>
          <w:sz w:val="20"/>
          <w:szCs w:val="20"/>
          <w:shd w:val="clear" w:color="auto" w:fill="FFFFFF"/>
        </w:rPr>
        <w:t>Vertès</w:t>
      </w:r>
      <w:proofErr w:type="spellEnd"/>
      <w:r w:rsidRPr="00C3645A">
        <w:rPr>
          <w:rFonts w:ascii="Arial" w:hAnsi="Arial" w:cs="Arial"/>
          <w:color w:val="auto"/>
          <w:sz w:val="20"/>
          <w:szCs w:val="20"/>
          <w:shd w:val="clear" w:color="auto" w:fill="FFFFFF"/>
        </w:rPr>
        <w:t xml:space="preserve"> F., Ferchaud F. Calibration and evaluation of the STICS model for long-term simulations of soil organic matter dynamics in grassland soils (</w:t>
      </w:r>
      <w:r w:rsidRPr="00C3645A">
        <w:rPr>
          <w:rFonts w:ascii="Arial" w:hAnsi="Arial" w:cs="Arial"/>
          <w:i/>
          <w:iCs/>
          <w:color w:val="auto"/>
          <w:sz w:val="20"/>
          <w:szCs w:val="20"/>
          <w:shd w:val="clear" w:color="auto" w:fill="FFFFFF"/>
        </w:rPr>
        <w:t>in preparation</w:t>
      </w:r>
      <w:r w:rsidRPr="00C3645A">
        <w:rPr>
          <w:rFonts w:ascii="Arial" w:hAnsi="Arial" w:cs="Arial"/>
          <w:color w:val="auto"/>
          <w:sz w:val="20"/>
          <w:szCs w:val="20"/>
          <w:shd w:val="clear" w:color="auto" w:fill="FFFFFF"/>
        </w:rPr>
        <w:t>)</w:t>
      </w:r>
      <w:r w:rsidR="00860E81" w:rsidRPr="00C3645A">
        <w:rPr>
          <w:rFonts w:ascii="Arial" w:hAnsi="Arial" w:cs="Arial"/>
          <w:color w:val="auto"/>
          <w:sz w:val="20"/>
          <w:szCs w:val="20"/>
          <w:shd w:val="clear" w:color="auto" w:fill="FFFFFF"/>
        </w:rPr>
        <w:t>.</w:t>
      </w:r>
    </w:p>
    <w:p w14:paraId="25C86A55" w14:textId="13E3EF32" w:rsidR="00103167" w:rsidRPr="00C3645A" w:rsidRDefault="00103167" w:rsidP="006B2BCE">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IPCC</w:t>
      </w:r>
      <w:r w:rsidR="0007796C" w:rsidRPr="00C3645A">
        <w:rPr>
          <w:rFonts w:ascii="Arial" w:hAnsi="Arial" w:cs="Arial"/>
          <w:color w:val="auto"/>
          <w:sz w:val="20"/>
          <w:szCs w:val="20"/>
          <w:shd w:val="clear" w:color="auto" w:fill="FFFFFF"/>
        </w:rPr>
        <w:t xml:space="preserve"> (</w:t>
      </w:r>
      <w:r w:rsidRPr="00C3645A">
        <w:rPr>
          <w:rFonts w:ascii="Arial" w:hAnsi="Arial" w:cs="Arial"/>
          <w:color w:val="auto"/>
          <w:sz w:val="20"/>
          <w:szCs w:val="20"/>
          <w:shd w:val="clear" w:color="auto" w:fill="FFFFFF"/>
        </w:rPr>
        <w:t>2013</w:t>
      </w:r>
      <w:r w:rsidR="0007796C" w:rsidRPr="00C3645A">
        <w:rPr>
          <w:rFonts w:ascii="Arial" w:hAnsi="Arial" w:cs="Arial"/>
          <w:color w:val="auto"/>
          <w:sz w:val="20"/>
          <w:szCs w:val="20"/>
          <w:shd w:val="clear" w:color="auto" w:fill="FFFFFF"/>
        </w:rPr>
        <w:t>).</w:t>
      </w:r>
      <w:r w:rsidRPr="00C3645A">
        <w:rPr>
          <w:rFonts w:ascii="Arial" w:hAnsi="Arial" w:cs="Arial"/>
          <w:color w:val="auto"/>
          <w:sz w:val="20"/>
          <w:szCs w:val="20"/>
          <w:shd w:val="clear" w:color="auto" w:fill="FFFFFF"/>
        </w:rPr>
        <w:t xml:space="preserve"> Summary for Policymakers. In: Climate Change 2013: The Physical Science Basis. Contribution of Working Group I to the Fifth Assessment Report of the Intergovernmental Panel on Climate Change [Stocker, T.F., D. Qin, G.-K. Plattner, M. Tignor, S.K. Allen, J. </w:t>
      </w:r>
      <w:proofErr w:type="spellStart"/>
      <w:r w:rsidRPr="00C3645A">
        <w:rPr>
          <w:rFonts w:ascii="Arial" w:hAnsi="Arial" w:cs="Arial"/>
          <w:color w:val="auto"/>
          <w:sz w:val="20"/>
          <w:szCs w:val="20"/>
          <w:shd w:val="clear" w:color="auto" w:fill="FFFFFF"/>
        </w:rPr>
        <w:t>Boschung</w:t>
      </w:r>
      <w:proofErr w:type="spellEnd"/>
      <w:r w:rsidRPr="00C3645A">
        <w:rPr>
          <w:rFonts w:ascii="Arial" w:hAnsi="Arial" w:cs="Arial"/>
          <w:color w:val="auto"/>
          <w:sz w:val="20"/>
          <w:szCs w:val="20"/>
          <w:shd w:val="clear" w:color="auto" w:fill="FFFFFF"/>
        </w:rPr>
        <w:t xml:space="preserve">, A. </w:t>
      </w:r>
      <w:proofErr w:type="spellStart"/>
      <w:r w:rsidRPr="00C3645A">
        <w:rPr>
          <w:rFonts w:ascii="Arial" w:hAnsi="Arial" w:cs="Arial"/>
          <w:color w:val="auto"/>
          <w:sz w:val="20"/>
          <w:szCs w:val="20"/>
          <w:shd w:val="clear" w:color="auto" w:fill="FFFFFF"/>
        </w:rPr>
        <w:t>Nauels</w:t>
      </w:r>
      <w:proofErr w:type="spellEnd"/>
      <w:r w:rsidRPr="00C3645A">
        <w:rPr>
          <w:rFonts w:ascii="Arial" w:hAnsi="Arial" w:cs="Arial"/>
          <w:color w:val="auto"/>
          <w:sz w:val="20"/>
          <w:szCs w:val="20"/>
          <w:shd w:val="clear" w:color="auto" w:fill="FFFFFF"/>
        </w:rPr>
        <w:t>, Y. Xia, V. Bex and P.M. Midgley (eds.)]. Cambridge University Press, Cambridge, United Kingdom and New York, NY, USA</w:t>
      </w:r>
      <w:r w:rsidR="00A9404D" w:rsidRPr="00C3645A">
        <w:rPr>
          <w:rFonts w:ascii="Arial" w:hAnsi="Arial" w:cs="Arial"/>
          <w:color w:val="auto"/>
          <w:sz w:val="20"/>
          <w:szCs w:val="20"/>
          <w:shd w:val="clear" w:color="auto" w:fill="FFFFFF"/>
        </w:rPr>
        <w:t>.</w:t>
      </w:r>
    </w:p>
    <w:p w14:paraId="17A790F5" w14:textId="73810D00" w:rsidR="00AD6896" w:rsidRPr="00C3645A" w:rsidRDefault="00AD6896"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rPr>
        <w:t>IPCC</w:t>
      </w:r>
      <w:r w:rsidR="00E34D71" w:rsidRPr="00C3645A">
        <w:rPr>
          <w:rFonts w:ascii="Arial" w:hAnsi="Arial" w:cs="Arial"/>
          <w:color w:val="auto"/>
          <w:sz w:val="20"/>
          <w:szCs w:val="20"/>
        </w:rPr>
        <w:t xml:space="preserve"> (</w:t>
      </w:r>
      <w:r w:rsidRPr="00C3645A">
        <w:rPr>
          <w:rFonts w:ascii="Arial" w:hAnsi="Arial" w:cs="Arial"/>
          <w:color w:val="auto"/>
          <w:sz w:val="20"/>
          <w:szCs w:val="20"/>
        </w:rPr>
        <w:t>2014</w:t>
      </w:r>
      <w:r w:rsidR="00E34D71" w:rsidRPr="00C3645A">
        <w:rPr>
          <w:rFonts w:ascii="Arial" w:hAnsi="Arial" w:cs="Arial"/>
          <w:color w:val="auto"/>
          <w:sz w:val="20"/>
          <w:szCs w:val="20"/>
        </w:rPr>
        <w:t>).</w:t>
      </w:r>
      <w:r w:rsidRPr="00C3645A">
        <w:rPr>
          <w:rFonts w:ascii="Arial" w:hAnsi="Arial" w:cs="Arial"/>
          <w:color w:val="auto"/>
          <w:sz w:val="20"/>
          <w:szCs w:val="20"/>
        </w:rPr>
        <w:t xml:space="preserve"> Climate Change 2014: Synthesis Report. Contribution of Working Groups I, II and III to the Fifth Assessment Report of the Intergovernmental Panel on Climate Change [Core Writing Team, R.K. Pachauri and L.A. Meyer (eds.)]. IPCC, Geneva, Switzerland, 151 pp.</w:t>
      </w:r>
    </w:p>
    <w:p w14:paraId="1270CAAB" w14:textId="77777777" w:rsidR="00AD6896" w:rsidRPr="00C3645A" w:rsidRDefault="00AD6896" w:rsidP="000317D2">
      <w:pPr>
        <w:pStyle w:val="PubliManuscript"/>
        <w:spacing w:line="240" w:lineRule="auto"/>
        <w:ind w:firstLine="0"/>
        <w:rPr>
          <w:rFonts w:ascii="Arial" w:hAnsi="Arial" w:cs="Arial"/>
          <w:color w:val="auto"/>
          <w:sz w:val="20"/>
          <w:szCs w:val="20"/>
        </w:rPr>
      </w:pPr>
      <w:r w:rsidRPr="00C3645A">
        <w:rPr>
          <w:rFonts w:ascii="Arial" w:hAnsi="Arial" w:cs="Arial"/>
          <w:color w:val="auto"/>
          <w:sz w:val="20"/>
          <w:szCs w:val="20"/>
        </w:rPr>
        <w:lastRenderedPageBreak/>
        <w:t xml:space="preserve">IPCC (2019). </w:t>
      </w:r>
      <w:r w:rsidRPr="00C3645A">
        <w:rPr>
          <w:rFonts w:ascii="Arial" w:hAnsi="Arial" w:cs="Arial"/>
          <w:i/>
          <w:iCs/>
          <w:color w:val="auto"/>
          <w:sz w:val="20"/>
          <w:szCs w:val="20"/>
        </w:rPr>
        <w:t>Climate Change and Land: an IPCC special report on climate change, desertification, land degradation, sustainable land management, food security, and greenhouse gas fluxes in terrestrial ecosystems.</w:t>
      </w:r>
      <w:r w:rsidRPr="00C3645A">
        <w:rPr>
          <w:rFonts w:ascii="Arial" w:hAnsi="Arial" w:cs="Arial"/>
          <w:color w:val="auto"/>
          <w:sz w:val="20"/>
          <w:szCs w:val="20"/>
        </w:rPr>
        <w:t xml:space="preserve"> [P.R. Shukla, J. Skea, E. Calvo Buendia, V. Masson-Delmotte, H.-O. </w:t>
      </w:r>
      <w:proofErr w:type="spellStart"/>
      <w:r w:rsidRPr="00C3645A">
        <w:rPr>
          <w:rFonts w:ascii="Arial" w:hAnsi="Arial" w:cs="Arial"/>
          <w:color w:val="auto"/>
          <w:sz w:val="20"/>
          <w:szCs w:val="20"/>
        </w:rPr>
        <w:t>Pörtner</w:t>
      </w:r>
      <w:proofErr w:type="spellEnd"/>
      <w:r w:rsidRPr="00C3645A">
        <w:rPr>
          <w:rFonts w:ascii="Arial" w:hAnsi="Arial" w:cs="Arial"/>
          <w:color w:val="auto"/>
          <w:sz w:val="20"/>
          <w:szCs w:val="20"/>
        </w:rPr>
        <w:t xml:space="preserve">, D. C. Roberts, P. Zhai, R. Slade, S. Connors, R. van Diemen, M. Ferrat, E. Haughey, S. Luz, S. </w:t>
      </w:r>
      <w:proofErr w:type="spellStart"/>
      <w:r w:rsidRPr="00C3645A">
        <w:rPr>
          <w:rFonts w:ascii="Arial" w:hAnsi="Arial" w:cs="Arial"/>
          <w:color w:val="auto"/>
          <w:sz w:val="20"/>
          <w:szCs w:val="20"/>
        </w:rPr>
        <w:t>Neogi</w:t>
      </w:r>
      <w:proofErr w:type="spellEnd"/>
      <w:r w:rsidRPr="00C3645A">
        <w:rPr>
          <w:rFonts w:ascii="Arial" w:hAnsi="Arial" w:cs="Arial"/>
          <w:color w:val="auto"/>
          <w:sz w:val="20"/>
          <w:szCs w:val="20"/>
        </w:rPr>
        <w:t>, M. Pathak, J. Petzold, J. Portugal Pereira, P. Vyas, E. Huntley, K. Kissick, M. Belkacemi, J. Malley, (eds.)]. In press.</w:t>
      </w:r>
    </w:p>
    <w:p w14:paraId="48F1A649" w14:textId="10CD2CD2" w:rsidR="00011572" w:rsidRPr="00C3645A" w:rsidRDefault="00011572" w:rsidP="000317D2">
      <w:pPr>
        <w:pStyle w:val="PubliManuscript"/>
        <w:spacing w:line="240" w:lineRule="auto"/>
        <w:ind w:firstLine="0"/>
        <w:rPr>
          <w:rFonts w:ascii="Arial" w:hAnsi="Arial" w:cs="Arial"/>
          <w:color w:val="auto"/>
          <w:sz w:val="20"/>
          <w:szCs w:val="20"/>
        </w:rPr>
      </w:pPr>
      <w:r w:rsidRPr="00C3645A">
        <w:rPr>
          <w:rFonts w:ascii="Arial" w:hAnsi="Arial" w:cs="Arial"/>
          <w:color w:val="auto"/>
          <w:sz w:val="20"/>
          <w:szCs w:val="20"/>
        </w:rPr>
        <w:t>IPCC</w:t>
      </w:r>
      <w:r w:rsidR="00E34D71" w:rsidRPr="00C3645A">
        <w:rPr>
          <w:rFonts w:ascii="Arial" w:hAnsi="Arial" w:cs="Arial"/>
          <w:color w:val="auto"/>
          <w:sz w:val="20"/>
          <w:szCs w:val="20"/>
        </w:rPr>
        <w:t xml:space="preserve"> (</w:t>
      </w:r>
      <w:r w:rsidRPr="00C3645A">
        <w:rPr>
          <w:rFonts w:ascii="Arial" w:hAnsi="Arial" w:cs="Arial"/>
          <w:color w:val="auto"/>
          <w:sz w:val="20"/>
          <w:szCs w:val="20"/>
        </w:rPr>
        <w:t>2022</w:t>
      </w:r>
      <w:r w:rsidR="00E34D71" w:rsidRPr="00C3645A">
        <w:rPr>
          <w:rFonts w:ascii="Arial" w:hAnsi="Arial" w:cs="Arial"/>
          <w:color w:val="auto"/>
          <w:sz w:val="20"/>
          <w:szCs w:val="20"/>
        </w:rPr>
        <w:t>).</w:t>
      </w:r>
      <w:r w:rsidRPr="00C3645A">
        <w:rPr>
          <w:rFonts w:ascii="Arial" w:hAnsi="Arial" w:cs="Arial"/>
          <w:color w:val="auto"/>
          <w:sz w:val="20"/>
          <w:szCs w:val="20"/>
        </w:rPr>
        <w:t xml:space="preserve"> Summary for Policymakers [H.-O. </w:t>
      </w:r>
      <w:proofErr w:type="spellStart"/>
      <w:r w:rsidRPr="00C3645A">
        <w:rPr>
          <w:rFonts w:ascii="Arial" w:hAnsi="Arial" w:cs="Arial"/>
          <w:color w:val="auto"/>
          <w:sz w:val="20"/>
          <w:szCs w:val="20"/>
        </w:rPr>
        <w:t>Pörtner</w:t>
      </w:r>
      <w:proofErr w:type="spellEnd"/>
      <w:r w:rsidRPr="00C3645A">
        <w:rPr>
          <w:rFonts w:ascii="Arial" w:hAnsi="Arial" w:cs="Arial"/>
          <w:color w:val="auto"/>
          <w:sz w:val="20"/>
          <w:szCs w:val="20"/>
        </w:rPr>
        <w:t xml:space="preserve">, D.C. Roberts, E.S. </w:t>
      </w:r>
      <w:proofErr w:type="spellStart"/>
      <w:r w:rsidRPr="00C3645A">
        <w:rPr>
          <w:rFonts w:ascii="Arial" w:hAnsi="Arial" w:cs="Arial"/>
          <w:color w:val="auto"/>
          <w:sz w:val="20"/>
          <w:szCs w:val="20"/>
        </w:rPr>
        <w:t>Poloczanska</w:t>
      </w:r>
      <w:proofErr w:type="spellEnd"/>
      <w:r w:rsidRPr="00C3645A">
        <w:rPr>
          <w:rFonts w:ascii="Arial" w:hAnsi="Arial" w:cs="Arial"/>
          <w:color w:val="auto"/>
          <w:sz w:val="20"/>
          <w:szCs w:val="20"/>
        </w:rPr>
        <w:t xml:space="preserve">, K. </w:t>
      </w:r>
      <w:proofErr w:type="spellStart"/>
      <w:r w:rsidRPr="00C3645A">
        <w:rPr>
          <w:rFonts w:ascii="Arial" w:hAnsi="Arial" w:cs="Arial"/>
          <w:color w:val="auto"/>
          <w:sz w:val="20"/>
          <w:szCs w:val="20"/>
        </w:rPr>
        <w:t>Mintenbeck</w:t>
      </w:r>
      <w:proofErr w:type="spellEnd"/>
      <w:r w:rsidRPr="00C3645A">
        <w:rPr>
          <w:rFonts w:ascii="Arial" w:hAnsi="Arial" w:cs="Arial"/>
          <w:color w:val="auto"/>
          <w:sz w:val="20"/>
          <w:szCs w:val="20"/>
        </w:rPr>
        <w:t xml:space="preserve">, M. Tignor, A. Alegría, M. Craig, S. Langsdorf, S. </w:t>
      </w:r>
      <w:proofErr w:type="spellStart"/>
      <w:r w:rsidRPr="00C3645A">
        <w:rPr>
          <w:rFonts w:ascii="Arial" w:hAnsi="Arial" w:cs="Arial"/>
          <w:color w:val="auto"/>
          <w:sz w:val="20"/>
          <w:szCs w:val="20"/>
        </w:rPr>
        <w:t>Löschke</w:t>
      </w:r>
      <w:proofErr w:type="spellEnd"/>
      <w:r w:rsidRPr="00C3645A">
        <w:rPr>
          <w:rFonts w:ascii="Arial" w:hAnsi="Arial" w:cs="Arial"/>
          <w:color w:val="auto"/>
          <w:sz w:val="20"/>
          <w:szCs w:val="20"/>
        </w:rPr>
        <w:t xml:space="preserve">, V. Möller, A. </w:t>
      </w:r>
      <w:proofErr w:type="spellStart"/>
      <w:r w:rsidRPr="00C3645A">
        <w:rPr>
          <w:rFonts w:ascii="Arial" w:hAnsi="Arial" w:cs="Arial"/>
          <w:color w:val="auto"/>
          <w:sz w:val="20"/>
          <w:szCs w:val="20"/>
        </w:rPr>
        <w:t>Okem</w:t>
      </w:r>
      <w:proofErr w:type="spellEnd"/>
      <w:r w:rsidRPr="00C3645A">
        <w:rPr>
          <w:rFonts w:ascii="Arial" w:hAnsi="Arial" w:cs="Arial"/>
          <w:color w:val="auto"/>
          <w:sz w:val="20"/>
          <w:szCs w:val="20"/>
        </w:rPr>
        <w:t xml:space="preserve"> (eds.)]. In: </w:t>
      </w:r>
      <w:r w:rsidRPr="00C3645A">
        <w:rPr>
          <w:rFonts w:ascii="Arial" w:hAnsi="Arial" w:cs="Arial"/>
          <w:i/>
          <w:iCs/>
          <w:color w:val="auto"/>
          <w:sz w:val="20"/>
          <w:szCs w:val="20"/>
        </w:rPr>
        <w:t xml:space="preserve">Climate Change 2022: Impacts, Adaptation, and Vulnerability. </w:t>
      </w:r>
      <w:r w:rsidRPr="00C3645A">
        <w:rPr>
          <w:rFonts w:ascii="Arial" w:hAnsi="Arial" w:cs="Arial"/>
          <w:color w:val="auto"/>
          <w:sz w:val="20"/>
          <w:szCs w:val="20"/>
        </w:rPr>
        <w:t xml:space="preserve">Contribution of Working Group II to the Sixth Assessment Report of the Intergovernmental Panel on Climate Change [H.-O. </w:t>
      </w:r>
      <w:proofErr w:type="spellStart"/>
      <w:r w:rsidRPr="00C3645A">
        <w:rPr>
          <w:rFonts w:ascii="Arial" w:hAnsi="Arial" w:cs="Arial"/>
          <w:color w:val="auto"/>
          <w:sz w:val="20"/>
          <w:szCs w:val="20"/>
        </w:rPr>
        <w:t>Pörtner</w:t>
      </w:r>
      <w:proofErr w:type="spellEnd"/>
      <w:r w:rsidRPr="00C3645A">
        <w:rPr>
          <w:rFonts w:ascii="Arial" w:hAnsi="Arial" w:cs="Arial"/>
          <w:color w:val="auto"/>
          <w:sz w:val="20"/>
          <w:szCs w:val="20"/>
        </w:rPr>
        <w:t xml:space="preserve">, D.C. Roberts, M. Tignor, E.S. </w:t>
      </w:r>
      <w:proofErr w:type="spellStart"/>
      <w:r w:rsidRPr="00C3645A">
        <w:rPr>
          <w:rFonts w:ascii="Arial" w:hAnsi="Arial" w:cs="Arial"/>
          <w:color w:val="auto"/>
          <w:sz w:val="20"/>
          <w:szCs w:val="20"/>
        </w:rPr>
        <w:t>Poloczanska</w:t>
      </w:r>
      <w:proofErr w:type="spellEnd"/>
      <w:r w:rsidRPr="00C3645A">
        <w:rPr>
          <w:rFonts w:ascii="Arial" w:hAnsi="Arial" w:cs="Arial"/>
          <w:color w:val="auto"/>
          <w:sz w:val="20"/>
          <w:szCs w:val="20"/>
        </w:rPr>
        <w:t xml:space="preserve">, K. </w:t>
      </w:r>
      <w:proofErr w:type="spellStart"/>
      <w:r w:rsidRPr="00C3645A">
        <w:rPr>
          <w:rFonts w:ascii="Arial" w:hAnsi="Arial" w:cs="Arial"/>
          <w:color w:val="auto"/>
          <w:sz w:val="20"/>
          <w:szCs w:val="20"/>
        </w:rPr>
        <w:t>Mintenbeck</w:t>
      </w:r>
      <w:proofErr w:type="spellEnd"/>
      <w:r w:rsidRPr="00C3645A">
        <w:rPr>
          <w:rFonts w:ascii="Arial" w:hAnsi="Arial" w:cs="Arial"/>
          <w:color w:val="auto"/>
          <w:sz w:val="20"/>
          <w:szCs w:val="20"/>
        </w:rPr>
        <w:t xml:space="preserve">, A. Alegría, M. Craig, S. Langsdorf, S. </w:t>
      </w:r>
      <w:proofErr w:type="spellStart"/>
      <w:r w:rsidRPr="00C3645A">
        <w:rPr>
          <w:rFonts w:ascii="Arial" w:hAnsi="Arial" w:cs="Arial"/>
          <w:color w:val="auto"/>
          <w:sz w:val="20"/>
          <w:szCs w:val="20"/>
        </w:rPr>
        <w:t>Löschke</w:t>
      </w:r>
      <w:proofErr w:type="spellEnd"/>
      <w:r w:rsidRPr="00C3645A">
        <w:rPr>
          <w:rFonts w:ascii="Arial" w:hAnsi="Arial" w:cs="Arial"/>
          <w:color w:val="auto"/>
          <w:sz w:val="20"/>
          <w:szCs w:val="20"/>
        </w:rPr>
        <w:t xml:space="preserve">, V. Möller, A. </w:t>
      </w:r>
      <w:proofErr w:type="spellStart"/>
      <w:r w:rsidRPr="00C3645A">
        <w:rPr>
          <w:rFonts w:ascii="Arial" w:hAnsi="Arial" w:cs="Arial"/>
          <w:color w:val="auto"/>
          <w:sz w:val="20"/>
          <w:szCs w:val="20"/>
        </w:rPr>
        <w:t>Okem</w:t>
      </w:r>
      <w:proofErr w:type="spellEnd"/>
      <w:r w:rsidRPr="00C3645A">
        <w:rPr>
          <w:rFonts w:ascii="Arial" w:hAnsi="Arial" w:cs="Arial"/>
          <w:color w:val="auto"/>
          <w:sz w:val="20"/>
          <w:szCs w:val="20"/>
        </w:rPr>
        <w:t>, B. Rama (eds.)]. Cambridge University Press. In Press.</w:t>
      </w:r>
    </w:p>
    <w:p w14:paraId="0C1BB66D" w14:textId="77777777" w:rsidR="00AD6896" w:rsidRPr="00C3645A" w:rsidRDefault="00AD6896" w:rsidP="000317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rPr>
        <w:t xml:space="preserve">Isbell, F., Craven, D., Connolly, J., </w:t>
      </w:r>
      <w:proofErr w:type="spellStart"/>
      <w:r w:rsidRPr="00C3645A">
        <w:rPr>
          <w:rFonts w:ascii="Arial" w:hAnsi="Arial" w:cs="Arial"/>
          <w:color w:val="auto"/>
          <w:sz w:val="20"/>
          <w:szCs w:val="20"/>
          <w:shd w:val="clear" w:color="auto" w:fill="FFFFFF"/>
        </w:rPr>
        <w:t>Loreau</w:t>
      </w:r>
      <w:proofErr w:type="spellEnd"/>
      <w:r w:rsidRPr="00C3645A">
        <w:rPr>
          <w:rFonts w:ascii="Arial" w:hAnsi="Arial" w:cs="Arial"/>
          <w:color w:val="auto"/>
          <w:sz w:val="20"/>
          <w:szCs w:val="20"/>
          <w:shd w:val="clear" w:color="auto" w:fill="FFFFFF"/>
        </w:rPr>
        <w:t xml:space="preserve">, M., Schmid, B., </w:t>
      </w:r>
      <w:proofErr w:type="spellStart"/>
      <w:r w:rsidRPr="00C3645A">
        <w:rPr>
          <w:rFonts w:ascii="Arial" w:hAnsi="Arial" w:cs="Arial"/>
          <w:color w:val="auto"/>
          <w:sz w:val="20"/>
          <w:szCs w:val="20"/>
          <w:shd w:val="clear" w:color="auto" w:fill="FFFFFF"/>
        </w:rPr>
        <w:t>Beierkuhnlein</w:t>
      </w:r>
      <w:proofErr w:type="spellEnd"/>
      <w:r w:rsidRPr="00C3645A">
        <w:rPr>
          <w:rFonts w:ascii="Arial" w:hAnsi="Arial" w:cs="Arial"/>
          <w:color w:val="auto"/>
          <w:sz w:val="20"/>
          <w:szCs w:val="20"/>
          <w:shd w:val="clear" w:color="auto" w:fill="FFFFFF"/>
        </w:rPr>
        <w:t>, C., ... &amp; Eisenhauer, N. (2015). Biodiversity increases the resistance of ecosystem productivity to climate extremes. </w:t>
      </w:r>
      <w:r w:rsidRPr="00C3645A">
        <w:rPr>
          <w:rFonts w:ascii="Arial" w:hAnsi="Arial" w:cs="Arial"/>
          <w:i/>
          <w:iCs/>
          <w:color w:val="auto"/>
          <w:sz w:val="20"/>
          <w:szCs w:val="20"/>
          <w:shd w:val="clear" w:color="auto" w:fill="FFFFFF"/>
        </w:rPr>
        <w:t>Nature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526</w:t>
      </w:r>
      <w:r w:rsidRPr="00C3645A">
        <w:rPr>
          <w:rFonts w:ascii="Arial" w:hAnsi="Arial" w:cs="Arial"/>
          <w:color w:val="auto"/>
          <w:sz w:val="20"/>
          <w:szCs w:val="20"/>
          <w:shd w:val="clear" w:color="auto" w:fill="FFFFFF"/>
        </w:rPr>
        <w:t xml:space="preserve">(7574), 574-577. </w:t>
      </w:r>
      <w:hyperlink r:id="rId36" w:history="1">
        <w:r w:rsidRPr="00C3645A">
          <w:rPr>
            <w:rStyle w:val="Lienhypertexte"/>
            <w:rFonts w:ascii="Arial" w:hAnsi="Arial" w:cs="Arial"/>
            <w:color w:val="auto"/>
            <w:sz w:val="20"/>
            <w:szCs w:val="20"/>
            <w:u w:val="none"/>
            <w:shd w:val="clear" w:color="auto" w:fill="FFFFFF"/>
          </w:rPr>
          <w:t>https://doi.org/10.1038/nature15374</w:t>
        </w:r>
      </w:hyperlink>
    </w:p>
    <w:p w14:paraId="7D5A6D56" w14:textId="4CBC01BB" w:rsidR="00F52167" w:rsidRPr="00C3645A" w:rsidRDefault="00F52167"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Jackson, R. B., </w:t>
      </w:r>
      <w:proofErr w:type="spellStart"/>
      <w:r w:rsidRPr="00C3645A">
        <w:rPr>
          <w:rFonts w:ascii="Arial" w:hAnsi="Arial" w:cs="Arial"/>
          <w:color w:val="auto"/>
          <w:sz w:val="20"/>
          <w:szCs w:val="20"/>
          <w:shd w:val="clear" w:color="auto" w:fill="FFFFFF"/>
        </w:rPr>
        <w:t>Lajtha</w:t>
      </w:r>
      <w:proofErr w:type="spellEnd"/>
      <w:r w:rsidRPr="00C3645A">
        <w:rPr>
          <w:rFonts w:ascii="Arial" w:hAnsi="Arial" w:cs="Arial"/>
          <w:color w:val="auto"/>
          <w:sz w:val="20"/>
          <w:szCs w:val="20"/>
          <w:shd w:val="clear" w:color="auto" w:fill="FFFFFF"/>
        </w:rPr>
        <w:t xml:space="preserve">, K., Crow, S. E., </w:t>
      </w:r>
      <w:proofErr w:type="spellStart"/>
      <w:r w:rsidRPr="00C3645A">
        <w:rPr>
          <w:rFonts w:ascii="Arial" w:hAnsi="Arial" w:cs="Arial"/>
          <w:color w:val="auto"/>
          <w:sz w:val="20"/>
          <w:szCs w:val="20"/>
          <w:shd w:val="clear" w:color="auto" w:fill="FFFFFF"/>
        </w:rPr>
        <w:t>Hugelius</w:t>
      </w:r>
      <w:proofErr w:type="spellEnd"/>
      <w:r w:rsidRPr="00C3645A">
        <w:rPr>
          <w:rFonts w:ascii="Arial" w:hAnsi="Arial" w:cs="Arial"/>
          <w:color w:val="auto"/>
          <w:sz w:val="20"/>
          <w:szCs w:val="20"/>
          <w:shd w:val="clear" w:color="auto" w:fill="FFFFFF"/>
        </w:rPr>
        <w:t>, G., Kramer, M. G., &amp; Piñeiro, G. (2017). The ecology of soil carbon: pools, vulnerabilities, and biotic and abiotic controls. </w:t>
      </w:r>
      <w:r w:rsidRPr="00C3645A">
        <w:rPr>
          <w:rFonts w:ascii="Arial" w:hAnsi="Arial" w:cs="Arial"/>
          <w:i/>
          <w:iCs/>
          <w:color w:val="auto"/>
          <w:sz w:val="20"/>
          <w:szCs w:val="20"/>
          <w:shd w:val="clear" w:color="auto" w:fill="FFFFFF"/>
        </w:rPr>
        <w:t>Annual review of ecology, evolution, and systematics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48</w:t>
      </w:r>
      <w:r w:rsidRPr="00C3645A">
        <w:rPr>
          <w:rFonts w:ascii="Arial" w:hAnsi="Arial" w:cs="Arial"/>
          <w:color w:val="auto"/>
          <w:sz w:val="20"/>
          <w:szCs w:val="20"/>
          <w:shd w:val="clear" w:color="auto" w:fill="FFFFFF"/>
        </w:rPr>
        <w:t xml:space="preserve">, 419-445. </w:t>
      </w:r>
      <w:hyperlink r:id="rId37" w:history="1">
        <w:r w:rsidR="0093523B" w:rsidRPr="00C3645A">
          <w:rPr>
            <w:rFonts w:ascii="Arial" w:hAnsi="Arial" w:cs="Arial"/>
            <w:color w:val="auto"/>
            <w:sz w:val="20"/>
            <w:szCs w:val="20"/>
            <w:shd w:val="clear" w:color="auto" w:fill="FFFFFF"/>
          </w:rPr>
          <w:t>https://doi.org/10.1146/annurev-ecolsys-112414-054234</w:t>
        </w:r>
      </w:hyperlink>
    </w:p>
    <w:p w14:paraId="55EB37C3" w14:textId="49126984" w:rsidR="00DC6908" w:rsidRPr="00C3645A" w:rsidRDefault="00DC6908" w:rsidP="000317D2">
      <w:pPr>
        <w:pStyle w:val="PubliManuscript"/>
        <w:spacing w:line="240" w:lineRule="auto"/>
        <w:ind w:firstLine="0"/>
        <w:rPr>
          <w:rFonts w:ascii="Arial" w:hAnsi="Arial" w:cs="Arial"/>
          <w:color w:val="auto"/>
          <w:sz w:val="20"/>
          <w:szCs w:val="20"/>
          <w:shd w:val="clear" w:color="auto" w:fill="FFFFFF"/>
          <w:lang w:val="fr-BE"/>
        </w:rPr>
      </w:pPr>
      <w:r w:rsidRPr="00C3645A">
        <w:rPr>
          <w:rFonts w:ascii="Arial" w:hAnsi="Arial" w:cs="Arial"/>
          <w:color w:val="auto"/>
          <w:sz w:val="20"/>
          <w:szCs w:val="20"/>
          <w:shd w:val="clear" w:color="auto" w:fill="FFFFFF"/>
          <w:lang w:val="de-DE"/>
        </w:rPr>
        <w:t xml:space="preserve">Kimball, B. A., Kobayashi, K., &amp; </w:t>
      </w:r>
      <w:proofErr w:type="spellStart"/>
      <w:r w:rsidRPr="00C3645A">
        <w:rPr>
          <w:rFonts w:ascii="Arial" w:hAnsi="Arial" w:cs="Arial"/>
          <w:color w:val="auto"/>
          <w:sz w:val="20"/>
          <w:szCs w:val="20"/>
          <w:shd w:val="clear" w:color="auto" w:fill="FFFFFF"/>
          <w:lang w:val="de-DE"/>
        </w:rPr>
        <w:t>Bindi</w:t>
      </w:r>
      <w:proofErr w:type="spellEnd"/>
      <w:r w:rsidRPr="00C3645A">
        <w:rPr>
          <w:rFonts w:ascii="Arial" w:hAnsi="Arial" w:cs="Arial"/>
          <w:color w:val="auto"/>
          <w:sz w:val="20"/>
          <w:szCs w:val="20"/>
          <w:shd w:val="clear" w:color="auto" w:fill="FFFFFF"/>
          <w:lang w:val="de-DE"/>
        </w:rPr>
        <w:t xml:space="preserve">, M. (2002). </w:t>
      </w:r>
      <w:r w:rsidRPr="00C3645A">
        <w:rPr>
          <w:rFonts w:ascii="Arial" w:hAnsi="Arial" w:cs="Arial"/>
          <w:color w:val="auto"/>
          <w:sz w:val="20"/>
          <w:szCs w:val="20"/>
          <w:shd w:val="clear" w:color="auto" w:fill="FFFFFF"/>
        </w:rPr>
        <w:t>Responses of agricultural crops to free-air CO2 enrichment. </w:t>
      </w:r>
      <w:proofErr w:type="spellStart"/>
      <w:r w:rsidRPr="00C3645A">
        <w:rPr>
          <w:rFonts w:ascii="Arial" w:hAnsi="Arial" w:cs="Arial"/>
          <w:i/>
          <w:iCs/>
          <w:color w:val="auto"/>
          <w:sz w:val="20"/>
          <w:szCs w:val="20"/>
          <w:shd w:val="clear" w:color="auto" w:fill="FFFFFF"/>
          <w:lang w:val="fr-BE"/>
        </w:rPr>
        <w:t>Advances</w:t>
      </w:r>
      <w:proofErr w:type="spellEnd"/>
      <w:r w:rsidRPr="00C3645A">
        <w:rPr>
          <w:rFonts w:ascii="Arial" w:hAnsi="Arial" w:cs="Arial"/>
          <w:i/>
          <w:iCs/>
          <w:color w:val="auto"/>
          <w:sz w:val="20"/>
          <w:szCs w:val="20"/>
          <w:shd w:val="clear" w:color="auto" w:fill="FFFFFF"/>
          <w:lang w:val="fr-BE"/>
        </w:rPr>
        <w:t xml:space="preserve"> in </w:t>
      </w:r>
      <w:proofErr w:type="spellStart"/>
      <w:r w:rsidRPr="00C3645A">
        <w:rPr>
          <w:rFonts w:ascii="Arial" w:hAnsi="Arial" w:cs="Arial"/>
          <w:i/>
          <w:iCs/>
          <w:color w:val="auto"/>
          <w:sz w:val="20"/>
          <w:szCs w:val="20"/>
          <w:shd w:val="clear" w:color="auto" w:fill="FFFFFF"/>
          <w:lang w:val="fr-BE"/>
        </w:rPr>
        <w:t>agronomy</w:t>
      </w:r>
      <w:proofErr w:type="spellEnd"/>
      <w:r w:rsidRPr="00C3645A">
        <w:rPr>
          <w:rFonts w:ascii="Arial" w:hAnsi="Arial" w:cs="Arial"/>
          <w:color w:val="auto"/>
          <w:sz w:val="20"/>
          <w:szCs w:val="20"/>
          <w:shd w:val="clear" w:color="auto" w:fill="FFFFFF"/>
          <w:lang w:val="fr-BE"/>
        </w:rPr>
        <w:t>, </w:t>
      </w:r>
      <w:r w:rsidRPr="00C3645A">
        <w:rPr>
          <w:rFonts w:ascii="Arial" w:hAnsi="Arial" w:cs="Arial"/>
          <w:i/>
          <w:iCs/>
          <w:color w:val="auto"/>
          <w:sz w:val="20"/>
          <w:szCs w:val="20"/>
          <w:shd w:val="clear" w:color="auto" w:fill="FFFFFF"/>
          <w:lang w:val="fr-BE"/>
        </w:rPr>
        <w:t>77</w:t>
      </w:r>
      <w:r w:rsidRPr="00C3645A">
        <w:rPr>
          <w:rFonts w:ascii="Arial" w:hAnsi="Arial" w:cs="Arial"/>
          <w:color w:val="auto"/>
          <w:sz w:val="20"/>
          <w:szCs w:val="20"/>
          <w:shd w:val="clear" w:color="auto" w:fill="FFFFFF"/>
          <w:lang w:val="fr-BE"/>
        </w:rPr>
        <w:t xml:space="preserve">, 293-368. </w:t>
      </w:r>
      <w:hyperlink r:id="rId38" w:tgtFrame="_blank" w:tooltip="Persistent link using digital object identifier" w:history="1">
        <w:r w:rsidR="005551D8" w:rsidRPr="00C3645A">
          <w:rPr>
            <w:rStyle w:val="anchor-text"/>
            <w:rFonts w:ascii="Arial" w:hAnsi="Arial" w:cs="Arial"/>
            <w:color w:val="auto"/>
            <w:sz w:val="20"/>
            <w:szCs w:val="20"/>
            <w:lang w:val="fr-BE"/>
          </w:rPr>
          <w:t>https://doi.org/10.1016/S0065-2113(02)77017-X</w:t>
        </w:r>
      </w:hyperlink>
    </w:p>
    <w:p w14:paraId="22FD7A1C" w14:textId="58272188" w:rsidR="00461136" w:rsidRPr="00C3645A" w:rsidRDefault="00461136" w:rsidP="000317D2">
      <w:pPr>
        <w:pStyle w:val="Standard"/>
        <w:jc w:val="both"/>
        <w:rPr>
          <w:rFonts w:ascii="Arial" w:hAnsi="Arial" w:cs="Arial"/>
          <w:sz w:val="20"/>
          <w:szCs w:val="20"/>
          <w:shd w:val="clear" w:color="auto" w:fill="FFFFFF"/>
          <w:lang w:val="en-US"/>
        </w:rPr>
      </w:pPr>
      <w:proofErr w:type="spellStart"/>
      <w:r w:rsidRPr="00C3645A">
        <w:rPr>
          <w:rFonts w:ascii="Arial" w:hAnsi="Arial" w:cs="Arial"/>
          <w:sz w:val="20"/>
          <w:szCs w:val="20"/>
          <w:shd w:val="clear" w:color="auto" w:fill="FFFFFF"/>
          <w:lang w:val="fr-BE"/>
        </w:rPr>
        <w:t>Kunrath</w:t>
      </w:r>
      <w:proofErr w:type="spellEnd"/>
      <w:r w:rsidRPr="00C3645A">
        <w:rPr>
          <w:rFonts w:ascii="Arial" w:hAnsi="Arial" w:cs="Arial"/>
          <w:sz w:val="20"/>
          <w:szCs w:val="20"/>
          <w:shd w:val="clear" w:color="auto" w:fill="FFFFFF"/>
          <w:lang w:val="fr-BE"/>
        </w:rPr>
        <w:t xml:space="preserve">, T. R., de Albuquerque Nunes, P. A., de Souza Filho, W., </w:t>
      </w:r>
      <w:proofErr w:type="spellStart"/>
      <w:r w:rsidRPr="00C3645A">
        <w:rPr>
          <w:rFonts w:ascii="Arial" w:hAnsi="Arial" w:cs="Arial"/>
          <w:sz w:val="20"/>
          <w:szCs w:val="20"/>
          <w:shd w:val="clear" w:color="auto" w:fill="FFFFFF"/>
          <w:lang w:val="fr-BE"/>
        </w:rPr>
        <w:t>Cadenazzi</w:t>
      </w:r>
      <w:proofErr w:type="spellEnd"/>
      <w:r w:rsidRPr="00C3645A">
        <w:rPr>
          <w:rFonts w:ascii="Arial" w:hAnsi="Arial" w:cs="Arial"/>
          <w:sz w:val="20"/>
          <w:szCs w:val="20"/>
          <w:shd w:val="clear" w:color="auto" w:fill="FFFFFF"/>
          <w:lang w:val="fr-BE"/>
        </w:rPr>
        <w:t xml:space="preserve">, M., </w:t>
      </w:r>
      <w:proofErr w:type="spellStart"/>
      <w:r w:rsidRPr="00C3645A">
        <w:rPr>
          <w:rFonts w:ascii="Arial" w:hAnsi="Arial" w:cs="Arial"/>
          <w:sz w:val="20"/>
          <w:szCs w:val="20"/>
          <w:shd w:val="clear" w:color="auto" w:fill="FFFFFF"/>
          <w:lang w:val="fr-BE"/>
        </w:rPr>
        <w:t>Bremm</w:t>
      </w:r>
      <w:proofErr w:type="spellEnd"/>
      <w:r w:rsidRPr="00C3645A">
        <w:rPr>
          <w:rFonts w:ascii="Arial" w:hAnsi="Arial" w:cs="Arial"/>
          <w:sz w:val="20"/>
          <w:szCs w:val="20"/>
          <w:shd w:val="clear" w:color="auto" w:fill="FFFFFF"/>
          <w:lang w:val="fr-BE"/>
        </w:rPr>
        <w:t xml:space="preserve">, C., Martins, A. P., &amp; de </w:t>
      </w:r>
      <w:proofErr w:type="spellStart"/>
      <w:r w:rsidRPr="00C3645A">
        <w:rPr>
          <w:rFonts w:ascii="Arial" w:hAnsi="Arial" w:cs="Arial"/>
          <w:sz w:val="20"/>
          <w:szCs w:val="20"/>
          <w:shd w:val="clear" w:color="auto" w:fill="FFFFFF"/>
          <w:lang w:val="fr-BE"/>
        </w:rPr>
        <w:t>Faccio</w:t>
      </w:r>
      <w:proofErr w:type="spellEnd"/>
      <w:r w:rsidRPr="00C3645A">
        <w:rPr>
          <w:rFonts w:ascii="Arial" w:hAnsi="Arial" w:cs="Arial"/>
          <w:sz w:val="20"/>
          <w:szCs w:val="20"/>
          <w:shd w:val="clear" w:color="auto" w:fill="FFFFFF"/>
          <w:lang w:val="fr-BE"/>
        </w:rPr>
        <w:t xml:space="preserve"> Carvalho, P. C. (2020). </w:t>
      </w:r>
      <w:r w:rsidRPr="00C3645A">
        <w:rPr>
          <w:rFonts w:ascii="Arial" w:hAnsi="Arial" w:cs="Arial"/>
          <w:sz w:val="20"/>
          <w:szCs w:val="20"/>
          <w:shd w:val="clear" w:color="auto" w:fill="FFFFFF"/>
          <w:lang w:val="en-US"/>
        </w:rPr>
        <w:t>Sward height determines pasture production and animal performance in a long-term soybean-beef cattle integrated system. </w:t>
      </w:r>
      <w:r w:rsidRPr="00C3645A">
        <w:rPr>
          <w:rFonts w:ascii="Arial" w:hAnsi="Arial" w:cs="Arial"/>
          <w:i/>
          <w:iCs/>
          <w:sz w:val="20"/>
          <w:szCs w:val="20"/>
          <w:shd w:val="clear" w:color="auto" w:fill="FFFFFF"/>
          <w:lang w:val="en-US"/>
        </w:rPr>
        <w:t>Agricultural Systems</w:t>
      </w:r>
      <w:r w:rsidRPr="00C3645A">
        <w:rPr>
          <w:rFonts w:ascii="Arial" w:hAnsi="Arial" w:cs="Arial"/>
          <w:sz w:val="20"/>
          <w:szCs w:val="20"/>
          <w:shd w:val="clear" w:color="auto" w:fill="FFFFFF"/>
          <w:lang w:val="en-US"/>
        </w:rPr>
        <w:t>, </w:t>
      </w:r>
      <w:r w:rsidRPr="00C3645A">
        <w:rPr>
          <w:rFonts w:ascii="Arial" w:hAnsi="Arial" w:cs="Arial"/>
          <w:i/>
          <w:iCs/>
          <w:sz w:val="20"/>
          <w:szCs w:val="20"/>
          <w:shd w:val="clear" w:color="auto" w:fill="FFFFFF"/>
          <w:lang w:val="en-US"/>
        </w:rPr>
        <w:t>177</w:t>
      </w:r>
      <w:r w:rsidRPr="00C3645A">
        <w:rPr>
          <w:rFonts w:ascii="Arial" w:hAnsi="Arial" w:cs="Arial"/>
          <w:sz w:val="20"/>
          <w:szCs w:val="20"/>
          <w:shd w:val="clear" w:color="auto" w:fill="FFFFFF"/>
          <w:lang w:val="en-US"/>
        </w:rPr>
        <w:t xml:space="preserve">, 102716. </w:t>
      </w:r>
      <w:hyperlink r:id="rId39" w:tgtFrame="_blank" w:tooltip="Persistent link using digital object identifier" w:history="1">
        <w:r w:rsidRPr="00C3645A">
          <w:rPr>
            <w:rFonts w:ascii="Arial" w:hAnsi="Arial" w:cs="Arial"/>
            <w:sz w:val="20"/>
            <w:szCs w:val="20"/>
            <w:shd w:val="clear" w:color="auto" w:fill="FFFFFF"/>
            <w:lang w:val="en-US"/>
          </w:rPr>
          <w:t>https://doi.org/10.1016/j.agsy.2019.102716</w:t>
        </w:r>
      </w:hyperlink>
    </w:p>
    <w:p w14:paraId="48B660C6" w14:textId="60FCF67F" w:rsidR="00D45F9A" w:rsidRPr="00C3645A" w:rsidRDefault="00FE7831" w:rsidP="000317D2">
      <w:pPr>
        <w:spacing w:after="0" w:line="240" w:lineRule="auto"/>
        <w:jc w:val="both"/>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rPr>
        <w:t xml:space="preserve">Laca, E. A., Ungar, E. D., Seligman, N., &amp; </w:t>
      </w:r>
      <w:proofErr w:type="spellStart"/>
      <w:r w:rsidRPr="00C3645A">
        <w:rPr>
          <w:rFonts w:ascii="Arial" w:hAnsi="Arial" w:cs="Arial"/>
          <w:color w:val="auto"/>
          <w:sz w:val="20"/>
          <w:szCs w:val="20"/>
          <w:shd w:val="clear" w:color="auto" w:fill="FFFFFF"/>
        </w:rPr>
        <w:t>Demment</w:t>
      </w:r>
      <w:proofErr w:type="spellEnd"/>
      <w:r w:rsidRPr="00C3645A">
        <w:rPr>
          <w:rFonts w:ascii="Arial" w:hAnsi="Arial" w:cs="Arial"/>
          <w:color w:val="auto"/>
          <w:sz w:val="20"/>
          <w:szCs w:val="20"/>
          <w:shd w:val="clear" w:color="auto" w:fill="FFFFFF"/>
        </w:rPr>
        <w:t>, M. W. (1992). Effects of sward height and bulk density on bite dimensions of cattle grazing homogeneous swards. </w:t>
      </w:r>
      <w:r w:rsidRPr="00C3645A">
        <w:rPr>
          <w:rFonts w:ascii="Arial" w:hAnsi="Arial" w:cs="Arial"/>
          <w:i/>
          <w:iCs/>
          <w:color w:val="auto"/>
          <w:sz w:val="20"/>
          <w:szCs w:val="20"/>
          <w:shd w:val="clear" w:color="auto" w:fill="FFFFFF"/>
        </w:rPr>
        <w:t>Grass and forage science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47</w:t>
      </w:r>
      <w:r w:rsidRPr="00C3645A">
        <w:rPr>
          <w:rFonts w:ascii="Arial" w:hAnsi="Arial" w:cs="Arial"/>
          <w:color w:val="auto"/>
          <w:sz w:val="20"/>
          <w:szCs w:val="20"/>
          <w:shd w:val="clear" w:color="auto" w:fill="FFFFFF"/>
        </w:rPr>
        <w:t xml:space="preserve">(1), 91-102. </w:t>
      </w:r>
      <w:hyperlink r:id="rId40" w:history="1">
        <w:r w:rsidR="00A156C4" w:rsidRPr="00C3645A">
          <w:rPr>
            <w:rStyle w:val="Lienhypertexte"/>
            <w:rFonts w:ascii="Arial" w:hAnsi="Arial" w:cs="Arial"/>
            <w:color w:val="auto"/>
            <w:sz w:val="20"/>
            <w:szCs w:val="20"/>
            <w:u w:val="none"/>
            <w:shd w:val="clear" w:color="auto" w:fill="FFFFFF"/>
          </w:rPr>
          <w:t>https://doi.org/10.1111/j.1365-2494.1992.tb02251.x</w:t>
        </w:r>
      </w:hyperlink>
    </w:p>
    <w:p w14:paraId="125F2B86" w14:textId="77777777" w:rsidR="00F01461" w:rsidRPr="00C3645A" w:rsidRDefault="00F01461"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Lemaire, G., </w:t>
      </w:r>
      <w:proofErr w:type="spellStart"/>
      <w:r w:rsidRPr="00C3645A">
        <w:rPr>
          <w:rFonts w:ascii="Arial" w:hAnsi="Arial" w:cs="Arial"/>
          <w:color w:val="auto"/>
          <w:sz w:val="20"/>
          <w:szCs w:val="20"/>
          <w:shd w:val="clear" w:color="auto" w:fill="FFFFFF"/>
        </w:rPr>
        <w:t>Ryschawy</w:t>
      </w:r>
      <w:proofErr w:type="spellEnd"/>
      <w:r w:rsidRPr="00C3645A">
        <w:rPr>
          <w:rFonts w:ascii="Arial" w:hAnsi="Arial" w:cs="Arial"/>
          <w:color w:val="auto"/>
          <w:sz w:val="20"/>
          <w:szCs w:val="20"/>
          <w:shd w:val="clear" w:color="auto" w:fill="FFFFFF"/>
        </w:rPr>
        <w:t>, J., &amp; de Faccio, P. C. (2016). Agricultural intensification and diversity for reconciling production and environment. </w:t>
      </w:r>
      <w:r w:rsidRPr="00C3645A">
        <w:rPr>
          <w:rFonts w:ascii="Arial" w:hAnsi="Arial" w:cs="Arial"/>
          <w:i/>
          <w:iCs/>
          <w:color w:val="auto"/>
          <w:sz w:val="20"/>
          <w:szCs w:val="20"/>
          <w:shd w:val="clear" w:color="auto" w:fill="FFFFFF"/>
        </w:rPr>
        <w:t>Food Production and Nature Conservation: Conflicts and Solutions</w:t>
      </w:r>
      <w:r w:rsidRPr="00C3645A">
        <w:rPr>
          <w:rFonts w:ascii="Arial" w:hAnsi="Arial" w:cs="Arial"/>
          <w:color w:val="auto"/>
          <w:sz w:val="20"/>
          <w:szCs w:val="20"/>
          <w:shd w:val="clear" w:color="auto" w:fill="FFFFFF"/>
        </w:rPr>
        <w:t xml:space="preserve">, 113. </w:t>
      </w:r>
    </w:p>
    <w:p w14:paraId="242B1782" w14:textId="4E9F9916" w:rsidR="0034440C" w:rsidRPr="00C3645A" w:rsidRDefault="0034440C"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Leng, G., &amp; Hall, J. (2019). Crop yield sensitivity of global major agricultural countries to droughts and the projected changes in the future. </w:t>
      </w:r>
      <w:r w:rsidRPr="00C3645A">
        <w:rPr>
          <w:rFonts w:ascii="Arial" w:hAnsi="Arial" w:cs="Arial"/>
          <w:i/>
          <w:iCs/>
          <w:color w:val="auto"/>
          <w:sz w:val="20"/>
          <w:szCs w:val="20"/>
          <w:shd w:val="clear" w:color="auto" w:fill="FFFFFF"/>
        </w:rPr>
        <w:t>Science of the Total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654</w:t>
      </w:r>
      <w:r w:rsidRPr="00C3645A">
        <w:rPr>
          <w:rFonts w:ascii="Arial" w:hAnsi="Arial" w:cs="Arial"/>
          <w:color w:val="auto"/>
          <w:sz w:val="20"/>
          <w:szCs w:val="20"/>
          <w:shd w:val="clear" w:color="auto" w:fill="FFFFFF"/>
        </w:rPr>
        <w:t xml:space="preserve">, 811-821. </w:t>
      </w:r>
      <w:hyperlink r:id="rId41" w:tgtFrame="_blank" w:tooltip="Persistent link using digital object identifier" w:history="1">
        <w:r w:rsidR="00465F52" w:rsidRPr="00C3645A">
          <w:rPr>
            <w:rFonts w:ascii="Arial" w:hAnsi="Arial" w:cs="Arial"/>
            <w:color w:val="auto"/>
            <w:sz w:val="20"/>
            <w:szCs w:val="20"/>
            <w:shd w:val="clear" w:color="auto" w:fill="FFFFFF"/>
          </w:rPr>
          <w:t>https://doi.org/10.1016/j.scitotenv.2018.10.434</w:t>
        </w:r>
      </w:hyperlink>
    </w:p>
    <w:p w14:paraId="18690AC5" w14:textId="23C6FED6" w:rsidR="00D45F9A" w:rsidRPr="00C3645A" w:rsidRDefault="00D45F9A" w:rsidP="000317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lang w:val="de-DE"/>
        </w:rPr>
        <w:t xml:space="preserve">Liu, J., </w:t>
      </w:r>
      <w:proofErr w:type="spellStart"/>
      <w:r w:rsidRPr="00C3645A">
        <w:rPr>
          <w:rFonts w:ascii="Arial" w:hAnsi="Arial" w:cs="Arial"/>
          <w:color w:val="auto"/>
          <w:sz w:val="20"/>
          <w:szCs w:val="20"/>
          <w:shd w:val="clear" w:color="auto" w:fill="FFFFFF"/>
          <w:lang w:val="de-DE"/>
        </w:rPr>
        <w:t>You</w:t>
      </w:r>
      <w:proofErr w:type="spellEnd"/>
      <w:r w:rsidRPr="00C3645A">
        <w:rPr>
          <w:rFonts w:ascii="Arial" w:hAnsi="Arial" w:cs="Arial"/>
          <w:color w:val="auto"/>
          <w:sz w:val="20"/>
          <w:szCs w:val="20"/>
          <w:shd w:val="clear" w:color="auto" w:fill="FFFFFF"/>
          <w:lang w:val="de-DE"/>
        </w:rPr>
        <w:t xml:space="preserve">, L., Amini, M., Obersteiner, M., Herrero, M., Zehnder, A. J., &amp; Yang, H. (2010). </w:t>
      </w:r>
      <w:r w:rsidRPr="00C3645A">
        <w:rPr>
          <w:rFonts w:ascii="Arial" w:hAnsi="Arial" w:cs="Arial"/>
          <w:color w:val="auto"/>
          <w:sz w:val="20"/>
          <w:szCs w:val="20"/>
          <w:shd w:val="clear" w:color="auto" w:fill="FFFFFF"/>
        </w:rPr>
        <w:t>A high-resolution assessment on global nitrogen flows in cropland. </w:t>
      </w:r>
      <w:r w:rsidRPr="00C3645A">
        <w:rPr>
          <w:rFonts w:ascii="Arial" w:hAnsi="Arial" w:cs="Arial"/>
          <w:i/>
          <w:iCs/>
          <w:color w:val="auto"/>
          <w:sz w:val="20"/>
          <w:szCs w:val="20"/>
          <w:shd w:val="clear" w:color="auto" w:fill="FFFFFF"/>
        </w:rPr>
        <w:t>Proceedings of the National Academy of Sciences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107</w:t>
      </w:r>
      <w:r w:rsidRPr="00C3645A">
        <w:rPr>
          <w:rFonts w:ascii="Arial" w:hAnsi="Arial" w:cs="Arial"/>
          <w:color w:val="auto"/>
          <w:sz w:val="20"/>
          <w:szCs w:val="20"/>
          <w:shd w:val="clear" w:color="auto" w:fill="FFFFFF"/>
        </w:rPr>
        <w:t xml:space="preserve">(17), 8035-8040. </w:t>
      </w:r>
      <w:hyperlink r:id="rId42" w:history="1">
        <w:r w:rsidR="00DB1F52" w:rsidRPr="00C3645A">
          <w:rPr>
            <w:rStyle w:val="Lienhypertexte"/>
            <w:rFonts w:ascii="Arial" w:hAnsi="Arial" w:cs="Arial"/>
            <w:color w:val="auto"/>
            <w:sz w:val="20"/>
            <w:szCs w:val="20"/>
            <w:u w:val="none"/>
            <w:shd w:val="clear" w:color="auto" w:fill="FFFFFF"/>
          </w:rPr>
          <w:t>https://doi.org/10.1073/pnas.0913658107</w:t>
        </w:r>
      </w:hyperlink>
    </w:p>
    <w:p w14:paraId="041BA1D2" w14:textId="026D7964" w:rsidR="006C658C" w:rsidRPr="00C3645A" w:rsidRDefault="006C658C" w:rsidP="000317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lang w:val="fr-BE"/>
        </w:rPr>
        <w:t xml:space="preserve">Maia, S. M., </w:t>
      </w:r>
      <w:proofErr w:type="spellStart"/>
      <w:r w:rsidRPr="00C3645A">
        <w:rPr>
          <w:rFonts w:ascii="Arial" w:hAnsi="Arial" w:cs="Arial"/>
          <w:color w:val="auto"/>
          <w:sz w:val="20"/>
          <w:szCs w:val="20"/>
          <w:shd w:val="clear" w:color="auto" w:fill="FFFFFF"/>
          <w:lang w:val="fr-BE"/>
        </w:rPr>
        <w:t>Ogle</w:t>
      </w:r>
      <w:proofErr w:type="spellEnd"/>
      <w:r w:rsidRPr="00C3645A">
        <w:rPr>
          <w:rFonts w:ascii="Arial" w:hAnsi="Arial" w:cs="Arial"/>
          <w:color w:val="auto"/>
          <w:sz w:val="20"/>
          <w:szCs w:val="20"/>
          <w:shd w:val="clear" w:color="auto" w:fill="FFFFFF"/>
          <w:lang w:val="fr-BE"/>
        </w:rPr>
        <w:t xml:space="preserve">, S. M., </w:t>
      </w:r>
      <w:proofErr w:type="spellStart"/>
      <w:r w:rsidRPr="00C3645A">
        <w:rPr>
          <w:rFonts w:ascii="Arial" w:hAnsi="Arial" w:cs="Arial"/>
          <w:color w:val="auto"/>
          <w:sz w:val="20"/>
          <w:szCs w:val="20"/>
          <w:shd w:val="clear" w:color="auto" w:fill="FFFFFF"/>
          <w:lang w:val="fr-BE"/>
        </w:rPr>
        <w:t>Cerri</w:t>
      </w:r>
      <w:proofErr w:type="spellEnd"/>
      <w:r w:rsidRPr="00C3645A">
        <w:rPr>
          <w:rFonts w:ascii="Arial" w:hAnsi="Arial" w:cs="Arial"/>
          <w:color w:val="auto"/>
          <w:sz w:val="20"/>
          <w:szCs w:val="20"/>
          <w:shd w:val="clear" w:color="auto" w:fill="FFFFFF"/>
          <w:lang w:val="fr-BE"/>
        </w:rPr>
        <w:t xml:space="preserve">, C. C., &amp; </w:t>
      </w:r>
      <w:proofErr w:type="spellStart"/>
      <w:r w:rsidRPr="00C3645A">
        <w:rPr>
          <w:rFonts w:ascii="Arial" w:hAnsi="Arial" w:cs="Arial"/>
          <w:color w:val="auto"/>
          <w:sz w:val="20"/>
          <w:szCs w:val="20"/>
          <w:shd w:val="clear" w:color="auto" w:fill="FFFFFF"/>
          <w:lang w:val="fr-BE"/>
        </w:rPr>
        <w:t>Cerri</w:t>
      </w:r>
      <w:proofErr w:type="spellEnd"/>
      <w:r w:rsidRPr="00C3645A">
        <w:rPr>
          <w:rFonts w:ascii="Arial" w:hAnsi="Arial" w:cs="Arial"/>
          <w:color w:val="auto"/>
          <w:sz w:val="20"/>
          <w:szCs w:val="20"/>
          <w:shd w:val="clear" w:color="auto" w:fill="FFFFFF"/>
          <w:lang w:val="fr-BE"/>
        </w:rPr>
        <w:t xml:space="preserve">, C. E. (2010). </w:t>
      </w:r>
      <w:r w:rsidRPr="00C3645A">
        <w:rPr>
          <w:rFonts w:ascii="Arial" w:hAnsi="Arial" w:cs="Arial"/>
          <w:color w:val="auto"/>
          <w:sz w:val="20"/>
          <w:szCs w:val="20"/>
          <w:shd w:val="clear" w:color="auto" w:fill="FFFFFF"/>
        </w:rPr>
        <w:t>Changes in soil organic carbon storage under different agricultural management systems in the Southwest Amazon Region of Brazil. </w:t>
      </w:r>
      <w:r w:rsidRPr="00C3645A">
        <w:rPr>
          <w:rFonts w:ascii="Arial" w:hAnsi="Arial" w:cs="Arial"/>
          <w:i/>
          <w:iCs/>
          <w:color w:val="auto"/>
          <w:sz w:val="20"/>
          <w:szCs w:val="20"/>
          <w:shd w:val="clear" w:color="auto" w:fill="FFFFFF"/>
        </w:rPr>
        <w:t>Soil and Tillage Research</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106</w:t>
      </w:r>
      <w:r w:rsidRPr="00C3645A">
        <w:rPr>
          <w:rFonts w:ascii="Arial" w:hAnsi="Arial" w:cs="Arial"/>
          <w:color w:val="auto"/>
          <w:sz w:val="20"/>
          <w:szCs w:val="20"/>
          <w:shd w:val="clear" w:color="auto" w:fill="FFFFFF"/>
        </w:rPr>
        <w:t xml:space="preserve">(2), 177-184. </w:t>
      </w:r>
      <w:hyperlink r:id="rId43" w:tgtFrame="_blank" w:tooltip="Persistent link using digital object identifier" w:history="1">
        <w:r w:rsidRPr="00C3645A">
          <w:rPr>
            <w:rStyle w:val="anchor-text"/>
            <w:rFonts w:ascii="Arial" w:hAnsi="Arial" w:cs="Arial"/>
            <w:color w:val="auto"/>
            <w:sz w:val="20"/>
            <w:szCs w:val="20"/>
          </w:rPr>
          <w:t>https://doi.org/10.1016/j.still.2009.12.005</w:t>
        </w:r>
      </w:hyperlink>
    </w:p>
    <w:p w14:paraId="6823A88D" w14:textId="124F79F2" w:rsidR="00DA094F" w:rsidRPr="00C3645A" w:rsidRDefault="00DA094F" w:rsidP="000317D2">
      <w:pPr>
        <w:pStyle w:val="PubliManuscript"/>
        <w:spacing w:line="240" w:lineRule="auto"/>
        <w:ind w:firstLine="0"/>
        <w:rPr>
          <w:rFonts w:ascii="Arial" w:hAnsi="Arial" w:cs="Arial"/>
          <w:color w:val="auto"/>
          <w:sz w:val="20"/>
          <w:szCs w:val="20"/>
          <w:lang w:val="fr-BE"/>
        </w:rPr>
      </w:pPr>
      <w:proofErr w:type="spellStart"/>
      <w:r w:rsidRPr="00C3645A">
        <w:rPr>
          <w:rFonts w:ascii="Arial" w:hAnsi="Arial" w:cs="Arial"/>
          <w:color w:val="auto"/>
          <w:sz w:val="20"/>
          <w:szCs w:val="20"/>
        </w:rPr>
        <w:t>Mazoyer</w:t>
      </w:r>
      <w:proofErr w:type="spellEnd"/>
      <w:r w:rsidRPr="00C3645A">
        <w:rPr>
          <w:rFonts w:ascii="Arial" w:hAnsi="Arial" w:cs="Arial"/>
          <w:color w:val="auto"/>
          <w:sz w:val="20"/>
          <w:szCs w:val="20"/>
        </w:rPr>
        <w:t xml:space="preserve">, M., </w:t>
      </w:r>
      <w:proofErr w:type="spellStart"/>
      <w:r w:rsidRPr="00C3645A">
        <w:rPr>
          <w:rFonts w:ascii="Arial" w:hAnsi="Arial" w:cs="Arial"/>
          <w:color w:val="auto"/>
          <w:sz w:val="20"/>
          <w:szCs w:val="20"/>
        </w:rPr>
        <w:t>Roudart</w:t>
      </w:r>
      <w:proofErr w:type="spellEnd"/>
      <w:r w:rsidRPr="00C3645A">
        <w:rPr>
          <w:rFonts w:ascii="Arial" w:hAnsi="Arial" w:cs="Arial"/>
          <w:color w:val="auto"/>
          <w:sz w:val="20"/>
          <w:szCs w:val="20"/>
        </w:rPr>
        <w:t xml:space="preserve">, L., 2002. </w:t>
      </w:r>
      <w:r w:rsidRPr="00C3645A">
        <w:rPr>
          <w:rFonts w:ascii="Arial" w:hAnsi="Arial" w:cs="Arial"/>
          <w:color w:val="auto"/>
          <w:sz w:val="20"/>
          <w:szCs w:val="20"/>
          <w:lang w:val="fr-BE"/>
        </w:rPr>
        <w:t>Histoire des agricultures du monde. Du néolithique à la crise contemporaine. Editions du Seuil</w:t>
      </w:r>
    </w:p>
    <w:p w14:paraId="05C86F3B" w14:textId="760EB32B" w:rsidR="002B6B63" w:rsidRPr="00C3645A" w:rsidRDefault="00547220" w:rsidP="000317D2">
      <w:pPr>
        <w:spacing w:after="0" w:line="240" w:lineRule="auto"/>
        <w:jc w:val="both"/>
        <w:rPr>
          <w:rFonts w:ascii="Arial" w:hAnsi="Arial" w:cs="Arial"/>
          <w:color w:val="auto"/>
          <w:sz w:val="20"/>
          <w:szCs w:val="20"/>
        </w:rPr>
      </w:pPr>
      <w:proofErr w:type="spellStart"/>
      <w:r w:rsidRPr="00C3645A">
        <w:rPr>
          <w:rFonts w:ascii="Arial" w:hAnsi="Arial" w:cs="Arial"/>
          <w:color w:val="auto"/>
          <w:sz w:val="20"/>
          <w:szCs w:val="20"/>
          <w:shd w:val="clear" w:color="auto" w:fill="FFFFFF"/>
          <w:lang w:val="fr-BE"/>
        </w:rPr>
        <w:t>Modernel</w:t>
      </w:r>
      <w:proofErr w:type="spellEnd"/>
      <w:r w:rsidRPr="00C3645A">
        <w:rPr>
          <w:rFonts w:ascii="Arial" w:hAnsi="Arial" w:cs="Arial"/>
          <w:color w:val="auto"/>
          <w:sz w:val="20"/>
          <w:szCs w:val="20"/>
          <w:shd w:val="clear" w:color="auto" w:fill="FFFFFF"/>
          <w:lang w:val="fr-BE"/>
        </w:rPr>
        <w:t xml:space="preserve">, P., Picasso, V., Do </w:t>
      </w:r>
      <w:proofErr w:type="spellStart"/>
      <w:r w:rsidRPr="00C3645A">
        <w:rPr>
          <w:rFonts w:ascii="Arial" w:hAnsi="Arial" w:cs="Arial"/>
          <w:color w:val="auto"/>
          <w:sz w:val="20"/>
          <w:szCs w:val="20"/>
          <w:shd w:val="clear" w:color="auto" w:fill="FFFFFF"/>
          <w:lang w:val="fr-BE"/>
        </w:rPr>
        <w:t>Carmo</w:t>
      </w:r>
      <w:proofErr w:type="spellEnd"/>
      <w:r w:rsidRPr="00C3645A">
        <w:rPr>
          <w:rFonts w:ascii="Arial" w:hAnsi="Arial" w:cs="Arial"/>
          <w:color w:val="auto"/>
          <w:sz w:val="20"/>
          <w:szCs w:val="20"/>
          <w:shd w:val="clear" w:color="auto" w:fill="FFFFFF"/>
          <w:lang w:val="fr-BE"/>
        </w:rPr>
        <w:t xml:space="preserve">, M., </w:t>
      </w:r>
      <w:proofErr w:type="spellStart"/>
      <w:r w:rsidRPr="00C3645A">
        <w:rPr>
          <w:rFonts w:ascii="Arial" w:hAnsi="Arial" w:cs="Arial"/>
          <w:color w:val="auto"/>
          <w:sz w:val="20"/>
          <w:szCs w:val="20"/>
          <w:shd w:val="clear" w:color="auto" w:fill="FFFFFF"/>
          <w:lang w:val="fr-BE"/>
        </w:rPr>
        <w:t>Rossing</w:t>
      </w:r>
      <w:proofErr w:type="spellEnd"/>
      <w:r w:rsidRPr="00C3645A">
        <w:rPr>
          <w:rFonts w:ascii="Arial" w:hAnsi="Arial" w:cs="Arial"/>
          <w:color w:val="auto"/>
          <w:sz w:val="20"/>
          <w:szCs w:val="20"/>
          <w:shd w:val="clear" w:color="auto" w:fill="FFFFFF"/>
          <w:lang w:val="fr-BE"/>
        </w:rPr>
        <w:t xml:space="preserve">, W. A., </w:t>
      </w:r>
      <w:proofErr w:type="spellStart"/>
      <w:r w:rsidRPr="00C3645A">
        <w:rPr>
          <w:rFonts w:ascii="Arial" w:hAnsi="Arial" w:cs="Arial"/>
          <w:color w:val="auto"/>
          <w:sz w:val="20"/>
          <w:szCs w:val="20"/>
          <w:shd w:val="clear" w:color="auto" w:fill="FFFFFF"/>
          <w:lang w:val="fr-BE"/>
        </w:rPr>
        <w:t>Corbeels</w:t>
      </w:r>
      <w:proofErr w:type="spellEnd"/>
      <w:r w:rsidRPr="00C3645A">
        <w:rPr>
          <w:rFonts w:ascii="Arial" w:hAnsi="Arial" w:cs="Arial"/>
          <w:color w:val="auto"/>
          <w:sz w:val="20"/>
          <w:szCs w:val="20"/>
          <w:shd w:val="clear" w:color="auto" w:fill="FFFFFF"/>
          <w:lang w:val="fr-BE"/>
        </w:rPr>
        <w:t xml:space="preserve">, M., </w:t>
      </w:r>
      <w:proofErr w:type="spellStart"/>
      <w:r w:rsidRPr="00C3645A">
        <w:rPr>
          <w:rFonts w:ascii="Arial" w:hAnsi="Arial" w:cs="Arial"/>
          <w:color w:val="auto"/>
          <w:sz w:val="20"/>
          <w:szCs w:val="20"/>
          <w:shd w:val="clear" w:color="auto" w:fill="FFFFFF"/>
          <w:lang w:val="fr-BE"/>
        </w:rPr>
        <w:t>Soca</w:t>
      </w:r>
      <w:proofErr w:type="spellEnd"/>
      <w:r w:rsidRPr="00C3645A">
        <w:rPr>
          <w:rFonts w:ascii="Arial" w:hAnsi="Arial" w:cs="Arial"/>
          <w:color w:val="auto"/>
          <w:sz w:val="20"/>
          <w:szCs w:val="20"/>
          <w:shd w:val="clear" w:color="auto" w:fill="FFFFFF"/>
          <w:lang w:val="fr-BE"/>
        </w:rPr>
        <w:t xml:space="preserve">, P., ... </w:t>
      </w:r>
      <w:r w:rsidRPr="00C3645A">
        <w:rPr>
          <w:rFonts w:ascii="Arial" w:hAnsi="Arial" w:cs="Arial"/>
          <w:color w:val="auto"/>
          <w:sz w:val="20"/>
          <w:szCs w:val="20"/>
          <w:shd w:val="clear" w:color="auto" w:fill="FFFFFF"/>
        </w:rPr>
        <w:t xml:space="preserve">&amp; </w:t>
      </w:r>
      <w:proofErr w:type="spellStart"/>
      <w:r w:rsidRPr="00C3645A">
        <w:rPr>
          <w:rFonts w:ascii="Arial" w:hAnsi="Arial" w:cs="Arial"/>
          <w:color w:val="auto"/>
          <w:sz w:val="20"/>
          <w:szCs w:val="20"/>
          <w:shd w:val="clear" w:color="auto" w:fill="FFFFFF"/>
        </w:rPr>
        <w:t>Tittonell</w:t>
      </w:r>
      <w:proofErr w:type="spellEnd"/>
      <w:r w:rsidRPr="00C3645A">
        <w:rPr>
          <w:rFonts w:ascii="Arial" w:hAnsi="Arial" w:cs="Arial"/>
          <w:color w:val="auto"/>
          <w:sz w:val="20"/>
          <w:szCs w:val="20"/>
          <w:shd w:val="clear" w:color="auto" w:fill="FFFFFF"/>
        </w:rPr>
        <w:t>, P. (2019). Grazing management for more resilient mixed livestock farming systems on native grasslands of southern South America. </w:t>
      </w:r>
      <w:r w:rsidRPr="00C3645A">
        <w:rPr>
          <w:rFonts w:ascii="Arial" w:hAnsi="Arial" w:cs="Arial"/>
          <w:i/>
          <w:iCs/>
          <w:color w:val="auto"/>
          <w:sz w:val="20"/>
          <w:szCs w:val="20"/>
          <w:shd w:val="clear" w:color="auto" w:fill="FFFFFF"/>
        </w:rPr>
        <w:t>Grass and Forage Science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74</w:t>
      </w:r>
      <w:r w:rsidRPr="00C3645A">
        <w:rPr>
          <w:rFonts w:ascii="Arial" w:hAnsi="Arial" w:cs="Arial"/>
          <w:color w:val="auto"/>
          <w:sz w:val="20"/>
          <w:szCs w:val="20"/>
          <w:shd w:val="clear" w:color="auto" w:fill="FFFFFF"/>
        </w:rPr>
        <w:t>(4), 636-649.</w:t>
      </w:r>
      <w:r w:rsidR="00E06586" w:rsidRPr="00C3645A">
        <w:rPr>
          <w:rFonts w:ascii="Arial" w:hAnsi="Arial" w:cs="Arial"/>
          <w:color w:val="auto"/>
          <w:sz w:val="20"/>
          <w:szCs w:val="20"/>
          <w:shd w:val="clear" w:color="auto" w:fill="FFFFFF"/>
        </w:rPr>
        <w:t xml:space="preserve"> </w:t>
      </w:r>
      <w:hyperlink r:id="rId44" w:history="1">
        <w:r w:rsidR="003E33EC" w:rsidRPr="00C3645A">
          <w:rPr>
            <w:rStyle w:val="Lienhypertexte"/>
            <w:rFonts w:ascii="Arial" w:hAnsi="Arial" w:cs="Arial"/>
            <w:color w:val="auto"/>
            <w:sz w:val="20"/>
            <w:szCs w:val="20"/>
            <w:u w:val="none"/>
          </w:rPr>
          <w:t>https://doi.org/10.1111/gfs.12445</w:t>
        </w:r>
      </w:hyperlink>
    </w:p>
    <w:p w14:paraId="253ED60B" w14:textId="1FE90320" w:rsidR="002B6B63" w:rsidRPr="00C3645A" w:rsidRDefault="002B6B63"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Moraes, A. D., Carvalho, P. C. D. F., Lustosa, S. B. C., Lang, C. R., &amp; </w:t>
      </w:r>
      <w:proofErr w:type="spellStart"/>
      <w:r w:rsidRPr="00C3645A">
        <w:rPr>
          <w:rFonts w:ascii="Arial" w:hAnsi="Arial" w:cs="Arial"/>
          <w:color w:val="auto"/>
          <w:sz w:val="20"/>
          <w:szCs w:val="20"/>
          <w:shd w:val="clear" w:color="auto" w:fill="FFFFFF"/>
        </w:rPr>
        <w:t>Deiss</w:t>
      </w:r>
      <w:proofErr w:type="spellEnd"/>
      <w:r w:rsidRPr="00C3645A">
        <w:rPr>
          <w:rFonts w:ascii="Arial" w:hAnsi="Arial" w:cs="Arial"/>
          <w:color w:val="auto"/>
          <w:sz w:val="20"/>
          <w:szCs w:val="20"/>
          <w:shd w:val="clear" w:color="auto" w:fill="FFFFFF"/>
        </w:rPr>
        <w:t>, L. (2014). Research on integrated crop-livestock systems in Brazil. </w:t>
      </w:r>
      <w:proofErr w:type="spellStart"/>
      <w:r w:rsidRPr="00C3645A">
        <w:rPr>
          <w:rFonts w:ascii="Arial" w:hAnsi="Arial" w:cs="Arial"/>
          <w:i/>
          <w:iCs/>
          <w:color w:val="auto"/>
          <w:sz w:val="20"/>
          <w:szCs w:val="20"/>
          <w:shd w:val="clear" w:color="auto" w:fill="FFFFFF"/>
        </w:rPr>
        <w:t>Revista</w:t>
      </w:r>
      <w:proofErr w:type="spellEnd"/>
      <w:r w:rsidRPr="00C3645A">
        <w:rPr>
          <w:rFonts w:ascii="Arial" w:hAnsi="Arial" w:cs="Arial"/>
          <w:i/>
          <w:iCs/>
          <w:color w:val="auto"/>
          <w:sz w:val="20"/>
          <w:szCs w:val="20"/>
          <w:shd w:val="clear" w:color="auto" w:fill="FFFFFF"/>
        </w:rPr>
        <w:t xml:space="preserve"> </w:t>
      </w:r>
      <w:proofErr w:type="spellStart"/>
      <w:r w:rsidRPr="00C3645A">
        <w:rPr>
          <w:rFonts w:ascii="Arial" w:hAnsi="Arial" w:cs="Arial"/>
          <w:i/>
          <w:iCs/>
          <w:color w:val="auto"/>
          <w:sz w:val="20"/>
          <w:szCs w:val="20"/>
          <w:shd w:val="clear" w:color="auto" w:fill="FFFFFF"/>
        </w:rPr>
        <w:t>Ciência</w:t>
      </w:r>
      <w:proofErr w:type="spellEnd"/>
      <w:r w:rsidRPr="00C3645A">
        <w:rPr>
          <w:rFonts w:ascii="Arial" w:hAnsi="Arial" w:cs="Arial"/>
          <w:i/>
          <w:iCs/>
          <w:color w:val="auto"/>
          <w:sz w:val="20"/>
          <w:szCs w:val="20"/>
          <w:shd w:val="clear" w:color="auto" w:fill="FFFFFF"/>
        </w:rPr>
        <w:t xml:space="preserve"> </w:t>
      </w:r>
      <w:proofErr w:type="spellStart"/>
      <w:r w:rsidRPr="00C3645A">
        <w:rPr>
          <w:rFonts w:ascii="Arial" w:hAnsi="Arial" w:cs="Arial"/>
          <w:i/>
          <w:iCs/>
          <w:color w:val="auto"/>
          <w:sz w:val="20"/>
          <w:szCs w:val="20"/>
          <w:shd w:val="clear" w:color="auto" w:fill="FFFFFF"/>
        </w:rPr>
        <w:t>Agronômica</w:t>
      </w:r>
      <w:proofErr w:type="spellEnd"/>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45</w:t>
      </w:r>
      <w:r w:rsidRPr="00C3645A">
        <w:rPr>
          <w:rFonts w:ascii="Arial" w:hAnsi="Arial" w:cs="Arial"/>
          <w:color w:val="auto"/>
          <w:sz w:val="20"/>
          <w:szCs w:val="20"/>
          <w:shd w:val="clear" w:color="auto" w:fill="FFFFFF"/>
        </w:rPr>
        <w:t>, 1024-1031.</w:t>
      </w:r>
      <w:r w:rsidR="0003745F" w:rsidRPr="00C3645A">
        <w:rPr>
          <w:rFonts w:ascii="Arial" w:hAnsi="Arial" w:cs="Arial"/>
          <w:color w:val="auto"/>
          <w:sz w:val="20"/>
          <w:szCs w:val="20"/>
        </w:rPr>
        <w:t xml:space="preserve"> </w:t>
      </w:r>
      <w:hyperlink r:id="rId45" w:tgtFrame="_blank" w:history="1">
        <w:r w:rsidR="0003745F" w:rsidRPr="00C3645A">
          <w:rPr>
            <w:rStyle w:val="Lienhypertexte"/>
            <w:rFonts w:ascii="Arial" w:hAnsi="Arial" w:cs="Arial"/>
            <w:color w:val="auto"/>
            <w:sz w:val="20"/>
            <w:szCs w:val="20"/>
            <w:u w:val="none"/>
            <w:shd w:val="clear" w:color="auto" w:fill="FFFFFF"/>
          </w:rPr>
          <w:t>https://doi.org/10.1590/S1806-66902014000500018</w:t>
        </w:r>
      </w:hyperlink>
      <w:r w:rsidR="0003745F" w:rsidRPr="00C3645A">
        <w:rPr>
          <w:rFonts w:ascii="Arial" w:hAnsi="Arial" w:cs="Arial"/>
          <w:color w:val="auto"/>
          <w:sz w:val="20"/>
          <w:szCs w:val="20"/>
          <w:shd w:val="clear" w:color="auto" w:fill="FFFFFF"/>
        </w:rPr>
        <w:t> </w:t>
      </w:r>
    </w:p>
    <w:p w14:paraId="03D5A3CE" w14:textId="60868F93" w:rsidR="00AD6896" w:rsidRPr="00C3645A" w:rsidRDefault="00AD6896" w:rsidP="000317D2">
      <w:pPr>
        <w:pStyle w:val="PubliManuscript"/>
        <w:spacing w:line="240" w:lineRule="auto"/>
        <w:ind w:firstLine="0"/>
        <w:rPr>
          <w:rStyle w:val="Lienhypertexte"/>
          <w:rFonts w:ascii="Arial" w:hAnsi="Arial" w:cs="Arial"/>
          <w:color w:val="auto"/>
          <w:sz w:val="20"/>
          <w:szCs w:val="20"/>
          <w:u w:val="none"/>
          <w:shd w:val="clear" w:color="auto" w:fill="FFFFFF"/>
          <w:lang w:val="fr-BE"/>
        </w:rPr>
      </w:pPr>
      <w:r w:rsidRPr="00C3645A">
        <w:rPr>
          <w:rFonts w:ascii="Arial" w:hAnsi="Arial" w:cs="Arial"/>
          <w:color w:val="auto"/>
          <w:sz w:val="20"/>
          <w:szCs w:val="20"/>
          <w:shd w:val="clear" w:color="auto" w:fill="FFFFFF"/>
        </w:rPr>
        <w:t>Penman H.L., 1948. Natural evaporation from open water, bare soil and grass. </w:t>
      </w:r>
      <w:r w:rsidRPr="00C3645A">
        <w:rPr>
          <w:rStyle w:val="Accentuation"/>
          <w:rFonts w:ascii="Arial" w:hAnsi="Arial" w:cs="Arial"/>
          <w:color w:val="auto"/>
          <w:sz w:val="20"/>
          <w:szCs w:val="20"/>
          <w:shd w:val="clear" w:color="auto" w:fill="FFFFFF"/>
        </w:rPr>
        <w:t>Proceedings of the Royal Society of London. Series A. Mathematical and Physical Sciences</w:t>
      </w:r>
      <w:r w:rsidRPr="00C3645A">
        <w:rPr>
          <w:rFonts w:ascii="Arial" w:hAnsi="Arial" w:cs="Arial"/>
          <w:color w:val="auto"/>
          <w:sz w:val="20"/>
          <w:szCs w:val="20"/>
          <w:shd w:val="clear" w:color="auto" w:fill="FFFFFF"/>
        </w:rPr>
        <w:t> 193, 120–145. </w:t>
      </w:r>
      <w:hyperlink r:id="rId46" w:history="1">
        <w:r w:rsidRPr="00C3645A">
          <w:rPr>
            <w:rStyle w:val="Lienhypertexte"/>
            <w:rFonts w:ascii="Arial" w:hAnsi="Arial" w:cs="Arial"/>
            <w:color w:val="auto"/>
            <w:sz w:val="20"/>
            <w:szCs w:val="20"/>
            <w:u w:val="none"/>
            <w:shd w:val="clear" w:color="auto" w:fill="FFFFFF"/>
            <w:lang w:val="fr-BE"/>
          </w:rPr>
          <w:t>https://doi.org/10.1098/rspa.1948.0037</w:t>
        </w:r>
      </w:hyperlink>
    </w:p>
    <w:p w14:paraId="02C3F497" w14:textId="567C2416" w:rsidR="009576E8" w:rsidRPr="00C3645A" w:rsidRDefault="009576E8" w:rsidP="000317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lang w:val="fr-BE"/>
        </w:rPr>
        <w:t xml:space="preserve">Peterson, C. A., Nunes, P. A. D. A., Martins, A. P., </w:t>
      </w:r>
      <w:proofErr w:type="spellStart"/>
      <w:r w:rsidRPr="00C3645A">
        <w:rPr>
          <w:rFonts w:ascii="Arial" w:hAnsi="Arial" w:cs="Arial"/>
          <w:color w:val="auto"/>
          <w:sz w:val="20"/>
          <w:szCs w:val="20"/>
          <w:shd w:val="clear" w:color="auto" w:fill="FFFFFF"/>
          <w:lang w:val="fr-BE"/>
        </w:rPr>
        <w:t>Bergamaschi</w:t>
      </w:r>
      <w:proofErr w:type="spellEnd"/>
      <w:r w:rsidRPr="00C3645A">
        <w:rPr>
          <w:rFonts w:ascii="Arial" w:hAnsi="Arial" w:cs="Arial"/>
          <w:color w:val="auto"/>
          <w:sz w:val="20"/>
          <w:szCs w:val="20"/>
          <w:shd w:val="clear" w:color="auto" w:fill="FFFFFF"/>
          <w:lang w:val="fr-BE"/>
        </w:rPr>
        <w:t xml:space="preserve">, H., </w:t>
      </w:r>
      <w:proofErr w:type="spellStart"/>
      <w:r w:rsidRPr="00C3645A">
        <w:rPr>
          <w:rFonts w:ascii="Arial" w:hAnsi="Arial" w:cs="Arial"/>
          <w:color w:val="auto"/>
          <w:sz w:val="20"/>
          <w:szCs w:val="20"/>
          <w:shd w:val="clear" w:color="auto" w:fill="FFFFFF"/>
          <w:lang w:val="fr-BE"/>
        </w:rPr>
        <w:t>Anghinoni</w:t>
      </w:r>
      <w:proofErr w:type="spellEnd"/>
      <w:r w:rsidRPr="00C3645A">
        <w:rPr>
          <w:rFonts w:ascii="Arial" w:hAnsi="Arial" w:cs="Arial"/>
          <w:color w:val="auto"/>
          <w:sz w:val="20"/>
          <w:szCs w:val="20"/>
          <w:shd w:val="clear" w:color="auto" w:fill="FFFFFF"/>
          <w:lang w:val="fr-BE"/>
        </w:rPr>
        <w:t xml:space="preserve">, I., Carvalho, P. C. D. </w:t>
      </w:r>
      <w:r w:rsidRPr="00C3645A">
        <w:rPr>
          <w:rFonts w:ascii="Arial" w:hAnsi="Arial" w:cs="Arial"/>
          <w:color w:val="auto"/>
          <w:sz w:val="20"/>
          <w:szCs w:val="20"/>
          <w:shd w:val="clear" w:color="auto" w:fill="FFFFFF"/>
          <w:lang w:val="fr-BE"/>
        </w:rPr>
        <w:lastRenderedPageBreak/>
        <w:t xml:space="preserve">F., &amp; Gaudin, A. C. (2019). </w:t>
      </w:r>
      <w:r w:rsidRPr="00C3645A">
        <w:rPr>
          <w:rFonts w:ascii="Arial" w:hAnsi="Arial" w:cs="Arial"/>
          <w:color w:val="auto"/>
          <w:sz w:val="20"/>
          <w:szCs w:val="20"/>
          <w:shd w:val="clear" w:color="auto" w:fill="FFFFFF"/>
        </w:rPr>
        <w:t>Winter grazing does not affect soybean yield despite lower soil water content in a subtropical crop-livestock system. </w:t>
      </w:r>
      <w:r w:rsidRPr="00C3645A">
        <w:rPr>
          <w:rFonts w:ascii="Arial" w:hAnsi="Arial" w:cs="Arial"/>
          <w:i/>
          <w:iCs/>
          <w:color w:val="auto"/>
          <w:sz w:val="20"/>
          <w:szCs w:val="20"/>
          <w:shd w:val="clear" w:color="auto" w:fill="FFFFFF"/>
        </w:rPr>
        <w:t>Agronomy for Sustainable Development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39</w:t>
      </w:r>
      <w:r w:rsidRPr="00C3645A">
        <w:rPr>
          <w:rFonts w:ascii="Arial" w:hAnsi="Arial" w:cs="Arial"/>
          <w:color w:val="auto"/>
          <w:sz w:val="20"/>
          <w:szCs w:val="20"/>
          <w:shd w:val="clear" w:color="auto" w:fill="FFFFFF"/>
        </w:rPr>
        <w:t xml:space="preserve">, 1-10. </w:t>
      </w:r>
      <w:hyperlink r:id="rId47" w:history="1">
        <w:r w:rsidR="007C34B7" w:rsidRPr="00C3645A">
          <w:rPr>
            <w:rStyle w:val="Lienhypertexte"/>
            <w:rFonts w:ascii="Arial" w:hAnsi="Arial" w:cs="Arial"/>
            <w:color w:val="auto"/>
            <w:sz w:val="20"/>
            <w:szCs w:val="20"/>
            <w:u w:val="none"/>
            <w:shd w:val="clear" w:color="auto" w:fill="FFFFFF"/>
          </w:rPr>
          <w:t>https://doi.org/10.1007/s13593-019-0573-3</w:t>
        </w:r>
      </w:hyperlink>
    </w:p>
    <w:p w14:paraId="553D9C8F" w14:textId="035388DF" w:rsidR="007C34B7" w:rsidRPr="00C3645A" w:rsidRDefault="007C34B7" w:rsidP="000317D2">
      <w:pPr>
        <w:pStyle w:val="PubliManuscript"/>
        <w:spacing w:line="240" w:lineRule="auto"/>
        <w:ind w:firstLine="0"/>
        <w:rPr>
          <w:rStyle w:val="Lienhypertexte"/>
          <w:rFonts w:ascii="Arial" w:hAnsi="Arial" w:cs="Arial"/>
          <w:color w:val="auto"/>
          <w:sz w:val="20"/>
          <w:szCs w:val="20"/>
          <w:u w:val="none"/>
        </w:rPr>
      </w:pPr>
      <w:r w:rsidRPr="00C3645A">
        <w:rPr>
          <w:rFonts w:ascii="Arial" w:hAnsi="Arial" w:cs="Arial"/>
          <w:color w:val="auto"/>
          <w:sz w:val="20"/>
          <w:szCs w:val="20"/>
          <w:shd w:val="clear" w:color="auto" w:fill="FFFFFF"/>
        </w:rPr>
        <w:t>Peterson, C. A., Bell, L. W., Carvalho, P. C. D. F., &amp; Gaudin, A. C. (2020). Resilience of an integrated crop–livestock system to climate change: a simulation analysis of cover crop grazing in southern Brazil. </w:t>
      </w:r>
      <w:r w:rsidRPr="00C3645A">
        <w:rPr>
          <w:rFonts w:ascii="Arial" w:hAnsi="Arial" w:cs="Arial"/>
          <w:i/>
          <w:iCs/>
          <w:color w:val="auto"/>
          <w:sz w:val="20"/>
          <w:szCs w:val="20"/>
          <w:shd w:val="clear" w:color="auto" w:fill="FFFFFF"/>
        </w:rPr>
        <w:t>Frontiers in Sustainable Food Systems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4</w:t>
      </w:r>
      <w:r w:rsidRPr="00C3645A">
        <w:rPr>
          <w:rFonts w:ascii="Arial" w:hAnsi="Arial" w:cs="Arial"/>
          <w:color w:val="auto"/>
          <w:sz w:val="20"/>
          <w:szCs w:val="20"/>
          <w:shd w:val="clear" w:color="auto" w:fill="FFFFFF"/>
        </w:rPr>
        <w:t xml:space="preserve">, 604099. </w:t>
      </w:r>
      <w:r w:rsidR="00855B27" w:rsidRPr="00C3645A">
        <w:rPr>
          <w:rStyle w:val="volumeinfo"/>
          <w:rFonts w:ascii="Arial" w:hAnsi="Arial" w:cs="Arial"/>
          <w:color w:val="auto"/>
          <w:sz w:val="20"/>
          <w:szCs w:val="20"/>
          <w:shd w:val="clear" w:color="auto" w:fill="F7F7F7"/>
        </w:rPr>
        <w:t> </w:t>
      </w:r>
      <w:hyperlink r:id="rId48" w:history="1">
        <w:r w:rsidR="00855B27" w:rsidRPr="00C3645A">
          <w:rPr>
            <w:rStyle w:val="Lienhypertexte"/>
            <w:rFonts w:ascii="Arial" w:hAnsi="Arial" w:cs="Arial"/>
            <w:color w:val="auto"/>
            <w:sz w:val="20"/>
            <w:szCs w:val="20"/>
            <w:u w:val="none"/>
            <w:shd w:val="clear" w:color="auto" w:fill="FFFFFF"/>
          </w:rPr>
          <w:t>https://doi.org/10.3389/fsufs.2020.604099</w:t>
        </w:r>
      </w:hyperlink>
    </w:p>
    <w:p w14:paraId="1128FD6A" w14:textId="05407433" w:rsidR="00511BD2" w:rsidRPr="00C3645A" w:rsidRDefault="00511BD2" w:rsidP="00511BD2">
      <w:pPr>
        <w:pStyle w:val="PubliManuscript"/>
        <w:spacing w:line="240"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Peyraud</w:t>
      </w:r>
      <w:proofErr w:type="spellEnd"/>
      <w:r w:rsidRPr="00C3645A">
        <w:rPr>
          <w:rFonts w:ascii="Arial" w:hAnsi="Arial" w:cs="Arial"/>
          <w:color w:val="auto"/>
          <w:sz w:val="20"/>
          <w:szCs w:val="20"/>
          <w:shd w:val="clear" w:color="auto" w:fill="FFFFFF"/>
        </w:rPr>
        <w:t>, J. L. &amp; Peeters, A.</w:t>
      </w:r>
      <w:r w:rsidR="00D61AE6" w:rsidRPr="00C3645A">
        <w:rPr>
          <w:rFonts w:ascii="Arial" w:hAnsi="Arial" w:cs="Arial"/>
          <w:color w:val="auto"/>
          <w:sz w:val="20"/>
          <w:szCs w:val="20"/>
          <w:shd w:val="clear" w:color="auto" w:fill="FFFFFF"/>
        </w:rPr>
        <w:t xml:space="preserve"> (2016).</w:t>
      </w:r>
      <w:r w:rsidRPr="00C3645A">
        <w:rPr>
          <w:rFonts w:ascii="Arial" w:hAnsi="Arial" w:cs="Arial"/>
          <w:color w:val="auto"/>
          <w:sz w:val="20"/>
          <w:szCs w:val="20"/>
          <w:shd w:val="clear" w:color="auto" w:fill="FFFFFF"/>
        </w:rPr>
        <w:t xml:space="preserve"> The role of grassland based production system in the protein security. </w:t>
      </w:r>
      <w:r w:rsidRPr="00C3645A">
        <w:rPr>
          <w:rFonts w:ascii="Arial" w:hAnsi="Arial" w:cs="Arial"/>
          <w:i/>
          <w:iCs/>
          <w:color w:val="auto"/>
          <w:sz w:val="20"/>
          <w:szCs w:val="20"/>
          <w:shd w:val="clear" w:color="auto" w:fill="FFFFFF"/>
        </w:rPr>
        <w:t xml:space="preserve">Grassland Science in Europe – The multiple roles of grassland in the European bioeconomy </w:t>
      </w:r>
      <w:r w:rsidRPr="00C3645A">
        <w:rPr>
          <w:rFonts w:ascii="Arial" w:hAnsi="Arial" w:cs="Arial"/>
          <w:color w:val="auto"/>
          <w:sz w:val="20"/>
          <w:szCs w:val="20"/>
          <w:shd w:val="clear" w:color="auto" w:fill="FFFFFF"/>
        </w:rPr>
        <w:t>21, 29–43.</w:t>
      </w:r>
      <w:r w:rsidR="00D61AE6" w:rsidRPr="00C3645A">
        <w:rPr>
          <w:rFonts w:ascii="Arial" w:hAnsi="Arial" w:cs="Arial"/>
          <w:color w:val="auto"/>
          <w:sz w:val="20"/>
          <w:szCs w:val="20"/>
          <w:shd w:val="clear" w:color="auto" w:fill="FFFFFF"/>
        </w:rPr>
        <w:t xml:space="preserve"> </w:t>
      </w:r>
    </w:p>
    <w:p w14:paraId="35F9C1D2" w14:textId="4DDC229F" w:rsidR="00AD6896" w:rsidRPr="00C3645A" w:rsidRDefault="00AD6896" w:rsidP="00511B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rPr>
        <w:t xml:space="preserve">Poggio, L., De Sousa, L. M., </w:t>
      </w:r>
      <w:proofErr w:type="spellStart"/>
      <w:r w:rsidRPr="00C3645A">
        <w:rPr>
          <w:rFonts w:ascii="Arial" w:hAnsi="Arial" w:cs="Arial"/>
          <w:color w:val="auto"/>
          <w:sz w:val="20"/>
          <w:szCs w:val="20"/>
          <w:shd w:val="clear" w:color="auto" w:fill="FFFFFF"/>
        </w:rPr>
        <w:t>Batjes</w:t>
      </w:r>
      <w:proofErr w:type="spellEnd"/>
      <w:r w:rsidRPr="00C3645A">
        <w:rPr>
          <w:rFonts w:ascii="Arial" w:hAnsi="Arial" w:cs="Arial"/>
          <w:color w:val="auto"/>
          <w:sz w:val="20"/>
          <w:szCs w:val="20"/>
          <w:shd w:val="clear" w:color="auto" w:fill="FFFFFF"/>
        </w:rPr>
        <w:t xml:space="preserve">, N. H., </w:t>
      </w:r>
      <w:proofErr w:type="spellStart"/>
      <w:r w:rsidRPr="00C3645A">
        <w:rPr>
          <w:rFonts w:ascii="Arial" w:hAnsi="Arial" w:cs="Arial"/>
          <w:color w:val="auto"/>
          <w:sz w:val="20"/>
          <w:szCs w:val="20"/>
          <w:shd w:val="clear" w:color="auto" w:fill="FFFFFF"/>
        </w:rPr>
        <w:t>Heuvelink</w:t>
      </w:r>
      <w:proofErr w:type="spellEnd"/>
      <w:r w:rsidRPr="00C3645A">
        <w:rPr>
          <w:rFonts w:ascii="Arial" w:hAnsi="Arial" w:cs="Arial"/>
          <w:color w:val="auto"/>
          <w:sz w:val="20"/>
          <w:szCs w:val="20"/>
          <w:shd w:val="clear" w:color="auto" w:fill="FFFFFF"/>
        </w:rPr>
        <w:t xml:space="preserve">, G., Kempen, B., Ribeiro, E., &amp; Rossiter, D. (2021). </w:t>
      </w:r>
      <w:proofErr w:type="spellStart"/>
      <w:r w:rsidRPr="00C3645A">
        <w:rPr>
          <w:rFonts w:ascii="Arial" w:hAnsi="Arial" w:cs="Arial"/>
          <w:color w:val="auto"/>
          <w:sz w:val="20"/>
          <w:szCs w:val="20"/>
          <w:shd w:val="clear" w:color="auto" w:fill="FFFFFF"/>
        </w:rPr>
        <w:t>SoilGrids</w:t>
      </w:r>
      <w:proofErr w:type="spellEnd"/>
      <w:r w:rsidRPr="00C3645A">
        <w:rPr>
          <w:rFonts w:ascii="Arial" w:hAnsi="Arial" w:cs="Arial"/>
          <w:color w:val="auto"/>
          <w:sz w:val="20"/>
          <w:szCs w:val="20"/>
          <w:shd w:val="clear" w:color="auto" w:fill="FFFFFF"/>
        </w:rPr>
        <w:t xml:space="preserve"> 2.0: producing soil information for the globe with quantified spatial uncertainty. </w:t>
      </w:r>
      <w:r w:rsidRPr="00C3645A">
        <w:rPr>
          <w:rFonts w:ascii="Arial" w:hAnsi="Arial" w:cs="Arial"/>
          <w:i/>
          <w:iCs/>
          <w:color w:val="auto"/>
          <w:sz w:val="20"/>
          <w:szCs w:val="20"/>
          <w:shd w:val="clear" w:color="auto" w:fill="FFFFFF"/>
        </w:rPr>
        <w:t>Soil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7</w:t>
      </w:r>
      <w:r w:rsidRPr="00C3645A">
        <w:rPr>
          <w:rFonts w:ascii="Arial" w:hAnsi="Arial" w:cs="Arial"/>
          <w:color w:val="auto"/>
          <w:sz w:val="20"/>
          <w:szCs w:val="20"/>
          <w:shd w:val="clear" w:color="auto" w:fill="FFFFFF"/>
        </w:rPr>
        <w:t xml:space="preserve">(1), 217-240. </w:t>
      </w:r>
      <w:hyperlink r:id="rId49" w:history="1">
        <w:r w:rsidR="008A4D6E" w:rsidRPr="00C3645A">
          <w:rPr>
            <w:rStyle w:val="Lienhypertexte"/>
            <w:rFonts w:ascii="Arial" w:hAnsi="Arial" w:cs="Arial"/>
            <w:color w:val="auto"/>
            <w:sz w:val="20"/>
            <w:szCs w:val="20"/>
            <w:u w:val="none"/>
            <w:shd w:val="clear" w:color="auto" w:fill="FFFFFF"/>
          </w:rPr>
          <w:t>https://doi.org/10.5194/soil-7-217-2021</w:t>
        </w:r>
      </w:hyperlink>
    </w:p>
    <w:p w14:paraId="01E8DE0C" w14:textId="2E0F31B4" w:rsidR="00387AEE" w:rsidRPr="00C3645A" w:rsidRDefault="00387AEE" w:rsidP="000317D2">
      <w:pPr>
        <w:pStyle w:val="PubliManuscript"/>
        <w:spacing w:line="240" w:lineRule="auto"/>
        <w:ind w:firstLine="0"/>
        <w:rPr>
          <w:color w:val="auto"/>
        </w:rPr>
      </w:pPr>
      <w:r w:rsidRPr="00C3645A">
        <w:rPr>
          <w:rFonts w:ascii="Arial" w:hAnsi="Arial" w:cs="Arial"/>
          <w:color w:val="auto"/>
          <w:sz w:val="20"/>
          <w:szCs w:val="20"/>
          <w:shd w:val="clear" w:color="auto" w:fill="FFFFFF"/>
        </w:rPr>
        <w:t xml:space="preserve">Poudel, S., </w:t>
      </w:r>
      <w:proofErr w:type="spellStart"/>
      <w:r w:rsidRPr="00C3645A">
        <w:rPr>
          <w:rFonts w:ascii="Arial" w:hAnsi="Arial" w:cs="Arial"/>
          <w:color w:val="auto"/>
          <w:sz w:val="20"/>
          <w:szCs w:val="20"/>
          <w:shd w:val="clear" w:color="auto" w:fill="FFFFFF"/>
        </w:rPr>
        <w:t>Vennam</w:t>
      </w:r>
      <w:proofErr w:type="spellEnd"/>
      <w:r w:rsidRPr="00C3645A">
        <w:rPr>
          <w:rFonts w:ascii="Arial" w:hAnsi="Arial" w:cs="Arial"/>
          <w:color w:val="auto"/>
          <w:sz w:val="20"/>
          <w:szCs w:val="20"/>
          <w:shd w:val="clear" w:color="auto" w:fill="FFFFFF"/>
        </w:rPr>
        <w:t xml:space="preserve">, R. R., Shrestha, A., Reddy, K. R., </w:t>
      </w:r>
      <w:proofErr w:type="spellStart"/>
      <w:r w:rsidRPr="00C3645A">
        <w:rPr>
          <w:rFonts w:ascii="Arial" w:hAnsi="Arial" w:cs="Arial"/>
          <w:color w:val="auto"/>
          <w:sz w:val="20"/>
          <w:szCs w:val="20"/>
          <w:shd w:val="clear" w:color="auto" w:fill="FFFFFF"/>
        </w:rPr>
        <w:t>Wijewardane</w:t>
      </w:r>
      <w:proofErr w:type="spellEnd"/>
      <w:r w:rsidRPr="00C3645A">
        <w:rPr>
          <w:rFonts w:ascii="Arial" w:hAnsi="Arial" w:cs="Arial"/>
          <w:color w:val="auto"/>
          <w:sz w:val="20"/>
          <w:szCs w:val="20"/>
          <w:shd w:val="clear" w:color="auto" w:fill="FFFFFF"/>
        </w:rPr>
        <w:t xml:space="preserve">, N. K., Reddy, K. N., &amp; </w:t>
      </w:r>
      <w:proofErr w:type="spellStart"/>
      <w:r w:rsidRPr="00C3645A">
        <w:rPr>
          <w:rFonts w:ascii="Arial" w:hAnsi="Arial" w:cs="Arial"/>
          <w:color w:val="auto"/>
          <w:sz w:val="20"/>
          <w:szCs w:val="20"/>
          <w:shd w:val="clear" w:color="auto" w:fill="FFFFFF"/>
        </w:rPr>
        <w:t>Bheemanahalli</w:t>
      </w:r>
      <w:proofErr w:type="spellEnd"/>
      <w:r w:rsidRPr="00C3645A">
        <w:rPr>
          <w:rFonts w:ascii="Arial" w:hAnsi="Arial" w:cs="Arial"/>
          <w:color w:val="auto"/>
          <w:sz w:val="20"/>
          <w:szCs w:val="20"/>
          <w:shd w:val="clear" w:color="auto" w:fill="FFFFFF"/>
        </w:rPr>
        <w:t>, R. (2023). Resilience of soybean cultivars to drought stress during flowering and early-seed setting stages. </w:t>
      </w:r>
      <w:r w:rsidRPr="00C3645A">
        <w:rPr>
          <w:rFonts w:ascii="Arial" w:hAnsi="Arial" w:cs="Arial"/>
          <w:i/>
          <w:iCs/>
          <w:color w:val="auto"/>
          <w:sz w:val="20"/>
          <w:szCs w:val="20"/>
          <w:shd w:val="clear" w:color="auto" w:fill="FFFFFF"/>
        </w:rPr>
        <w:t>Scientific Reports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13</w:t>
      </w:r>
      <w:r w:rsidRPr="00C3645A">
        <w:rPr>
          <w:rFonts w:ascii="Arial" w:hAnsi="Arial" w:cs="Arial"/>
          <w:color w:val="auto"/>
          <w:sz w:val="20"/>
          <w:szCs w:val="20"/>
          <w:shd w:val="clear" w:color="auto" w:fill="FFFFFF"/>
        </w:rPr>
        <w:t xml:space="preserve">(1), 1277. </w:t>
      </w:r>
      <w:r w:rsidR="00947784" w:rsidRPr="00C3645A">
        <w:rPr>
          <w:rFonts w:ascii="Arial" w:hAnsi="Arial" w:cs="Arial"/>
          <w:color w:val="auto"/>
          <w:sz w:val="20"/>
          <w:szCs w:val="20"/>
          <w:shd w:val="clear" w:color="auto" w:fill="FFFFFF"/>
        </w:rPr>
        <w:t>https://doi.org/10.1038/s41598-023-28354-0</w:t>
      </w:r>
    </w:p>
    <w:p w14:paraId="45CC8DA0" w14:textId="207363E6" w:rsidR="00C64478" w:rsidRPr="00C3645A" w:rsidRDefault="00C64478" w:rsidP="000317D2">
      <w:pPr>
        <w:pStyle w:val="PubliManuscript"/>
        <w:spacing w:line="240"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rPr>
        <w:t>Power, A. G. (2010). Ecosystem services and agriculture: tradeoffs and synergies. </w:t>
      </w:r>
      <w:r w:rsidRPr="00C3645A">
        <w:rPr>
          <w:rFonts w:ascii="Arial" w:hAnsi="Arial" w:cs="Arial"/>
          <w:i/>
          <w:iCs/>
          <w:color w:val="auto"/>
          <w:sz w:val="20"/>
          <w:szCs w:val="20"/>
          <w:shd w:val="clear" w:color="auto" w:fill="FFFFFF"/>
        </w:rPr>
        <w:t>Philosophical transactions of the royal society B: biological sciences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365</w:t>
      </w:r>
      <w:r w:rsidRPr="00C3645A">
        <w:rPr>
          <w:rFonts w:ascii="Arial" w:hAnsi="Arial" w:cs="Arial"/>
          <w:color w:val="auto"/>
          <w:sz w:val="20"/>
          <w:szCs w:val="20"/>
          <w:shd w:val="clear" w:color="auto" w:fill="FFFFFF"/>
        </w:rPr>
        <w:t xml:space="preserve">(1554), 2959-2971. </w:t>
      </w:r>
      <w:hyperlink r:id="rId50" w:history="1">
        <w:r w:rsidR="00930D8A" w:rsidRPr="00C3645A">
          <w:rPr>
            <w:rStyle w:val="Lienhypertexte"/>
            <w:rFonts w:ascii="Arial" w:hAnsi="Arial" w:cs="Arial"/>
            <w:color w:val="auto"/>
            <w:sz w:val="20"/>
            <w:szCs w:val="20"/>
            <w:u w:val="none"/>
            <w:shd w:val="clear" w:color="auto" w:fill="FFFFFF"/>
          </w:rPr>
          <w:t>https://doi.org/10.1098/rstb.2010.0143</w:t>
        </w:r>
      </w:hyperlink>
    </w:p>
    <w:p w14:paraId="15E911D9" w14:textId="34E64433" w:rsidR="00620D6D" w:rsidRPr="00C3645A" w:rsidRDefault="00620D6D" w:rsidP="00582D90">
      <w:pPr>
        <w:spacing w:after="0" w:line="240" w:lineRule="auto"/>
        <w:jc w:val="both"/>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lang w:val="nl-NL"/>
        </w:rPr>
        <w:t xml:space="preserve">Rai, T., </w:t>
      </w:r>
      <w:proofErr w:type="spellStart"/>
      <w:r w:rsidRPr="00C3645A">
        <w:rPr>
          <w:rFonts w:ascii="Arial" w:hAnsi="Arial" w:cs="Arial"/>
          <w:color w:val="auto"/>
          <w:sz w:val="20"/>
          <w:szCs w:val="20"/>
          <w:shd w:val="clear" w:color="auto" w:fill="FFFFFF"/>
          <w:lang w:val="nl-NL"/>
        </w:rPr>
        <w:t>Kumar</w:t>
      </w:r>
      <w:proofErr w:type="spellEnd"/>
      <w:r w:rsidRPr="00C3645A">
        <w:rPr>
          <w:rFonts w:ascii="Arial" w:hAnsi="Arial" w:cs="Arial"/>
          <w:color w:val="auto"/>
          <w:sz w:val="20"/>
          <w:szCs w:val="20"/>
          <w:shd w:val="clear" w:color="auto" w:fill="FFFFFF"/>
          <w:lang w:val="nl-NL"/>
        </w:rPr>
        <w:t xml:space="preserve">, S., </w:t>
      </w:r>
      <w:proofErr w:type="spellStart"/>
      <w:r w:rsidRPr="00C3645A">
        <w:rPr>
          <w:rFonts w:ascii="Arial" w:hAnsi="Arial" w:cs="Arial"/>
          <w:color w:val="auto"/>
          <w:sz w:val="20"/>
          <w:szCs w:val="20"/>
          <w:shd w:val="clear" w:color="auto" w:fill="FFFFFF"/>
          <w:lang w:val="nl-NL"/>
        </w:rPr>
        <w:t>Nleya</w:t>
      </w:r>
      <w:proofErr w:type="spellEnd"/>
      <w:r w:rsidRPr="00C3645A">
        <w:rPr>
          <w:rFonts w:ascii="Arial" w:hAnsi="Arial" w:cs="Arial"/>
          <w:color w:val="auto"/>
          <w:sz w:val="20"/>
          <w:szCs w:val="20"/>
          <w:shd w:val="clear" w:color="auto" w:fill="FFFFFF"/>
          <w:lang w:val="nl-NL"/>
        </w:rPr>
        <w:t xml:space="preserve">, T., &amp; Hoogenboom, G. (2022). </w:t>
      </w:r>
      <w:r w:rsidRPr="00C3645A">
        <w:rPr>
          <w:rFonts w:ascii="Arial" w:hAnsi="Arial" w:cs="Arial"/>
          <w:color w:val="auto"/>
          <w:sz w:val="20"/>
          <w:szCs w:val="20"/>
          <w:shd w:val="clear" w:color="auto" w:fill="FFFFFF"/>
        </w:rPr>
        <w:t>Simulating the impact of crop–livestock interaction on crop performance using DSSAT. </w:t>
      </w:r>
      <w:proofErr w:type="spellStart"/>
      <w:r w:rsidRPr="00C3645A">
        <w:rPr>
          <w:rFonts w:ascii="Arial" w:hAnsi="Arial" w:cs="Arial"/>
          <w:i/>
          <w:iCs/>
          <w:color w:val="auto"/>
          <w:sz w:val="20"/>
          <w:szCs w:val="20"/>
          <w:shd w:val="clear" w:color="auto" w:fill="FFFFFF"/>
        </w:rPr>
        <w:t>Agrosystems</w:t>
      </w:r>
      <w:proofErr w:type="spellEnd"/>
      <w:r w:rsidRPr="00C3645A">
        <w:rPr>
          <w:rFonts w:ascii="Arial" w:hAnsi="Arial" w:cs="Arial"/>
          <w:i/>
          <w:iCs/>
          <w:color w:val="auto"/>
          <w:sz w:val="20"/>
          <w:szCs w:val="20"/>
          <w:shd w:val="clear" w:color="auto" w:fill="FFFFFF"/>
        </w:rPr>
        <w:t>, Geosciences &amp;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w:t>
      </w:r>
      <w:r w:rsidRPr="00C3645A">
        <w:rPr>
          <w:rFonts w:ascii="Arial" w:hAnsi="Arial" w:cs="Arial"/>
          <w:color w:val="auto"/>
          <w:sz w:val="20"/>
          <w:szCs w:val="20"/>
          <w:shd w:val="clear" w:color="auto" w:fill="FFFFFF"/>
        </w:rPr>
        <w:t xml:space="preserve">(4), e20303. </w:t>
      </w:r>
      <w:hyperlink r:id="rId51" w:history="1">
        <w:r w:rsidR="00582D90" w:rsidRPr="00C3645A">
          <w:rPr>
            <w:rFonts w:ascii="Arial" w:hAnsi="Arial" w:cs="Arial"/>
            <w:color w:val="auto"/>
            <w:sz w:val="20"/>
            <w:szCs w:val="20"/>
            <w:shd w:val="clear" w:color="auto" w:fill="FFFFFF"/>
          </w:rPr>
          <w:t>https://doi.org/10.1002/agg2.20303</w:t>
        </w:r>
      </w:hyperlink>
    </w:p>
    <w:p w14:paraId="0876A43E" w14:textId="6FC671FC" w:rsidR="00B13AC8" w:rsidRPr="00C3645A" w:rsidRDefault="00C57CBB" w:rsidP="000317D2">
      <w:pPr>
        <w:spacing w:after="0" w:line="240" w:lineRule="auto"/>
        <w:jc w:val="both"/>
        <w:rPr>
          <w:rFonts w:ascii="Arial" w:hAnsi="Arial" w:cs="Arial"/>
          <w:color w:val="auto"/>
          <w:sz w:val="20"/>
          <w:szCs w:val="20"/>
        </w:rPr>
      </w:pPr>
      <w:r w:rsidRPr="00C3645A">
        <w:rPr>
          <w:rFonts w:ascii="Arial" w:hAnsi="Arial" w:cs="Arial"/>
          <w:color w:val="auto"/>
          <w:sz w:val="20"/>
          <w:szCs w:val="20"/>
          <w:shd w:val="clear" w:color="auto" w:fill="FFFFFF"/>
        </w:rPr>
        <w:t xml:space="preserve">Russelle, M. P., Entz, M. H., &amp; </w:t>
      </w:r>
      <w:proofErr w:type="spellStart"/>
      <w:r w:rsidRPr="00C3645A">
        <w:rPr>
          <w:rFonts w:ascii="Arial" w:hAnsi="Arial" w:cs="Arial"/>
          <w:color w:val="auto"/>
          <w:sz w:val="20"/>
          <w:szCs w:val="20"/>
          <w:shd w:val="clear" w:color="auto" w:fill="FFFFFF"/>
        </w:rPr>
        <w:t>Franzluebbers</w:t>
      </w:r>
      <w:proofErr w:type="spellEnd"/>
      <w:r w:rsidRPr="00C3645A">
        <w:rPr>
          <w:rFonts w:ascii="Arial" w:hAnsi="Arial" w:cs="Arial"/>
          <w:color w:val="auto"/>
          <w:sz w:val="20"/>
          <w:szCs w:val="20"/>
          <w:shd w:val="clear" w:color="auto" w:fill="FFFFFF"/>
        </w:rPr>
        <w:t>, A. J. (2007). Reconsidering integrated crop–livestock systems in North America. </w:t>
      </w:r>
      <w:r w:rsidRPr="00C3645A">
        <w:rPr>
          <w:rFonts w:ascii="Arial" w:hAnsi="Arial" w:cs="Arial"/>
          <w:i/>
          <w:iCs/>
          <w:color w:val="auto"/>
          <w:sz w:val="20"/>
          <w:szCs w:val="20"/>
          <w:shd w:val="clear" w:color="auto" w:fill="FFFFFF"/>
        </w:rPr>
        <w:t>Agronomy Journal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99</w:t>
      </w:r>
      <w:r w:rsidRPr="00C3645A">
        <w:rPr>
          <w:rFonts w:ascii="Arial" w:hAnsi="Arial" w:cs="Arial"/>
          <w:color w:val="auto"/>
          <w:sz w:val="20"/>
          <w:szCs w:val="20"/>
          <w:shd w:val="clear" w:color="auto" w:fill="FFFFFF"/>
        </w:rPr>
        <w:t xml:space="preserve">(2), 325-334. </w:t>
      </w:r>
      <w:r w:rsidR="0073107B" w:rsidRPr="00C3645A">
        <w:rPr>
          <w:rFonts w:ascii="Arial" w:hAnsi="Arial" w:cs="Arial"/>
          <w:color w:val="auto"/>
          <w:sz w:val="20"/>
          <w:szCs w:val="20"/>
          <w:shd w:val="clear" w:color="auto" w:fill="FFFFFF"/>
        </w:rPr>
        <w:t xml:space="preserve"> </w:t>
      </w:r>
      <w:hyperlink r:id="rId52" w:history="1">
        <w:r w:rsidR="003A1E90" w:rsidRPr="00C3645A">
          <w:rPr>
            <w:rStyle w:val="Lienhypertexte"/>
            <w:rFonts w:ascii="Arial" w:hAnsi="Arial" w:cs="Arial"/>
            <w:color w:val="auto"/>
            <w:sz w:val="20"/>
            <w:szCs w:val="20"/>
            <w:u w:val="none"/>
          </w:rPr>
          <w:t>https://doi.org/10.2134/agronj2006.0139</w:t>
        </w:r>
      </w:hyperlink>
    </w:p>
    <w:p w14:paraId="3D9A8CCF" w14:textId="7938CECD" w:rsidR="00B13AC8" w:rsidRPr="00C3645A" w:rsidRDefault="00B13AC8" w:rsidP="000317D2">
      <w:pPr>
        <w:pStyle w:val="PubliManuscript"/>
        <w:spacing w:line="276"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Rodrigues, R. D. A. R., Conceição, M. C. G., </w:t>
      </w:r>
      <w:proofErr w:type="spellStart"/>
      <w:r w:rsidRPr="00C3645A">
        <w:rPr>
          <w:rFonts w:ascii="Arial" w:hAnsi="Arial" w:cs="Arial"/>
          <w:color w:val="auto"/>
          <w:sz w:val="20"/>
          <w:szCs w:val="20"/>
          <w:shd w:val="clear" w:color="auto" w:fill="FFFFFF"/>
        </w:rPr>
        <w:t>Bidone</w:t>
      </w:r>
      <w:proofErr w:type="spellEnd"/>
      <w:r w:rsidRPr="00C3645A">
        <w:rPr>
          <w:rFonts w:ascii="Arial" w:hAnsi="Arial" w:cs="Arial"/>
          <w:color w:val="auto"/>
          <w:sz w:val="20"/>
          <w:szCs w:val="20"/>
          <w:shd w:val="clear" w:color="auto" w:fill="FFFFFF"/>
        </w:rPr>
        <w:t>, E. D., Matos, E. S., Cordeiro, R. C., &amp; Selva, G. V. (2019). The actions of the Brazilian agricultural sector in the context of climate change negotiations. </w:t>
      </w:r>
      <w:r w:rsidRPr="00C3645A">
        <w:rPr>
          <w:rFonts w:ascii="Arial" w:hAnsi="Arial" w:cs="Arial"/>
          <w:i/>
          <w:iCs/>
          <w:color w:val="auto"/>
          <w:sz w:val="20"/>
          <w:szCs w:val="20"/>
          <w:shd w:val="clear" w:color="auto" w:fill="FFFFFF"/>
        </w:rPr>
        <w:t>Sustainability in Debate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w:t>
      </w:r>
      <w:r w:rsidRPr="00C3645A">
        <w:rPr>
          <w:rFonts w:ascii="Arial" w:hAnsi="Arial" w:cs="Arial"/>
          <w:color w:val="auto"/>
          <w:sz w:val="20"/>
          <w:szCs w:val="20"/>
          <w:shd w:val="clear" w:color="auto" w:fill="FFFFFF"/>
        </w:rPr>
        <w:t xml:space="preserve">(2), 28-37. </w:t>
      </w:r>
    </w:p>
    <w:p w14:paraId="0A550EF4" w14:textId="0C6C9B9D" w:rsidR="001311A3" w:rsidRPr="00C3645A" w:rsidRDefault="001311A3" w:rsidP="000317D2">
      <w:pPr>
        <w:pStyle w:val="PubliManuscript"/>
        <w:spacing w:line="276" w:lineRule="auto"/>
        <w:ind w:firstLine="0"/>
        <w:rPr>
          <w:rFonts w:ascii="Arial" w:hAnsi="Arial" w:cs="Arial"/>
          <w:color w:val="auto"/>
          <w:sz w:val="20"/>
          <w:szCs w:val="20"/>
          <w:shd w:val="clear" w:color="auto" w:fill="FFFFFF"/>
          <w:lang w:val="fr-BE"/>
        </w:rPr>
      </w:pPr>
      <w:proofErr w:type="spellStart"/>
      <w:r w:rsidRPr="00C3645A">
        <w:rPr>
          <w:rFonts w:ascii="Arial" w:hAnsi="Arial" w:cs="Arial"/>
          <w:color w:val="auto"/>
          <w:sz w:val="20"/>
          <w:szCs w:val="20"/>
          <w:shd w:val="clear" w:color="auto" w:fill="FFFFFF"/>
        </w:rPr>
        <w:t>Sejian</w:t>
      </w:r>
      <w:proofErr w:type="spellEnd"/>
      <w:r w:rsidRPr="00C3645A">
        <w:rPr>
          <w:rFonts w:ascii="Arial" w:hAnsi="Arial" w:cs="Arial"/>
          <w:color w:val="auto"/>
          <w:sz w:val="20"/>
          <w:szCs w:val="20"/>
          <w:shd w:val="clear" w:color="auto" w:fill="FFFFFF"/>
        </w:rPr>
        <w:t xml:space="preserve">, V., Bhatta, R., Gaughan, J. B., </w:t>
      </w:r>
      <w:proofErr w:type="spellStart"/>
      <w:r w:rsidRPr="00C3645A">
        <w:rPr>
          <w:rFonts w:ascii="Arial" w:hAnsi="Arial" w:cs="Arial"/>
          <w:color w:val="auto"/>
          <w:sz w:val="20"/>
          <w:szCs w:val="20"/>
          <w:shd w:val="clear" w:color="auto" w:fill="FFFFFF"/>
        </w:rPr>
        <w:t>Dunshea</w:t>
      </w:r>
      <w:proofErr w:type="spellEnd"/>
      <w:r w:rsidRPr="00C3645A">
        <w:rPr>
          <w:rFonts w:ascii="Arial" w:hAnsi="Arial" w:cs="Arial"/>
          <w:color w:val="auto"/>
          <w:sz w:val="20"/>
          <w:szCs w:val="20"/>
          <w:shd w:val="clear" w:color="auto" w:fill="FFFFFF"/>
        </w:rPr>
        <w:t xml:space="preserve">, F. R., &amp; </w:t>
      </w:r>
      <w:proofErr w:type="spellStart"/>
      <w:r w:rsidRPr="00C3645A">
        <w:rPr>
          <w:rFonts w:ascii="Arial" w:hAnsi="Arial" w:cs="Arial"/>
          <w:color w:val="auto"/>
          <w:sz w:val="20"/>
          <w:szCs w:val="20"/>
          <w:shd w:val="clear" w:color="auto" w:fill="FFFFFF"/>
        </w:rPr>
        <w:t>Lacetera</w:t>
      </w:r>
      <w:proofErr w:type="spellEnd"/>
      <w:r w:rsidRPr="00C3645A">
        <w:rPr>
          <w:rFonts w:ascii="Arial" w:hAnsi="Arial" w:cs="Arial"/>
          <w:color w:val="auto"/>
          <w:sz w:val="20"/>
          <w:szCs w:val="20"/>
          <w:shd w:val="clear" w:color="auto" w:fill="FFFFFF"/>
        </w:rPr>
        <w:t>, N. (2018). Adaptation of animals to heat stress. </w:t>
      </w:r>
      <w:r w:rsidRPr="00C3645A">
        <w:rPr>
          <w:rFonts w:ascii="Arial" w:hAnsi="Arial" w:cs="Arial"/>
          <w:i/>
          <w:iCs/>
          <w:color w:val="auto"/>
          <w:sz w:val="20"/>
          <w:szCs w:val="20"/>
          <w:shd w:val="clear" w:color="auto" w:fill="FFFFFF"/>
        </w:rPr>
        <w:t>Animal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12</w:t>
      </w:r>
      <w:r w:rsidRPr="00C3645A">
        <w:rPr>
          <w:rFonts w:ascii="Arial" w:hAnsi="Arial" w:cs="Arial"/>
          <w:color w:val="auto"/>
          <w:sz w:val="20"/>
          <w:szCs w:val="20"/>
          <w:shd w:val="clear" w:color="auto" w:fill="FFFFFF"/>
        </w:rPr>
        <w:t xml:space="preserve">(s2), s431-s444. </w:t>
      </w:r>
      <w:hyperlink r:id="rId53" w:history="1">
        <w:r w:rsidR="00E43031" w:rsidRPr="00C3645A">
          <w:rPr>
            <w:rStyle w:val="Lienhypertexte"/>
            <w:rFonts w:ascii="Arial" w:hAnsi="Arial" w:cs="Arial"/>
            <w:color w:val="auto"/>
            <w:sz w:val="20"/>
            <w:szCs w:val="20"/>
            <w:u w:val="none"/>
            <w:shd w:val="clear" w:color="auto" w:fill="FFFFFF"/>
            <w:lang w:val="fr-BE"/>
          </w:rPr>
          <w:t>https://doi.org/10.1017/S1751731118001945</w:t>
        </w:r>
      </w:hyperlink>
    </w:p>
    <w:p w14:paraId="1117B076" w14:textId="369196DB" w:rsidR="002A55FF" w:rsidRPr="00C3645A" w:rsidRDefault="002A55FF" w:rsidP="000317D2">
      <w:pPr>
        <w:pStyle w:val="PubliManuscript"/>
        <w:spacing w:line="276" w:lineRule="auto"/>
        <w:ind w:firstLine="0"/>
        <w:rPr>
          <w:rStyle w:val="Lienhypertexte"/>
          <w:rFonts w:ascii="Arial" w:hAnsi="Arial" w:cs="Arial"/>
          <w:color w:val="auto"/>
          <w:sz w:val="20"/>
          <w:szCs w:val="20"/>
          <w:u w:val="none"/>
        </w:rPr>
      </w:pPr>
      <w:r w:rsidRPr="00C3645A">
        <w:rPr>
          <w:rFonts w:ascii="Arial" w:hAnsi="Arial" w:cs="Arial"/>
          <w:color w:val="auto"/>
          <w:sz w:val="20"/>
          <w:szCs w:val="20"/>
          <w:shd w:val="clear" w:color="auto" w:fill="FFFFFF"/>
          <w:lang w:val="fr-BE"/>
        </w:rPr>
        <w:t xml:space="preserve">Sekaran, U., Lai, L., Ussiri, D. A., Kumar, S., &amp; Clay, S. (2021). </w:t>
      </w:r>
      <w:r w:rsidRPr="00C3645A">
        <w:rPr>
          <w:rFonts w:ascii="Arial" w:hAnsi="Arial" w:cs="Arial"/>
          <w:color w:val="auto"/>
          <w:sz w:val="20"/>
          <w:szCs w:val="20"/>
          <w:shd w:val="clear" w:color="auto" w:fill="FFFFFF"/>
        </w:rPr>
        <w:t>Role of integrated crop-livestock systems in improving agriculture production and addressing food security–A review. </w:t>
      </w:r>
      <w:r w:rsidRPr="00C3645A">
        <w:rPr>
          <w:rFonts w:ascii="Arial" w:hAnsi="Arial" w:cs="Arial"/>
          <w:i/>
          <w:iCs/>
          <w:color w:val="auto"/>
          <w:sz w:val="20"/>
          <w:szCs w:val="20"/>
          <w:shd w:val="clear" w:color="auto" w:fill="FFFFFF"/>
        </w:rPr>
        <w:t>Journal of Agriculture and Food Research</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w:t>
      </w:r>
      <w:r w:rsidRPr="00C3645A">
        <w:rPr>
          <w:rFonts w:ascii="Arial" w:hAnsi="Arial" w:cs="Arial"/>
          <w:color w:val="auto"/>
          <w:sz w:val="20"/>
          <w:szCs w:val="20"/>
          <w:shd w:val="clear" w:color="auto" w:fill="FFFFFF"/>
        </w:rPr>
        <w:t>, 100190.</w:t>
      </w:r>
      <w:r w:rsidRPr="00C3645A">
        <w:rPr>
          <w:rFonts w:ascii="Arial" w:hAnsi="Arial" w:cs="Arial"/>
          <w:color w:val="auto"/>
          <w:sz w:val="20"/>
          <w:szCs w:val="20"/>
        </w:rPr>
        <w:t xml:space="preserve">  </w:t>
      </w:r>
      <w:hyperlink r:id="rId54" w:history="1">
        <w:r w:rsidRPr="00C3645A">
          <w:rPr>
            <w:rStyle w:val="Lienhypertexte"/>
            <w:rFonts w:ascii="Arial" w:hAnsi="Arial" w:cs="Arial"/>
            <w:color w:val="auto"/>
            <w:sz w:val="20"/>
            <w:szCs w:val="20"/>
            <w:u w:val="none"/>
          </w:rPr>
          <w:t>https://doi.org/10.1016/j.jafr.2021.100190</w:t>
        </w:r>
      </w:hyperlink>
    </w:p>
    <w:p w14:paraId="68606AF8" w14:textId="601EF968" w:rsidR="00276F12" w:rsidRPr="00C3645A" w:rsidRDefault="00EC36B4" w:rsidP="00276F12">
      <w:pPr>
        <w:pStyle w:val="PubliManuscript"/>
        <w:spacing w:line="276"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lang w:val="de-DE"/>
        </w:rPr>
        <w:t>Schrumpf, M., Kaiser, K., Guggenberger, G., Persson, T., Kögel-</w:t>
      </w:r>
      <w:proofErr w:type="spellStart"/>
      <w:r w:rsidRPr="00C3645A">
        <w:rPr>
          <w:rFonts w:ascii="Arial" w:hAnsi="Arial" w:cs="Arial"/>
          <w:color w:val="auto"/>
          <w:sz w:val="20"/>
          <w:szCs w:val="20"/>
          <w:shd w:val="clear" w:color="auto" w:fill="FFFFFF"/>
          <w:lang w:val="de-DE"/>
        </w:rPr>
        <w:t>Knabner</w:t>
      </w:r>
      <w:proofErr w:type="spellEnd"/>
      <w:r w:rsidRPr="00C3645A">
        <w:rPr>
          <w:rFonts w:ascii="Arial" w:hAnsi="Arial" w:cs="Arial"/>
          <w:color w:val="auto"/>
          <w:sz w:val="20"/>
          <w:szCs w:val="20"/>
          <w:shd w:val="clear" w:color="auto" w:fill="FFFFFF"/>
          <w:lang w:val="de-DE"/>
        </w:rPr>
        <w:t xml:space="preserve">, I., &amp; Schulze, E. D. (2013). </w:t>
      </w:r>
      <w:r w:rsidRPr="00C3645A">
        <w:rPr>
          <w:rFonts w:ascii="Arial" w:hAnsi="Arial" w:cs="Arial"/>
          <w:color w:val="auto"/>
          <w:sz w:val="20"/>
          <w:szCs w:val="20"/>
          <w:shd w:val="clear" w:color="auto" w:fill="FFFFFF"/>
        </w:rPr>
        <w:t>Storage and stability of organic carbon in soils as related to depth, occlusion within aggregates, and attachment to minerals. </w:t>
      </w:r>
      <w:proofErr w:type="spellStart"/>
      <w:r w:rsidRPr="00C3645A">
        <w:rPr>
          <w:rFonts w:ascii="Arial" w:hAnsi="Arial" w:cs="Arial"/>
          <w:i/>
          <w:iCs/>
          <w:color w:val="auto"/>
          <w:sz w:val="20"/>
          <w:szCs w:val="20"/>
          <w:shd w:val="clear" w:color="auto" w:fill="FFFFFF"/>
        </w:rPr>
        <w:t>Biogeosciences</w:t>
      </w:r>
      <w:proofErr w:type="spellEnd"/>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w:t>
      </w:r>
      <w:r w:rsidRPr="00C3645A">
        <w:rPr>
          <w:rFonts w:ascii="Arial" w:hAnsi="Arial" w:cs="Arial"/>
          <w:color w:val="auto"/>
          <w:sz w:val="20"/>
          <w:szCs w:val="20"/>
          <w:shd w:val="clear" w:color="auto" w:fill="FFFFFF"/>
        </w:rPr>
        <w:t xml:space="preserve">(3), 1675-1691. </w:t>
      </w:r>
      <w:hyperlink r:id="rId55" w:history="1">
        <w:r w:rsidR="006809FA" w:rsidRPr="00C3645A">
          <w:rPr>
            <w:rStyle w:val="Lienhypertexte"/>
            <w:rFonts w:ascii="Arial" w:hAnsi="Arial" w:cs="Arial"/>
            <w:color w:val="auto"/>
            <w:sz w:val="20"/>
            <w:szCs w:val="20"/>
            <w:u w:val="none"/>
            <w:shd w:val="clear" w:color="auto" w:fill="FFFFFF"/>
          </w:rPr>
          <w:t>https://doi.org/10.5194/bg-10-1675-2013</w:t>
        </w:r>
      </w:hyperlink>
    </w:p>
    <w:p w14:paraId="745B58E1" w14:textId="6B507B40" w:rsidR="00601F21" w:rsidRPr="00C3645A" w:rsidRDefault="00601F21" w:rsidP="00601F21">
      <w:pPr>
        <w:spacing w:after="0" w:line="240" w:lineRule="auto"/>
        <w:rPr>
          <w:rStyle w:val="Lienhypertexte"/>
          <w:rFonts w:ascii="Arial" w:hAnsi="Arial" w:cs="Arial"/>
          <w:color w:val="auto"/>
          <w:sz w:val="20"/>
          <w:szCs w:val="20"/>
          <w:u w:val="none"/>
          <w:shd w:val="clear" w:color="auto" w:fill="FFFFFF"/>
          <w:lang w:val="fr-BE"/>
        </w:rPr>
      </w:pPr>
      <w:proofErr w:type="spellStart"/>
      <w:r w:rsidRPr="00C3645A">
        <w:rPr>
          <w:rFonts w:ascii="Arial" w:hAnsi="Arial" w:cs="Arial"/>
          <w:color w:val="auto"/>
          <w:sz w:val="20"/>
          <w:szCs w:val="20"/>
          <w:shd w:val="clear" w:color="auto" w:fill="FFFFFF"/>
        </w:rPr>
        <w:t>Sionit</w:t>
      </w:r>
      <w:proofErr w:type="spellEnd"/>
      <w:r w:rsidRPr="00C3645A">
        <w:rPr>
          <w:rFonts w:ascii="Arial" w:hAnsi="Arial" w:cs="Arial"/>
          <w:color w:val="auto"/>
          <w:sz w:val="20"/>
          <w:szCs w:val="20"/>
          <w:shd w:val="clear" w:color="auto" w:fill="FFFFFF"/>
        </w:rPr>
        <w:t>, N., &amp; Kramer, P. J. (1977). Effect of water stress during different stages of growth of soybean 1. </w:t>
      </w:r>
      <w:proofErr w:type="spellStart"/>
      <w:r w:rsidRPr="00C3645A">
        <w:rPr>
          <w:rFonts w:ascii="Arial" w:hAnsi="Arial" w:cs="Arial"/>
          <w:i/>
          <w:iCs/>
          <w:color w:val="auto"/>
          <w:sz w:val="20"/>
          <w:szCs w:val="20"/>
          <w:shd w:val="clear" w:color="auto" w:fill="FFFFFF"/>
          <w:lang w:val="fr-BE"/>
        </w:rPr>
        <w:t>Agronomy</w:t>
      </w:r>
      <w:proofErr w:type="spellEnd"/>
      <w:r w:rsidRPr="00C3645A">
        <w:rPr>
          <w:rFonts w:ascii="Arial" w:hAnsi="Arial" w:cs="Arial"/>
          <w:i/>
          <w:iCs/>
          <w:color w:val="auto"/>
          <w:sz w:val="20"/>
          <w:szCs w:val="20"/>
          <w:shd w:val="clear" w:color="auto" w:fill="FFFFFF"/>
          <w:lang w:val="fr-BE"/>
        </w:rPr>
        <w:t xml:space="preserve"> journal</w:t>
      </w:r>
      <w:r w:rsidRPr="00C3645A">
        <w:rPr>
          <w:rFonts w:ascii="Arial" w:hAnsi="Arial" w:cs="Arial"/>
          <w:color w:val="auto"/>
          <w:sz w:val="20"/>
          <w:szCs w:val="20"/>
          <w:shd w:val="clear" w:color="auto" w:fill="FFFFFF"/>
          <w:lang w:val="fr-BE"/>
        </w:rPr>
        <w:t>, </w:t>
      </w:r>
      <w:r w:rsidRPr="00C3645A">
        <w:rPr>
          <w:rFonts w:ascii="Arial" w:hAnsi="Arial" w:cs="Arial"/>
          <w:i/>
          <w:iCs/>
          <w:color w:val="auto"/>
          <w:sz w:val="20"/>
          <w:szCs w:val="20"/>
          <w:shd w:val="clear" w:color="auto" w:fill="FFFFFF"/>
          <w:lang w:val="fr-BE"/>
        </w:rPr>
        <w:t>69</w:t>
      </w:r>
      <w:r w:rsidRPr="00C3645A">
        <w:rPr>
          <w:rFonts w:ascii="Arial" w:hAnsi="Arial" w:cs="Arial"/>
          <w:color w:val="auto"/>
          <w:sz w:val="20"/>
          <w:szCs w:val="20"/>
          <w:shd w:val="clear" w:color="auto" w:fill="FFFFFF"/>
          <w:lang w:val="fr-BE"/>
        </w:rPr>
        <w:t xml:space="preserve">(2), 274-278. </w:t>
      </w:r>
      <w:hyperlink r:id="rId56" w:history="1">
        <w:r w:rsidRPr="00C3645A">
          <w:rPr>
            <w:rFonts w:ascii="Arial" w:hAnsi="Arial" w:cs="Arial"/>
            <w:color w:val="auto"/>
            <w:sz w:val="20"/>
            <w:szCs w:val="20"/>
            <w:shd w:val="clear" w:color="auto" w:fill="FFFFFF"/>
            <w:lang w:val="fr-BE"/>
          </w:rPr>
          <w:t>https://doi.org/10.2134/agronj1977.00021962006900020018x</w:t>
        </w:r>
      </w:hyperlink>
    </w:p>
    <w:p w14:paraId="39DB97EE" w14:textId="4259501C" w:rsidR="004207E7" w:rsidRPr="00C3645A" w:rsidRDefault="006809FA" w:rsidP="000317D2">
      <w:pPr>
        <w:spacing w:after="0" w:line="240" w:lineRule="auto"/>
        <w:jc w:val="both"/>
        <w:rPr>
          <w:rStyle w:val="Lienhypertexte"/>
          <w:rFonts w:ascii="Arial" w:hAnsi="Arial" w:cs="Arial"/>
          <w:color w:val="auto"/>
          <w:sz w:val="20"/>
          <w:szCs w:val="20"/>
          <w:u w:val="none"/>
        </w:rPr>
      </w:pPr>
      <w:proofErr w:type="spellStart"/>
      <w:r w:rsidRPr="00C3645A">
        <w:rPr>
          <w:rFonts w:ascii="Arial" w:hAnsi="Arial" w:cs="Arial"/>
          <w:color w:val="auto"/>
          <w:sz w:val="20"/>
          <w:szCs w:val="20"/>
          <w:shd w:val="clear" w:color="auto" w:fill="FFFFFF"/>
          <w:lang w:val="fr-BE"/>
        </w:rPr>
        <w:t>Soussana</w:t>
      </w:r>
      <w:proofErr w:type="spellEnd"/>
      <w:r w:rsidRPr="00C3645A">
        <w:rPr>
          <w:rFonts w:ascii="Arial" w:hAnsi="Arial" w:cs="Arial"/>
          <w:color w:val="auto"/>
          <w:sz w:val="20"/>
          <w:szCs w:val="20"/>
          <w:shd w:val="clear" w:color="auto" w:fill="FFFFFF"/>
          <w:lang w:val="fr-BE"/>
        </w:rPr>
        <w:t xml:space="preserve">, J. F., Loiseau, P., </w:t>
      </w:r>
      <w:proofErr w:type="spellStart"/>
      <w:r w:rsidRPr="00C3645A">
        <w:rPr>
          <w:rFonts w:ascii="Arial" w:hAnsi="Arial" w:cs="Arial"/>
          <w:color w:val="auto"/>
          <w:sz w:val="20"/>
          <w:szCs w:val="20"/>
          <w:shd w:val="clear" w:color="auto" w:fill="FFFFFF"/>
          <w:lang w:val="fr-BE"/>
        </w:rPr>
        <w:t>Vuichard</w:t>
      </w:r>
      <w:proofErr w:type="spellEnd"/>
      <w:r w:rsidRPr="00C3645A">
        <w:rPr>
          <w:rFonts w:ascii="Arial" w:hAnsi="Arial" w:cs="Arial"/>
          <w:color w:val="auto"/>
          <w:sz w:val="20"/>
          <w:szCs w:val="20"/>
          <w:shd w:val="clear" w:color="auto" w:fill="FFFFFF"/>
          <w:lang w:val="fr-BE"/>
        </w:rPr>
        <w:t xml:space="preserve">, N., </w:t>
      </w:r>
      <w:proofErr w:type="spellStart"/>
      <w:r w:rsidRPr="00C3645A">
        <w:rPr>
          <w:rFonts w:ascii="Arial" w:hAnsi="Arial" w:cs="Arial"/>
          <w:color w:val="auto"/>
          <w:sz w:val="20"/>
          <w:szCs w:val="20"/>
          <w:shd w:val="clear" w:color="auto" w:fill="FFFFFF"/>
          <w:lang w:val="fr-BE"/>
        </w:rPr>
        <w:t>Ceschia</w:t>
      </w:r>
      <w:proofErr w:type="spellEnd"/>
      <w:r w:rsidRPr="00C3645A">
        <w:rPr>
          <w:rFonts w:ascii="Arial" w:hAnsi="Arial" w:cs="Arial"/>
          <w:color w:val="auto"/>
          <w:sz w:val="20"/>
          <w:szCs w:val="20"/>
          <w:shd w:val="clear" w:color="auto" w:fill="FFFFFF"/>
          <w:lang w:val="fr-BE"/>
        </w:rPr>
        <w:t xml:space="preserve">, E., </w:t>
      </w:r>
      <w:proofErr w:type="spellStart"/>
      <w:r w:rsidRPr="00C3645A">
        <w:rPr>
          <w:rFonts w:ascii="Arial" w:hAnsi="Arial" w:cs="Arial"/>
          <w:color w:val="auto"/>
          <w:sz w:val="20"/>
          <w:szCs w:val="20"/>
          <w:shd w:val="clear" w:color="auto" w:fill="FFFFFF"/>
          <w:lang w:val="fr-BE"/>
        </w:rPr>
        <w:t>Balesdent</w:t>
      </w:r>
      <w:proofErr w:type="spellEnd"/>
      <w:r w:rsidRPr="00C3645A">
        <w:rPr>
          <w:rFonts w:ascii="Arial" w:hAnsi="Arial" w:cs="Arial"/>
          <w:color w:val="auto"/>
          <w:sz w:val="20"/>
          <w:szCs w:val="20"/>
          <w:shd w:val="clear" w:color="auto" w:fill="FFFFFF"/>
          <w:lang w:val="fr-BE"/>
        </w:rPr>
        <w:t xml:space="preserve">, J., Chevallier, T., &amp; </w:t>
      </w:r>
      <w:proofErr w:type="spellStart"/>
      <w:r w:rsidRPr="00C3645A">
        <w:rPr>
          <w:rFonts w:ascii="Arial" w:hAnsi="Arial" w:cs="Arial"/>
          <w:color w:val="auto"/>
          <w:sz w:val="20"/>
          <w:szCs w:val="20"/>
          <w:shd w:val="clear" w:color="auto" w:fill="FFFFFF"/>
          <w:lang w:val="fr-BE"/>
        </w:rPr>
        <w:t>Arrouays</w:t>
      </w:r>
      <w:proofErr w:type="spellEnd"/>
      <w:r w:rsidRPr="00C3645A">
        <w:rPr>
          <w:rFonts w:ascii="Arial" w:hAnsi="Arial" w:cs="Arial"/>
          <w:color w:val="auto"/>
          <w:sz w:val="20"/>
          <w:szCs w:val="20"/>
          <w:shd w:val="clear" w:color="auto" w:fill="FFFFFF"/>
          <w:lang w:val="fr-BE"/>
        </w:rPr>
        <w:t xml:space="preserve">, D. (2004). </w:t>
      </w:r>
      <w:r w:rsidRPr="00C3645A">
        <w:rPr>
          <w:rFonts w:ascii="Arial" w:hAnsi="Arial" w:cs="Arial"/>
          <w:color w:val="auto"/>
          <w:sz w:val="20"/>
          <w:szCs w:val="20"/>
          <w:shd w:val="clear" w:color="auto" w:fill="FFFFFF"/>
        </w:rPr>
        <w:t>Carbon cycling and sequestration opportunities in temperate grasslands. </w:t>
      </w:r>
      <w:r w:rsidRPr="00C3645A">
        <w:rPr>
          <w:rFonts w:ascii="Arial" w:hAnsi="Arial" w:cs="Arial"/>
          <w:i/>
          <w:iCs/>
          <w:color w:val="auto"/>
          <w:sz w:val="20"/>
          <w:szCs w:val="20"/>
          <w:shd w:val="clear" w:color="auto" w:fill="FFFFFF"/>
        </w:rPr>
        <w:t>Soil use and management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20</w:t>
      </w:r>
      <w:r w:rsidRPr="00C3645A">
        <w:rPr>
          <w:rFonts w:ascii="Arial" w:hAnsi="Arial" w:cs="Arial"/>
          <w:color w:val="auto"/>
          <w:sz w:val="20"/>
          <w:szCs w:val="20"/>
          <w:shd w:val="clear" w:color="auto" w:fill="FFFFFF"/>
        </w:rPr>
        <w:t xml:space="preserve">(2), 219-230. </w:t>
      </w:r>
      <w:hyperlink r:id="rId57" w:history="1">
        <w:r w:rsidR="00DC6238" w:rsidRPr="00C3645A">
          <w:rPr>
            <w:rStyle w:val="Lienhypertexte"/>
            <w:rFonts w:ascii="Arial" w:hAnsi="Arial" w:cs="Arial"/>
            <w:color w:val="auto"/>
            <w:sz w:val="20"/>
            <w:szCs w:val="20"/>
            <w:u w:val="none"/>
          </w:rPr>
          <w:t>https://doi.org/10.1111/j.1475-2743.2004.tb00362.x</w:t>
        </w:r>
      </w:hyperlink>
    </w:p>
    <w:p w14:paraId="65DF767A" w14:textId="38379ABD" w:rsidR="000B5A52" w:rsidRPr="00C3645A" w:rsidRDefault="000B5A52" w:rsidP="000317D2">
      <w:pPr>
        <w:pStyle w:val="PubliManuscript"/>
        <w:spacing w:line="276"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Smith, W., Grant, B., Qi, Z., He, W., Qian, B., Jing, Q., ... &amp; Wagner-Riddle, C. (2020). Towards an improved methodology for modelling climate change impacts on cropping systems in cool climates. </w:t>
      </w:r>
      <w:r w:rsidRPr="00C3645A">
        <w:rPr>
          <w:rFonts w:ascii="Arial" w:hAnsi="Arial" w:cs="Arial"/>
          <w:i/>
          <w:iCs/>
          <w:color w:val="auto"/>
          <w:sz w:val="20"/>
          <w:szCs w:val="20"/>
          <w:shd w:val="clear" w:color="auto" w:fill="FFFFFF"/>
        </w:rPr>
        <w:t>Science of the Total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728</w:t>
      </w:r>
      <w:r w:rsidRPr="00C3645A">
        <w:rPr>
          <w:rFonts w:ascii="Arial" w:hAnsi="Arial" w:cs="Arial"/>
          <w:color w:val="auto"/>
          <w:sz w:val="20"/>
          <w:szCs w:val="20"/>
          <w:shd w:val="clear" w:color="auto" w:fill="FFFFFF"/>
        </w:rPr>
        <w:t>, 138845.</w:t>
      </w:r>
      <w:r w:rsidR="003B7924" w:rsidRPr="00C3645A">
        <w:rPr>
          <w:rFonts w:ascii="Arial" w:hAnsi="Arial" w:cs="Arial"/>
          <w:color w:val="auto"/>
          <w:sz w:val="20"/>
          <w:szCs w:val="20"/>
          <w:shd w:val="clear" w:color="auto" w:fill="FFFFFF"/>
        </w:rPr>
        <w:t xml:space="preserve"> </w:t>
      </w:r>
      <w:hyperlink r:id="rId58" w:history="1">
        <w:r w:rsidR="006153EC" w:rsidRPr="00C3645A">
          <w:rPr>
            <w:rFonts w:ascii="Arial" w:hAnsi="Arial" w:cs="Arial"/>
            <w:color w:val="auto"/>
            <w:sz w:val="20"/>
            <w:szCs w:val="20"/>
            <w:shd w:val="clear" w:color="auto" w:fill="FFFFFF"/>
          </w:rPr>
          <w:t>https://doi.org/10.1016/j.scitotenv.2020.138845</w:t>
        </w:r>
      </w:hyperlink>
    </w:p>
    <w:p w14:paraId="571569D7" w14:textId="549953BB" w:rsidR="004207E7" w:rsidRPr="00C3645A" w:rsidRDefault="004207E7" w:rsidP="000317D2">
      <w:pPr>
        <w:pStyle w:val="PubliManuscript"/>
        <w:spacing w:line="276"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lang w:val="fr-BE"/>
        </w:rPr>
        <w:t>Soussana</w:t>
      </w:r>
      <w:proofErr w:type="spellEnd"/>
      <w:r w:rsidRPr="00C3645A">
        <w:rPr>
          <w:rFonts w:ascii="Arial" w:hAnsi="Arial" w:cs="Arial"/>
          <w:color w:val="auto"/>
          <w:sz w:val="20"/>
          <w:szCs w:val="20"/>
          <w:shd w:val="clear" w:color="auto" w:fill="FFFFFF"/>
          <w:lang w:val="fr-BE"/>
        </w:rPr>
        <w:t xml:space="preserve">, J. F., </w:t>
      </w:r>
      <w:proofErr w:type="spellStart"/>
      <w:r w:rsidRPr="00C3645A">
        <w:rPr>
          <w:rFonts w:ascii="Arial" w:hAnsi="Arial" w:cs="Arial"/>
          <w:color w:val="auto"/>
          <w:sz w:val="20"/>
          <w:szCs w:val="20"/>
          <w:shd w:val="clear" w:color="auto" w:fill="FFFFFF"/>
          <w:lang w:val="fr-BE"/>
        </w:rPr>
        <w:t>Tallec</w:t>
      </w:r>
      <w:proofErr w:type="spellEnd"/>
      <w:r w:rsidRPr="00C3645A">
        <w:rPr>
          <w:rFonts w:ascii="Arial" w:hAnsi="Arial" w:cs="Arial"/>
          <w:color w:val="auto"/>
          <w:sz w:val="20"/>
          <w:szCs w:val="20"/>
          <w:shd w:val="clear" w:color="auto" w:fill="FFFFFF"/>
          <w:lang w:val="fr-BE"/>
        </w:rPr>
        <w:t xml:space="preserve">, T., &amp; </w:t>
      </w:r>
      <w:proofErr w:type="spellStart"/>
      <w:r w:rsidRPr="00C3645A">
        <w:rPr>
          <w:rFonts w:ascii="Arial" w:hAnsi="Arial" w:cs="Arial"/>
          <w:color w:val="auto"/>
          <w:sz w:val="20"/>
          <w:szCs w:val="20"/>
          <w:shd w:val="clear" w:color="auto" w:fill="FFFFFF"/>
          <w:lang w:val="fr-BE"/>
        </w:rPr>
        <w:t>Blanfort</w:t>
      </w:r>
      <w:proofErr w:type="spellEnd"/>
      <w:r w:rsidRPr="00C3645A">
        <w:rPr>
          <w:rFonts w:ascii="Arial" w:hAnsi="Arial" w:cs="Arial"/>
          <w:color w:val="auto"/>
          <w:sz w:val="20"/>
          <w:szCs w:val="20"/>
          <w:shd w:val="clear" w:color="auto" w:fill="FFFFFF"/>
          <w:lang w:val="fr-BE"/>
        </w:rPr>
        <w:t xml:space="preserve">, V. (2010). </w:t>
      </w:r>
      <w:r w:rsidRPr="00C3645A">
        <w:rPr>
          <w:rFonts w:ascii="Arial" w:hAnsi="Arial" w:cs="Arial"/>
          <w:color w:val="auto"/>
          <w:sz w:val="20"/>
          <w:szCs w:val="20"/>
          <w:shd w:val="clear" w:color="auto" w:fill="FFFFFF"/>
        </w:rPr>
        <w:t>Mitigating the greenhouse gas balance of ruminant production systems through carbon sequestration in grasslands. </w:t>
      </w:r>
      <w:r w:rsidRPr="00C3645A">
        <w:rPr>
          <w:rFonts w:ascii="Arial" w:hAnsi="Arial" w:cs="Arial"/>
          <w:i/>
          <w:iCs/>
          <w:color w:val="auto"/>
          <w:sz w:val="20"/>
          <w:szCs w:val="20"/>
          <w:shd w:val="clear" w:color="auto" w:fill="FFFFFF"/>
        </w:rPr>
        <w:t>Animal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4</w:t>
      </w:r>
      <w:r w:rsidRPr="00C3645A">
        <w:rPr>
          <w:rFonts w:ascii="Arial" w:hAnsi="Arial" w:cs="Arial"/>
          <w:color w:val="auto"/>
          <w:sz w:val="20"/>
          <w:szCs w:val="20"/>
          <w:shd w:val="clear" w:color="auto" w:fill="FFFFFF"/>
        </w:rPr>
        <w:t>(3), 334-350.</w:t>
      </w:r>
    </w:p>
    <w:p w14:paraId="67B12206" w14:textId="237192B2" w:rsidR="00CA2B33" w:rsidRPr="00C3645A" w:rsidRDefault="00CA2B33" w:rsidP="000317D2">
      <w:pPr>
        <w:pStyle w:val="PubliManuscript"/>
        <w:spacing w:line="276" w:lineRule="auto"/>
        <w:ind w:firstLine="0"/>
        <w:rPr>
          <w:rStyle w:val="anchor-text"/>
          <w:rFonts w:ascii="Arial" w:hAnsi="Arial" w:cs="Arial"/>
          <w:color w:val="auto"/>
          <w:sz w:val="20"/>
          <w:szCs w:val="20"/>
        </w:rPr>
      </w:pPr>
      <w:proofErr w:type="spellStart"/>
      <w:r w:rsidRPr="00C3645A">
        <w:rPr>
          <w:rFonts w:ascii="Arial" w:hAnsi="Arial" w:cs="Arial"/>
          <w:color w:val="auto"/>
          <w:sz w:val="20"/>
          <w:szCs w:val="20"/>
          <w:shd w:val="clear" w:color="auto" w:fill="FFFFFF"/>
        </w:rPr>
        <w:t>Soussana</w:t>
      </w:r>
      <w:proofErr w:type="spellEnd"/>
      <w:r w:rsidRPr="00C3645A">
        <w:rPr>
          <w:rFonts w:ascii="Arial" w:hAnsi="Arial" w:cs="Arial"/>
          <w:color w:val="auto"/>
          <w:sz w:val="20"/>
          <w:szCs w:val="20"/>
          <w:shd w:val="clear" w:color="auto" w:fill="FFFFFF"/>
        </w:rPr>
        <w:t>, J. F., &amp; Lemaire, G. (2014). Coupling carbon and nitrogen cycles for environmentally sustainable intensification of grasslands and crop-livestock systems. </w:t>
      </w:r>
      <w:r w:rsidRPr="00C3645A">
        <w:rPr>
          <w:rFonts w:ascii="Arial" w:hAnsi="Arial" w:cs="Arial"/>
          <w:i/>
          <w:iCs/>
          <w:color w:val="auto"/>
          <w:sz w:val="20"/>
          <w:szCs w:val="20"/>
          <w:shd w:val="clear" w:color="auto" w:fill="FFFFFF"/>
        </w:rPr>
        <w:t>Agriculture, Ecosystems &amp; Environment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190</w:t>
      </w:r>
      <w:r w:rsidRPr="00C3645A">
        <w:rPr>
          <w:rFonts w:ascii="Arial" w:hAnsi="Arial" w:cs="Arial"/>
          <w:color w:val="auto"/>
          <w:sz w:val="20"/>
          <w:szCs w:val="20"/>
          <w:shd w:val="clear" w:color="auto" w:fill="FFFFFF"/>
        </w:rPr>
        <w:t xml:space="preserve">, 9-17. </w:t>
      </w:r>
      <w:hyperlink r:id="rId59" w:tgtFrame="_blank" w:tooltip="Persistent link using digital object identifier" w:history="1">
        <w:r w:rsidR="00110E1B" w:rsidRPr="00C3645A">
          <w:rPr>
            <w:rStyle w:val="anchor-text"/>
            <w:rFonts w:ascii="Arial" w:hAnsi="Arial" w:cs="Arial"/>
            <w:color w:val="auto"/>
            <w:sz w:val="20"/>
            <w:szCs w:val="20"/>
          </w:rPr>
          <w:t>https://doi.org/10.1016/j.agee.2013.10.012</w:t>
        </w:r>
      </w:hyperlink>
    </w:p>
    <w:p w14:paraId="5D41974E" w14:textId="18A08655" w:rsidR="008B37A8" w:rsidRPr="00C3645A" w:rsidRDefault="008B37A8" w:rsidP="000317D2">
      <w:pPr>
        <w:pStyle w:val="PubliManuscript"/>
        <w:spacing w:line="276"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Szabó, B., </w:t>
      </w:r>
      <w:proofErr w:type="spellStart"/>
      <w:r w:rsidRPr="00C3645A">
        <w:rPr>
          <w:rFonts w:ascii="Arial" w:hAnsi="Arial" w:cs="Arial"/>
          <w:color w:val="auto"/>
          <w:sz w:val="20"/>
          <w:szCs w:val="20"/>
          <w:shd w:val="clear" w:color="auto" w:fill="FFFFFF"/>
        </w:rPr>
        <w:t>Weynants</w:t>
      </w:r>
      <w:proofErr w:type="spellEnd"/>
      <w:r w:rsidRPr="00C3645A">
        <w:rPr>
          <w:rFonts w:ascii="Arial" w:hAnsi="Arial" w:cs="Arial"/>
          <w:color w:val="auto"/>
          <w:sz w:val="20"/>
          <w:szCs w:val="20"/>
          <w:shd w:val="clear" w:color="auto" w:fill="FFFFFF"/>
        </w:rPr>
        <w:t xml:space="preserve">, M., &amp; Weber, T. K. (2021). Updated European hydraulic </w:t>
      </w:r>
      <w:proofErr w:type="spellStart"/>
      <w:r w:rsidRPr="00C3645A">
        <w:rPr>
          <w:rFonts w:ascii="Arial" w:hAnsi="Arial" w:cs="Arial"/>
          <w:color w:val="auto"/>
          <w:sz w:val="20"/>
          <w:szCs w:val="20"/>
          <w:shd w:val="clear" w:color="auto" w:fill="FFFFFF"/>
        </w:rPr>
        <w:t>pedotransfer</w:t>
      </w:r>
      <w:proofErr w:type="spellEnd"/>
      <w:r w:rsidRPr="00C3645A">
        <w:rPr>
          <w:rFonts w:ascii="Arial" w:hAnsi="Arial" w:cs="Arial"/>
          <w:color w:val="auto"/>
          <w:sz w:val="20"/>
          <w:szCs w:val="20"/>
          <w:shd w:val="clear" w:color="auto" w:fill="FFFFFF"/>
        </w:rPr>
        <w:t xml:space="preserve"> functions </w:t>
      </w:r>
      <w:r w:rsidRPr="00C3645A">
        <w:rPr>
          <w:rFonts w:ascii="Arial" w:hAnsi="Arial" w:cs="Arial"/>
          <w:color w:val="auto"/>
          <w:sz w:val="20"/>
          <w:szCs w:val="20"/>
          <w:shd w:val="clear" w:color="auto" w:fill="FFFFFF"/>
        </w:rPr>
        <w:lastRenderedPageBreak/>
        <w:t>with communicated uncertainties in the predicted variables (euptfv2). </w:t>
      </w:r>
      <w:r w:rsidRPr="00C3645A">
        <w:rPr>
          <w:rFonts w:ascii="Arial" w:hAnsi="Arial" w:cs="Arial"/>
          <w:i/>
          <w:iCs/>
          <w:color w:val="auto"/>
          <w:sz w:val="20"/>
          <w:szCs w:val="20"/>
          <w:shd w:val="clear" w:color="auto" w:fill="FFFFFF"/>
        </w:rPr>
        <w:t>Geoscientific Model Development</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14</w:t>
      </w:r>
      <w:r w:rsidRPr="00C3645A">
        <w:rPr>
          <w:rFonts w:ascii="Arial" w:hAnsi="Arial" w:cs="Arial"/>
          <w:color w:val="auto"/>
          <w:sz w:val="20"/>
          <w:szCs w:val="20"/>
          <w:shd w:val="clear" w:color="auto" w:fill="FFFFFF"/>
        </w:rPr>
        <w:t>(1), 151-175.</w:t>
      </w:r>
      <w:r w:rsidR="001B3FA2" w:rsidRPr="00C3645A">
        <w:rPr>
          <w:rFonts w:ascii="Arial" w:hAnsi="Arial" w:cs="Arial"/>
          <w:color w:val="auto"/>
          <w:sz w:val="20"/>
          <w:szCs w:val="20"/>
          <w:shd w:val="clear" w:color="auto" w:fill="FFFFFF"/>
        </w:rPr>
        <w:t xml:space="preserve"> https://doi.org/10.5194/gmd-14-151-2021</w:t>
      </w:r>
    </w:p>
    <w:p w14:paraId="18D16AC9" w14:textId="6355A53E" w:rsidR="007D5BB9" w:rsidRPr="00C3645A" w:rsidRDefault="007D5BB9" w:rsidP="000317D2">
      <w:pPr>
        <w:pStyle w:val="PubliManuscript"/>
        <w:spacing w:line="276" w:lineRule="auto"/>
        <w:ind w:firstLine="0"/>
        <w:rPr>
          <w:rStyle w:val="Lienhypertexte"/>
          <w:rFonts w:ascii="Arial" w:hAnsi="Arial" w:cs="Arial"/>
          <w:color w:val="auto"/>
          <w:sz w:val="20"/>
          <w:szCs w:val="20"/>
          <w:u w:val="none"/>
          <w:shd w:val="clear" w:color="auto" w:fill="FFFFFF"/>
        </w:rPr>
      </w:pPr>
      <w:r w:rsidRPr="00C3645A">
        <w:rPr>
          <w:rFonts w:ascii="Arial" w:hAnsi="Arial" w:cs="Arial"/>
          <w:color w:val="auto"/>
          <w:sz w:val="20"/>
          <w:szCs w:val="20"/>
          <w:shd w:val="clear" w:color="auto" w:fill="FFFFFF"/>
        </w:rPr>
        <w:t>Thornton, P. K., &amp; Herrero, M. (2015). Adapting to climate change in the mixed crop and livestock farming systems in sub-Saharan Africa. </w:t>
      </w:r>
      <w:r w:rsidRPr="00C3645A">
        <w:rPr>
          <w:rFonts w:ascii="Arial" w:hAnsi="Arial" w:cs="Arial"/>
          <w:i/>
          <w:iCs/>
          <w:color w:val="auto"/>
          <w:sz w:val="20"/>
          <w:szCs w:val="20"/>
          <w:shd w:val="clear" w:color="auto" w:fill="FFFFFF"/>
        </w:rPr>
        <w:t>Nature Climate Change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5</w:t>
      </w:r>
      <w:r w:rsidRPr="00C3645A">
        <w:rPr>
          <w:rFonts w:ascii="Arial" w:hAnsi="Arial" w:cs="Arial"/>
          <w:color w:val="auto"/>
          <w:sz w:val="20"/>
          <w:szCs w:val="20"/>
          <w:shd w:val="clear" w:color="auto" w:fill="FFFFFF"/>
        </w:rPr>
        <w:t xml:space="preserve">(9), 830-836. </w:t>
      </w:r>
      <w:hyperlink r:id="rId60" w:history="1">
        <w:r w:rsidR="00481AA0" w:rsidRPr="00C3645A">
          <w:rPr>
            <w:rStyle w:val="Lienhypertexte"/>
            <w:rFonts w:ascii="Arial" w:hAnsi="Arial" w:cs="Arial"/>
            <w:color w:val="auto"/>
            <w:sz w:val="20"/>
            <w:szCs w:val="20"/>
            <w:u w:val="none"/>
            <w:shd w:val="clear" w:color="auto" w:fill="FFFFFF"/>
          </w:rPr>
          <w:t>https://doi.org/10.1038/nclimate2754</w:t>
        </w:r>
      </w:hyperlink>
    </w:p>
    <w:p w14:paraId="1D397B6B" w14:textId="3D1E680E" w:rsidR="005A1562" w:rsidRPr="00C3645A" w:rsidRDefault="005A1562" w:rsidP="000317D2">
      <w:pPr>
        <w:pStyle w:val="PubliManuscript"/>
        <w:spacing w:line="276" w:lineRule="auto"/>
        <w:ind w:firstLine="0"/>
        <w:rPr>
          <w:rStyle w:val="Lienhypertexte"/>
          <w:rFonts w:ascii="Arial" w:hAnsi="Arial" w:cs="Arial"/>
          <w:color w:val="auto"/>
          <w:sz w:val="20"/>
          <w:szCs w:val="20"/>
          <w:u w:val="none"/>
          <w:shd w:val="clear" w:color="auto" w:fill="FFFFFF"/>
        </w:rPr>
      </w:pPr>
      <w:proofErr w:type="spellStart"/>
      <w:r w:rsidRPr="00C3645A">
        <w:rPr>
          <w:rFonts w:ascii="Arial" w:hAnsi="Arial" w:cs="Arial"/>
          <w:color w:val="auto"/>
          <w:sz w:val="20"/>
          <w:szCs w:val="20"/>
          <w:shd w:val="clear" w:color="auto" w:fill="FFFFFF"/>
        </w:rPr>
        <w:t>Toreti</w:t>
      </w:r>
      <w:proofErr w:type="spellEnd"/>
      <w:r w:rsidRPr="00C3645A">
        <w:rPr>
          <w:rFonts w:ascii="Arial" w:hAnsi="Arial" w:cs="Arial"/>
          <w:color w:val="auto"/>
          <w:sz w:val="20"/>
          <w:szCs w:val="20"/>
          <w:shd w:val="clear" w:color="auto" w:fill="FFFFFF"/>
        </w:rPr>
        <w:t xml:space="preserve">, A., </w:t>
      </w:r>
      <w:proofErr w:type="spellStart"/>
      <w:r w:rsidRPr="00C3645A">
        <w:rPr>
          <w:rFonts w:ascii="Arial" w:hAnsi="Arial" w:cs="Arial"/>
          <w:color w:val="auto"/>
          <w:sz w:val="20"/>
          <w:szCs w:val="20"/>
          <w:shd w:val="clear" w:color="auto" w:fill="FFFFFF"/>
        </w:rPr>
        <w:t>Deryng</w:t>
      </w:r>
      <w:proofErr w:type="spellEnd"/>
      <w:r w:rsidRPr="00C3645A">
        <w:rPr>
          <w:rFonts w:ascii="Arial" w:hAnsi="Arial" w:cs="Arial"/>
          <w:color w:val="auto"/>
          <w:sz w:val="20"/>
          <w:szCs w:val="20"/>
          <w:shd w:val="clear" w:color="auto" w:fill="FFFFFF"/>
        </w:rPr>
        <w:t xml:space="preserve">, D., </w:t>
      </w:r>
      <w:proofErr w:type="spellStart"/>
      <w:r w:rsidRPr="00C3645A">
        <w:rPr>
          <w:rFonts w:ascii="Arial" w:hAnsi="Arial" w:cs="Arial"/>
          <w:color w:val="auto"/>
          <w:sz w:val="20"/>
          <w:szCs w:val="20"/>
          <w:shd w:val="clear" w:color="auto" w:fill="FFFFFF"/>
        </w:rPr>
        <w:t>Tubiello</w:t>
      </w:r>
      <w:proofErr w:type="spellEnd"/>
      <w:r w:rsidRPr="00C3645A">
        <w:rPr>
          <w:rFonts w:ascii="Arial" w:hAnsi="Arial" w:cs="Arial"/>
          <w:color w:val="auto"/>
          <w:sz w:val="20"/>
          <w:szCs w:val="20"/>
          <w:shd w:val="clear" w:color="auto" w:fill="FFFFFF"/>
        </w:rPr>
        <w:t>, F. N., Müller, C., Kimball, B. A., Moser, G., ... &amp; Rosenzweig, C. (2020). Narrowing uncertainties in the effects of elevated CO2 on crops. </w:t>
      </w:r>
      <w:r w:rsidRPr="00C3645A">
        <w:rPr>
          <w:rFonts w:ascii="Arial" w:hAnsi="Arial" w:cs="Arial"/>
          <w:i/>
          <w:iCs/>
          <w:color w:val="auto"/>
          <w:sz w:val="20"/>
          <w:szCs w:val="20"/>
          <w:shd w:val="clear" w:color="auto" w:fill="FFFFFF"/>
        </w:rPr>
        <w:t>Nature Food</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w:t>
      </w:r>
      <w:r w:rsidRPr="00C3645A">
        <w:rPr>
          <w:rFonts w:ascii="Arial" w:hAnsi="Arial" w:cs="Arial"/>
          <w:color w:val="auto"/>
          <w:sz w:val="20"/>
          <w:szCs w:val="20"/>
          <w:shd w:val="clear" w:color="auto" w:fill="FFFFFF"/>
        </w:rPr>
        <w:t>(12), 775-782.</w:t>
      </w:r>
    </w:p>
    <w:p w14:paraId="5D9BED8F" w14:textId="0B46372A" w:rsidR="00E731E4" w:rsidRPr="00C3645A" w:rsidRDefault="00E731E4" w:rsidP="000317D2">
      <w:pPr>
        <w:pStyle w:val="PubliManuscript"/>
        <w:spacing w:line="276" w:lineRule="auto"/>
        <w:ind w:firstLine="0"/>
        <w:rPr>
          <w:rFonts w:ascii="Arial" w:hAnsi="Arial" w:cs="Arial"/>
          <w:color w:val="auto"/>
          <w:sz w:val="20"/>
          <w:szCs w:val="20"/>
          <w:shd w:val="clear" w:color="auto" w:fill="FFFFFF"/>
        </w:rPr>
      </w:pPr>
      <w:proofErr w:type="spellStart"/>
      <w:r w:rsidRPr="00C3645A">
        <w:rPr>
          <w:rFonts w:ascii="Arial" w:hAnsi="Arial" w:cs="Arial"/>
          <w:color w:val="auto"/>
          <w:sz w:val="20"/>
          <w:szCs w:val="20"/>
          <w:shd w:val="clear" w:color="auto" w:fill="FFFFFF"/>
        </w:rPr>
        <w:t>Tubiello</w:t>
      </w:r>
      <w:proofErr w:type="spellEnd"/>
      <w:r w:rsidRPr="00C3645A">
        <w:rPr>
          <w:rFonts w:ascii="Arial" w:hAnsi="Arial" w:cs="Arial"/>
          <w:color w:val="auto"/>
          <w:sz w:val="20"/>
          <w:szCs w:val="20"/>
          <w:shd w:val="clear" w:color="auto" w:fill="FFFFFF"/>
        </w:rPr>
        <w:t xml:space="preserve">, F. N., </w:t>
      </w:r>
      <w:proofErr w:type="spellStart"/>
      <w:r w:rsidRPr="00C3645A">
        <w:rPr>
          <w:rFonts w:ascii="Arial" w:hAnsi="Arial" w:cs="Arial"/>
          <w:color w:val="auto"/>
          <w:sz w:val="20"/>
          <w:szCs w:val="20"/>
          <w:shd w:val="clear" w:color="auto" w:fill="FFFFFF"/>
        </w:rPr>
        <w:t>Soussana</w:t>
      </w:r>
      <w:proofErr w:type="spellEnd"/>
      <w:r w:rsidRPr="00C3645A">
        <w:rPr>
          <w:rFonts w:ascii="Arial" w:hAnsi="Arial" w:cs="Arial"/>
          <w:color w:val="auto"/>
          <w:sz w:val="20"/>
          <w:szCs w:val="20"/>
          <w:shd w:val="clear" w:color="auto" w:fill="FFFFFF"/>
        </w:rPr>
        <w:t>, J. F., &amp; Howden, S. M. (2007). Crop and pasture response to climate change. </w:t>
      </w:r>
      <w:r w:rsidRPr="00C3645A">
        <w:rPr>
          <w:rFonts w:ascii="Arial" w:hAnsi="Arial" w:cs="Arial"/>
          <w:i/>
          <w:iCs/>
          <w:color w:val="auto"/>
          <w:sz w:val="20"/>
          <w:szCs w:val="20"/>
          <w:shd w:val="clear" w:color="auto" w:fill="FFFFFF"/>
        </w:rPr>
        <w:t>Proceedings of the National Academy of Sciences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104</w:t>
      </w:r>
      <w:r w:rsidRPr="00C3645A">
        <w:rPr>
          <w:rFonts w:ascii="Arial" w:hAnsi="Arial" w:cs="Arial"/>
          <w:color w:val="auto"/>
          <w:sz w:val="20"/>
          <w:szCs w:val="20"/>
          <w:shd w:val="clear" w:color="auto" w:fill="FFFFFF"/>
        </w:rPr>
        <w:t xml:space="preserve">(50), 19686-19690. </w:t>
      </w:r>
      <w:hyperlink r:id="rId61" w:history="1">
        <w:r w:rsidR="000C70D3" w:rsidRPr="00C3645A">
          <w:rPr>
            <w:rStyle w:val="Lienhypertexte"/>
            <w:rFonts w:ascii="Arial" w:hAnsi="Arial" w:cs="Arial"/>
            <w:color w:val="auto"/>
            <w:sz w:val="20"/>
            <w:szCs w:val="20"/>
            <w:u w:val="none"/>
            <w:shd w:val="clear" w:color="auto" w:fill="FFFFFF"/>
          </w:rPr>
          <w:t>https://doi.org/10.1073/pnas.0701728104</w:t>
        </w:r>
      </w:hyperlink>
    </w:p>
    <w:p w14:paraId="17A4F968" w14:textId="39E46A24" w:rsidR="00481AA0" w:rsidRPr="00C3645A" w:rsidRDefault="00481AA0" w:rsidP="000317D2">
      <w:pPr>
        <w:pStyle w:val="PubliManuscript"/>
        <w:spacing w:line="276"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USDA (2019). USDA National Nutrient Database for Standard Reference. (Retrieved from https://fdc.nal.usda.gov/index.html)</w:t>
      </w:r>
    </w:p>
    <w:p w14:paraId="05899686" w14:textId="62B3299E" w:rsidR="00C72188" w:rsidRPr="00C3645A" w:rsidRDefault="00C72188"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lang w:val="nl-NL"/>
        </w:rPr>
        <w:t xml:space="preserve">Verhoeven, J. T., </w:t>
      </w:r>
      <w:proofErr w:type="spellStart"/>
      <w:r w:rsidRPr="00C3645A">
        <w:rPr>
          <w:rFonts w:ascii="Arial" w:hAnsi="Arial" w:cs="Arial"/>
          <w:color w:val="auto"/>
          <w:sz w:val="20"/>
          <w:szCs w:val="20"/>
          <w:shd w:val="clear" w:color="auto" w:fill="FFFFFF"/>
          <w:lang w:val="nl-NL"/>
        </w:rPr>
        <w:t>Arheimer</w:t>
      </w:r>
      <w:proofErr w:type="spellEnd"/>
      <w:r w:rsidRPr="00C3645A">
        <w:rPr>
          <w:rFonts w:ascii="Arial" w:hAnsi="Arial" w:cs="Arial"/>
          <w:color w:val="auto"/>
          <w:sz w:val="20"/>
          <w:szCs w:val="20"/>
          <w:shd w:val="clear" w:color="auto" w:fill="FFFFFF"/>
          <w:lang w:val="nl-NL"/>
        </w:rPr>
        <w:t xml:space="preserve">, B., Yin, C., &amp; </w:t>
      </w:r>
      <w:proofErr w:type="spellStart"/>
      <w:r w:rsidRPr="00C3645A">
        <w:rPr>
          <w:rFonts w:ascii="Arial" w:hAnsi="Arial" w:cs="Arial"/>
          <w:color w:val="auto"/>
          <w:sz w:val="20"/>
          <w:szCs w:val="20"/>
          <w:shd w:val="clear" w:color="auto" w:fill="FFFFFF"/>
          <w:lang w:val="nl-NL"/>
        </w:rPr>
        <w:t>Hefting</w:t>
      </w:r>
      <w:proofErr w:type="spellEnd"/>
      <w:r w:rsidRPr="00C3645A">
        <w:rPr>
          <w:rFonts w:ascii="Arial" w:hAnsi="Arial" w:cs="Arial"/>
          <w:color w:val="auto"/>
          <w:sz w:val="20"/>
          <w:szCs w:val="20"/>
          <w:shd w:val="clear" w:color="auto" w:fill="FFFFFF"/>
          <w:lang w:val="nl-NL"/>
        </w:rPr>
        <w:t xml:space="preserve">, M. M. (2006). </w:t>
      </w:r>
      <w:r w:rsidRPr="00C3645A">
        <w:rPr>
          <w:rFonts w:ascii="Arial" w:hAnsi="Arial" w:cs="Arial"/>
          <w:color w:val="auto"/>
          <w:sz w:val="20"/>
          <w:szCs w:val="20"/>
          <w:shd w:val="clear" w:color="auto" w:fill="FFFFFF"/>
        </w:rPr>
        <w:t>Regional and global concerns over wetlands and water quality. </w:t>
      </w:r>
      <w:r w:rsidRPr="00C3645A">
        <w:rPr>
          <w:rFonts w:ascii="Arial" w:hAnsi="Arial" w:cs="Arial"/>
          <w:i/>
          <w:iCs/>
          <w:color w:val="auto"/>
          <w:sz w:val="20"/>
          <w:szCs w:val="20"/>
          <w:shd w:val="clear" w:color="auto" w:fill="FFFFFF"/>
        </w:rPr>
        <w:t>Trends in ecology &amp; evolution</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21</w:t>
      </w:r>
      <w:r w:rsidRPr="00C3645A">
        <w:rPr>
          <w:rFonts w:ascii="Arial" w:hAnsi="Arial" w:cs="Arial"/>
          <w:color w:val="auto"/>
          <w:sz w:val="20"/>
          <w:szCs w:val="20"/>
          <w:shd w:val="clear" w:color="auto" w:fill="FFFFFF"/>
        </w:rPr>
        <w:t xml:space="preserve">(2), 96-103. </w:t>
      </w:r>
      <w:hyperlink r:id="rId62" w:tgtFrame="_blank" w:tooltip="Persistent link using digital object identifier" w:history="1">
        <w:r w:rsidR="0054735C" w:rsidRPr="00C3645A">
          <w:rPr>
            <w:rStyle w:val="anchor-text"/>
            <w:rFonts w:ascii="Arial" w:hAnsi="Arial" w:cs="Arial"/>
            <w:color w:val="auto"/>
            <w:sz w:val="20"/>
            <w:szCs w:val="20"/>
          </w:rPr>
          <w:t>https://doi.org/10.1016/j.tree.2005.11.015</w:t>
        </w:r>
      </w:hyperlink>
    </w:p>
    <w:p w14:paraId="1ED55023" w14:textId="77777777" w:rsidR="008A4D6E" w:rsidRPr="00C3645A" w:rsidRDefault="008A4D6E" w:rsidP="000317D2">
      <w:pPr>
        <w:pStyle w:val="PubliManuscript"/>
        <w:spacing w:line="240" w:lineRule="auto"/>
        <w:ind w:firstLine="0"/>
        <w:rPr>
          <w:rFonts w:ascii="Arial" w:hAnsi="Arial" w:cs="Arial"/>
          <w:color w:val="auto"/>
          <w:sz w:val="20"/>
          <w:szCs w:val="20"/>
          <w:shd w:val="clear" w:color="auto" w:fill="FFFFFF"/>
        </w:rPr>
      </w:pPr>
      <w:r w:rsidRPr="00C3645A">
        <w:rPr>
          <w:rFonts w:ascii="Arial" w:hAnsi="Arial" w:cs="Arial"/>
          <w:color w:val="auto"/>
          <w:sz w:val="20"/>
          <w:szCs w:val="20"/>
          <w:shd w:val="clear" w:color="auto" w:fill="FFFFFF"/>
        </w:rPr>
        <w:t xml:space="preserve">Vicente-Serrano, S. M., </w:t>
      </w:r>
      <w:proofErr w:type="spellStart"/>
      <w:r w:rsidRPr="00C3645A">
        <w:rPr>
          <w:rFonts w:ascii="Arial" w:hAnsi="Arial" w:cs="Arial"/>
          <w:color w:val="auto"/>
          <w:sz w:val="20"/>
          <w:szCs w:val="20"/>
          <w:shd w:val="clear" w:color="auto" w:fill="FFFFFF"/>
        </w:rPr>
        <w:t>Beguería</w:t>
      </w:r>
      <w:proofErr w:type="spellEnd"/>
      <w:r w:rsidRPr="00C3645A">
        <w:rPr>
          <w:rFonts w:ascii="Arial" w:hAnsi="Arial" w:cs="Arial"/>
          <w:color w:val="auto"/>
          <w:sz w:val="20"/>
          <w:szCs w:val="20"/>
          <w:shd w:val="clear" w:color="auto" w:fill="FFFFFF"/>
        </w:rPr>
        <w:t xml:space="preserve">, S., &amp; López-Moreno, J. I. (2010). A </w:t>
      </w:r>
      <w:proofErr w:type="spellStart"/>
      <w:r w:rsidRPr="00C3645A">
        <w:rPr>
          <w:rFonts w:ascii="Arial" w:hAnsi="Arial" w:cs="Arial"/>
          <w:color w:val="auto"/>
          <w:sz w:val="20"/>
          <w:szCs w:val="20"/>
          <w:shd w:val="clear" w:color="auto" w:fill="FFFFFF"/>
        </w:rPr>
        <w:t>multiscalar</w:t>
      </w:r>
      <w:proofErr w:type="spellEnd"/>
      <w:r w:rsidRPr="00C3645A">
        <w:rPr>
          <w:rFonts w:ascii="Arial" w:hAnsi="Arial" w:cs="Arial"/>
          <w:color w:val="auto"/>
          <w:sz w:val="20"/>
          <w:szCs w:val="20"/>
          <w:shd w:val="clear" w:color="auto" w:fill="FFFFFF"/>
        </w:rPr>
        <w:t xml:space="preserve"> drought index sensitive to global warming: the standardized precipitation evapotranspiration index. </w:t>
      </w:r>
      <w:r w:rsidRPr="00C3645A">
        <w:rPr>
          <w:rFonts w:ascii="Arial" w:hAnsi="Arial" w:cs="Arial"/>
          <w:i/>
          <w:iCs/>
          <w:color w:val="auto"/>
          <w:sz w:val="20"/>
          <w:szCs w:val="20"/>
          <w:shd w:val="clear" w:color="auto" w:fill="FFFFFF"/>
        </w:rPr>
        <w:t>Journal of climate</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23</w:t>
      </w:r>
      <w:r w:rsidRPr="00C3645A">
        <w:rPr>
          <w:rFonts w:ascii="Arial" w:hAnsi="Arial" w:cs="Arial"/>
          <w:color w:val="auto"/>
          <w:sz w:val="20"/>
          <w:szCs w:val="20"/>
          <w:shd w:val="clear" w:color="auto" w:fill="FFFFFF"/>
        </w:rPr>
        <w:t xml:space="preserve">(7), 1696-1718. </w:t>
      </w:r>
      <w:hyperlink r:id="rId63" w:tgtFrame="_blank" w:history="1">
        <w:r w:rsidRPr="00C3645A">
          <w:rPr>
            <w:rFonts w:ascii="Arial" w:hAnsi="Arial" w:cs="Arial"/>
            <w:color w:val="auto"/>
            <w:sz w:val="20"/>
            <w:szCs w:val="20"/>
            <w:shd w:val="clear" w:color="auto" w:fill="FFFFFF"/>
          </w:rPr>
          <w:t>https://doi.org/10.1175/2009JCLI2909.1</w:t>
        </w:r>
      </w:hyperlink>
    </w:p>
    <w:p w14:paraId="10CCD198" w14:textId="77777777" w:rsidR="00CB23E5" w:rsidRPr="00C3645A" w:rsidRDefault="00A25F84" w:rsidP="003D1E91">
      <w:pPr>
        <w:pStyle w:val="PubliManuscript"/>
        <w:spacing w:line="240" w:lineRule="auto"/>
        <w:ind w:firstLine="0"/>
        <w:rPr>
          <w:rStyle w:val="anchor-text"/>
          <w:rFonts w:ascii="Arial" w:hAnsi="Arial" w:cs="Arial"/>
          <w:color w:val="auto"/>
          <w:sz w:val="20"/>
          <w:szCs w:val="20"/>
        </w:rPr>
      </w:pPr>
      <w:r w:rsidRPr="00C3645A">
        <w:rPr>
          <w:rFonts w:ascii="Arial" w:hAnsi="Arial" w:cs="Arial"/>
          <w:color w:val="auto"/>
          <w:sz w:val="20"/>
          <w:szCs w:val="20"/>
          <w:shd w:val="clear" w:color="auto" w:fill="FFFFFF"/>
        </w:rPr>
        <w:t>Wen, J., Zhao, X. X., &amp; Chang, C. P. (2021). The impact of extreme events on energy price risk. </w:t>
      </w:r>
      <w:r w:rsidRPr="00C3645A">
        <w:rPr>
          <w:rFonts w:ascii="Arial" w:hAnsi="Arial" w:cs="Arial"/>
          <w:i/>
          <w:iCs/>
          <w:color w:val="auto"/>
          <w:sz w:val="20"/>
          <w:szCs w:val="20"/>
          <w:shd w:val="clear" w:color="auto" w:fill="FFFFFF"/>
        </w:rPr>
        <w:t>Energy Economics</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99</w:t>
      </w:r>
      <w:r w:rsidRPr="00C3645A">
        <w:rPr>
          <w:rFonts w:ascii="Arial" w:hAnsi="Arial" w:cs="Arial"/>
          <w:color w:val="auto"/>
          <w:sz w:val="20"/>
          <w:szCs w:val="20"/>
          <w:shd w:val="clear" w:color="auto" w:fill="FFFFFF"/>
        </w:rPr>
        <w:t xml:space="preserve">, 105308. </w:t>
      </w:r>
      <w:hyperlink r:id="rId64" w:tgtFrame="_blank" w:tooltip="Persistent link using digital object identifier" w:history="1">
        <w:r w:rsidRPr="00C3645A">
          <w:rPr>
            <w:rStyle w:val="anchor-text"/>
            <w:rFonts w:ascii="Arial" w:hAnsi="Arial" w:cs="Arial"/>
            <w:color w:val="auto"/>
            <w:sz w:val="20"/>
            <w:szCs w:val="20"/>
          </w:rPr>
          <w:t>https://doi.org/10.1016/j.eneco.2021.105308</w:t>
        </w:r>
      </w:hyperlink>
    </w:p>
    <w:p w14:paraId="498D60AB" w14:textId="4AB68D59" w:rsidR="00AD6896" w:rsidRPr="00C3645A" w:rsidRDefault="00CB23E5" w:rsidP="0099698D">
      <w:pPr>
        <w:spacing w:after="0" w:line="240" w:lineRule="auto"/>
        <w:jc w:val="both"/>
        <w:rPr>
          <w:rFonts w:ascii="Times New Roman" w:eastAsia="Times New Roman" w:hAnsi="Times New Roman"/>
          <w:color w:val="auto"/>
          <w:lang w:val="fr-BE"/>
        </w:rPr>
      </w:pPr>
      <w:r w:rsidRPr="00C3645A">
        <w:rPr>
          <w:rFonts w:ascii="Arial" w:hAnsi="Arial" w:cs="Arial"/>
          <w:color w:val="auto"/>
          <w:sz w:val="20"/>
          <w:szCs w:val="20"/>
          <w:shd w:val="clear" w:color="auto" w:fill="FFFFFF"/>
        </w:rPr>
        <w:t>Zanon, A. J., Streck, N. A., &amp; Grassini, P. (2016). Climate and management factors influence soybean yield potential in a subtropical environment. </w:t>
      </w:r>
      <w:r w:rsidRPr="00C3645A">
        <w:rPr>
          <w:rFonts w:ascii="Arial" w:hAnsi="Arial" w:cs="Arial"/>
          <w:i/>
          <w:iCs/>
          <w:color w:val="auto"/>
          <w:sz w:val="20"/>
          <w:szCs w:val="20"/>
          <w:shd w:val="clear" w:color="auto" w:fill="FFFFFF"/>
        </w:rPr>
        <w:t>Agronomy Journal</w:t>
      </w:r>
      <w:r w:rsidRPr="00C3645A">
        <w:rPr>
          <w:rFonts w:ascii="Arial" w:hAnsi="Arial" w:cs="Arial"/>
          <w:color w:val="auto"/>
          <w:sz w:val="20"/>
          <w:szCs w:val="20"/>
          <w:shd w:val="clear" w:color="auto" w:fill="FFFFFF"/>
        </w:rPr>
        <w:t>, </w:t>
      </w:r>
      <w:r w:rsidRPr="00C3645A">
        <w:rPr>
          <w:rFonts w:ascii="Arial" w:hAnsi="Arial" w:cs="Arial"/>
          <w:i/>
          <w:iCs/>
          <w:color w:val="auto"/>
          <w:sz w:val="20"/>
          <w:szCs w:val="20"/>
          <w:shd w:val="clear" w:color="auto" w:fill="FFFFFF"/>
        </w:rPr>
        <w:t>108</w:t>
      </w:r>
      <w:r w:rsidRPr="00C3645A">
        <w:rPr>
          <w:rFonts w:ascii="Arial" w:hAnsi="Arial" w:cs="Arial"/>
          <w:color w:val="auto"/>
          <w:sz w:val="20"/>
          <w:szCs w:val="20"/>
          <w:shd w:val="clear" w:color="auto" w:fill="FFFFFF"/>
        </w:rPr>
        <w:t>(4), 1447-1454.</w:t>
      </w:r>
      <w:r w:rsidR="0099698D" w:rsidRPr="00C3645A">
        <w:rPr>
          <w:rFonts w:ascii="Arial" w:hAnsi="Arial" w:cs="Arial"/>
          <w:color w:val="auto"/>
          <w:sz w:val="20"/>
          <w:szCs w:val="20"/>
          <w:shd w:val="clear" w:color="auto" w:fill="FFFFFF"/>
        </w:rPr>
        <w:t xml:space="preserve"> </w:t>
      </w:r>
      <w:hyperlink r:id="rId65" w:history="1">
        <w:r w:rsidR="0099698D" w:rsidRPr="00C3645A">
          <w:rPr>
            <w:rFonts w:ascii="Arial" w:hAnsi="Arial" w:cs="Arial"/>
            <w:color w:val="auto"/>
            <w:sz w:val="20"/>
            <w:szCs w:val="20"/>
            <w:shd w:val="clear" w:color="auto" w:fill="FFFFFF"/>
          </w:rPr>
          <w:t>https://doi.org/10.2134/agronj2015.0535</w:t>
        </w:r>
      </w:hyperlink>
      <w:r w:rsidR="00AD6896" w:rsidRPr="00C3645A">
        <w:rPr>
          <w:rFonts w:ascii="Arial" w:hAnsi="Arial" w:cs="Arial"/>
          <w:color w:val="auto"/>
          <w:sz w:val="20"/>
          <w:szCs w:val="20"/>
        </w:rPr>
        <w:br w:type="page"/>
      </w:r>
    </w:p>
    <w:p w14:paraId="4FC24F9F" w14:textId="77777777" w:rsidR="00AD6896" w:rsidRPr="00C3645A" w:rsidRDefault="00AD6896" w:rsidP="00AD6896">
      <w:pPr>
        <w:pStyle w:val="Publi1"/>
      </w:pPr>
      <w:bookmarkStart w:id="8" w:name="_Hlk152063851"/>
      <w:r w:rsidRPr="00C3645A">
        <w:lastRenderedPageBreak/>
        <w:t>Appendices</w:t>
      </w:r>
    </w:p>
    <w:p w14:paraId="4DAC7958" w14:textId="59DDA042" w:rsidR="00D612DB" w:rsidRPr="00C3645A" w:rsidRDefault="00A7386E" w:rsidP="00B254B6">
      <w:pPr>
        <w:pStyle w:val="Publi2"/>
        <w:numPr>
          <w:ilvl w:val="0"/>
          <w:numId w:val="9"/>
        </w:numPr>
        <w:rPr>
          <w:color w:val="auto"/>
        </w:rPr>
      </w:pPr>
      <w:r w:rsidRPr="00C3645A">
        <w:rPr>
          <w:color w:val="auto"/>
        </w:rPr>
        <w:t>Supplementary Tables and Figures</w:t>
      </w:r>
    </w:p>
    <w:p w14:paraId="78804AD0" w14:textId="77777777" w:rsidR="00D612DB" w:rsidRPr="00C3645A" w:rsidRDefault="00D612DB" w:rsidP="00D612DB">
      <w:pPr>
        <w:pStyle w:val="PubliManuscript"/>
        <w:spacing w:line="240" w:lineRule="auto"/>
        <w:ind w:firstLine="0"/>
        <w:jc w:val="center"/>
        <w:rPr>
          <w:b/>
          <w:bCs/>
          <w:color w:val="auto"/>
        </w:rPr>
      </w:pPr>
      <w:r w:rsidRPr="00C3645A">
        <w:rPr>
          <w:noProof/>
          <w:color w:val="auto"/>
        </w:rPr>
        <w:drawing>
          <wp:inline distT="0" distB="0" distL="0" distR="0" wp14:anchorId="12CB8054" wp14:editId="21AA85E8">
            <wp:extent cx="5759526" cy="4072890"/>
            <wp:effectExtent l="0" t="0" r="0" b="0"/>
            <wp:docPr id="16103304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0481" name="Imag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759526" cy="4072890"/>
                    </a:xfrm>
                    <a:prstGeom prst="rect">
                      <a:avLst/>
                    </a:prstGeom>
                    <a:noFill/>
                    <a:ln>
                      <a:noFill/>
                    </a:ln>
                  </pic:spPr>
                </pic:pic>
              </a:graphicData>
            </a:graphic>
          </wp:inline>
        </w:drawing>
      </w:r>
    </w:p>
    <w:p w14:paraId="7C775984" w14:textId="1B6243B6" w:rsidR="001A3284" w:rsidRPr="00C3645A" w:rsidRDefault="00D612DB" w:rsidP="00567502">
      <w:pPr>
        <w:pStyle w:val="PubliManuscript"/>
        <w:spacing w:line="240" w:lineRule="auto"/>
        <w:ind w:firstLine="0"/>
        <w:rPr>
          <w:b/>
          <w:bCs/>
          <w:color w:val="auto"/>
        </w:rPr>
      </w:pPr>
      <w:r w:rsidRPr="00C3645A">
        <w:rPr>
          <w:b/>
          <w:bCs/>
          <w:color w:val="auto"/>
        </w:rPr>
        <w:t xml:space="preserve">Figure A1. Weather data (daily rainfall and temperatures averaged over each month) in historical and future climatic conditions. </w:t>
      </w:r>
      <w:r w:rsidR="00AD2D0A" w:rsidRPr="00C3645A">
        <w:rPr>
          <w:b/>
          <w:bCs/>
          <w:color w:val="auto"/>
        </w:rPr>
        <w:t>Pastures</w:t>
      </w:r>
      <w:r w:rsidRPr="00C3645A">
        <w:rPr>
          <w:b/>
          <w:bCs/>
          <w:color w:val="auto"/>
        </w:rPr>
        <w:t xml:space="preserve"> usually take place from April to November and soybean </w:t>
      </w:r>
      <w:r w:rsidR="00483965" w:rsidRPr="00C3645A">
        <w:rPr>
          <w:b/>
          <w:bCs/>
          <w:color w:val="auto"/>
        </w:rPr>
        <w:t xml:space="preserve">crops </w:t>
      </w:r>
      <w:r w:rsidRPr="00C3645A">
        <w:rPr>
          <w:b/>
          <w:bCs/>
          <w:color w:val="auto"/>
        </w:rPr>
        <w:t>from November to April.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1"/>
      </w:tblGrid>
      <w:tr w:rsidR="00C3645A" w:rsidRPr="00C3645A" w14:paraId="3C16D60C" w14:textId="77777777" w:rsidTr="001655AB">
        <w:trPr>
          <w:trHeight w:hRule="exact" w:val="851"/>
          <w:jc w:val="center"/>
        </w:trPr>
        <w:tc>
          <w:tcPr>
            <w:tcW w:w="1510" w:type="dxa"/>
            <w:shd w:val="clear" w:color="auto" w:fill="D9D9D9" w:themeFill="background1" w:themeFillShade="D9"/>
          </w:tcPr>
          <w:p w14:paraId="6C7555E2" w14:textId="77777777" w:rsidR="00AD6896" w:rsidRPr="00C3645A" w:rsidRDefault="00AD6896" w:rsidP="003F7EB8">
            <w:pPr>
              <w:pStyle w:val="PubliManuscript"/>
              <w:spacing w:line="240" w:lineRule="auto"/>
              <w:ind w:firstLine="0"/>
              <w:jc w:val="center"/>
              <w:rPr>
                <w:color w:val="auto"/>
              </w:rPr>
            </w:pPr>
            <w:r w:rsidRPr="00C3645A">
              <w:rPr>
                <w:color w:val="auto"/>
              </w:rPr>
              <w:t>Intensity of grazing [cm]</w:t>
            </w:r>
          </w:p>
        </w:tc>
        <w:tc>
          <w:tcPr>
            <w:tcW w:w="1510" w:type="dxa"/>
            <w:shd w:val="clear" w:color="auto" w:fill="D9D9D9" w:themeFill="background1" w:themeFillShade="D9"/>
          </w:tcPr>
          <w:p w14:paraId="6C6CB81C" w14:textId="77777777" w:rsidR="00AD6896" w:rsidRPr="00C3645A" w:rsidRDefault="00AD6896" w:rsidP="003F7EB8">
            <w:pPr>
              <w:pStyle w:val="PubliManuscript"/>
              <w:spacing w:line="240" w:lineRule="auto"/>
              <w:ind w:firstLine="0"/>
              <w:jc w:val="center"/>
              <w:rPr>
                <w:color w:val="auto"/>
              </w:rPr>
            </w:pPr>
            <w:r w:rsidRPr="00C3645A">
              <w:rPr>
                <w:color w:val="auto"/>
              </w:rPr>
              <w:t>10</w:t>
            </w:r>
          </w:p>
        </w:tc>
        <w:tc>
          <w:tcPr>
            <w:tcW w:w="1510" w:type="dxa"/>
            <w:shd w:val="clear" w:color="auto" w:fill="D9D9D9" w:themeFill="background1" w:themeFillShade="D9"/>
          </w:tcPr>
          <w:p w14:paraId="21DFF180" w14:textId="77777777" w:rsidR="00AD6896" w:rsidRPr="00C3645A" w:rsidRDefault="00AD6896" w:rsidP="003F7EB8">
            <w:pPr>
              <w:pStyle w:val="PubliManuscript"/>
              <w:spacing w:line="240" w:lineRule="auto"/>
              <w:ind w:firstLine="0"/>
              <w:jc w:val="center"/>
              <w:rPr>
                <w:color w:val="auto"/>
              </w:rPr>
            </w:pPr>
            <w:r w:rsidRPr="00C3645A">
              <w:rPr>
                <w:color w:val="auto"/>
              </w:rPr>
              <w:t>20</w:t>
            </w:r>
          </w:p>
        </w:tc>
        <w:tc>
          <w:tcPr>
            <w:tcW w:w="1510" w:type="dxa"/>
            <w:shd w:val="clear" w:color="auto" w:fill="D9D9D9" w:themeFill="background1" w:themeFillShade="D9"/>
          </w:tcPr>
          <w:p w14:paraId="2740818F" w14:textId="77777777" w:rsidR="00AD6896" w:rsidRPr="00C3645A" w:rsidRDefault="00AD6896" w:rsidP="003F7EB8">
            <w:pPr>
              <w:pStyle w:val="PubliManuscript"/>
              <w:spacing w:line="240" w:lineRule="auto"/>
              <w:ind w:firstLine="0"/>
              <w:jc w:val="center"/>
              <w:rPr>
                <w:color w:val="auto"/>
              </w:rPr>
            </w:pPr>
            <w:r w:rsidRPr="00C3645A">
              <w:rPr>
                <w:color w:val="auto"/>
              </w:rPr>
              <w:t>30</w:t>
            </w:r>
          </w:p>
        </w:tc>
        <w:tc>
          <w:tcPr>
            <w:tcW w:w="1511" w:type="dxa"/>
            <w:shd w:val="clear" w:color="auto" w:fill="D9D9D9" w:themeFill="background1" w:themeFillShade="D9"/>
          </w:tcPr>
          <w:p w14:paraId="70B71E6B" w14:textId="77777777" w:rsidR="00AD6896" w:rsidRPr="00C3645A" w:rsidRDefault="00AD6896" w:rsidP="003F7EB8">
            <w:pPr>
              <w:pStyle w:val="PubliManuscript"/>
              <w:spacing w:line="240" w:lineRule="auto"/>
              <w:ind w:firstLine="0"/>
              <w:jc w:val="center"/>
              <w:rPr>
                <w:color w:val="auto"/>
              </w:rPr>
            </w:pPr>
            <w:r w:rsidRPr="00C3645A">
              <w:rPr>
                <w:color w:val="auto"/>
              </w:rPr>
              <w:t>40</w:t>
            </w:r>
          </w:p>
        </w:tc>
      </w:tr>
      <w:tr w:rsidR="00C3645A" w:rsidRPr="00C3645A" w14:paraId="3888203C" w14:textId="77777777" w:rsidTr="001655AB">
        <w:trPr>
          <w:trHeight w:hRule="exact" w:val="1134"/>
          <w:jc w:val="center"/>
        </w:trPr>
        <w:tc>
          <w:tcPr>
            <w:tcW w:w="1510" w:type="dxa"/>
            <w:shd w:val="clear" w:color="auto" w:fill="D9D9D9" w:themeFill="background1" w:themeFillShade="D9"/>
          </w:tcPr>
          <w:p w14:paraId="531E68D8" w14:textId="77777777" w:rsidR="00AD6896" w:rsidRPr="00C3645A" w:rsidRDefault="00AD6896" w:rsidP="003F7EB8">
            <w:pPr>
              <w:pStyle w:val="PubliManuscript"/>
              <w:spacing w:line="240" w:lineRule="auto"/>
              <w:ind w:firstLine="0"/>
              <w:jc w:val="center"/>
              <w:rPr>
                <w:color w:val="auto"/>
              </w:rPr>
            </w:pPr>
            <w:r w:rsidRPr="00C3645A">
              <w:rPr>
                <w:color w:val="auto"/>
              </w:rPr>
              <w:t>Time between successive cuts [days]</w:t>
            </w:r>
          </w:p>
        </w:tc>
        <w:tc>
          <w:tcPr>
            <w:tcW w:w="1510" w:type="dxa"/>
          </w:tcPr>
          <w:p w14:paraId="50A9022E" w14:textId="77777777" w:rsidR="00AD6896" w:rsidRPr="00C3645A" w:rsidRDefault="00AD6896" w:rsidP="003F7EB8">
            <w:pPr>
              <w:pStyle w:val="PubliManuscript"/>
              <w:spacing w:line="240" w:lineRule="auto"/>
              <w:ind w:firstLine="0"/>
              <w:jc w:val="center"/>
              <w:rPr>
                <w:color w:val="auto"/>
              </w:rPr>
            </w:pPr>
            <w:r w:rsidRPr="00C3645A">
              <w:rPr>
                <w:color w:val="auto"/>
              </w:rPr>
              <w:t>7</w:t>
            </w:r>
          </w:p>
        </w:tc>
        <w:tc>
          <w:tcPr>
            <w:tcW w:w="1510" w:type="dxa"/>
          </w:tcPr>
          <w:p w14:paraId="7EC58522" w14:textId="77777777" w:rsidR="00AD6896" w:rsidRPr="00C3645A" w:rsidRDefault="00AD6896" w:rsidP="003F7EB8">
            <w:pPr>
              <w:pStyle w:val="PubliManuscript"/>
              <w:spacing w:line="240" w:lineRule="auto"/>
              <w:ind w:firstLine="0"/>
              <w:jc w:val="center"/>
              <w:rPr>
                <w:color w:val="auto"/>
              </w:rPr>
            </w:pPr>
            <w:r w:rsidRPr="00C3645A">
              <w:rPr>
                <w:color w:val="auto"/>
              </w:rPr>
              <w:t>15</w:t>
            </w:r>
          </w:p>
        </w:tc>
        <w:tc>
          <w:tcPr>
            <w:tcW w:w="1510" w:type="dxa"/>
          </w:tcPr>
          <w:p w14:paraId="7A91752A" w14:textId="77777777" w:rsidR="00AD6896" w:rsidRPr="00C3645A" w:rsidRDefault="00AD6896" w:rsidP="003F7EB8">
            <w:pPr>
              <w:pStyle w:val="PubliManuscript"/>
              <w:spacing w:line="240" w:lineRule="auto"/>
              <w:ind w:firstLine="0"/>
              <w:jc w:val="center"/>
              <w:rPr>
                <w:color w:val="auto"/>
              </w:rPr>
            </w:pPr>
            <w:r w:rsidRPr="00C3645A">
              <w:rPr>
                <w:color w:val="auto"/>
              </w:rPr>
              <w:t>23</w:t>
            </w:r>
          </w:p>
        </w:tc>
        <w:tc>
          <w:tcPr>
            <w:tcW w:w="1511" w:type="dxa"/>
          </w:tcPr>
          <w:p w14:paraId="3948CA5D" w14:textId="77777777" w:rsidR="00AD6896" w:rsidRPr="00C3645A" w:rsidRDefault="00AD6896" w:rsidP="003F7EB8">
            <w:pPr>
              <w:pStyle w:val="PubliManuscript"/>
              <w:spacing w:line="240" w:lineRule="auto"/>
              <w:ind w:firstLine="0"/>
              <w:jc w:val="center"/>
              <w:rPr>
                <w:color w:val="auto"/>
              </w:rPr>
            </w:pPr>
            <w:r w:rsidRPr="00C3645A">
              <w:rPr>
                <w:color w:val="auto"/>
              </w:rPr>
              <w:t>33</w:t>
            </w:r>
          </w:p>
        </w:tc>
      </w:tr>
      <w:tr w:rsidR="00C3645A" w:rsidRPr="00C3645A" w14:paraId="6A5F3364" w14:textId="77777777" w:rsidTr="001655AB">
        <w:trPr>
          <w:trHeight w:hRule="exact" w:val="1134"/>
          <w:jc w:val="center"/>
        </w:trPr>
        <w:tc>
          <w:tcPr>
            <w:tcW w:w="1510" w:type="dxa"/>
            <w:shd w:val="clear" w:color="auto" w:fill="D9D9D9" w:themeFill="background1" w:themeFillShade="D9"/>
          </w:tcPr>
          <w:p w14:paraId="59497E74" w14:textId="77777777" w:rsidR="00AD6896" w:rsidRPr="00C3645A" w:rsidRDefault="00AD6896" w:rsidP="003F7EB8">
            <w:pPr>
              <w:pStyle w:val="PubliManuscript"/>
              <w:spacing w:line="240" w:lineRule="auto"/>
              <w:ind w:firstLine="0"/>
              <w:jc w:val="center"/>
              <w:rPr>
                <w:color w:val="auto"/>
              </w:rPr>
            </w:pPr>
            <w:r w:rsidRPr="00C3645A">
              <w:rPr>
                <w:color w:val="auto"/>
              </w:rPr>
              <w:t>Sward height after the cut [cm]</w:t>
            </w:r>
          </w:p>
        </w:tc>
        <w:tc>
          <w:tcPr>
            <w:tcW w:w="1510" w:type="dxa"/>
          </w:tcPr>
          <w:p w14:paraId="73850E1D" w14:textId="77777777" w:rsidR="00AD6896" w:rsidRPr="00C3645A" w:rsidRDefault="00AD6896" w:rsidP="003F7EB8">
            <w:pPr>
              <w:pStyle w:val="PubliManuscript"/>
              <w:spacing w:line="240" w:lineRule="auto"/>
              <w:ind w:firstLine="0"/>
              <w:jc w:val="center"/>
              <w:rPr>
                <w:color w:val="auto"/>
              </w:rPr>
            </w:pPr>
            <w:r w:rsidRPr="00C3645A">
              <w:rPr>
                <w:color w:val="auto"/>
              </w:rPr>
              <w:t>4</w:t>
            </w:r>
          </w:p>
        </w:tc>
        <w:tc>
          <w:tcPr>
            <w:tcW w:w="1510" w:type="dxa"/>
          </w:tcPr>
          <w:p w14:paraId="527B76E7" w14:textId="06EC5282" w:rsidR="00AD6896" w:rsidRPr="00C3645A" w:rsidRDefault="00AD6896" w:rsidP="003F7EB8">
            <w:pPr>
              <w:pStyle w:val="PubliManuscript"/>
              <w:spacing w:line="240" w:lineRule="auto"/>
              <w:ind w:firstLine="0"/>
              <w:jc w:val="center"/>
              <w:rPr>
                <w:color w:val="auto"/>
              </w:rPr>
            </w:pPr>
            <w:r w:rsidRPr="00C3645A">
              <w:rPr>
                <w:color w:val="auto"/>
              </w:rPr>
              <w:t>1</w:t>
            </w:r>
            <w:r w:rsidR="00E81456" w:rsidRPr="00C3645A">
              <w:rPr>
                <w:color w:val="auto"/>
              </w:rPr>
              <w:t>5</w:t>
            </w:r>
          </w:p>
        </w:tc>
        <w:tc>
          <w:tcPr>
            <w:tcW w:w="1510" w:type="dxa"/>
          </w:tcPr>
          <w:p w14:paraId="658D6C3C" w14:textId="33C69E5A" w:rsidR="00AD6896" w:rsidRPr="00C3645A" w:rsidRDefault="00AD6896" w:rsidP="003F7EB8">
            <w:pPr>
              <w:pStyle w:val="PubliManuscript"/>
              <w:spacing w:line="240" w:lineRule="auto"/>
              <w:ind w:firstLine="0"/>
              <w:jc w:val="center"/>
              <w:rPr>
                <w:color w:val="auto"/>
              </w:rPr>
            </w:pPr>
            <w:r w:rsidRPr="00C3645A">
              <w:rPr>
                <w:color w:val="auto"/>
              </w:rPr>
              <w:t>1</w:t>
            </w:r>
            <w:r w:rsidR="00E81456" w:rsidRPr="00C3645A">
              <w:rPr>
                <w:color w:val="auto"/>
              </w:rPr>
              <w:t>9</w:t>
            </w:r>
          </w:p>
        </w:tc>
        <w:tc>
          <w:tcPr>
            <w:tcW w:w="1511" w:type="dxa"/>
          </w:tcPr>
          <w:p w14:paraId="7D7E1E59" w14:textId="28E4D93E" w:rsidR="00AD6896" w:rsidRPr="00C3645A" w:rsidRDefault="00AD6896" w:rsidP="003F7EB8">
            <w:pPr>
              <w:pStyle w:val="PubliManuscript"/>
              <w:spacing w:line="240" w:lineRule="auto"/>
              <w:ind w:firstLine="0"/>
              <w:jc w:val="center"/>
              <w:rPr>
                <w:color w:val="auto"/>
              </w:rPr>
            </w:pPr>
            <w:r w:rsidRPr="00C3645A">
              <w:rPr>
                <w:color w:val="auto"/>
              </w:rPr>
              <w:t>2</w:t>
            </w:r>
            <w:r w:rsidR="00E81456" w:rsidRPr="00C3645A">
              <w:rPr>
                <w:color w:val="auto"/>
              </w:rPr>
              <w:t>6</w:t>
            </w:r>
          </w:p>
        </w:tc>
      </w:tr>
    </w:tbl>
    <w:p w14:paraId="6143754B" w14:textId="77777777" w:rsidR="00AD6896" w:rsidRPr="00C3645A" w:rsidRDefault="00AD6896" w:rsidP="00AD6896">
      <w:pPr>
        <w:pStyle w:val="PubliManuscript"/>
        <w:spacing w:line="240" w:lineRule="auto"/>
        <w:ind w:firstLine="0"/>
        <w:jc w:val="center"/>
        <w:rPr>
          <w:b/>
          <w:bCs/>
          <w:color w:val="auto"/>
        </w:rPr>
      </w:pPr>
      <w:r w:rsidRPr="00C3645A">
        <w:rPr>
          <w:b/>
          <w:bCs/>
          <w:color w:val="auto"/>
        </w:rPr>
        <w:t>Table A1. Characteristics of the sward cuts that simulate the grazing process.</w:t>
      </w:r>
    </w:p>
    <w:p w14:paraId="5F43BBC4" w14:textId="193A4D39" w:rsidR="00B738B8" w:rsidRPr="00C3645A" w:rsidRDefault="0095266A" w:rsidP="00B738B8">
      <w:pPr>
        <w:pStyle w:val="PubliManuscript"/>
        <w:jc w:val="center"/>
        <w:rPr>
          <w:color w:val="auto"/>
        </w:rPr>
      </w:pPr>
      <w:r w:rsidRPr="00C3645A">
        <w:rPr>
          <w:noProof/>
          <w:color w:val="auto"/>
        </w:rPr>
        <w:lastRenderedPageBreak/>
        <w:drawing>
          <wp:inline distT="0" distB="0" distL="0" distR="0" wp14:anchorId="6CB14A5D" wp14:editId="171F2DA3">
            <wp:extent cx="5760720" cy="4073734"/>
            <wp:effectExtent l="0" t="0" r="0" b="3175"/>
            <wp:docPr id="16366724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72484" name="Imag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4073734"/>
                    </a:xfrm>
                    <a:prstGeom prst="rect">
                      <a:avLst/>
                    </a:prstGeom>
                  </pic:spPr>
                </pic:pic>
              </a:graphicData>
            </a:graphic>
          </wp:inline>
        </w:drawing>
      </w:r>
    </w:p>
    <w:p w14:paraId="73F7A2A6" w14:textId="342DB82D" w:rsidR="00AD6896" w:rsidRPr="00C3645A" w:rsidRDefault="00B738B8" w:rsidP="008C1F44">
      <w:pPr>
        <w:pStyle w:val="PubliManuscript"/>
        <w:spacing w:line="240" w:lineRule="auto"/>
        <w:ind w:firstLine="0"/>
        <w:rPr>
          <w:b/>
          <w:bCs/>
          <w:color w:val="auto"/>
        </w:rPr>
      </w:pPr>
      <w:r w:rsidRPr="00C3645A">
        <w:rPr>
          <w:b/>
          <w:bCs/>
          <w:color w:val="auto"/>
        </w:rPr>
        <w:t>Figure A</w:t>
      </w:r>
      <w:r w:rsidR="00C155C5" w:rsidRPr="00C3645A">
        <w:rPr>
          <w:b/>
          <w:bCs/>
          <w:color w:val="auto"/>
        </w:rPr>
        <w:t>2</w:t>
      </w:r>
      <w:r w:rsidRPr="00C3645A">
        <w:rPr>
          <w:b/>
          <w:bCs/>
          <w:color w:val="auto"/>
        </w:rPr>
        <w:t>. Illustration of the sward cuts simulating the grazing process</w:t>
      </w:r>
      <w:r w:rsidR="0021562D" w:rsidRPr="00C3645A">
        <w:rPr>
          <w:b/>
          <w:bCs/>
          <w:color w:val="auto"/>
        </w:rPr>
        <w:t>, with the sward height (Fig. A2a) and the associated pools of biomass (Fig. A2b).</w:t>
      </w:r>
      <w:r w:rsidR="008C1F44" w:rsidRPr="00C3645A">
        <w:rPr>
          <w:b/>
          <w:bCs/>
          <w:color w:val="auto"/>
        </w:rPr>
        <w:t xml:space="preserve"> The useful biomass represents the biomass considered as potentially harvestable, i.e. the total biomass from which is subtracted the fraction which might experience senescence and undergo abscission (Beaudoin et al., 2022). The harvestable biomass designates the useful biomass minus the fraction which remains after a cut, which is computed from the sward height that we parameterized to be left after the mowing event.</w:t>
      </w:r>
    </w:p>
    <w:p w14:paraId="7E27A36D" w14:textId="3A9CBD1E" w:rsidR="00AD6896" w:rsidRPr="00C3645A" w:rsidRDefault="002177B6" w:rsidP="00AD6896">
      <w:pPr>
        <w:pStyle w:val="PubliManuscript"/>
        <w:jc w:val="center"/>
        <w:rPr>
          <w:color w:val="auto"/>
        </w:rPr>
      </w:pPr>
      <w:r w:rsidRPr="00C3645A">
        <w:rPr>
          <w:noProof/>
          <w:color w:val="auto"/>
        </w:rPr>
        <w:lastRenderedPageBreak/>
        <w:drawing>
          <wp:inline distT="0" distB="0" distL="0" distR="0" wp14:anchorId="78C48795" wp14:editId="53A1B254">
            <wp:extent cx="4932755" cy="3488233"/>
            <wp:effectExtent l="0" t="0" r="1270" b="0"/>
            <wp:docPr id="60517497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74977" name="Image 5"/>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932755" cy="3488233"/>
                    </a:xfrm>
                    <a:prstGeom prst="rect">
                      <a:avLst/>
                    </a:prstGeom>
                    <a:noFill/>
                    <a:ln>
                      <a:noFill/>
                    </a:ln>
                  </pic:spPr>
                </pic:pic>
              </a:graphicData>
            </a:graphic>
          </wp:inline>
        </w:drawing>
      </w:r>
    </w:p>
    <w:p w14:paraId="2B582A17" w14:textId="017D18E8" w:rsidR="00567502" w:rsidRPr="00C3645A" w:rsidRDefault="00AD6896" w:rsidP="004313EC">
      <w:pPr>
        <w:pStyle w:val="PubliManuscript"/>
        <w:spacing w:line="240" w:lineRule="auto"/>
        <w:ind w:firstLine="0"/>
        <w:rPr>
          <w:b/>
          <w:bCs/>
          <w:color w:val="auto"/>
        </w:rPr>
      </w:pPr>
      <w:r w:rsidRPr="00C3645A">
        <w:rPr>
          <w:b/>
          <w:bCs/>
          <w:color w:val="auto"/>
        </w:rPr>
        <w:t>Figure A</w:t>
      </w:r>
      <w:r w:rsidR="00FA49F1" w:rsidRPr="00C3645A">
        <w:rPr>
          <w:b/>
          <w:bCs/>
          <w:color w:val="auto"/>
        </w:rPr>
        <w:t>3</w:t>
      </w:r>
      <w:r w:rsidRPr="00C3645A">
        <w:rPr>
          <w:b/>
          <w:bCs/>
          <w:color w:val="auto"/>
        </w:rPr>
        <w:t xml:space="preserve">. </w:t>
      </w:r>
      <w:r w:rsidR="00776AC8" w:rsidRPr="00C3645A">
        <w:rPr>
          <w:b/>
          <w:bCs/>
          <w:color w:val="auto"/>
        </w:rPr>
        <w:t>Forage Conversion Ratios (FCR) from the field observation</w:t>
      </w:r>
      <w:r w:rsidR="00F812C8" w:rsidRPr="00C3645A">
        <w:rPr>
          <w:b/>
          <w:bCs/>
          <w:color w:val="auto"/>
        </w:rPr>
        <w:t>s</w:t>
      </w:r>
      <w:r w:rsidRPr="00C3645A">
        <w:rPr>
          <w:b/>
          <w:bCs/>
          <w:color w:val="auto"/>
        </w:rPr>
        <w:t>.</w:t>
      </w:r>
      <w:r w:rsidR="00630311" w:rsidRPr="00C3645A">
        <w:rPr>
          <w:b/>
          <w:bCs/>
          <w:color w:val="auto"/>
        </w:rPr>
        <w:t xml:space="preserve"> The linear regression is represented in blue, and its equation and goodness of fit indicator R</w:t>
      </w:r>
      <w:r w:rsidR="00630311" w:rsidRPr="00C3645A">
        <w:rPr>
          <w:b/>
          <w:bCs/>
          <w:color w:val="auto"/>
          <w:vertAlign w:val="superscript"/>
        </w:rPr>
        <w:t xml:space="preserve">2 </w:t>
      </w:r>
      <w:r w:rsidR="00630311" w:rsidRPr="00C3645A">
        <w:rPr>
          <w:b/>
          <w:bCs/>
          <w:color w:val="auto"/>
        </w:rPr>
        <w:t>are written into the figure.</w:t>
      </w:r>
    </w:p>
    <w:tbl>
      <w:tblPr>
        <w:tblStyle w:val="Grilledutableau"/>
        <w:tblW w:w="0" w:type="auto"/>
        <w:tblLook w:val="04A0" w:firstRow="1" w:lastRow="0" w:firstColumn="1" w:lastColumn="0" w:noHBand="0" w:noVBand="1"/>
      </w:tblPr>
      <w:tblGrid>
        <w:gridCol w:w="2303"/>
        <w:gridCol w:w="2303"/>
        <w:gridCol w:w="2303"/>
        <w:gridCol w:w="2303"/>
      </w:tblGrid>
      <w:tr w:rsidR="00C3645A" w:rsidRPr="00C3645A" w14:paraId="3D8DFA22" w14:textId="77777777" w:rsidTr="00066C8B">
        <w:trPr>
          <w:trHeight w:hRule="exact" w:val="454"/>
        </w:trPr>
        <w:tc>
          <w:tcPr>
            <w:tcW w:w="9212" w:type="dxa"/>
            <w:gridSpan w:val="4"/>
            <w:shd w:val="clear" w:color="auto" w:fill="D9D9D9" w:themeFill="background1" w:themeFillShade="D9"/>
          </w:tcPr>
          <w:p w14:paraId="0317A7D3" w14:textId="1F8A9109" w:rsidR="005E24A4" w:rsidRPr="00C3645A" w:rsidRDefault="005E24A4" w:rsidP="00104657">
            <w:pPr>
              <w:pStyle w:val="PubliManuscript"/>
              <w:spacing w:line="240" w:lineRule="auto"/>
              <w:ind w:firstLine="0"/>
              <w:jc w:val="center"/>
              <w:rPr>
                <w:b/>
                <w:bCs/>
                <w:color w:val="auto"/>
              </w:rPr>
            </w:pPr>
            <w:r w:rsidRPr="00C3645A">
              <w:rPr>
                <w:b/>
                <w:bCs/>
                <w:color w:val="auto"/>
              </w:rPr>
              <w:t>Soybean parameters</w:t>
            </w:r>
          </w:p>
        </w:tc>
      </w:tr>
      <w:tr w:rsidR="00C3645A" w:rsidRPr="00C3645A" w14:paraId="3602B053" w14:textId="77777777" w:rsidTr="00104657">
        <w:trPr>
          <w:trHeight w:hRule="exact" w:val="454"/>
        </w:trPr>
        <w:tc>
          <w:tcPr>
            <w:tcW w:w="2303" w:type="dxa"/>
            <w:shd w:val="clear" w:color="auto" w:fill="D9D9D9" w:themeFill="background1" w:themeFillShade="D9"/>
          </w:tcPr>
          <w:p w14:paraId="65E11819" w14:textId="734B5C5F" w:rsidR="00567502" w:rsidRPr="00C3645A" w:rsidRDefault="005E24A4" w:rsidP="00104657">
            <w:pPr>
              <w:pStyle w:val="PubliManuscript"/>
              <w:spacing w:line="240" w:lineRule="auto"/>
              <w:ind w:firstLine="0"/>
              <w:jc w:val="center"/>
              <w:rPr>
                <w:b/>
                <w:bCs/>
                <w:i/>
                <w:iCs/>
                <w:color w:val="auto"/>
              </w:rPr>
            </w:pPr>
            <w:proofErr w:type="spellStart"/>
            <w:r w:rsidRPr="00C3645A">
              <w:rPr>
                <w:b/>
                <w:bCs/>
                <w:i/>
                <w:iCs/>
                <w:color w:val="auto"/>
              </w:rPr>
              <w:t>stamflax</w:t>
            </w:r>
            <w:proofErr w:type="spellEnd"/>
          </w:p>
        </w:tc>
        <w:tc>
          <w:tcPr>
            <w:tcW w:w="2303" w:type="dxa"/>
          </w:tcPr>
          <w:p w14:paraId="07665CC3" w14:textId="0DA8F5E0" w:rsidR="00567502" w:rsidRPr="00C3645A" w:rsidRDefault="0042685F" w:rsidP="00104657">
            <w:pPr>
              <w:pStyle w:val="PubliManuscript"/>
              <w:spacing w:line="240" w:lineRule="auto"/>
              <w:ind w:firstLine="0"/>
              <w:jc w:val="center"/>
              <w:rPr>
                <w:color w:val="auto"/>
              </w:rPr>
            </w:pPr>
            <w:r w:rsidRPr="00C3645A">
              <w:rPr>
                <w:color w:val="auto"/>
              </w:rPr>
              <w:t>560</w:t>
            </w:r>
          </w:p>
        </w:tc>
        <w:tc>
          <w:tcPr>
            <w:tcW w:w="2303" w:type="dxa"/>
            <w:shd w:val="clear" w:color="auto" w:fill="D9D9D9" w:themeFill="background1" w:themeFillShade="D9"/>
          </w:tcPr>
          <w:p w14:paraId="7D016AF8" w14:textId="101D0030" w:rsidR="00567502" w:rsidRPr="00C3645A" w:rsidRDefault="0042685F" w:rsidP="00104657">
            <w:pPr>
              <w:pStyle w:val="PubliManuscript"/>
              <w:spacing w:line="240" w:lineRule="auto"/>
              <w:ind w:firstLine="0"/>
              <w:jc w:val="center"/>
              <w:rPr>
                <w:b/>
                <w:bCs/>
                <w:i/>
                <w:iCs/>
                <w:color w:val="auto"/>
              </w:rPr>
            </w:pPr>
            <w:proofErr w:type="spellStart"/>
            <w:r w:rsidRPr="00C3645A">
              <w:rPr>
                <w:b/>
                <w:bCs/>
                <w:i/>
                <w:iCs/>
                <w:color w:val="auto"/>
              </w:rPr>
              <w:t>efcroiveg</w:t>
            </w:r>
            <w:proofErr w:type="spellEnd"/>
          </w:p>
        </w:tc>
        <w:tc>
          <w:tcPr>
            <w:tcW w:w="2303" w:type="dxa"/>
          </w:tcPr>
          <w:p w14:paraId="3A71ACE5" w14:textId="1B63998A" w:rsidR="00567502" w:rsidRPr="00C3645A" w:rsidRDefault="0042685F" w:rsidP="00104657">
            <w:pPr>
              <w:pStyle w:val="PubliManuscript"/>
              <w:spacing w:line="240" w:lineRule="auto"/>
              <w:ind w:firstLine="0"/>
              <w:jc w:val="center"/>
              <w:rPr>
                <w:color w:val="auto"/>
              </w:rPr>
            </w:pPr>
            <w:r w:rsidRPr="00C3645A">
              <w:rPr>
                <w:color w:val="auto"/>
              </w:rPr>
              <w:t>1.8</w:t>
            </w:r>
          </w:p>
        </w:tc>
      </w:tr>
      <w:tr w:rsidR="00C3645A" w:rsidRPr="00C3645A" w14:paraId="7172DFCF" w14:textId="77777777" w:rsidTr="00104657">
        <w:trPr>
          <w:trHeight w:hRule="exact" w:val="454"/>
        </w:trPr>
        <w:tc>
          <w:tcPr>
            <w:tcW w:w="2303" w:type="dxa"/>
            <w:shd w:val="clear" w:color="auto" w:fill="D9D9D9" w:themeFill="background1" w:themeFillShade="D9"/>
          </w:tcPr>
          <w:p w14:paraId="425ADED3" w14:textId="47C78787" w:rsidR="00567502" w:rsidRPr="00C3645A" w:rsidRDefault="0042685F" w:rsidP="00104657">
            <w:pPr>
              <w:pStyle w:val="PubliManuscript"/>
              <w:spacing w:line="240" w:lineRule="auto"/>
              <w:ind w:firstLine="0"/>
              <w:jc w:val="center"/>
              <w:rPr>
                <w:b/>
                <w:bCs/>
                <w:i/>
                <w:iCs/>
                <w:color w:val="auto"/>
              </w:rPr>
            </w:pPr>
            <w:proofErr w:type="spellStart"/>
            <w:r w:rsidRPr="00C3645A">
              <w:rPr>
                <w:b/>
                <w:bCs/>
                <w:i/>
                <w:iCs/>
                <w:color w:val="auto"/>
              </w:rPr>
              <w:t>stlevdrp</w:t>
            </w:r>
            <w:proofErr w:type="spellEnd"/>
          </w:p>
          <w:p w14:paraId="20331F8B" w14:textId="1B0F242C" w:rsidR="0042685F" w:rsidRPr="00C3645A" w:rsidRDefault="0042685F" w:rsidP="00104657">
            <w:pPr>
              <w:pStyle w:val="PubliManuscript"/>
              <w:spacing w:line="240" w:lineRule="auto"/>
              <w:ind w:firstLine="0"/>
              <w:jc w:val="center"/>
              <w:rPr>
                <w:b/>
                <w:bCs/>
                <w:i/>
                <w:iCs/>
                <w:color w:val="auto"/>
              </w:rPr>
            </w:pPr>
          </w:p>
        </w:tc>
        <w:tc>
          <w:tcPr>
            <w:tcW w:w="2303" w:type="dxa"/>
          </w:tcPr>
          <w:p w14:paraId="644DE498" w14:textId="00116186" w:rsidR="00567502" w:rsidRPr="00C3645A" w:rsidRDefault="0042685F" w:rsidP="00104657">
            <w:pPr>
              <w:pStyle w:val="PubliManuscript"/>
              <w:spacing w:line="240" w:lineRule="auto"/>
              <w:ind w:firstLine="0"/>
              <w:jc w:val="center"/>
              <w:rPr>
                <w:color w:val="auto"/>
              </w:rPr>
            </w:pPr>
            <w:r w:rsidRPr="00C3645A">
              <w:rPr>
                <w:color w:val="auto"/>
              </w:rPr>
              <w:t>700</w:t>
            </w:r>
          </w:p>
        </w:tc>
        <w:tc>
          <w:tcPr>
            <w:tcW w:w="2303" w:type="dxa"/>
            <w:shd w:val="clear" w:color="auto" w:fill="D9D9D9" w:themeFill="background1" w:themeFillShade="D9"/>
          </w:tcPr>
          <w:p w14:paraId="1B4797E7" w14:textId="621DA4B1" w:rsidR="00C958A6" w:rsidRPr="00C3645A" w:rsidRDefault="0042685F" w:rsidP="00104657">
            <w:pPr>
              <w:pStyle w:val="PubliManuscript"/>
              <w:spacing w:line="240" w:lineRule="auto"/>
              <w:ind w:firstLine="0"/>
              <w:jc w:val="center"/>
              <w:rPr>
                <w:b/>
                <w:bCs/>
                <w:i/>
                <w:iCs/>
                <w:color w:val="auto"/>
              </w:rPr>
            </w:pPr>
            <w:proofErr w:type="spellStart"/>
            <w:r w:rsidRPr="00C3645A">
              <w:rPr>
                <w:b/>
                <w:bCs/>
                <w:i/>
                <w:iCs/>
                <w:color w:val="auto"/>
              </w:rPr>
              <w:t>efcroirepro</w:t>
            </w:r>
            <w:proofErr w:type="spellEnd"/>
          </w:p>
        </w:tc>
        <w:tc>
          <w:tcPr>
            <w:tcW w:w="2303" w:type="dxa"/>
          </w:tcPr>
          <w:p w14:paraId="249B35FD" w14:textId="61FDCEE7" w:rsidR="00567502" w:rsidRPr="00C3645A" w:rsidRDefault="0042685F" w:rsidP="00104657">
            <w:pPr>
              <w:pStyle w:val="PubliManuscript"/>
              <w:spacing w:line="240" w:lineRule="auto"/>
              <w:ind w:firstLine="0"/>
              <w:jc w:val="center"/>
              <w:rPr>
                <w:color w:val="auto"/>
              </w:rPr>
            </w:pPr>
            <w:r w:rsidRPr="00C3645A">
              <w:rPr>
                <w:color w:val="auto"/>
              </w:rPr>
              <w:t>1.9</w:t>
            </w:r>
          </w:p>
        </w:tc>
      </w:tr>
      <w:tr w:rsidR="00C3645A" w:rsidRPr="00C3645A" w14:paraId="67C97BF0" w14:textId="77777777" w:rsidTr="00104657">
        <w:trPr>
          <w:trHeight w:hRule="exact" w:val="454"/>
        </w:trPr>
        <w:tc>
          <w:tcPr>
            <w:tcW w:w="2303" w:type="dxa"/>
            <w:shd w:val="clear" w:color="auto" w:fill="D9D9D9" w:themeFill="background1" w:themeFillShade="D9"/>
          </w:tcPr>
          <w:p w14:paraId="46B91B2A" w14:textId="19617705" w:rsidR="00C958A6" w:rsidRPr="00C3645A" w:rsidRDefault="0042685F" w:rsidP="0042685F">
            <w:pPr>
              <w:pStyle w:val="PubliManuscript"/>
              <w:spacing w:line="240" w:lineRule="auto"/>
              <w:ind w:firstLine="0"/>
              <w:jc w:val="center"/>
              <w:rPr>
                <w:b/>
                <w:bCs/>
                <w:i/>
                <w:iCs/>
                <w:color w:val="auto"/>
              </w:rPr>
            </w:pPr>
            <w:proofErr w:type="spellStart"/>
            <w:r w:rsidRPr="00C3645A">
              <w:rPr>
                <w:b/>
                <w:bCs/>
                <w:i/>
                <w:iCs/>
                <w:color w:val="auto"/>
              </w:rPr>
              <w:t>stflodrp</w:t>
            </w:r>
            <w:proofErr w:type="spellEnd"/>
          </w:p>
        </w:tc>
        <w:tc>
          <w:tcPr>
            <w:tcW w:w="2303" w:type="dxa"/>
          </w:tcPr>
          <w:p w14:paraId="4653F585" w14:textId="751D0E4B" w:rsidR="00C958A6" w:rsidRPr="00C3645A" w:rsidRDefault="0042685F" w:rsidP="00104657">
            <w:pPr>
              <w:pStyle w:val="PubliManuscript"/>
              <w:spacing w:line="240" w:lineRule="auto"/>
              <w:ind w:firstLine="0"/>
              <w:jc w:val="center"/>
              <w:rPr>
                <w:color w:val="auto"/>
              </w:rPr>
            </w:pPr>
            <w:r w:rsidRPr="00C3645A">
              <w:rPr>
                <w:color w:val="auto"/>
              </w:rPr>
              <w:t>325</w:t>
            </w:r>
          </w:p>
        </w:tc>
        <w:tc>
          <w:tcPr>
            <w:tcW w:w="2303" w:type="dxa"/>
            <w:shd w:val="clear" w:color="auto" w:fill="D9D9D9" w:themeFill="background1" w:themeFillShade="D9"/>
          </w:tcPr>
          <w:p w14:paraId="1DFED24D" w14:textId="50DBDB9E" w:rsidR="00C958A6" w:rsidRPr="00C3645A" w:rsidRDefault="00C958A6" w:rsidP="00104657">
            <w:pPr>
              <w:pStyle w:val="PubliManuscript"/>
              <w:spacing w:line="240" w:lineRule="auto"/>
              <w:ind w:firstLine="0"/>
              <w:jc w:val="center"/>
              <w:rPr>
                <w:b/>
                <w:bCs/>
                <w:i/>
                <w:iCs/>
                <w:color w:val="auto"/>
              </w:rPr>
            </w:pPr>
          </w:p>
        </w:tc>
        <w:tc>
          <w:tcPr>
            <w:tcW w:w="2303" w:type="dxa"/>
          </w:tcPr>
          <w:p w14:paraId="53D6856D" w14:textId="5631D597" w:rsidR="00C958A6" w:rsidRPr="00C3645A" w:rsidRDefault="00C958A6" w:rsidP="00104657">
            <w:pPr>
              <w:pStyle w:val="PubliManuscript"/>
              <w:spacing w:line="240" w:lineRule="auto"/>
              <w:ind w:firstLine="0"/>
              <w:jc w:val="center"/>
              <w:rPr>
                <w:color w:val="auto"/>
              </w:rPr>
            </w:pPr>
          </w:p>
        </w:tc>
      </w:tr>
      <w:tr w:rsidR="00C3645A" w:rsidRPr="00C3645A" w14:paraId="0888F005" w14:textId="77777777" w:rsidTr="00066C8B">
        <w:trPr>
          <w:trHeight w:hRule="exact" w:val="454"/>
        </w:trPr>
        <w:tc>
          <w:tcPr>
            <w:tcW w:w="9212" w:type="dxa"/>
            <w:gridSpan w:val="4"/>
            <w:shd w:val="clear" w:color="auto" w:fill="D9D9D9" w:themeFill="background1" w:themeFillShade="D9"/>
          </w:tcPr>
          <w:p w14:paraId="3BE62E3F" w14:textId="0BB1B986" w:rsidR="005E24A4" w:rsidRPr="00C3645A" w:rsidRDefault="005E24A4" w:rsidP="005E24A4">
            <w:pPr>
              <w:pStyle w:val="PubliManuscript"/>
              <w:spacing w:line="240" w:lineRule="auto"/>
              <w:ind w:firstLine="0"/>
              <w:jc w:val="center"/>
              <w:rPr>
                <w:color w:val="auto"/>
              </w:rPr>
            </w:pPr>
            <w:r w:rsidRPr="00C3645A">
              <w:rPr>
                <w:b/>
                <w:bCs/>
                <w:color w:val="auto"/>
              </w:rPr>
              <w:t>Pasture parameters</w:t>
            </w:r>
          </w:p>
        </w:tc>
      </w:tr>
      <w:tr w:rsidR="00C3645A" w:rsidRPr="00C3645A" w14:paraId="142955A4" w14:textId="77777777" w:rsidTr="00104657">
        <w:trPr>
          <w:trHeight w:hRule="exact" w:val="454"/>
        </w:trPr>
        <w:tc>
          <w:tcPr>
            <w:tcW w:w="2303" w:type="dxa"/>
            <w:shd w:val="clear" w:color="auto" w:fill="D9D9D9" w:themeFill="background1" w:themeFillShade="D9"/>
          </w:tcPr>
          <w:p w14:paraId="728EFC7B" w14:textId="3C270480"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coefmshaut</w:t>
            </w:r>
            <w:proofErr w:type="spellEnd"/>
          </w:p>
        </w:tc>
        <w:tc>
          <w:tcPr>
            <w:tcW w:w="2303" w:type="dxa"/>
          </w:tcPr>
          <w:p w14:paraId="7279017A" w14:textId="3FE46C88" w:rsidR="005E24A4" w:rsidRPr="00C3645A" w:rsidRDefault="005E24A4" w:rsidP="005E24A4">
            <w:pPr>
              <w:pStyle w:val="PubliManuscript"/>
              <w:spacing w:line="240" w:lineRule="auto"/>
              <w:ind w:firstLine="0"/>
              <w:jc w:val="center"/>
              <w:rPr>
                <w:color w:val="auto"/>
              </w:rPr>
            </w:pPr>
            <w:r w:rsidRPr="00C3645A">
              <w:rPr>
                <w:color w:val="auto"/>
              </w:rPr>
              <w:t>8.81</w:t>
            </w:r>
          </w:p>
        </w:tc>
        <w:tc>
          <w:tcPr>
            <w:tcW w:w="2303" w:type="dxa"/>
            <w:shd w:val="clear" w:color="auto" w:fill="D9D9D9" w:themeFill="background1" w:themeFillShade="D9"/>
          </w:tcPr>
          <w:p w14:paraId="273A9CD5" w14:textId="39246291"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efcroijuv</w:t>
            </w:r>
            <w:proofErr w:type="spellEnd"/>
          </w:p>
        </w:tc>
        <w:tc>
          <w:tcPr>
            <w:tcW w:w="2303" w:type="dxa"/>
          </w:tcPr>
          <w:p w14:paraId="0E9F666E" w14:textId="43E62141" w:rsidR="005E24A4" w:rsidRPr="00C3645A" w:rsidRDefault="005E24A4" w:rsidP="005E24A4">
            <w:pPr>
              <w:pStyle w:val="PubliManuscript"/>
              <w:spacing w:line="240" w:lineRule="auto"/>
              <w:ind w:firstLine="0"/>
              <w:jc w:val="center"/>
              <w:rPr>
                <w:color w:val="auto"/>
              </w:rPr>
            </w:pPr>
            <w:r w:rsidRPr="00C3645A">
              <w:rPr>
                <w:color w:val="auto"/>
              </w:rPr>
              <w:t>2.6</w:t>
            </w:r>
          </w:p>
        </w:tc>
      </w:tr>
      <w:tr w:rsidR="00C3645A" w:rsidRPr="00C3645A" w14:paraId="5BCE809F" w14:textId="77777777" w:rsidTr="00104657">
        <w:trPr>
          <w:trHeight w:hRule="exact" w:val="454"/>
        </w:trPr>
        <w:tc>
          <w:tcPr>
            <w:tcW w:w="2303" w:type="dxa"/>
            <w:shd w:val="clear" w:color="auto" w:fill="D9D9D9" w:themeFill="background1" w:themeFillShade="D9"/>
          </w:tcPr>
          <w:p w14:paraId="10C73997" w14:textId="6E968683"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hautbase</w:t>
            </w:r>
            <w:proofErr w:type="spellEnd"/>
          </w:p>
        </w:tc>
        <w:tc>
          <w:tcPr>
            <w:tcW w:w="2303" w:type="dxa"/>
          </w:tcPr>
          <w:p w14:paraId="45F9147F" w14:textId="1FB34FDF" w:rsidR="005E24A4" w:rsidRPr="00C3645A" w:rsidRDefault="005E24A4" w:rsidP="005E24A4">
            <w:pPr>
              <w:pStyle w:val="PubliManuscript"/>
              <w:spacing w:line="240" w:lineRule="auto"/>
              <w:ind w:firstLine="0"/>
              <w:jc w:val="center"/>
              <w:rPr>
                <w:color w:val="auto"/>
              </w:rPr>
            </w:pPr>
            <w:r w:rsidRPr="00C3645A">
              <w:rPr>
                <w:color w:val="auto"/>
              </w:rPr>
              <w:t>0.01</w:t>
            </w:r>
          </w:p>
        </w:tc>
        <w:tc>
          <w:tcPr>
            <w:tcW w:w="2303" w:type="dxa"/>
            <w:shd w:val="clear" w:color="auto" w:fill="D9D9D9" w:themeFill="background1" w:themeFillShade="D9"/>
          </w:tcPr>
          <w:p w14:paraId="7F942047" w14:textId="3D0BD04A"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efcroiveg</w:t>
            </w:r>
            <w:proofErr w:type="spellEnd"/>
          </w:p>
        </w:tc>
        <w:tc>
          <w:tcPr>
            <w:tcW w:w="2303" w:type="dxa"/>
          </w:tcPr>
          <w:p w14:paraId="70A74351" w14:textId="09427C28" w:rsidR="005E24A4" w:rsidRPr="00C3645A" w:rsidRDefault="005E24A4" w:rsidP="005E24A4">
            <w:pPr>
              <w:pStyle w:val="PubliManuscript"/>
              <w:spacing w:line="240" w:lineRule="auto"/>
              <w:ind w:firstLine="0"/>
              <w:jc w:val="center"/>
              <w:rPr>
                <w:color w:val="auto"/>
              </w:rPr>
            </w:pPr>
            <w:r w:rsidRPr="00C3645A">
              <w:rPr>
                <w:color w:val="auto"/>
              </w:rPr>
              <w:t>1.4</w:t>
            </w:r>
          </w:p>
        </w:tc>
      </w:tr>
      <w:tr w:rsidR="00C3645A" w:rsidRPr="00C3645A" w14:paraId="5E9857CF" w14:textId="77777777" w:rsidTr="00104657">
        <w:trPr>
          <w:trHeight w:hRule="exact" w:val="454"/>
        </w:trPr>
        <w:tc>
          <w:tcPr>
            <w:tcW w:w="2303" w:type="dxa"/>
            <w:shd w:val="clear" w:color="auto" w:fill="D9D9D9" w:themeFill="background1" w:themeFillShade="D9"/>
          </w:tcPr>
          <w:p w14:paraId="1C2939E4" w14:textId="56A1B2C4"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hautmax</w:t>
            </w:r>
            <w:proofErr w:type="spellEnd"/>
          </w:p>
        </w:tc>
        <w:tc>
          <w:tcPr>
            <w:tcW w:w="2303" w:type="dxa"/>
          </w:tcPr>
          <w:p w14:paraId="749EA968" w14:textId="1453F7CD" w:rsidR="005E24A4" w:rsidRPr="00C3645A" w:rsidRDefault="005E24A4" w:rsidP="005E24A4">
            <w:pPr>
              <w:pStyle w:val="PubliManuscript"/>
              <w:spacing w:line="240" w:lineRule="auto"/>
              <w:ind w:firstLine="0"/>
              <w:jc w:val="center"/>
              <w:rPr>
                <w:color w:val="auto"/>
              </w:rPr>
            </w:pPr>
            <w:r w:rsidRPr="00C3645A">
              <w:rPr>
                <w:color w:val="auto"/>
              </w:rPr>
              <w:t>0.5</w:t>
            </w:r>
          </w:p>
        </w:tc>
        <w:tc>
          <w:tcPr>
            <w:tcW w:w="2303" w:type="dxa"/>
            <w:shd w:val="clear" w:color="auto" w:fill="D9D9D9" w:themeFill="background1" w:themeFillShade="D9"/>
          </w:tcPr>
          <w:p w14:paraId="05D5E2DC" w14:textId="74562AD8"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dlaimin</w:t>
            </w:r>
            <w:proofErr w:type="spellEnd"/>
          </w:p>
        </w:tc>
        <w:tc>
          <w:tcPr>
            <w:tcW w:w="2303" w:type="dxa"/>
          </w:tcPr>
          <w:p w14:paraId="796CD0EF" w14:textId="28B6833A" w:rsidR="005E24A4" w:rsidRPr="00C3645A" w:rsidRDefault="005E24A4" w:rsidP="005E24A4">
            <w:pPr>
              <w:pStyle w:val="PubliManuscript"/>
              <w:spacing w:line="240" w:lineRule="auto"/>
              <w:ind w:firstLine="0"/>
              <w:jc w:val="center"/>
              <w:rPr>
                <w:color w:val="auto"/>
              </w:rPr>
            </w:pPr>
            <w:r w:rsidRPr="00C3645A">
              <w:rPr>
                <w:color w:val="auto"/>
              </w:rPr>
              <w:t>0.012</w:t>
            </w:r>
          </w:p>
        </w:tc>
      </w:tr>
      <w:tr w:rsidR="00C3645A" w:rsidRPr="00C3645A" w14:paraId="4D8B4DBA" w14:textId="77777777" w:rsidTr="00104657">
        <w:trPr>
          <w:trHeight w:hRule="exact" w:val="454"/>
        </w:trPr>
        <w:tc>
          <w:tcPr>
            <w:tcW w:w="2303" w:type="dxa"/>
            <w:shd w:val="clear" w:color="auto" w:fill="D9D9D9" w:themeFill="background1" w:themeFillShade="D9"/>
          </w:tcPr>
          <w:p w14:paraId="5226D087" w14:textId="77777777" w:rsidR="005E24A4" w:rsidRPr="00C3645A" w:rsidRDefault="005E24A4" w:rsidP="005E24A4">
            <w:pPr>
              <w:pStyle w:val="PubliManuscript"/>
              <w:spacing w:line="240" w:lineRule="auto"/>
              <w:ind w:firstLine="0"/>
              <w:jc w:val="center"/>
              <w:rPr>
                <w:b/>
                <w:bCs/>
                <w:i/>
                <w:iCs/>
                <w:color w:val="auto"/>
              </w:rPr>
            </w:pPr>
          </w:p>
        </w:tc>
        <w:tc>
          <w:tcPr>
            <w:tcW w:w="2303" w:type="dxa"/>
          </w:tcPr>
          <w:p w14:paraId="361AA28F" w14:textId="77777777" w:rsidR="005E24A4" w:rsidRPr="00C3645A" w:rsidRDefault="005E24A4" w:rsidP="005E24A4">
            <w:pPr>
              <w:pStyle w:val="PubliManuscript"/>
              <w:spacing w:line="240" w:lineRule="auto"/>
              <w:ind w:firstLine="0"/>
              <w:jc w:val="center"/>
              <w:rPr>
                <w:color w:val="auto"/>
              </w:rPr>
            </w:pPr>
          </w:p>
        </w:tc>
        <w:tc>
          <w:tcPr>
            <w:tcW w:w="2303" w:type="dxa"/>
            <w:shd w:val="clear" w:color="auto" w:fill="D9D9D9" w:themeFill="background1" w:themeFillShade="D9"/>
          </w:tcPr>
          <w:p w14:paraId="36DB27C9" w14:textId="7431C4C4" w:rsidR="005E24A4" w:rsidRPr="00C3645A" w:rsidRDefault="005E24A4" w:rsidP="005E24A4">
            <w:pPr>
              <w:pStyle w:val="PubliManuscript"/>
              <w:spacing w:line="240" w:lineRule="auto"/>
              <w:ind w:firstLine="0"/>
              <w:jc w:val="center"/>
              <w:rPr>
                <w:b/>
                <w:bCs/>
                <w:i/>
                <w:iCs/>
                <w:color w:val="auto"/>
              </w:rPr>
            </w:pPr>
            <w:proofErr w:type="spellStart"/>
            <w:r w:rsidRPr="00C3645A">
              <w:rPr>
                <w:b/>
                <w:bCs/>
                <w:i/>
                <w:iCs/>
                <w:color w:val="auto"/>
              </w:rPr>
              <w:t>durvief</w:t>
            </w:r>
            <w:proofErr w:type="spellEnd"/>
          </w:p>
        </w:tc>
        <w:tc>
          <w:tcPr>
            <w:tcW w:w="2303" w:type="dxa"/>
          </w:tcPr>
          <w:p w14:paraId="109209B6" w14:textId="34567822" w:rsidR="005E24A4" w:rsidRPr="00C3645A" w:rsidRDefault="005E24A4" w:rsidP="005E24A4">
            <w:pPr>
              <w:pStyle w:val="PubliManuscript"/>
              <w:spacing w:line="240" w:lineRule="auto"/>
              <w:ind w:firstLine="0"/>
              <w:jc w:val="center"/>
              <w:rPr>
                <w:color w:val="auto"/>
              </w:rPr>
            </w:pPr>
            <w:r w:rsidRPr="00C3645A">
              <w:rPr>
                <w:color w:val="auto"/>
              </w:rPr>
              <w:t>180</w:t>
            </w:r>
          </w:p>
        </w:tc>
      </w:tr>
    </w:tbl>
    <w:p w14:paraId="3023B089" w14:textId="3BC2B31F" w:rsidR="00567502" w:rsidRPr="00C3645A" w:rsidRDefault="00567502" w:rsidP="004313EC">
      <w:pPr>
        <w:pStyle w:val="PubliManuscript"/>
        <w:spacing w:line="240" w:lineRule="auto"/>
        <w:ind w:firstLine="0"/>
        <w:rPr>
          <w:b/>
          <w:bCs/>
          <w:color w:val="auto"/>
        </w:rPr>
      </w:pPr>
      <w:r w:rsidRPr="00C3645A">
        <w:rPr>
          <w:b/>
          <w:bCs/>
          <w:color w:val="auto"/>
        </w:rPr>
        <w:t>Table A</w:t>
      </w:r>
      <w:r w:rsidR="00310B76" w:rsidRPr="00C3645A">
        <w:rPr>
          <w:b/>
          <w:bCs/>
          <w:color w:val="auto"/>
        </w:rPr>
        <w:t>2</w:t>
      </w:r>
      <w:r w:rsidRPr="00C3645A">
        <w:rPr>
          <w:b/>
          <w:bCs/>
          <w:color w:val="auto"/>
        </w:rPr>
        <w:t xml:space="preserve">. </w:t>
      </w:r>
      <w:r w:rsidR="00310B76" w:rsidRPr="00C3645A">
        <w:rPr>
          <w:b/>
          <w:bCs/>
          <w:color w:val="auto"/>
        </w:rPr>
        <w:t xml:space="preserve">STICS parameters that were modified for the </w:t>
      </w:r>
      <w:r w:rsidR="00C00C12" w:rsidRPr="00C3645A">
        <w:rPr>
          <w:b/>
          <w:bCs/>
          <w:color w:val="auto"/>
        </w:rPr>
        <w:t xml:space="preserve">soybean and </w:t>
      </w:r>
      <w:r w:rsidR="00310B76" w:rsidRPr="00C3645A">
        <w:rPr>
          <w:b/>
          <w:bCs/>
          <w:color w:val="auto"/>
        </w:rPr>
        <w:t>pasture plant file</w:t>
      </w:r>
      <w:r w:rsidR="002002F8" w:rsidRPr="00C3645A">
        <w:rPr>
          <w:b/>
          <w:bCs/>
          <w:color w:val="auto"/>
        </w:rPr>
        <w:t>s</w:t>
      </w:r>
      <w:r w:rsidR="009B512C" w:rsidRPr="00C3645A">
        <w:rPr>
          <w:b/>
          <w:bCs/>
          <w:color w:val="auto"/>
        </w:rPr>
        <w:t xml:space="preserve"> (Beaudoin et al., 2022).</w:t>
      </w:r>
    </w:p>
    <w:p w14:paraId="46A970E4" w14:textId="79577C12" w:rsidR="001F059B" w:rsidRPr="00C3645A" w:rsidRDefault="002177B6" w:rsidP="001F059B">
      <w:pPr>
        <w:pStyle w:val="PubliManuscript"/>
        <w:jc w:val="center"/>
        <w:rPr>
          <w:color w:val="auto"/>
        </w:rPr>
      </w:pPr>
      <w:r w:rsidRPr="00C3645A">
        <w:rPr>
          <w:noProof/>
          <w:color w:val="auto"/>
        </w:rPr>
        <w:lastRenderedPageBreak/>
        <w:drawing>
          <wp:inline distT="0" distB="0" distL="0" distR="0" wp14:anchorId="7006FAED" wp14:editId="1CD51B6F">
            <wp:extent cx="5759524" cy="4072888"/>
            <wp:effectExtent l="0" t="0" r="0" b="0"/>
            <wp:docPr id="109832849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28490" name="Image 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759524" cy="4072888"/>
                    </a:xfrm>
                    <a:prstGeom prst="rect">
                      <a:avLst/>
                    </a:prstGeom>
                    <a:noFill/>
                    <a:ln>
                      <a:noFill/>
                    </a:ln>
                  </pic:spPr>
                </pic:pic>
              </a:graphicData>
            </a:graphic>
          </wp:inline>
        </w:drawing>
      </w:r>
    </w:p>
    <w:p w14:paraId="6D5CC1B4" w14:textId="73D0EFBE" w:rsidR="001F059B" w:rsidRPr="00C3645A" w:rsidRDefault="001F059B" w:rsidP="00F75196">
      <w:pPr>
        <w:pStyle w:val="PubliManuscript"/>
        <w:spacing w:line="240" w:lineRule="auto"/>
        <w:ind w:firstLine="0"/>
        <w:rPr>
          <w:b/>
          <w:bCs/>
          <w:color w:val="auto"/>
        </w:rPr>
      </w:pPr>
      <w:r w:rsidRPr="00C3645A">
        <w:rPr>
          <w:b/>
          <w:bCs/>
          <w:color w:val="auto"/>
        </w:rPr>
        <w:t>Figure A</w:t>
      </w:r>
      <w:r w:rsidR="005A324F" w:rsidRPr="00C3645A">
        <w:rPr>
          <w:b/>
          <w:bCs/>
          <w:color w:val="auto"/>
        </w:rPr>
        <w:t>4</w:t>
      </w:r>
      <w:r w:rsidRPr="00C3645A">
        <w:rPr>
          <w:b/>
          <w:bCs/>
          <w:color w:val="auto"/>
        </w:rPr>
        <w:t xml:space="preserve">. </w:t>
      </w:r>
      <w:r w:rsidR="00445BC2" w:rsidRPr="00C3645A">
        <w:rPr>
          <w:b/>
          <w:bCs/>
          <w:color w:val="auto"/>
        </w:rPr>
        <w:t>A</w:t>
      </w:r>
      <w:r w:rsidRPr="00C3645A">
        <w:rPr>
          <w:b/>
          <w:bCs/>
          <w:color w:val="auto"/>
        </w:rPr>
        <w:t>verage sward heights</w:t>
      </w:r>
      <w:r w:rsidR="00757173" w:rsidRPr="00C3645A">
        <w:rPr>
          <w:b/>
          <w:bCs/>
          <w:color w:val="auto"/>
        </w:rPr>
        <w:t xml:space="preserve"> within observations</w:t>
      </w:r>
      <w:r w:rsidR="00791033" w:rsidRPr="00C3645A">
        <w:rPr>
          <w:b/>
          <w:bCs/>
          <w:color w:val="auto"/>
        </w:rPr>
        <w:t xml:space="preserve"> (Obs.)</w:t>
      </w:r>
      <w:r w:rsidR="00757173" w:rsidRPr="00C3645A">
        <w:rPr>
          <w:b/>
          <w:bCs/>
          <w:color w:val="auto"/>
        </w:rPr>
        <w:t xml:space="preserve"> and simulations</w:t>
      </w:r>
      <w:r w:rsidR="00791033" w:rsidRPr="00C3645A">
        <w:rPr>
          <w:b/>
          <w:bCs/>
          <w:color w:val="auto"/>
        </w:rPr>
        <w:t xml:space="preserve"> (Sim.)</w:t>
      </w:r>
      <w:r w:rsidRPr="00C3645A">
        <w:rPr>
          <w:b/>
          <w:bCs/>
          <w:color w:val="auto"/>
        </w:rPr>
        <w:t xml:space="preserve"> during the stocking period for the different grazing intensities.</w:t>
      </w:r>
      <w:r w:rsidR="00791033" w:rsidRPr="00C3645A">
        <w:rPr>
          <w:b/>
          <w:bCs/>
          <w:color w:val="auto"/>
        </w:rPr>
        <w:t xml:space="preserve"> G10, G20, G30 and G40 refer to the grazing intensity treatment, and UG designates the ungrazed treatment.</w:t>
      </w:r>
    </w:p>
    <w:p w14:paraId="5EB3A51D" w14:textId="77777777" w:rsidR="005A324F" w:rsidRPr="00C3645A" w:rsidRDefault="005A324F" w:rsidP="005A324F">
      <w:pPr>
        <w:pStyle w:val="PubliManuscript"/>
        <w:spacing w:line="240" w:lineRule="auto"/>
        <w:ind w:firstLine="0"/>
        <w:jc w:val="center"/>
        <w:rPr>
          <w:b/>
          <w:bCs/>
          <w:color w:val="auto"/>
        </w:rPr>
      </w:pPr>
      <w:r w:rsidRPr="00C3645A">
        <w:rPr>
          <w:b/>
          <w:bCs/>
          <w:noProof/>
          <w:color w:val="auto"/>
        </w:rPr>
        <w:lastRenderedPageBreak/>
        <w:drawing>
          <wp:inline distT="0" distB="0" distL="0" distR="0" wp14:anchorId="148CEC96" wp14:editId="508C3259">
            <wp:extent cx="5760720" cy="5760720"/>
            <wp:effectExtent l="0" t="0" r="0" b="0"/>
            <wp:docPr id="790722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22757" name="Image 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0A8A449" w14:textId="77C42668" w:rsidR="00B07FF4" w:rsidRPr="00C3645A" w:rsidRDefault="005A324F" w:rsidP="00E7234C">
      <w:pPr>
        <w:pStyle w:val="PubliManuscript"/>
        <w:spacing w:line="240" w:lineRule="auto"/>
        <w:ind w:firstLine="0"/>
        <w:rPr>
          <w:b/>
          <w:bCs/>
          <w:color w:val="auto"/>
        </w:rPr>
      </w:pPr>
      <w:r w:rsidRPr="00C3645A">
        <w:rPr>
          <w:b/>
          <w:bCs/>
          <w:color w:val="auto"/>
        </w:rPr>
        <w:t xml:space="preserve">Figure A5. Influence on the goodness of fit of the inclusion of excreta (dung and urine) into the model for a and </w:t>
      </w:r>
      <w:r w:rsidR="00107403" w:rsidRPr="00C3645A">
        <w:rPr>
          <w:b/>
          <w:bCs/>
          <w:color w:val="auto"/>
        </w:rPr>
        <w:t>c</w:t>
      </w:r>
      <w:r w:rsidRPr="00C3645A">
        <w:rPr>
          <w:b/>
          <w:bCs/>
          <w:color w:val="auto"/>
        </w:rPr>
        <w:t xml:space="preserve">) pasture biomass, and </w:t>
      </w:r>
      <w:r w:rsidR="00107403" w:rsidRPr="00C3645A">
        <w:rPr>
          <w:b/>
          <w:bCs/>
          <w:color w:val="auto"/>
        </w:rPr>
        <w:t>b</w:t>
      </w:r>
      <w:r w:rsidRPr="00C3645A">
        <w:rPr>
          <w:b/>
          <w:bCs/>
          <w:color w:val="auto"/>
        </w:rPr>
        <w:t xml:space="preserve"> and d) live weight gain.</w:t>
      </w:r>
      <w:r w:rsidR="00577C35" w:rsidRPr="00C3645A">
        <w:rPr>
          <w:b/>
          <w:bCs/>
          <w:color w:val="auto"/>
        </w:rPr>
        <w:t xml:space="preserve"> G10, G20, G30 and G40 refer to the grazing intensity treatment, and UG designates the ungrazed treatment.</w:t>
      </w:r>
      <w:r w:rsidR="00B07FF4" w:rsidRPr="00C3645A">
        <w:rPr>
          <w:b/>
          <w:bCs/>
          <w:color w:val="auto"/>
        </w:rPr>
        <w:br w:type="page"/>
      </w:r>
    </w:p>
    <w:p w14:paraId="567E5997" w14:textId="77777777" w:rsidR="00B07FF4" w:rsidRPr="00C3645A" w:rsidRDefault="00B07FF4" w:rsidP="00DD18A8">
      <w:pPr>
        <w:pStyle w:val="PubliManuscript"/>
        <w:spacing w:line="240" w:lineRule="auto"/>
        <w:ind w:firstLine="0"/>
        <w:jc w:val="center"/>
        <w:rPr>
          <w:b/>
          <w:bCs/>
          <w:color w:val="auto"/>
        </w:rPr>
      </w:pPr>
    </w:p>
    <w:tbl>
      <w:tblPr>
        <w:tblStyle w:val="Grilledutableau"/>
        <w:tblW w:w="0" w:type="auto"/>
        <w:jc w:val="center"/>
        <w:tblLook w:val="04A0" w:firstRow="1" w:lastRow="0" w:firstColumn="1" w:lastColumn="0" w:noHBand="0" w:noVBand="1"/>
      </w:tblPr>
      <w:tblGrid>
        <w:gridCol w:w="1437"/>
        <w:gridCol w:w="1437"/>
        <w:gridCol w:w="1437"/>
        <w:gridCol w:w="1437"/>
        <w:gridCol w:w="1439"/>
        <w:gridCol w:w="1440"/>
      </w:tblGrid>
      <w:tr w:rsidR="00C3645A" w:rsidRPr="00C3645A" w14:paraId="48CCF0C3" w14:textId="3AFFD8B8" w:rsidTr="001D2EA7">
        <w:trPr>
          <w:trHeight w:val="283"/>
          <w:jc w:val="center"/>
        </w:trPr>
        <w:tc>
          <w:tcPr>
            <w:tcW w:w="1437" w:type="dxa"/>
            <w:vMerge w:val="restart"/>
            <w:shd w:val="clear" w:color="auto" w:fill="D9D9D9" w:themeFill="background1" w:themeFillShade="D9"/>
          </w:tcPr>
          <w:p w14:paraId="5E56044B" w14:textId="2D8D02AA" w:rsidR="005B2CDA" w:rsidRPr="00C3645A" w:rsidRDefault="005B2CDA" w:rsidP="008E542F">
            <w:pPr>
              <w:pStyle w:val="PubliManuscript"/>
              <w:spacing w:before="0" w:after="0" w:line="240" w:lineRule="auto"/>
              <w:ind w:firstLine="0"/>
              <w:jc w:val="center"/>
              <w:rPr>
                <w:b/>
                <w:bCs/>
                <w:color w:val="auto"/>
              </w:rPr>
            </w:pPr>
            <w:r w:rsidRPr="00C3645A">
              <w:rPr>
                <w:b/>
                <w:bCs/>
                <w:color w:val="auto"/>
              </w:rPr>
              <w:t>Treatment</w:t>
            </w:r>
          </w:p>
        </w:tc>
        <w:tc>
          <w:tcPr>
            <w:tcW w:w="5750" w:type="dxa"/>
            <w:gridSpan w:val="4"/>
            <w:shd w:val="clear" w:color="auto" w:fill="D9D9D9" w:themeFill="background1" w:themeFillShade="D9"/>
          </w:tcPr>
          <w:p w14:paraId="2F900887" w14:textId="02927375" w:rsidR="005B2CDA" w:rsidRPr="00C3645A" w:rsidRDefault="005B2CDA" w:rsidP="008E542F">
            <w:pPr>
              <w:pStyle w:val="PubliManuscript"/>
              <w:spacing w:before="0" w:after="0" w:line="240" w:lineRule="auto"/>
              <w:ind w:firstLine="0"/>
              <w:jc w:val="center"/>
              <w:rPr>
                <w:b/>
                <w:bCs/>
                <w:color w:val="auto"/>
              </w:rPr>
            </w:pPr>
            <w:r w:rsidRPr="00C3645A">
              <w:rPr>
                <w:b/>
                <w:bCs/>
                <w:color w:val="auto"/>
              </w:rPr>
              <w:t>Mean (</w:t>
            </w:r>
            <m:oMath>
              <m:r>
                <m:rPr>
                  <m:sty m:val="bi"/>
                </m:rPr>
                <w:rPr>
                  <w:rFonts w:ascii="Cambria Math" w:hAnsi="Cambria Math"/>
                  <w:color w:val="auto"/>
                </w:rPr>
                <m:t xml:space="preserve">± </m:t>
              </m:r>
            </m:oMath>
            <w:r w:rsidRPr="00C3645A">
              <w:rPr>
                <w:b/>
                <w:bCs/>
                <w:color w:val="auto"/>
              </w:rPr>
              <w:t>s.d.)</w:t>
            </w:r>
          </w:p>
          <w:p w14:paraId="0C7C148C" w14:textId="43A3E91A" w:rsidR="005B2CDA" w:rsidRPr="00C3645A" w:rsidRDefault="005B2CDA" w:rsidP="008E542F">
            <w:pPr>
              <w:pStyle w:val="PubliManuscript"/>
              <w:spacing w:before="0" w:after="0" w:line="240" w:lineRule="auto"/>
              <w:ind w:firstLine="0"/>
              <w:jc w:val="center"/>
              <w:rPr>
                <w:b/>
                <w:bCs/>
                <w:color w:val="auto"/>
              </w:rPr>
            </w:pPr>
            <w:r w:rsidRPr="00C3645A">
              <w:rPr>
                <w:b/>
                <w:bCs/>
                <w:color w:val="auto"/>
              </w:rPr>
              <w:t>[T ha</w:t>
            </w:r>
            <w:r w:rsidRPr="00C3645A">
              <w:rPr>
                <w:b/>
                <w:bCs/>
                <w:color w:val="auto"/>
                <w:vertAlign w:val="superscript"/>
              </w:rPr>
              <w:t>-1</w:t>
            </w:r>
            <w:r w:rsidRPr="00C3645A">
              <w:rPr>
                <w:b/>
                <w:bCs/>
                <w:color w:val="auto"/>
              </w:rPr>
              <w:t>]</w:t>
            </w:r>
          </w:p>
        </w:tc>
        <w:tc>
          <w:tcPr>
            <w:tcW w:w="1440" w:type="dxa"/>
            <w:vMerge w:val="restart"/>
            <w:shd w:val="clear" w:color="auto" w:fill="D9D9D9" w:themeFill="background1" w:themeFillShade="D9"/>
          </w:tcPr>
          <w:p w14:paraId="0429E702" w14:textId="701E6209" w:rsidR="005B2CDA" w:rsidRPr="00C3645A" w:rsidRDefault="00D16493" w:rsidP="008E542F">
            <w:pPr>
              <w:pStyle w:val="PubliManuscript"/>
              <w:spacing w:before="0" w:after="0" w:line="240" w:lineRule="auto"/>
              <w:ind w:firstLine="0"/>
              <w:jc w:val="center"/>
              <w:rPr>
                <w:b/>
                <w:bCs/>
                <w:color w:val="auto"/>
              </w:rPr>
            </w:pPr>
            <w:r w:rsidRPr="00C3645A">
              <w:rPr>
                <w:b/>
                <w:bCs/>
                <w:color w:val="auto"/>
              </w:rPr>
              <w:t>Statistical groups between treatments</w:t>
            </w:r>
          </w:p>
        </w:tc>
      </w:tr>
      <w:tr w:rsidR="00C3645A" w:rsidRPr="00C3645A" w14:paraId="7ADE6B04" w14:textId="568FFB3C" w:rsidTr="001D2EA7">
        <w:trPr>
          <w:trHeight w:val="283"/>
          <w:jc w:val="center"/>
        </w:trPr>
        <w:tc>
          <w:tcPr>
            <w:tcW w:w="1437" w:type="dxa"/>
            <w:vMerge/>
            <w:shd w:val="clear" w:color="auto" w:fill="D9D9D9" w:themeFill="background1" w:themeFillShade="D9"/>
          </w:tcPr>
          <w:p w14:paraId="793D3B7C" w14:textId="75E1AA57" w:rsidR="005B2CDA" w:rsidRPr="00C3645A" w:rsidRDefault="005B2CDA" w:rsidP="008E542F">
            <w:pPr>
              <w:pStyle w:val="PubliManuscript"/>
              <w:spacing w:before="0" w:after="0" w:line="240" w:lineRule="auto"/>
              <w:ind w:firstLine="0"/>
              <w:jc w:val="center"/>
              <w:rPr>
                <w:b/>
                <w:bCs/>
                <w:color w:val="auto"/>
              </w:rPr>
            </w:pPr>
          </w:p>
        </w:tc>
        <w:tc>
          <w:tcPr>
            <w:tcW w:w="2874" w:type="dxa"/>
            <w:gridSpan w:val="2"/>
            <w:shd w:val="clear" w:color="auto" w:fill="D9D9D9" w:themeFill="background1" w:themeFillShade="D9"/>
          </w:tcPr>
          <w:p w14:paraId="0C92A824" w14:textId="250F2F68" w:rsidR="005B2CDA" w:rsidRPr="00C3645A" w:rsidRDefault="005B2CDA" w:rsidP="008E542F">
            <w:pPr>
              <w:pStyle w:val="PubliManuscript"/>
              <w:spacing w:before="0" w:after="0" w:line="240" w:lineRule="auto"/>
              <w:ind w:firstLine="0"/>
              <w:jc w:val="center"/>
              <w:rPr>
                <w:b/>
                <w:bCs/>
                <w:color w:val="auto"/>
              </w:rPr>
            </w:pPr>
            <w:r w:rsidRPr="00C3645A">
              <w:rPr>
                <w:b/>
                <w:bCs/>
                <w:color w:val="auto"/>
              </w:rPr>
              <w:t>2001-2018</w:t>
            </w:r>
          </w:p>
        </w:tc>
        <w:tc>
          <w:tcPr>
            <w:tcW w:w="2876" w:type="dxa"/>
            <w:gridSpan w:val="2"/>
            <w:shd w:val="clear" w:color="auto" w:fill="D9D9D9" w:themeFill="background1" w:themeFillShade="D9"/>
          </w:tcPr>
          <w:p w14:paraId="1E27D11D" w14:textId="3794188C" w:rsidR="005B2CDA" w:rsidRPr="00C3645A" w:rsidRDefault="005B2CDA" w:rsidP="008E542F">
            <w:pPr>
              <w:pStyle w:val="PubliManuscript"/>
              <w:spacing w:before="0" w:after="0" w:line="240" w:lineRule="auto"/>
              <w:ind w:firstLine="0"/>
              <w:jc w:val="center"/>
              <w:rPr>
                <w:b/>
                <w:bCs/>
                <w:color w:val="auto"/>
              </w:rPr>
            </w:pPr>
            <w:r w:rsidRPr="00C3645A">
              <w:rPr>
                <w:b/>
                <w:bCs/>
                <w:color w:val="auto"/>
              </w:rPr>
              <w:t>2041-2058 (RCP8.5)</w:t>
            </w:r>
          </w:p>
        </w:tc>
        <w:tc>
          <w:tcPr>
            <w:tcW w:w="1440" w:type="dxa"/>
            <w:vMerge/>
            <w:shd w:val="clear" w:color="auto" w:fill="D9D9D9" w:themeFill="background1" w:themeFillShade="D9"/>
          </w:tcPr>
          <w:p w14:paraId="6CA61FE2" w14:textId="77777777" w:rsidR="005B2CDA" w:rsidRPr="00C3645A" w:rsidRDefault="005B2CDA" w:rsidP="008E542F">
            <w:pPr>
              <w:pStyle w:val="PubliManuscript"/>
              <w:spacing w:before="0" w:after="0" w:line="240" w:lineRule="auto"/>
              <w:ind w:firstLine="0"/>
              <w:jc w:val="center"/>
              <w:rPr>
                <w:b/>
                <w:bCs/>
                <w:color w:val="auto"/>
              </w:rPr>
            </w:pPr>
          </w:p>
        </w:tc>
      </w:tr>
      <w:tr w:rsidR="00C3645A" w:rsidRPr="00C3645A" w14:paraId="39ACF512" w14:textId="3C22214E" w:rsidTr="001D2EA7">
        <w:trPr>
          <w:trHeight w:val="283"/>
          <w:jc w:val="center"/>
        </w:trPr>
        <w:tc>
          <w:tcPr>
            <w:tcW w:w="8627" w:type="dxa"/>
            <w:gridSpan w:val="6"/>
            <w:shd w:val="clear" w:color="auto" w:fill="D9D9D9" w:themeFill="background1" w:themeFillShade="D9"/>
          </w:tcPr>
          <w:p w14:paraId="04647F16" w14:textId="62ED246B" w:rsidR="005B2CDA" w:rsidRPr="00C3645A" w:rsidRDefault="005B2CDA" w:rsidP="008E542F">
            <w:pPr>
              <w:pStyle w:val="PubliManuscript"/>
              <w:spacing w:before="0" w:after="0" w:line="240" w:lineRule="auto"/>
              <w:ind w:firstLine="0"/>
              <w:jc w:val="center"/>
              <w:rPr>
                <w:b/>
                <w:bCs/>
                <w:color w:val="auto"/>
              </w:rPr>
            </w:pPr>
            <w:r w:rsidRPr="00C3645A">
              <w:rPr>
                <w:b/>
                <w:bCs/>
                <w:color w:val="auto"/>
              </w:rPr>
              <w:t>Total herbage production</w:t>
            </w:r>
          </w:p>
        </w:tc>
      </w:tr>
      <w:tr w:rsidR="00C3645A" w:rsidRPr="00C3645A" w14:paraId="20D71F94" w14:textId="1E6C28FD" w:rsidTr="001D2EA7">
        <w:trPr>
          <w:trHeight w:hRule="exact" w:val="340"/>
          <w:jc w:val="center"/>
        </w:trPr>
        <w:tc>
          <w:tcPr>
            <w:tcW w:w="1437" w:type="dxa"/>
            <w:shd w:val="clear" w:color="auto" w:fill="D9D9D9" w:themeFill="background1" w:themeFillShade="D9"/>
          </w:tcPr>
          <w:p w14:paraId="41BC6EC4" w14:textId="206B31BA" w:rsidR="005B2CDA" w:rsidRPr="00C3645A" w:rsidRDefault="005B2CDA" w:rsidP="008E542F">
            <w:pPr>
              <w:pStyle w:val="PubliManuscript"/>
              <w:spacing w:before="0" w:after="0" w:line="240" w:lineRule="auto"/>
              <w:ind w:firstLine="0"/>
              <w:jc w:val="center"/>
              <w:rPr>
                <w:b/>
                <w:bCs/>
                <w:color w:val="auto"/>
              </w:rPr>
            </w:pPr>
            <w:r w:rsidRPr="00C3645A">
              <w:rPr>
                <w:b/>
                <w:bCs/>
                <w:color w:val="auto"/>
              </w:rPr>
              <w:t>G10</w:t>
            </w:r>
          </w:p>
        </w:tc>
        <w:tc>
          <w:tcPr>
            <w:tcW w:w="2874" w:type="dxa"/>
            <w:gridSpan w:val="2"/>
          </w:tcPr>
          <w:p w14:paraId="08EF9716" w14:textId="4F8AF22F" w:rsidR="005B2CDA" w:rsidRPr="00C3645A" w:rsidRDefault="005B2CDA" w:rsidP="008E542F">
            <w:pPr>
              <w:pStyle w:val="PubliManuscript"/>
              <w:spacing w:before="0" w:after="0" w:line="240" w:lineRule="auto"/>
              <w:ind w:firstLine="0"/>
              <w:jc w:val="center"/>
              <w:rPr>
                <w:color w:val="auto"/>
              </w:rPr>
            </w:pPr>
            <w:r w:rsidRPr="00C3645A">
              <w:rPr>
                <w:color w:val="auto"/>
              </w:rPr>
              <w:t>6.65 (</w:t>
            </w:r>
            <m:oMath>
              <m:r>
                <w:rPr>
                  <w:rFonts w:ascii="Cambria Math" w:hAnsi="Cambria Math"/>
                  <w:color w:val="auto"/>
                </w:rPr>
                <m:t>±1.11)</m:t>
              </m:r>
            </m:oMath>
          </w:p>
        </w:tc>
        <w:tc>
          <w:tcPr>
            <w:tcW w:w="2876" w:type="dxa"/>
            <w:gridSpan w:val="2"/>
          </w:tcPr>
          <w:p w14:paraId="61216B17" w14:textId="1F65258E" w:rsidR="005B2CDA" w:rsidRPr="00C3645A" w:rsidRDefault="005B2CDA" w:rsidP="008E542F">
            <w:pPr>
              <w:pStyle w:val="PubliManuscript"/>
              <w:spacing w:before="0" w:after="0" w:line="240" w:lineRule="auto"/>
              <w:ind w:firstLine="0"/>
              <w:jc w:val="center"/>
              <w:rPr>
                <w:color w:val="auto"/>
              </w:rPr>
            </w:pPr>
            <w:r w:rsidRPr="00C3645A">
              <w:rPr>
                <w:color w:val="auto"/>
              </w:rPr>
              <w:t>8.17 (</w:t>
            </w:r>
            <m:oMath>
              <m:r>
                <w:rPr>
                  <w:rFonts w:ascii="Cambria Math" w:hAnsi="Cambria Math"/>
                  <w:color w:val="auto"/>
                </w:rPr>
                <m:t>±1.54)</m:t>
              </m:r>
            </m:oMath>
          </w:p>
        </w:tc>
        <w:tc>
          <w:tcPr>
            <w:tcW w:w="1440" w:type="dxa"/>
          </w:tcPr>
          <w:p w14:paraId="366D3C04" w14:textId="47640E25" w:rsidR="005B2CDA" w:rsidRPr="00C3645A" w:rsidRDefault="00D16493" w:rsidP="008E542F">
            <w:pPr>
              <w:pStyle w:val="PubliManuscript"/>
              <w:spacing w:before="0" w:after="0" w:line="240" w:lineRule="auto"/>
              <w:ind w:firstLine="0"/>
              <w:jc w:val="center"/>
              <w:rPr>
                <w:color w:val="auto"/>
              </w:rPr>
            </w:pPr>
            <w:r w:rsidRPr="00C3645A">
              <w:rPr>
                <w:color w:val="auto"/>
              </w:rPr>
              <w:t>b</w:t>
            </w:r>
          </w:p>
        </w:tc>
      </w:tr>
      <w:tr w:rsidR="00C3645A" w:rsidRPr="00C3645A" w14:paraId="24E699A0" w14:textId="17A43195" w:rsidTr="001D2EA7">
        <w:trPr>
          <w:trHeight w:hRule="exact" w:val="340"/>
          <w:jc w:val="center"/>
        </w:trPr>
        <w:tc>
          <w:tcPr>
            <w:tcW w:w="1437" w:type="dxa"/>
            <w:shd w:val="clear" w:color="auto" w:fill="D9D9D9" w:themeFill="background1" w:themeFillShade="D9"/>
          </w:tcPr>
          <w:p w14:paraId="77E3303A" w14:textId="4B5F7D7E" w:rsidR="005B2CDA" w:rsidRPr="00C3645A" w:rsidRDefault="005B2CDA" w:rsidP="008E542F">
            <w:pPr>
              <w:pStyle w:val="PubliManuscript"/>
              <w:spacing w:before="0" w:after="0" w:line="240" w:lineRule="auto"/>
              <w:ind w:firstLine="0"/>
              <w:jc w:val="center"/>
              <w:rPr>
                <w:b/>
                <w:bCs/>
                <w:color w:val="auto"/>
              </w:rPr>
            </w:pPr>
            <w:r w:rsidRPr="00C3645A">
              <w:rPr>
                <w:b/>
                <w:bCs/>
                <w:color w:val="auto"/>
              </w:rPr>
              <w:t>G20</w:t>
            </w:r>
          </w:p>
        </w:tc>
        <w:tc>
          <w:tcPr>
            <w:tcW w:w="2874" w:type="dxa"/>
            <w:gridSpan w:val="2"/>
          </w:tcPr>
          <w:p w14:paraId="5531F635" w14:textId="70D64396" w:rsidR="005B2CDA" w:rsidRPr="00C3645A" w:rsidRDefault="005B2CDA" w:rsidP="008E542F">
            <w:pPr>
              <w:pStyle w:val="PubliManuscript"/>
              <w:spacing w:before="0" w:after="0" w:line="240" w:lineRule="auto"/>
              <w:ind w:firstLine="0"/>
              <w:jc w:val="center"/>
              <w:rPr>
                <w:color w:val="auto"/>
              </w:rPr>
            </w:pPr>
            <w:r w:rsidRPr="00C3645A">
              <w:rPr>
                <w:color w:val="auto"/>
              </w:rPr>
              <w:t>7.32 (</w:t>
            </w:r>
            <m:oMath>
              <m:r>
                <w:rPr>
                  <w:rFonts w:ascii="Cambria Math" w:hAnsi="Cambria Math"/>
                  <w:color w:val="auto"/>
                </w:rPr>
                <m:t>±1.38)</m:t>
              </m:r>
            </m:oMath>
          </w:p>
        </w:tc>
        <w:tc>
          <w:tcPr>
            <w:tcW w:w="2876" w:type="dxa"/>
            <w:gridSpan w:val="2"/>
          </w:tcPr>
          <w:p w14:paraId="5C2D4622" w14:textId="69C5B2D8" w:rsidR="005B2CDA" w:rsidRPr="00C3645A" w:rsidRDefault="005B2CDA" w:rsidP="008E542F">
            <w:pPr>
              <w:pStyle w:val="PubliManuscript"/>
              <w:spacing w:before="0" w:after="0" w:line="240" w:lineRule="auto"/>
              <w:ind w:firstLine="0"/>
              <w:jc w:val="center"/>
              <w:rPr>
                <w:color w:val="auto"/>
              </w:rPr>
            </w:pPr>
            <w:r w:rsidRPr="00C3645A">
              <w:rPr>
                <w:color w:val="auto"/>
              </w:rPr>
              <w:t>9.02 (</w:t>
            </w:r>
            <m:oMath>
              <m:r>
                <w:rPr>
                  <w:rFonts w:ascii="Cambria Math" w:hAnsi="Cambria Math"/>
                  <w:color w:val="auto"/>
                </w:rPr>
                <m:t>±1.64)</m:t>
              </m:r>
            </m:oMath>
          </w:p>
        </w:tc>
        <w:tc>
          <w:tcPr>
            <w:tcW w:w="1440" w:type="dxa"/>
          </w:tcPr>
          <w:p w14:paraId="110EE996" w14:textId="05338904" w:rsidR="005B2CDA" w:rsidRPr="00C3645A" w:rsidRDefault="00D16493" w:rsidP="008E542F">
            <w:pPr>
              <w:pStyle w:val="PubliManuscript"/>
              <w:spacing w:before="0" w:after="0" w:line="240" w:lineRule="auto"/>
              <w:ind w:firstLine="0"/>
              <w:jc w:val="center"/>
              <w:rPr>
                <w:color w:val="auto"/>
              </w:rPr>
            </w:pPr>
            <w:r w:rsidRPr="00C3645A">
              <w:rPr>
                <w:color w:val="auto"/>
              </w:rPr>
              <w:t>ab</w:t>
            </w:r>
          </w:p>
        </w:tc>
      </w:tr>
      <w:tr w:rsidR="00C3645A" w:rsidRPr="00C3645A" w14:paraId="56A89C4F" w14:textId="0423EBC6" w:rsidTr="001D2EA7">
        <w:trPr>
          <w:trHeight w:hRule="exact" w:val="340"/>
          <w:jc w:val="center"/>
        </w:trPr>
        <w:tc>
          <w:tcPr>
            <w:tcW w:w="1437" w:type="dxa"/>
            <w:shd w:val="clear" w:color="auto" w:fill="D9D9D9" w:themeFill="background1" w:themeFillShade="D9"/>
          </w:tcPr>
          <w:p w14:paraId="3DA04BE4" w14:textId="295E2B35" w:rsidR="005B2CDA" w:rsidRPr="00C3645A" w:rsidRDefault="005B2CDA" w:rsidP="008E542F">
            <w:pPr>
              <w:pStyle w:val="PubliManuscript"/>
              <w:spacing w:before="0" w:after="0" w:line="240" w:lineRule="auto"/>
              <w:ind w:firstLine="0"/>
              <w:jc w:val="center"/>
              <w:rPr>
                <w:b/>
                <w:bCs/>
                <w:color w:val="auto"/>
              </w:rPr>
            </w:pPr>
            <w:r w:rsidRPr="00C3645A">
              <w:rPr>
                <w:b/>
                <w:bCs/>
                <w:color w:val="auto"/>
              </w:rPr>
              <w:t>G30</w:t>
            </w:r>
          </w:p>
        </w:tc>
        <w:tc>
          <w:tcPr>
            <w:tcW w:w="2874" w:type="dxa"/>
            <w:gridSpan w:val="2"/>
          </w:tcPr>
          <w:p w14:paraId="26D5D43B" w14:textId="4C8BCC7D" w:rsidR="005B2CDA" w:rsidRPr="00C3645A" w:rsidRDefault="005B2CDA" w:rsidP="008E542F">
            <w:pPr>
              <w:pStyle w:val="PubliManuscript"/>
              <w:spacing w:before="0" w:after="0" w:line="240" w:lineRule="auto"/>
              <w:ind w:firstLine="0"/>
              <w:jc w:val="center"/>
              <w:rPr>
                <w:color w:val="auto"/>
              </w:rPr>
            </w:pPr>
            <w:r w:rsidRPr="00C3645A">
              <w:rPr>
                <w:color w:val="auto"/>
              </w:rPr>
              <w:t>7.91 (</w:t>
            </w:r>
            <m:oMath>
              <m:r>
                <w:rPr>
                  <w:rFonts w:ascii="Cambria Math" w:hAnsi="Cambria Math"/>
                  <w:color w:val="auto"/>
                </w:rPr>
                <m:t>±1.49)</m:t>
              </m:r>
            </m:oMath>
          </w:p>
        </w:tc>
        <w:tc>
          <w:tcPr>
            <w:tcW w:w="2876" w:type="dxa"/>
            <w:gridSpan w:val="2"/>
          </w:tcPr>
          <w:p w14:paraId="311EF62E" w14:textId="6543BADE" w:rsidR="005B2CDA" w:rsidRPr="00C3645A" w:rsidRDefault="005B2CDA" w:rsidP="008E542F">
            <w:pPr>
              <w:pStyle w:val="PubliManuscript"/>
              <w:spacing w:before="0" w:after="0" w:line="240" w:lineRule="auto"/>
              <w:ind w:firstLine="0"/>
              <w:jc w:val="center"/>
              <w:rPr>
                <w:color w:val="auto"/>
              </w:rPr>
            </w:pPr>
            <w:r w:rsidRPr="00C3645A">
              <w:rPr>
                <w:color w:val="auto"/>
              </w:rPr>
              <w:t>9.82 (</w:t>
            </w:r>
            <m:oMath>
              <m:r>
                <w:rPr>
                  <w:rFonts w:ascii="Cambria Math" w:hAnsi="Cambria Math"/>
                  <w:color w:val="auto"/>
                </w:rPr>
                <m:t>±1.76)</m:t>
              </m:r>
            </m:oMath>
          </w:p>
        </w:tc>
        <w:tc>
          <w:tcPr>
            <w:tcW w:w="1440" w:type="dxa"/>
          </w:tcPr>
          <w:p w14:paraId="7118BAF5" w14:textId="251C1108" w:rsidR="005B2CDA" w:rsidRPr="00C3645A" w:rsidRDefault="00D16493" w:rsidP="008E542F">
            <w:pPr>
              <w:pStyle w:val="PubliManuscript"/>
              <w:spacing w:before="0" w:after="0" w:line="240" w:lineRule="auto"/>
              <w:ind w:firstLine="0"/>
              <w:jc w:val="center"/>
              <w:rPr>
                <w:color w:val="auto"/>
              </w:rPr>
            </w:pPr>
            <w:r w:rsidRPr="00C3645A">
              <w:rPr>
                <w:color w:val="auto"/>
              </w:rPr>
              <w:t>a</w:t>
            </w:r>
          </w:p>
        </w:tc>
      </w:tr>
      <w:tr w:rsidR="00C3645A" w:rsidRPr="00C3645A" w14:paraId="243E78D7" w14:textId="5CC93367" w:rsidTr="001D2EA7">
        <w:trPr>
          <w:trHeight w:hRule="exact" w:val="340"/>
          <w:jc w:val="center"/>
        </w:trPr>
        <w:tc>
          <w:tcPr>
            <w:tcW w:w="1437" w:type="dxa"/>
            <w:shd w:val="clear" w:color="auto" w:fill="D9D9D9" w:themeFill="background1" w:themeFillShade="D9"/>
          </w:tcPr>
          <w:p w14:paraId="1D815666" w14:textId="1CAC6154" w:rsidR="005B2CDA" w:rsidRPr="00C3645A" w:rsidRDefault="005B2CDA" w:rsidP="008E542F">
            <w:pPr>
              <w:pStyle w:val="PubliManuscript"/>
              <w:spacing w:before="0" w:after="0" w:line="240" w:lineRule="auto"/>
              <w:ind w:firstLine="0"/>
              <w:jc w:val="center"/>
              <w:rPr>
                <w:b/>
                <w:bCs/>
                <w:color w:val="auto"/>
              </w:rPr>
            </w:pPr>
            <w:r w:rsidRPr="00C3645A">
              <w:rPr>
                <w:b/>
                <w:bCs/>
                <w:color w:val="auto"/>
              </w:rPr>
              <w:t>G40</w:t>
            </w:r>
          </w:p>
        </w:tc>
        <w:tc>
          <w:tcPr>
            <w:tcW w:w="2874" w:type="dxa"/>
            <w:gridSpan w:val="2"/>
          </w:tcPr>
          <w:p w14:paraId="6C202C30" w14:textId="24E8F601" w:rsidR="005B2CDA" w:rsidRPr="00C3645A" w:rsidRDefault="005B2CDA" w:rsidP="008E542F">
            <w:pPr>
              <w:pStyle w:val="PubliManuscript"/>
              <w:spacing w:before="0" w:after="0" w:line="240" w:lineRule="auto"/>
              <w:ind w:firstLine="0"/>
              <w:jc w:val="center"/>
              <w:rPr>
                <w:color w:val="auto"/>
              </w:rPr>
            </w:pPr>
            <w:r w:rsidRPr="00C3645A">
              <w:rPr>
                <w:color w:val="auto"/>
              </w:rPr>
              <w:t>8.04 (</w:t>
            </w:r>
            <m:oMath>
              <m:r>
                <w:rPr>
                  <w:rFonts w:ascii="Cambria Math" w:hAnsi="Cambria Math"/>
                  <w:color w:val="auto"/>
                </w:rPr>
                <m:t>±1.42)</m:t>
              </m:r>
            </m:oMath>
          </w:p>
        </w:tc>
        <w:tc>
          <w:tcPr>
            <w:tcW w:w="2876" w:type="dxa"/>
            <w:gridSpan w:val="2"/>
          </w:tcPr>
          <w:p w14:paraId="69E76540" w14:textId="5388E802" w:rsidR="005B2CDA" w:rsidRPr="00C3645A" w:rsidRDefault="005B2CDA" w:rsidP="008E542F">
            <w:pPr>
              <w:pStyle w:val="PubliManuscript"/>
              <w:spacing w:before="0" w:after="0" w:line="240" w:lineRule="auto"/>
              <w:ind w:firstLine="0"/>
              <w:jc w:val="center"/>
              <w:rPr>
                <w:color w:val="auto"/>
              </w:rPr>
            </w:pPr>
            <w:r w:rsidRPr="00C3645A">
              <w:rPr>
                <w:color w:val="auto"/>
              </w:rPr>
              <w:t>9.90 (</w:t>
            </w:r>
            <m:oMath>
              <m:r>
                <w:rPr>
                  <w:rFonts w:ascii="Cambria Math" w:hAnsi="Cambria Math"/>
                  <w:color w:val="auto"/>
                </w:rPr>
                <m:t>±1.48)</m:t>
              </m:r>
            </m:oMath>
          </w:p>
        </w:tc>
        <w:tc>
          <w:tcPr>
            <w:tcW w:w="1440" w:type="dxa"/>
          </w:tcPr>
          <w:p w14:paraId="2DC5CD90" w14:textId="40C62AAF" w:rsidR="005B2CDA" w:rsidRPr="00C3645A" w:rsidRDefault="00D16493" w:rsidP="008E542F">
            <w:pPr>
              <w:pStyle w:val="PubliManuscript"/>
              <w:spacing w:before="0" w:after="0" w:line="240" w:lineRule="auto"/>
              <w:ind w:firstLine="0"/>
              <w:jc w:val="center"/>
              <w:rPr>
                <w:color w:val="auto"/>
              </w:rPr>
            </w:pPr>
            <w:r w:rsidRPr="00C3645A">
              <w:rPr>
                <w:color w:val="auto"/>
              </w:rPr>
              <w:t>a</w:t>
            </w:r>
          </w:p>
        </w:tc>
      </w:tr>
      <w:tr w:rsidR="00C3645A" w:rsidRPr="00C3645A" w14:paraId="1A321342" w14:textId="186BCA4F" w:rsidTr="001D2EA7">
        <w:trPr>
          <w:trHeight w:hRule="exact" w:val="340"/>
          <w:jc w:val="center"/>
        </w:trPr>
        <w:tc>
          <w:tcPr>
            <w:tcW w:w="1437" w:type="dxa"/>
            <w:shd w:val="clear" w:color="auto" w:fill="D9D9D9" w:themeFill="background1" w:themeFillShade="D9"/>
          </w:tcPr>
          <w:p w14:paraId="0BAE9784" w14:textId="1C1E9B86" w:rsidR="005B2CDA" w:rsidRPr="00C3645A" w:rsidRDefault="005B2CDA" w:rsidP="008E542F">
            <w:pPr>
              <w:pStyle w:val="PubliManuscript"/>
              <w:spacing w:before="0" w:after="0" w:line="240" w:lineRule="auto"/>
              <w:ind w:firstLine="0"/>
              <w:jc w:val="center"/>
              <w:rPr>
                <w:b/>
                <w:bCs/>
                <w:color w:val="auto"/>
              </w:rPr>
            </w:pPr>
            <w:r w:rsidRPr="00C3645A">
              <w:rPr>
                <w:b/>
                <w:bCs/>
                <w:color w:val="auto"/>
              </w:rPr>
              <w:t>UG</w:t>
            </w:r>
          </w:p>
        </w:tc>
        <w:tc>
          <w:tcPr>
            <w:tcW w:w="2874" w:type="dxa"/>
            <w:gridSpan w:val="2"/>
          </w:tcPr>
          <w:p w14:paraId="0353E4C8" w14:textId="022BA711" w:rsidR="005B2CDA" w:rsidRPr="00C3645A" w:rsidRDefault="005B2CDA" w:rsidP="008E542F">
            <w:pPr>
              <w:pStyle w:val="PubliManuscript"/>
              <w:spacing w:before="0" w:after="0" w:line="240" w:lineRule="auto"/>
              <w:ind w:firstLine="0"/>
              <w:jc w:val="center"/>
              <w:rPr>
                <w:color w:val="auto"/>
              </w:rPr>
            </w:pPr>
            <w:r w:rsidRPr="00C3645A">
              <w:rPr>
                <w:color w:val="auto"/>
              </w:rPr>
              <w:t>7.02 (</w:t>
            </w:r>
            <m:oMath>
              <m:r>
                <w:rPr>
                  <w:rFonts w:ascii="Cambria Math" w:hAnsi="Cambria Math"/>
                  <w:color w:val="auto"/>
                </w:rPr>
                <m:t>±0.66)</m:t>
              </m:r>
            </m:oMath>
          </w:p>
        </w:tc>
        <w:tc>
          <w:tcPr>
            <w:tcW w:w="2876" w:type="dxa"/>
            <w:gridSpan w:val="2"/>
          </w:tcPr>
          <w:p w14:paraId="78FE767F" w14:textId="5D1E352C" w:rsidR="005B2CDA" w:rsidRPr="00C3645A" w:rsidRDefault="005B2CDA" w:rsidP="008E542F">
            <w:pPr>
              <w:pStyle w:val="PubliManuscript"/>
              <w:spacing w:before="0" w:after="0" w:line="240" w:lineRule="auto"/>
              <w:ind w:firstLine="0"/>
              <w:jc w:val="center"/>
              <w:rPr>
                <w:color w:val="auto"/>
              </w:rPr>
            </w:pPr>
            <w:r w:rsidRPr="00C3645A">
              <w:rPr>
                <w:color w:val="auto"/>
              </w:rPr>
              <w:t>8.07 (</w:t>
            </w:r>
            <m:oMath>
              <m:r>
                <w:rPr>
                  <w:rFonts w:ascii="Cambria Math" w:hAnsi="Cambria Math"/>
                  <w:color w:val="auto"/>
                </w:rPr>
                <m:t>±0.61)</m:t>
              </m:r>
            </m:oMath>
          </w:p>
        </w:tc>
        <w:tc>
          <w:tcPr>
            <w:tcW w:w="1440" w:type="dxa"/>
            <w:tcBorders>
              <w:bottom w:val="single" w:sz="4" w:space="0" w:color="auto"/>
            </w:tcBorders>
          </w:tcPr>
          <w:p w14:paraId="7A3CE6A1" w14:textId="08CEEBAA" w:rsidR="005B2CDA" w:rsidRPr="00C3645A" w:rsidRDefault="00D16493" w:rsidP="008E542F">
            <w:pPr>
              <w:pStyle w:val="PubliManuscript"/>
              <w:spacing w:before="0" w:after="0" w:line="240" w:lineRule="auto"/>
              <w:ind w:firstLine="0"/>
              <w:jc w:val="center"/>
              <w:rPr>
                <w:color w:val="auto"/>
              </w:rPr>
            </w:pPr>
            <w:r w:rsidRPr="00C3645A">
              <w:rPr>
                <w:color w:val="auto"/>
              </w:rPr>
              <w:t>b</w:t>
            </w:r>
          </w:p>
        </w:tc>
      </w:tr>
      <w:tr w:rsidR="00C3645A" w:rsidRPr="00C3645A" w14:paraId="48779081" w14:textId="77777777" w:rsidTr="001D2EA7">
        <w:trPr>
          <w:trHeight w:hRule="exact" w:val="1134"/>
          <w:jc w:val="center"/>
        </w:trPr>
        <w:tc>
          <w:tcPr>
            <w:tcW w:w="1437" w:type="dxa"/>
            <w:shd w:val="clear" w:color="auto" w:fill="D9D9D9" w:themeFill="background1" w:themeFillShade="D9"/>
          </w:tcPr>
          <w:p w14:paraId="4A908A6E" w14:textId="0DD4768F" w:rsidR="00AC7838" w:rsidRPr="00C3645A" w:rsidRDefault="00AC7838" w:rsidP="008E542F">
            <w:pPr>
              <w:pStyle w:val="PubliManuscript"/>
              <w:spacing w:before="0" w:after="0" w:line="240" w:lineRule="auto"/>
              <w:ind w:firstLine="0"/>
              <w:jc w:val="center"/>
              <w:rPr>
                <w:b/>
                <w:bCs/>
                <w:color w:val="auto"/>
              </w:rPr>
            </w:pPr>
            <w:r w:rsidRPr="00C3645A">
              <w:rPr>
                <w:b/>
                <w:bCs/>
                <w:color w:val="auto"/>
              </w:rPr>
              <w:t>Statistical groups between periods</w:t>
            </w:r>
          </w:p>
        </w:tc>
        <w:tc>
          <w:tcPr>
            <w:tcW w:w="2874" w:type="dxa"/>
            <w:gridSpan w:val="2"/>
          </w:tcPr>
          <w:p w14:paraId="1DBF786F" w14:textId="77777777" w:rsidR="008974E4" w:rsidRPr="00C3645A" w:rsidRDefault="008974E4" w:rsidP="008E542F">
            <w:pPr>
              <w:pStyle w:val="PubliManuscript"/>
              <w:spacing w:before="0" w:after="0" w:line="240" w:lineRule="auto"/>
              <w:ind w:firstLine="0"/>
              <w:jc w:val="center"/>
              <w:rPr>
                <w:color w:val="auto"/>
              </w:rPr>
            </w:pPr>
          </w:p>
          <w:p w14:paraId="261B7FE5" w14:textId="54BC7BDF" w:rsidR="00AC7838" w:rsidRPr="00C3645A" w:rsidRDefault="00AC7838" w:rsidP="008E542F">
            <w:pPr>
              <w:pStyle w:val="PubliManuscript"/>
              <w:spacing w:before="0" w:after="0" w:line="240" w:lineRule="auto"/>
              <w:ind w:firstLine="0"/>
              <w:jc w:val="center"/>
              <w:rPr>
                <w:color w:val="auto"/>
              </w:rPr>
            </w:pPr>
            <w:r w:rsidRPr="00C3645A">
              <w:rPr>
                <w:color w:val="auto"/>
              </w:rPr>
              <w:t>B</w:t>
            </w:r>
          </w:p>
        </w:tc>
        <w:tc>
          <w:tcPr>
            <w:tcW w:w="2876" w:type="dxa"/>
            <w:gridSpan w:val="2"/>
          </w:tcPr>
          <w:p w14:paraId="37E6784F" w14:textId="77777777" w:rsidR="008974E4" w:rsidRPr="00C3645A" w:rsidRDefault="008974E4" w:rsidP="008E542F">
            <w:pPr>
              <w:pStyle w:val="PubliManuscript"/>
              <w:spacing w:before="0" w:after="0" w:line="240" w:lineRule="auto"/>
              <w:ind w:firstLine="0"/>
              <w:jc w:val="center"/>
              <w:rPr>
                <w:color w:val="auto"/>
              </w:rPr>
            </w:pPr>
          </w:p>
          <w:p w14:paraId="0806372E" w14:textId="71507D5E" w:rsidR="00AC7838" w:rsidRPr="00C3645A" w:rsidRDefault="00AC7838" w:rsidP="008E542F">
            <w:pPr>
              <w:pStyle w:val="PubliManuscript"/>
              <w:spacing w:before="0" w:after="0" w:line="240" w:lineRule="auto"/>
              <w:ind w:firstLine="0"/>
              <w:jc w:val="center"/>
              <w:rPr>
                <w:color w:val="auto"/>
              </w:rPr>
            </w:pPr>
            <w:r w:rsidRPr="00C3645A">
              <w:rPr>
                <w:color w:val="auto"/>
              </w:rPr>
              <w:t>A</w:t>
            </w:r>
          </w:p>
        </w:tc>
        <w:tc>
          <w:tcPr>
            <w:tcW w:w="1440" w:type="dxa"/>
            <w:tcBorders>
              <w:tl2br w:val="single" w:sz="4" w:space="0" w:color="auto"/>
            </w:tcBorders>
          </w:tcPr>
          <w:p w14:paraId="77372117" w14:textId="5D38504E" w:rsidR="00AC7838" w:rsidRPr="00C3645A" w:rsidRDefault="00C729D1" w:rsidP="008E542F">
            <w:pPr>
              <w:pStyle w:val="PubliManuscript"/>
              <w:spacing w:before="0" w:after="0" w:line="240" w:lineRule="auto"/>
              <w:ind w:firstLine="0"/>
              <w:rPr>
                <w:color w:val="auto"/>
                <w:sz w:val="18"/>
                <w:szCs w:val="18"/>
              </w:rPr>
            </w:pPr>
            <w:r w:rsidRPr="00C3645A">
              <w:rPr>
                <w:i/>
                <w:iCs/>
                <w:color w:val="auto"/>
                <w:sz w:val="18"/>
                <w:szCs w:val="18"/>
              </w:rPr>
              <w:t xml:space="preserve">      p </w:t>
            </w:r>
            <w:r w:rsidRPr="00C3645A">
              <w:rPr>
                <w:color w:val="auto"/>
                <w:sz w:val="18"/>
                <w:szCs w:val="18"/>
              </w:rPr>
              <w:t>= 1.89e-07</w:t>
            </w:r>
          </w:p>
          <w:p w14:paraId="7D749413" w14:textId="77777777" w:rsidR="00C729D1" w:rsidRPr="00C3645A" w:rsidRDefault="00C729D1" w:rsidP="008E542F">
            <w:pPr>
              <w:pStyle w:val="PubliManuscript"/>
              <w:spacing w:before="0" w:after="0" w:line="240" w:lineRule="auto"/>
              <w:ind w:firstLine="0"/>
              <w:rPr>
                <w:i/>
                <w:iCs/>
                <w:color w:val="auto"/>
                <w:sz w:val="18"/>
                <w:szCs w:val="18"/>
              </w:rPr>
            </w:pPr>
          </w:p>
          <w:p w14:paraId="2E58891F" w14:textId="77777777" w:rsidR="00C729D1" w:rsidRPr="00C3645A" w:rsidRDefault="00C729D1" w:rsidP="008E542F">
            <w:pPr>
              <w:pStyle w:val="PubliManuscript"/>
              <w:spacing w:before="0" w:after="0" w:line="240" w:lineRule="auto"/>
              <w:ind w:firstLine="0"/>
              <w:rPr>
                <w:i/>
                <w:iCs/>
                <w:color w:val="auto"/>
                <w:sz w:val="18"/>
                <w:szCs w:val="18"/>
              </w:rPr>
            </w:pPr>
          </w:p>
          <w:p w14:paraId="111EF182" w14:textId="77777777" w:rsidR="008E542F" w:rsidRPr="00C3645A" w:rsidRDefault="008E542F" w:rsidP="008E542F">
            <w:pPr>
              <w:pStyle w:val="PubliManuscript"/>
              <w:spacing w:before="0" w:after="0" w:line="240" w:lineRule="auto"/>
              <w:ind w:firstLine="0"/>
              <w:rPr>
                <w:i/>
                <w:iCs/>
                <w:color w:val="auto"/>
                <w:sz w:val="18"/>
                <w:szCs w:val="18"/>
              </w:rPr>
            </w:pPr>
          </w:p>
          <w:p w14:paraId="717FA205" w14:textId="14B8D062" w:rsidR="00C729D1" w:rsidRPr="00C3645A" w:rsidRDefault="00C729D1" w:rsidP="008E542F">
            <w:pPr>
              <w:pStyle w:val="PubliManuscript"/>
              <w:spacing w:before="0" w:after="0" w:line="240" w:lineRule="auto"/>
              <w:ind w:firstLine="0"/>
              <w:rPr>
                <w:color w:val="auto"/>
                <w:sz w:val="18"/>
                <w:szCs w:val="18"/>
              </w:rPr>
            </w:pPr>
            <w:r w:rsidRPr="00C3645A">
              <w:rPr>
                <w:i/>
                <w:iCs/>
                <w:color w:val="auto"/>
                <w:sz w:val="18"/>
                <w:szCs w:val="18"/>
              </w:rPr>
              <w:t xml:space="preserve">p </w:t>
            </w:r>
            <w:r w:rsidRPr="00C3645A">
              <w:rPr>
                <w:color w:val="auto"/>
                <w:sz w:val="18"/>
                <w:szCs w:val="18"/>
              </w:rPr>
              <w:t>= 2.08e-13</w:t>
            </w:r>
          </w:p>
        </w:tc>
      </w:tr>
      <w:tr w:rsidR="00C3645A" w:rsidRPr="00C3645A" w14:paraId="7FF26CCF" w14:textId="0D689598" w:rsidTr="001D2EA7">
        <w:trPr>
          <w:trHeight w:val="283"/>
          <w:jc w:val="center"/>
        </w:trPr>
        <w:tc>
          <w:tcPr>
            <w:tcW w:w="8627" w:type="dxa"/>
            <w:gridSpan w:val="6"/>
            <w:shd w:val="clear" w:color="auto" w:fill="D9D9D9" w:themeFill="background1" w:themeFillShade="D9"/>
          </w:tcPr>
          <w:p w14:paraId="003F994D" w14:textId="4739B2C2" w:rsidR="00FC3693" w:rsidRPr="00C3645A" w:rsidRDefault="00FC3693" w:rsidP="008E542F">
            <w:pPr>
              <w:pStyle w:val="PubliManuscript"/>
              <w:spacing w:before="0" w:after="0" w:line="240" w:lineRule="auto"/>
              <w:ind w:firstLine="0"/>
              <w:jc w:val="center"/>
              <w:rPr>
                <w:b/>
                <w:bCs/>
                <w:color w:val="auto"/>
                <w:vertAlign w:val="superscript"/>
              </w:rPr>
            </w:pPr>
            <w:r w:rsidRPr="00C3645A">
              <w:rPr>
                <w:b/>
                <w:bCs/>
                <w:color w:val="auto"/>
              </w:rPr>
              <w:t>Live weight gain</w:t>
            </w:r>
            <w:r w:rsidR="00950B20" w:rsidRPr="00C3645A">
              <w:rPr>
                <w:b/>
                <w:bCs/>
                <w:color w:val="auto"/>
                <w:vertAlign w:val="superscript"/>
              </w:rPr>
              <w:t>$</w:t>
            </w:r>
          </w:p>
        </w:tc>
      </w:tr>
      <w:tr w:rsidR="00C3645A" w:rsidRPr="00C3645A" w14:paraId="22B390D3" w14:textId="77777777" w:rsidTr="005F04FE">
        <w:trPr>
          <w:trHeight w:val="283"/>
          <w:jc w:val="center"/>
        </w:trPr>
        <w:tc>
          <w:tcPr>
            <w:tcW w:w="1437" w:type="dxa"/>
            <w:shd w:val="clear" w:color="auto" w:fill="D9D9D9" w:themeFill="background1" w:themeFillShade="D9"/>
          </w:tcPr>
          <w:p w14:paraId="5ADF388B" w14:textId="77777777" w:rsidR="0035674C" w:rsidRPr="00C3645A" w:rsidRDefault="0035674C" w:rsidP="0035674C">
            <w:pPr>
              <w:pStyle w:val="PubliManuscript"/>
              <w:spacing w:before="0" w:after="0" w:line="240" w:lineRule="auto"/>
              <w:ind w:firstLine="0"/>
              <w:jc w:val="center"/>
              <w:rPr>
                <w:b/>
                <w:bCs/>
                <w:color w:val="auto"/>
              </w:rPr>
            </w:pPr>
          </w:p>
        </w:tc>
        <w:tc>
          <w:tcPr>
            <w:tcW w:w="1437" w:type="dxa"/>
            <w:shd w:val="clear" w:color="auto" w:fill="D9D9D9" w:themeFill="background1" w:themeFillShade="D9"/>
          </w:tcPr>
          <w:p w14:paraId="0D34AB55" w14:textId="007F0B0D" w:rsidR="0035674C" w:rsidRPr="00C3645A" w:rsidRDefault="0035674C" w:rsidP="0035674C">
            <w:pPr>
              <w:pStyle w:val="PubliManuscript"/>
              <w:spacing w:before="0" w:after="0" w:line="240" w:lineRule="auto"/>
              <w:ind w:firstLine="0"/>
              <w:jc w:val="center"/>
              <w:rPr>
                <w:b/>
                <w:bCs/>
                <w:color w:val="auto"/>
              </w:rPr>
            </w:pPr>
            <w:r w:rsidRPr="00C3645A">
              <w:rPr>
                <w:b/>
                <w:bCs/>
                <w:color w:val="auto"/>
              </w:rPr>
              <w:t>Mean (</w:t>
            </w:r>
            <m:oMath>
              <m:r>
                <m:rPr>
                  <m:sty m:val="bi"/>
                </m:rPr>
                <w:rPr>
                  <w:rFonts w:ascii="Cambria Math" w:hAnsi="Cambria Math"/>
                  <w:color w:val="auto"/>
                </w:rPr>
                <m:t xml:space="preserve">± </m:t>
              </m:r>
            </m:oMath>
            <w:r w:rsidRPr="00C3645A">
              <w:rPr>
                <w:b/>
                <w:bCs/>
                <w:color w:val="auto"/>
              </w:rPr>
              <w:t>s.d.)</w:t>
            </w:r>
          </w:p>
          <w:p w14:paraId="4089249B" w14:textId="389D99C5" w:rsidR="0035674C" w:rsidRPr="00C3645A" w:rsidRDefault="0035674C" w:rsidP="0035674C">
            <w:pPr>
              <w:pStyle w:val="PubliManuscript"/>
              <w:spacing w:before="0" w:after="0" w:line="240" w:lineRule="auto"/>
              <w:ind w:firstLine="0"/>
              <w:jc w:val="center"/>
              <w:rPr>
                <w:color w:val="auto"/>
              </w:rPr>
            </w:pPr>
            <w:r w:rsidRPr="00C3645A">
              <w:rPr>
                <w:b/>
                <w:bCs/>
                <w:color w:val="auto"/>
              </w:rPr>
              <w:t>[T ha</w:t>
            </w:r>
            <w:r w:rsidRPr="00C3645A">
              <w:rPr>
                <w:b/>
                <w:bCs/>
                <w:color w:val="auto"/>
                <w:vertAlign w:val="superscript"/>
              </w:rPr>
              <w:t>-1</w:t>
            </w:r>
            <w:r w:rsidRPr="00C3645A">
              <w:rPr>
                <w:b/>
                <w:bCs/>
                <w:color w:val="auto"/>
              </w:rPr>
              <w:t>]</w:t>
            </w:r>
          </w:p>
        </w:tc>
        <w:tc>
          <w:tcPr>
            <w:tcW w:w="1437" w:type="dxa"/>
            <w:shd w:val="clear" w:color="auto" w:fill="D9D9D9" w:themeFill="background1" w:themeFillShade="D9"/>
          </w:tcPr>
          <w:p w14:paraId="684E2EAA" w14:textId="4A5DB79E" w:rsidR="0035674C" w:rsidRPr="00C3645A" w:rsidRDefault="0035674C" w:rsidP="0035674C">
            <w:pPr>
              <w:pStyle w:val="PubliManuscript"/>
              <w:spacing w:before="0" w:after="0" w:line="240" w:lineRule="auto"/>
              <w:ind w:firstLine="0"/>
              <w:jc w:val="center"/>
              <w:rPr>
                <w:b/>
                <w:bCs/>
                <w:color w:val="auto"/>
              </w:rPr>
            </w:pPr>
            <w:r w:rsidRPr="00C3645A">
              <w:rPr>
                <w:b/>
                <w:bCs/>
                <w:color w:val="auto"/>
              </w:rPr>
              <w:t>Statistical groups between treatments and periods</w:t>
            </w:r>
          </w:p>
        </w:tc>
        <w:tc>
          <w:tcPr>
            <w:tcW w:w="1437" w:type="dxa"/>
            <w:shd w:val="clear" w:color="auto" w:fill="D9D9D9" w:themeFill="background1" w:themeFillShade="D9"/>
          </w:tcPr>
          <w:p w14:paraId="56E0D43F" w14:textId="7FFD864B" w:rsidR="0035674C" w:rsidRPr="00C3645A" w:rsidRDefault="0035674C" w:rsidP="0035674C">
            <w:pPr>
              <w:pStyle w:val="PubliManuscript"/>
              <w:spacing w:before="0" w:after="0" w:line="240" w:lineRule="auto"/>
              <w:ind w:firstLine="0"/>
              <w:jc w:val="center"/>
              <w:rPr>
                <w:b/>
                <w:bCs/>
                <w:color w:val="auto"/>
              </w:rPr>
            </w:pPr>
            <w:r w:rsidRPr="00C3645A">
              <w:rPr>
                <w:b/>
                <w:bCs/>
                <w:color w:val="auto"/>
              </w:rPr>
              <w:t>Mean (</w:t>
            </w:r>
            <m:oMath>
              <m:r>
                <m:rPr>
                  <m:sty m:val="bi"/>
                </m:rPr>
                <w:rPr>
                  <w:rFonts w:ascii="Cambria Math" w:hAnsi="Cambria Math"/>
                  <w:color w:val="auto"/>
                </w:rPr>
                <m:t xml:space="preserve">± </m:t>
              </m:r>
            </m:oMath>
            <w:r w:rsidRPr="00C3645A">
              <w:rPr>
                <w:b/>
                <w:bCs/>
                <w:color w:val="auto"/>
              </w:rPr>
              <w:t>s.d.)</w:t>
            </w:r>
          </w:p>
          <w:p w14:paraId="1A61203A" w14:textId="0A3B4DAE" w:rsidR="0035674C" w:rsidRPr="00C3645A" w:rsidRDefault="0035674C" w:rsidP="0035674C">
            <w:pPr>
              <w:pStyle w:val="PubliManuscript"/>
              <w:spacing w:before="0" w:after="0" w:line="240" w:lineRule="auto"/>
              <w:ind w:firstLine="0"/>
              <w:jc w:val="center"/>
              <w:rPr>
                <w:color w:val="auto"/>
              </w:rPr>
            </w:pPr>
            <w:r w:rsidRPr="00C3645A">
              <w:rPr>
                <w:b/>
                <w:bCs/>
                <w:color w:val="auto"/>
              </w:rPr>
              <w:t>[T ha</w:t>
            </w:r>
            <w:r w:rsidRPr="00C3645A">
              <w:rPr>
                <w:b/>
                <w:bCs/>
                <w:color w:val="auto"/>
                <w:vertAlign w:val="superscript"/>
              </w:rPr>
              <w:t>-1</w:t>
            </w:r>
            <w:r w:rsidRPr="00C3645A">
              <w:rPr>
                <w:b/>
                <w:bCs/>
                <w:color w:val="auto"/>
              </w:rPr>
              <w:t>]</w:t>
            </w:r>
          </w:p>
        </w:tc>
        <w:tc>
          <w:tcPr>
            <w:tcW w:w="1439" w:type="dxa"/>
            <w:shd w:val="clear" w:color="auto" w:fill="D9D9D9" w:themeFill="background1" w:themeFillShade="D9"/>
          </w:tcPr>
          <w:p w14:paraId="1B1E1D33" w14:textId="5F93D3D1" w:rsidR="0035674C" w:rsidRPr="00C3645A" w:rsidRDefault="0035674C" w:rsidP="0035674C">
            <w:pPr>
              <w:pStyle w:val="PubliManuscript"/>
              <w:spacing w:before="0" w:after="0" w:line="240" w:lineRule="auto"/>
              <w:ind w:firstLine="0"/>
              <w:jc w:val="center"/>
              <w:rPr>
                <w:color w:val="auto"/>
              </w:rPr>
            </w:pPr>
            <w:r w:rsidRPr="00C3645A">
              <w:rPr>
                <w:b/>
                <w:bCs/>
                <w:color w:val="auto"/>
              </w:rPr>
              <w:t>Statistical groups between treatments and periods</w:t>
            </w:r>
          </w:p>
        </w:tc>
        <w:tc>
          <w:tcPr>
            <w:tcW w:w="1440" w:type="dxa"/>
            <w:shd w:val="clear" w:color="auto" w:fill="D9D9D9" w:themeFill="background1" w:themeFillShade="D9"/>
          </w:tcPr>
          <w:p w14:paraId="6D52F5FB" w14:textId="77777777" w:rsidR="0035674C" w:rsidRPr="00C3645A" w:rsidRDefault="0035674C" w:rsidP="0035674C">
            <w:pPr>
              <w:pStyle w:val="PubliManuscript"/>
              <w:spacing w:before="0" w:after="0" w:line="240" w:lineRule="auto"/>
              <w:ind w:firstLine="0"/>
              <w:jc w:val="center"/>
              <w:rPr>
                <w:color w:val="auto"/>
              </w:rPr>
            </w:pPr>
          </w:p>
        </w:tc>
      </w:tr>
      <w:tr w:rsidR="00C3645A" w:rsidRPr="00C3645A" w14:paraId="53DA84D0" w14:textId="22E8D17A" w:rsidTr="001D2EA7">
        <w:trPr>
          <w:trHeight w:val="283"/>
          <w:jc w:val="center"/>
        </w:trPr>
        <w:tc>
          <w:tcPr>
            <w:tcW w:w="1437" w:type="dxa"/>
            <w:shd w:val="clear" w:color="auto" w:fill="D9D9D9" w:themeFill="background1" w:themeFillShade="D9"/>
          </w:tcPr>
          <w:p w14:paraId="5CEF7F05" w14:textId="0125F163"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G10</w:t>
            </w:r>
          </w:p>
        </w:tc>
        <w:tc>
          <w:tcPr>
            <w:tcW w:w="1437" w:type="dxa"/>
          </w:tcPr>
          <w:p w14:paraId="6AE8C6EB" w14:textId="6EF4B749" w:rsidR="0035674C" w:rsidRPr="00C3645A" w:rsidRDefault="0035674C" w:rsidP="0035674C">
            <w:pPr>
              <w:pStyle w:val="PubliManuscript"/>
              <w:spacing w:before="0" w:after="0" w:line="240" w:lineRule="auto"/>
              <w:ind w:firstLine="0"/>
              <w:jc w:val="center"/>
              <w:rPr>
                <w:b/>
                <w:bCs/>
                <w:color w:val="auto"/>
              </w:rPr>
            </w:pPr>
            <w:r w:rsidRPr="00C3645A">
              <w:rPr>
                <w:color w:val="auto"/>
              </w:rPr>
              <w:t>0.52 (</w:t>
            </w:r>
            <m:oMath>
              <m:r>
                <w:rPr>
                  <w:rFonts w:ascii="Cambria Math" w:hAnsi="Cambria Math"/>
                  <w:color w:val="auto"/>
                </w:rPr>
                <m:t>±0.09)</m:t>
              </m:r>
            </m:oMath>
          </w:p>
        </w:tc>
        <w:tc>
          <w:tcPr>
            <w:tcW w:w="1437" w:type="dxa"/>
          </w:tcPr>
          <w:p w14:paraId="7F2418FB" w14:textId="30A4758C" w:rsidR="0035674C" w:rsidRPr="00C3645A" w:rsidRDefault="0035674C" w:rsidP="0035674C">
            <w:pPr>
              <w:pStyle w:val="PubliManuscript"/>
              <w:spacing w:before="0" w:after="0" w:line="240" w:lineRule="auto"/>
              <w:ind w:firstLine="0"/>
              <w:jc w:val="center"/>
              <w:rPr>
                <w:color w:val="auto"/>
              </w:rPr>
            </w:pPr>
            <w:r w:rsidRPr="00C3645A">
              <w:rPr>
                <w:color w:val="auto"/>
              </w:rPr>
              <w:t>b</w:t>
            </w:r>
          </w:p>
        </w:tc>
        <w:tc>
          <w:tcPr>
            <w:tcW w:w="1437" w:type="dxa"/>
          </w:tcPr>
          <w:p w14:paraId="26DF5FE1" w14:textId="3D988831" w:rsidR="0035674C" w:rsidRPr="00C3645A" w:rsidRDefault="0035674C" w:rsidP="0035674C">
            <w:pPr>
              <w:pStyle w:val="PubliManuscript"/>
              <w:spacing w:before="0" w:after="0" w:line="240" w:lineRule="auto"/>
              <w:ind w:firstLine="0"/>
              <w:jc w:val="center"/>
              <w:rPr>
                <w:b/>
                <w:bCs/>
                <w:color w:val="auto"/>
              </w:rPr>
            </w:pPr>
            <w:r w:rsidRPr="00C3645A">
              <w:rPr>
                <w:color w:val="auto"/>
              </w:rPr>
              <w:t>0.64 (</w:t>
            </w:r>
            <m:oMath>
              <m:r>
                <w:rPr>
                  <w:rFonts w:ascii="Cambria Math" w:hAnsi="Cambria Math"/>
                  <w:color w:val="auto"/>
                </w:rPr>
                <m:t>±0.12)</m:t>
              </m:r>
            </m:oMath>
          </w:p>
        </w:tc>
        <w:tc>
          <w:tcPr>
            <w:tcW w:w="1439" w:type="dxa"/>
          </w:tcPr>
          <w:p w14:paraId="626DF69B" w14:textId="303E3B1A" w:rsidR="0035674C" w:rsidRPr="00C3645A" w:rsidRDefault="0035674C" w:rsidP="0035674C">
            <w:pPr>
              <w:pStyle w:val="PubliManuscript"/>
              <w:spacing w:before="0" w:after="0" w:line="240" w:lineRule="auto"/>
              <w:ind w:firstLine="0"/>
              <w:jc w:val="center"/>
              <w:rPr>
                <w:color w:val="auto"/>
              </w:rPr>
            </w:pPr>
            <w:r w:rsidRPr="00C3645A">
              <w:rPr>
                <w:color w:val="auto"/>
              </w:rPr>
              <w:t>a</w:t>
            </w:r>
          </w:p>
        </w:tc>
        <w:tc>
          <w:tcPr>
            <w:tcW w:w="1440" w:type="dxa"/>
          </w:tcPr>
          <w:p w14:paraId="58B8F921" w14:textId="6660C0D9" w:rsidR="0035674C" w:rsidRPr="00C3645A" w:rsidRDefault="008E6481" w:rsidP="0035674C">
            <w:pPr>
              <w:pStyle w:val="PubliManuscript"/>
              <w:spacing w:before="0" w:after="0" w:line="240" w:lineRule="auto"/>
              <w:ind w:firstLine="0"/>
              <w:jc w:val="center"/>
              <w:rPr>
                <w:color w:val="auto"/>
              </w:rPr>
            </w:pPr>
            <w:r w:rsidRPr="00C3645A">
              <w:rPr>
                <w:color w:val="auto"/>
              </w:rPr>
              <w:t>/</w:t>
            </w:r>
          </w:p>
        </w:tc>
      </w:tr>
      <w:tr w:rsidR="00C3645A" w:rsidRPr="00C3645A" w14:paraId="0B3D77DE" w14:textId="4B3A5DF9" w:rsidTr="001D2EA7">
        <w:trPr>
          <w:trHeight w:val="283"/>
          <w:jc w:val="center"/>
        </w:trPr>
        <w:tc>
          <w:tcPr>
            <w:tcW w:w="1437" w:type="dxa"/>
            <w:shd w:val="clear" w:color="auto" w:fill="D9D9D9" w:themeFill="background1" w:themeFillShade="D9"/>
          </w:tcPr>
          <w:p w14:paraId="380E7053" w14:textId="502C4674"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G20</w:t>
            </w:r>
          </w:p>
        </w:tc>
        <w:tc>
          <w:tcPr>
            <w:tcW w:w="1437" w:type="dxa"/>
          </w:tcPr>
          <w:p w14:paraId="1CF803A9" w14:textId="007975B7" w:rsidR="0035674C" w:rsidRPr="00C3645A" w:rsidRDefault="0035674C" w:rsidP="0035674C">
            <w:pPr>
              <w:pStyle w:val="PubliManuscript"/>
              <w:spacing w:before="0" w:after="0" w:line="240" w:lineRule="auto"/>
              <w:ind w:firstLine="0"/>
              <w:jc w:val="center"/>
              <w:rPr>
                <w:b/>
                <w:bCs/>
                <w:color w:val="auto"/>
              </w:rPr>
            </w:pPr>
            <w:r w:rsidRPr="00C3645A">
              <w:rPr>
                <w:color w:val="auto"/>
              </w:rPr>
              <w:t>0.42 (</w:t>
            </w:r>
            <m:oMath>
              <m:r>
                <w:rPr>
                  <w:rFonts w:ascii="Cambria Math" w:hAnsi="Cambria Math"/>
                  <w:color w:val="auto"/>
                </w:rPr>
                <m:t>±0.08)</m:t>
              </m:r>
            </m:oMath>
          </w:p>
        </w:tc>
        <w:tc>
          <w:tcPr>
            <w:tcW w:w="1437" w:type="dxa"/>
          </w:tcPr>
          <w:p w14:paraId="71B12642" w14:textId="5E6E139C" w:rsidR="0035674C" w:rsidRPr="00C3645A" w:rsidRDefault="0035674C" w:rsidP="0035674C">
            <w:pPr>
              <w:pStyle w:val="PubliManuscript"/>
              <w:spacing w:before="0" w:after="0" w:line="240" w:lineRule="auto"/>
              <w:ind w:firstLine="0"/>
              <w:jc w:val="center"/>
              <w:rPr>
                <w:color w:val="auto"/>
              </w:rPr>
            </w:pPr>
            <w:r w:rsidRPr="00C3645A">
              <w:rPr>
                <w:color w:val="auto"/>
              </w:rPr>
              <w:t>c</w:t>
            </w:r>
          </w:p>
        </w:tc>
        <w:tc>
          <w:tcPr>
            <w:tcW w:w="1437" w:type="dxa"/>
          </w:tcPr>
          <w:p w14:paraId="3415B733" w14:textId="6BCEE6E9" w:rsidR="0035674C" w:rsidRPr="00C3645A" w:rsidRDefault="0035674C" w:rsidP="0035674C">
            <w:pPr>
              <w:pStyle w:val="PubliManuscript"/>
              <w:spacing w:before="0" w:after="0" w:line="240" w:lineRule="auto"/>
              <w:ind w:firstLine="0"/>
              <w:jc w:val="center"/>
              <w:rPr>
                <w:b/>
                <w:bCs/>
                <w:color w:val="auto"/>
              </w:rPr>
            </w:pPr>
            <w:r w:rsidRPr="00C3645A">
              <w:rPr>
                <w:color w:val="auto"/>
              </w:rPr>
              <w:t>0.52 (</w:t>
            </w:r>
            <m:oMath>
              <m:r>
                <w:rPr>
                  <w:rFonts w:ascii="Cambria Math" w:hAnsi="Cambria Math"/>
                  <w:color w:val="auto"/>
                </w:rPr>
                <m:t>±0.09)</m:t>
              </m:r>
            </m:oMath>
          </w:p>
        </w:tc>
        <w:tc>
          <w:tcPr>
            <w:tcW w:w="1439" w:type="dxa"/>
          </w:tcPr>
          <w:p w14:paraId="4021F7DE" w14:textId="3FF3263B" w:rsidR="0035674C" w:rsidRPr="00C3645A" w:rsidRDefault="0035674C" w:rsidP="0035674C">
            <w:pPr>
              <w:pStyle w:val="PubliManuscript"/>
              <w:spacing w:before="0" w:after="0" w:line="240" w:lineRule="auto"/>
              <w:ind w:firstLine="0"/>
              <w:jc w:val="center"/>
              <w:rPr>
                <w:color w:val="auto"/>
              </w:rPr>
            </w:pPr>
            <w:r w:rsidRPr="00C3645A">
              <w:rPr>
                <w:color w:val="auto"/>
              </w:rPr>
              <w:t>b</w:t>
            </w:r>
          </w:p>
        </w:tc>
        <w:tc>
          <w:tcPr>
            <w:tcW w:w="1440" w:type="dxa"/>
          </w:tcPr>
          <w:p w14:paraId="19340462" w14:textId="6BB1E988" w:rsidR="0035674C" w:rsidRPr="00C3645A" w:rsidRDefault="008E6481" w:rsidP="0035674C">
            <w:pPr>
              <w:pStyle w:val="PubliManuscript"/>
              <w:spacing w:before="0" w:after="0" w:line="240" w:lineRule="auto"/>
              <w:ind w:firstLine="0"/>
              <w:jc w:val="center"/>
              <w:rPr>
                <w:color w:val="auto"/>
              </w:rPr>
            </w:pPr>
            <w:r w:rsidRPr="00C3645A">
              <w:rPr>
                <w:color w:val="auto"/>
              </w:rPr>
              <w:t>/</w:t>
            </w:r>
          </w:p>
        </w:tc>
      </w:tr>
      <w:tr w:rsidR="00C3645A" w:rsidRPr="00C3645A" w14:paraId="0086B3B8" w14:textId="7B98DECB" w:rsidTr="001D2EA7">
        <w:trPr>
          <w:trHeight w:val="283"/>
          <w:jc w:val="center"/>
        </w:trPr>
        <w:tc>
          <w:tcPr>
            <w:tcW w:w="1437" w:type="dxa"/>
            <w:shd w:val="clear" w:color="auto" w:fill="D9D9D9" w:themeFill="background1" w:themeFillShade="D9"/>
          </w:tcPr>
          <w:p w14:paraId="67238530" w14:textId="4AA93F88"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G30</w:t>
            </w:r>
          </w:p>
        </w:tc>
        <w:tc>
          <w:tcPr>
            <w:tcW w:w="1437" w:type="dxa"/>
          </w:tcPr>
          <w:p w14:paraId="58B98363" w14:textId="17AB30AB" w:rsidR="0035674C" w:rsidRPr="00C3645A" w:rsidRDefault="0035674C" w:rsidP="0035674C">
            <w:pPr>
              <w:pStyle w:val="PubliManuscript"/>
              <w:spacing w:before="0" w:after="0" w:line="240" w:lineRule="auto"/>
              <w:ind w:firstLine="0"/>
              <w:jc w:val="center"/>
              <w:rPr>
                <w:b/>
                <w:bCs/>
                <w:color w:val="auto"/>
              </w:rPr>
            </w:pPr>
            <w:r w:rsidRPr="00C3645A">
              <w:rPr>
                <w:color w:val="auto"/>
              </w:rPr>
              <w:t>0.32 (</w:t>
            </w:r>
            <m:oMath>
              <m:r>
                <w:rPr>
                  <w:rFonts w:ascii="Cambria Math" w:hAnsi="Cambria Math"/>
                  <w:color w:val="auto"/>
                </w:rPr>
                <m:t>±0.06)</m:t>
              </m:r>
            </m:oMath>
          </w:p>
        </w:tc>
        <w:tc>
          <w:tcPr>
            <w:tcW w:w="1437" w:type="dxa"/>
          </w:tcPr>
          <w:p w14:paraId="5FF25DF5" w14:textId="6E0E881D" w:rsidR="0035674C" w:rsidRPr="00C3645A" w:rsidRDefault="0035674C" w:rsidP="0035674C">
            <w:pPr>
              <w:pStyle w:val="PubliManuscript"/>
              <w:spacing w:before="0" w:after="0" w:line="240" w:lineRule="auto"/>
              <w:ind w:firstLine="0"/>
              <w:jc w:val="center"/>
              <w:rPr>
                <w:color w:val="auto"/>
              </w:rPr>
            </w:pPr>
            <w:r w:rsidRPr="00C3645A">
              <w:rPr>
                <w:color w:val="auto"/>
              </w:rPr>
              <w:t>d</w:t>
            </w:r>
          </w:p>
        </w:tc>
        <w:tc>
          <w:tcPr>
            <w:tcW w:w="1437" w:type="dxa"/>
          </w:tcPr>
          <w:p w14:paraId="700B568B" w14:textId="69366C9A" w:rsidR="0035674C" w:rsidRPr="00C3645A" w:rsidRDefault="0035674C" w:rsidP="0035674C">
            <w:pPr>
              <w:pStyle w:val="PubliManuscript"/>
              <w:spacing w:before="0" w:after="0" w:line="240" w:lineRule="auto"/>
              <w:ind w:firstLine="0"/>
              <w:jc w:val="center"/>
              <w:rPr>
                <w:b/>
                <w:bCs/>
                <w:color w:val="auto"/>
              </w:rPr>
            </w:pPr>
            <w:r w:rsidRPr="00C3645A">
              <w:rPr>
                <w:color w:val="auto"/>
              </w:rPr>
              <w:t>0.39 (</w:t>
            </w:r>
            <m:oMath>
              <m:r>
                <w:rPr>
                  <w:rFonts w:ascii="Cambria Math" w:hAnsi="Cambria Math"/>
                  <w:color w:val="auto"/>
                </w:rPr>
                <m:t>±0.07)</m:t>
              </m:r>
            </m:oMath>
          </w:p>
        </w:tc>
        <w:tc>
          <w:tcPr>
            <w:tcW w:w="1439" w:type="dxa"/>
          </w:tcPr>
          <w:p w14:paraId="7E040AD4" w14:textId="3E88A2D7" w:rsidR="0035674C" w:rsidRPr="00C3645A" w:rsidRDefault="0035674C" w:rsidP="0035674C">
            <w:pPr>
              <w:pStyle w:val="PubliManuscript"/>
              <w:spacing w:before="0" w:after="0" w:line="240" w:lineRule="auto"/>
              <w:ind w:firstLine="0"/>
              <w:jc w:val="center"/>
              <w:rPr>
                <w:color w:val="auto"/>
              </w:rPr>
            </w:pPr>
            <w:r w:rsidRPr="00C3645A">
              <w:rPr>
                <w:color w:val="auto"/>
              </w:rPr>
              <w:t>c</w:t>
            </w:r>
          </w:p>
        </w:tc>
        <w:tc>
          <w:tcPr>
            <w:tcW w:w="1440" w:type="dxa"/>
          </w:tcPr>
          <w:p w14:paraId="32A7FE9E" w14:textId="2358F839" w:rsidR="0035674C" w:rsidRPr="00C3645A" w:rsidRDefault="008E6481" w:rsidP="0035674C">
            <w:pPr>
              <w:pStyle w:val="PubliManuscript"/>
              <w:spacing w:before="0" w:after="0" w:line="240" w:lineRule="auto"/>
              <w:ind w:firstLine="0"/>
              <w:jc w:val="center"/>
              <w:rPr>
                <w:color w:val="auto"/>
              </w:rPr>
            </w:pPr>
            <w:r w:rsidRPr="00C3645A">
              <w:rPr>
                <w:color w:val="auto"/>
              </w:rPr>
              <w:t>/</w:t>
            </w:r>
          </w:p>
        </w:tc>
      </w:tr>
      <w:tr w:rsidR="00C3645A" w:rsidRPr="00C3645A" w14:paraId="6748C769" w14:textId="71DFCA63" w:rsidTr="001D2EA7">
        <w:trPr>
          <w:trHeight w:val="283"/>
          <w:jc w:val="center"/>
        </w:trPr>
        <w:tc>
          <w:tcPr>
            <w:tcW w:w="1437" w:type="dxa"/>
            <w:shd w:val="clear" w:color="auto" w:fill="D9D9D9" w:themeFill="background1" w:themeFillShade="D9"/>
          </w:tcPr>
          <w:p w14:paraId="58D5D62B" w14:textId="6E16F5A9"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G40</w:t>
            </w:r>
          </w:p>
        </w:tc>
        <w:tc>
          <w:tcPr>
            <w:tcW w:w="1437" w:type="dxa"/>
          </w:tcPr>
          <w:p w14:paraId="1E861959" w14:textId="5559564E" w:rsidR="0035674C" w:rsidRPr="00C3645A" w:rsidRDefault="0035674C" w:rsidP="0035674C">
            <w:pPr>
              <w:pStyle w:val="PubliManuscript"/>
              <w:spacing w:before="0" w:after="0" w:line="240" w:lineRule="auto"/>
              <w:ind w:firstLine="0"/>
              <w:jc w:val="center"/>
              <w:rPr>
                <w:b/>
                <w:bCs/>
                <w:color w:val="auto"/>
              </w:rPr>
            </w:pPr>
            <w:r w:rsidRPr="00C3645A">
              <w:rPr>
                <w:color w:val="auto"/>
              </w:rPr>
              <w:t>0.18 (</w:t>
            </w:r>
            <m:oMath>
              <m:r>
                <w:rPr>
                  <w:rFonts w:ascii="Cambria Math" w:hAnsi="Cambria Math"/>
                  <w:color w:val="auto"/>
                </w:rPr>
                <m:t>±0.03)</m:t>
              </m:r>
            </m:oMath>
          </w:p>
        </w:tc>
        <w:tc>
          <w:tcPr>
            <w:tcW w:w="1437" w:type="dxa"/>
          </w:tcPr>
          <w:p w14:paraId="19872A20" w14:textId="1ADBF7F0" w:rsidR="0035674C" w:rsidRPr="00C3645A" w:rsidRDefault="0035674C" w:rsidP="0035674C">
            <w:pPr>
              <w:pStyle w:val="PubliManuscript"/>
              <w:spacing w:before="0" w:after="0" w:line="240" w:lineRule="auto"/>
              <w:ind w:firstLine="0"/>
              <w:jc w:val="center"/>
              <w:rPr>
                <w:color w:val="auto"/>
              </w:rPr>
            </w:pPr>
            <w:r w:rsidRPr="00C3645A">
              <w:rPr>
                <w:color w:val="auto"/>
              </w:rPr>
              <w:t>e</w:t>
            </w:r>
          </w:p>
        </w:tc>
        <w:tc>
          <w:tcPr>
            <w:tcW w:w="1437" w:type="dxa"/>
          </w:tcPr>
          <w:p w14:paraId="7167C957" w14:textId="5496477B" w:rsidR="0035674C" w:rsidRPr="00C3645A" w:rsidRDefault="0035674C" w:rsidP="0035674C">
            <w:pPr>
              <w:pStyle w:val="PubliManuscript"/>
              <w:spacing w:before="0" w:after="0" w:line="240" w:lineRule="auto"/>
              <w:ind w:firstLine="0"/>
              <w:jc w:val="center"/>
              <w:rPr>
                <w:b/>
                <w:bCs/>
                <w:color w:val="auto"/>
              </w:rPr>
            </w:pPr>
            <w:r w:rsidRPr="00C3645A">
              <w:rPr>
                <w:color w:val="auto"/>
              </w:rPr>
              <w:t>0.22 (</w:t>
            </w:r>
            <m:oMath>
              <m:r>
                <w:rPr>
                  <w:rFonts w:ascii="Cambria Math" w:hAnsi="Cambria Math"/>
                  <w:color w:val="auto"/>
                </w:rPr>
                <m:t>±0.03)</m:t>
              </m:r>
            </m:oMath>
          </w:p>
        </w:tc>
        <w:tc>
          <w:tcPr>
            <w:tcW w:w="1439" w:type="dxa"/>
          </w:tcPr>
          <w:p w14:paraId="35A405E4" w14:textId="03C35FE6" w:rsidR="0035674C" w:rsidRPr="00C3645A" w:rsidRDefault="0035674C" w:rsidP="0035674C">
            <w:pPr>
              <w:pStyle w:val="PubliManuscript"/>
              <w:spacing w:before="0" w:after="0" w:line="240" w:lineRule="auto"/>
              <w:ind w:firstLine="0"/>
              <w:jc w:val="center"/>
              <w:rPr>
                <w:color w:val="auto"/>
              </w:rPr>
            </w:pPr>
            <w:r w:rsidRPr="00C3645A">
              <w:rPr>
                <w:color w:val="auto"/>
              </w:rPr>
              <w:t>e</w:t>
            </w:r>
          </w:p>
        </w:tc>
        <w:tc>
          <w:tcPr>
            <w:tcW w:w="1440" w:type="dxa"/>
          </w:tcPr>
          <w:p w14:paraId="316433BF" w14:textId="27377940" w:rsidR="0035674C" w:rsidRPr="00C3645A" w:rsidRDefault="008E6481" w:rsidP="0035674C">
            <w:pPr>
              <w:pStyle w:val="PubliManuscript"/>
              <w:spacing w:before="0" w:after="0" w:line="240" w:lineRule="auto"/>
              <w:ind w:firstLine="0"/>
              <w:jc w:val="center"/>
              <w:rPr>
                <w:color w:val="auto"/>
              </w:rPr>
            </w:pPr>
            <w:r w:rsidRPr="00C3645A">
              <w:rPr>
                <w:color w:val="auto"/>
              </w:rPr>
              <w:t>/</w:t>
            </w:r>
          </w:p>
        </w:tc>
      </w:tr>
      <w:tr w:rsidR="00C3645A" w:rsidRPr="00C3645A" w14:paraId="15DB66B1" w14:textId="6C2202EC" w:rsidTr="001D2EA7">
        <w:trPr>
          <w:trHeight w:val="283"/>
          <w:jc w:val="center"/>
        </w:trPr>
        <w:tc>
          <w:tcPr>
            <w:tcW w:w="8627" w:type="dxa"/>
            <w:gridSpan w:val="6"/>
            <w:shd w:val="clear" w:color="auto" w:fill="D9D9D9" w:themeFill="background1" w:themeFillShade="D9"/>
          </w:tcPr>
          <w:p w14:paraId="6FD6FE15" w14:textId="4D8BF2DC" w:rsidR="0035674C" w:rsidRPr="00C3645A" w:rsidRDefault="0035674C" w:rsidP="0035674C">
            <w:pPr>
              <w:pStyle w:val="PubliManuscript"/>
              <w:spacing w:before="0" w:after="0" w:line="240" w:lineRule="auto"/>
              <w:ind w:firstLine="0"/>
              <w:jc w:val="center"/>
              <w:rPr>
                <w:b/>
                <w:bCs/>
                <w:color w:val="auto"/>
              </w:rPr>
            </w:pPr>
            <w:r w:rsidRPr="00C3645A">
              <w:rPr>
                <w:b/>
                <w:bCs/>
                <w:color w:val="auto"/>
              </w:rPr>
              <w:t>Soybean</w:t>
            </w:r>
          </w:p>
        </w:tc>
      </w:tr>
      <w:tr w:rsidR="00C3645A" w:rsidRPr="00C3645A" w14:paraId="2E48E833" w14:textId="25DE70A1" w:rsidTr="001D2EA7">
        <w:trPr>
          <w:trHeight w:val="283"/>
          <w:jc w:val="center"/>
        </w:trPr>
        <w:tc>
          <w:tcPr>
            <w:tcW w:w="1437" w:type="dxa"/>
            <w:shd w:val="clear" w:color="auto" w:fill="D9D9D9" w:themeFill="background1" w:themeFillShade="D9"/>
          </w:tcPr>
          <w:p w14:paraId="47C2ED28" w14:textId="7951CF4D"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G10</w:t>
            </w:r>
          </w:p>
        </w:tc>
        <w:tc>
          <w:tcPr>
            <w:tcW w:w="2874" w:type="dxa"/>
            <w:gridSpan w:val="2"/>
          </w:tcPr>
          <w:p w14:paraId="50C39E49" w14:textId="3A353935" w:rsidR="0035674C" w:rsidRPr="00C3645A" w:rsidRDefault="0035674C" w:rsidP="0035674C">
            <w:pPr>
              <w:pStyle w:val="PubliManuscript"/>
              <w:spacing w:before="0" w:after="0" w:line="240" w:lineRule="auto"/>
              <w:ind w:firstLine="0"/>
              <w:jc w:val="center"/>
              <w:rPr>
                <w:color w:val="auto"/>
              </w:rPr>
            </w:pPr>
            <w:r w:rsidRPr="00C3645A">
              <w:rPr>
                <w:color w:val="auto"/>
              </w:rPr>
              <w:t>2.65 (</w:t>
            </w:r>
            <m:oMath>
              <m:r>
                <w:rPr>
                  <w:rFonts w:ascii="Cambria Math" w:hAnsi="Cambria Math"/>
                  <w:color w:val="auto"/>
                </w:rPr>
                <m:t>±0.69)</m:t>
              </m:r>
            </m:oMath>
          </w:p>
        </w:tc>
        <w:tc>
          <w:tcPr>
            <w:tcW w:w="2876" w:type="dxa"/>
            <w:gridSpan w:val="2"/>
          </w:tcPr>
          <w:p w14:paraId="3539A597" w14:textId="683711F9" w:rsidR="0035674C" w:rsidRPr="00C3645A" w:rsidRDefault="0035674C" w:rsidP="0035674C">
            <w:pPr>
              <w:pStyle w:val="PubliManuscript"/>
              <w:spacing w:before="0" w:after="0" w:line="240" w:lineRule="auto"/>
              <w:ind w:firstLine="0"/>
              <w:jc w:val="center"/>
              <w:rPr>
                <w:b/>
                <w:bCs/>
                <w:color w:val="auto"/>
              </w:rPr>
            </w:pPr>
            <w:r w:rsidRPr="00C3645A">
              <w:rPr>
                <w:color w:val="auto"/>
              </w:rPr>
              <w:t>3.74 (</w:t>
            </w:r>
            <m:oMath>
              <m:r>
                <w:rPr>
                  <w:rFonts w:ascii="Cambria Math" w:hAnsi="Cambria Math"/>
                  <w:color w:val="auto"/>
                </w:rPr>
                <m:t>±0.50)</m:t>
              </m:r>
            </m:oMath>
          </w:p>
        </w:tc>
        <w:tc>
          <w:tcPr>
            <w:tcW w:w="1440" w:type="dxa"/>
          </w:tcPr>
          <w:p w14:paraId="619393D9" w14:textId="5FA52807" w:rsidR="0035674C" w:rsidRPr="00C3645A" w:rsidRDefault="0035674C" w:rsidP="0035674C">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04E4C77B" w14:textId="759BD0FB" w:rsidTr="001D2EA7">
        <w:trPr>
          <w:trHeight w:val="283"/>
          <w:jc w:val="center"/>
        </w:trPr>
        <w:tc>
          <w:tcPr>
            <w:tcW w:w="1437" w:type="dxa"/>
            <w:shd w:val="clear" w:color="auto" w:fill="D9D9D9" w:themeFill="background1" w:themeFillShade="D9"/>
          </w:tcPr>
          <w:p w14:paraId="2A8EC8AA" w14:textId="528AAEDD"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G20</w:t>
            </w:r>
          </w:p>
        </w:tc>
        <w:tc>
          <w:tcPr>
            <w:tcW w:w="2874" w:type="dxa"/>
            <w:gridSpan w:val="2"/>
          </w:tcPr>
          <w:p w14:paraId="2F7C03ED" w14:textId="1151F4A5" w:rsidR="0035674C" w:rsidRPr="00C3645A" w:rsidRDefault="0035674C" w:rsidP="0035674C">
            <w:pPr>
              <w:pStyle w:val="PubliManuscript"/>
              <w:spacing w:before="0" w:after="0" w:line="240" w:lineRule="auto"/>
              <w:ind w:firstLine="0"/>
              <w:jc w:val="center"/>
              <w:rPr>
                <w:color w:val="auto"/>
              </w:rPr>
            </w:pPr>
            <w:r w:rsidRPr="00C3645A">
              <w:rPr>
                <w:color w:val="auto"/>
              </w:rPr>
              <w:t>2.66 (</w:t>
            </w:r>
            <m:oMath>
              <m:r>
                <w:rPr>
                  <w:rFonts w:ascii="Cambria Math" w:hAnsi="Cambria Math"/>
                  <w:color w:val="auto"/>
                </w:rPr>
                <m:t>±0.72)</m:t>
              </m:r>
            </m:oMath>
          </w:p>
        </w:tc>
        <w:tc>
          <w:tcPr>
            <w:tcW w:w="2876" w:type="dxa"/>
            <w:gridSpan w:val="2"/>
          </w:tcPr>
          <w:p w14:paraId="3AAAA971" w14:textId="2E451B03" w:rsidR="0035674C" w:rsidRPr="00C3645A" w:rsidRDefault="0035674C" w:rsidP="0035674C">
            <w:pPr>
              <w:pStyle w:val="PubliManuscript"/>
              <w:spacing w:before="0" w:after="0" w:line="240" w:lineRule="auto"/>
              <w:ind w:firstLine="0"/>
              <w:jc w:val="center"/>
              <w:rPr>
                <w:b/>
                <w:bCs/>
                <w:color w:val="auto"/>
              </w:rPr>
            </w:pPr>
            <w:r w:rsidRPr="00C3645A">
              <w:rPr>
                <w:color w:val="auto"/>
              </w:rPr>
              <w:t>3.74 (</w:t>
            </w:r>
            <m:oMath>
              <m:r>
                <w:rPr>
                  <w:rFonts w:ascii="Cambria Math" w:hAnsi="Cambria Math"/>
                  <w:color w:val="auto"/>
                </w:rPr>
                <m:t>±0.51)</m:t>
              </m:r>
            </m:oMath>
          </w:p>
        </w:tc>
        <w:tc>
          <w:tcPr>
            <w:tcW w:w="1440" w:type="dxa"/>
          </w:tcPr>
          <w:p w14:paraId="75AD35A0" w14:textId="6D493AB4" w:rsidR="0035674C" w:rsidRPr="00C3645A" w:rsidRDefault="0035674C" w:rsidP="0035674C">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232C5958" w14:textId="10EF327D" w:rsidTr="001D2EA7">
        <w:trPr>
          <w:trHeight w:val="283"/>
          <w:jc w:val="center"/>
        </w:trPr>
        <w:tc>
          <w:tcPr>
            <w:tcW w:w="1437" w:type="dxa"/>
            <w:shd w:val="clear" w:color="auto" w:fill="D9D9D9" w:themeFill="background1" w:themeFillShade="D9"/>
          </w:tcPr>
          <w:p w14:paraId="52C63AEA" w14:textId="2D6331B9"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G30</w:t>
            </w:r>
          </w:p>
        </w:tc>
        <w:tc>
          <w:tcPr>
            <w:tcW w:w="2874" w:type="dxa"/>
            <w:gridSpan w:val="2"/>
          </w:tcPr>
          <w:p w14:paraId="38AF3580" w14:textId="32387703" w:rsidR="0035674C" w:rsidRPr="00C3645A" w:rsidRDefault="0035674C" w:rsidP="0035674C">
            <w:pPr>
              <w:pStyle w:val="PubliManuscript"/>
              <w:spacing w:before="0" w:after="0" w:line="240" w:lineRule="auto"/>
              <w:ind w:firstLine="0"/>
              <w:jc w:val="center"/>
              <w:rPr>
                <w:color w:val="auto"/>
              </w:rPr>
            </w:pPr>
            <w:r w:rsidRPr="00C3645A">
              <w:rPr>
                <w:color w:val="auto"/>
              </w:rPr>
              <w:t>2.66 (</w:t>
            </w:r>
            <m:oMath>
              <m:r>
                <w:rPr>
                  <w:rFonts w:ascii="Cambria Math" w:hAnsi="Cambria Math"/>
                  <w:color w:val="auto"/>
                </w:rPr>
                <m:t>±0.72)</m:t>
              </m:r>
            </m:oMath>
          </w:p>
        </w:tc>
        <w:tc>
          <w:tcPr>
            <w:tcW w:w="2876" w:type="dxa"/>
            <w:gridSpan w:val="2"/>
          </w:tcPr>
          <w:p w14:paraId="1B59BA67" w14:textId="26AF3B92" w:rsidR="0035674C" w:rsidRPr="00C3645A" w:rsidRDefault="0035674C" w:rsidP="0035674C">
            <w:pPr>
              <w:pStyle w:val="PubliManuscript"/>
              <w:spacing w:before="0" w:after="0" w:line="240" w:lineRule="auto"/>
              <w:ind w:firstLine="0"/>
              <w:jc w:val="center"/>
              <w:rPr>
                <w:b/>
                <w:bCs/>
                <w:color w:val="auto"/>
              </w:rPr>
            </w:pPr>
            <w:r w:rsidRPr="00C3645A">
              <w:rPr>
                <w:color w:val="auto"/>
              </w:rPr>
              <w:t>3.75 (</w:t>
            </w:r>
            <m:oMath>
              <m:r>
                <w:rPr>
                  <w:rFonts w:ascii="Cambria Math" w:hAnsi="Cambria Math"/>
                  <w:color w:val="auto"/>
                </w:rPr>
                <m:t>±0.50)</m:t>
              </m:r>
            </m:oMath>
          </w:p>
        </w:tc>
        <w:tc>
          <w:tcPr>
            <w:tcW w:w="1440" w:type="dxa"/>
          </w:tcPr>
          <w:p w14:paraId="4370A686" w14:textId="1F65294E" w:rsidR="0035674C" w:rsidRPr="00C3645A" w:rsidRDefault="0035674C" w:rsidP="0035674C">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6341235F" w14:textId="53B13699" w:rsidTr="001D2EA7">
        <w:trPr>
          <w:trHeight w:val="283"/>
          <w:jc w:val="center"/>
        </w:trPr>
        <w:tc>
          <w:tcPr>
            <w:tcW w:w="1437" w:type="dxa"/>
            <w:shd w:val="clear" w:color="auto" w:fill="D9D9D9" w:themeFill="background1" w:themeFillShade="D9"/>
          </w:tcPr>
          <w:p w14:paraId="33C6B948" w14:textId="51774D17" w:rsidR="0035674C" w:rsidRPr="00C3645A" w:rsidRDefault="0035674C" w:rsidP="0035674C">
            <w:pPr>
              <w:pStyle w:val="PubliManuscript"/>
              <w:spacing w:before="0" w:after="0" w:line="240" w:lineRule="auto"/>
              <w:ind w:firstLine="0"/>
              <w:jc w:val="center"/>
              <w:rPr>
                <w:b/>
                <w:bCs/>
                <w:color w:val="auto"/>
              </w:rPr>
            </w:pPr>
            <w:r w:rsidRPr="00C3645A">
              <w:rPr>
                <w:b/>
                <w:bCs/>
                <w:color w:val="auto"/>
              </w:rPr>
              <w:t>G40</w:t>
            </w:r>
          </w:p>
        </w:tc>
        <w:tc>
          <w:tcPr>
            <w:tcW w:w="2874" w:type="dxa"/>
            <w:gridSpan w:val="2"/>
          </w:tcPr>
          <w:p w14:paraId="57053DEC" w14:textId="1AE35134" w:rsidR="0035674C" w:rsidRPr="00C3645A" w:rsidRDefault="0035674C" w:rsidP="0035674C">
            <w:pPr>
              <w:pStyle w:val="PubliManuscript"/>
              <w:spacing w:before="0" w:after="0" w:line="240" w:lineRule="auto"/>
              <w:ind w:firstLine="0"/>
              <w:jc w:val="center"/>
              <w:rPr>
                <w:color w:val="auto"/>
              </w:rPr>
            </w:pPr>
            <w:r w:rsidRPr="00C3645A">
              <w:rPr>
                <w:color w:val="auto"/>
              </w:rPr>
              <w:t>2.67 (</w:t>
            </w:r>
            <m:oMath>
              <m:r>
                <w:rPr>
                  <w:rFonts w:ascii="Cambria Math" w:hAnsi="Cambria Math"/>
                  <w:color w:val="auto"/>
                </w:rPr>
                <m:t>±0.68)</m:t>
              </m:r>
            </m:oMath>
          </w:p>
        </w:tc>
        <w:tc>
          <w:tcPr>
            <w:tcW w:w="2876" w:type="dxa"/>
            <w:gridSpan w:val="2"/>
          </w:tcPr>
          <w:p w14:paraId="5B57F225" w14:textId="178488AE" w:rsidR="0035674C" w:rsidRPr="00C3645A" w:rsidRDefault="0035674C" w:rsidP="0035674C">
            <w:pPr>
              <w:pStyle w:val="PubliManuscript"/>
              <w:spacing w:before="0" w:after="0" w:line="240" w:lineRule="auto"/>
              <w:ind w:firstLine="0"/>
              <w:jc w:val="center"/>
              <w:rPr>
                <w:b/>
                <w:bCs/>
                <w:color w:val="auto"/>
              </w:rPr>
            </w:pPr>
            <w:r w:rsidRPr="00C3645A">
              <w:rPr>
                <w:color w:val="auto"/>
              </w:rPr>
              <w:t>3.74 (</w:t>
            </w:r>
            <m:oMath>
              <m:r>
                <w:rPr>
                  <w:rFonts w:ascii="Cambria Math" w:hAnsi="Cambria Math"/>
                  <w:color w:val="auto"/>
                </w:rPr>
                <m:t>±0.51)</m:t>
              </m:r>
            </m:oMath>
          </w:p>
        </w:tc>
        <w:tc>
          <w:tcPr>
            <w:tcW w:w="1440" w:type="dxa"/>
          </w:tcPr>
          <w:p w14:paraId="50887634" w14:textId="6C25A37E" w:rsidR="0035674C" w:rsidRPr="00C3645A" w:rsidRDefault="0035674C" w:rsidP="0035674C">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353C966B" w14:textId="1E2B94F1" w:rsidTr="001D2EA7">
        <w:trPr>
          <w:trHeight w:val="283"/>
          <w:jc w:val="center"/>
        </w:trPr>
        <w:tc>
          <w:tcPr>
            <w:tcW w:w="1437" w:type="dxa"/>
            <w:shd w:val="clear" w:color="auto" w:fill="D9D9D9" w:themeFill="background1" w:themeFillShade="D9"/>
          </w:tcPr>
          <w:p w14:paraId="19A7FCC7" w14:textId="68D53EC0" w:rsidR="0035674C" w:rsidRPr="00C3645A" w:rsidRDefault="0035674C" w:rsidP="0035674C">
            <w:pPr>
              <w:pStyle w:val="PubliManuscript"/>
              <w:spacing w:before="0" w:after="0" w:line="240" w:lineRule="auto"/>
              <w:ind w:firstLine="0"/>
              <w:jc w:val="center"/>
              <w:rPr>
                <w:b/>
                <w:bCs/>
                <w:color w:val="auto"/>
              </w:rPr>
            </w:pPr>
            <w:r w:rsidRPr="00C3645A">
              <w:rPr>
                <w:b/>
                <w:bCs/>
                <w:color w:val="auto"/>
              </w:rPr>
              <w:t>UG</w:t>
            </w:r>
          </w:p>
        </w:tc>
        <w:tc>
          <w:tcPr>
            <w:tcW w:w="2874" w:type="dxa"/>
            <w:gridSpan w:val="2"/>
          </w:tcPr>
          <w:p w14:paraId="7B02F96E" w14:textId="25538539" w:rsidR="0035674C" w:rsidRPr="00C3645A" w:rsidRDefault="0035674C" w:rsidP="0035674C">
            <w:pPr>
              <w:pStyle w:val="PubliManuscript"/>
              <w:spacing w:before="0" w:after="0" w:line="240" w:lineRule="auto"/>
              <w:ind w:firstLine="0"/>
              <w:jc w:val="center"/>
              <w:rPr>
                <w:color w:val="auto"/>
              </w:rPr>
            </w:pPr>
            <w:r w:rsidRPr="00C3645A">
              <w:rPr>
                <w:color w:val="auto"/>
              </w:rPr>
              <w:t>2.68 (</w:t>
            </w:r>
            <m:oMath>
              <m:r>
                <w:rPr>
                  <w:rFonts w:ascii="Cambria Math" w:hAnsi="Cambria Math"/>
                  <w:color w:val="auto"/>
                </w:rPr>
                <m:t>±0.63)</m:t>
              </m:r>
            </m:oMath>
          </w:p>
        </w:tc>
        <w:tc>
          <w:tcPr>
            <w:tcW w:w="2876" w:type="dxa"/>
            <w:gridSpan w:val="2"/>
          </w:tcPr>
          <w:p w14:paraId="60172F90" w14:textId="36CD9465" w:rsidR="0035674C" w:rsidRPr="00C3645A" w:rsidRDefault="0035674C" w:rsidP="0035674C">
            <w:pPr>
              <w:pStyle w:val="PubliManuscript"/>
              <w:spacing w:before="0" w:after="0" w:line="240" w:lineRule="auto"/>
              <w:ind w:firstLine="0"/>
              <w:jc w:val="center"/>
              <w:rPr>
                <w:b/>
                <w:bCs/>
                <w:color w:val="auto"/>
              </w:rPr>
            </w:pPr>
            <w:r w:rsidRPr="00C3645A">
              <w:rPr>
                <w:color w:val="auto"/>
              </w:rPr>
              <w:t>3.75 (</w:t>
            </w:r>
            <m:oMath>
              <m:r>
                <w:rPr>
                  <w:rFonts w:ascii="Cambria Math" w:hAnsi="Cambria Math"/>
                  <w:color w:val="auto"/>
                </w:rPr>
                <m:t>±0.51)</m:t>
              </m:r>
            </m:oMath>
          </w:p>
        </w:tc>
        <w:tc>
          <w:tcPr>
            <w:tcW w:w="1440" w:type="dxa"/>
            <w:tcBorders>
              <w:bottom w:val="single" w:sz="4" w:space="0" w:color="auto"/>
            </w:tcBorders>
          </w:tcPr>
          <w:p w14:paraId="08FD922F" w14:textId="7A15EF0F" w:rsidR="0035674C" w:rsidRPr="00C3645A" w:rsidRDefault="0035674C" w:rsidP="0035674C">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546C60F2" w14:textId="77777777" w:rsidTr="00196EB5">
        <w:trPr>
          <w:trHeight w:val="1134"/>
          <w:jc w:val="center"/>
        </w:trPr>
        <w:tc>
          <w:tcPr>
            <w:tcW w:w="1437" w:type="dxa"/>
            <w:shd w:val="clear" w:color="auto" w:fill="D9D9D9" w:themeFill="background1" w:themeFillShade="D9"/>
          </w:tcPr>
          <w:p w14:paraId="7E7D4DBE" w14:textId="42190C05" w:rsidR="0035674C" w:rsidRPr="00C3645A" w:rsidRDefault="0035674C" w:rsidP="0035674C">
            <w:pPr>
              <w:pStyle w:val="PubliManuscript"/>
              <w:spacing w:before="0" w:after="0" w:line="240" w:lineRule="auto"/>
              <w:ind w:firstLine="0"/>
              <w:jc w:val="center"/>
              <w:rPr>
                <w:b/>
                <w:bCs/>
                <w:color w:val="auto"/>
              </w:rPr>
            </w:pPr>
            <w:r w:rsidRPr="00C3645A">
              <w:rPr>
                <w:b/>
                <w:bCs/>
                <w:color w:val="auto"/>
              </w:rPr>
              <w:t>Statistical groups between periods</w:t>
            </w:r>
          </w:p>
        </w:tc>
        <w:tc>
          <w:tcPr>
            <w:tcW w:w="2874" w:type="dxa"/>
            <w:gridSpan w:val="2"/>
          </w:tcPr>
          <w:p w14:paraId="55EF05D7" w14:textId="77777777" w:rsidR="0035674C" w:rsidRPr="00C3645A" w:rsidRDefault="0035674C" w:rsidP="0035674C">
            <w:pPr>
              <w:pStyle w:val="PubliManuscript"/>
              <w:spacing w:before="0" w:after="0" w:line="240" w:lineRule="auto"/>
              <w:ind w:firstLine="0"/>
              <w:jc w:val="center"/>
              <w:rPr>
                <w:color w:val="auto"/>
              </w:rPr>
            </w:pPr>
          </w:p>
          <w:p w14:paraId="66B2E8AD" w14:textId="4DBFE3C5" w:rsidR="0035674C" w:rsidRPr="00C3645A" w:rsidRDefault="0035674C" w:rsidP="0035674C">
            <w:pPr>
              <w:pStyle w:val="PubliManuscript"/>
              <w:spacing w:before="0" w:after="0" w:line="240" w:lineRule="auto"/>
              <w:ind w:firstLine="0"/>
              <w:jc w:val="center"/>
              <w:rPr>
                <w:color w:val="auto"/>
              </w:rPr>
            </w:pPr>
            <w:r w:rsidRPr="00C3645A">
              <w:rPr>
                <w:color w:val="auto"/>
              </w:rPr>
              <w:t>B</w:t>
            </w:r>
          </w:p>
        </w:tc>
        <w:tc>
          <w:tcPr>
            <w:tcW w:w="2876" w:type="dxa"/>
            <w:gridSpan w:val="2"/>
          </w:tcPr>
          <w:p w14:paraId="5591CE2A" w14:textId="77777777" w:rsidR="0035674C" w:rsidRPr="00C3645A" w:rsidRDefault="0035674C" w:rsidP="0035674C">
            <w:pPr>
              <w:pStyle w:val="PubliManuscript"/>
              <w:spacing w:before="0" w:after="0" w:line="240" w:lineRule="auto"/>
              <w:ind w:firstLine="0"/>
              <w:jc w:val="center"/>
              <w:rPr>
                <w:color w:val="auto"/>
              </w:rPr>
            </w:pPr>
          </w:p>
          <w:p w14:paraId="0D97371E" w14:textId="559EF3AE" w:rsidR="0035674C" w:rsidRPr="00C3645A" w:rsidRDefault="0035674C" w:rsidP="0035674C">
            <w:pPr>
              <w:pStyle w:val="PubliManuscript"/>
              <w:spacing w:before="0" w:after="0" w:line="240" w:lineRule="auto"/>
              <w:ind w:firstLine="0"/>
              <w:jc w:val="center"/>
              <w:rPr>
                <w:color w:val="auto"/>
              </w:rPr>
            </w:pPr>
            <w:r w:rsidRPr="00C3645A">
              <w:rPr>
                <w:color w:val="auto"/>
              </w:rPr>
              <w:t>A</w:t>
            </w:r>
          </w:p>
        </w:tc>
        <w:tc>
          <w:tcPr>
            <w:tcW w:w="1440" w:type="dxa"/>
            <w:tcBorders>
              <w:tl2br w:val="single" w:sz="4" w:space="0" w:color="auto"/>
            </w:tcBorders>
          </w:tcPr>
          <w:p w14:paraId="4DF72C8E" w14:textId="5EFE5E0C" w:rsidR="0035674C" w:rsidRPr="00C3645A" w:rsidRDefault="0035674C" w:rsidP="0035674C">
            <w:pPr>
              <w:pStyle w:val="PubliManuscript"/>
              <w:spacing w:before="0" w:after="0" w:line="240" w:lineRule="auto"/>
              <w:ind w:firstLine="0"/>
              <w:rPr>
                <w:color w:val="auto"/>
                <w:sz w:val="18"/>
                <w:szCs w:val="18"/>
              </w:rPr>
            </w:pPr>
            <w:r w:rsidRPr="00C3645A">
              <w:rPr>
                <w:i/>
                <w:iCs/>
                <w:color w:val="auto"/>
                <w:sz w:val="18"/>
                <w:szCs w:val="18"/>
              </w:rPr>
              <w:t xml:space="preserve">              p </w:t>
            </w:r>
            <w:r w:rsidRPr="00C3645A">
              <w:rPr>
                <w:color w:val="auto"/>
                <w:sz w:val="18"/>
                <w:szCs w:val="18"/>
              </w:rPr>
              <w:t>= 1</w:t>
            </w:r>
          </w:p>
          <w:p w14:paraId="1E753554" w14:textId="77777777" w:rsidR="0035674C" w:rsidRPr="00C3645A" w:rsidRDefault="0035674C" w:rsidP="0035674C">
            <w:pPr>
              <w:pStyle w:val="PubliManuscript"/>
              <w:spacing w:before="0" w:after="0" w:line="240" w:lineRule="auto"/>
              <w:ind w:firstLine="0"/>
              <w:rPr>
                <w:i/>
                <w:iCs/>
                <w:color w:val="auto"/>
                <w:sz w:val="18"/>
                <w:szCs w:val="18"/>
              </w:rPr>
            </w:pPr>
          </w:p>
          <w:p w14:paraId="118BA705" w14:textId="77777777" w:rsidR="0035674C" w:rsidRPr="00C3645A" w:rsidRDefault="0035674C" w:rsidP="0035674C">
            <w:pPr>
              <w:pStyle w:val="PubliManuscript"/>
              <w:spacing w:before="0" w:after="0" w:line="240" w:lineRule="auto"/>
              <w:ind w:firstLine="0"/>
              <w:rPr>
                <w:i/>
                <w:iCs/>
                <w:color w:val="auto"/>
                <w:sz w:val="18"/>
                <w:szCs w:val="18"/>
              </w:rPr>
            </w:pPr>
          </w:p>
          <w:p w14:paraId="5E9CDE07" w14:textId="77777777" w:rsidR="0035674C" w:rsidRPr="00C3645A" w:rsidRDefault="0035674C" w:rsidP="0035674C">
            <w:pPr>
              <w:pStyle w:val="PubliManuscript"/>
              <w:spacing w:before="0" w:after="0" w:line="240" w:lineRule="auto"/>
              <w:ind w:firstLine="0"/>
              <w:rPr>
                <w:i/>
                <w:iCs/>
                <w:color w:val="auto"/>
                <w:sz w:val="18"/>
                <w:szCs w:val="18"/>
              </w:rPr>
            </w:pPr>
            <w:r w:rsidRPr="00C3645A">
              <w:rPr>
                <w:i/>
                <w:iCs/>
                <w:color w:val="auto"/>
                <w:sz w:val="18"/>
                <w:szCs w:val="18"/>
              </w:rPr>
              <w:t xml:space="preserve">   </w:t>
            </w:r>
          </w:p>
          <w:p w14:paraId="7D2A2222" w14:textId="1C9D6E4A" w:rsidR="0035674C" w:rsidRPr="00C3645A" w:rsidRDefault="0035674C" w:rsidP="0035674C">
            <w:pPr>
              <w:pStyle w:val="PubliManuscript"/>
              <w:spacing w:before="0" w:after="0" w:line="240" w:lineRule="auto"/>
              <w:ind w:firstLine="0"/>
              <w:rPr>
                <w:color w:val="auto"/>
              </w:rPr>
            </w:pPr>
            <w:r w:rsidRPr="00C3645A">
              <w:rPr>
                <w:i/>
                <w:iCs/>
                <w:color w:val="auto"/>
                <w:sz w:val="18"/>
                <w:szCs w:val="18"/>
              </w:rPr>
              <w:t xml:space="preserve">p </w:t>
            </w:r>
            <w:r w:rsidRPr="00C3645A">
              <w:rPr>
                <w:color w:val="auto"/>
                <w:sz w:val="18"/>
                <w:szCs w:val="18"/>
              </w:rPr>
              <w:t>&lt; 2e-16</w:t>
            </w:r>
          </w:p>
        </w:tc>
      </w:tr>
    </w:tbl>
    <w:p w14:paraId="28898681" w14:textId="631DEEFE" w:rsidR="004313EC" w:rsidRPr="00C3645A" w:rsidRDefault="004313EC" w:rsidP="00F51ED1">
      <w:pPr>
        <w:pStyle w:val="PubliManuscript"/>
        <w:spacing w:line="240" w:lineRule="auto"/>
        <w:ind w:firstLine="0"/>
        <w:rPr>
          <w:b/>
          <w:bCs/>
          <w:color w:val="auto"/>
        </w:rPr>
      </w:pPr>
      <w:r w:rsidRPr="00C3645A">
        <w:rPr>
          <w:b/>
          <w:bCs/>
          <w:color w:val="auto"/>
        </w:rPr>
        <w:t>Table A</w:t>
      </w:r>
      <w:r w:rsidR="00AC13C6" w:rsidRPr="00C3645A">
        <w:rPr>
          <w:b/>
          <w:bCs/>
          <w:color w:val="auto"/>
        </w:rPr>
        <w:t>3</w:t>
      </w:r>
      <w:r w:rsidRPr="00C3645A">
        <w:rPr>
          <w:b/>
          <w:bCs/>
          <w:color w:val="auto"/>
        </w:rPr>
        <w:t>. Productivity</w:t>
      </w:r>
      <w:r w:rsidR="00651367" w:rsidRPr="00C3645A">
        <w:rPr>
          <w:b/>
          <w:bCs/>
          <w:color w:val="auto"/>
        </w:rPr>
        <w:t xml:space="preserve"> means</w:t>
      </w:r>
      <w:r w:rsidR="001779D8" w:rsidRPr="00C3645A">
        <w:rPr>
          <w:b/>
          <w:bCs/>
          <w:color w:val="auto"/>
        </w:rPr>
        <w:t xml:space="preserve">, </w:t>
      </w:r>
      <w:r w:rsidR="00A907FC" w:rsidRPr="00C3645A">
        <w:rPr>
          <w:b/>
          <w:bCs/>
          <w:color w:val="auto"/>
        </w:rPr>
        <w:t>with standard deviation</w:t>
      </w:r>
      <w:r w:rsidR="001779D8" w:rsidRPr="00C3645A">
        <w:rPr>
          <w:b/>
          <w:bCs/>
          <w:color w:val="auto"/>
        </w:rPr>
        <w:t>s, for each</w:t>
      </w:r>
      <w:r w:rsidR="00676E5C" w:rsidRPr="00C3645A">
        <w:rPr>
          <w:b/>
          <w:bCs/>
          <w:color w:val="auto"/>
        </w:rPr>
        <w:t xml:space="preserve"> productivity category (</w:t>
      </w:r>
      <w:r w:rsidR="00A45A50" w:rsidRPr="00C3645A">
        <w:rPr>
          <w:b/>
          <w:bCs/>
          <w:color w:val="auto"/>
        </w:rPr>
        <w:t>t</w:t>
      </w:r>
      <w:r w:rsidR="00676E5C" w:rsidRPr="00C3645A">
        <w:rPr>
          <w:b/>
          <w:bCs/>
          <w:color w:val="auto"/>
        </w:rPr>
        <w:t>otal herbage production, live weight gain, soybean</w:t>
      </w:r>
      <w:r w:rsidR="001779D8" w:rsidRPr="00C3645A">
        <w:rPr>
          <w:b/>
          <w:bCs/>
          <w:color w:val="auto"/>
        </w:rPr>
        <w:t>).</w:t>
      </w:r>
      <w:r w:rsidR="00B22245" w:rsidRPr="00C3645A">
        <w:rPr>
          <w:b/>
          <w:bCs/>
          <w:color w:val="auto"/>
        </w:rPr>
        <w:t xml:space="preserve"> </w:t>
      </w:r>
      <w:r w:rsidR="00305269" w:rsidRPr="00C3645A">
        <w:rPr>
          <w:b/>
          <w:bCs/>
          <w:color w:val="auto"/>
          <w:vertAlign w:val="superscript"/>
        </w:rPr>
        <w:t>$</w:t>
      </w:r>
      <w:r w:rsidR="00305269" w:rsidRPr="00C3645A">
        <w:rPr>
          <w:b/>
          <w:bCs/>
          <w:color w:val="auto"/>
        </w:rPr>
        <w:t>On the live weight gain, an interactive effect between the treatments and the periods was found to be significative. In this case, we reported the statistical groups related to both treatments and periods.</w:t>
      </w:r>
      <w:r w:rsidR="00B22245" w:rsidRPr="00C3645A">
        <w:rPr>
          <w:b/>
          <w:bCs/>
          <w:color w:val="auto"/>
        </w:rPr>
        <w:t xml:space="preserve"> </w:t>
      </w:r>
      <w:proofErr w:type="spellStart"/>
      <w:r w:rsidR="00B22245" w:rsidRPr="00C3645A">
        <w:rPr>
          <w:b/>
          <w:bCs/>
          <w:color w:val="auto"/>
        </w:rPr>
        <w:t>n.s</w:t>
      </w:r>
      <w:proofErr w:type="spellEnd"/>
      <w:r w:rsidR="00B22245" w:rsidRPr="00C3645A">
        <w:rPr>
          <w:b/>
          <w:bCs/>
          <w:color w:val="auto"/>
        </w:rPr>
        <w:t>. = no significa</w:t>
      </w:r>
      <w:r w:rsidR="009402DA" w:rsidRPr="00C3645A">
        <w:rPr>
          <w:b/>
          <w:bCs/>
          <w:color w:val="auto"/>
        </w:rPr>
        <w:t>nt</w:t>
      </w:r>
      <w:r w:rsidR="00B22245" w:rsidRPr="00C3645A">
        <w:rPr>
          <w:b/>
          <w:bCs/>
          <w:color w:val="auto"/>
        </w:rPr>
        <w:t xml:space="preserve"> difference.</w:t>
      </w:r>
      <w:r w:rsidR="00FE2549" w:rsidRPr="00C3645A">
        <w:rPr>
          <w:b/>
          <w:bCs/>
          <w:color w:val="auto"/>
        </w:rPr>
        <w:t xml:space="preserve"> G10, G20, G30 and G40 refer to the grazing intensity treatment, and UG designates the ungrazed treatment.</w:t>
      </w:r>
      <w:r w:rsidRPr="00C3645A">
        <w:rPr>
          <w:b/>
          <w:bCs/>
          <w:color w:val="auto"/>
        </w:rPr>
        <w:br w:type="page"/>
      </w:r>
    </w:p>
    <w:tbl>
      <w:tblPr>
        <w:tblStyle w:val="Grilledutableau"/>
        <w:tblW w:w="0" w:type="auto"/>
        <w:jc w:val="center"/>
        <w:tblLook w:val="04A0" w:firstRow="1" w:lastRow="0" w:firstColumn="1" w:lastColumn="0" w:noHBand="0" w:noVBand="1"/>
      </w:tblPr>
      <w:tblGrid>
        <w:gridCol w:w="1437"/>
        <w:gridCol w:w="2874"/>
        <w:gridCol w:w="2876"/>
        <w:gridCol w:w="1440"/>
      </w:tblGrid>
      <w:tr w:rsidR="00C3645A" w:rsidRPr="00C3645A" w14:paraId="1EAE1EA9" w14:textId="77777777" w:rsidTr="005B69EB">
        <w:trPr>
          <w:trHeight w:val="283"/>
          <w:jc w:val="center"/>
        </w:trPr>
        <w:tc>
          <w:tcPr>
            <w:tcW w:w="1437" w:type="dxa"/>
            <w:shd w:val="clear" w:color="auto" w:fill="D9D9D9" w:themeFill="background1" w:themeFillShade="D9"/>
          </w:tcPr>
          <w:p w14:paraId="6E15A70A" w14:textId="70BAFC42" w:rsidR="005B69EB" w:rsidRPr="00C3645A" w:rsidRDefault="005B69EB" w:rsidP="005B69EB">
            <w:pPr>
              <w:pStyle w:val="PubliManuscript"/>
              <w:spacing w:before="0" w:after="0" w:line="240" w:lineRule="auto"/>
              <w:ind w:firstLine="0"/>
              <w:jc w:val="center"/>
              <w:rPr>
                <w:b/>
                <w:bCs/>
                <w:color w:val="auto"/>
              </w:rPr>
            </w:pPr>
            <w:r w:rsidRPr="00C3645A">
              <w:rPr>
                <w:b/>
                <w:bCs/>
                <w:color w:val="auto"/>
              </w:rPr>
              <w:lastRenderedPageBreak/>
              <w:t>Treatment</w:t>
            </w:r>
          </w:p>
        </w:tc>
        <w:tc>
          <w:tcPr>
            <w:tcW w:w="5750" w:type="dxa"/>
            <w:gridSpan w:val="2"/>
            <w:shd w:val="clear" w:color="auto" w:fill="D9D9D9" w:themeFill="background1" w:themeFillShade="D9"/>
          </w:tcPr>
          <w:p w14:paraId="18180234" w14:textId="36965D38" w:rsidR="005B69EB" w:rsidRPr="00C3645A" w:rsidRDefault="005B69EB" w:rsidP="00284CE8">
            <w:pPr>
              <w:pStyle w:val="PubliManuscript"/>
              <w:spacing w:before="0" w:after="0" w:line="240" w:lineRule="auto"/>
              <w:ind w:firstLine="0"/>
              <w:jc w:val="center"/>
              <w:rPr>
                <w:b/>
                <w:bCs/>
                <w:color w:val="auto"/>
              </w:rPr>
            </w:pPr>
            <w:r w:rsidRPr="00C3645A">
              <w:rPr>
                <w:b/>
                <w:bCs/>
                <w:color w:val="auto"/>
              </w:rPr>
              <w:t>Mean (</w:t>
            </w:r>
            <m:oMath>
              <m:r>
                <m:rPr>
                  <m:sty m:val="bi"/>
                </m:rPr>
                <w:rPr>
                  <w:rFonts w:ascii="Cambria Math" w:hAnsi="Cambria Math"/>
                  <w:color w:val="auto"/>
                </w:rPr>
                <m:t xml:space="preserve">± </m:t>
              </m:r>
            </m:oMath>
            <w:r w:rsidRPr="00C3645A">
              <w:rPr>
                <w:b/>
                <w:bCs/>
                <w:color w:val="auto"/>
              </w:rPr>
              <w:t>s.d.)</w:t>
            </w:r>
          </w:p>
        </w:tc>
        <w:tc>
          <w:tcPr>
            <w:tcW w:w="1440" w:type="dxa"/>
            <w:shd w:val="clear" w:color="auto" w:fill="D9D9D9" w:themeFill="background1" w:themeFillShade="D9"/>
          </w:tcPr>
          <w:p w14:paraId="6C19390A" w14:textId="2CC324A7" w:rsidR="005B69EB" w:rsidRPr="00C3645A" w:rsidRDefault="005B69EB" w:rsidP="005B69EB">
            <w:pPr>
              <w:pStyle w:val="PubliManuscript"/>
              <w:spacing w:before="0" w:after="0" w:line="240" w:lineRule="auto"/>
              <w:ind w:firstLine="0"/>
              <w:jc w:val="center"/>
              <w:rPr>
                <w:color w:val="auto"/>
              </w:rPr>
            </w:pPr>
            <w:r w:rsidRPr="00C3645A">
              <w:rPr>
                <w:b/>
                <w:bCs/>
                <w:color w:val="auto"/>
              </w:rPr>
              <w:t>Statistical groups between treatments</w:t>
            </w:r>
          </w:p>
        </w:tc>
      </w:tr>
      <w:tr w:rsidR="00C3645A" w:rsidRPr="00C3645A" w14:paraId="2FAAAC5A" w14:textId="77777777" w:rsidTr="005B69EB">
        <w:trPr>
          <w:trHeight w:val="283"/>
          <w:jc w:val="center"/>
        </w:trPr>
        <w:tc>
          <w:tcPr>
            <w:tcW w:w="1437" w:type="dxa"/>
            <w:shd w:val="clear" w:color="auto" w:fill="D9D9D9" w:themeFill="background1" w:themeFillShade="D9"/>
          </w:tcPr>
          <w:p w14:paraId="4488C3AC" w14:textId="77777777" w:rsidR="005B69EB" w:rsidRPr="00C3645A" w:rsidRDefault="005B69EB" w:rsidP="005B69EB">
            <w:pPr>
              <w:pStyle w:val="PubliManuscript"/>
              <w:spacing w:before="0" w:after="0" w:line="240" w:lineRule="auto"/>
              <w:ind w:firstLine="0"/>
              <w:jc w:val="center"/>
              <w:rPr>
                <w:b/>
                <w:bCs/>
                <w:color w:val="auto"/>
              </w:rPr>
            </w:pPr>
          </w:p>
        </w:tc>
        <w:tc>
          <w:tcPr>
            <w:tcW w:w="2874" w:type="dxa"/>
            <w:shd w:val="clear" w:color="auto" w:fill="D9D9D9" w:themeFill="background1" w:themeFillShade="D9"/>
          </w:tcPr>
          <w:p w14:paraId="4DC778D2" w14:textId="6BC06379" w:rsidR="005B69EB" w:rsidRPr="00C3645A" w:rsidRDefault="005B69EB" w:rsidP="005B69EB">
            <w:pPr>
              <w:pStyle w:val="PubliManuscript"/>
              <w:spacing w:before="0" w:after="0" w:line="240" w:lineRule="auto"/>
              <w:ind w:firstLine="0"/>
              <w:jc w:val="center"/>
              <w:rPr>
                <w:color w:val="auto"/>
              </w:rPr>
            </w:pPr>
            <w:r w:rsidRPr="00C3645A">
              <w:rPr>
                <w:b/>
                <w:bCs/>
                <w:color w:val="auto"/>
              </w:rPr>
              <w:t>2001-2018</w:t>
            </w:r>
          </w:p>
        </w:tc>
        <w:tc>
          <w:tcPr>
            <w:tcW w:w="2876" w:type="dxa"/>
            <w:shd w:val="clear" w:color="auto" w:fill="D9D9D9" w:themeFill="background1" w:themeFillShade="D9"/>
          </w:tcPr>
          <w:p w14:paraId="7872FA3C" w14:textId="4EB516C3" w:rsidR="005B69EB" w:rsidRPr="00C3645A" w:rsidRDefault="005B69EB" w:rsidP="005B69EB">
            <w:pPr>
              <w:pStyle w:val="PubliManuscript"/>
              <w:spacing w:before="0" w:after="0" w:line="240" w:lineRule="auto"/>
              <w:ind w:firstLine="0"/>
              <w:jc w:val="center"/>
              <w:rPr>
                <w:color w:val="auto"/>
              </w:rPr>
            </w:pPr>
            <w:r w:rsidRPr="00C3645A">
              <w:rPr>
                <w:b/>
                <w:bCs/>
                <w:color w:val="auto"/>
              </w:rPr>
              <w:t>2041-2058 (RCP8.5)</w:t>
            </w:r>
          </w:p>
        </w:tc>
        <w:tc>
          <w:tcPr>
            <w:tcW w:w="1440" w:type="dxa"/>
            <w:shd w:val="clear" w:color="auto" w:fill="D9D9D9" w:themeFill="background1" w:themeFillShade="D9"/>
          </w:tcPr>
          <w:p w14:paraId="6DF6C9DA" w14:textId="77777777" w:rsidR="005B69EB" w:rsidRPr="00C3645A" w:rsidRDefault="005B69EB" w:rsidP="005B69EB">
            <w:pPr>
              <w:pStyle w:val="PubliManuscript"/>
              <w:spacing w:before="0" w:after="0" w:line="240" w:lineRule="auto"/>
              <w:ind w:firstLine="0"/>
              <w:jc w:val="center"/>
              <w:rPr>
                <w:color w:val="auto"/>
              </w:rPr>
            </w:pPr>
          </w:p>
        </w:tc>
      </w:tr>
      <w:tr w:rsidR="00C3645A" w:rsidRPr="00C3645A" w14:paraId="3A59DE28" w14:textId="77777777" w:rsidTr="00066C8B">
        <w:trPr>
          <w:trHeight w:val="283"/>
          <w:jc w:val="center"/>
        </w:trPr>
        <w:tc>
          <w:tcPr>
            <w:tcW w:w="8627" w:type="dxa"/>
            <w:gridSpan w:val="4"/>
            <w:shd w:val="clear" w:color="auto" w:fill="D9D9D9" w:themeFill="background1" w:themeFillShade="D9"/>
          </w:tcPr>
          <w:p w14:paraId="0AD57799" w14:textId="4B48DEF1" w:rsidR="005B69EB" w:rsidRPr="00C3645A" w:rsidRDefault="00FF2DD7" w:rsidP="005B69EB">
            <w:pPr>
              <w:pStyle w:val="PubliManuscript"/>
              <w:spacing w:before="0" w:after="0" w:line="240" w:lineRule="auto"/>
              <w:ind w:firstLine="0"/>
              <w:jc w:val="center"/>
              <w:rPr>
                <w:color w:val="auto"/>
              </w:rPr>
            </w:pPr>
            <w:r w:rsidRPr="00C3645A">
              <w:rPr>
                <w:b/>
                <w:bCs/>
                <w:color w:val="auto"/>
              </w:rPr>
              <w:t xml:space="preserve">Annual production in </w:t>
            </w:r>
            <w:proofErr w:type="spellStart"/>
            <w:r w:rsidRPr="00C3645A">
              <w:rPr>
                <w:b/>
                <w:bCs/>
                <w:color w:val="auto"/>
              </w:rPr>
              <w:t>Mcal</w:t>
            </w:r>
            <w:proofErr w:type="spellEnd"/>
          </w:p>
        </w:tc>
      </w:tr>
      <w:tr w:rsidR="00C3645A" w:rsidRPr="00C3645A" w14:paraId="12C77AD3" w14:textId="77777777" w:rsidTr="00066C8B">
        <w:trPr>
          <w:trHeight w:val="283"/>
          <w:jc w:val="center"/>
        </w:trPr>
        <w:tc>
          <w:tcPr>
            <w:tcW w:w="1437" w:type="dxa"/>
            <w:shd w:val="clear" w:color="auto" w:fill="D9D9D9" w:themeFill="background1" w:themeFillShade="D9"/>
          </w:tcPr>
          <w:p w14:paraId="0F76B42B" w14:textId="7777777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G10</w:t>
            </w:r>
          </w:p>
        </w:tc>
        <w:tc>
          <w:tcPr>
            <w:tcW w:w="2874" w:type="dxa"/>
          </w:tcPr>
          <w:p w14:paraId="57EA8CB1" w14:textId="4D681AE6" w:rsidR="005B69EB" w:rsidRPr="00C3645A" w:rsidRDefault="00223311" w:rsidP="005B69EB">
            <w:pPr>
              <w:pStyle w:val="PubliManuscript"/>
              <w:spacing w:before="0" w:after="0" w:line="240" w:lineRule="auto"/>
              <w:ind w:firstLine="0"/>
              <w:jc w:val="center"/>
              <w:rPr>
                <w:color w:val="auto"/>
              </w:rPr>
            </w:pPr>
            <w:r w:rsidRPr="00C3645A">
              <w:rPr>
                <w:color w:val="auto"/>
              </w:rPr>
              <w:t>12914</w:t>
            </w:r>
            <w:r w:rsidR="005B69EB" w:rsidRPr="00C3645A">
              <w:rPr>
                <w:color w:val="auto"/>
              </w:rPr>
              <w:t xml:space="preserve"> (</w:t>
            </w:r>
            <m:oMath>
              <m:r>
                <w:rPr>
                  <w:rFonts w:ascii="Cambria Math" w:hAnsi="Cambria Math"/>
                  <w:color w:val="auto"/>
                </w:rPr>
                <m:t>±3282)</m:t>
              </m:r>
            </m:oMath>
          </w:p>
        </w:tc>
        <w:tc>
          <w:tcPr>
            <w:tcW w:w="2876" w:type="dxa"/>
          </w:tcPr>
          <w:p w14:paraId="5C244F8B" w14:textId="2ABE1E37" w:rsidR="005B69EB" w:rsidRPr="00C3645A" w:rsidRDefault="00223311" w:rsidP="005B69EB">
            <w:pPr>
              <w:pStyle w:val="PubliManuscript"/>
              <w:spacing w:before="0" w:after="0" w:line="240" w:lineRule="auto"/>
              <w:ind w:firstLine="0"/>
              <w:jc w:val="center"/>
              <w:rPr>
                <w:b/>
                <w:bCs/>
                <w:color w:val="auto"/>
              </w:rPr>
            </w:pPr>
            <w:r w:rsidRPr="00C3645A">
              <w:rPr>
                <w:color w:val="auto"/>
              </w:rPr>
              <w:t>17020</w:t>
            </w:r>
            <w:r w:rsidR="005B69EB" w:rsidRPr="00C3645A">
              <w:rPr>
                <w:color w:val="auto"/>
              </w:rPr>
              <w:t xml:space="preserve"> (</w:t>
            </w:r>
            <m:oMath>
              <m:r>
                <w:rPr>
                  <w:rFonts w:ascii="Cambria Math" w:hAnsi="Cambria Math"/>
                  <w:color w:val="auto"/>
                </w:rPr>
                <m:t>±4796)</m:t>
              </m:r>
            </m:oMath>
          </w:p>
        </w:tc>
        <w:tc>
          <w:tcPr>
            <w:tcW w:w="1440" w:type="dxa"/>
          </w:tcPr>
          <w:p w14:paraId="780C8140" w14:textId="77777777" w:rsidR="005B69EB" w:rsidRPr="00C3645A" w:rsidRDefault="005B69EB" w:rsidP="005B69EB">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5E542B71" w14:textId="77777777" w:rsidTr="00066C8B">
        <w:trPr>
          <w:trHeight w:val="283"/>
          <w:jc w:val="center"/>
        </w:trPr>
        <w:tc>
          <w:tcPr>
            <w:tcW w:w="1437" w:type="dxa"/>
            <w:shd w:val="clear" w:color="auto" w:fill="D9D9D9" w:themeFill="background1" w:themeFillShade="D9"/>
          </w:tcPr>
          <w:p w14:paraId="09BFACD3" w14:textId="7777777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G20</w:t>
            </w:r>
          </w:p>
        </w:tc>
        <w:tc>
          <w:tcPr>
            <w:tcW w:w="2874" w:type="dxa"/>
          </w:tcPr>
          <w:p w14:paraId="1955C8A9" w14:textId="40AF9702" w:rsidR="005B69EB" w:rsidRPr="00C3645A" w:rsidRDefault="00223311" w:rsidP="005B69EB">
            <w:pPr>
              <w:pStyle w:val="PubliManuscript"/>
              <w:spacing w:before="0" w:after="0" w:line="240" w:lineRule="auto"/>
              <w:ind w:firstLine="0"/>
              <w:jc w:val="center"/>
              <w:rPr>
                <w:color w:val="auto"/>
              </w:rPr>
            </w:pPr>
            <w:r w:rsidRPr="00C3645A">
              <w:rPr>
                <w:color w:val="auto"/>
              </w:rPr>
              <w:t>12856</w:t>
            </w:r>
            <w:r w:rsidR="005B69EB" w:rsidRPr="00C3645A">
              <w:rPr>
                <w:color w:val="auto"/>
              </w:rPr>
              <w:t xml:space="preserve"> (</w:t>
            </w:r>
            <m:oMath>
              <m:r>
                <w:rPr>
                  <w:rFonts w:ascii="Cambria Math" w:hAnsi="Cambria Math"/>
                  <w:color w:val="auto"/>
                </w:rPr>
                <m:t>±3408)</m:t>
              </m:r>
            </m:oMath>
          </w:p>
        </w:tc>
        <w:tc>
          <w:tcPr>
            <w:tcW w:w="2876" w:type="dxa"/>
          </w:tcPr>
          <w:p w14:paraId="0AFFC31B" w14:textId="74C69FFE" w:rsidR="005B69EB" w:rsidRPr="00C3645A" w:rsidRDefault="00223311" w:rsidP="005B69EB">
            <w:pPr>
              <w:pStyle w:val="PubliManuscript"/>
              <w:spacing w:before="0" w:after="0" w:line="240" w:lineRule="auto"/>
              <w:ind w:firstLine="0"/>
              <w:jc w:val="center"/>
              <w:rPr>
                <w:b/>
                <w:bCs/>
                <w:color w:val="auto"/>
              </w:rPr>
            </w:pPr>
            <w:r w:rsidRPr="00C3645A">
              <w:rPr>
                <w:color w:val="auto"/>
              </w:rPr>
              <w:t>16908</w:t>
            </w:r>
            <w:r w:rsidR="005B69EB" w:rsidRPr="00C3645A">
              <w:rPr>
                <w:color w:val="auto"/>
              </w:rPr>
              <w:t xml:space="preserve"> (</w:t>
            </w:r>
            <m:oMath>
              <m:r>
                <w:rPr>
                  <w:rFonts w:ascii="Cambria Math" w:hAnsi="Cambria Math"/>
                  <w:color w:val="auto"/>
                </w:rPr>
                <m:t>±4820)</m:t>
              </m:r>
            </m:oMath>
          </w:p>
        </w:tc>
        <w:tc>
          <w:tcPr>
            <w:tcW w:w="1440" w:type="dxa"/>
          </w:tcPr>
          <w:p w14:paraId="10EC8FC5" w14:textId="77777777" w:rsidR="005B69EB" w:rsidRPr="00C3645A" w:rsidRDefault="005B69EB" w:rsidP="005B69EB">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78E8B7EF" w14:textId="77777777" w:rsidTr="00066C8B">
        <w:trPr>
          <w:trHeight w:val="283"/>
          <w:jc w:val="center"/>
        </w:trPr>
        <w:tc>
          <w:tcPr>
            <w:tcW w:w="1437" w:type="dxa"/>
            <w:shd w:val="clear" w:color="auto" w:fill="D9D9D9" w:themeFill="background1" w:themeFillShade="D9"/>
          </w:tcPr>
          <w:p w14:paraId="5E1374B3" w14:textId="7777777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G30</w:t>
            </w:r>
          </w:p>
        </w:tc>
        <w:tc>
          <w:tcPr>
            <w:tcW w:w="2874" w:type="dxa"/>
          </w:tcPr>
          <w:p w14:paraId="2B70F163" w14:textId="75E24998" w:rsidR="005B69EB" w:rsidRPr="00C3645A" w:rsidRDefault="00223311" w:rsidP="005B69EB">
            <w:pPr>
              <w:pStyle w:val="PubliManuscript"/>
              <w:spacing w:before="0" w:after="0" w:line="240" w:lineRule="auto"/>
              <w:ind w:firstLine="0"/>
              <w:jc w:val="center"/>
              <w:rPr>
                <w:color w:val="auto"/>
              </w:rPr>
            </w:pPr>
            <w:r w:rsidRPr="00C3645A">
              <w:rPr>
                <w:color w:val="auto"/>
              </w:rPr>
              <w:t>12755</w:t>
            </w:r>
            <w:r w:rsidR="005B69EB" w:rsidRPr="00C3645A">
              <w:rPr>
                <w:color w:val="auto"/>
              </w:rPr>
              <w:t xml:space="preserve"> (</w:t>
            </w:r>
            <m:oMath>
              <m:r>
                <w:rPr>
                  <w:rFonts w:ascii="Cambria Math" w:hAnsi="Cambria Math"/>
                  <w:color w:val="auto"/>
                </w:rPr>
                <m:t>±3380)</m:t>
              </m:r>
            </m:oMath>
          </w:p>
        </w:tc>
        <w:tc>
          <w:tcPr>
            <w:tcW w:w="2876" w:type="dxa"/>
          </w:tcPr>
          <w:p w14:paraId="26E92E32" w14:textId="002153E4" w:rsidR="005B69EB" w:rsidRPr="00C3645A" w:rsidRDefault="00223311" w:rsidP="005B69EB">
            <w:pPr>
              <w:pStyle w:val="PubliManuscript"/>
              <w:spacing w:before="0" w:after="0" w:line="240" w:lineRule="auto"/>
              <w:ind w:firstLine="0"/>
              <w:jc w:val="center"/>
              <w:rPr>
                <w:b/>
                <w:bCs/>
                <w:color w:val="auto"/>
              </w:rPr>
            </w:pPr>
            <w:r w:rsidRPr="00C3645A">
              <w:rPr>
                <w:color w:val="auto"/>
              </w:rPr>
              <w:t>16822</w:t>
            </w:r>
            <w:r w:rsidR="005B69EB" w:rsidRPr="00C3645A">
              <w:rPr>
                <w:color w:val="auto"/>
              </w:rPr>
              <w:t xml:space="preserve"> (</w:t>
            </w:r>
            <m:oMath>
              <m:r>
                <w:rPr>
                  <w:rFonts w:ascii="Cambria Math" w:hAnsi="Cambria Math"/>
                  <w:color w:val="auto"/>
                </w:rPr>
                <m:t>±4817)</m:t>
              </m:r>
            </m:oMath>
          </w:p>
        </w:tc>
        <w:tc>
          <w:tcPr>
            <w:tcW w:w="1440" w:type="dxa"/>
          </w:tcPr>
          <w:p w14:paraId="5A9DF5BA" w14:textId="77777777" w:rsidR="005B69EB" w:rsidRPr="00C3645A" w:rsidRDefault="005B69EB" w:rsidP="005B69EB">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40316001" w14:textId="77777777" w:rsidTr="00066C8B">
        <w:trPr>
          <w:trHeight w:val="283"/>
          <w:jc w:val="center"/>
        </w:trPr>
        <w:tc>
          <w:tcPr>
            <w:tcW w:w="1437" w:type="dxa"/>
            <w:shd w:val="clear" w:color="auto" w:fill="D9D9D9" w:themeFill="background1" w:themeFillShade="D9"/>
          </w:tcPr>
          <w:p w14:paraId="12E54416" w14:textId="7777777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G40</w:t>
            </w:r>
          </w:p>
        </w:tc>
        <w:tc>
          <w:tcPr>
            <w:tcW w:w="2874" w:type="dxa"/>
          </w:tcPr>
          <w:p w14:paraId="0071C801" w14:textId="04E40BCF" w:rsidR="005B69EB" w:rsidRPr="00C3645A" w:rsidRDefault="00223311" w:rsidP="005B69EB">
            <w:pPr>
              <w:pStyle w:val="PubliManuscript"/>
              <w:spacing w:before="0" w:after="0" w:line="240" w:lineRule="auto"/>
              <w:ind w:firstLine="0"/>
              <w:jc w:val="center"/>
              <w:rPr>
                <w:color w:val="auto"/>
              </w:rPr>
            </w:pPr>
            <w:r w:rsidRPr="00C3645A">
              <w:rPr>
                <w:color w:val="auto"/>
              </w:rPr>
              <w:t>12695</w:t>
            </w:r>
            <w:r w:rsidR="005B69EB" w:rsidRPr="00C3645A">
              <w:rPr>
                <w:color w:val="auto"/>
              </w:rPr>
              <w:t xml:space="preserve"> (</w:t>
            </w:r>
            <m:oMath>
              <m:r>
                <w:rPr>
                  <w:rFonts w:ascii="Cambria Math" w:hAnsi="Cambria Math"/>
                  <w:color w:val="auto"/>
                </w:rPr>
                <m:t>±3221)</m:t>
              </m:r>
            </m:oMath>
          </w:p>
        </w:tc>
        <w:tc>
          <w:tcPr>
            <w:tcW w:w="2876" w:type="dxa"/>
          </w:tcPr>
          <w:p w14:paraId="281270D5" w14:textId="2C79DA26" w:rsidR="005B69EB" w:rsidRPr="00C3645A" w:rsidRDefault="00223311" w:rsidP="005B69EB">
            <w:pPr>
              <w:pStyle w:val="PubliManuscript"/>
              <w:spacing w:before="0" w:after="0" w:line="240" w:lineRule="auto"/>
              <w:ind w:firstLine="0"/>
              <w:jc w:val="center"/>
              <w:rPr>
                <w:b/>
                <w:bCs/>
                <w:color w:val="auto"/>
              </w:rPr>
            </w:pPr>
            <w:r w:rsidRPr="00C3645A">
              <w:rPr>
                <w:color w:val="auto"/>
              </w:rPr>
              <w:t>16656</w:t>
            </w:r>
            <w:r w:rsidR="005B69EB" w:rsidRPr="00C3645A">
              <w:rPr>
                <w:color w:val="auto"/>
              </w:rPr>
              <w:t xml:space="preserve"> (</w:t>
            </w:r>
            <m:oMath>
              <m:r>
                <w:rPr>
                  <w:rFonts w:ascii="Cambria Math" w:hAnsi="Cambria Math"/>
                  <w:color w:val="auto"/>
                </w:rPr>
                <m:t>±4862)</m:t>
              </m:r>
            </m:oMath>
          </w:p>
        </w:tc>
        <w:tc>
          <w:tcPr>
            <w:tcW w:w="1440" w:type="dxa"/>
          </w:tcPr>
          <w:p w14:paraId="667F6422" w14:textId="77777777" w:rsidR="005B69EB" w:rsidRPr="00C3645A" w:rsidRDefault="005B69EB" w:rsidP="005B69EB">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0B2089F5" w14:textId="77777777" w:rsidTr="005B69EB">
        <w:trPr>
          <w:trHeight w:val="283"/>
          <w:jc w:val="center"/>
        </w:trPr>
        <w:tc>
          <w:tcPr>
            <w:tcW w:w="1437" w:type="dxa"/>
            <w:shd w:val="clear" w:color="auto" w:fill="D9D9D9" w:themeFill="background1" w:themeFillShade="D9"/>
          </w:tcPr>
          <w:p w14:paraId="413CDAE2" w14:textId="7777777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UG</w:t>
            </w:r>
          </w:p>
        </w:tc>
        <w:tc>
          <w:tcPr>
            <w:tcW w:w="2874" w:type="dxa"/>
          </w:tcPr>
          <w:p w14:paraId="56A5E5BE" w14:textId="67C9D6D5" w:rsidR="005B69EB" w:rsidRPr="00C3645A" w:rsidRDefault="00223311" w:rsidP="005B69EB">
            <w:pPr>
              <w:pStyle w:val="PubliManuscript"/>
              <w:spacing w:before="0" w:after="0" w:line="240" w:lineRule="auto"/>
              <w:ind w:firstLine="0"/>
              <w:jc w:val="center"/>
              <w:rPr>
                <w:color w:val="auto"/>
              </w:rPr>
            </w:pPr>
            <w:r w:rsidRPr="00C3645A">
              <w:rPr>
                <w:color w:val="auto"/>
              </w:rPr>
              <w:t>12620</w:t>
            </w:r>
            <w:r w:rsidR="005B69EB" w:rsidRPr="00C3645A">
              <w:rPr>
                <w:color w:val="auto"/>
              </w:rPr>
              <w:t xml:space="preserve"> (</w:t>
            </w:r>
            <m:oMath>
              <m:r>
                <w:rPr>
                  <w:rFonts w:ascii="Cambria Math" w:hAnsi="Cambria Math"/>
                  <w:color w:val="auto"/>
                </w:rPr>
                <m:t>±2977)</m:t>
              </m:r>
            </m:oMath>
          </w:p>
        </w:tc>
        <w:tc>
          <w:tcPr>
            <w:tcW w:w="2876" w:type="dxa"/>
          </w:tcPr>
          <w:p w14:paraId="356B9B77" w14:textId="3CAD4ABE" w:rsidR="005B69EB" w:rsidRPr="00C3645A" w:rsidRDefault="00223311" w:rsidP="005B69EB">
            <w:pPr>
              <w:pStyle w:val="PubliManuscript"/>
              <w:spacing w:before="0" w:after="0" w:line="240" w:lineRule="auto"/>
              <w:ind w:firstLine="0"/>
              <w:jc w:val="center"/>
              <w:rPr>
                <w:b/>
                <w:bCs/>
                <w:color w:val="auto"/>
              </w:rPr>
            </w:pPr>
            <w:r w:rsidRPr="00C3645A">
              <w:rPr>
                <w:color w:val="auto"/>
              </w:rPr>
              <w:t>16489</w:t>
            </w:r>
            <w:r w:rsidR="005B69EB" w:rsidRPr="00C3645A">
              <w:rPr>
                <w:color w:val="auto"/>
              </w:rPr>
              <w:t xml:space="preserve"> (</w:t>
            </w:r>
            <m:oMath>
              <m:r>
                <w:rPr>
                  <w:rFonts w:ascii="Cambria Math" w:hAnsi="Cambria Math"/>
                  <w:color w:val="auto"/>
                </w:rPr>
                <m:t>±4874)</m:t>
              </m:r>
            </m:oMath>
          </w:p>
        </w:tc>
        <w:tc>
          <w:tcPr>
            <w:tcW w:w="1440" w:type="dxa"/>
            <w:tcBorders>
              <w:bottom w:val="single" w:sz="4" w:space="0" w:color="auto"/>
            </w:tcBorders>
          </w:tcPr>
          <w:p w14:paraId="7C37FE37" w14:textId="77777777" w:rsidR="005B69EB" w:rsidRPr="00C3645A" w:rsidRDefault="005B69EB" w:rsidP="005B69EB">
            <w:pPr>
              <w:pStyle w:val="PubliManuscript"/>
              <w:spacing w:before="0" w:after="0" w:line="240" w:lineRule="auto"/>
              <w:ind w:firstLine="0"/>
              <w:jc w:val="center"/>
              <w:rPr>
                <w:color w:val="auto"/>
              </w:rPr>
            </w:pPr>
            <w:proofErr w:type="spellStart"/>
            <w:r w:rsidRPr="00C3645A">
              <w:rPr>
                <w:color w:val="auto"/>
              </w:rPr>
              <w:t>n.s</w:t>
            </w:r>
            <w:proofErr w:type="spellEnd"/>
            <w:r w:rsidRPr="00C3645A">
              <w:rPr>
                <w:color w:val="auto"/>
              </w:rPr>
              <w:t>.</w:t>
            </w:r>
          </w:p>
        </w:tc>
      </w:tr>
      <w:tr w:rsidR="00C3645A" w:rsidRPr="00C3645A" w14:paraId="5312E256" w14:textId="77777777" w:rsidTr="005B69EB">
        <w:trPr>
          <w:trHeight w:val="283"/>
          <w:jc w:val="center"/>
        </w:trPr>
        <w:tc>
          <w:tcPr>
            <w:tcW w:w="1437" w:type="dxa"/>
            <w:shd w:val="clear" w:color="auto" w:fill="D9D9D9" w:themeFill="background1" w:themeFillShade="D9"/>
          </w:tcPr>
          <w:p w14:paraId="583655B3" w14:textId="68DF3C7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Statistical groups between periods</w:t>
            </w:r>
          </w:p>
        </w:tc>
        <w:tc>
          <w:tcPr>
            <w:tcW w:w="2874" w:type="dxa"/>
          </w:tcPr>
          <w:p w14:paraId="571FA0AF" w14:textId="77777777" w:rsidR="005B69EB" w:rsidRPr="00C3645A" w:rsidRDefault="005B69EB" w:rsidP="005B69EB">
            <w:pPr>
              <w:pStyle w:val="PubliManuscript"/>
              <w:spacing w:before="0" w:after="0" w:line="240" w:lineRule="auto"/>
              <w:ind w:firstLine="0"/>
              <w:jc w:val="center"/>
              <w:rPr>
                <w:color w:val="auto"/>
              </w:rPr>
            </w:pPr>
          </w:p>
          <w:p w14:paraId="37828879" w14:textId="73643249" w:rsidR="005B69EB" w:rsidRPr="00C3645A" w:rsidRDefault="005B69EB" w:rsidP="005B69EB">
            <w:pPr>
              <w:pStyle w:val="PubliManuscript"/>
              <w:spacing w:before="0" w:after="0" w:line="240" w:lineRule="auto"/>
              <w:ind w:firstLine="0"/>
              <w:jc w:val="center"/>
              <w:rPr>
                <w:color w:val="auto"/>
              </w:rPr>
            </w:pPr>
            <w:r w:rsidRPr="00C3645A">
              <w:rPr>
                <w:color w:val="auto"/>
              </w:rPr>
              <w:t>B</w:t>
            </w:r>
          </w:p>
        </w:tc>
        <w:tc>
          <w:tcPr>
            <w:tcW w:w="2876" w:type="dxa"/>
          </w:tcPr>
          <w:p w14:paraId="65EA1D1E" w14:textId="77777777" w:rsidR="005B69EB" w:rsidRPr="00C3645A" w:rsidRDefault="005B69EB" w:rsidP="005B69EB">
            <w:pPr>
              <w:pStyle w:val="PubliManuscript"/>
              <w:spacing w:before="0" w:after="0" w:line="240" w:lineRule="auto"/>
              <w:ind w:firstLine="0"/>
              <w:jc w:val="center"/>
              <w:rPr>
                <w:color w:val="auto"/>
              </w:rPr>
            </w:pPr>
          </w:p>
          <w:p w14:paraId="25BA58A2" w14:textId="616BF8D0" w:rsidR="005B69EB" w:rsidRPr="00C3645A" w:rsidRDefault="005B69EB" w:rsidP="005B69EB">
            <w:pPr>
              <w:pStyle w:val="PubliManuscript"/>
              <w:spacing w:before="0" w:after="0" w:line="240" w:lineRule="auto"/>
              <w:ind w:firstLine="0"/>
              <w:jc w:val="center"/>
              <w:rPr>
                <w:color w:val="auto"/>
              </w:rPr>
            </w:pPr>
            <w:r w:rsidRPr="00C3645A">
              <w:rPr>
                <w:color w:val="auto"/>
              </w:rPr>
              <w:t>A</w:t>
            </w:r>
          </w:p>
        </w:tc>
        <w:tc>
          <w:tcPr>
            <w:tcW w:w="1440" w:type="dxa"/>
            <w:tcBorders>
              <w:bottom w:val="single" w:sz="4" w:space="0" w:color="auto"/>
              <w:tl2br w:val="single" w:sz="4" w:space="0" w:color="auto"/>
            </w:tcBorders>
          </w:tcPr>
          <w:p w14:paraId="06353981" w14:textId="77777777" w:rsidR="005B69EB" w:rsidRPr="00C3645A" w:rsidRDefault="005B69EB" w:rsidP="005B69EB">
            <w:pPr>
              <w:pStyle w:val="PubliManuscript"/>
              <w:spacing w:before="0" w:after="0" w:line="240" w:lineRule="auto"/>
              <w:ind w:firstLine="0"/>
              <w:rPr>
                <w:color w:val="auto"/>
                <w:sz w:val="18"/>
                <w:szCs w:val="18"/>
              </w:rPr>
            </w:pPr>
            <w:r w:rsidRPr="00C3645A">
              <w:rPr>
                <w:i/>
                <w:iCs/>
                <w:color w:val="auto"/>
                <w:sz w:val="18"/>
                <w:szCs w:val="18"/>
              </w:rPr>
              <w:t xml:space="preserve">              p </w:t>
            </w:r>
            <w:r w:rsidRPr="00C3645A">
              <w:rPr>
                <w:color w:val="auto"/>
                <w:sz w:val="18"/>
                <w:szCs w:val="18"/>
              </w:rPr>
              <w:t>= 1</w:t>
            </w:r>
          </w:p>
          <w:p w14:paraId="42EBB998" w14:textId="77777777" w:rsidR="005B69EB" w:rsidRPr="00C3645A" w:rsidRDefault="005B69EB" w:rsidP="005B69EB">
            <w:pPr>
              <w:pStyle w:val="PubliManuscript"/>
              <w:spacing w:before="0" w:after="0" w:line="240" w:lineRule="auto"/>
              <w:ind w:firstLine="0"/>
              <w:rPr>
                <w:i/>
                <w:iCs/>
                <w:color w:val="auto"/>
                <w:sz w:val="18"/>
                <w:szCs w:val="18"/>
              </w:rPr>
            </w:pPr>
          </w:p>
          <w:p w14:paraId="683BCABE" w14:textId="77777777" w:rsidR="005B69EB" w:rsidRPr="00C3645A" w:rsidRDefault="005B69EB" w:rsidP="005B69EB">
            <w:pPr>
              <w:pStyle w:val="PubliManuscript"/>
              <w:spacing w:before="0" w:after="0" w:line="240" w:lineRule="auto"/>
              <w:ind w:firstLine="0"/>
              <w:rPr>
                <w:i/>
                <w:iCs/>
                <w:color w:val="auto"/>
                <w:sz w:val="18"/>
                <w:szCs w:val="18"/>
              </w:rPr>
            </w:pPr>
          </w:p>
          <w:p w14:paraId="58DDC2A6" w14:textId="77777777" w:rsidR="005B69EB" w:rsidRPr="00C3645A" w:rsidRDefault="005B69EB" w:rsidP="005B69EB">
            <w:pPr>
              <w:pStyle w:val="PubliManuscript"/>
              <w:spacing w:before="0" w:after="0" w:line="240" w:lineRule="auto"/>
              <w:ind w:firstLine="0"/>
              <w:rPr>
                <w:i/>
                <w:iCs/>
                <w:color w:val="auto"/>
                <w:sz w:val="18"/>
                <w:szCs w:val="18"/>
              </w:rPr>
            </w:pPr>
            <w:r w:rsidRPr="00C3645A">
              <w:rPr>
                <w:i/>
                <w:iCs/>
                <w:color w:val="auto"/>
                <w:sz w:val="18"/>
                <w:szCs w:val="18"/>
              </w:rPr>
              <w:t xml:space="preserve">   </w:t>
            </w:r>
          </w:p>
          <w:p w14:paraId="78E70E0C" w14:textId="4E813C29" w:rsidR="005B69EB" w:rsidRPr="00C3645A" w:rsidRDefault="005B69EB" w:rsidP="005B69EB">
            <w:pPr>
              <w:pStyle w:val="PubliManuscript"/>
              <w:spacing w:before="0" w:after="0" w:line="240" w:lineRule="auto"/>
              <w:ind w:firstLine="0"/>
              <w:jc w:val="center"/>
              <w:rPr>
                <w:color w:val="auto"/>
              </w:rPr>
            </w:pPr>
            <w:r w:rsidRPr="00C3645A">
              <w:rPr>
                <w:i/>
                <w:iCs/>
                <w:color w:val="auto"/>
                <w:sz w:val="18"/>
                <w:szCs w:val="18"/>
              </w:rPr>
              <w:t xml:space="preserve">p </w:t>
            </w:r>
            <w:r w:rsidRPr="00C3645A">
              <w:rPr>
                <w:color w:val="auto"/>
                <w:sz w:val="18"/>
                <w:szCs w:val="18"/>
              </w:rPr>
              <w:t>&lt; 2e-16</w:t>
            </w:r>
          </w:p>
        </w:tc>
      </w:tr>
      <w:tr w:rsidR="00C3645A" w:rsidRPr="00C3645A" w14:paraId="0B648E37" w14:textId="77777777" w:rsidTr="00066C8B">
        <w:trPr>
          <w:trHeight w:val="283"/>
          <w:jc w:val="center"/>
        </w:trPr>
        <w:tc>
          <w:tcPr>
            <w:tcW w:w="8627" w:type="dxa"/>
            <w:gridSpan w:val="4"/>
            <w:shd w:val="clear" w:color="auto" w:fill="D9D9D9" w:themeFill="background1" w:themeFillShade="D9"/>
          </w:tcPr>
          <w:p w14:paraId="5C56DCE1" w14:textId="6FB77E9F" w:rsidR="005B69EB" w:rsidRPr="00C3645A" w:rsidRDefault="002F5739" w:rsidP="005B69EB">
            <w:pPr>
              <w:pStyle w:val="PubliManuscript"/>
              <w:spacing w:before="0" w:after="0" w:line="240" w:lineRule="auto"/>
              <w:ind w:firstLine="0"/>
              <w:jc w:val="center"/>
              <w:rPr>
                <w:color w:val="auto"/>
              </w:rPr>
            </w:pPr>
            <w:r w:rsidRPr="00C3645A">
              <w:rPr>
                <w:b/>
                <w:bCs/>
                <w:color w:val="auto"/>
              </w:rPr>
              <w:t>Annual production in USD</w:t>
            </w:r>
          </w:p>
        </w:tc>
      </w:tr>
      <w:tr w:rsidR="00C3645A" w:rsidRPr="00C3645A" w14:paraId="39F7CC31" w14:textId="77777777" w:rsidTr="00066C8B">
        <w:trPr>
          <w:trHeight w:val="283"/>
          <w:jc w:val="center"/>
        </w:trPr>
        <w:tc>
          <w:tcPr>
            <w:tcW w:w="1437" w:type="dxa"/>
            <w:shd w:val="clear" w:color="auto" w:fill="D9D9D9" w:themeFill="background1" w:themeFillShade="D9"/>
          </w:tcPr>
          <w:p w14:paraId="466EBEA1" w14:textId="72613E20"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G10</w:t>
            </w:r>
          </w:p>
        </w:tc>
        <w:tc>
          <w:tcPr>
            <w:tcW w:w="2874" w:type="dxa"/>
          </w:tcPr>
          <w:p w14:paraId="2193F41E" w14:textId="15D1EDA2" w:rsidR="005B69EB" w:rsidRPr="00C3645A" w:rsidRDefault="00B86256" w:rsidP="005B69EB">
            <w:pPr>
              <w:pStyle w:val="PubliManuscript"/>
              <w:spacing w:before="0" w:after="0" w:line="240" w:lineRule="auto"/>
              <w:ind w:firstLine="0"/>
              <w:jc w:val="center"/>
              <w:rPr>
                <w:color w:val="auto"/>
              </w:rPr>
            </w:pPr>
            <w:r w:rsidRPr="00C3645A">
              <w:rPr>
                <w:color w:val="auto"/>
              </w:rPr>
              <w:t>1026</w:t>
            </w:r>
            <w:r w:rsidR="005B69EB" w:rsidRPr="00C3645A">
              <w:rPr>
                <w:color w:val="auto"/>
              </w:rPr>
              <w:t xml:space="preserve"> (</w:t>
            </w:r>
            <m:oMath>
              <m:r>
                <w:rPr>
                  <w:rFonts w:ascii="Cambria Math" w:hAnsi="Cambria Math"/>
                  <w:color w:val="auto"/>
                </w:rPr>
                <m:t>±292)</m:t>
              </m:r>
            </m:oMath>
          </w:p>
        </w:tc>
        <w:tc>
          <w:tcPr>
            <w:tcW w:w="2876" w:type="dxa"/>
          </w:tcPr>
          <w:p w14:paraId="4408DD45" w14:textId="6AF8CD24" w:rsidR="005B69EB" w:rsidRPr="00C3645A" w:rsidRDefault="00B86256" w:rsidP="005B69EB">
            <w:pPr>
              <w:pStyle w:val="PubliManuscript"/>
              <w:spacing w:before="0" w:after="0" w:line="240" w:lineRule="auto"/>
              <w:ind w:firstLine="0"/>
              <w:jc w:val="center"/>
              <w:rPr>
                <w:color w:val="auto"/>
              </w:rPr>
            </w:pPr>
            <w:r w:rsidRPr="00C3645A">
              <w:rPr>
                <w:color w:val="auto"/>
              </w:rPr>
              <w:t>1492</w:t>
            </w:r>
            <w:r w:rsidR="005B69EB" w:rsidRPr="00C3645A">
              <w:rPr>
                <w:color w:val="auto"/>
              </w:rPr>
              <w:t xml:space="preserve"> (</w:t>
            </w:r>
            <m:oMath>
              <m:r>
                <w:rPr>
                  <w:rFonts w:ascii="Cambria Math" w:hAnsi="Cambria Math"/>
                  <w:color w:val="auto"/>
                </w:rPr>
                <m:t>±226)</m:t>
              </m:r>
            </m:oMath>
          </w:p>
        </w:tc>
        <w:tc>
          <w:tcPr>
            <w:tcW w:w="1440" w:type="dxa"/>
            <w:tcBorders>
              <w:bottom w:val="single" w:sz="4" w:space="0" w:color="auto"/>
            </w:tcBorders>
          </w:tcPr>
          <w:p w14:paraId="231D66A7" w14:textId="29D73581" w:rsidR="005B69EB" w:rsidRPr="00C3645A" w:rsidRDefault="003F3736" w:rsidP="005B69EB">
            <w:pPr>
              <w:pStyle w:val="PubliManuscript"/>
              <w:spacing w:before="0" w:after="0" w:line="240" w:lineRule="auto"/>
              <w:ind w:firstLine="0"/>
              <w:jc w:val="center"/>
              <w:rPr>
                <w:color w:val="auto"/>
              </w:rPr>
            </w:pPr>
            <w:r w:rsidRPr="00C3645A">
              <w:rPr>
                <w:color w:val="auto"/>
              </w:rPr>
              <w:t>a</w:t>
            </w:r>
          </w:p>
        </w:tc>
      </w:tr>
      <w:tr w:rsidR="00C3645A" w:rsidRPr="00C3645A" w14:paraId="40511641" w14:textId="77777777" w:rsidTr="00066C8B">
        <w:trPr>
          <w:trHeight w:val="283"/>
          <w:jc w:val="center"/>
        </w:trPr>
        <w:tc>
          <w:tcPr>
            <w:tcW w:w="1437" w:type="dxa"/>
            <w:shd w:val="clear" w:color="auto" w:fill="D9D9D9" w:themeFill="background1" w:themeFillShade="D9"/>
          </w:tcPr>
          <w:p w14:paraId="25FB974F" w14:textId="01CF92C2"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G20</w:t>
            </w:r>
          </w:p>
        </w:tc>
        <w:tc>
          <w:tcPr>
            <w:tcW w:w="2874" w:type="dxa"/>
          </w:tcPr>
          <w:p w14:paraId="3FE87A28" w14:textId="01121AC6" w:rsidR="005B69EB" w:rsidRPr="00C3645A" w:rsidRDefault="00B86256" w:rsidP="005B69EB">
            <w:pPr>
              <w:pStyle w:val="PubliManuscript"/>
              <w:spacing w:before="0" w:after="0" w:line="240" w:lineRule="auto"/>
              <w:ind w:firstLine="0"/>
              <w:jc w:val="center"/>
              <w:rPr>
                <w:color w:val="auto"/>
              </w:rPr>
            </w:pPr>
            <w:r w:rsidRPr="00C3645A">
              <w:rPr>
                <w:color w:val="auto"/>
              </w:rPr>
              <w:t>908</w:t>
            </w:r>
            <w:r w:rsidR="005B69EB" w:rsidRPr="00C3645A">
              <w:rPr>
                <w:color w:val="auto"/>
              </w:rPr>
              <w:t xml:space="preserve"> (</w:t>
            </w:r>
            <m:oMath>
              <m:r>
                <w:rPr>
                  <w:rFonts w:ascii="Cambria Math" w:hAnsi="Cambria Math"/>
                  <w:color w:val="auto"/>
                </w:rPr>
                <m:t>±289)</m:t>
              </m:r>
            </m:oMath>
          </w:p>
        </w:tc>
        <w:tc>
          <w:tcPr>
            <w:tcW w:w="2876" w:type="dxa"/>
          </w:tcPr>
          <w:p w14:paraId="54A31CCF" w14:textId="147FCD30" w:rsidR="005B69EB" w:rsidRPr="00C3645A" w:rsidRDefault="00B86256" w:rsidP="005B69EB">
            <w:pPr>
              <w:pStyle w:val="PubliManuscript"/>
              <w:spacing w:before="0" w:after="0" w:line="240" w:lineRule="auto"/>
              <w:ind w:firstLine="0"/>
              <w:jc w:val="center"/>
              <w:rPr>
                <w:color w:val="auto"/>
              </w:rPr>
            </w:pPr>
            <w:r w:rsidRPr="00C3645A">
              <w:rPr>
                <w:color w:val="auto"/>
              </w:rPr>
              <w:t xml:space="preserve">1346 </w:t>
            </w:r>
            <w:r w:rsidR="005B69EB" w:rsidRPr="00C3645A">
              <w:rPr>
                <w:color w:val="auto"/>
              </w:rPr>
              <w:t>(</w:t>
            </w:r>
            <m:oMath>
              <m:r>
                <w:rPr>
                  <w:rFonts w:ascii="Cambria Math" w:hAnsi="Cambria Math"/>
                  <w:color w:val="auto"/>
                </w:rPr>
                <m:t>±236)</m:t>
              </m:r>
            </m:oMath>
          </w:p>
        </w:tc>
        <w:tc>
          <w:tcPr>
            <w:tcW w:w="1440" w:type="dxa"/>
            <w:tcBorders>
              <w:bottom w:val="single" w:sz="4" w:space="0" w:color="auto"/>
            </w:tcBorders>
          </w:tcPr>
          <w:p w14:paraId="10950798" w14:textId="33DE9692" w:rsidR="005B69EB" w:rsidRPr="00C3645A" w:rsidRDefault="005B69EB" w:rsidP="005B69EB">
            <w:pPr>
              <w:pStyle w:val="PubliManuscript"/>
              <w:spacing w:before="0" w:after="0" w:line="240" w:lineRule="auto"/>
              <w:ind w:firstLine="0"/>
              <w:jc w:val="center"/>
              <w:rPr>
                <w:color w:val="auto"/>
              </w:rPr>
            </w:pPr>
            <w:r w:rsidRPr="00C3645A">
              <w:rPr>
                <w:color w:val="auto"/>
              </w:rPr>
              <w:t>ab</w:t>
            </w:r>
          </w:p>
        </w:tc>
      </w:tr>
      <w:tr w:rsidR="00C3645A" w:rsidRPr="00C3645A" w14:paraId="5E17CB03" w14:textId="77777777" w:rsidTr="00066C8B">
        <w:trPr>
          <w:trHeight w:val="283"/>
          <w:jc w:val="center"/>
        </w:trPr>
        <w:tc>
          <w:tcPr>
            <w:tcW w:w="1437" w:type="dxa"/>
            <w:shd w:val="clear" w:color="auto" w:fill="D9D9D9" w:themeFill="background1" w:themeFillShade="D9"/>
          </w:tcPr>
          <w:p w14:paraId="0CDDF7D4" w14:textId="51D42AB9"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G30</w:t>
            </w:r>
          </w:p>
        </w:tc>
        <w:tc>
          <w:tcPr>
            <w:tcW w:w="2874" w:type="dxa"/>
          </w:tcPr>
          <w:p w14:paraId="3A792CD3" w14:textId="2D39897F" w:rsidR="005B69EB" w:rsidRPr="00C3645A" w:rsidRDefault="00B86256" w:rsidP="005B69EB">
            <w:pPr>
              <w:pStyle w:val="PubliManuscript"/>
              <w:spacing w:before="0" w:after="0" w:line="240" w:lineRule="auto"/>
              <w:ind w:firstLine="0"/>
              <w:jc w:val="center"/>
              <w:rPr>
                <w:color w:val="auto"/>
              </w:rPr>
            </w:pPr>
            <w:r w:rsidRPr="00C3645A">
              <w:rPr>
                <w:color w:val="auto"/>
              </w:rPr>
              <w:t>785</w:t>
            </w:r>
            <w:r w:rsidR="005B69EB" w:rsidRPr="00C3645A">
              <w:rPr>
                <w:color w:val="auto"/>
              </w:rPr>
              <w:t xml:space="preserve"> (</w:t>
            </w:r>
            <m:oMath>
              <m:r>
                <w:rPr>
                  <w:rFonts w:ascii="Cambria Math" w:hAnsi="Cambria Math"/>
                  <w:color w:val="auto"/>
                </w:rPr>
                <m:t>±271)</m:t>
              </m:r>
            </m:oMath>
          </w:p>
        </w:tc>
        <w:tc>
          <w:tcPr>
            <w:tcW w:w="2876" w:type="dxa"/>
          </w:tcPr>
          <w:p w14:paraId="55B965F4" w14:textId="65B51BCD" w:rsidR="005B69EB" w:rsidRPr="00C3645A" w:rsidRDefault="00B86256" w:rsidP="005B69EB">
            <w:pPr>
              <w:pStyle w:val="PubliManuscript"/>
              <w:spacing w:before="0" w:after="0" w:line="240" w:lineRule="auto"/>
              <w:ind w:firstLine="0"/>
              <w:jc w:val="center"/>
              <w:rPr>
                <w:color w:val="auto"/>
              </w:rPr>
            </w:pPr>
            <w:r w:rsidRPr="00C3645A">
              <w:rPr>
                <w:color w:val="auto"/>
              </w:rPr>
              <w:t>1197</w:t>
            </w:r>
            <w:r w:rsidR="005B69EB" w:rsidRPr="00C3645A">
              <w:rPr>
                <w:color w:val="auto"/>
              </w:rPr>
              <w:t xml:space="preserve"> (</w:t>
            </w:r>
            <m:oMath>
              <m:r>
                <w:rPr>
                  <w:rFonts w:ascii="Cambria Math" w:hAnsi="Cambria Math"/>
                  <w:color w:val="auto"/>
                </w:rPr>
                <m:t>±247)</m:t>
              </m:r>
            </m:oMath>
          </w:p>
        </w:tc>
        <w:tc>
          <w:tcPr>
            <w:tcW w:w="1440" w:type="dxa"/>
            <w:tcBorders>
              <w:bottom w:val="single" w:sz="4" w:space="0" w:color="auto"/>
            </w:tcBorders>
          </w:tcPr>
          <w:p w14:paraId="44893089" w14:textId="7FE0AAEF" w:rsidR="005B69EB" w:rsidRPr="00C3645A" w:rsidRDefault="003F3736" w:rsidP="005B69EB">
            <w:pPr>
              <w:pStyle w:val="PubliManuscript"/>
              <w:spacing w:before="0" w:after="0" w:line="240" w:lineRule="auto"/>
              <w:ind w:firstLine="0"/>
              <w:jc w:val="center"/>
              <w:rPr>
                <w:color w:val="auto"/>
              </w:rPr>
            </w:pPr>
            <w:r w:rsidRPr="00C3645A">
              <w:rPr>
                <w:color w:val="auto"/>
              </w:rPr>
              <w:t>b</w:t>
            </w:r>
          </w:p>
        </w:tc>
      </w:tr>
      <w:tr w:rsidR="00C3645A" w:rsidRPr="00C3645A" w14:paraId="5D3E0BC9" w14:textId="77777777" w:rsidTr="00066C8B">
        <w:trPr>
          <w:trHeight w:val="283"/>
          <w:jc w:val="center"/>
        </w:trPr>
        <w:tc>
          <w:tcPr>
            <w:tcW w:w="1437" w:type="dxa"/>
            <w:shd w:val="clear" w:color="auto" w:fill="D9D9D9" w:themeFill="background1" w:themeFillShade="D9"/>
          </w:tcPr>
          <w:p w14:paraId="635A0402" w14:textId="305710E3" w:rsidR="005B69EB" w:rsidRPr="00C3645A" w:rsidRDefault="005B69EB" w:rsidP="005B69EB">
            <w:pPr>
              <w:pStyle w:val="PubliManuscript"/>
              <w:spacing w:before="0" w:after="0" w:line="240" w:lineRule="auto"/>
              <w:ind w:firstLine="0"/>
              <w:jc w:val="center"/>
              <w:rPr>
                <w:b/>
                <w:bCs/>
                <w:color w:val="auto"/>
              </w:rPr>
            </w:pPr>
            <w:r w:rsidRPr="00C3645A">
              <w:rPr>
                <w:b/>
                <w:bCs/>
                <w:color w:val="auto"/>
              </w:rPr>
              <w:t>G40</w:t>
            </w:r>
          </w:p>
        </w:tc>
        <w:tc>
          <w:tcPr>
            <w:tcW w:w="2874" w:type="dxa"/>
          </w:tcPr>
          <w:p w14:paraId="0F58BF49" w14:textId="75CED147" w:rsidR="005B69EB" w:rsidRPr="00C3645A" w:rsidRDefault="00B86256" w:rsidP="005B69EB">
            <w:pPr>
              <w:pStyle w:val="PubliManuscript"/>
              <w:spacing w:before="0" w:after="0" w:line="240" w:lineRule="auto"/>
              <w:ind w:firstLine="0"/>
              <w:jc w:val="center"/>
              <w:rPr>
                <w:color w:val="auto"/>
              </w:rPr>
            </w:pPr>
            <w:r w:rsidRPr="00C3645A">
              <w:rPr>
                <w:color w:val="auto"/>
              </w:rPr>
              <w:t>624</w:t>
            </w:r>
            <w:r w:rsidR="005B69EB" w:rsidRPr="00C3645A">
              <w:rPr>
                <w:color w:val="auto"/>
              </w:rPr>
              <w:t xml:space="preserve"> (</w:t>
            </w:r>
            <m:oMath>
              <m:r>
                <w:rPr>
                  <w:rFonts w:ascii="Cambria Math" w:hAnsi="Cambria Math"/>
                  <w:color w:val="auto"/>
                </w:rPr>
                <m:t>±244)</m:t>
              </m:r>
            </m:oMath>
          </w:p>
        </w:tc>
        <w:tc>
          <w:tcPr>
            <w:tcW w:w="2876" w:type="dxa"/>
          </w:tcPr>
          <w:p w14:paraId="5AAEFEFA" w14:textId="7F824F2E" w:rsidR="005B69EB" w:rsidRPr="00C3645A" w:rsidRDefault="00B86256" w:rsidP="005B69EB">
            <w:pPr>
              <w:pStyle w:val="PubliManuscript"/>
              <w:spacing w:before="0" w:after="0" w:line="240" w:lineRule="auto"/>
              <w:ind w:firstLine="0"/>
              <w:jc w:val="center"/>
              <w:rPr>
                <w:color w:val="auto"/>
              </w:rPr>
            </w:pPr>
            <w:r w:rsidRPr="00C3645A">
              <w:rPr>
                <w:color w:val="auto"/>
              </w:rPr>
              <w:t>987</w:t>
            </w:r>
            <w:r w:rsidR="005B69EB" w:rsidRPr="00C3645A">
              <w:rPr>
                <w:color w:val="auto"/>
              </w:rPr>
              <w:t xml:space="preserve"> (</w:t>
            </w:r>
            <m:oMath>
              <m:r>
                <w:rPr>
                  <w:rFonts w:ascii="Cambria Math" w:hAnsi="Cambria Math"/>
                  <w:color w:val="auto"/>
                </w:rPr>
                <m:t>±261)</m:t>
              </m:r>
            </m:oMath>
          </w:p>
        </w:tc>
        <w:tc>
          <w:tcPr>
            <w:tcW w:w="1440" w:type="dxa"/>
            <w:tcBorders>
              <w:bottom w:val="single" w:sz="4" w:space="0" w:color="auto"/>
            </w:tcBorders>
          </w:tcPr>
          <w:p w14:paraId="0678A426" w14:textId="573B53E8" w:rsidR="005B69EB" w:rsidRPr="00C3645A" w:rsidRDefault="003F3736" w:rsidP="005B69EB">
            <w:pPr>
              <w:pStyle w:val="PubliManuscript"/>
              <w:spacing w:before="0" w:after="0" w:line="240" w:lineRule="auto"/>
              <w:ind w:firstLine="0"/>
              <w:jc w:val="center"/>
              <w:rPr>
                <w:color w:val="auto"/>
              </w:rPr>
            </w:pPr>
            <w:r w:rsidRPr="00C3645A">
              <w:rPr>
                <w:color w:val="auto"/>
              </w:rPr>
              <w:t>c</w:t>
            </w:r>
          </w:p>
        </w:tc>
      </w:tr>
      <w:tr w:rsidR="00C3645A" w:rsidRPr="00C3645A" w14:paraId="792C8F1A" w14:textId="77777777" w:rsidTr="002A7455">
        <w:trPr>
          <w:trHeight w:val="283"/>
          <w:jc w:val="center"/>
        </w:trPr>
        <w:tc>
          <w:tcPr>
            <w:tcW w:w="1437" w:type="dxa"/>
            <w:shd w:val="clear" w:color="auto" w:fill="D9D9D9" w:themeFill="background1" w:themeFillShade="D9"/>
          </w:tcPr>
          <w:p w14:paraId="4E8E1642" w14:textId="3D7AE037" w:rsidR="005B69EB" w:rsidRPr="00C3645A" w:rsidRDefault="005B69EB" w:rsidP="005B69EB">
            <w:pPr>
              <w:pStyle w:val="PubliManuscript"/>
              <w:spacing w:before="0" w:after="0" w:line="240" w:lineRule="auto"/>
              <w:ind w:firstLine="0"/>
              <w:jc w:val="center"/>
              <w:rPr>
                <w:b/>
                <w:bCs/>
                <w:color w:val="auto"/>
              </w:rPr>
            </w:pPr>
            <w:r w:rsidRPr="00C3645A">
              <w:rPr>
                <w:b/>
                <w:bCs/>
                <w:color w:val="auto"/>
              </w:rPr>
              <w:t>UG</w:t>
            </w:r>
          </w:p>
        </w:tc>
        <w:tc>
          <w:tcPr>
            <w:tcW w:w="2874" w:type="dxa"/>
          </w:tcPr>
          <w:p w14:paraId="3BF8C1E3" w14:textId="1D7221DE" w:rsidR="005B69EB" w:rsidRPr="00C3645A" w:rsidRDefault="00B86256" w:rsidP="005B69EB">
            <w:pPr>
              <w:pStyle w:val="PubliManuscript"/>
              <w:spacing w:before="0" w:after="0" w:line="240" w:lineRule="auto"/>
              <w:ind w:firstLine="0"/>
              <w:jc w:val="center"/>
              <w:rPr>
                <w:color w:val="auto"/>
              </w:rPr>
            </w:pPr>
            <w:r w:rsidRPr="00C3645A">
              <w:rPr>
                <w:color w:val="auto"/>
              </w:rPr>
              <w:t>492</w:t>
            </w:r>
            <w:r w:rsidR="005B69EB" w:rsidRPr="00C3645A">
              <w:rPr>
                <w:color w:val="auto"/>
              </w:rPr>
              <w:t xml:space="preserve"> (</w:t>
            </w:r>
            <m:oMath>
              <m:r>
                <w:rPr>
                  <w:rFonts w:ascii="Cambria Math" w:hAnsi="Cambria Math"/>
                  <w:color w:val="auto"/>
                </w:rPr>
                <m:t>±216)</m:t>
              </m:r>
            </m:oMath>
          </w:p>
        </w:tc>
        <w:tc>
          <w:tcPr>
            <w:tcW w:w="2876" w:type="dxa"/>
          </w:tcPr>
          <w:p w14:paraId="5132E81F" w14:textId="362CB1A4" w:rsidR="005B69EB" w:rsidRPr="00C3645A" w:rsidRDefault="00B86256" w:rsidP="005B69EB">
            <w:pPr>
              <w:pStyle w:val="PubliManuscript"/>
              <w:spacing w:before="0" w:after="0" w:line="240" w:lineRule="auto"/>
              <w:ind w:firstLine="0"/>
              <w:jc w:val="center"/>
              <w:rPr>
                <w:color w:val="auto"/>
              </w:rPr>
            </w:pPr>
            <w:r w:rsidRPr="00C3645A">
              <w:rPr>
                <w:color w:val="auto"/>
              </w:rPr>
              <w:t>797</w:t>
            </w:r>
            <w:r w:rsidR="005B69EB" w:rsidRPr="00C3645A">
              <w:rPr>
                <w:color w:val="auto"/>
              </w:rPr>
              <w:t xml:space="preserve"> (</w:t>
            </w:r>
            <m:oMath>
              <m:r>
                <w:rPr>
                  <w:rFonts w:ascii="Cambria Math" w:hAnsi="Cambria Math"/>
                  <w:color w:val="auto"/>
                </w:rPr>
                <m:t>±269)</m:t>
              </m:r>
            </m:oMath>
          </w:p>
        </w:tc>
        <w:tc>
          <w:tcPr>
            <w:tcW w:w="1440" w:type="dxa"/>
            <w:tcBorders>
              <w:bottom w:val="single" w:sz="4" w:space="0" w:color="auto"/>
            </w:tcBorders>
          </w:tcPr>
          <w:p w14:paraId="28FFD21E" w14:textId="42CFB1E4" w:rsidR="005B69EB" w:rsidRPr="00C3645A" w:rsidRDefault="003F3736" w:rsidP="005B69EB">
            <w:pPr>
              <w:pStyle w:val="PubliManuscript"/>
              <w:spacing w:before="0" w:after="0" w:line="240" w:lineRule="auto"/>
              <w:ind w:firstLine="0"/>
              <w:jc w:val="center"/>
              <w:rPr>
                <w:color w:val="auto"/>
              </w:rPr>
            </w:pPr>
            <w:r w:rsidRPr="00C3645A">
              <w:rPr>
                <w:color w:val="auto"/>
              </w:rPr>
              <w:t>c</w:t>
            </w:r>
          </w:p>
        </w:tc>
      </w:tr>
      <w:tr w:rsidR="00C3645A" w:rsidRPr="00C3645A" w14:paraId="4576BA2A" w14:textId="77777777" w:rsidTr="002A7455">
        <w:trPr>
          <w:trHeight w:val="283"/>
          <w:jc w:val="center"/>
        </w:trPr>
        <w:tc>
          <w:tcPr>
            <w:tcW w:w="1437" w:type="dxa"/>
            <w:shd w:val="clear" w:color="auto" w:fill="D9D9D9" w:themeFill="background1" w:themeFillShade="D9"/>
          </w:tcPr>
          <w:p w14:paraId="477B7E25" w14:textId="76D0B96B" w:rsidR="005B69EB" w:rsidRPr="00C3645A" w:rsidRDefault="005B69EB" w:rsidP="005B69EB">
            <w:pPr>
              <w:pStyle w:val="PubliManuscript"/>
              <w:spacing w:before="0" w:after="0" w:line="240" w:lineRule="auto"/>
              <w:ind w:firstLine="0"/>
              <w:jc w:val="center"/>
              <w:rPr>
                <w:b/>
                <w:bCs/>
                <w:color w:val="auto"/>
              </w:rPr>
            </w:pPr>
            <w:r w:rsidRPr="00C3645A">
              <w:rPr>
                <w:b/>
                <w:bCs/>
                <w:color w:val="auto"/>
              </w:rPr>
              <w:t>Statistical groups between periods</w:t>
            </w:r>
          </w:p>
        </w:tc>
        <w:tc>
          <w:tcPr>
            <w:tcW w:w="2874" w:type="dxa"/>
          </w:tcPr>
          <w:p w14:paraId="406627BF" w14:textId="77777777" w:rsidR="005B69EB" w:rsidRPr="00C3645A" w:rsidRDefault="005B69EB" w:rsidP="005B69EB">
            <w:pPr>
              <w:pStyle w:val="PubliManuscript"/>
              <w:spacing w:before="0" w:after="0" w:line="240" w:lineRule="auto"/>
              <w:ind w:firstLine="0"/>
              <w:jc w:val="center"/>
              <w:rPr>
                <w:color w:val="auto"/>
              </w:rPr>
            </w:pPr>
          </w:p>
          <w:p w14:paraId="67A32D87" w14:textId="2A0F9731" w:rsidR="005B69EB" w:rsidRPr="00C3645A" w:rsidRDefault="005B69EB" w:rsidP="005B69EB">
            <w:pPr>
              <w:pStyle w:val="PubliManuscript"/>
              <w:spacing w:before="0" w:after="0" w:line="240" w:lineRule="auto"/>
              <w:ind w:firstLine="0"/>
              <w:jc w:val="center"/>
              <w:rPr>
                <w:color w:val="auto"/>
              </w:rPr>
            </w:pPr>
            <w:r w:rsidRPr="00C3645A">
              <w:rPr>
                <w:color w:val="auto"/>
              </w:rPr>
              <w:t>B</w:t>
            </w:r>
          </w:p>
        </w:tc>
        <w:tc>
          <w:tcPr>
            <w:tcW w:w="2876" w:type="dxa"/>
          </w:tcPr>
          <w:p w14:paraId="3327ED3F" w14:textId="77777777" w:rsidR="005B69EB" w:rsidRPr="00C3645A" w:rsidRDefault="005B69EB" w:rsidP="005B69EB">
            <w:pPr>
              <w:pStyle w:val="PubliManuscript"/>
              <w:spacing w:before="0" w:after="0" w:line="240" w:lineRule="auto"/>
              <w:ind w:firstLine="0"/>
              <w:jc w:val="center"/>
              <w:rPr>
                <w:color w:val="auto"/>
              </w:rPr>
            </w:pPr>
          </w:p>
          <w:p w14:paraId="7A1676F2" w14:textId="1DC55771" w:rsidR="005B69EB" w:rsidRPr="00C3645A" w:rsidRDefault="005B69EB" w:rsidP="005B69EB">
            <w:pPr>
              <w:pStyle w:val="PubliManuscript"/>
              <w:spacing w:before="0" w:after="0" w:line="240" w:lineRule="auto"/>
              <w:ind w:firstLine="0"/>
              <w:jc w:val="center"/>
              <w:rPr>
                <w:color w:val="auto"/>
              </w:rPr>
            </w:pPr>
            <w:r w:rsidRPr="00C3645A">
              <w:rPr>
                <w:color w:val="auto"/>
              </w:rPr>
              <w:t>A</w:t>
            </w:r>
          </w:p>
        </w:tc>
        <w:tc>
          <w:tcPr>
            <w:tcW w:w="1440" w:type="dxa"/>
            <w:tcBorders>
              <w:bottom w:val="single" w:sz="4" w:space="0" w:color="auto"/>
              <w:tl2br w:val="single" w:sz="4" w:space="0" w:color="auto"/>
            </w:tcBorders>
          </w:tcPr>
          <w:p w14:paraId="46A40F5A" w14:textId="423A8A91" w:rsidR="005B69EB" w:rsidRPr="00C3645A" w:rsidRDefault="002A7455" w:rsidP="005B69EB">
            <w:pPr>
              <w:pStyle w:val="PubliManuscript"/>
              <w:spacing w:before="0" w:after="0" w:line="240" w:lineRule="auto"/>
              <w:ind w:firstLine="0"/>
              <w:jc w:val="center"/>
              <w:rPr>
                <w:color w:val="auto"/>
                <w:sz w:val="18"/>
                <w:szCs w:val="18"/>
              </w:rPr>
            </w:pPr>
            <w:r w:rsidRPr="00C3645A">
              <w:rPr>
                <w:i/>
                <w:iCs/>
                <w:color w:val="auto"/>
                <w:sz w:val="18"/>
                <w:szCs w:val="18"/>
              </w:rPr>
              <w:t xml:space="preserve">     p </w:t>
            </w:r>
            <w:r w:rsidRPr="00C3645A">
              <w:rPr>
                <w:color w:val="auto"/>
                <w:sz w:val="18"/>
                <w:szCs w:val="18"/>
              </w:rPr>
              <w:t>&lt; 2e-16</w:t>
            </w:r>
          </w:p>
          <w:p w14:paraId="3EC0103B" w14:textId="77777777" w:rsidR="002A7455" w:rsidRPr="00C3645A" w:rsidRDefault="002A7455" w:rsidP="005B69EB">
            <w:pPr>
              <w:pStyle w:val="PubliManuscript"/>
              <w:spacing w:before="0" w:after="0" w:line="240" w:lineRule="auto"/>
              <w:ind w:firstLine="0"/>
              <w:jc w:val="center"/>
              <w:rPr>
                <w:color w:val="auto"/>
                <w:sz w:val="18"/>
                <w:szCs w:val="18"/>
              </w:rPr>
            </w:pPr>
          </w:p>
          <w:p w14:paraId="3350D6C6" w14:textId="77777777" w:rsidR="002A7455" w:rsidRPr="00C3645A" w:rsidRDefault="002A7455" w:rsidP="005B69EB">
            <w:pPr>
              <w:pStyle w:val="PubliManuscript"/>
              <w:spacing w:before="0" w:after="0" w:line="240" w:lineRule="auto"/>
              <w:ind w:firstLine="0"/>
              <w:jc w:val="center"/>
              <w:rPr>
                <w:color w:val="auto"/>
                <w:sz w:val="18"/>
                <w:szCs w:val="18"/>
              </w:rPr>
            </w:pPr>
          </w:p>
          <w:p w14:paraId="4ADE1920" w14:textId="29090C9F" w:rsidR="002A7455" w:rsidRPr="00C3645A" w:rsidRDefault="002A7455" w:rsidP="002A7455">
            <w:pPr>
              <w:pStyle w:val="PubliManuscript"/>
              <w:spacing w:before="0" w:after="0" w:line="240" w:lineRule="auto"/>
              <w:ind w:firstLine="0"/>
              <w:rPr>
                <w:color w:val="auto"/>
              </w:rPr>
            </w:pPr>
            <w:r w:rsidRPr="00C3645A">
              <w:rPr>
                <w:i/>
                <w:iCs/>
                <w:color w:val="auto"/>
                <w:sz w:val="18"/>
                <w:szCs w:val="18"/>
              </w:rPr>
              <w:t xml:space="preserve">p </w:t>
            </w:r>
            <w:r w:rsidRPr="00C3645A">
              <w:rPr>
                <w:color w:val="auto"/>
                <w:sz w:val="18"/>
                <w:szCs w:val="18"/>
              </w:rPr>
              <w:t>&lt; 2e-16</w:t>
            </w:r>
          </w:p>
        </w:tc>
      </w:tr>
    </w:tbl>
    <w:p w14:paraId="2F9F4E65" w14:textId="77777777" w:rsidR="005B69EB" w:rsidRPr="00C3645A" w:rsidRDefault="005B69EB" w:rsidP="000F58FC">
      <w:pPr>
        <w:pStyle w:val="PubliManuscript"/>
        <w:spacing w:line="240" w:lineRule="auto"/>
        <w:ind w:firstLine="0"/>
        <w:rPr>
          <w:b/>
          <w:bCs/>
          <w:color w:val="auto"/>
        </w:rPr>
      </w:pPr>
    </w:p>
    <w:p w14:paraId="0B67230A" w14:textId="4CB376A9" w:rsidR="00156804" w:rsidRPr="00C3645A" w:rsidRDefault="00156804" w:rsidP="002A2738">
      <w:pPr>
        <w:pStyle w:val="PubliManuscript"/>
        <w:spacing w:line="240" w:lineRule="auto"/>
        <w:ind w:firstLine="0"/>
        <w:rPr>
          <w:b/>
          <w:bCs/>
          <w:color w:val="auto"/>
        </w:rPr>
      </w:pPr>
      <w:r w:rsidRPr="00C3645A">
        <w:rPr>
          <w:b/>
          <w:bCs/>
          <w:color w:val="auto"/>
        </w:rPr>
        <w:t>Table A</w:t>
      </w:r>
      <w:r w:rsidR="00AC13C6" w:rsidRPr="00C3645A">
        <w:rPr>
          <w:b/>
          <w:bCs/>
          <w:color w:val="auto"/>
        </w:rPr>
        <w:t>4</w:t>
      </w:r>
      <w:r w:rsidR="00E16D38" w:rsidRPr="00C3645A">
        <w:rPr>
          <w:b/>
          <w:bCs/>
          <w:color w:val="auto"/>
        </w:rPr>
        <w:t>.</w:t>
      </w:r>
      <w:r w:rsidRPr="00C3645A">
        <w:rPr>
          <w:b/>
          <w:bCs/>
          <w:color w:val="auto"/>
        </w:rPr>
        <w:t xml:space="preserve"> </w:t>
      </w:r>
      <w:r w:rsidR="00E16D38" w:rsidRPr="00C3645A">
        <w:rPr>
          <w:b/>
          <w:bCs/>
          <w:color w:val="auto"/>
        </w:rPr>
        <w:t>Annual productivity means, with standard deviations, computed in calories and in US Dollars.</w:t>
      </w:r>
      <w:r w:rsidR="005D49AD" w:rsidRPr="00C3645A">
        <w:rPr>
          <w:b/>
          <w:bCs/>
          <w:color w:val="auto"/>
        </w:rPr>
        <w:t xml:space="preserve"> G10, G20, G30 and G40 refer to the grazing intensity treatment, and UG designates the ungrazed treatment.</w:t>
      </w:r>
    </w:p>
    <w:p w14:paraId="1B9BCC53" w14:textId="77777777" w:rsidR="00546D81" w:rsidRPr="00C3645A" w:rsidRDefault="00546D81" w:rsidP="0054106B">
      <w:pPr>
        <w:pStyle w:val="PubliManuscript"/>
        <w:spacing w:line="240" w:lineRule="auto"/>
        <w:ind w:firstLine="0"/>
        <w:rPr>
          <w:b/>
          <w:bCs/>
          <w:color w:val="auto"/>
        </w:rPr>
      </w:pPr>
    </w:p>
    <w:tbl>
      <w:tblPr>
        <w:tblStyle w:val="Grilledutableau"/>
        <w:tblW w:w="0" w:type="auto"/>
        <w:tblLook w:val="04A0" w:firstRow="1" w:lastRow="0" w:firstColumn="1" w:lastColumn="0" w:noHBand="0" w:noVBand="1"/>
      </w:tblPr>
      <w:tblGrid>
        <w:gridCol w:w="1279"/>
        <w:gridCol w:w="1378"/>
        <w:gridCol w:w="1249"/>
        <w:gridCol w:w="1264"/>
        <w:gridCol w:w="1378"/>
        <w:gridCol w:w="1250"/>
        <w:gridCol w:w="1264"/>
      </w:tblGrid>
      <w:tr w:rsidR="00C3645A" w:rsidRPr="00C3645A" w14:paraId="670D4281" w14:textId="77777777" w:rsidTr="006F55FD">
        <w:tc>
          <w:tcPr>
            <w:tcW w:w="1279" w:type="dxa"/>
            <w:vMerge w:val="restart"/>
            <w:shd w:val="clear" w:color="auto" w:fill="D0CECE" w:themeFill="background2" w:themeFillShade="E6"/>
          </w:tcPr>
          <w:p w14:paraId="102C79B5" w14:textId="77777777" w:rsidR="001E6994" w:rsidRPr="00C3645A" w:rsidRDefault="001E6994" w:rsidP="001E6994">
            <w:pPr>
              <w:pStyle w:val="PubliManuscript"/>
              <w:spacing w:before="0" w:after="0" w:line="240" w:lineRule="auto"/>
              <w:ind w:firstLine="0"/>
              <w:jc w:val="center"/>
              <w:rPr>
                <w:b/>
                <w:bCs/>
                <w:color w:val="auto"/>
              </w:rPr>
            </w:pPr>
          </w:p>
          <w:p w14:paraId="5EC09E98" w14:textId="4036C4E6" w:rsidR="001E6994" w:rsidRPr="00C3645A" w:rsidRDefault="001E6994" w:rsidP="001E6994">
            <w:pPr>
              <w:pStyle w:val="PubliManuscript"/>
              <w:spacing w:before="0" w:after="0" w:line="240" w:lineRule="auto"/>
              <w:ind w:firstLine="0"/>
              <w:jc w:val="center"/>
              <w:rPr>
                <w:b/>
                <w:bCs/>
                <w:color w:val="auto"/>
              </w:rPr>
            </w:pPr>
            <w:r w:rsidRPr="00C3645A">
              <w:rPr>
                <w:b/>
                <w:bCs/>
                <w:color w:val="auto"/>
              </w:rPr>
              <w:t>Treatment</w:t>
            </w:r>
          </w:p>
        </w:tc>
        <w:tc>
          <w:tcPr>
            <w:tcW w:w="1378" w:type="dxa"/>
            <w:shd w:val="clear" w:color="auto" w:fill="D0CECE" w:themeFill="background2" w:themeFillShade="E6"/>
          </w:tcPr>
          <w:p w14:paraId="1E911393" w14:textId="4B255203" w:rsidR="001E6994" w:rsidRPr="00C3645A" w:rsidRDefault="001E6994" w:rsidP="001E6994">
            <w:pPr>
              <w:pStyle w:val="PubliManuscript"/>
              <w:spacing w:line="240" w:lineRule="auto"/>
              <w:ind w:firstLine="0"/>
              <w:jc w:val="center"/>
              <w:rPr>
                <w:b/>
                <w:bCs/>
                <w:color w:val="auto"/>
              </w:rPr>
            </w:pPr>
            <w:r w:rsidRPr="00C3645A">
              <w:rPr>
                <w:b/>
                <w:bCs/>
                <w:color w:val="auto"/>
              </w:rPr>
              <w:t>Gross productivity</w:t>
            </w:r>
          </w:p>
        </w:tc>
        <w:tc>
          <w:tcPr>
            <w:tcW w:w="1249" w:type="dxa"/>
            <w:shd w:val="clear" w:color="auto" w:fill="D0CECE" w:themeFill="background2" w:themeFillShade="E6"/>
          </w:tcPr>
          <w:p w14:paraId="3EA8A686" w14:textId="6314A51B" w:rsidR="001E6994" w:rsidRPr="00C3645A" w:rsidRDefault="001E6994" w:rsidP="001E6994">
            <w:pPr>
              <w:pStyle w:val="PubliManuscript"/>
              <w:spacing w:line="240" w:lineRule="auto"/>
              <w:ind w:firstLine="0"/>
              <w:jc w:val="center"/>
              <w:rPr>
                <w:b/>
                <w:bCs/>
                <w:color w:val="auto"/>
              </w:rPr>
            </w:pPr>
            <w:r w:rsidRPr="00C3645A">
              <w:rPr>
                <w:b/>
                <w:bCs/>
                <w:color w:val="auto"/>
              </w:rPr>
              <w:t>Nutritive value</w:t>
            </w:r>
          </w:p>
        </w:tc>
        <w:tc>
          <w:tcPr>
            <w:tcW w:w="1264" w:type="dxa"/>
            <w:shd w:val="clear" w:color="auto" w:fill="D0CECE" w:themeFill="background2" w:themeFillShade="E6"/>
          </w:tcPr>
          <w:p w14:paraId="67093E64" w14:textId="68651888" w:rsidR="001E6994" w:rsidRPr="00C3645A" w:rsidRDefault="001E6994" w:rsidP="001E6994">
            <w:pPr>
              <w:pStyle w:val="PubliManuscript"/>
              <w:spacing w:line="240" w:lineRule="auto"/>
              <w:ind w:firstLine="0"/>
              <w:jc w:val="center"/>
              <w:rPr>
                <w:b/>
                <w:bCs/>
                <w:color w:val="auto"/>
              </w:rPr>
            </w:pPr>
            <w:r w:rsidRPr="00C3645A">
              <w:rPr>
                <w:b/>
                <w:bCs/>
                <w:color w:val="auto"/>
              </w:rPr>
              <w:t>Economic value</w:t>
            </w:r>
          </w:p>
        </w:tc>
        <w:tc>
          <w:tcPr>
            <w:tcW w:w="1378" w:type="dxa"/>
            <w:shd w:val="clear" w:color="auto" w:fill="D0CECE" w:themeFill="background2" w:themeFillShade="E6"/>
          </w:tcPr>
          <w:p w14:paraId="68AB68C1" w14:textId="51648481" w:rsidR="001E6994" w:rsidRPr="00C3645A" w:rsidRDefault="001E6994" w:rsidP="001E6994">
            <w:pPr>
              <w:pStyle w:val="PubliManuscript"/>
              <w:spacing w:line="240" w:lineRule="auto"/>
              <w:ind w:firstLine="0"/>
              <w:jc w:val="center"/>
              <w:rPr>
                <w:b/>
                <w:bCs/>
                <w:color w:val="auto"/>
              </w:rPr>
            </w:pPr>
            <w:r w:rsidRPr="00C3645A">
              <w:rPr>
                <w:b/>
                <w:bCs/>
                <w:color w:val="auto"/>
              </w:rPr>
              <w:t>Gross productivity</w:t>
            </w:r>
          </w:p>
        </w:tc>
        <w:tc>
          <w:tcPr>
            <w:tcW w:w="1250" w:type="dxa"/>
            <w:shd w:val="clear" w:color="auto" w:fill="D0CECE" w:themeFill="background2" w:themeFillShade="E6"/>
          </w:tcPr>
          <w:p w14:paraId="12DE9992" w14:textId="5978DD9E" w:rsidR="001E6994" w:rsidRPr="00C3645A" w:rsidRDefault="001E6994" w:rsidP="001E6994">
            <w:pPr>
              <w:pStyle w:val="PubliManuscript"/>
              <w:spacing w:line="240" w:lineRule="auto"/>
              <w:ind w:firstLine="0"/>
              <w:jc w:val="center"/>
              <w:rPr>
                <w:b/>
                <w:bCs/>
                <w:color w:val="auto"/>
              </w:rPr>
            </w:pPr>
            <w:r w:rsidRPr="00C3645A">
              <w:rPr>
                <w:b/>
                <w:bCs/>
                <w:color w:val="auto"/>
              </w:rPr>
              <w:t>Nutritive value</w:t>
            </w:r>
          </w:p>
        </w:tc>
        <w:tc>
          <w:tcPr>
            <w:tcW w:w="1264" w:type="dxa"/>
            <w:shd w:val="clear" w:color="auto" w:fill="D0CECE" w:themeFill="background2" w:themeFillShade="E6"/>
          </w:tcPr>
          <w:p w14:paraId="00B62745" w14:textId="42BE16F6" w:rsidR="001E6994" w:rsidRPr="00C3645A" w:rsidRDefault="001E6994" w:rsidP="001E6994">
            <w:pPr>
              <w:pStyle w:val="PubliManuscript"/>
              <w:spacing w:line="240" w:lineRule="auto"/>
              <w:ind w:firstLine="0"/>
              <w:jc w:val="center"/>
              <w:rPr>
                <w:b/>
                <w:bCs/>
                <w:color w:val="auto"/>
              </w:rPr>
            </w:pPr>
            <w:r w:rsidRPr="00C3645A">
              <w:rPr>
                <w:b/>
                <w:bCs/>
                <w:color w:val="auto"/>
              </w:rPr>
              <w:t>Economic value</w:t>
            </w:r>
          </w:p>
        </w:tc>
      </w:tr>
      <w:tr w:rsidR="00C3645A" w:rsidRPr="00C3645A" w14:paraId="3C308BD2" w14:textId="77777777" w:rsidTr="006F55FD">
        <w:tc>
          <w:tcPr>
            <w:tcW w:w="1279" w:type="dxa"/>
            <w:vMerge/>
            <w:shd w:val="clear" w:color="auto" w:fill="D0CECE" w:themeFill="background2" w:themeFillShade="E6"/>
          </w:tcPr>
          <w:p w14:paraId="02BD30CD" w14:textId="77777777" w:rsidR="00C85D10" w:rsidRPr="00C3645A" w:rsidRDefault="00C85D10" w:rsidP="00C85D10">
            <w:pPr>
              <w:pStyle w:val="PubliManuscript"/>
              <w:spacing w:line="240" w:lineRule="auto"/>
              <w:ind w:firstLine="0"/>
              <w:jc w:val="center"/>
              <w:rPr>
                <w:b/>
                <w:bCs/>
                <w:color w:val="auto"/>
              </w:rPr>
            </w:pPr>
          </w:p>
        </w:tc>
        <w:tc>
          <w:tcPr>
            <w:tcW w:w="1378" w:type="dxa"/>
            <w:shd w:val="clear" w:color="auto" w:fill="D0CECE" w:themeFill="background2" w:themeFillShade="E6"/>
          </w:tcPr>
          <w:p w14:paraId="2F05D090" w14:textId="1DE2DF41" w:rsidR="00C85D10" w:rsidRPr="00C3645A" w:rsidRDefault="00C85D10" w:rsidP="00C85D10">
            <w:pPr>
              <w:pStyle w:val="PubliManuscript"/>
              <w:spacing w:line="240" w:lineRule="auto"/>
              <w:ind w:firstLine="0"/>
              <w:jc w:val="center"/>
              <w:rPr>
                <w:b/>
                <w:bCs/>
                <w:color w:val="auto"/>
              </w:rPr>
            </w:pPr>
            <w:r w:rsidRPr="00C3645A">
              <w:rPr>
                <w:b/>
                <w:bCs/>
                <w:color w:val="auto"/>
              </w:rPr>
              <w:t>Pasture</w:t>
            </w:r>
          </w:p>
        </w:tc>
        <w:tc>
          <w:tcPr>
            <w:tcW w:w="2513" w:type="dxa"/>
            <w:gridSpan w:val="2"/>
            <w:shd w:val="clear" w:color="auto" w:fill="D0CECE" w:themeFill="background2" w:themeFillShade="E6"/>
          </w:tcPr>
          <w:p w14:paraId="744EDD49" w14:textId="3242130E" w:rsidR="00C85D10" w:rsidRPr="00C3645A" w:rsidRDefault="00C85D10" w:rsidP="00C85D10">
            <w:pPr>
              <w:pStyle w:val="PubliManuscript"/>
              <w:spacing w:line="240" w:lineRule="auto"/>
              <w:ind w:firstLine="0"/>
              <w:jc w:val="center"/>
              <w:rPr>
                <w:b/>
                <w:bCs/>
                <w:color w:val="auto"/>
              </w:rPr>
            </w:pPr>
            <w:r w:rsidRPr="00C3645A">
              <w:rPr>
                <w:b/>
                <w:bCs/>
                <w:color w:val="auto"/>
              </w:rPr>
              <w:t>Live weight gain</w:t>
            </w:r>
          </w:p>
        </w:tc>
        <w:tc>
          <w:tcPr>
            <w:tcW w:w="3892" w:type="dxa"/>
            <w:gridSpan w:val="3"/>
            <w:shd w:val="clear" w:color="auto" w:fill="D0CECE" w:themeFill="background2" w:themeFillShade="E6"/>
          </w:tcPr>
          <w:p w14:paraId="5D485D4F" w14:textId="12672F90" w:rsidR="00C85D10" w:rsidRPr="00C3645A" w:rsidRDefault="00C85D10" w:rsidP="00C85D10">
            <w:pPr>
              <w:pStyle w:val="PubliManuscript"/>
              <w:spacing w:line="240" w:lineRule="auto"/>
              <w:ind w:firstLine="0"/>
              <w:jc w:val="center"/>
              <w:rPr>
                <w:b/>
                <w:bCs/>
                <w:color w:val="auto"/>
              </w:rPr>
            </w:pPr>
            <w:r w:rsidRPr="00C3645A">
              <w:rPr>
                <w:b/>
                <w:bCs/>
                <w:color w:val="auto"/>
              </w:rPr>
              <w:t>Soybean</w:t>
            </w:r>
          </w:p>
        </w:tc>
      </w:tr>
      <w:tr w:rsidR="00C3645A" w:rsidRPr="00C3645A" w14:paraId="6571343F" w14:textId="77777777" w:rsidTr="006F55FD">
        <w:tc>
          <w:tcPr>
            <w:tcW w:w="1279" w:type="dxa"/>
            <w:shd w:val="clear" w:color="auto" w:fill="D0CECE" w:themeFill="background2" w:themeFillShade="E6"/>
          </w:tcPr>
          <w:p w14:paraId="501E78CF" w14:textId="62784817" w:rsidR="008A572B" w:rsidRPr="00C3645A" w:rsidRDefault="008A572B" w:rsidP="008A572B">
            <w:pPr>
              <w:pStyle w:val="PubliManuscript"/>
              <w:spacing w:line="240" w:lineRule="auto"/>
              <w:ind w:firstLine="0"/>
              <w:jc w:val="center"/>
              <w:rPr>
                <w:b/>
                <w:bCs/>
                <w:color w:val="auto"/>
              </w:rPr>
            </w:pPr>
            <w:r w:rsidRPr="00C3645A">
              <w:rPr>
                <w:b/>
                <w:bCs/>
                <w:color w:val="auto"/>
              </w:rPr>
              <w:t>UG</w:t>
            </w:r>
          </w:p>
        </w:tc>
        <w:tc>
          <w:tcPr>
            <w:tcW w:w="1378" w:type="dxa"/>
          </w:tcPr>
          <w:p w14:paraId="3C0D8846" w14:textId="164FA803" w:rsidR="008A572B" w:rsidRPr="00C3645A" w:rsidRDefault="000B7C83" w:rsidP="008A572B">
            <w:pPr>
              <w:pStyle w:val="PubliManuscript"/>
              <w:spacing w:line="240" w:lineRule="auto"/>
              <w:ind w:firstLine="0"/>
              <w:jc w:val="center"/>
              <w:rPr>
                <w:color w:val="auto"/>
              </w:rPr>
            </w:pPr>
            <w:r w:rsidRPr="00C3645A">
              <w:rPr>
                <w:color w:val="auto"/>
              </w:rPr>
              <w:t>15.04</w:t>
            </w:r>
            <w:r w:rsidR="008A572B" w:rsidRPr="00C3645A">
              <w:rPr>
                <w:color w:val="auto"/>
              </w:rPr>
              <w:t>%</w:t>
            </w:r>
          </w:p>
        </w:tc>
        <w:tc>
          <w:tcPr>
            <w:tcW w:w="1249" w:type="dxa"/>
          </w:tcPr>
          <w:p w14:paraId="6E31AE8F" w14:textId="453BC6C1" w:rsidR="008A572B" w:rsidRPr="00C3645A" w:rsidRDefault="008257A8" w:rsidP="008A572B">
            <w:pPr>
              <w:pStyle w:val="PubliManuscript"/>
              <w:spacing w:line="240" w:lineRule="auto"/>
              <w:ind w:firstLine="0"/>
              <w:jc w:val="center"/>
              <w:rPr>
                <w:color w:val="auto"/>
              </w:rPr>
            </w:pPr>
            <w:r w:rsidRPr="00C3645A">
              <w:rPr>
                <w:color w:val="auto"/>
              </w:rPr>
              <w:t>-</w:t>
            </w:r>
          </w:p>
        </w:tc>
        <w:tc>
          <w:tcPr>
            <w:tcW w:w="1264" w:type="dxa"/>
          </w:tcPr>
          <w:p w14:paraId="03028895" w14:textId="50657A4F" w:rsidR="008A572B" w:rsidRPr="00C3645A" w:rsidRDefault="008257A8" w:rsidP="008A572B">
            <w:pPr>
              <w:pStyle w:val="PubliManuscript"/>
              <w:spacing w:line="240" w:lineRule="auto"/>
              <w:ind w:firstLine="0"/>
              <w:jc w:val="center"/>
              <w:rPr>
                <w:color w:val="auto"/>
              </w:rPr>
            </w:pPr>
            <w:r w:rsidRPr="00C3645A">
              <w:rPr>
                <w:color w:val="auto"/>
              </w:rPr>
              <w:t>-</w:t>
            </w:r>
          </w:p>
        </w:tc>
        <w:tc>
          <w:tcPr>
            <w:tcW w:w="1378" w:type="dxa"/>
          </w:tcPr>
          <w:p w14:paraId="133E6D82" w14:textId="6827C3AE" w:rsidR="008A572B" w:rsidRPr="00C3645A" w:rsidRDefault="008A572B" w:rsidP="008A572B">
            <w:pPr>
              <w:pStyle w:val="PubliManuscript"/>
              <w:spacing w:line="240" w:lineRule="auto"/>
              <w:ind w:firstLine="0"/>
              <w:jc w:val="center"/>
              <w:rPr>
                <w:color w:val="auto"/>
              </w:rPr>
            </w:pPr>
            <w:r w:rsidRPr="00C3645A">
              <w:rPr>
                <w:color w:val="auto"/>
              </w:rPr>
              <w:t>3</w:t>
            </w:r>
            <w:r w:rsidR="000B7C83" w:rsidRPr="00C3645A">
              <w:rPr>
                <w:color w:val="auto"/>
              </w:rPr>
              <w:t>9.52</w:t>
            </w:r>
            <w:r w:rsidRPr="00C3645A">
              <w:rPr>
                <w:color w:val="auto"/>
              </w:rPr>
              <w:t>%</w:t>
            </w:r>
          </w:p>
        </w:tc>
        <w:tc>
          <w:tcPr>
            <w:tcW w:w="1250" w:type="dxa"/>
          </w:tcPr>
          <w:p w14:paraId="5CFBE29A" w14:textId="3039327F" w:rsidR="008A572B" w:rsidRPr="00C3645A" w:rsidRDefault="008A572B" w:rsidP="008A572B">
            <w:pPr>
              <w:pStyle w:val="PubliManuscript"/>
              <w:spacing w:line="240" w:lineRule="auto"/>
              <w:ind w:firstLine="0"/>
              <w:jc w:val="center"/>
              <w:rPr>
                <w:color w:val="auto"/>
              </w:rPr>
            </w:pPr>
            <w:r w:rsidRPr="00C3645A">
              <w:rPr>
                <w:color w:val="auto"/>
              </w:rPr>
              <w:t>3</w:t>
            </w:r>
            <w:r w:rsidR="000B7C83" w:rsidRPr="00C3645A">
              <w:rPr>
                <w:color w:val="auto"/>
              </w:rPr>
              <w:t>9</w:t>
            </w:r>
            <w:r w:rsidRPr="00C3645A">
              <w:rPr>
                <w:color w:val="auto"/>
              </w:rPr>
              <w:t>.5</w:t>
            </w:r>
            <w:r w:rsidR="000B7C83" w:rsidRPr="00C3645A">
              <w:rPr>
                <w:color w:val="auto"/>
              </w:rPr>
              <w:t>2</w:t>
            </w:r>
            <w:r w:rsidRPr="00C3645A">
              <w:rPr>
                <w:color w:val="auto"/>
              </w:rPr>
              <w:t>%</w:t>
            </w:r>
          </w:p>
        </w:tc>
        <w:tc>
          <w:tcPr>
            <w:tcW w:w="1264" w:type="dxa"/>
          </w:tcPr>
          <w:p w14:paraId="46311EA3" w14:textId="38B9BBD8" w:rsidR="008A572B" w:rsidRPr="00C3645A" w:rsidRDefault="000B7C83" w:rsidP="008A572B">
            <w:pPr>
              <w:pStyle w:val="PubliManuscript"/>
              <w:spacing w:line="240" w:lineRule="auto"/>
              <w:ind w:firstLine="0"/>
              <w:jc w:val="center"/>
              <w:rPr>
                <w:color w:val="auto"/>
              </w:rPr>
            </w:pPr>
            <w:r w:rsidRPr="00C3645A">
              <w:rPr>
                <w:color w:val="auto"/>
              </w:rPr>
              <w:t>73.57</w:t>
            </w:r>
            <w:r w:rsidR="00F6584A" w:rsidRPr="00C3645A">
              <w:rPr>
                <w:color w:val="auto"/>
              </w:rPr>
              <w:t>%</w:t>
            </w:r>
          </w:p>
        </w:tc>
      </w:tr>
      <w:tr w:rsidR="00C3645A" w:rsidRPr="00C3645A" w14:paraId="3B257EAA" w14:textId="77777777" w:rsidTr="006F55FD">
        <w:tc>
          <w:tcPr>
            <w:tcW w:w="1279" w:type="dxa"/>
            <w:shd w:val="clear" w:color="auto" w:fill="D0CECE" w:themeFill="background2" w:themeFillShade="E6"/>
          </w:tcPr>
          <w:p w14:paraId="2D70D540" w14:textId="70DF1B61" w:rsidR="00F6584A" w:rsidRPr="00C3645A" w:rsidRDefault="00F6584A" w:rsidP="00F6584A">
            <w:pPr>
              <w:pStyle w:val="PubliManuscript"/>
              <w:spacing w:line="240" w:lineRule="auto"/>
              <w:ind w:firstLine="0"/>
              <w:jc w:val="center"/>
              <w:rPr>
                <w:b/>
                <w:bCs/>
                <w:color w:val="auto"/>
              </w:rPr>
            </w:pPr>
            <w:r w:rsidRPr="00C3645A">
              <w:rPr>
                <w:b/>
                <w:bCs/>
                <w:color w:val="auto"/>
              </w:rPr>
              <w:t>G10</w:t>
            </w:r>
          </w:p>
        </w:tc>
        <w:tc>
          <w:tcPr>
            <w:tcW w:w="1378" w:type="dxa"/>
          </w:tcPr>
          <w:p w14:paraId="5CB1C98C" w14:textId="739AAAB5" w:rsidR="00F6584A" w:rsidRPr="00C3645A" w:rsidRDefault="00F6584A" w:rsidP="00F6584A">
            <w:pPr>
              <w:pStyle w:val="PubliManuscript"/>
              <w:spacing w:line="240" w:lineRule="auto"/>
              <w:ind w:firstLine="0"/>
              <w:jc w:val="center"/>
              <w:rPr>
                <w:color w:val="auto"/>
              </w:rPr>
            </w:pPr>
            <w:r w:rsidRPr="00C3645A">
              <w:rPr>
                <w:color w:val="auto"/>
              </w:rPr>
              <w:t>2</w:t>
            </w:r>
            <w:r w:rsidR="000B7C83" w:rsidRPr="00C3645A">
              <w:rPr>
                <w:color w:val="auto"/>
              </w:rPr>
              <w:t>2.75</w:t>
            </w:r>
            <w:r w:rsidRPr="00C3645A">
              <w:rPr>
                <w:color w:val="auto"/>
              </w:rPr>
              <w:t>%</w:t>
            </w:r>
          </w:p>
        </w:tc>
        <w:tc>
          <w:tcPr>
            <w:tcW w:w="1249" w:type="dxa"/>
          </w:tcPr>
          <w:p w14:paraId="2B8DDCC6" w14:textId="100DB8A3" w:rsidR="00F6584A" w:rsidRPr="00C3645A" w:rsidRDefault="00F6584A" w:rsidP="00F6584A">
            <w:pPr>
              <w:pStyle w:val="PubliManuscript"/>
              <w:spacing w:line="240" w:lineRule="auto"/>
              <w:ind w:firstLine="0"/>
              <w:jc w:val="center"/>
              <w:rPr>
                <w:color w:val="auto"/>
              </w:rPr>
            </w:pPr>
            <w:r w:rsidRPr="00C3645A">
              <w:rPr>
                <w:color w:val="auto"/>
              </w:rPr>
              <w:t>2</w:t>
            </w:r>
            <w:r w:rsidR="000B7C83" w:rsidRPr="00C3645A">
              <w:rPr>
                <w:color w:val="auto"/>
              </w:rPr>
              <w:t>2.75</w:t>
            </w:r>
            <w:r w:rsidRPr="00C3645A">
              <w:rPr>
                <w:color w:val="auto"/>
              </w:rPr>
              <w:t>%</w:t>
            </w:r>
          </w:p>
        </w:tc>
        <w:tc>
          <w:tcPr>
            <w:tcW w:w="1264" w:type="dxa"/>
          </w:tcPr>
          <w:p w14:paraId="7C5B5465" w14:textId="3B45D485" w:rsidR="00F6584A" w:rsidRPr="00C3645A" w:rsidRDefault="00F6584A" w:rsidP="00F6584A">
            <w:pPr>
              <w:pStyle w:val="PubliManuscript"/>
              <w:spacing w:line="240" w:lineRule="auto"/>
              <w:ind w:firstLine="0"/>
              <w:jc w:val="center"/>
              <w:rPr>
                <w:color w:val="auto"/>
              </w:rPr>
            </w:pPr>
            <w:r w:rsidRPr="00C3645A">
              <w:rPr>
                <w:color w:val="auto"/>
              </w:rPr>
              <w:t>2</w:t>
            </w:r>
            <w:r w:rsidR="000B7C83" w:rsidRPr="00C3645A">
              <w:rPr>
                <w:color w:val="auto"/>
              </w:rPr>
              <w:t>7.62</w:t>
            </w:r>
            <w:r w:rsidRPr="00C3645A">
              <w:rPr>
                <w:color w:val="auto"/>
              </w:rPr>
              <w:t>%</w:t>
            </w:r>
          </w:p>
        </w:tc>
        <w:tc>
          <w:tcPr>
            <w:tcW w:w="1378" w:type="dxa"/>
          </w:tcPr>
          <w:p w14:paraId="56C196EF" w14:textId="0D04D573" w:rsidR="00F6584A" w:rsidRPr="00C3645A" w:rsidRDefault="000B7C83" w:rsidP="00F6584A">
            <w:pPr>
              <w:pStyle w:val="PubliManuscript"/>
              <w:spacing w:line="240" w:lineRule="auto"/>
              <w:ind w:firstLine="0"/>
              <w:jc w:val="center"/>
              <w:rPr>
                <w:color w:val="auto"/>
              </w:rPr>
            </w:pPr>
            <w:r w:rsidRPr="00C3645A">
              <w:rPr>
                <w:color w:val="auto"/>
              </w:rPr>
              <w:t>41.05</w:t>
            </w:r>
            <w:r w:rsidR="00F6584A" w:rsidRPr="00C3645A">
              <w:rPr>
                <w:color w:val="auto"/>
              </w:rPr>
              <w:t>%</w:t>
            </w:r>
          </w:p>
        </w:tc>
        <w:tc>
          <w:tcPr>
            <w:tcW w:w="1250" w:type="dxa"/>
          </w:tcPr>
          <w:p w14:paraId="5BC82C8F" w14:textId="439F464D" w:rsidR="00F6584A" w:rsidRPr="00C3645A" w:rsidRDefault="000B7C83" w:rsidP="00F6584A">
            <w:pPr>
              <w:pStyle w:val="PubliManuscript"/>
              <w:spacing w:line="240" w:lineRule="auto"/>
              <w:ind w:firstLine="0"/>
              <w:jc w:val="center"/>
              <w:rPr>
                <w:color w:val="auto"/>
              </w:rPr>
            </w:pPr>
            <w:r w:rsidRPr="00C3645A">
              <w:rPr>
                <w:color w:val="auto"/>
              </w:rPr>
              <w:t>41.05</w:t>
            </w:r>
            <w:r w:rsidR="00F6584A" w:rsidRPr="00C3645A">
              <w:rPr>
                <w:color w:val="auto"/>
              </w:rPr>
              <w:t>%</w:t>
            </w:r>
          </w:p>
        </w:tc>
        <w:tc>
          <w:tcPr>
            <w:tcW w:w="1264" w:type="dxa"/>
          </w:tcPr>
          <w:p w14:paraId="29624CB5" w14:textId="53D7941F" w:rsidR="00F6584A" w:rsidRPr="00C3645A" w:rsidRDefault="000B7C83" w:rsidP="00F6584A">
            <w:pPr>
              <w:pStyle w:val="PubliManuscript"/>
              <w:spacing w:line="240" w:lineRule="auto"/>
              <w:ind w:firstLine="0"/>
              <w:jc w:val="center"/>
              <w:rPr>
                <w:color w:val="auto"/>
              </w:rPr>
            </w:pPr>
            <w:r w:rsidRPr="00C3645A">
              <w:rPr>
                <w:color w:val="auto"/>
              </w:rPr>
              <w:t>77.19</w:t>
            </w:r>
            <w:r w:rsidR="00F6584A" w:rsidRPr="00C3645A">
              <w:rPr>
                <w:color w:val="auto"/>
              </w:rPr>
              <w:t>%</w:t>
            </w:r>
          </w:p>
        </w:tc>
      </w:tr>
      <w:tr w:rsidR="00C3645A" w:rsidRPr="00C3645A" w14:paraId="21B64AC1" w14:textId="77777777" w:rsidTr="006F55FD">
        <w:tc>
          <w:tcPr>
            <w:tcW w:w="1279" w:type="dxa"/>
            <w:shd w:val="clear" w:color="auto" w:fill="D0CECE" w:themeFill="background2" w:themeFillShade="E6"/>
          </w:tcPr>
          <w:p w14:paraId="28792177" w14:textId="604857A4" w:rsidR="00F6584A" w:rsidRPr="00C3645A" w:rsidRDefault="00F6584A" w:rsidP="00F6584A">
            <w:pPr>
              <w:pStyle w:val="PubliManuscript"/>
              <w:spacing w:line="240" w:lineRule="auto"/>
              <w:ind w:firstLine="0"/>
              <w:jc w:val="center"/>
              <w:rPr>
                <w:b/>
                <w:bCs/>
                <w:color w:val="auto"/>
              </w:rPr>
            </w:pPr>
            <w:r w:rsidRPr="00C3645A">
              <w:rPr>
                <w:b/>
                <w:bCs/>
                <w:color w:val="auto"/>
              </w:rPr>
              <w:t>G20</w:t>
            </w:r>
          </w:p>
        </w:tc>
        <w:tc>
          <w:tcPr>
            <w:tcW w:w="1378" w:type="dxa"/>
          </w:tcPr>
          <w:p w14:paraId="4A05A6AD" w14:textId="7B5C6D0D" w:rsidR="00F6584A" w:rsidRPr="00C3645A" w:rsidRDefault="00F6584A" w:rsidP="00F6584A">
            <w:pPr>
              <w:pStyle w:val="PubliManuscript"/>
              <w:spacing w:line="240" w:lineRule="auto"/>
              <w:ind w:firstLine="0"/>
              <w:jc w:val="center"/>
              <w:rPr>
                <w:color w:val="auto"/>
              </w:rPr>
            </w:pPr>
            <w:r w:rsidRPr="00C3645A">
              <w:rPr>
                <w:color w:val="auto"/>
              </w:rPr>
              <w:t>2</w:t>
            </w:r>
            <w:r w:rsidR="002462FF" w:rsidRPr="00C3645A">
              <w:rPr>
                <w:color w:val="auto"/>
              </w:rPr>
              <w:t>3.32</w:t>
            </w:r>
            <w:r w:rsidRPr="00C3645A">
              <w:rPr>
                <w:color w:val="auto"/>
              </w:rPr>
              <w:t>%</w:t>
            </w:r>
          </w:p>
        </w:tc>
        <w:tc>
          <w:tcPr>
            <w:tcW w:w="1249" w:type="dxa"/>
          </w:tcPr>
          <w:p w14:paraId="55D80985" w14:textId="7F8ECAAB" w:rsidR="00F6584A" w:rsidRPr="00C3645A" w:rsidRDefault="00F6584A" w:rsidP="00F6584A">
            <w:pPr>
              <w:pStyle w:val="PubliManuscript"/>
              <w:spacing w:line="240" w:lineRule="auto"/>
              <w:ind w:firstLine="0"/>
              <w:jc w:val="center"/>
              <w:rPr>
                <w:color w:val="auto"/>
              </w:rPr>
            </w:pPr>
            <w:r w:rsidRPr="00C3645A">
              <w:rPr>
                <w:color w:val="auto"/>
              </w:rPr>
              <w:t>2</w:t>
            </w:r>
            <w:r w:rsidR="002462FF" w:rsidRPr="00C3645A">
              <w:rPr>
                <w:color w:val="auto"/>
              </w:rPr>
              <w:t>3.32</w:t>
            </w:r>
            <w:r w:rsidRPr="00C3645A">
              <w:rPr>
                <w:color w:val="auto"/>
              </w:rPr>
              <w:t>%</w:t>
            </w:r>
          </w:p>
        </w:tc>
        <w:tc>
          <w:tcPr>
            <w:tcW w:w="1264" w:type="dxa"/>
          </w:tcPr>
          <w:p w14:paraId="5BF228E1" w14:textId="5C2CD2BA" w:rsidR="00F6584A" w:rsidRPr="00C3645A" w:rsidRDefault="002462FF" w:rsidP="00F6584A">
            <w:pPr>
              <w:pStyle w:val="PubliManuscript"/>
              <w:spacing w:line="240" w:lineRule="auto"/>
              <w:ind w:firstLine="0"/>
              <w:jc w:val="center"/>
              <w:rPr>
                <w:color w:val="auto"/>
              </w:rPr>
            </w:pPr>
            <w:r w:rsidRPr="00C3645A">
              <w:rPr>
                <w:color w:val="auto"/>
              </w:rPr>
              <w:t>29.17</w:t>
            </w:r>
            <w:r w:rsidR="00F6584A" w:rsidRPr="00C3645A">
              <w:rPr>
                <w:color w:val="auto"/>
              </w:rPr>
              <w:t>%</w:t>
            </w:r>
          </w:p>
        </w:tc>
        <w:tc>
          <w:tcPr>
            <w:tcW w:w="1378" w:type="dxa"/>
          </w:tcPr>
          <w:p w14:paraId="7417195A" w14:textId="5188DDD3" w:rsidR="00F6584A" w:rsidRPr="00C3645A" w:rsidRDefault="002462FF" w:rsidP="00F6584A">
            <w:pPr>
              <w:pStyle w:val="PubliManuscript"/>
              <w:spacing w:line="240" w:lineRule="auto"/>
              <w:ind w:firstLine="0"/>
              <w:jc w:val="center"/>
              <w:rPr>
                <w:color w:val="auto"/>
              </w:rPr>
            </w:pPr>
            <w:r w:rsidRPr="00C3645A">
              <w:rPr>
                <w:color w:val="auto"/>
              </w:rPr>
              <w:t>40.67</w:t>
            </w:r>
            <w:r w:rsidR="00F6584A" w:rsidRPr="00C3645A">
              <w:rPr>
                <w:color w:val="auto"/>
              </w:rPr>
              <w:t>%</w:t>
            </w:r>
          </w:p>
        </w:tc>
        <w:tc>
          <w:tcPr>
            <w:tcW w:w="1250" w:type="dxa"/>
          </w:tcPr>
          <w:p w14:paraId="353474D4" w14:textId="27BF1773" w:rsidR="00F6584A" w:rsidRPr="00C3645A" w:rsidRDefault="002462FF" w:rsidP="00F6584A">
            <w:pPr>
              <w:pStyle w:val="PubliManuscript"/>
              <w:spacing w:line="240" w:lineRule="auto"/>
              <w:ind w:firstLine="0"/>
              <w:jc w:val="center"/>
              <w:rPr>
                <w:color w:val="auto"/>
              </w:rPr>
            </w:pPr>
            <w:r w:rsidRPr="00C3645A">
              <w:rPr>
                <w:color w:val="auto"/>
              </w:rPr>
              <w:t>40.67</w:t>
            </w:r>
            <w:r w:rsidR="00F6584A" w:rsidRPr="00C3645A">
              <w:rPr>
                <w:color w:val="auto"/>
              </w:rPr>
              <w:t>%</w:t>
            </w:r>
          </w:p>
        </w:tc>
        <w:tc>
          <w:tcPr>
            <w:tcW w:w="1264" w:type="dxa"/>
          </w:tcPr>
          <w:p w14:paraId="3872A87B" w14:textId="5E60FEA0" w:rsidR="00F6584A" w:rsidRPr="00C3645A" w:rsidRDefault="002462FF" w:rsidP="00F6584A">
            <w:pPr>
              <w:pStyle w:val="PubliManuscript"/>
              <w:spacing w:line="240" w:lineRule="auto"/>
              <w:ind w:firstLine="0"/>
              <w:jc w:val="center"/>
              <w:rPr>
                <w:color w:val="auto"/>
              </w:rPr>
            </w:pPr>
            <w:r w:rsidRPr="00C3645A">
              <w:rPr>
                <w:color w:val="auto"/>
              </w:rPr>
              <w:t>76.33</w:t>
            </w:r>
            <w:r w:rsidR="00F6584A" w:rsidRPr="00C3645A">
              <w:rPr>
                <w:color w:val="auto"/>
              </w:rPr>
              <w:t>%</w:t>
            </w:r>
          </w:p>
        </w:tc>
      </w:tr>
      <w:tr w:rsidR="00C3645A" w:rsidRPr="00C3645A" w14:paraId="60ED1181" w14:textId="77777777" w:rsidTr="006F55FD">
        <w:tc>
          <w:tcPr>
            <w:tcW w:w="1279" w:type="dxa"/>
            <w:shd w:val="clear" w:color="auto" w:fill="D0CECE" w:themeFill="background2" w:themeFillShade="E6"/>
          </w:tcPr>
          <w:p w14:paraId="695EA04F" w14:textId="11D921C9" w:rsidR="00F6584A" w:rsidRPr="00C3645A" w:rsidRDefault="00F6584A" w:rsidP="00F6584A">
            <w:pPr>
              <w:pStyle w:val="PubliManuscript"/>
              <w:spacing w:line="240" w:lineRule="auto"/>
              <w:ind w:firstLine="0"/>
              <w:jc w:val="center"/>
              <w:rPr>
                <w:b/>
                <w:bCs/>
                <w:color w:val="auto"/>
              </w:rPr>
            </w:pPr>
            <w:r w:rsidRPr="00C3645A">
              <w:rPr>
                <w:b/>
                <w:bCs/>
                <w:color w:val="auto"/>
              </w:rPr>
              <w:t>G30</w:t>
            </w:r>
          </w:p>
        </w:tc>
        <w:tc>
          <w:tcPr>
            <w:tcW w:w="1378" w:type="dxa"/>
          </w:tcPr>
          <w:p w14:paraId="6E38DA80" w14:textId="551CD9C5" w:rsidR="00F6584A" w:rsidRPr="00C3645A" w:rsidRDefault="00F6584A" w:rsidP="00F6584A">
            <w:pPr>
              <w:pStyle w:val="PubliManuscript"/>
              <w:spacing w:line="240" w:lineRule="auto"/>
              <w:ind w:firstLine="0"/>
              <w:jc w:val="center"/>
              <w:rPr>
                <w:color w:val="auto"/>
              </w:rPr>
            </w:pPr>
            <w:r w:rsidRPr="00C3645A">
              <w:rPr>
                <w:color w:val="auto"/>
              </w:rPr>
              <w:t>24.</w:t>
            </w:r>
            <w:r w:rsidR="002462FF" w:rsidRPr="00C3645A">
              <w:rPr>
                <w:color w:val="auto"/>
              </w:rPr>
              <w:t>14</w:t>
            </w:r>
            <w:r w:rsidRPr="00C3645A">
              <w:rPr>
                <w:color w:val="auto"/>
              </w:rPr>
              <w:t>%</w:t>
            </w:r>
          </w:p>
        </w:tc>
        <w:tc>
          <w:tcPr>
            <w:tcW w:w="1249" w:type="dxa"/>
          </w:tcPr>
          <w:p w14:paraId="16235E9B" w14:textId="42F4008C" w:rsidR="00F6584A" w:rsidRPr="00C3645A" w:rsidRDefault="00F6584A" w:rsidP="00F6584A">
            <w:pPr>
              <w:pStyle w:val="PubliManuscript"/>
              <w:spacing w:line="240" w:lineRule="auto"/>
              <w:ind w:firstLine="0"/>
              <w:jc w:val="center"/>
              <w:rPr>
                <w:color w:val="auto"/>
              </w:rPr>
            </w:pPr>
            <w:r w:rsidRPr="00C3645A">
              <w:rPr>
                <w:color w:val="auto"/>
              </w:rPr>
              <w:t>24.</w:t>
            </w:r>
            <w:r w:rsidR="002462FF" w:rsidRPr="00C3645A">
              <w:rPr>
                <w:color w:val="auto"/>
              </w:rPr>
              <w:t>14</w:t>
            </w:r>
            <w:r w:rsidRPr="00C3645A">
              <w:rPr>
                <w:color w:val="auto"/>
              </w:rPr>
              <w:t>%</w:t>
            </w:r>
          </w:p>
        </w:tc>
        <w:tc>
          <w:tcPr>
            <w:tcW w:w="1264" w:type="dxa"/>
          </w:tcPr>
          <w:p w14:paraId="65F12EC2" w14:textId="284DC196" w:rsidR="00F6584A" w:rsidRPr="00C3645A" w:rsidRDefault="002462FF" w:rsidP="00F6584A">
            <w:pPr>
              <w:pStyle w:val="PubliManuscript"/>
              <w:spacing w:line="240" w:lineRule="auto"/>
              <w:ind w:firstLine="0"/>
              <w:jc w:val="center"/>
              <w:rPr>
                <w:color w:val="auto"/>
              </w:rPr>
            </w:pPr>
            <w:r w:rsidRPr="00C3645A">
              <w:rPr>
                <w:color w:val="auto"/>
              </w:rPr>
              <w:t>32.06</w:t>
            </w:r>
            <w:r w:rsidR="00F6584A" w:rsidRPr="00C3645A">
              <w:rPr>
                <w:color w:val="auto"/>
              </w:rPr>
              <w:t>%</w:t>
            </w:r>
          </w:p>
        </w:tc>
        <w:tc>
          <w:tcPr>
            <w:tcW w:w="1378" w:type="dxa"/>
          </w:tcPr>
          <w:p w14:paraId="709BA922" w14:textId="7EFB32D2" w:rsidR="00F6584A" w:rsidRPr="00C3645A" w:rsidRDefault="002462FF" w:rsidP="00F6584A">
            <w:pPr>
              <w:pStyle w:val="PubliManuscript"/>
              <w:spacing w:line="240" w:lineRule="auto"/>
              <w:ind w:firstLine="0"/>
              <w:jc w:val="center"/>
              <w:rPr>
                <w:color w:val="auto"/>
              </w:rPr>
            </w:pPr>
            <w:r w:rsidRPr="00C3645A">
              <w:rPr>
                <w:color w:val="auto"/>
              </w:rPr>
              <w:t>40.98</w:t>
            </w:r>
            <w:r w:rsidR="00F6584A" w:rsidRPr="00C3645A">
              <w:rPr>
                <w:color w:val="auto"/>
              </w:rPr>
              <w:t>%</w:t>
            </w:r>
          </w:p>
        </w:tc>
        <w:tc>
          <w:tcPr>
            <w:tcW w:w="1250" w:type="dxa"/>
          </w:tcPr>
          <w:p w14:paraId="1EB46355" w14:textId="5EF841ED" w:rsidR="00F6584A" w:rsidRPr="00C3645A" w:rsidRDefault="002462FF" w:rsidP="00F6584A">
            <w:pPr>
              <w:pStyle w:val="PubliManuscript"/>
              <w:spacing w:line="240" w:lineRule="auto"/>
              <w:ind w:firstLine="0"/>
              <w:jc w:val="center"/>
              <w:rPr>
                <w:color w:val="auto"/>
              </w:rPr>
            </w:pPr>
            <w:r w:rsidRPr="00C3645A">
              <w:rPr>
                <w:color w:val="auto"/>
              </w:rPr>
              <w:t>40.98</w:t>
            </w:r>
            <w:r w:rsidR="00F6584A" w:rsidRPr="00C3645A">
              <w:rPr>
                <w:color w:val="auto"/>
              </w:rPr>
              <w:t>%</w:t>
            </w:r>
          </w:p>
        </w:tc>
        <w:tc>
          <w:tcPr>
            <w:tcW w:w="1264" w:type="dxa"/>
          </w:tcPr>
          <w:p w14:paraId="09536F9A" w14:textId="14078BDF" w:rsidR="00F6584A" w:rsidRPr="00C3645A" w:rsidRDefault="002462FF" w:rsidP="00F6584A">
            <w:pPr>
              <w:pStyle w:val="PubliManuscript"/>
              <w:spacing w:line="240" w:lineRule="auto"/>
              <w:ind w:firstLine="0"/>
              <w:jc w:val="center"/>
              <w:rPr>
                <w:color w:val="auto"/>
              </w:rPr>
            </w:pPr>
            <w:r w:rsidRPr="00C3645A">
              <w:rPr>
                <w:color w:val="auto"/>
              </w:rPr>
              <w:t>77</w:t>
            </w:r>
            <w:r w:rsidR="00F6584A" w:rsidRPr="00C3645A">
              <w:rPr>
                <w:color w:val="auto"/>
              </w:rPr>
              <w:t>%</w:t>
            </w:r>
          </w:p>
        </w:tc>
      </w:tr>
      <w:tr w:rsidR="00C3645A" w:rsidRPr="00C3645A" w14:paraId="02A51D90" w14:textId="77777777" w:rsidTr="006F55FD">
        <w:tc>
          <w:tcPr>
            <w:tcW w:w="1279" w:type="dxa"/>
            <w:shd w:val="clear" w:color="auto" w:fill="D0CECE" w:themeFill="background2" w:themeFillShade="E6"/>
          </w:tcPr>
          <w:p w14:paraId="01C5624D" w14:textId="6D2BA1C2" w:rsidR="00F6584A" w:rsidRPr="00C3645A" w:rsidRDefault="00F6584A" w:rsidP="00F6584A">
            <w:pPr>
              <w:pStyle w:val="PubliManuscript"/>
              <w:spacing w:line="240" w:lineRule="auto"/>
              <w:ind w:firstLine="0"/>
              <w:jc w:val="center"/>
              <w:rPr>
                <w:b/>
                <w:bCs/>
                <w:color w:val="auto"/>
              </w:rPr>
            </w:pPr>
            <w:r w:rsidRPr="00C3645A">
              <w:rPr>
                <w:b/>
                <w:bCs/>
                <w:color w:val="auto"/>
              </w:rPr>
              <w:t>G40</w:t>
            </w:r>
          </w:p>
        </w:tc>
        <w:tc>
          <w:tcPr>
            <w:tcW w:w="1378" w:type="dxa"/>
          </w:tcPr>
          <w:p w14:paraId="0C58CEAF" w14:textId="58A290EE" w:rsidR="00F6584A" w:rsidRPr="00C3645A" w:rsidRDefault="00F6584A" w:rsidP="00F6584A">
            <w:pPr>
              <w:pStyle w:val="PubliManuscript"/>
              <w:spacing w:line="240" w:lineRule="auto"/>
              <w:ind w:firstLine="0"/>
              <w:jc w:val="center"/>
              <w:rPr>
                <w:color w:val="auto"/>
              </w:rPr>
            </w:pPr>
            <w:r w:rsidRPr="00C3645A">
              <w:rPr>
                <w:color w:val="auto"/>
              </w:rPr>
              <w:t>2</w:t>
            </w:r>
            <w:r w:rsidR="002462FF" w:rsidRPr="00C3645A">
              <w:rPr>
                <w:color w:val="auto"/>
              </w:rPr>
              <w:t>3.1</w:t>
            </w:r>
            <w:r w:rsidRPr="00C3645A">
              <w:rPr>
                <w:color w:val="auto"/>
              </w:rPr>
              <w:t>%</w:t>
            </w:r>
          </w:p>
        </w:tc>
        <w:tc>
          <w:tcPr>
            <w:tcW w:w="1249" w:type="dxa"/>
          </w:tcPr>
          <w:p w14:paraId="45FDD795" w14:textId="59EE70BE" w:rsidR="00F6584A" w:rsidRPr="00C3645A" w:rsidRDefault="00F6584A" w:rsidP="00F6584A">
            <w:pPr>
              <w:pStyle w:val="PubliManuscript"/>
              <w:spacing w:line="240" w:lineRule="auto"/>
              <w:ind w:firstLine="0"/>
              <w:jc w:val="center"/>
              <w:rPr>
                <w:color w:val="auto"/>
              </w:rPr>
            </w:pPr>
            <w:r w:rsidRPr="00C3645A">
              <w:rPr>
                <w:color w:val="auto"/>
              </w:rPr>
              <w:t>2</w:t>
            </w:r>
            <w:r w:rsidR="002462FF" w:rsidRPr="00C3645A">
              <w:rPr>
                <w:color w:val="auto"/>
              </w:rPr>
              <w:t>3.1</w:t>
            </w:r>
            <w:r w:rsidRPr="00C3645A">
              <w:rPr>
                <w:color w:val="auto"/>
              </w:rPr>
              <w:t>%</w:t>
            </w:r>
          </w:p>
        </w:tc>
        <w:tc>
          <w:tcPr>
            <w:tcW w:w="1264" w:type="dxa"/>
          </w:tcPr>
          <w:p w14:paraId="36444EF4" w14:textId="4D142E26" w:rsidR="00F6584A" w:rsidRPr="00C3645A" w:rsidRDefault="002462FF" w:rsidP="00F6584A">
            <w:pPr>
              <w:pStyle w:val="PubliManuscript"/>
              <w:spacing w:line="240" w:lineRule="auto"/>
              <w:ind w:firstLine="0"/>
              <w:jc w:val="center"/>
              <w:rPr>
                <w:color w:val="auto"/>
              </w:rPr>
            </w:pPr>
            <w:r w:rsidRPr="00C3645A">
              <w:rPr>
                <w:color w:val="auto"/>
              </w:rPr>
              <w:t>38.49</w:t>
            </w:r>
            <w:r w:rsidR="00F6584A" w:rsidRPr="00C3645A">
              <w:rPr>
                <w:color w:val="auto"/>
              </w:rPr>
              <w:t>%</w:t>
            </w:r>
          </w:p>
        </w:tc>
        <w:tc>
          <w:tcPr>
            <w:tcW w:w="1378" w:type="dxa"/>
          </w:tcPr>
          <w:p w14:paraId="7595BD68" w14:textId="4C29F153" w:rsidR="00F6584A" w:rsidRPr="00C3645A" w:rsidRDefault="002462FF" w:rsidP="00F6584A">
            <w:pPr>
              <w:pStyle w:val="PubliManuscript"/>
              <w:spacing w:line="240" w:lineRule="auto"/>
              <w:ind w:firstLine="0"/>
              <w:jc w:val="center"/>
              <w:rPr>
                <w:color w:val="auto"/>
              </w:rPr>
            </w:pPr>
            <w:r w:rsidRPr="00C3645A">
              <w:rPr>
                <w:color w:val="auto"/>
              </w:rPr>
              <w:t>40.21</w:t>
            </w:r>
            <w:r w:rsidR="00F6584A" w:rsidRPr="00C3645A">
              <w:rPr>
                <w:color w:val="auto"/>
              </w:rPr>
              <w:t>%</w:t>
            </w:r>
          </w:p>
        </w:tc>
        <w:tc>
          <w:tcPr>
            <w:tcW w:w="1250" w:type="dxa"/>
          </w:tcPr>
          <w:p w14:paraId="0C9025A9" w14:textId="1D04C512" w:rsidR="00F6584A" w:rsidRPr="00C3645A" w:rsidRDefault="002462FF" w:rsidP="00F6584A">
            <w:pPr>
              <w:pStyle w:val="PubliManuscript"/>
              <w:spacing w:line="240" w:lineRule="auto"/>
              <w:ind w:firstLine="0"/>
              <w:jc w:val="center"/>
              <w:rPr>
                <w:color w:val="auto"/>
              </w:rPr>
            </w:pPr>
            <w:r w:rsidRPr="00C3645A">
              <w:rPr>
                <w:color w:val="auto"/>
              </w:rPr>
              <w:t>40.21</w:t>
            </w:r>
            <w:r w:rsidR="00F6584A" w:rsidRPr="00C3645A">
              <w:rPr>
                <w:color w:val="auto"/>
              </w:rPr>
              <w:t>%</w:t>
            </w:r>
          </w:p>
        </w:tc>
        <w:tc>
          <w:tcPr>
            <w:tcW w:w="1264" w:type="dxa"/>
          </w:tcPr>
          <w:p w14:paraId="11018702" w14:textId="50AC1FA4" w:rsidR="00F6584A" w:rsidRPr="00C3645A" w:rsidRDefault="002462FF" w:rsidP="00F6584A">
            <w:pPr>
              <w:pStyle w:val="PubliManuscript"/>
              <w:spacing w:line="240" w:lineRule="auto"/>
              <w:ind w:firstLine="0"/>
              <w:jc w:val="center"/>
              <w:rPr>
                <w:color w:val="auto"/>
              </w:rPr>
            </w:pPr>
            <w:r w:rsidRPr="00C3645A">
              <w:rPr>
                <w:color w:val="auto"/>
              </w:rPr>
              <w:t>75.24</w:t>
            </w:r>
            <w:r w:rsidR="00F6584A" w:rsidRPr="00C3645A">
              <w:rPr>
                <w:color w:val="auto"/>
              </w:rPr>
              <w:t>%</w:t>
            </w:r>
          </w:p>
        </w:tc>
      </w:tr>
    </w:tbl>
    <w:p w14:paraId="797D86C7" w14:textId="20C76D11" w:rsidR="00A72B9C" w:rsidRPr="00C3645A" w:rsidRDefault="00174724" w:rsidP="00546D81">
      <w:pPr>
        <w:pStyle w:val="PubliManuscript"/>
        <w:spacing w:line="240" w:lineRule="auto"/>
        <w:ind w:firstLine="0"/>
        <w:rPr>
          <w:b/>
          <w:bCs/>
          <w:color w:val="auto"/>
        </w:rPr>
      </w:pPr>
      <w:r w:rsidRPr="00C3645A">
        <w:rPr>
          <w:b/>
          <w:bCs/>
          <w:color w:val="auto"/>
        </w:rPr>
        <w:t>Table A</w:t>
      </w:r>
      <w:r w:rsidR="00AC13C6" w:rsidRPr="00C3645A">
        <w:rPr>
          <w:b/>
          <w:bCs/>
          <w:color w:val="auto"/>
        </w:rPr>
        <w:t>5</w:t>
      </w:r>
      <w:r w:rsidRPr="00C3645A">
        <w:rPr>
          <w:b/>
          <w:bCs/>
          <w:color w:val="auto"/>
        </w:rPr>
        <w:t xml:space="preserve">. </w:t>
      </w:r>
      <w:r w:rsidR="00003D7F" w:rsidRPr="00C3645A">
        <w:rPr>
          <w:b/>
          <w:bCs/>
          <w:color w:val="auto"/>
        </w:rPr>
        <w:t>Productivity increase for the period 2041-2058 (RCP8.5) compared to the historical period 2001-2018</w:t>
      </w:r>
      <w:r w:rsidR="00915220" w:rsidRPr="00C3645A">
        <w:rPr>
          <w:b/>
          <w:bCs/>
          <w:color w:val="auto"/>
        </w:rPr>
        <w:t>. The increase is computed from the productivity expressed in gross productivity [T ha</w:t>
      </w:r>
      <w:r w:rsidR="00915220" w:rsidRPr="00C3645A">
        <w:rPr>
          <w:b/>
          <w:bCs/>
          <w:color w:val="auto"/>
          <w:vertAlign w:val="superscript"/>
        </w:rPr>
        <w:t>-1</w:t>
      </w:r>
      <w:r w:rsidR="00915220" w:rsidRPr="00C3645A">
        <w:rPr>
          <w:b/>
          <w:bCs/>
          <w:color w:val="auto"/>
        </w:rPr>
        <w:t>], nutritive value [</w:t>
      </w:r>
      <w:proofErr w:type="spellStart"/>
      <w:r w:rsidR="00915220" w:rsidRPr="00C3645A">
        <w:rPr>
          <w:b/>
          <w:bCs/>
          <w:color w:val="auto"/>
        </w:rPr>
        <w:t>Mcal</w:t>
      </w:r>
      <w:proofErr w:type="spellEnd"/>
      <w:r w:rsidR="00915220" w:rsidRPr="00C3645A">
        <w:rPr>
          <w:b/>
          <w:bCs/>
          <w:color w:val="auto"/>
        </w:rPr>
        <w:t xml:space="preserve"> ha</w:t>
      </w:r>
      <w:r w:rsidR="00915220" w:rsidRPr="00C3645A">
        <w:rPr>
          <w:b/>
          <w:bCs/>
          <w:color w:val="auto"/>
          <w:vertAlign w:val="superscript"/>
        </w:rPr>
        <w:t>-1</w:t>
      </w:r>
      <w:r w:rsidR="00915220" w:rsidRPr="00C3645A">
        <w:rPr>
          <w:b/>
          <w:bCs/>
          <w:color w:val="auto"/>
        </w:rPr>
        <w:t>] and economic value [USD ha</w:t>
      </w:r>
      <w:r w:rsidR="00915220" w:rsidRPr="00C3645A">
        <w:rPr>
          <w:b/>
          <w:bCs/>
          <w:color w:val="auto"/>
          <w:vertAlign w:val="superscript"/>
        </w:rPr>
        <w:t>-1</w:t>
      </w:r>
      <w:r w:rsidR="00915220" w:rsidRPr="00C3645A">
        <w:rPr>
          <w:b/>
          <w:bCs/>
          <w:color w:val="auto"/>
        </w:rPr>
        <w:t>].</w:t>
      </w:r>
      <w:r w:rsidR="005D49AD" w:rsidRPr="00C3645A">
        <w:rPr>
          <w:b/>
          <w:bCs/>
          <w:color w:val="auto"/>
        </w:rPr>
        <w:t xml:space="preserve"> G10, G20, G30 and G40 refer to the grazing intensity treatment, and UG designates the ungrazed treatment.</w:t>
      </w:r>
    </w:p>
    <w:p w14:paraId="68B13CC9" w14:textId="77777777" w:rsidR="0064390B" w:rsidRPr="00C3645A" w:rsidRDefault="0064390B" w:rsidP="0064390B">
      <w:pPr>
        <w:pStyle w:val="PubliManuscript"/>
        <w:jc w:val="center"/>
        <w:rPr>
          <w:color w:val="auto"/>
        </w:rPr>
      </w:pPr>
      <w:r w:rsidRPr="00C3645A">
        <w:rPr>
          <w:noProof/>
          <w:color w:val="auto"/>
        </w:rPr>
        <w:lastRenderedPageBreak/>
        <w:drawing>
          <wp:inline distT="0" distB="0" distL="0" distR="0" wp14:anchorId="2C6CADD1" wp14:editId="60550044">
            <wp:extent cx="4943242" cy="3495648"/>
            <wp:effectExtent l="0" t="0" r="0" b="0"/>
            <wp:docPr id="348862299" name="Image 1" descr="Une image contenant capture d’écran, text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62299" name="Image 1" descr="Une image contenant capture d’écran, texte, Tracé, diagramme&#10;&#10;Description générée automatiquement"/>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943242" cy="3495648"/>
                    </a:xfrm>
                    <a:prstGeom prst="rect">
                      <a:avLst/>
                    </a:prstGeom>
                    <a:noFill/>
                    <a:ln>
                      <a:noFill/>
                    </a:ln>
                  </pic:spPr>
                </pic:pic>
              </a:graphicData>
            </a:graphic>
          </wp:inline>
        </w:drawing>
      </w:r>
    </w:p>
    <w:p w14:paraId="47CDDBF4" w14:textId="1FC93C6A" w:rsidR="0064390B" w:rsidRPr="00C3645A" w:rsidRDefault="0064390B" w:rsidP="005D49AD">
      <w:pPr>
        <w:pStyle w:val="PubliManuscript"/>
        <w:spacing w:line="240" w:lineRule="auto"/>
        <w:ind w:firstLine="0"/>
        <w:rPr>
          <w:b/>
          <w:bCs/>
          <w:color w:val="auto"/>
        </w:rPr>
      </w:pPr>
      <w:r w:rsidRPr="00C3645A">
        <w:rPr>
          <w:b/>
          <w:bCs/>
          <w:color w:val="auto"/>
        </w:rPr>
        <w:t>Figure A6. Soil organic carbon evolution for the soil horizon 0-30 cm.</w:t>
      </w:r>
      <w:r w:rsidR="005D49AD" w:rsidRPr="00C3645A">
        <w:rPr>
          <w:b/>
          <w:bCs/>
          <w:color w:val="auto"/>
        </w:rPr>
        <w:t xml:space="preserve"> G10, G20, G30 and G40 refer to the grazing intensity treatment, and UG designates the ungrazed treatment.</w:t>
      </w:r>
    </w:p>
    <w:p w14:paraId="2960F10A" w14:textId="77777777" w:rsidR="00B9504B" w:rsidRPr="00C3645A" w:rsidRDefault="00B9504B" w:rsidP="00B9504B">
      <w:pPr>
        <w:pStyle w:val="PubliManuscript"/>
        <w:spacing w:line="240" w:lineRule="auto"/>
        <w:ind w:firstLine="0"/>
        <w:jc w:val="center"/>
        <w:rPr>
          <w:b/>
          <w:bCs/>
          <w:color w:val="auto"/>
        </w:rPr>
      </w:pPr>
      <w:r w:rsidRPr="00C3645A">
        <w:rPr>
          <w:noProof/>
          <w:color w:val="auto"/>
        </w:rPr>
        <w:drawing>
          <wp:inline distT="0" distB="0" distL="0" distR="0" wp14:anchorId="6D67AF35" wp14:editId="3827777C">
            <wp:extent cx="5760719" cy="4073733"/>
            <wp:effectExtent l="0" t="0" r="0" b="0"/>
            <wp:docPr id="1042586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86011" name="Image 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60719" cy="4073733"/>
                    </a:xfrm>
                    <a:prstGeom prst="rect">
                      <a:avLst/>
                    </a:prstGeom>
                  </pic:spPr>
                </pic:pic>
              </a:graphicData>
            </a:graphic>
          </wp:inline>
        </w:drawing>
      </w:r>
    </w:p>
    <w:p w14:paraId="5ACAA1B0" w14:textId="1606160A" w:rsidR="00720BFD" w:rsidRPr="00C3645A" w:rsidRDefault="00B9504B" w:rsidP="00720BFD">
      <w:pPr>
        <w:pStyle w:val="PubliManuscript"/>
        <w:spacing w:line="240" w:lineRule="auto"/>
        <w:ind w:firstLine="0"/>
        <w:rPr>
          <w:b/>
          <w:bCs/>
          <w:color w:val="auto"/>
        </w:rPr>
      </w:pPr>
      <w:r w:rsidRPr="00C3645A">
        <w:rPr>
          <w:b/>
          <w:bCs/>
          <w:color w:val="auto"/>
        </w:rPr>
        <w:t>Figure A7. Productivity distribution for the two periods of time, for a) pasture biomass and b) soybean grain yield.</w:t>
      </w:r>
      <w:r w:rsidR="005D49AD" w:rsidRPr="00C3645A">
        <w:rPr>
          <w:b/>
          <w:bCs/>
          <w:color w:val="auto"/>
        </w:rPr>
        <w:t xml:space="preserve"> G10, G20, G30 and G40 refer to the grazing intensity treatment, and UG designates the ungrazed treatment.</w:t>
      </w:r>
      <w:r w:rsidR="00720BFD" w:rsidRPr="00C3645A">
        <w:rPr>
          <w:b/>
          <w:bCs/>
          <w:color w:val="auto"/>
        </w:rPr>
        <w:br w:type="page"/>
      </w:r>
    </w:p>
    <w:p w14:paraId="00243DAF" w14:textId="77777777" w:rsidR="00720BFD" w:rsidRPr="00C3645A" w:rsidRDefault="00720BFD" w:rsidP="00546D81">
      <w:pPr>
        <w:pStyle w:val="PubliManuscript"/>
        <w:spacing w:line="240" w:lineRule="auto"/>
        <w:ind w:firstLine="0"/>
        <w:rPr>
          <w:b/>
          <w:bCs/>
          <w:color w:val="auto"/>
        </w:rPr>
      </w:pPr>
    </w:p>
    <w:p w14:paraId="76B48DDC" w14:textId="6BA6ED03" w:rsidR="005771FE" w:rsidRPr="00C3645A" w:rsidRDefault="005771FE" w:rsidP="005771FE">
      <w:pPr>
        <w:jc w:val="center"/>
        <w:rPr>
          <w:b/>
          <w:bCs/>
          <w:color w:val="auto"/>
        </w:rPr>
      </w:pPr>
      <w:r w:rsidRPr="00C3645A">
        <w:rPr>
          <w:b/>
          <w:bCs/>
          <w:noProof/>
          <w:color w:val="auto"/>
        </w:rPr>
        <w:drawing>
          <wp:inline distT="0" distB="0" distL="0" distR="0" wp14:anchorId="7DDF883E" wp14:editId="368FBABB">
            <wp:extent cx="5760719" cy="4073733"/>
            <wp:effectExtent l="0" t="0" r="0" b="0"/>
            <wp:docPr id="15495984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8405" name="Image 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60719" cy="4073733"/>
                    </a:xfrm>
                    <a:prstGeom prst="rect">
                      <a:avLst/>
                    </a:prstGeom>
                  </pic:spPr>
                </pic:pic>
              </a:graphicData>
            </a:graphic>
          </wp:inline>
        </w:drawing>
      </w:r>
    </w:p>
    <w:p w14:paraId="544E9595" w14:textId="27E448E5" w:rsidR="00792F33" w:rsidRPr="00C3645A" w:rsidRDefault="00EB7000" w:rsidP="00C77842">
      <w:pPr>
        <w:jc w:val="both"/>
        <w:rPr>
          <w:b/>
          <w:bCs/>
          <w:color w:val="auto"/>
        </w:rPr>
      </w:pPr>
      <w:r w:rsidRPr="00C3645A">
        <w:rPr>
          <w:b/>
          <w:bCs/>
          <w:color w:val="auto"/>
        </w:rPr>
        <w:t>Figure A</w:t>
      </w:r>
      <w:r w:rsidR="003E7921" w:rsidRPr="00C3645A">
        <w:rPr>
          <w:b/>
          <w:bCs/>
          <w:color w:val="auto"/>
        </w:rPr>
        <w:t>8</w:t>
      </w:r>
      <w:r w:rsidRPr="00C3645A">
        <w:rPr>
          <w:b/>
          <w:bCs/>
          <w:color w:val="auto"/>
        </w:rPr>
        <w:t xml:space="preserve">. </w:t>
      </w:r>
      <w:r w:rsidR="004B5020" w:rsidRPr="00C3645A">
        <w:rPr>
          <w:b/>
          <w:bCs/>
          <w:color w:val="auto"/>
        </w:rPr>
        <w:t>Productivity stability concerning a) soybean grain yield, b) total herbage production and c) live weight gain.</w:t>
      </w:r>
      <w:r w:rsidR="005D49AD" w:rsidRPr="00C3645A">
        <w:rPr>
          <w:b/>
          <w:bCs/>
          <w:color w:val="auto"/>
        </w:rPr>
        <w:t xml:space="preserve"> </w:t>
      </w:r>
      <w:r w:rsidR="005D49AD" w:rsidRPr="00C3645A">
        <w:rPr>
          <w:rFonts w:ascii="Times New Roman" w:hAnsi="Times New Roman"/>
          <w:b/>
          <w:bCs/>
          <w:color w:val="auto"/>
        </w:rPr>
        <w:t>G10, G20, G30 and G40 refer to the grazing intensity treatment, and UG designates the ungrazed treatment</w:t>
      </w:r>
      <w:r w:rsidR="005D49AD" w:rsidRPr="00C3645A">
        <w:rPr>
          <w:b/>
          <w:bCs/>
          <w:noProof/>
          <w:color w:val="auto"/>
        </w:rPr>
        <w:t>.</w:t>
      </w:r>
      <w:r w:rsidR="00792F33" w:rsidRPr="00C3645A">
        <w:rPr>
          <w:b/>
          <w:bCs/>
          <w:noProof/>
          <w:color w:val="auto"/>
        </w:rPr>
        <w:br w:type="page"/>
      </w:r>
    </w:p>
    <w:p w14:paraId="7C2D49FD" w14:textId="53A0A108" w:rsidR="000F282D" w:rsidRPr="00C3645A" w:rsidRDefault="000F282D" w:rsidP="00AD6896">
      <w:pPr>
        <w:rPr>
          <w:b/>
          <w:bCs/>
          <w:color w:val="auto"/>
        </w:rPr>
      </w:pPr>
      <w:r w:rsidRPr="00C3645A">
        <w:rPr>
          <w:b/>
          <w:bCs/>
          <w:noProof/>
          <w:color w:val="auto"/>
        </w:rPr>
        <w:lastRenderedPageBreak/>
        <w:drawing>
          <wp:inline distT="0" distB="0" distL="0" distR="0" wp14:anchorId="477638E5" wp14:editId="69155F5C">
            <wp:extent cx="5760716" cy="4073732"/>
            <wp:effectExtent l="0" t="0" r="0" b="0"/>
            <wp:docPr id="1273149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49307" name="Image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60716" cy="4073732"/>
                    </a:xfrm>
                    <a:prstGeom prst="rect">
                      <a:avLst/>
                    </a:prstGeom>
                  </pic:spPr>
                </pic:pic>
              </a:graphicData>
            </a:graphic>
          </wp:inline>
        </w:drawing>
      </w:r>
    </w:p>
    <w:p w14:paraId="58FCF5CD" w14:textId="3E7476D8" w:rsidR="000D1EC2" w:rsidRPr="00C3645A" w:rsidRDefault="000F282D" w:rsidP="00EB5F8A">
      <w:pPr>
        <w:rPr>
          <w:b/>
          <w:bCs/>
          <w:color w:val="auto"/>
        </w:rPr>
      </w:pPr>
      <w:r w:rsidRPr="00C3645A">
        <w:rPr>
          <w:b/>
          <w:bCs/>
          <w:color w:val="auto"/>
        </w:rPr>
        <w:t>Figure A</w:t>
      </w:r>
      <w:r w:rsidR="003D24ED" w:rsidRPr="00C3645A">
        <w:rPr>
          <w:b/>
          <w:bCs/>
          <w:color w:val="auto"/>
        </w:rPr>
        <w:t>9</w:t>
      </w:r>
      <w:r w:rsidRPr="00C3645A">
        <w:rPr>
          <w:b/>
          <w:bCs/>
          <w:color w:val="auto"/>
        </w:rPr>
        <w:t xml:space="preserve">. </w:t>
      </w:r>
      <w:r w:rsidR="00BA048B" w:rsidRPr="00C3645A">
        <w:rPr>
          <w:b/>
          <w:bCs/>
          <w:color w:val="auto"/>
        </w:rPr>
        <w:t>Resistance during</w:t>
      </w:r>
      <w:r w:rsidR="00110F43" w:rsidRPr="00C3645A">
        <w:rPr>
          <w:b/>
          <w:bCs/>
          <w:color w:val="auto"/>
        </w:rPr>
        <w:t xml:space="preserve"> the</w:t>
      </w:r>
      <w:r w:rsidR="00BA048B" w:rsidRPr="00C3645A">
        <w:rPr>
          <w:b/>
          <w:bCs/>
          <w:color w:val="auto"/>
        </w:rPr>
        <w:t xml:space="preserve"> moderate climatic events</w:t>
      </w:r>
      <w:r w:rsidR="00F62D28" w:rsidRPr="00C3645A">
        <w:rPr>
          <w:b/>
          <w:bCs/>
          <w:color w:val="auto"/>
        </w:rPr>
        <w:t xml:space="preserve"> </w:t>
      </w:r>
      <w:r w:rsidR="00F15516" w:rsidRPr="00C3645A">
        <w:rPr>
          <w:b/>
          <w:bCs/>
          <w:color w:val="auto"/>
        </w:rPr>
        <w:t xml:space="preserve">of the period 2041-2058 (RCP8.5) </w:t>
      </w:r>
      <w:r w:rsidR="00EB5F8A" w:rsidRPr="00C3645A">
        <w:rPr>
          <w:b/>
          <w:bCs/>
          <w:color w:val="auto"/>
        </w:rPr>
        <w:t>for a) soybean grain yield b) total herbage production and c) live weight gain.</w:t>
      </w:r>
      <w:r w:rsidR="00503EEF" w:rsidRPr="00C3645A">
        <w:rPr>
          <w:b/>
          <w:bCs/>
          <w:color w:val="auto"/>
        </w:rPr>
        <w:t xml:space="preserve"> </w:t>
      </w:r>
      <w:r w:rsidR="00503EEF" w:rsidRPr="00C3645A">
        <w:rPr>
          <w:rFonts w:ascii="Times New Roman" w:hAnsi="Times New Roman"/>
          <w:b/>
          <w:bCs/>
          <w:color w:val="auto"/>
        </w:rPr>
        <w:t>G10, G20, G30 and G40 refer to the grazing intensity treatment, and UG designates the ungrazed treatment</w:t>
      </w:r>
      <w:r w:rsidR="00503EEF" w:rsidRPr="00C3645A">
        <w:rPr>
          <w:b/>
          <w:bCs/>
          <w:color w:val="auto"/>
        </w:rPr>
        <w:t>.</w:t>
      </w:r>
      <w:r w:rsidR="000D1EC2" w:rsidRPr="00C3645A">
        <w:rPr>
          <w:b/>
          <w:bCs/>
          <w:color w:val="auto"/>
        </w:rPr>
        <w:br w:type="page"/>
      </w:r>
    </w:p>
    <w:p w14:paraId="77DE2687" w14:textId="7AC4A337" w:rsidR="000D1EC2" w:rsidRPr="00C3645A" w:rsidRDefault="000D1EC2" w:rsidP="000D1EC2">
      <w:pPr>
        <w:pStyle w:val="Publi2"/>
        <w:numPr>
          <w:ilvl w:val="0"/>
          <w:numId w:val="9"/>
        </w:numPr>
        <w:rPr>
          <w:color w:val="auto"/>
        </w:rPr>
      </w:pPr>
      <w:r w:rsidRPr="00C3645A">
        <w:rPr>
          <w:color w:val="auto"/>
        </w:rPr>
        <w:lastRenderedPageBreak/>
        <w:t xml:space="preserve">Animal </w:t>
      </w:r>
      <w:r w:rsidR="00A833AD" w:rsidRPr="00C3645A">
        <w:rPr>
          <w:color w:val="auto"/>
        </w:rPr>
        <w:t>faeces and urine computation</w:t>
      </w:r>
    </w:p>
    <w:p w14:paraId="49DB772D" w14:textId="07894308" w:rsidR="00E210B1" w:rsidRPr="00C3645A" w:rsidRDefault="00A833AD" w:rsidP="00E210B1">
      <w:pPr>
        <w:pStyle w:val="PubliManuscript"/>
        <w:rPr>
          <w:color w:val="auto"/>
        </w:rPr>
      </w:pPr>
      <w:r w:rsidRPr="00C3645A">
        <w:rPr>
          <w:color w:val="auto"/>
        </w:rPr>
        <w:t>The whole methodology to compute</w:t>
      </w:r>
      <w:r w:rsidR="00701702" w:rsidRPr="00C3645A">
        <w:rPr>
          <w:color w:val="auto"/>
        </w:rPr>
        <w:t xml:space="preserve"> animal faeces and urine for beef cattle </w:t>
      </w:r>
      <w:r w:rsidR="00C163F7" w:rsidRPr="00C3645A">
        <w:rPr>
          <w:color w:val="auto"/>
        </w:rPr>
        <w:t>was</w:t>
      </w:r>
      <w:r w:rsidR="00701702" w:rsidRPr="00C3645A">
        <w:rPr>
          <w:color w:val="auto"/>
        </w:rPr>
        <w:t xml:space="preserve"> based on </w:t>
      </w:r>
      <w:proofErr w:type="spellStart"/>
      <w:r w:rsidR="00701702" w:rsidRPr="00C3645A">
        <w:rPr>
          <w:color w:val="auto"/>
        </w:rPr>
        <w:t>Graux</w:t>
      </w:r>
      <w:proofErr w:type="spellEnd"/>
      <w:r w:rsidR="00701702" w:rsidRPr="00C3645A">
        <w:rPr>
          <w:color w:val="auto"/>
        </w:rPr>
        <w:t xml:space="preserve"> et al. (2020) that simulated dairy cattle</w:t>
      </w:r>
      <w:r w:rsidR="00CE2598" w:rsidRPr="00C3645A">
        <w:rPr>
          <w:color w:val="auto"/>
        </w:rPr>
        <w:t xml:space="preserve"> grazing.</w:t>
      </w:r>
    </w:p>
    <w:p w14:paraId="0C4739FA" w14:textId="43AE5CBD" w:rsidR="000E4FDF" w:rsidRPr="00C3645A" w:rsidRDefault="000E4FDF" w:rsidP="00E210B1">
      <w:pPr>
        <w:pStyle w:val="PubliManuscript"/>
        <w:rPr>
          <w:color w:val="auto"/>
        </w:rPr>
      </w:pPr>
      <w:r w:rsidRPr="00C3645A">
        <w:rPr>
          <w:color w:val="auto"/>
        </w:rPr>
        <w:t>For each cutting event that simulates grazing, the amount of biomass that is removed by the cut represents animals dry matter intake (DMI).</w:t>
      </w:r>
    </w:p>
    <w:p w14:paraId="634CBE1A" w14:textId="32B5E875" w:rsidR="00DC6E4B" w:rsidRPr="00C3645A" w:rsidRDefault="00DC6E4B" w:rsidP="00E210B1">
      <w:pPr>
        <w:pStyle w:val="PubliManuscript"/>
        <w:rPr>
          <w:color w:val="auto"/>
        </w:rPr>
      </w:pPr>
      <w:r w:rsidRPr="00C3645A">
        <w:rPr>
          <w:color w:val="auto"/>
        </w:rPr>
        <w:t xml:space="preserve">Animal faeces are computed from animal faeces N, considering that the N quantity in faeces is a linear function of </w:t>
      </w:r>
      <w:r w:rsidR="00253A57" w:rsidRPr="00C3645A">
        <w:rPr>
          <w:color w:val="auto"/>
        </w:rPr>
        <w:t>DMI</w:t>
      </w:r>
      <w:r w:rsidRPr="00C3645A">
        <w:rPr>
          <w:color w:val="auto"/>
        </w:rPr>
        <w:t xml:space="preserve"> and that, in average, the mean N content in faeces dry matter is equal to 2.87%</w:t>
      </w:r>
      <w:r w:rsidR="00161CA3" w:rsidRPr="00C3645A">
        <w:rPr>
          <w:color w:val="auto"/>
        </w:rPr>
        <w:t>:</w:t>
      </w:r>
    </w:p>
    <w:p w14:paraId="5E1D7482" w14:textId="3E8D1C2B" w:rsidR="00961B42" w:rsidRPr="00C3645A" w:rsidRDefault="00066C8B" w:rsidP="00961B42">
      <w:pPr>
        <w:pStyle w:val="PubliManuscript"/>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faeces</m:t>
                  </m:r>
                </m:sub>
              </m:sSub>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 xml:space="preserve">α DMI </m:t>
                  </m:r>
                </m:num>
                <m:den>
                  <m:r>
                    <w:rPr>
                      <w:rFonts w:ascii="Cambria Math" w:hAnsi="Cambria Math"/>
                      <w:color w:val="auto"/>
                    </w:rPr>
                    <m:t>1000* 0.0287</m:t>
                  </m:r>
                </m:den>
              </m:f>
              <m:r>
                <w:rPr>
                  <w:rFonts w:ascii="Cambria Math" w:hAnsi="Cambria Math"/>
                  <w:color w:val="auto"/>
                </w:rPr>
                <m:t xml:space="preserve"> #</m:t>
              </m:r>
              <m:d>
                <m:dPr>
                  <m:ctrlPr>
                    <w:rPr>
                      <w:rFonts w:ascii="Cambria Math" w:hAnsi="Cambria Math"/>
                      <w:i/>
                      <w:color w:val="auto"/>
                    </w:rPr>
                  </m:ctrlPr>
                </m:dPr>
                <m:e>
                  <m:r>
                    <w:rPr>
                      <w:rFonts w:ascii="Cambria Math" w:hAnsi="Cambria Math"/>
                      <w:color w:val="auto"/>
                    </w:rPr>
                    <m:t>B1</m:t>
                  </m:r>
                </m:e>
              </m:d>
            </m:e>
          </m:eqArr>
        </m:oMath>
      </m:oMathPara>
    </w:p>
    <w:p w14:paraId="5D983A6D" w14:textId="29C7B8A7" w:rsidR="0065596F" w:rsidRPr="00C3645A" w:rsidRDefault="0065596F" w:rsidP="0065596F">
      <w:pPr>
        <w:pStyle w:val="PubliManuscript"/>
        <w:ind w:firstLine="0"/>
        <w:rPr>
          <w:color w:val="auto"/>
        </w:rPr>
      </w:pPr>
      <w:r w:rsidRPr="00C3645A">
        <w:rPr>
          <w:color w:val="auto"/>
        </w:rPr>
        <w:t xml:space="preserve">with </w:t>
      </w: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faeces</m:t>
            </m:r>
          </m:sub>
        </m:sSub>
      </m:oMath>
      <w:r w:rsidRPr="00C3645A">
        <w:rPr>
          <w:color w:val="auto"/>
        </w:rPr>
        <w:t xml:space="preserve"> in kg DM, </w:t>
      </w:r>
      <m:oMath>
        <m:r>
          <w:rPr>
            <w:rFonts w:ascii="Cambria Math" w:hAnsi="Cambria Math"/>
            <w:color w:val="auto"/>
          </w:rPr>
          <m:t>α</m:t>
        </m:r>
      </m:oMath>
      <w:r w:rsidR="005078DD" w:rsidRPr="00C3645A">
        <w:rPr>
          <w:color w:val="auto"/>
        </w:rPr>
        <w:t xml:space="preserve"> in g N per kg of DMI, </w:t>
      </w:r>
      <w:r w:rsidR="00BC20E2" w:rsidRPr="00C3645A">
        <w:rPr>
          <w:color w:val="auto"/>
        </w:rPr>
        <w:t>and DMI in kg</w:t>
      </w:r>
      <w:r w:rsidR="00042F40" w:rsidRPr="00C3645A">
        <w:rPr>
          <w:color w:val="auto"/>
        </w:rPr>
        <w:t>.</w:t>
      </w:r>
    </w:p>
    <w:p w14:paraId="657CD526" w14:textId="4CA7226F" w:rsidR="00214E49" w:rsidRPr="00C3645A" w:rsidRDefault="00214E49" w:rsidP="0065596F">
      <w:pPr>
        <w:pStyle w:val="PubliManuscript"/>
        <w:ind w:firstLine="0"/>
        <w:rPr>
          <w:color w:val="auto"/>
        </w:rPr>
      </w:pPr>
      <w:proofErr w:type="spellStart"/>
      <w:r w:rsidRPr="00C3645A">
        <w:rPr>
          <w:color w:val="auto"/>
          <w:lang w:val="fr-BE"/>
        </w:rPr>
        <w:t>Based</w:t>
      </w:r>
      <w:proofErr w:type="spellEnd"/>
      <w:r w:rsidRPr="00C3645A">
        <w:rPr>
          <w:color w:val="auto"/>
          <w:lang w:val="fr-BE"/>
        </w:rPr>
        <w:t xml:space="preserve"> on Da Souza et al. </w:t>
      </w:r>
      <w:r w:rsidRPr="00C3645A">
        <w:rPr>
          <w:color w:val="auto"/>
        </w:rPr>
        <w:t xml:space="preserve">(2019), which measured that an animal in our field experiment produces in average 0.35 kg of faeces per kg of DMI, we set </w:t>
      </w:r>
      <m:oMath>
        <m:r>
          <w:rPr>
            <w:rFonts w:ascii="Cambria Math" w:hAnsi="Cambria Math"/>
            <w:color w:val="auto"/>
          </w:rPr>
          <m:t>α=10.14</m:t>
        </m:r>
      </m:oMath>
      <w:r w:rsidR="00EA5856" w:rsidRPr="00C3645A">
        <w:rPr>
          <w:color w:val="auto"/>
        </w:rPr>
        <w:t xml:space="preserve"> g N per kg of DMI (versus </w:t>
      </w:r>
      <m:oMath>
        <m:r>
          <w:rPr>
            <w:rFonts w:ascii="Cambria Math" w:hAnsi="Cambria Math"/>
            <w:color w:val="auto"/>
          </w:rPr>
          <m:t>α=7.53</m:t>
        </m:r>
      </m:oMath>
      <w:r w:rsidR="00EA5856" w:rsidRPr="00C3645A">
        <w:rPr>
          <w:color w:val="auto"/>
        </w:rPr>
        <w:t xml:space="preserve"> g N per kg of DMI in </w:t>
      </w:r>
      <w:proofErr w:type="spellStart"/>
      <w:r w:rsidR="00EA5856" w:rsidRPr="00C3645A">
        <w:rPr>
          <w:color w:val="auto"/>
        </w:rPr>
        <w:t>Graux</w:t>
      </w:r>
      <w:proofErr w:type="spellEnd"/>
      <w:r w:rsidR="00EA5856" w:rsidRPr="00C3645A">
        <w:rPr>
          <w:color w:val="auto"/>
        </w:rPr>
        <w:t xml:space="preserve"> et al. (2020)</w:t>
      </w:r>
      <w:r w:rsidR="00250D72" w:rsidRPr="00C3645A">
        <w:rPr>
          <w:color w:val="auto"/>
        </w:rPr>
        <w:t xml:space="preserve"> for dairy cattle</w:t>
      </w:r>
      <w:r w:rsidR="00EA5856" w:rsidRPr="00C3645A">
        <w:rPr>
          <w:color w:val="auto"/>
        </w:rPr>
        <w:t>).</w:t>
      </w:r>
    </w:p>
    <w:p w14:paraId="71293401" w14:textId="6BF5BF81" w:rsidR="00250D72" w:rsidRPr="00C3645A" w:rsidRDefault="00250D72" w:rsidP="0065596F">
      <w:pPr>
        <w:pStyle w:val="PubliManuscript"/>
        <w:ind w:firstLine="0"/>
        <w:rPr>
          <w:color w:val="auto"/>
        </w:rPr>
      </w:pPr>
      <w:r w:rsidRPr="00C3645A">
        <w:rPr>
          <w:color w:val="auto"/>
        </w:rPr>
        <w:tab/>
        <w:t xml:space="preserve">N in urine was calculated in </w:t>
      </w:r>
      <w:proofErr w:type="spellStart"/>
      <w:r w:rsidRPr="00C3645A">
        <w:rPr>
          <w:color w:val="auto"/>
        </w:rPr>
        <w:t>Graux</w:t>
      </w:r>
      <w:proofErr w:type="spellEnd"/>
      <w:r w:rsidRPr="00C3645A">
        <w:rPr>
          <w:color w:val="auto"/>
        </w:rPr>
        <w:t xml:space="preserve"> et al. (2020) for milking cows, as animal N intake minus N losses in milk and faeces:</w:t>
      </w:r>
    </w:p>
    <w:p w14:paraId="63E7427E" w14:textId="40A97F7C" w:rsidR="00961B42" w:rsidRPr="00C3645A" w:rsidRDefault="00066C8B" w:rsidP="0065596F">
      <w:pPr>
        <w:pStyle w:val="PubliManuscript"/>
        <w:ind w:firstLine="0"/>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urine</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 xml:space="preserve">10 </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N,plant</m:t>
                      </m:r>
                    </m:sub>
                  </m:sSub>
                  <m:r>
                    <w:rPr>
                      <w:rFonts w:ascii="Cambria Math" w:hAnsi="Cambria Math"/>
                      <w:color w:val="auto"/>
                    </w:rPr>
                    <m:t>- δ</m:t>
                  </m:r>
                </m:e>
              </m:d>
              <m:r>
                <w:rPr>
                  <w:rFonts w:ascii="Cambria Math" w:hAnsi="Cambria Math"/>
                  <w:color w:val="auto"/>
                </w:rPr>
                <m:t xml:space="preserve"> DMI #</m:t>
              </m:r>
              <m:d>
                <m:dPr>
                  <m:ctrlPr>
                    <w:rPr>
                      <w:rFonts w:ascii="Cambria Math" w:hAnsi="Cambria Math"/>
                      <w:i/>
                      <w:color w:val="auto"/>
                    </w:rPr>
                  </m:ctrlPr>
                </m:dPr>
                <m:e>
                  <m:r>
                    <w:rPr>
                      <w:rFonts w:ascii="Cambria Math" w:hAnsi="Cambria Math"/>
                      <w:color w:val="auto"/>
                    </w:rPr>
                    <m:t>B2</m:t>
                  </m:r>
                </m:e>
              </m:d>
            </m:e>
          </m:eqArr>
        </m:oMath>
      </m:oMathPara>
    </w:p>
    <w:p w14:paraId="36E95B64" w14:textId="1E1CAB83" w:rsidR="0040340F" w:rsidRPr="00C3645A" w:rsidRDefault="0040340F" w:rsidP="0065596F">
      <w:pPr>
        <w:pStyle w:val="PubliManuscript"/>
        <w:ind w:firstLine="0"/>
        <w:rPr>
          <w:color w:val="auto"/>
        </w:rPr>
      </w:pPr>
      <w:r w:rsidRPr="00C3645A">
        <w:rPr>
          <w:color w:val="auto"/>
        </w:rPr>
        <w:t xml:space="preserve">with </w:t>
      </w:r>
      <m:oMath>
        <m:sSub>
          <m:sSubPr>
            <m:ctrlPr>
              <w:rPr>
                <w:rFonts w:ascii="Cambria Math" w:hAnsi="Cambria Math"/>
                <w:i/>
                <w:color w:val="auto"/>
              </w:rPr>
            </m:ctrlPr>
          </m:sSubPr>
          <m:e>
            <m:r>
              <w:rPr>
                <w:rFonts w:ascii="Cambria Math" w:hAnsi="Cambria Math"/>
                <w:color w:val="auto"/>
              </w:rPr>
              <m:t>N</m:t>
            </m:r>
          </m:e>
          <m:sub>
            <m:r>
              <w:rPr>
                <w:rFonts w:ascii="Cambria Math" w:hAnsi="Cambria Math"/>
                <w:color w:val="auto"/>
              </w:rPr>
              <m:t>urine</m:t>
            </m:r>
          </m:sub>
        </m:sSub>
      </m:oMath>
      <w:r w:rsidRPr="00C3645A">
        <w:rPr>
          <w:color w:val="auto"/>
        </w:rPr>
        <w:t xml:space="preserve"> in kg N ha</w:t>
      </w:r>
      <w:r w:rsidRPr="00C3645A">
        <w:rPr>
          <w:color w:val="auto"/>
          <w:vertAlign w:val="superscript"/>
        </w:rPr>
        <w:t>-1</w:t>
      </w:r>
      <w:r w:rsidRPr="00C3645A">
        <w:rPr>
          <w:color w:val="auto"/>
        </w:rPr>
        <w:t xml:space="preserve">, DMI in kg and </w:t>
      </w: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N,plant</m:t>
            </m:r>
          </m:sub>
        </m:sSub>
      </m:oMath>
      <w:r w:rsidRPr="00C3645A">
        <w:rPr>
          <w:color w:val="auto"/>
        </w:rPr>
        <w:t xml:space="preserve"> the </w:t>
      </w:r>
      <w:r w:rsidR="00E440FC" w:rsidRPr="00C3645A">
        <w:rPr>
          <w:color w:val="auto"/>
        </w:rPr>
        <w:t xml:space="preserve">simulated </w:t>
      </w:r>
      <w:r w:rsidRPr="00C3645A">
        <w:rPr>
          <w:color w:val="auto"/>
        </w:rPr>
        <w:t>plant N concentration</w:t>
      </w:r>
      <w:r w:rsidR="004D7BD9" w:rsidRPr="00C3645A">
        <w:rPr>
          <w:color w:val="auto"/>
        </w:rPr>
        <w:t xml:space="preserve"> (in kg N per kg DM)</w:t>
      </w:r>
      <w:r w:rsidRPr="00C3645A">
        <w:rPr>
          <w:color w:val="auto"/>
        </w:rPr>
        <w:t xml:space="preserve"> at the day of the cutting event that simulates grazing</w:t>
      </w:r>
      <w:r w:rsidR="00E440FC" w:rsidRPr="00C3645A">
        <w:rPr>
          <w:color w:val="auto"/>
        </w:rPr>
        <w:t xml:space="preserve">. The term </w:t>
      </w:r>
      <m:oMath>
        <m:r>
          <w:rPr>
            <w:rFonts w:ascii="Cambria Math" w:hAnsi="Cambria Math"/>
            <w:color w:val="auto"/>
          </w:rPr>
          <m:t>δ</m:t>
        </m:r>
      </m:oMath>
      <w:r w:rsidR="00E440FC" w:rsidRPr="00C3645A">
        <w:rPr>
          <w:color w:val="auto"/>
        </w:rPr>
        <w:t xml:space="preserve"> was set to 16.25 g N per kg DM to account for N losses in milk and faeces. </w:t>
      </w:r>
    </w:p>
    <w:p w14:paraId="4EC861BF" w14:textId="5CD9A9D3" w:rsidR="00172806" w:rsidRPr="00C3645A" w:rsidRDefault="00172806" w:rsidP="0065596F">
      <w:pPr>
        <w:pStyle w:val="PubliManuscript"/>
        <w:ind w:firstLine="0"/>
        <w:rPr>
          <w:color w:val="auto"/>
        </w:rPr>
      </w:pPr>
      <w:r w:rsidRPr="00C3645A">
        <w:rPr>
          <w:color w:val="auto"/>
        </w:rPr>
        <w:tab/>
        <w:t xml:space="preserve">Since we simulate beef cattle and not milking cows, we must remove in the term </w:t>
      </w:r>
      <m:oMath>
        <m:r>
          <w:rPr>
            <w:rFonts w:ascii="Cambria Math" w:hAnsi="Cambria Math"/>
            <w:color w:val="auto"/>
          </w:rPr>
          <m:t>δ</m:t>
        </m:r>
      </m:oMath>
      <w:r w:rsidRPr="00C3645A">
        <w:rPr>
          <w:color w:val="auto"/>
        </w:rPr>
        <w:t xml:space="preserve"> the losses associated to milk production but add </w:t>
      </w:r>
      <w:r w:rsidR="00386BB6" w:rsidRPr="00C3645A">
        <w:rPr>
          <w:color w:val="auto"/>
        </w:rPr>
        <w:t>the</w:t>
      </w:r>
      <w:r w:rsidRPr="00C3645A">
        <w:rPr>
          <w:color w:val="auto"/>
        </w:rPr>
        <w:t xml:space="preserve"> animal N intake for growth.</w:t>
      </w:r>
      <w:r w:rsidR="00144035" w:rsidRPr="00C3645A">
        <w:rPr>
          <w:color w:val="auto"/>
        </w:rPr>
        <w:t xml:space="preserve"> </w:t>
      </w:r>
      <w:proofErr w:type="spellStart"/>
      <w:r w:rsidR="00144035" w:rsidRPr="00C3645A">
        <w:rPr>
          <w:color w:val="auto"/>
        </w:rPr>
        <w:t>Graux</w:t>
      </w:r>
      <w:proofErr w:type="spellEnd"/>
      <w:r w:rsidR="00144035" w:rsidRPr="00C3645A">
        <w:rPr>
          <w:color w:val="auto"/>
        </w:rPr>
        <w:t xml:space="preserve"> et al. (2020) estimated that a cow produces 25 kg of milk per day containing 31g of protein per kg of milk, and ingests in average 17kg of herbage DM per day. The loss associated to milk </w:t>
      </w:r>
      <m:oMath>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Milk</m:t>
            </m:r>
          </m:sub>
        </m:sSub>
      </m:oMath>
      <w:r w:rsidR="006B0F6E" w:rsidRPr="00C3645A">
        <w:rPr>
          <w:color w:val="auto"/>
        </w:rPr>
        <w:t xml:space="preserve"> [g N per kg DM] is then:</w:t>
      </w:r>
    </w:p>
    <w:p w14:paraId="10D24D32" w14:textId="1C825A14" w:rsidR="004C0464" w:rsidRPr="00C3645A" w:rsidRDefault="00066C8B" w:rsidP="0065596F">
      <w:pPr>
        <w:pStyle w:val="PubliManuscript"/>
        <w:ind w:firstLine="0"/>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Milk</m:t>
                  </m:r>
                </m:sub>
              </m:sSub>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25*31</m:t>
                  </m:r>
                </m:num>
                <m:den>
                  <m:r>
                    <w:rPr>
                      <w:rFonts w:ascii="Cambria Math" w:hAnsi="Cambria Math"/>
                      <w:color w:val="auto"/>
                    </w:rPr>
                    <m:t>6.25*17</m:t>
                  </m:r>
                </m:den>
              </m:f>
              <m:r>
                <w:rPr>
                  <w:rFonts w:ascii="Cambria Math" w:hAnsi="Cambria Math"/>
                  <w:color w:val="auto"/>
                </w:rPr>
                <m:t>=7.29 #</m:t>
              </m:r>
              <m:d>
                <m:dPr>
                  <m:ctrlPr>
                    <w:rPr>
                      <w:rFonts w:ascii="Cambria Math" w:hAnsi="Cambria Math"/>
                      <w:i/>
                      <w:color w:val="auto"/>
                    </w:rPr>
                  </m:ctrlPr>
                </m:dPr>
                <m:e>
                  <m:r>
                    <w:rPr>
                      <w:rFonts w:ascii="Cambria Math" w:hAnsi="Cambria Math"/>
                      <w:color w:val="auto"/>
                    </w:rPr>
                    <m:t>B3</m:t>
                  </m:r>
                </m:e>
              </m:d>
            </m:e>
          </m:eqArr>
        </m:oMath>
      </m:oMathPara>
    </w:p>
    <w:p w14:paraId="3EE6D5F2" w14:textId="13FB3F3A" w:rsidR="00F97105" w:rsidRPr="00C3645A" w:rsidRDefault="002D597E" w:rsidP="00D53E34">
      <w:pPr>
        <w:pStyle w:val="PubliManuscript"/>
        <w:ind w:firstLine="708"/>
        <w:rPr>
          <w:color w:val="auto"/>
        </w:rPr>
      </w:pPr>
      <w:r w:rsidRPr="00C3645A">
        <w:rPr>
          <w:color w:val="auto"/>
        </w:rPr>
        <w:t xml:space="preserve">To compute the N associated to animals intake for growth, </w:t>
      </w:r>
      <m:oMath>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Growth</m:t>
            </m:r>
          </m:sub>
        </m:sSub>
      </m:oMath>
      <w:r w:rsidRPr="00C3645A">
        <w:rPr>
          <w:color w:val="auto"/>
        </w:rPr>
        <w:t xml:space="preserve"> [g N per kg DM], we </w:t>
      </w:r>
      <w:r w:rsidRPr="00C3645A">
        <w:rPr>
          <w:color w:val="auto"/>
        </w:rPr>
        <w:lastRenderedPageBreak/>
        <w:t xml:space="preserve">consider </w:t>
      </w:r>
      <w:r w:rsidR="00504285" w:rsidRPr="00C3645A">
        <w:rPr>
          <w:color w:val="auto"/>
        </w:rPr>
        <w:t xml:space="preserve">that beef cattle utilize approximately 20% of dietary N for growth (Angelidis et al., 2019). </w:t>
      </w:r>
      <w:r w:rsidR="00C2213A" w:rsidRPr="00C3645A">
        <w:rPr>
          <w:color w:val="auto"/>
        </w:rPr>
        <w:t>The simulated plant N concentration is in average of 2.8% the days of cutting events that simulate grazing. This gives, in g N per kg of DM:</w:t>
      </w:r>
    </w:p>
    <w:p w14:paraId="4002A3C3" w14:textId="55A0AF99" w:rsidR="001003C1" w:rsidRPr="00C3645A" w:rsidRDefault="00066C8B" w:rsidP="00C2213A">
      <w:pPr>
        <w:pStyle w:val="PubliManuscript"/>
        <w:ind w:firstLine="0"/>
        <w:rPr>
          <w:color w:val="auto"/>
        </w:rPr>
      </w:pPr>
      <m:oMathPara>
        <m:oMath>
          <m:eqArr>
            <m:eqArrPr>
              <m:maxDist m:val="1"/>
              <m:ctrlPr>
                <w:rPr>
                  <w:rFonts w:ascii="Cambria Math" w:hAnsi="Cambria Math"/>
                  <w:i/>
                  <w:color w:val="auto"/>
                </w:rPr>
              </m:ctrlPr>
            </m:eqArrPr>
            <m:e>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Growth</m:t>
                  </m:r>
                </m:sub>
              </m:sSub>
              <m:r>
                <w:rPr>
                  <w:rFonts w:ascii="Cambria Math" w:hAnsi="Cambria Math"/>
                  <w:color w:val="auto"/>
                </w:rPr>
                <m:t>= 10*(0.2*2.8)=5.6 #</m:t>
              </m:r>
              <m:d>
                <m:dPr>
                  <m:ctrlPr>
                    <w:rPr>
                      <w:rFonts w:ascii="Cambria Math" w:hAnsi="Cambria Math"/>
                      <w:i/>
                      <w:color w:val="auto"/>
                    </w:rPr>
                  </m:ctrlPr>
                </m:dPr>
                <m:e>
                  <m:r>
                    <w:rPr>
                      <w:rFonts w:ascii="Cambria Math" w:hAnsi="Cambria Math"/>
                      <w:color w:val="auto"/>
                    </w:rPr>
                    <m:t>B4</m:t>
                  </m:r>
                </m:e>
              </m:d>
            </m:e>
          </m:eqArr>
        </m:oMath>
      </m:oMathPara>
    </w:p>
    <w:p w14:paraId="598B1001" w14:textId="151AAEDA" w:rsidR="00C2213A" w:rsidRPr="00C3645A" w:rsidRDefault="00381D4C" w:rsidP="00D53E34">
      <w:pPr>
        <w:pStyle w:val="PubliManuscript"/>
        <w:ind w:firstLine="708"/>
        <w:rPr>
          <w:color w:val="auto"/>
        </w:rPr>
      </w:pPr>
      <w:r w:rsidRPr="00C3645A">
        <w:rPr>
          <w:color w:val="auto"/>
        </w:rPr>
        <w:t>This coefficient is confirmed by the results of Angelidis et al. (2019), which, from 69 published studies and 1194 animals, reported a mean retained N value per animal of 41.7 g N day</w:t>
      </w:r>
      <w:r w:rsidRPr="00C3645A">
        <w:rPr>
          <w:color w:val="auto"/>
          <w:vertAlign w:val="superscript"/>
        </w:rPr>
        <w:t>-1</w:t>
      </w:r>
      <w:r w:rsidRPr="00C3645A">
        <w:rPr>
          <w:color w:val="auto"/>
        </w:rPr>
        <w:t xml:space="preserve"> and a mean DM intake of 7.22 kg DM day</w:t>
      </w:r>
      <w:r w:rsidRPr="00C3645A">
        <w:rPr>
          <w:color w:val="auto"/>
          <w:vertAlign w:val="superscript"/>
        </w:rPr>
        <w:t>-1</w:t>
      </w:r>
      <w:r w:rsidRPr="00C3645A">
        <w:rPr>
          <w:color w:val="auto"/>
        </w:rPr>
        <w:t xml:space="preserve">, leading to a similar </w:t>
      </w:r>
      <m:oMath>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Growth</m:t>
            </m:r>
          </m:sub>
        </m:sSub>
      </m:oMath>
      <w:r w:rsidRPr="00C3645A">
        <w:rPr>
          <w:color w:val="auto"/>
        </w:rPr>
        <w:t xml:space="preserve"> equal to </w:t>
      </w:r>
      <m:oMath>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41.7</m:t>
            </m:r>
          </m:num>
          <m:den>
            <m:r>
              <w:rPr>
                <w:rFonts w:ascii="Cambria Math" w:hAnsi="Cambria Math"/>
                <w:color w:val="auto"/>
              </w:rPr>
              <m:t>7.22</m:t>
            </m:r>
          </m:den>
        </m:f>
        <m:r>
          <w:rPr>
            <w:rFonts w:ascii="Cambria Math" w:hAnsi="Cambria Math"/>
            <w:color w:val="auto"/>
          </w:rPr>
          <m:t>=5.77</m:t>
        </m:r>
      </m:oMath>
      <w:r w:rsidRPr="00C3645A">
        <w:rPr>
          <w:color w:val="auto"/>
        </w:rPr>
        <w:t xml:space="preserve"> g N per kg of DM.</w:t>
      </w:r>
    </w:p>
    <w:p w14:paraId="168A42EC" w14:textId="07D683F2" w:rsidR="00BC00EA" w:rsidRPr="00C3645A" w:rsidRDefault="00BC00EA" w:rsidP="00D53E34">
      <w:pPr>
        <w:pStyle w:val="PubliManuscript"/>
        <w:ind w:firstLine="708"/>
        <w:rPr>
          <w:color w:val="auto"/>
        </w:rPr>
      </w:pPr>
      <w:r w:rsidRPr="00C3645A">
        <w:rPr>
          <w:color w:val="auto"/>
        </w:rPr>
        <w:t xml:space="preserve">This finally leads to the following coefficient </w:t>
      </w:r>
      <m:oMath>
        <m:r>
          <w:rPr>
            <w:rFonts w:ascii="Cambria Math" w:hAnsi="Cambria Math"/>
            <w:color w:val="auto"/>
          </w:rPr>
          <m:t>δ</m:t>
        </m:r>
      </m:oMath>
      <w:r w:rsidRPr="00C3645A">
        <w:rPr>
          <w:color w:val="auto"/>
        </w:rPr>
        <w:t xml:space="preserve"> in Eq. (B2):</w:t>
      </w:r>
    </w:p>
    <w:p w14:paraId="47BD9B72" w14:textId="58A0DEF9" w:rsidR="00BC00EA" w:rsidRPr="00C3645A" w:rsidRDefault="00066C8B" w:rsidP="0065596F">
      <w:pPr>
        <w:pStyle w:val="PubliManuscript"/>
        <w:ind w:firstLine="0"/>
        <w:rPr>
          <w:color w:val="auto"/>
        </w:rPr>
      </w:pPr>
      <m:oMathPara>
        <m:oMath>
          <m:eqArr>
            <m:eqArrPr>
              <m:maxDist m:val="1"/>
              <m:ctrlPr>
                <w:rPr>
                  <w:rFonts w:ascii="Cambria Math" w:hAnsi="Cambria Math"/>
                  <w:i/>
                  <w:color w:val="auto"/>
                </w:rPr>
              </m:ctrlPr>
            </m:eqArrPr>
            <m:e>
              <m:r>
                <w:rPr>
                  <w:rFonts w:ascii="Cambria Math" w:hAnsi="Cambria Math"/>
                  <w:color w:val="auto"/>
                </w:rPr>
                <m:t>δ=16.25-</m:t>
              </m:r>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Milk</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δ</m:t>
                  </m:r>
                </m:e>
                <m:sub>
                  <m:r>
                    <w:rPr>
                      <w:rFonts w:ascii="Cambria Math" w:hAnsi="Cambria Math"/>
                      <w:color w:val="auto"/>
                    </w:rPr>
                    <m:t>Growth</m:t>
                  </m:r>
                </m:sub>
              </m:sSub>
              <m:r>
                <w:rPr>
                  <w:rFonts w:ascii="Cambria Math" w:hAnsi="Cambria Math"/>
                  <w:color w:val="auto"/>
                </w:rPr>
                <m:t>=16.25-7.29+5.6=14.6#</m:t>
              </m:r>
              <m:d>
                <m:dPr>
                  <m:ctrlPr>
                    <w:rPr>
                      <w:rFonts w:ascii="Cambria Math" w:hAnsi="Cambria Math"/>
                      <w:i/>
                      <w:color w:val="auto"/>
                    </w:rPr>
                  </m:ctrlPr>
                </m:dPr>
                <m:e>
                  <m:r>
                    <w:rPr>
                      <w:rFonts w:ascii="Cambria Math" w:hAnsi="Cambria Math"/>
                      <w:color w:val="auto"/>
                    </w:rPr>
                    <m:t>B5</m:t>
                  </m:r>
                </m:e>
              </m:d>
            </m:e>
          </m:eqArr>
        </m:oMath>
      </m:oMathPara>
      <w:bookmarkEnd w:id="8"/>
    </w:p>
    <w:sectPr w:rsidR="00BC00EA" w:rsidRPr="00C3645A" w:rsidSect="003F7EB8">
      <w:footerReference w:type="default" r:id="rId75"/>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CCB6" w14:textId="77777777" w:rsidR="008A7C7D" w:rsidRDefault="008A7C7D">
      <w:pPr>
        <w:spacing w:after="0" w:line="240" w:lineRule="auto"/>
      </w:pPr>
      <w:r>
        <w:separator/>
      </w:r>
    </w:p>
  </w:endnote>
  <w:endnote w:type="continuationSeparator" w:id="0">
    <w:p w14:paraId="4D9F255E" w14:textId="77777777" w:rsidR="008A7C7D" w:rsidRDefault="008A7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442155"/>
      <w:docPartObj>
        <w:docPartGallery w:val="Page Numbers (Bottom of Page)"/>
        <w:docPartUnique/>
      </w:docPartObj>
    </w:sdtPr>
    <w:sdtContent>
      <w:p w14:paraId="7306EE7F" w14:textId="77777777" w:rsidR="003F7EB8" w:rsidRDefault="000C4A0D">
        <w:pPr>
          <w:pStyle w:val="Pieddepage"/>
          <w:jc w:val="right"/>
        </w:pPr>
        <w:r>
          <w:fldChar w:fldCharType="begin"/>
        </w:r>
        <w:r>
          <w:instrText>PAGE   \* MERGEFORMAT</w:instrText>
        </w:r>
        <w:r>
          <w:fldChar w:fldCharType="separate"/>
        </w:r>
        <w:r>
          <w:rPr>
            <w:lang w:val="fr-FR"/>
          </w:rPr>
          <w:t>2</w:t>
        </w:r>
        <w:r>
          <w:fldChar w:fldCharType="end"/>
        </w:r>
      </w:p>
    </w:sdtContent>
  </w:sdt>
  <w:p w14:paraId="6BF87FFC" w14:textId="77777777" w:rsidR="003F7EB8" w:rsidRDefault="003F7E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6A8B7" w14:textId="77777777" w:rsidR="008A7C7D" w:rsidRDefault="008A7C7D">
      <w:pPr>
        <w:spacing w:after="0" w:line="240" w:lineRule="auto"/>
      </w:pPr>
      <w:r>
        <w:separator/>
      </w:r>
    </w:p>
  </w:footnote>
  <w:footnote w:type="continuationSeparator" w:id="0">
    <w:p w14:paraId="75A81E77" w14:textId="77777777" w:rsidR="008A7C7D" w:rsidRDefault="008A7C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C79"/>
    <w:multiLevelType w:val="hybridMultilevel"/>
    <w:tmpl w:val="AEF6BF54"/>
    <w:lvl w:ilvl="0" w:tplc="6C9C2F1C">
      <w:start w:val="1"/>
      <w:numFmt w:val="upp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 w15:restartNumberingAfterBreak="0">
    <w:nsid w:val="052A44A6"/>
    <w:multiLevelType w:val="hybridMultilevel"/>
    <w:tmpl w:val="DB585554"/>
    <w:lvl w:ilvl="0" w:tplc="376EC7CE">
      <w:start w:val="1"/>
      <w:numFmt w:val="upperLetter"/>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 w15:restartNumberingAfterBreak="0">
    <w:nsid w:val="187902AB"/>
    <w:multiLevelType w:val="hybridMultilevel"/>
    <w:tmpl w:val="C1FC6454"/>
    <w:lvl w:ilvl="0" w:tplc="CC0431EE">
      <w:start w:val="1"/>
      <w:numFmt w:val="upperLetter"/>
      <w:lvlText w:val="%1."/>
      <w:lvlJc w:val="left"/>
      <w:pPr>
        <w:ind w:left="1788" w:hanging="360"/>
      </w:pPr>
      <w:rPr>
        <w:rFonts w:hint="default"/>
      </w:rPr>
    </w:lvl>
    <w:lvl w:ilvl="1" w:tplc="080C0019" w:tentative="1">
      <w:start w:val="1"/>
      <w:numFmt w:val="lowerLetter"/>
      <w:lvlText w:val="%2."/>
      <w:lvlJc w:val="left"/>
      <w:pPr>
        <w:ind w:left="2508" w:hanging="360"/>
      </w:pPr>
    </w:lvl>
    <w:lvl w:ilvl="2" w:tplc="080C001B" w:tentative="1">
      <w:start w:val="1"/>
      <w:numFmt w:val="lowerRoman"/>
      <w:lvlText w:val="%3."/>
      <w:lvlJc w:val="right"/>
      <w:pPr>
        <w:ind w:left="3228" w:hanging="180"/>
      </w:pPr>
    </w:lvl>
    <w:lvl w:ilvl="3" w:tplc="080C000F" w:tentative="1">
      <w:start w:val="1"/>
      <w:numFmt w:val="decimal"/>
      <w:lvlText w:val="%4."/>
      <w:lvlJc w:val="left"/>
      <w:pPr>
        <w:ind w:left="3948" w:hanging="360"/>
      </w:pPr>
    </w:lvl>
    <w:lvl w:ilvl="4" w:tplc="080C0019" w:tentative="1">
      <w:start w:val="1"/>
      <w:numFmt w:val="lowerLetter"/>
      <w:lvlText w:val="%5."/>
      <w:lvlJc w:val="left"/>
      <w:pPr>
        <w:ind w:left="4668" w:hanging="360"/>
      </w:pPr>
    </w:lvl>
    <w:lvl w:ilvl="5" w:tplc="080C001B" w:tentative="1">
      <w:start w:val="1"/>
      <w:numFmt w:val="lowerRoman"/>
      <w:lvlText w:val="%6."/>
      <w:lvlJc w:val="right"/>
      <w:pPr>
        <w:ind w:left="5388" w:hanging="180"/>
      </w:pPr>
    </w:lvl>
    <w:lvl w:ilvl="6" w:tplc="080C000F" w:tentative="1">
      <w:start w:val="1"/>
      <w:numFmt w:val="decimal"/>
      <w:lvlText w:val="%7."/>
      <w:lvlJc w:val="left"/>
      <w:pPr>
        <w:ind w:left="6108" w:hanging="360"/>
      </w:pPr>
    </w:lvl>
    <w:lvl w:ilvl="7" w:tplc="080C0019" w:tentative="1">
      <w:start w:val="1"/>
      <w:numFmt w:val="lowerLetter"/>
      <w:lvlText w:val="%8."/>
      <w:lvlJc w:val="left"/>
      <w:pPr>
        <w:ind w:left="6828" w:hanging="360"/>
      </w:pPr>
    </w:lvl>
    <w:lvl w:ilvl="8" w:tplc="080C001B" w:tentative="1">
      <w:start w:val="1"/>
      <w:numFmt w:val="lowerRoman"/>
      <w:lvlText w:val="%9."/>
      <w:lvlJc w:val="right"/>
      <w:pPr>
        <w:ind w:left="7548" w:hanging="180"/>
      </w:pPr>
    </w:lvl>
  </w:abstractNum>
  <w:abstractNum w:abstractNumId="3" w15:restartNumberingAfterBreak="0">
    <w:nsid w:val="2A2D3F94"/>
    <w:multiLevelType w:val="multilevel"/>
    <w:tmpl w:val="AA96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AC2251"/>
    <w:multiLevelType w:val="multilevel"/>
    <w:tmpl w:val="02AE3C36"/>
    <w:lvl w:ilvl="0">
      <w:start w:val="1"/>
      <w:numFmt w:val="decimal"/>
      <w:pStyle w:val="Publi1"/>
      <w:lvlText w:val="%1."/>
      <w:lvlJc w:val="left"/>
      <w:pPr>
        <w:ind w:left="720" w:hanging="360"/>
      </w:pPr>
      <w:rPr>
        <w:rFonts w:hint="default"/>
      </w:rPr>
    </w:lvl>
    <w:lvl w:ilvl="1">
      <w:start w:val="1"/>
      <w:numFmt w:val="decimal"/>
      <w:pStyle w:val="Publi2"/>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5CB4ED7"/>
    <w:multiLevelType w:val="hybridMultilevel"/>
    <w:tmpl w:val="A6ACC232"/>
    <w:lvl w:ilvl="0" w:tplc="0EF421DE">
      <w:start w:val="1"/>
      <w:numFmt w:val="upperLetter"/>
      <w:pStyle w:val="Publi3"/>
      <w:lvlText w:val="%1."/>
      <w:lvlJc w:val="left"/>
      <w:pPr>
        <w:ind w:left="1428" w:hanging="360"/>
      </w:pPr>
    </w:lvl>
    <w:lvl w:ilvl="1" w:tplc="080C0019">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6" w15:restartNumberingAfterBreak="0">
    <w:nsid w:val="65233B6F"/>
    <w:multiLevelType w:val="multilevel"/>
    <w:tmpl w:val="8416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4739B9"/>
    <w:multiLevelType w:val="hybridMultilevel"/>
    <w:tmpl w:val="3DA8B3F4"/>
    <w:lvl w:ilvl="0" w:tplc="080C0005">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8" w15:restartNumberingAfterBreak="0">
    <w:nsid w:val="6F5557A1"/>
    <w:multiLevelType w:val="hybridMultilevel"/>
    <w:tmpl w:val="AEF6BF54"/>
    <w:lvl w:ilvl="0" w:tplc="FFFFFFFF">
      <w:start w:val="1"/>
      <w:numFmt w:val="upp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71A46ADA"/>
    <w:multiLevelType w:val="multilevel"/>
    <w:tmpl w:val="F048B878"/>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9792200">
    <w:abstractNumId w:val="4"/>
  </w:num>
  <w:num w:numId="2" w16cid:durableId="1657538569">
    <w:abstractNumId w:val="5"/>
  </w:num>
  <w:num w:numId="3" w16cid:durableId="1735011105">
    <w:abstractNumId w:val="4"/>
  </w:num>
  <w:num w:numId="4" w16cid:durableId="109784759">
    <w:abstractNumId w:val="2"/>
  </w:num>
  <w:num w:numId="5" w16cid:durableId="975260240">
    <w:abstractNumId w:val="0"/>
  </w:num>
  <w:num w:numId="6" w16cid:durableId="1738086993">
    <w:abstractNumId w:val="3"/>
  </w:num>
  <w:num w:numId="7" w16cid:durableId="213856931">
    <w:abstractNumId w:val="8"/>
  </w:num>
  <w:num w:numId="8" w16cid:durableId="574170266">
    <w:abstractNumId w:val="4"/>
  </w:num>
  <w:num w:numId="9" w16cid:durableId="1599172195">
    <w:abstractNumId w:val="1"/>
  </w:num>
  <w:num w:numId="10" w16cid:durableId="9006710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02381314">
    <w:abstractNumId w:val="9"/>
  </w:num>
  <w:num w:numId="12" w16cid:durableId="796335442">
    <w:abstractNumId w:val="6"/>
  </w:num>
  <w:num w:numId="13" w16cid:durableId="3089485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2594"/>
    <w:rsid w:val="000023DF"/>
    <w:rsid w:val="00003D7F"/>
    <w:rsid w:val="00004D40"/>
    <w:rsid w:val="00004D8C"/>
    <w:rsid w:val="00004FA8"/>
    <w:rsid w:val="00006359"/>
    <w:rsid w:val="00006416"/>
    <w:rsid w:val="00007171"/>
    <w:rsid w:val="00010140"/>
    <w:rsid w:val="0001070D"/>
    <w:rsid w:val="000107BC"/>
    <w:rsid w:val="000107E9"/>
    <w:rsid w:val="00010B79"/>
    <w:rsid w:val="00011572"/>
    <w:rsid w:val="0001284E"/>
    <w:rsid w:val="00012D3B"/>
    <w:rsid w:val="0001323D"/>
    <w:rsid w:val="00014340"/>
    <w:rsid w:val="00016384"/>
    <w:rsid w:val="000165B2"/>
    <w:rsid w:val="00017783"/>
    <w:rsid w:val="00022A8A"/>
    <w:rsid w:val="00023470"/>
    <w:rsid w:val="000244D8"/>
    <w:rsid w:val="0002584C"/>
    <w:rsid w:val="00026A80"/>
    <w:rsid w:val="00027347"/>
    <w:rsid w:val="000311D1"/>
    <w:rsid w:val="000317D2"/>
    <w:rsid w:val="000317E0"/>
    <w:rsid w:val="00031CBB"/>
    <w:rsid w:val="00032B7C"/>
    <w:rsid w:val="00032C1A"/>
    <w:rsid w:val="00033108"/>
    <w:rsid w:val="00033CF9"/>
    <w:rsid w:val="000341D0"/>
    <w:rsid w:val="0003476C"/>
    <w:rsid w:val="00034F7B"/>
    <w:rsid w:val="000367D8"/>
    <w:rsid w:val="00036C9D"/>
    <w:rsid w:val="00036EC3"/>
    <w:rsid w:val="0003745F"/>
    <w:rsid w:val="00037A00"/>
    <w:rsid w:val="000414C2"/>
    <w:rsid w:val="000415B0"/>
    <w:rsid w:val="0004248C"/>
    <w:rsid w:val="00042B61"/>
    <w:rsid w:val="00042F40"/>
    <w:rsid w:val="00043117"/>
    <w:rsid w:val="00043DE0"/>
    <w:rsid w:val="0004421A"/>
    <w:rsid w:val="00044D9A"/>
    <w:rsid w:val="000464B4"/>
    <w:rsid w:val="0004664F"/>
    <w:rsid w:val="00046BD1"/>
    <w:rsid w:val="000476F2"/>
    <w:rsid w:val="00047EAA"/>
    <w:rsid w:val="00047FEE"/>
    <w:rsid w:val="000502A8"/>
    <w:rsid w:val="0005096D"/>
    <w:rsid w:val="000517A6"/>
    <w:rsid w:val="000518AD"/>
    <w:rsid w:val="00053D48"/>
    <w:rsid w:val="000543D1"/>
    <w:rsid w:val="00056982"/>
    <w:rsid w:val="00057B18"/>
    <w:rsid w:val="00060185"/>
    <w:rsid w:val="00060237"/>
    <w:rsid w:val="00063851"/>
    <w:rsid w:val="0006503A"/>
    <w:rsid w:val="000659A1"/>
    <w:rsid w:val="000664AC"/>
    <w:rsid w:val="00066C8B"/>
    <w:rsid w:val="00073F0B"/>
    <w:rsid w:val="000754B8"/>
    <w:rsid w:val="00077136"/>
    <w:rsid w:val="00077695"/>
    <w:rsid w:val="00077785"/>
    <w:rsid w:val="000778EE"/>
    <w:rsid w:val="0007796C"/>
    <w:rsid w:val="00077F69"/>
    <w:rsid w:val="00080636"/>
    <w:rsid w:val="000806E8"/>
    <w:rsid w:val="00081B3C"/>
    <w:rsid w:val="000826A2"/>
    <w:rsid w:val="00083A03"/>
    <w:rsid w:val="00083D0D"/>
    <w:rsid w:val="00086301"/>
    <w:rsid w:val="00086655"/>
    <w:rsid w:val="00086684"/>
    <w:rsid w:val="00087DC1"/>
    <w:rsid w:val="00090541"/>
    <w:rsid w:val="00090C64"/>
    <w:rsid w:val="000911B3"/>
    <w:rsid w:val="000913F3"/>
    <w:rsid w:val="000924A7"/>
    <w:rsid w:val="00092735"/>
    <w:rsid w:val="00093052"/>
    <w:rsid w:val="0009365D"/>
    <w:rsid w:val="00093F1B"/>
    <w:rsid w:val="00096460"/>
    <w:rsid w:val="000966AB"/>
    <w:rsid w:val="00096DC8"/>
    <w:rsid w:val="000A1ADE"/>
    <w:rsid w:val="000A2B10"/>
    <w:rsid w:val="000A51F0"/>
    <w:rsid w:val="000A70FD"/>
    <w:rsid w:val="000B13A8"/>
    <w:rsid w:val="000B2441"/>
    <w:rsid w:val="000B2735"/>
    <w:rsid w:val="000B443E"/>
    <w:rsid w:val="000B5940"/>
    <w:rsid w:val="000B5A52"/>
    <w:rsid w:val="000B669C"/>
    <w:rsid w:val="000B797F"/>
    <w:rsid w:val="000B7C83"/>
    <w:rsid w:val="000C0953"/>
    <w:rsid w:val="000C20DC"/>
    <w:rsid w:val="000C2A0E"/>
    <w:rsid w:val="000C3D9C"/>
    <w:rsid w:val="000C3F26"/>
    <w:rsid w:val="000C4A0D"/>
    <w:rsid w:val="000C5414"/>
    <w:rsid w:val="000C5478"/>
    <w:rsid w:val="000C5F5D"/>
    <w:rsid w:val="000C70D3"/>
    <w:rsid w:val="000C7AC9"/>
    <w:rsid w:val="000D1C2B"/>
    <w:rsid w:val="000D1D23"/>
    <w:rsid w:val="000D1EC2"/>
    <w:rsid w:val="000D21D4"/>
    <w:rsid w:val="000D2583"/>
    <w:rsid w:val="000D33B3"/>
    <w:rsid w:val="000D3CEC"/>
    <w:rsid w:val="000D5DA9"/>
    <w:rsid w:val="000D76EF"/>
    <w:rsid w:val="000E0781"/>
    <w:rsid w:val="000E0DD9"/>
    <w:rsid w:val="000E1A47"/>
    <w:rsid w:val="000E1D24"/>
    <w:rsid w:val="000E28B4"/>
    <w:rsid w:val="000E2D3F"/>
    <w:rsid w:val="000E4FDF"/>
    <w:rsid w:val="000E553E"/>
    <w:rsid w:val="000E5A08"/>
    <w:rsid w:val="000E7E49"/>
    <w:rsid w:val="000F1664"/>
    <w:rsid w:val="000F209F"/>
    <w:rsid w:val="000F282D"/>
    <w:rsid w:val="000F39BA"/>
    <w:rsid w:val="000F40AB"/>
    <w:rsid w:val="000F43F6"/>
    <w:rsid w:val="000F58FC"/>
    <w:rsid w:val="000F5D8C"/>
    <w:rsid w:val="000F6951"/>
    <w:rsid w:val="000F7D29"/>
    <w:rsid w:val="000F7E80"/>
    <w:rsid w:val="001000EF"/>
    <w:rsid w:val="001003C1"/>
    <w:rsid w:val="00100EC8"/>
    <w:rsid w:val="00103167"/>
    <w:rsid w:val="00104220"/>
    <w:rsid w:val="001045E9"/>
    <w:rsid w:val="00104657"/>
    <w:rsid w:val="00104AA6"/>
    <w:rsid w:val="001068C5"/>
    <w:rsid w:val="00106F98"/>
    <w:rsid w:val="00107403"/>
    <w:rsid w:val="00107D23"/>
    <w:rsid w:val="001100BE"/>
    <w:rsid w:val="00110514"/>
    <w:rsid w:val="0011062B"/>
    <w:rsid w:val="00110716"/>
    <w:rsid w:val="00110E1B"/>
    <w:rsid w:val="00110F43"/>
    <w:rsid w:val="00111247"/>
    <w:rsid w:val="00112B9B"/>
    <w:rsid w:val="00115DC8"/>
    <w:rsid w:val="00116058"/>
    <w:rsid w:val="00116D11"/>
    <w:rsid w:val="001208BC"/>
    <w:rsid w:val="00120EB6"/>
    <w:rsid w:val="001210B2"/>
    <w:rsid w:val="0012186E"/>
    <w:rsid w:val="001226ED"/>
    <w:rsid w:val="001229AA"/>
    <w:rsid w:val="00124A1F"/>
    <w:rsid w:val="00125A21"/>
    <w:rsid w:val="0012669E"/>
    <w:rsid w:val="0012751B"/>
    <w:rsid w:val="001308B1"/>
    <w:rsid w:val="00130FBC"/>
    <w:rsid w:val="001311A3"/>
    <w:rsid w:val="00131460"/>
    <w:rsid w:val="00131665"/>
    <w:rsid w:val="00131B12"/>
    <w:rsid w:val="00133834"/>
    <w:rsid w:val="001349CD"/>
    <w:rsid w:val="001350F6"/>
    <w:rsid w:val="001359CB"/>
    <w:rsid w:val="00135EA2"/>
    <w:rsid w:val="001370D6"/>
    <w:rsid w:val="00137E17"/>
    <w:rsid w:val="00137F07"/>
    <w:rsid w:val="00141392"/>
    <w:rsid w:val="001420F6"/>
    <w:rsid w:val="00142261"/>
    <w:rsid w:val="001427C5"/>
    <w:rsid w:val="001436CA"/>
    <w:rsid w:val="00143E80"/>
    <w:rsid w:val="00144035"/>
    <w:rsid w:val="001441DC"/>
    <w:rsid w:val="0014521E"/>
    <w:rsid w:val="00145F45"/>
    <w:rsid w:val="00146246"/>
    <w:rsid w:val="00146368"/>
    <w:rsid w:val="0015057E"/>
    <w:rsid w:val="00151154"/>
    <w:rsid w:val="001511AE"/>
    <w:rsid w:val="0015402A"/>
    <w:rsid w:val="00156804"/>
    <w:rsid w:val="00161CA3"/>
    <w:rsid w:val="00161E31"/>
    <w:rsid w:val="00163BE3"/>
    <w:rsid w:val="0016449D"/>
    <w:rsid w:val="00164DA0"/>
    <w:rsid w:val="001655AB"/>
    <w:rsid w:val="001659B5"/>
    <w:rsid w:val="00166713"/>
    <w:rsid w:val="00167158"/>
    <w:rsid w:val="0016716E"/>
    <w:rsid w:val="00167D95"/>
    <w:rsid w:val="00171135"/>
    <w:rsid w:val="00171F14"/>
    <w:rsid w:val="0017200E"/>
    <w:rsid w:val="00172806"/>
    <w:rsid w:val="00174724"/>
    <w:rsid w:val="00174A7A"/>
    <w:rsid w:val="00176029"/>
    <w:rsid w:val="001779D8"/>
    <w:rsid w:val="00181BDB"/>
    <w:rsid w:val="00183760"/>
    <w:rsid w:val="001844A4"/>
    <w:rsid w:val="00184D5D"/>
    <w:rsid w:val="00185218"/>
    <w:rsid w:val="001858F3"/>
    <w:rsid w:val="0018591B"/>
    <w:rsid w:val="00185E81"/>
    <w:rsid w:val="0018607B"/>
    <w:rsid w:val="001862A7"/>
    <w:rsid w:val="001874D9"/>
    <w:rsid w:val="001914CE"/>
    <w:rsid w:val="00191D07"/>
    <w:rsid w:val="001921E6"/>
    <w:rsid w:val="001924AE"/>
    <w:rsid w:val="001927C1"/>
    <w:rsid w:val="00193355"/>
    <w:rsid w:val="00193CAF"/>
    <w:rsid w:val="00193E70"/>
    <w:rsid w:val="001946B6"/>
    <w:rsid w:val="001952AB"/>
    <w:rsid w:val="00195356"/>
    <w:rsid w:val="00195F3E"/>
    <w:rsid w:val="00196B1D"/>
    <w:rsid w:val="00196EB5"/>
    <w:rsid w:val="001A018D"/>
    <w:rsid w:val="001A0221"/>
    <w:rsid w:val="001A082F"/>
    <w:rsid w:val="001A0E52"/>
    <w:rsid w:val="001A111B"/>
    <w:rsid w:val="001A1144"/>
    <w:rsid w:val="001A114B"/>
    <w:rsid w:val="001A13D5"/>
    <w:rsid w:val="001A2478"/>
    <w:rsid w:val="001A26C9"/>
    <w:rsid w:val="001A2B65"/>
    <w:rsid w:val="001A2DFF"/>
    <w:rsid w:val="001A30A5"/>
    <w:rsid w:val="001A3284"/>
    <w:rsid w:val="001A3843"/>
    <w:rsid w:val="001A4580"/>
    <w:rsid w:val="001A79C6"/>
    <w:rsid w:val="001A7F0E"/>
    <w:rsid w:val="001B12AF"/>
    <w:rsid w:val="001B1AFD"/>
    <w:rsid w:val="001B25C2"/>
    <w:rsid w:val="001B2A0B"/>
    <w:rsid w:val="001B2C56"/>
    <w:rsid w:val="001B2DEC"/>
    <w:rsid w:val="001B343B"/>
    <w:rsid w:val="001B3DF5"/>
    <w:rsid w:val="001B3FA2"/>
    <w:rsid w:val="001B5555"/>
    <w:rsid w:val="001B6EF3"/>
    <w:rsid w:val="001C0795"/>
    <w:rsid w:val="001C09EC"/>
    <w:rsid w:val="001C2854"/>
    <w:rsid w:val="001C32A1"/>
    <w:rsid w:val="001C4E48"/>
    <w:rsid w:val="001C59DE"/>
    <w:rsid w:val="001C6DF9"/>
    <w:rsid w:val="001D0436"/>
    <w:rsid w:val="001D15C3"/>
    <w:rsid w:val="001D24F1"/>
    <w:rsid w:val="001D2996"/>
    <w:rsid w:val="001D2EA7"/>
    <w:rsid w:val="001D385F"/>
    <w:rsid w:val="001D40C1"/>
    <w:rsid w:val="001D44E5"/>
    <w:rsid w:val="001D4608"/>
    <w:rsid w:val="001D4A14"/>
    <w:rsid w:val="001D519D"/>
    <w:rsid w:val="001D54D2"/>
    <w:rsid w:val="001D5BE6"/>
    <w:rsid w:val="001D5F6E"/>
    <w:rsid w:val="001D6B67"/>
    <w:rsid w:val="001D792D"/>
    <w:rsid w:val="001D7D76"/>
    <w:rsid w:val="001E41A8"/>
    <w:rsid w:val="001E464D"/>
    <w:rsid w:val="001E4EE9"/>
    <w:rsid w:val="001E5565"/>
    <w:rsid w:val="001E5CD9"/>
    <w:rsid w:val="001E5DC6"/>
    <w:rsid w:val="001E6192"/>
    <w:rsid w:val="001E648B"/>
    <w:rsid w:val="001E6994"/>
    <w:rsid w:val="001E6B97"/>
    <w:rsid w:val="001E6CB9"/>
    <w:rsid w:val="001E789D"/>
    <w:rsid w:val="001E7A68"/>
    <w:rsid w:val="001E7BB4"/>
    <w:rsid w:val="001F059B"/>
    <w:rsid w:val="001F0A52"/>
    <w:rsid w:val="001F0B1C"/>
    <w:rsid w:val="001F1782"/>
    <w:rsid w:val="001F3276"/>
    <w:rsid w:val="001F477A"/>
    <w:rsid w:val="001F4CFA"/>
    <w:rsid w:val="001F4DFE"/>
    <w:rsid w:val="001F4E93"/>
    <w:rsid w:val="001F58E1"/>
    <w:rsid w:val="001F5A92"/>
    <w:rsid w:val="001F5F7C"/>
    <w:rsid w:val="001F6D1B"/>
    <w:rsid w:val="001F6FDD"/>
    <w:rsid w:val="001F7C72"/>
    <w:rsid w:val="00200214"/>
    <w:rsid w:val="002002F8"/>
    <w:rsid w:val="00200F3B"/>
    <w:rsid w:val="002026B7"/>
    <w:rsid w:val="00203FA2"/>
    <w:rsid w:val="002051D6"/>
    <w:rsid w:val="00205CE9"/>
    <w:rsid w:val="002061CA"/>
    <w:rsid w:val="00206237"/>
    <w:rsid w:val="00207801"/>
    <w:rsid w:val="00210E2C"/>
    <w:rsid w:val="002130F6"/>
    <w:rsid w:val="00213EBA"/>
    <w:rsid w:val="00214322"/>
    <w:rsid w:val="00214E49"/>
    <w:rsid w:val="00214E89"/>
    <w:rsid w:val="00215509"/>
    <w:rsid w:val="0021562D"/>
    <w:rsid w:val="00215C85"/>
    <w:rsid w:val="0021610E"/>
    <w:rsid w:val="002165C1"/>
    <w:rsid w:val="002177B6"/>
    <w:rsid w:val="002200BB"/>
    <w:rsid w:val="0022058E"/>
    <w:rsid w:val="002212E2"/>
    <w:rsid w:val="00222375"/>
    <w:rsid w:val="0022239A"/>
    <w:rsid w:val="00222CC5"/>
    <w:rsid w:val="00223311"/>
    <w:rsid w:val="002233B8"/>
    <w:rsid w:val="00224505"/>
    <w:rsid w:val="0022581E"/>
    <w:rsid w:val="00225832"/>
    <w:rsid w:val="0022774F"/>
    <w:rsid w:val="00230270"/>
    <w:rsid w:val="002308DD"/>
    <w:rsid w:val="00231010"/>
    <w:rsid w:val="00232918"/>
    <w:rsid w:val="00232C65"/>
    <w:rsid w:val="00232C89"/>
    <w:rsid w:val="002333AF"/>
    <w:rsid w:val="00233B5B"/>
    <w:rsid w:val="00236CD1"/>
    <w:rsid w:val="002406EA"/>
    <w:rsid w:val="00240794"/>
    <w:rsid w:val="002424C7"/>
    <w:rsid w:val="00242AFE"/>
    <w:rsid w:val="00242D4F"/>
    <w:rsid w:val="00243890"/>
    <w:rsid w:val="00244026"/>
    <w:rsid w:val="002445D2"/>
    <w:rsid w:val="00245BC4"/>
    <w:rsid w:val="002462FF"/>
    <w:rsid w:val="0024692D"/>
    <w:rsid w:val="002474A0"/>
    <w:rsid w:val="0025043E"/>
    <w:rsid w:val="00250D72"/>
    <w:rsid w:val="00253A57"/>
    <w:rsid w:val="00253F24"/>
    <w:rsid w:val="002558F0"/>
    <w:rsid w:val="002566B6"/>
    <w:rsid w:val="00257EA7"/>
    <w:rsid w:val="00260087"/>
    <w:rsid w:val="0026015F"/>
    <w:rsid w:val="00262640"/>
    <w:rsid w:val="002626FD"/>
    <w:rsid w:val="0026559D"/>
    <w:rsid w:val="002706B8"/>
    <w:rsid w:val="00270E4F"/>
    <w:rsid w:val="00271061"/>
    <w:rsid w:val="00271113"/>
    <w:rsid w:val="00271B31"/>
    <w:rsid w:val="002729BA"/>
    <w:rsid w:val="002750E5"/>
    <w:rsid w:val="002753A1"/>
    <w:rsid w:val="00276CA7"/>
    <w:rsid w:val="00276F12"/>
    <w:rsid w:val="00277971"/>
    <w:rsid w:val="0028023C"/>
    <w:rsid w:val="002809FF"/>
    <w:rsid w:val="00280E8C"/>
    <w:rsid w:val="002838A0"/>
    <w:rsid w:val="0028492C"/>
    <w:rsid w:val="00284C07"/>
    <w:rsid w:val="00284CE8"/>
    <w:rsid w:val="00284D6B"/>
    <w:rsid w:val="00285414"/>
    <w:rsid w:val="00285600"/>
    <w:rsid w:val="00286509"/>
    <w:rsid w:val="002870AB"/>
    <w:rsid w:val="00287151"/>
    <w:rsid w:val="0028715B"/>
    <w:rsid w:val="00287779"/>
    <w:rsid w:val="00290A87"/>
    <w:rsid w:val="00291616"/>
    <w:rsid w:val="002939F5"/>
    <w:rsid w:val="00294676"/>
    <w:rsid w:val="00295B1F"/>
    <w:rsid w:val="00295C49"/>
    <w:rsid w:val="002976C5"/>
    <w:rsid w:val="002977F6"/>
    <w:rsid w:val="002A0559"/>
    <w:rsid w:val="002A0B62"/>
    <w:rsid w:val="002A18D7"/>
    <w:rsid w:val="002A1FBB"/>
    <w:rsid w:val="002A2738"/>
    <w:rsid w:val="002A2BFF"/>
    <w:rsid w:val="002A338E"/>
    <w:rsid w:val="002A526C"/>
    <w:rsid w:val="002A55FF"/>
    <w:rsid w:val="002A5BA0"/>
    <w:rsid w:val="002A6C89"/>
    <w:rsid w:val="002A6DD3"/>
    <w:rsid w:val="002A7455"/>
    <w:rsid w:val="002B165D"/>
    <w:rsid w:val="002B1F44"/>
    <w:rsid w:val="002B23A6"/>
    <w:rsid w:val="002B2AEC"/>
    <w:rsid w:val="002B2B6F"/>
    <w:rsid w:val="002B309F"/>
    <w:rsid w:val="002B551E"/>
    <w:rsid w:val="002B59B9"/>
    <w:rsid w:val="002B62B8"/>
    <w:rsid w:val="002B6B63"/>
    <w:rsid w:val="002C1998"/>
    <w:rsid w:val="002C1D07"/>
    <w:rsid w:val="002C2BC3"/>
    <w:rsid w:val="002C3613"/>
    <w:rsid w:val="002C45DF"/>
    <w:rsid w:val="002C4D57"/>
    <w:rsid w:val="002C4FC6"/>
    <w:rsid w:val="002C61BB"/>
    <w:rsid w:val="002C6818"/>
    <w:rsid w:val="002D084D"/>
    <w:rsid w:val="002D1046"/>
    <w:rsid w:val="002D1428"/>
    <w:rsid w:val="002D1677"/>
    <w:rsid w:val="002D1AC9"/>
    <w:rsid w:val="002D1E4B"/>
    <w:rsid w:val="002D20FA"/>
    <w:rsid w:val="002D223F"/>
    <w:rsid w:val="002D2D4C"/>
    <w:rsid w:val="002D597E"/>
    <w:rsid w:val="002D59F6"/>
    <w:rsid w:val="002E05B8"/>
    <w:rsid w:val="002E0E8D"/>
    <w:rsid w:val="002E1A00"/>
    <w:rsid w:val="002E266A"/>
    <w:rsid w:val="002F238E"/>
    <w:rsid w:val="002F23DD"/>
    <w:rsid w:val="002F3B39"/>
    <w:rsid w:val="002F4363"/>
    <w:rsid w:val="002F5739"/>
    <w:rsid w:val="002F6DC8"/>
    <w:rsid w:val="00300C3A"/>
    <w:rsid w:val="00301980"/>
    <w:rsid w:val="0030199A"/>
    <w:rsid w:val="00303B87"/>
    <w:rsid w:val="00304A55"/>
    <w:rsid w:val="00305269"/>
    <w:rsid w:val="00306829"/>
    <w:rsid w:val="0030766C"/>
    <w:rsid w:val="00307CCA"/>
    <w:rsid w:val="00307FDA"/>
    <w:rsid w:val="00310B76"/>
    <w:rsid w:val="00313807"/>
    <w:rsid w:val="00313E0E"/>
    <w:rsid w:val="0031473A"/>
    <w:rsid w:val="00320DF3"/>
    <w:rsid w:val="003238EC"/>
    <w:rsid w:val="003240D6"/>
    <w:rsid w:val="00324278"/>
    <w:rsid w:val="003244E4"/>
    <w:rsid w:val="00324D08"/>
    <w:rsid w:val="0032583A"/>
    <w:rsid w:val="0032689E"/>
    <w:rsid w:val="00327563"/>
    <w:rsid w:val="003317E2"/>
    <w:rsid w:val="00332425"/>
    <w:rsid w:val="003348A0"/>
    <w:rsid w:val="0033578D"/>
    <w:rsid w:val="00335E34"/>
    <w:rsid w:val="00336E72"/>
    <w:rsid w:val="00337A85"/>
    <w:rsid w:val="00337A8C"/>
    <w:rsid w:val="00337A95"/>
    <w:rsid w:val="0034108F"/>
    <w:rsid w:val="00342396"/>
    <w:rsid w:val="00342CAE"/>
    <w:rsid w:val="0034440C"/>
    <w:rsid w:val="003449EB"/>
    <w:rsid w:val="00344D83"/>
    <w:rsid w:val="00346AD5"/>
    <w:rsid w:val="00346AF7"/>
    <w:rsid w:val="003503FF"/>
    <w:rsid w:val="00350E06"/>
    <w:rsid w:val="00351A5C"/>
    <w:rsid w:val="00351E1C"/>
    <w:rsid w:val="00352C40"/>
    <w:rsid w:val="00352F53"/>
    <w:rsid w:val="00354245"/>
    <w:rsid w:val="003552CE"/>
    <w:rsid w:val="0035674C"/>
    <w:rsid w:val="00357C19"/>
    <w:rsid w:val="00360694"/>
    <w:rsid w:val="0036313F"/>
    <w:rsid w:val="00363153"/>
    <w:rsid w:val="003638BE"/>
    <w:rsid w:val="00364484"/>
    <w:rsid w:val="00365A65"/>
    <w:rsid w:val="0036642B"/>
    <w:rsid w:val="0037062A"/>
    <w:rsid w:val="00371996"/>
    <w:rsid w:val="00371D17"/>
    <w:rsid w:val="00373710"/>
    <w:rsid w:val="00374FB7"/>
    <w:rsid w:val="00375649"/>
    <w:rsid w:val="00375876"/>
    <w:rsid w:val="003805F3"/>
    <w:rsid w:val="00380D1A"/>
    <w:rsid w:val="00381D4C"/>
    <w:rsid w:val="00382921"/>
    <w:rsid w:val="00383584"/>
    <w:rsid w:val="003842EF"/>
    <w:rsid w:val="00384674"/>
    <w:rsid w:val="00385D79"/>
    <w:rsid w:val="00386BB6"/>
    <w:rsid w:val="00386D8A"/>
    <w:rsid w:val="003879D4"/>
    <w:rsid w:val="00387AEE"/>
    <w:rsid w:val="0039052E"/>
    <w:rsid w:val="00391E0D"/>
    <w:rsid w:val="0039219F"/>
    <w:rsid w:val="00392B53"/>
    <w:rsid w:val="003930DA"/>
    <w:rsid w:val="0039490C"/>
    <w:rsid w:val="00396ADE"/>
    <w:rsid w:val="003975F6"/>
    <w:rsid w:val="00397EF1"/>
    <w:rsid w:val="003A0660"/>
    <w:rsid w:val="003A1E90"/>
    <w:rsid w:val="003A2CB9"/>
    <w:rsid w:val="003A2F1A"/>
    <w:rsid w:val="003A3E9C"/>
    <w:rsid w:val="003A3FD2"/>
    <w:rsid w:val="003A41F0"/>
    <w:rsid w:val="003A6B74"/>
    <w:rsid w:val="003A747A"/>
    <w:rsid w:val="003A7C1C"/>
    <w:rsid w:val="003B1207"/>
    <w:rsid w:val="003B1E9B"/>
    <w:rsid w:val="003B43CF"/>
    <w:rsid w:val="003B4B65"/>
    <w:rsid w:val="003B4E5B"/>
    <w:rsid w:val="003B69D9"/>
    <w:rsid w:val="003B702D"/>
    <w:rsid w:val="003B7924"/>
    <w:rsid w:val="003C0BB5"/>
    <w:rsid w:val="003C13C2"/>
    <w:rsid w:val="003C1AE4"/>
    <w:rsid w:val="003C48E5"/>
    <w:rsid w:val="003C511C"/>
    <w:rsid w:val="003C5C2E"/>
    <w:rsid w:val="003C5D73"/>
    <w:rsid w:val="003C732F"/>
    <w:rsid w:val="003C75CE"/>
    <w:rsid w:val="003D123C"/>
    <w:rsid w:val="003D1E91"/>
    <w:rsid w:val="003D23D5"/>
    <w:rsid w:val="003D24ED"/>
    <w:rsid w:val="003D5ED9"/>
    <w:rsid w:val="003D6E3D"/>
    <w:rsid w:val="003D7F91"/>
    <w:rsid w:val="003E1AF0"/>
    <w:rsid w:val="003E1EC4"/>
    <w:rsid w:val="003E24CC"/>
    <w:rsid w:val="003E2776"/>
    <w:rsid w:val="003E29B4"/>
    <w:rsid w:val="003E33EC"/>
    <w:rsid w:val="003E3E1F"/>
    <w:rsid w:val="003E4210"/>
    <w:rsid w:val="003E47F6"/>
    <w:rsid w:val="003E4AC9"/>
    <w:rsid w:val="003E4DD5"/>
    <w:rsid w:val="003E4FE9"/>
    <w:rsid w:val="003E518D"/>
    <w:rsid w:val="003E5DF1"/>
    <w:rsid w:val="003E62F6"/>
    <w:rsid w:val="003E6B8E"/>
    <w:rsid w:val="003E7921"/>
    <w:rsid w:val="003F1285"/>
    <w:rsid w:val="003F1EA4"/>
    <w:rsid w:val="003F3736"/>
    <w:rsid w:val="003F5151"/>
    <w:rsid w:val="003F5C02"/>
    <w:rsid w:val="003F70CE"/>
    <w:rsid w:val="003F70D7"/>
    <w:rsid w:val="003F7EB8"/>
    <w:rsid w:val="00401D27"/>
    <w:rsid w:val="00402DC4"/>
    <w:rsid w:val="0040340F"/>
    <w:rsid w:val="00403DC4"/>
    <w:rsid w:val="004050CA"/>
    <w:rsid w:val="00406123"/>
    <w:rsid w:val="00407889"/>
    <w:rsid w:val="00411828"/>
    <w:rsid w:val="00412208"/>
    <w:rsid w:val="00415BA1"/>
    <w:rsid w:val="00415F43"/>
    <w:rsid w:val="004168C2"/>
    <w:rsid w:val="00417C7A"/>
    <w:rsid w:val="004207E7"/>
    <w:rsid w:val="004208EB"/>
    <w:rsid w:val="00420E89"/>
    <w:rsid w:val="00421629"/>
    <w:rsid w:val="00422B2A"/>
    <w:rsid w:val="00422EE4"/>
    <w:rsid w:val="00425B84"/>
    <w:rsid w:val="0042685F"/>
    <w:rsid w:val="004302F8"/>
    <w:rsid w:val="004313EC"/>
    <w:rsid w:val="00431A09"/>
    <w:rsid w:val="00431CF9"/>
    <w:rsid w:val="0043265F"/>
    <w:rsid w:val="00433ACD"/>
    <w:rsid w:val="00435929"/>
    <w:rsid w:val="00436895"/>
    <w:rsid w:val="0043746D"/>
    <w:rsid w:val="00437FE0"/>
    <w:rsid w:val="00443233"/>
    <w:rsid w:val="00443935"/>
    <w:rsid w:val="004449F1"/>
    <w:rsid w:val="00445BC2"/>
    <w:rsid w:val="00446827"/>
    <w:rsid w:val="00450F27"/>
    <w:rsid w:val="00451882"/>
    <w:rsid w:val="0045281A"/>
    <w:rsid w:val="00452C8C"/>
    <w:rsid w:val="00452E2A"/>
    <w:rsid w:val="0045384B"/>
    <w:rsid w:val="00453CFE"/>
    <w:rsid w:val="00453E40"/>
    <w:rsid w:val="0045470E"/>
    <w:rsid w:val="00455712"/>
    <w:rsid w:val="00457108"/>
    <w:rsid w:val="00460D19"/>
    <w:rsid w:val="00461136"/>
    <w:rsid w:val="00461316"/>
    <w:rsid w:val="0046151D"/>
    <w:rsid w:val="00461522"/>
    <w:rsid w:val="00461922"/>
    <w:rsid w:val="0046240D"/>
    <w:rsid w:val="0046335E"/>
    <w:rsid w:val="00463BF4"/>
    <w:rsid w:val="0046502F"/>
    <w:rsid w:val="0046510E"/>
    <w:rsid w:val="0046599F"/>
    <w:rsid w:val="00465F52"/>
    <w:rsid w:val="0046792C"/>
    <w:rsid w:val="00467940"/>
    <w:rsid w:val="00467D72"/>
    <w:rsid w:val="00467DE4"/>
    <w:rsid w:val="0047073A"/>
    <w:rsid w:val="00472353"/>
    <w:rsid w:val="00473FEE"/>
    <w:rsid w:val="00474791"/>
    <w:rsid w:val="00475519"/>
    <w:rsid w:val="00475A37"/>
    <w:rsid w:val="004778A2"/>
    <w:rsid w:val="004804F1"/>
    <w:rsid w:val="00481AA0"/>
    <w:rsid w:val="00483965"/>
    <w:rsid w:val="004841C7"/>
    <w:rsid w:val="004849F4"/>
    <w:rsid w:val="0048547E"/>
    <w:rsid w:val="00487799"/>
    <w:rsid w:val="004877F7"/>
    <w:rsid w:val="00491755"/>
    <w:rsid w:val="00491C36"/>
    <w:rsid w:val="00491E7D"/>
    <w:rsid w:val="004920AF"/>
    <w:rsid w:val="0049215A"/>
    <w:rsid w:val="00493154"/>
    <w:rsid w:val="00493809"/>
    <w:rsid w:val="00494298"/>
    <w:rsid w:val="00494647"/>
    <w:rsid w:val="004961F8"/>
    <w:rsid w:val="00496CE3"/>
    <w:rsid w:val="004A0DD5"/>
    <w:rsid w:val="004A1110"/>
    <w:rsid w:val="004A2108"/>
    <w:rsid w:val="004A530D"/>
    <w:rsid w:val="004A6254"/>
    <w:rsid w:val="004A686A"/>
    <w:rsid w:val="004A79A9"/>
    <w:rsid w:val="004B05DB"/>
    <w:rsid w:val="004B1004"/>
    <w:rsid w:val="004B17FD"/>
    <w:rsid w:val="004B1D16"/>
    <w:rsid w:val="004B1F02"/>
    <w:rsid w:val="004B20DA"/>
    <w:rsid w:val="004B2EA3"/>
    <w:rsid w:val="004B30A2"/>
    <w:rsid w:val="004B32BD"/>
    <w:rsid w:val="004B4442"/>
    <w:rsid w:val="004B5020"/>
    <w:rsid w:val="004B64F2"/>
    <w:rsid w:val="004B6B75"/>
    <w:rsid w:val="004C0200"/>
    <w:rsid w:val="004C03B1"/>
    <w:rsid w:val="004C0464"/>
    <w:rsid w:val="004C1460"/>
    <w:rsid w:val="004C186B"/>
    <w:rsid w:val="004C18DF"/>
    <w:rsid w:val="004C35B5"/>
    <w:rsid w:val="004C4541"/>
    <w:rsid w:val="004C46E6"/>
    <w:rsid w:val="004C67A0"/>
    <w:rsid w:val="004C698F"/>
    <w:rsid w:val="004C6D77"/>
    <w:rsid w:val="004D19DD"/>
    <w:rsid w:val="004D3B6C"/>
    <w:rsid w:val="004D47A9"/>
    <w:rsid w:val="004D48AD"/>
    <w:rsid w:val="004D5BFA"/>
    <w:rsid w:val="004D7582"/>
    <w:rsid w:val="004D7BD9"/>
    <w:rsid w:val="004E07BB"/>
    <w:rsid w:val="004E0D98"/>
    <w:rsid w:val="004E215C"/>
    <w:rsid w:val="004E233F"/>
    <w:rsid w:val="004E48F8"/>
    <w:rsid w:val="004E506D"/>
    <w:rsid w:val="004E5094"/>
    <w:rsid w:val="004E61C8"/>
    <w:rsid w:val="004E6281"/>
    <w:rsid w:val="004E66F6"/>
    <w:rsid w:val="004F198D"/>
    <w:rsid w:val="004F1C3A"/>
    <w:rsid w:val="004F2266"/>
    <w:rsid w:val="004F3276"/>
    <w:rsid w:val="004F3980"/>
    <w:rsid w:val="004F4173"/>
    <w:rsid w:val="004F6D29"/>
    <w:rsid w:val="00502281"/>
    <w:rsid w:val="00503181"/>
    <w:rsid w:val="005035D7"/>
    <w:rsid w:val="00503EEF"/>
    <w:rsid w:val="00504285"/>
    <w:rsid w:val="00506487"/>
    <w:rsid w:val="00506B47"/>
    <w:rsid w:val="005078DD"/>
    <w:rsid w:val="005106BD"/>
    <w:rsid w:val="00510D29"/>
    <w:rsid w:val="005110EA"/>
    <w:rsid w:val="00511520"/>
    <w:rsid w:val="00511AFB"/>
    <w:rsid w:val="00511BD2"/>
    <w:rsid w:val="00511C27"/>
    <w:rsid w:val="0051269A"/>
    <w:rsid w:val="005126B5"/>
    <w:rsid w:val="005130A7"/>
    <w:rsid w:val="0051315A"/>
    <w:rsid w:val="00513E41"/>
    <w:rsid w:val="00514135"/>
    <w:rsid w:val="00514D84"/>
    <w:rsid w:val="00514F0B"/>
    <w:rsid w:val="005155AB"/>
    <w:rsid w:val="005162A7"/>
    <w:rsid w:val="0051659E"/>
    <w:rsid w:val="0051679E"/>
    <w:rsid w:val="00516B6D"/>
    <w:rsid w:val="00517C87"/>
    <w:rsid w:val="0052032A"/>
    <w:rsid w:val="00521DA1"/>
    <w:rsid w:val="00522274"/>
    <w:rsid w:val="0052256C"/>
    <w:rsid w:val="00522748"/>
    <w:rsid w:val="00523273"/>
    <w:rsid w:val="00524826"/>
    <w:rsid w:val="00524B9A"/>
    <w:rsid w:val="0053094B"/>
    <w:rsid w:val="00530DC0"/>
    <w:rsid w:val="00531791"/>
    <w:rsid w:val="0053236F"/>
    <w:rsid w:val="00532EE9"/>
    <w:rsid w:val="00534264"/>
    <w:rsid w:val="0053446F"/>
    <w:rsid w:val="00534A4C"/>
    <w:rsid w:val="00536475"/>
    <w:rsid w:val="00540209"/>
    <w:rsid w:val="0054106B"/>
    <w:rsid w:val="005429A9"/>
    <w:rsid w:val="00542C68"/>
    <w:rsid w:val="00542D0C"/>
    <w:rsid w:val="0054361C"/>
    <w:rsid w:val="00545235"/>
    <w:rsid w:val="00545AAD"/>
    <w:rsid w:val="00546D09"/>
    <w:rsid w:val="00546D81"/>
    <w:rsid w:val="00546ECD"/>
    <w:rsid w:val="00547220"/>
    <w:rsid w:val="0054735C"/>
    <w:rsid w:val="00551EA7"/>
    <w:rsid w:val="005531A2"/>
    <w:rsid w:val="00554587"/>
    <w:rsid w:val="005545B5"/>
    <w:rsid w:val="005547D3"/>
    <w:rsid w:val="005551D8"/>
    <w:rsid w:val="005553A4"/>
    <w:rsid w:val="00557117"/>
    <w:rsid w:val="005572F2"/>
    <w:rsid w:val="005579DB"/>
    <w:rsid w:val="00563662"/>
    <w:rsid w:val="00564214"/>
    <w:rsid w:val="005649F4"/>
    <w:rsid w:val="0056534D"/>
    <w:rsid w:val="00565736"/>
    <w:rsid w:val="0056671D"/>
    <w:rsid w:val="0056679E"/>
    <w:rsid w:val="00566A2D"/>
    <w:rsid w:val="00567502"/>
    <w:rsid w:val="00570EA9"/>
    <w:rsid w:val="00572350"/>
    <w:rsid w:val="00573178"/>
    <w:rsid w:val="0057462B"/>
    <w:rsid w:val="005756AF"/>
    <w:rsid w:val="005759F4"/>
    <w:rsid w:val="00576EAD"/>
    <w:rsid w:val="005771FE"/>
    <w:rsid w:val="005773D1"/>
    <w:rsid w:val="00577442"/>
    <w:rsid w:val="00577C35"/>
    <w:rsid w:val="00580C77"/>
    <w:rsid w:val="005810E6"/>
    <w:rsid w:val="00582316"/>
    <w:rsid w:val="005828E3"/>
    <w:rsid w:val="00582BA5"/>
    <w:rsid w:val="00582D90"/>
    <w:rsid w:val="005837EE"/>
    <w:rsid w:val="00587390"/>
    <w:rsid w:val="005875BC"/>
    <w:rsid w:val="00587843"/>
    <w:rsid w:val="00591006"/>
    <w:rsid w:val="0059134F"/>
    <w:rsid w:val="005917E6"/>
    <w:rsid w:val="005919A8"/>
    <w:rsid w:val="00591E59"/>
    <w:rsid w:val="00591F18"/>
    <w:rsid w:val="005923ED"/>
    <w:rsid w:val="0059255E"/>
    <w:rsid w:val="00592898"/>
    <w:rsid w:val="00592BE1"/>
    <w:rsid w:val="00593BB4"/>
    <w:rsid w:val="0059637A"/>
    <w:rsid w:val="00596490"/>
    <w:rsid w:val="005A0230"/>
    <w:rsid w:val="005A1562"/>
    <w:rsid w:val="005A16AC"/>
    <w:rsid w:val="005A324F"/>
    <w:rsid w:val="005A3533"/>
    <w:rsid w:val="005A4236"/>
    <w:rsid w:val="005A4E6A"/>
    <w:rsid w:val="005A5112"/>
    <w:rsid w:val="005A5634"/>
    <w:rsid w:val="005A5847"/>
    <w:rsid w:val="005A5890"/>
    <w:rsid w:val="005A72B9"/>
    <w:rsid w:val="005A7FAB"/>
    <w:rsid w:val="005B13E0"/>
    <w:rsid w:val="005B161A"/>
    <w:rsid w:val="005B164D"/>
    <w:rsid w:val="005B1C3E"/>
    <w:rsid w:val="005B1EFC"/>
    <w:rsid w:val="005B238B"/>
    <w:rsid w:val="005B2CDA"/>
    <w:rsid w:val="005B49F1"/>
    <w:rsid w:val="005B54CA"/>
    <w:rsid w:val="005B54F2"/>
    <w:rsid w:val="005B69EB"/>
    <w:rsid w:val="005B719C"/>
    <w:rsid w:val="005C007D"/>
    <w:rsid w:val="005C2864"/>
    <w:rsid w:val="005C5E7A"/>
    <w:rsid w:val="005C6A75"/>
    <w:rsid w:val="005D0ECD"/>
    <w:rsid w:val="005D2668"/>
    <w:rsid w:val="005D3091"/>
    <w:rsid w:val="005D3664"/>
    <w:rsid w:val="005D39A1"/>
    <w:rsid w:val="005D424F"/>
    <w:rsid w:val="005D49AD"/>
    <w:rsid w:val="005D5608"/>
    <w:rsid w:val="005D720A"/>
    <w:rsid w:val="005D72CD"/>
    <w:rsid w:val="005E02FF"/>
    <w:rsid w:val="005E24A4"/>
    <w:rsid w:val="005E2FCB"/>
    <w:rsid w:val="005E50C7"/>
    <w:rsid w:val="005E5955"/>
    <w:rsid w:val="005E5BFF"/>
    <w:rsid w:val="005E7E69"/>
    <w:rsid w:val="005F0179"/>
    <w:rsid w:val="005F04FE"/>
    <w:rsid w:val="005F07D2"/>
    <w:rsid w:val="005F0FBC"/>
    <w:rsid w:val="005F18BE"/>
    <w:rsid w:val="005F2B5E"/>
    <w:rsid w:val="005F3430"/>
    <w:rsid w:val="005F3ADA"/>
    <w:rsid w:val="00600A34"/>
    <w:rsid w:val="006012BC"/>
    <w:rsid w:val="006013AE"/>
    <w:rsid w:val="006016D3"/>
    <w:rsid w:val="00601F21"/>
    <w:rsid w:val="0060225B"/>
    <w:rsid w:val="006027E6"/>
    <w:rsid w:val="0060283C"/>
    <w:rsid w:val="00602AF0"/>
    <w:rsid w:val="00602CD8"/>
    <w:rsid w:val="00602F88"/>
    <w:rsid w:val="00604B6B"/>
    <w:rsid w:val="006054F3"/>
    <w:rsid w:val="00605AF8"/>
    <w:rsid w:val="00605F40"/>
    <w:rsid w:val="00606960"/>
    <w:rsid w:val="00606CA5"/>
    <w:rsid w:val="00607C1F"/>
    <w:rsid w:val="0061157E"/>
    <w:rsid w:val="00612179"/>
    <w:rsid w:val="006122A3"/>
    <w:rsid w:val="00614068"/>
    <w:rsid w:val="00614EE1"/>
    <w:rsid w:val="006153EC"/>
    <w:rsid w:val="006154DE"/>
    <w:rsid w:val="00617CF2"/>
    <w:rsid w:val="00620D6D"/>
    <w:rsid w:val="0062144A"/>
    <w:rsid w:val="0062442F"/>
    <w:rsid w:val="0062471E"/>
    <w:rsid w:val="00624F67"/>
    <w:rsid w:val="006263BA"/>
    <w:rsid w:val="00627E4D"/>
    <w:rsid w:val="0063014B"/>
    <w:rsid w:val="00630311"/>
    <w:rsid w:val="00631054"/>
    <w:rsid w:val="00632A93"/>
    <w:rsid w:val="00636B9A"/>
    <w:rsid w:val="00636DF7"/>
    <w:rsid w:val="00637383"/>
    <w:rsid w:val="00637823"/>
    <w:rsid w:val="00640F0D"/>
    <w:rsid w:val="00642BE9"/>
    <w:rsid w:val="0064390B"/>
    <w:rsid w:val="00644D81"/>
    <w:rsid w:val="006454C0"/>
    <w:rsid w:val="0064586A"/>
    <w:rsid w:val="00650E01"/>
    <w:rsid w:val="00651052"/>
    <w:rsid w:val="006511DB"/>
    <w:rsid w:val="00651367"/>
    <w:rsid w:val="00651576"/>
    <w:rsid w:val="00651798"/>
    <w:rsid w:val="0065242F"/>
    <w:rsid w:val="00652958"/>
    <w:rsid w:val="0065392B"/>
    <w:rsid w:val="00653F31"/>
    <w:rsid w:val="0065596F"/>
    <w:rsid w:val="0065612B"/>
    <w:rsid w:val="00657C41"/>
    <w:rsid w:val="006620B5"/>
    <w:rsid w:val="00663050"/>
    <w:rsid w:val="00663B96"/>
    <w:rsid w:val="00665EEB"/>
    <w:rsid w:val="006660FB"/>
    <w:rsid w:val="00667712"/>
    <w:rsid w:val="0066791A"/>
    <w:rsid w:val="00667AB4"/>
    <w:rsid w:val="006703C2"/>
    <w:rsid w:val="006725F7"/>
    <w:rsid w:val="006739A5"/>
    <w:rsid w:val="006739B5"/>
    <w:rsid w:val="00673B93"/>
    <w:rsid w:val="00673C80"/>
    <w:rsid w:val="00674740"/>
    <w:rsid w:val="00674A1C"/>
    <w:rsid w:val="00675DFE"/>
    <w:rsid w:val="006769A0"/>
    <w:rsid w:val="00676E5C"/>
    <w:rsid w:val="006809FA"/>
    <w:rsid w:val="006818D4"/>
    <w:rsid w:val="00682CD7"/>
    <w:rsid w:val="006835A9"/>
    <w:rsid w:val="00690354"/>
    <w:rsid w:val="006904CF"/>
    <w:rsid w:val="00690FB8"/>
    <w:rsid w:val="00691927"/>
    <w:rsid w:val="00692004"/>
    <w:rsid w:val="006936D7"/>
    <w:rsid w:val="0069415E"/>
    <w:rsid w:val="00694969"/>
    <w:rsid w:val="00694CD3"/>
    <w:rsid w:val="006952C8"/>
    <w:rsid w:val="00696CA6"/>
    <w:rsid w:val="006A0BBA"/>
    <w:rsid w:val="006A1E3B"/>
    <w:rsid w:val="006A1E85"/>
    <w:rsid w:val="006A35C0"/>
    <w:rsid w:val="006A35CD"/>
    <w:rsid w:val="006A4364"/>
    <w:rsid w:val="006A4ED4"/>
    <w:rsid w:val="006A6FEC"/>
    <w:rsid w:val="006A72BE"/>
    <w:rsid w:val="006A75BD"/>
    <w:rsid w:val="006A7B28"/>
    <w:rsid w:val="006A7E54"/>
    <w:rsid w:val="006B0EC0"/>
    <w:rsid w:val="006B0F6E"/>
    <w:rsid w:val="006B114C"/>
    <w:rsid w:val="006B2BCE"/>
    <w:rsid w:val="006B2CC1"/>
    <w:rsid w:val="006B54AB"/>
    <w:rsid w:val="006B644F"/>
    <w:rsid w:val="006B6465"/>
    <w:rsid w:val="006B6E42"/>
    <w:rsid w:val="006B6FEE"/>
    <w:rsid w:val="006B795C"/>
    <w:rsid w:val="006C163E"/>
    <w:rsid w:val="006C22DD"/>
    <w:rsid w:val="006C3CE7"/>
    <w:rsid w:val="006C4371"/>
    <w:rsid w:val="006C4A47"/>
    <w:rsid w:val="006C56CA"/>
    <w:rsid w:val="006C5FF3"/>
    <w:rsid w:val="006C658C"/>
    <w:rsid w:val="006C65CC"/>
    <w:rsid w:val="006D0097"/>
    <w:rsid w:val="006D00E3"/>
    <w:rsid w:val="006D0B88"/>
    <w:rsid w:val="006D3E7C"/>
    <w:rsid w:val="006D479B"/>
    <w:rsid w:val="006D54FC"/>
    <w:rsid w:val="006D5524"/>
    <w:rsid w:val="006D6240"/>
    <w:rsid w:val="006D73EB"/>
    <w:rsid w:val="006D746B"/>
    <w:rsid w:val="006D7570"/>
    <w:rsid w:val="006E11A0"/>
    <w:rsid w:val="006E2E22"/>
    <w:rsid w:val="006E2EAA"/>
    <w:rsid w:val="006E46C3"/>
    <w:rsid w:val="006E46F3"/>
    <w:rsid w:val="006E4C18"/>
    <w:rsid w:val="006E4F18"/>
    <w:rsid w:val="006E54F5"/>
    <w:rsid w:val="006E5DA3"/>
    <w:rsid w:val="006E75AC"/>
    <w:rsid w:val="006E7D60"/>
    <w:rsid w:val="006F0EBA"/>
    <w:rsid w:val="006F1A0F"/>
    <w:rsid w:val="006F252E"/>
    <w:rsid w:val="006F2A26"/>
    <w:rsid w:val="006F2D63"/>
    <w:rsid w:val="006F3E35"/>
    <w:rsid w:val="006F4F66"/>
    <w:rsid w:val="006F55FD"/>
    <w:rsid w:val="006F5A32"/>
    <w:rsid w:val="006F64B1"/>
    <w:rsid w:val="006F673B"/>
    <w:rsid w:val="007002A9"/>
    <w:rsid w:val="0070079F"/>
    <w:rsid w:val="00701702"/>
    <w:rsid w:val="00701DB2"/>
    <w:rsid w:val="00701F07"/>
    <w:rsid w:val="007020FB"/>
    <w:rsid w:val="00702531"/>
    <w:rsid w:val="00702EC3"/>
    <w:rsid w:val="00703860"/>
    <w:rsid w:val="00703F7E"/>
    <w:rsid w:val="007046DE"/>
    <w:rsid w:val="00704F7C"/>
    <w:rsid w:val="00705337"/>
    <w:rsid w:val="00705F69"/>
    <w:rsid w:val="00706664"/>
    <w:rsid w:val="007069C3"/>
    <w:rsid w:val="00706C9F"/>
    <w:rsid w:val="00706FC3"/>
    <w:rsid w:val="00710DCF"/>
    <w:rsid w:val="00712E31"/>
    <w:rsid w:val="00712F3F"/>
    <w:rsid w:val="00713FF6"/>
    <w:rsid w:val="0071401E"/>
    <w:rsid w:val="00714440"/>
    <w:rsid w:val="007148E2"/>
    <w:rsid w:val="0071594D"/>
    <w:rsid w:val="0071637F"/>
    <w:rsid w:val="00716B0B"/>
    <w:rsid w:val="00720BFD"/>
    <w:rsid w:val="00720C13"/>
    <w:rsid w:val="00723403"/>
    <w:rsid w:val="00723A70"/>
    <w:rsid w:val="0072427A"/>
    <w:rsid w:val="007242CD"/>
    <w:rsid w:val="00724910"/>
    <w:rsid w:val="00726001"/>
    <w:rsid w:val="007275E0"/>
    <w:rsid w:val="00727904"/>
    <w:rsid w:val="00727D82"/>
    <w:rsid w:val="0073107B"/>
    <w:rsid w:val="00731EAC"/>
    <w:rsid w:val="0073205D"/>
    <w:rsid w:val="00734094"/>
    <w:rsid w:val="0074020F"/>
    <w:rsid w:val="00741E86"/>
    <w:rsid w:val="0074306E"/>
    <w:rsid w:val="00744AE0"/>
    <w:rsid w:val="0074532F"/>
    <w:rsid w:val="007459F2"/>
    <w:rsid w:val="00745E9D"/>
    <w:rsid w:val="00746015"/>
    <w:rsid w:val="00746884"/>
    <w:rsid w:val="00746A72"/>
    <w:rsid w:val="00746CC8"/>
    <w:rsid w:val="00747F50"/>
    <w:rsid w:val="0075199E"/>
    <w:rsid w:val="0075341A"/>
    <w:rsid w:val="00753A08"/>
    <w:rsid w:val="00753D3F"/>
    <w:rsid w:val="0075437F"/>
    <w:rsid w:val="007562D9"/>
    <w:rsid w:val="00756BE0"/>
    <w:rsid w:val="00757173"/>
    <w:rsid w:val="00757D93"/>
    <w:rsid w:val="0076248F"/>
    <w:rsid w:val="007630CF"/>
    <w:rsid w:val="0076357E"/>
    <w:rsid w:val="00764060"/>
    <w:rsid w:val="00764B3C"/>
    <w:rsid w:val="00764D9D"/>
    <w:rsid w:val="00766700"/>
    <w:rsid w:val="00767DDE"/>
    <w:rsid w:val="00770E81"/>
    <w:rsid w:val="00771020"/>
    <w:rsid w:val="0077171E"/>
    <w:rsid w:val="007717F0"/>
    <w:rsid w:val="007718AE"/>
    <w:rsid w:val="00773CB2"/>
    <w:rsid w:val="007749D4"/>
    <w:rsid w:val="00774F0B"/>
    <w:rsid w:val="00775682"/>
    <w:rsid w:val="00775CB3"/>
    <w:rsid w:val="007765AF"/>
    <w:rsid w:val="00776AC8"/>
    <w:rsid w:val="0077738A"/>
    <w:rsid w:val="007775F2"/>
    <w:rsid w:val="00777FC7"/>
    <w:rsid w:val="00780003"/>
    <w:rsid w:val="00780AF9"/>
    <w:rsid w:val="00780CCB"/>
    <w:rsid w:val="0078191C"/>
    <w:rsid w:val="007831FB"/>
    <w:rsid w:val="00785E98"/>
    <w:rsid w:val="00786BA3"/>
    <w:rsid w:val="0079039D"/>
    <w:rsid w:val="00791033"/>
    <w:rsid w:val="00791B99"/>
    <w:rsid w:val="00792F33"/>
    <w:rsid w:val="0079393F"/>
    <w:rsid w:val="007944E1"/>
    <w:rsid w:val="00794F83"/>
    <w:rsid w:val="0079656D"/>
    <w:rsid w:val="00797087"/>
    <w:rsid w:val="00797A37"/>
    <w:rsid w:val="007A0508"/>
    <w:rsid w:val="007A07F1"/>
    <w:rsid w:val="007A104A"/>
    <w:rsid w:val="007A1641"/>
    <w:rsid w:val="007A1F8B"/>
    <w:rsid w:val="007A2007"/>
    <w:rsid w:val="007A2ED6"/>
    <w:rsid w:val="007A4504"/>
    <w:rsid w:val="007A582C"/>
    <w:rsid w:val="007A5CD8"/>
    <w:rsid w:val="007B18B9"/>
    <w:rsid w:val="007B3555"/>
    <w:rsid w:val="007B3684"/>
    <w:rsid w:val="007B53DD"/>
    <w:rsid w:val="007B61C6"/>
    <w:rsid w:val="007B65E0"/>
    <w:rsid w:val="007C2769"/>
    <w:rsid w:val="007C34B7"/>
    <w:rsid w:val="007C4B41"/>
    <w:rsid w:val="007C4BB1"/>
    <w:rsid w:val="007C5E8E"/>
    <w:rsid w:val="007C6681"/>
    <w:rsid w:val="007C6D1D"/>
    <w:rsid w:val="007D09DC"/>
    <w:rsid w:val="007D1BFE"/>
    <w:rsid w:val="007D2F4C"/>
    <w:rsid w:val="007D3E2E"/>
    <w:rsid w:val="007D4B29"/>
    <w:rsid w:val="007D5306"/>
    <w:rsid w:val="007D5BB9"/>
    <w:rsid w:val="007D7C40"/>
    <w:rsid w:val="007D7D17"/>
    <w:rsid w:val="007E015C"/>
    <w:rsid w:val="007E0C35"/>
    <w:rsid w:val="007E18E0"/>
    <w:rsid w:val="007E2C39"/>
    <w:rsid w:val="007E2F5E"/>
    <w:rsid w:val="007E377F"/>
    <w:rsid w:val="007E3ED9"/>
    <w:rsid w:val="007E5052"/>
    <w:rsid w:val="007E59F9"/>
    <w:rsid w:val="007F07FB"/>
    <w:rsid w:val="007F1073"/>
    <w:rsid w:val="007F1513"/>
    <w:rsid w:val="007F2E0B"/>
    <w:rsid w:val="007F3BDD"/>
    <w:rsid w:val="007F4CC8"/>
    <w:rsid w:val="007F5137"/>
    <w:rsid w:val="007F53FB"/>
    <w:rsid w:val="007F6404"/>
    <w:rsid w:val="007F7152"/>
    <w:rsid w:val="007F757B"/>
    <w:rsid w:val="007F7867"/>
    <w:rsid w:val="008004E8"/>
    <w:rsid w:val="00801271"/>
    <w:rsid w:val="008014D9"/>
    <w:rsid w:val="00801986"/>
    <w:rsid w:val="00801E78"/>
    <w:rsid w:val="008024E4"/>
    <w:rsid w:val="00804B7D"/>
    <w:rsid w:val="00805A76"/>
    <w:rsid w:val="0080664B"/>
    <w:rsid w:val="008108C8"/>
    <w:rsid w:val="008111FB"/>
    <w:rsid w:val="00812640"/>
    <w:rsid w:val="0081555A"/>
    <w:rsid w:val="0081586D"/>
    <w:rsid w:val="00815F6C"/>
    <w:rsid w:val="00817CC0"/>
    <w:rsid w:val="008209AD"/>
    <w:rsid w:val="00821230"/>
    <w:rsid w:val="00822439"/>
    <w:rsid w:val="00824043"/>
    <w:rsid w:val="00824CA4"/>
    <w:rsid w:val="008257A8"/>
    <w:rsid w:val="008258DE"/>
    <w:rsid w:val="00826A68"/>
    <w:rsid w:val="00830091"/>
    <w:rsid w:val="008306AC"/>
    <w:rsid w:val="00830CC8"/>
    <w:rsid w:val="00830D3D"/>
    <w:rsid w:val="008310E2"/>
    <w:rsid w:val="00831CA0"/>
    <w:rsid w:val="00832E0D"/>
    <w:rsid w:val="0083436A"/>
    <w:rsid w:val="00836373"/>
    <w:rsid w:val="00836381"/>
    <w:rsid w:val="00836692"/>
    <w:rsid w:val="008417D1"/>
    <w:rsid w:val="00842261"/>
    <w:rsid w:val="0084296C"/>
    <w:rsid w:val="0084380E"/>
    <w:rsid w:val="008466B4"/>
    <w:rsid w:val="00846958"/>
    <w:rsid w:val="00846E4B"/>
    <w:rsid w:val="00851313"/>
    <w:rsid w:val="0085138D"/>
    <w:rsid w:val="0085206D"/>
    <w:rsid w:val="008520E1"/>
    <w:rsid w:val="00854790"/>
    <w:rsid w:val="00855B27"/>
    <w:rsid w:val="0086000E"/>
    <w:rsid w:val="00860349"/>
    <w:rsid w:val="00860800"/>
    <w:rsid w:val="00860E81"/>
    <w:rsid w:val="0086129E"/>
    <w:rsid w:val="00861FB0"/>
    <w:rsid w:val="00862E9F"/>
    <w:rsid w:val="00863914"/>
    <w:rsid w:val="00863A19"/>
    <w:rsid w:val="0086606A"/>
    <w:rsid w:val="00866789"/>
    <w:rsid w:val="00866BD6"/>
    <w:rsid w:val="00866DE7"/>
    <w:rsid w:val="008670BD"/>
    <w:rsid w:val="008709D0"/>
    <w:rsid w:val="00870F78"/>
    <w:rsid w:val="00873D05"/>
    <w:rsid w:val="0087564E"/>
    <w:rsid w:val="008772D2"/>
    <w:rsid w:val="008846B9"/>
    <w:rsid w:val="008847E9"/>
    <w:rsid w:val="008848C7"/>
    <w:rsid w:val="008855C2"/>
    <w:rsid w:val="00885EF4"/>
    <w:rsid w:val="00886732"/>
    <w:rsid w:val="0088678D"/>
    <w:rsid w:val="00886CAE"/>
    <w:rsid w:val="00890696"/>
    <w:rsid w:val="008910EA"/>
    <w:rsid w:val="008923F8"/>
    <w:rsid w:val="00893202"/>
    <w:rsid w:val="008940A9"/>
    <w:rsid w:val="0089449C"/>
    <w:rsid w:val="008949DF"/>
    <w:rsid w:val="008959BB"/>
    <w:rsid w:val="0089637A"/>
    <w:rsid w:val="00896553"/>
    <w:rsid w:val="008974E4"/>
    <w:rsid w:val="0089755C"/>
    <w:rsid w:val="008A0ED2"/>
    <w:rsid w:val="008A20C9"/>
    <w:rsid w:val="008A2355"/>
    <w:rsid w:val="008A2442"/>
    <w:rsid w:val="008A3018"/>
    <w:rsid w:val="008A3A4B"/>
    <w:rsid w:val="008A4D6E"/>
    <w:rsid w:val="008A572B"/>
    <w:rsid w:val="008A6303"/>
    <w:rsid w:val="008A7C7D"/>
    <w:rsid w:val="008B033A"/>
    <w:rsid w:val="008B0AD1"/>
    <w:rsid w:val="008B13B0"/>
    <w:rsid w:val="008B37A8"/>
    <w:rsid w:val="008B4788"/>
    <w:rsid w:val="008B5151"/>
    <w:rsid w:val="008B5F6A"/>
    <w:rsid w:val="008B635F"/>
    <w:rsid w:val="008B6552"/>
    <w:rsid w:val="008B66C0"/>
    <w:rsid w:val="008B6BB9"/>
    <w:rsid w:val="008B72F1"/>
    <w:rsid w:val="008B756F"/>
    <w:rsid w:val="008C110E"/>
    <w:rsid w:val="008C15D8"/>
    <w:rsid w:val="008C16A1"/>
    <w:rsid w:val="008C1984"/>
    <w:rsid w:val="008C1F44"/>
    <w:rsid w:val="008C1FE3"/>
    <w:rsid w:val="008C311B"/>
    <w:rsid w:val="008C4006"/>
    <w:rsid w:val="008C6207"/>
    <w:rsid w:val="008C6D34"/>
    <w:rsid w:val="008C6D81"/>
    <w:rsid w:val="008C7F96"/>
    <w:rsid w:val="008D0546"/>
    <w:rsid w:val="008D0F8A"/>
    <w:rsid w:val="008D2581"/>
    <w:rsid w:val="008D345A"/>
    <w:rsid w:val="008D36B5"/>
    <w:rsid w:val="008D39D3"/>
    <w:rsid w:val="008D3EB8"/>
    <w:rsid w:val="008D43A5"/>
    <w:rsid w:val="008D58AE"/>
    <w:rsid w:val="008D5ED9"/>
    <w:rsid w:val="008D67F7"/>
    <w:rsid w:val="008D792E"/>
    <w:rsid w:val="008E22E9"/>
    <w:rsid w:val="008E3288"/>
    <w:rsid w:val="008E3BDD"/>
    <w:rsid w:val="008E4392"/>
    <w:rsid w:val="008E4F57"/>
    <w:rsid w:val="008E542F"/>
    <w:rsid w:val="008E5A6A"/>
    <w:rsid w:val="008E6481"/>
    <w:rsid w:val="008E6F04"/>
    <w:rsid w:val="008E7B74"/>
    <w:rsid w:val="008E7DD7"/>
    <w:rsid w:val="008F1423"/>
    <w:rsid w:val="008F1C73"/>
    <w:rsid w:val="008F2F3D"/>
    <w:rsid w:val="008F4136"/>
    <w:rsid w:val="008F4DB8"/>
    <w:rsid w:val="008F5186"/>
    <w:rsid w:val="008F5659"/>
    <w:rsid w:val="008F56FF"/>
    <w:rsid w:val="008F6445"/>
    <w:rsid w:val="008F6D67"/>
    <w:rsid w:val="008F773C"/>
    <w:rsid w:val="0090060C"/>
    <w:rsid w:val="00900F7E"/>
    <w:rsid w:val="00902167"/>
    <w:rsid w:val="00902844"/>
    <w:rsid w:val="009039F5"/>
    <w:rsid w:val="00904905"/>
    <w:rsid w:val="00906250"/>
    <w:rsid w:val="009062F9"/>
    <w:rsid w:val="00907262"/>
    <w:rsid w:val="0090740B"/>
    <w:rsid w:val="00907664"/>
    <w:rsid w:val="009079A2"/>
    <w:rsid w:val="009079D6"/>
    <w:rsid w:val="00910D9D"/>
    <w:rsid w:val="00911032"/>
    <w:rsid w:val="0091196F"/>
    <w:rsid w:val="009122D9"/>
    <w:rsid w:val="00912B2E"/>
    <w:rsid w:val="0091395F"/>
    <w:rsid w:val="00913ADB"/>
    <w:rsid w:val="0091429D"/>
    <w:rsid w:val="00914CC4"/>
    <w:rsid w:val="00915220"/>
    <w:rsid w:val="00915A2A"/>
    <w:rsid w:val="009168FF"/>
    <w:rsid w:val="009169FF"/>
    <w:rsid w:val="00921233"/>
    <w:rsid w:val="009217AF"/>
    <w:rsid w:val="00921886"/>
    <w:rsid w:val="009232B0"/>
    <w:rsid w:val="00923ECF"/>
    <w:rsid w:val="00924174"/>
    <w:rsid w:val="0092628A"/>
    <w:rsid w:val="009267EC"/>
    <w:rsid w:val="00927BE8"/>
    <w:rsid w:val="00927C34"/>
    <w:rsid w:val="00930D8A"/>
    <w:rsid w:val="0093153C"/>
    <w:rsid w:val="0093199E"/>
    <w:rsid w:val="00932358"/>
    <w:rsid w:val="0093318F"/>
    <w:rsid w:val="0093355C"/>
    <w:rsid w:val="00933F0B"/>
    <w:rsid w:val="0093430B"/>
    <w:rsid w:val="009344D2"/>
    <w:rsid w:val="00934CFD"/>
    <w:rsid w:val="0093523B"/>
    <w:rsid w:val="009402DA"/>
    <w:rsid w:val="009421AF"/>
    <w:rsid w:val="0094334B"/>
    <w:rsid w:val="009436FA"/>
    <w:rsid w:val="0094388C"/>
    <w:rsid w:val="00945BF6"/>
    <w:rsid w:val="009463BC"/>
    <w:rsid w:val="00946518"/>
    <w:rsid w:val="009468BA"/>
    <w:rsid w:val="00947784"/>
    <w:rsid w:val="00947A68"/>
    <w:rsid w:val="00950B20"/>
    <w:rsid w:val="0095248D"/>
    <w:rsid w:val="0095266A"/>
    <w:rsid w:val="00952D08"/>
    <w:rsid w:val="00952FE8"/>
    <w:rsid w:val="009535B6"/>
    <w:rsid w:val="009538F6"/>
    <w:rsid w:val="00953B08"/>
    <w:rsid w:val="00953F13"/>
    <w:rsid w:val="009547E7"/>
    <w:rsid w:val="009555CA"/>
    <w:rsid w:val="0095727D"/>
    <w:rsid w:val="009576E8"/>
    <w:rsid w:val="0096164A"/>
    <w:rsid w:val="00961B42"/>
    <w:rsid w:val="00961BD4"/>
    <w:rsid w:val="0096203D"/>
    <w:rsid w:val="00962446"/>
    <w:rsid w:val="00964B93"/>
    <w:rsid w:val="009664B6"/>
    <w:rsid w:val="00966965"/>
    <w:rsid w:val="009700E4"/>
    <w:rsid w:val="009715FE"/>
    <w:rsid w:val="009731A1"/>
    <w:rsid w:val="00973517"/>
    <w:rsid w:val="00974117"/>
    <w:rsid w:val="009747BB"/>
    <w:rsid w:val="00975901"/>
    <w:rsid w:val="00975AC0"/>
    <w:rsid w:val="00975D46"/>
    <w:rsid w:val="00976C68"/>
    <w:rsid w:val="00976FA7"/>
    <w:rsid w:val="00980032"/>
    <w:rsid w:val="00980FDF"/>
    <w:rsid w:val="009833BB"/>
    <w:rsid w:val="00983751"/>
    <w:rsid w:val="009859E4"/>
    <w:rsid w:val="00985A82"/>
    <w:rsid w:val="009872BE"/>
    <w:rsid w:val="00987FE1"/>
    <w:rsid w:val="009906BA"/>
    <w:rsid w:val="00991452"/>
    <w:rsid w:val="009916A9"/>
    <w:rsid w:val="0099218D"/>
    <w:rsid w:val="00992793"/>
    <w:rsid w:val="00994D7A"/>
    <w:rsid w:val="00994EEA"/>
    <w:rsid w:val="0099537F"/>
    <w:rsid w:val="00995484"/>
    <w:rsid w:val="0099656A"/>
    <w:rsid w:val="0099698D"/>
    <w:rsid w:val="00996DD6"/>
    <w:rsid w:val="00997776"/>
    <w:rsid w:val="00997E9F"/>
    <w:rsid w:val="009A001B"/>
    <w:rsid w:val="009A0A3E"/>
    <w:rsid w:val="009A0C94"/>
    <w:rsid w:val="009A12C8"/>
    <w:rsid w:val="009A35F9"/>
    <w:rsid w:val="009A3CCC"/>
    <w:rsid w:val="009A3F4A"/>
    <w:rsid w:val="009A49B5"/>
    <w:rsid w:val="009A60E0"/>
    <w:rsid w:val="009A6FE0"/>
    <w:rsid w:val="009A7E56"/>
    <w:rsid w:val="009B0422"/>
    <w:rsid w:val="009B08EC"/>
    <w:rsid w:val="009B0B06"/>
    <w:rsid w:val="009B1172"/>
    <w:rsid w:val="009B168D"/>
    <w:rsid w:val="009B39D5"/>
    <w:rsid w:val="009B3CD8"/>
    <w:rsid w:val="009B3E18"/>
    <w:rsid w:val="009B49D4"/>
    <w:rsid w:val="009B512C"/>
    <w:rsid w:val="009B5638"/>
    <w:rsid w:val="009B62C2"/>
    <w:rsid w:val="009B70D6"/>
    <w:rsid w:val="009C08F1"/>
    <w:rsid w:val="009C0DA4"/>
    <w:rsid w:val="009C11FC"/>
    <w:rsid w:val="009C47C6"/>
    <w:rsid w:val="009C5B87"/>
    <w:rsid w:val="009C5C29"/>
    <w:rsid w:val="009C7C42"/>
    <w:rsid w:val="009D4F0E"/>
    <w:rsid w:val="009D54FC"/>
    <w:rsid w:val="009E3363"/>
    <w:rsid w:val="009E377F"/>
    <w:rsid w:val="009E5C8B"/>
    <w:rsid w:val="009E66FC"/>
    <w:rsid w:val="009E73F9"/>
    <w:rsid w:val="009E7FB3"/>
    <w:rsid w:val="009F2100"/>
    <w:rsid w:val="009F31E6"/>
    <w:rsid w:val="009F32C5"/>
    <w:rsid w:val="009F400E"/>
    <w:rsid w:val="009F697F"/>
    <w:rsid w:val="009F7184"/>
    <w:rsid w:val="00A0084A"/>
    <w:rsid w:val="00A03189"/>
    <w:rsid w:val="00A05738"/>
    <w:rsid w:val="00A05C39"/>
    <w:rsid w:val="00A07E14"/>
    <w:rsid w:val="00A112FF"/>
    <w:rsid w:val="00A129A1"/>
    <w:rsid w:val="00A12AE6"/>
    <w:rsid w:val="00A13E1A"/>
    <w:rsid w:val="00A156C4"/>
    <w:rsid w:val="00A158F8"/>
    <w:rsid w:val="00A15DBD"/>
    <w:rsid w:val="00A20722"/>
    <w:rsid w:val="00A21ACB"/>
    <w:rsid w:val="00A21D6B"/>
    <w:rsid w:val="00A2232C"/>
    <w:rsid w:val="00A22512"/>
    <w:rsid w:val="00A2380D"/>
    <w:rsid w:val="00A23AD3"/>
    <w:rsid w:val="00A24176"/>
    <w:rsid w:val="00A25F84"/>
    <w:rsid w:val="00A309F5"/>
    <w:rsid w:val="00A32363"/>
    <w:rsid w:val="00A3245C"/>
    <w:rsid w:val="00A32898"/>
    <w:rsid w:val="00A330F5"/>
    <w:rsid w:val="00A3311D"/>
    <w:rsid w:val="00A3330F"/>
    <w:rsid w:val="00A34E6E"/>
    <w:rsid w:val="00A34FE0"/>
    <w:rsid w:val="00A36F04"/>
    <w:rsid w:val="00A413F4"/>
    <w:rsid w:val="00A4193A"/>
    <w:rsid w:val="00A41A30"/>
    <w:rsid w:val="00A437BA"/>
    <w:rsid w:val="00A43E81"/>
    <w:rsid w:val="00A443F2"/>
    <w:rsid w:val="00A44598"/>
    <w:rsid w:val="00A45A50"/>
    <w:rsid w:val="00A47DA0"/>
    <w:rsid w:val="00A516A1"/>
    <w:rsid w:val="00A51D80"/>
    <w:rsid w:val="00A52015"/>
    <w:rsid w:val="00A52291"/>
    <w:rsid w:val="00A52301"/>
    <w:rsid w:val="00A52DC4"/>
    <w:rsid w:val="00A53E22"/>
    <w:rsid w:val="00A554CD"/>
    <w:rsid w:val="00A5747C"/>
    <w:rsid w:val="00A6198A"/>
    <w:rsid w:val="00A631C8"/>
    <w:rsid w:val="00A6320A"/>
    <w:rsid w:val="00A63519"/>
    <w:rsid w:val="00A6447A"/>
    <w:rsid w:val="00A64DE0"/>
    <w:rsid w:val="00A64EC7"/>
    <w:rsid w:val="00A65642"/>
    <w:rsid w:val="00A70C47"/>
    <w:rsid w:val="00A718C5"/>
    <w:rsid w:val="00A725B4"/>
    <w:rsid w:val="00A72B9C"/>
    <w:rsid w:val="00A7386E"/>
    <w:rsid w:val="00A746C9"/>
    <w:rsid w:val="00A749DA"/>
    <w:rsid w:val="00A75795"/>
    <w:rsid w:val="00A76403"/>
    <w:rsid w:val="00A7666D"/>
    <w:rsid w:val="00A76A26"/>
    <w:rsid w:val="00A77722"/>
    <w:rsid w:val="00A77E36"/>
    <w:rsid w:val="00A80342"/>
    <w:rsid w:val="00A806F6"/>
    <w:rsid w:val="00A81CF1"/>
    <w:rsid w:val="00A82AD0"/>
    <w:rsid w:val="00A82D54"/>
    <w:rsid w:val="00A833AD"/>
    <w:rsid w:val="00A84017"/>
    <w:rsid w:val="00A85A9A"/>
    <w:rsid w:val="00A864EA"/>
    <w:rsid w:val="00A86BBD"/>
    <w:rsid w:val="00A86C1A"/>
    <w:rsid w:val="00A907FC"/>
    <w:rsid w:val="00A90C83"/>
    <w:rsid w:val="00A91324"/>
    <w:rsid w:val="00A91560"/>
    <w:rsid w:val="00A919C3"/>
    <w:rsid w:val="00A92FCA"/>
    <w:rsid w:val="00A9390E"/>
    <w:rsid w:val="00A9404D"/>
    <w:rsid w:val="00A9408B"/>
    <w:rsid w:val="00A94EB7"/>
    <w:rsid w:val="00AA0989"/>
    <w:rsid w:val="00AA2268"/>
    <w:rsid w:val="00AA3B82"/>
    <w:rsid w:val="00AA64D5"/>
    <w:rsid w:val="00AA70B3"/>
    <w:rsid w:val="00AB0353"/>
    <w:rsid w:val="00AB23E1"/>
    <w:rsid w:val="00AB2539"/>
    <w:rsid w:val="00AB2A35"/>
    <w:rsid w:val="00AB2EF4"/>
    <w:rsid w:val="00AB5E44"/>
    <w:rsid w:val="00AB6A44"/>
    <w:rsid w:val="00AB6DDD"/>
    <w:rsid w:val="00AC009E"/>
    <w:rsid w:val="00AC13C6"/>
    <w:rsid w:val="00AC24E6"/>
    <w:rsid w:val="00AC25E6"/>
    <w:rsid w:val="00AC274B"/>
    <w:rsid w:val="00AC2C3D"/>
    <w:rsid w:val="00AC3553"/>
    <w:rsid w:val="00AC36DC"/>
    <w:rsid w:val="00AC47BF"/>
    <w:rsid w:val="00AC4FD6"/>
    <w:rsid w:val="00AC59E7"/>
    <w:rsid w:val="00AC6E75"/>
    <w:rsid w:val="00AC7838"/>
    <w:rsid w:val="00AC78A3"/>
    <w:rsid w:val="00AD141A"/>
    <w:rsid w:val="00AD1814"/>
    <w:rsid w:val="00AD1DA1"/>
    <w:rsid w:val="00AD2594"/>
    <w:rsid w:val="00AD2D0A"/>
    <w:rsid w:val="00AD39E4"/>
    <w:rsid w:val="00AD46F2"/>
    <w:rsid w:val="00AD478B"/>
    <w:rsid w:val="00AD4C11"/>
    <w:rsid w:val="00AD51AF"/>
    <w:rsid w:val="00AD6896"/>
    <w:rsid w:val="00AD7437"/>
    <w:rsid w:val="00AD75BB"/>
    <w:rsid w:val="00AD7711"/>
    <w:rsid w:val="00AE0529"/>
    <w:rsid w:val="00AE0541"/>
    <w:rsid w:val="00AE162D"/>
    <w:rsid w:val="00AE1AB7"/>
    <w:rsid w:val="00AE1AE4"/>
    <w:rsid w:val="00AE266B"/>
    <w:rsid w:val="00AE28BE"/>
    <w:rsid w:val="00AE622D"/>
    <w:rsid w:val="00AE671B"/>
    <w:rsid w:val="00AE6C55"/>
    <w:rsid w:val="00AF0586"/>
    <w:rsid w:val="00AF0B3B"/>
    <w:rsid w:val="00AF1886"/>
    <w:rsid w:val="00AF30DC"/>
    <w:rsid w:val="00AF3F73"/>
    <w:rsid w:val="00AF458E"/>
    <w:rsid w:val="00AF4A28"/>
    <w:rsid w:val="00AF4A47"/>
    <w:rsid w:val="00AF6B85"/>
    <w:rsid w:val="00AF6F5D"/>
    <w:rsid w:val="00AF6F8C"/>
    <w:rsid w:val="00AF7E15"/>
    <w:rsid w:val="00B00BCD"/>
    <w:rsid w:val="00B01D86"/>
    <w:rsid w:val="00B03ABB"/>
    <w:rsid w:val="00B03B0C"/>
    <w:rsid w:val="00B04C9E"/>
    <w:rsid w:val="00B069DE"/>
    <w:rsid w:val="00B06C4D"/>
    <w:rsid w:val="00B07FF4"/>
    <w:rsid w:val="00B1037E"/>
    <w:rsid w:val="00B11853"/>
    <w:rsid w:val="00B11F8A"/>
    <w:rsid w:val="00B12AFC"/>
    <w:rsid w:val="00B13133"/>
    <w:rsid w:val="00B1384A"/>
    <w:rsid w:val="00B13AC8"/>
    <w:rsid w:val="00B141EA"/>
    <w:rsid w:val="00B15405"/>
    <w:rsid w:val="00B1563B"/>
    <w:rsid w:val="00B1592A"/>
    <w:rsid w:val="00B15B6B"/>
    <w:rsid w:val="00B15CFC"/>
    <w:rsid w:val="00B1659C"/>
    <w:rsid w:val="00B1698F"/>
    <w:rsid w:val="00B17297"/>
    <w:rsid w:val="00B1734C"/>
    <w:rsid w:val="00B17CA2"/>
    <w:rsid w:val="00B209F1"/>
    <w:rsid w:val="00B21199"/>
    <w:rsid w:val="00B212FB"/>
    <w:rsid w:val="00B22245"/>
    <w:rsid w:val="00B22688"/>
    <w:rsid w:val="00B239B4"/>
    <w:rsid w:val="00B23A7D"/>
    <w:rsid w:val="00B2459F"/>
    <w:rsid w:val="00B24977"/>
    <w:rsid w:val="00B24DC8"/>
    <w:rsid w:val="00B254B6"/>
    <w:rsid w:val="00B25A89"/>
    <w:rsid w:val="00B25C4D"/>
    <w:rsid w:val="00B276C6"/>
    <w:rsid w:val="00B335AE"/>
    <w:rsid w:val="00B33B2A"/>
    <w:rsid w:val="00B33B72"/>
    <w:rsid w:val="00B344D8"/>
    <w:rsid w:val="00B34872"/>
    <w:rsid w:val="00B35B73"/>
    <w:rsid w:val="00B36856"/>
    <w:rsid w:val="00B36BC9"/>
    <w:rsid w:val="00B36FC6"/>
    <w:rsid w:val="00B37454"/>
    <w:rsid w:val="00B4060B"/>
    <w:rsid w:val="00B41514"/>
    <w:rsid w:val="00B447E4"/>
    <w:rsid w:val="00B449E7"/>
    <w:rsid w:val="00B44AD5"/>
    <w:rsid w:val="00B52B46"/>
    <w:rsid w:val="00B533CE"/>
    <w:rsid w:val="00B53764"/>
    <w:rsid w:val="00B53826"/>
    <w:rsid w:val="00B5387C"/>
    <w:rsid w:val="00B5394F"/>
    <w:rsid w:val="00B53FC0"/>
    <w:rsid w:val="00B54B0B"/>
    <w:rsid w:val="00B555BD"/>
    <w:rsid w:val="00B55FED"/>
    <w:rsid w:val="00B6030B"/>
    <w:rsid w:val="00B60C1A"/>
    <w:rsid w:val="00B61C96"/>
    <w:rsid w:val="00B61FED"/>
    <w:rsid w:val="00B644A3"/>
    <w:rsid w:val="00B64A48"/>
    <w:rsid w:val="00B6658A"/>
    <w:rsid w:val="00B66B40"/>
    <w:rsid w:val="00B67D6E"/>
    <w:rsid w:val="00B71FF1"/>
    <w:rsid w:val="00B72A77"/>
    <w:rsid w:val="00B738B8"/>
    <w:rsid w:val="00B7501E"/>
    <w:rsid w:val="00B76F6D"/>
    <w:rsid w:val="00B77056"/>
    <w:rsid w:val="00B77286"/>
    <w:rsid w:val="00B774AB"/>
    <w:rsid w:val="00B77D57"/>
    <w:rsid w:val="00B806C8"/>
    <w:rsid w:val="00B8076A"/>
    <w:rsid w:val="00B809B8"/>
    <w:rsid w:val="00B82957"/>
    <w:rsid w:val="00B851F2"/>
    <w:rsid w:val="00B86256"/>
    <w:rsid w:val="00B86318"/>
    <w:rsid w:val="00B8791A"/>
    <w:rsid w:val="00B90142"/>
    <w:rsid w:val="00B90476"/>
    <w:rsid w:val="00B92065"/>
    <w:rsid w:val="00B92D96"/>
    <w:rsid w:val="00B9504B"/>
    <w:rsid w:val="00B96055"/>
    <w:rsid w:val="00B9652C"/>
    <w:rsid w:val="00B97267"/>
    <w:rsid w:val="00B9726F"/>
    <w:rsid w:val="00BA048B"/>
    <w:rsid w:val="00BA09C1"/>
    <w:rsid w:val="00BA0EAD"/>
    <w:rsid w:val="00BA2F37"/>
    <w:rsid w:val="00BA3253"/>
    <w:rsid w:val="00BA3463"/>
    <w:rsid w:val="00BA37A1"/>
    <w:rsid w:val="00BA404C"/>
    <w:rsid w:val="00BA57A7"/>
    <w:rsid w:val="00BA62BB"/>
    <w:rsid w:val="00BA7682"/>
    <w:rsid w:val="00BA79D6"/>
    <w:rsid w:val="00BA7BCF"/>
    <w:rsid w:val="00BB0C31"/>
    <w:rsid w:val="00BB0C87"/>
    <w:rsid w:val="00BB1EA5"/>
    <w:rsid w:val="00BB221C"/>
    <w:rsid w:val="00BB3FA2"/>
    <w:rsid w:val="00BB43AC"/>
    <w:rsid w:val="00BB4AA9"/>
    <w:rsid w:val="00BB697B"/>
    <w:rsid w:val="00BB71C2"/>
    <w:rsid w:val="00BC00EA"/>
    <w:rsid w:val="00BC20E2"/>
    <w:rsid w:val="00BC3FE9"/>
    <w:rsid w:val="00BC45D0"/>
    <w:rsid w:val="00BC56DA"/>
    <w:rsid w:val="00BD0230"/>
    <w:rsid w:val="00BD08DE"/>
    <w:rsid w:val="00BD09CA"/>
    <w:rsid w:val="00BD0EF3"/>
    <w:rsid w:val="00BD1D14"/>
    <w:rsid w:val="00BD2A27"/>
    <w:rsid w:val="00BD523B"/>
    <w:rsid w:val="00BD63AC"/>
    <w:rsid w:val="00BD6CEA"/>
    <w:rsid w:val="00BD7E34"/>
    <w:rsid w:val="00BE0060"/>
    <w:rsid w:val="00BE1681"/>
    <w:rsid w:val="00BE21FD"/>
    <w:rsid w:val="00BE2CBC"/>
    <w:rsid w:val="00BE4A3D"/>
    <w:rsid w:val="00BE4E6B"/>
    <w:rsid w:val="00BE684A"/>
    <w:rsid w:val="00BE6E30"/>
    <w:rsid w:val="00BE756C"/>
    <w:rsid w:val="00BE78CE"/>
    <w:rsid w:val="00BF12A4"/>
    <w:rsid w:val="00BF1CE8"/>
    <w:rsid w:val="00BF29BE"/>
    <w:rsid w:val="00BF3390"/>
    <w:rsid w:val="00BF3EDD"/>
    <w:rsid w:val="00BF440A"/>
    <w:rsid w:val="00BF49EF"/>
    <w:rsid w:val="00BF75D1"/>
    <w:rsid w:val="00C009AE"/>
    <w:rsid w:val="00C00C12"/>
    <w:rsid w:val="00C02045"/>
    <w:rsid w:val="00C0366B"/>
    <w:rsid w:val="00C04447"/>
    <w:rsid w:val="00C04895"/>
    <w:rsid w:val="00C04FC7"/>
    <w:rsid w:val="00C06B33"/>
    <w:rsid w:val="00C07893"/>
    <w:rsid w:val="00C07F17"/>
    <w:rsid w:val="00C11353"/>
    <w:rsid w:val="00C1217E"/>
    <w:rsid w:val="00C12522"/>
    <w:rsid w:val="00C127E5"/>
    <w:rsid w:val="00C12A33"/>
    <w:rsid w:val="00C138C0"/>
    <w:rsid w:val="00C14A85"/>
    <w:rsid w:val="00C1530F"/>
    <w:rsid w:val="00C155C5"/>
    <w:rsid w:val="00C163F7"/>
    <w:rsid w:val="00C2213A"/>
    <w:rsid w:val="00C2349B"/>
    <w:rsid w:val="00C234F9"/>
    <w:rsid w:val="00C23EFE"/>
    <w:rsid w:val="00C2574E"/>
    <w:rsid w:val="00C259A6"/>
    <w:rsid w:val="00C26172"/>
    <w:rsid w:val="00C306F7"/>
    <w:rsid w:val="00C30AF4"/>
    <w:rsid w:val="00C30BD7"/>
    <w:rsid w:val="00C32296"/>
    <w:rsid w:val="00C32920"/>
    <w:rsid w:val="00C330F9"/>
    <w:rsid w:val="00C3552C"/>
    <w:rsid w:val="00C35E89"/>
    <w:rsid w:val="00C3645A"/>
    <w:rsid w:val="00C36BB3"/>
    <w:rsid w:val="00C37010"/>
    <w:rsid w:val="00C37F53"/>
    <w:rsid w:val="00C40D9B"/>
    <w:rsid w:val="00C430A6"/>
    <w:rsid w:val="00C4341F"/>
    <w:rsid w:val="00C443CA"/>
    <w:rsid w:val="00C45DE5"/>
    <w:rsid w:val="00C46BD4"/>
    <w:rsid w:val="00C473FE"/>
    <w:rsid w:val="00C47E55"/>
    <w:rsid w:val="00C47EB5"/>
    <w:rsid w:val="00C52C50"/>
    <w:rsid w:val="00C53626"/>
    <w:rsid w:val="00C554E9"/>
    <w:rsid w:val="00C56579"/>
    <w:rsid w:val="00C56A23"/>
    <w:rsid w:val="00C56DD5"/>
    <w:rsid w:val="00C5754E"/>
    <w:rsid w:val="00C57C6B"/>
    <w:rsid w:val="00C57CBB"/>
    <w:rsid w:val="00C6090A"/>
    <w:rsid w:val="00C60BB1"/>
    <w:rsid w:val="00C6157B"/>
    <w:rsid w:val="00C6165A"/>
    <w:rsid w:val="00C62143"/>
    <w:rsid w:val="00C64478"/>
    <w:rsid w:val="00C6483A"/>
    <w:rsid w:val="00C65790"/>
    <w:rsid w:val="00C71503"/>
    <w:rsid w:val="00C72188"/>
    <w:rsid w:val="00C729D1"/>
    <w:rsid w:val="00C72E48"/>
    <w:rsid w:val="00C74C17"/>
    <w:rsid w:val="00C752C8"/>
    <w:rsid w:val="00C75F57"/>
    <w:rsid w:val="00C76939"/>
    <w:rsid w:val="00C774AB"/>
    <w:rsid w:val="00C77842"/>
    <w:rsid w:val="00C80AA4"/>
    <w:rsid w:val="00C81671"/>
    <w:rsid w:val="00C81D39"/>
    <w:rsid w:val="00C83BBF"/>
    <w:rsid w:val="00C840CA"/>
    <w:rsid w:val="00C8488B"/>
    <w:rsid w:val="00C85695"/>
    <w:rsid w:val="00C85D10"/>
    <w:rsid w:val="00C90EEE"/>
    <w:rsid w:val="00C92D4B"/>
    <w:rsid w:val="00C9309D"/>
    <w:rsid w:val="00C93B3D"/>
    <w:rsid w:val="00C9404D"/>
    <w:rsid w:val="00C943E8"/>
    <w:rsid w:val="00C9462E"/>
    <w:rsid w:val="00C9494E"/>
    <w:rsid w:val="00C958A6"/>
    <w:rsid w:val="00C95DE0"/>
    <w:rsid w:val="00C95E5D"/>
    <w:rsid w:val="00C97AFC"/>
    <w:rsid w:val="00C97E06"/>
    <w:rsid w:val="00CA022F"/>
    <w:rsid w:val="00CA10B9"/>
    <w:rsid w:val="00CA1B8D"/>
    <w:rsid w:val="00CA207B"/>
    <w:rsid w:val="00CA20C3"/>
    <w:rsid w:val="00CA2B33"/>
    <w:rsid w:val="00CA36F3"/>
    <w:rsid w:val="00CA5D00"/>
    <w:rsid w:val="00CA5F02"/>
    <w:rsid w:val="00CA5FFA"/>
    <w:rsid w:val="00CA6040"/>
    <w:rsid w:val="00CB0B6E"/>
    <w:rsid w:val="00CB1A31"/>
    <w:rsid w:val="00CB23E5"/>
    <w:rsid w:val="00CB2536"/>
    <w:rsid w:val="00CB2670"/>
    <w:rsid w:val="00CB29DE"/>
    <w:rsid w:val="00CB36AE"/>
    <w:rsid w:val="00CB435A"/>
    <w:rsid w:val="00CB5C35"/>
    <w:rsid w:val="00CB6B54"/>
    <w:rsid w:val="00CB6BC9"/>
    <w:rsid w:val="00CB6C28"/>
    <w:rsid w:val="00CB7E15"/>
    <w:rsid w:val="00CC0660"/>
    <w:rsid w:val="00CC07C0"/>
    <w:rsid w:val="00CC1357"/>
    <w:rsid w:val="00CC1B7E"/>
    <w:rsid w:val="00CC1BD1"/>
    <w:rsid w:val="00CC1E68"/>
    <w:rsid w:val="00CC3E1C"/>
    <w:rsid w:val="00CC48E5"/>
    <w:rsid w:val="00CC75C4"/>
    <w:rsid w:val="00CD3750"/>
    <w:rsid w:val="00CD3E4D"/>
    <w:rsid w:val="00CD4B7D"/>
    <w:rsid w:val="00CD52AE"/>
    <w:rsid w:val="00CD63C2"/>
    <w:rsid w:val="00CD7827"/>
    <w:rsid w:val="00CE22B0"/>
    <w:rsid w:val="00CE24D7"/>
    <w:rsid w:val="00CE2598"/>
    <w:rsid w:val="00CE2795"/>
    <w:rsid w:val="00CE4763"/>
    <w:rsid w:val="00CE53A4"/>
    <w:rsid w:val="00CF0D21"/>
    <w:rsid w:val="00CF12CB"/>
    <w:rsid w:val="00CF395C"/>
    <w:rsid w:val="00CF4BB2"/>
    <w:rsid w:val="00CF523D"/>
    <w:rsid w:val="00CF5534"/>
    <w:rsid w:val="00CF79AC"/>
    <w:rsid w:val="00CF7A03"/>
    <w:rsid w:val="00CF7AA3"/>
    <w:rsid w:val="00D00709"/>
    <w:rsid w:val="00D00EA0"/>
    <w:rsid w:val="00D02C25"/>
    <w:rsid w:val="00D035FC"/>
    <w:rsid w:val="00D048F7"/>
    <w:rsid w:val="00D04E4A"/>
    <w:rsid w:val="00D05309"/>
    <w:rsid w:val="00D06CF6"/>
    <w:rsid w:val="00D0733A"/>
    <w:rsid w:val="00D07DD5"/>
    <w:rsid w:val="00D1072C"/>
    <w:rsid w:val="00D107CA"/>
    <w:rsid w:val="00D11AF7"/>
    <w:rsid w:val="00D12AC5"/>
    <w:rsid w:val="00D16493"/>
    <w:rsid w:val="00D16DC1"/>
    <w:rsid w:val="00D17778"/>
    <w:rsid w:val="00D20880"/>
    <w:rsid w:val="00D22064"/>
    <w:rsid w:val="00D22251"/>
    <w:rsid w:val="00D24328"/>
    <w:rsid w:val="00D25ACC"/>
    <w:rsid w:val="00D2640B"/>
    <w:rsid w:val="00D27133"/>
    <w:rsid w:val="00D27C7E"/>
    <w:rsid w:val="00D30631"/>
    <w:rsid w:val="00D30C32"/>
    <w:rsid w:val="00D31F21"/>
    <w:rsid w:val="00D3251F"/>
    <w:rsid w:val="00D32D0F"/>
    <w:rsid w:val="00D339C5"/>
    <w:rsid w:val="00D35130"/>
    <w:rsid w:val="00D358A7"/>
    <w:rsid w:val="00D4111A"/>
    <w:rsid w:val="00D42348"/>
    <w:rsid w:val="00D429B8"/>
    <w:rsid w:val="00D445C9"/>
    <w:rsid w:val="00D44ACD"/>
    <w:rsid w:val="00D45F9A"/>
    <w:rsid w:val="00D4689B"/>
    <w:rsid w:val="00D46B05"/>
    <w:rsid w:val="00D47C95"/>
    <w:rsid w:val="00D47F74"/>
    <w:rsid w:val="00D50CA3"/>
    <w:rsid w:val="00D515C6"/>
    <w:rsid w:val="00D515F5"/>
    <w:rsid w:val="00D518E2"/>
    <w:rsid w:val="00D530EF"/>
    <w:rsid w:val="00D53E34"/>
    <w:rsid w:val="00D54776"/>
    <w:rsid w:val="00D54AEA"/>
    <w:rsid w:val="00D54E6E"/>
    <w:rsid w:val="00D56373"/>
    <w:rsid w:val="00D5653C"/>
    <w:rsid w:val="00D605ED"/>
    <w:rsid w:val="00D60E19"/>
    <w:rsid w:val="00D612DB"/>
    <w:rsid w:val="00D6179A"/>
    <w:rsid w:val="00D61AE6"/>
    <w:rsid w:val="00D6206B"/>
    <w:rsid w:val="00D63412"/>
    <w:rsid w:val="00D636D4"/>
    <w:rsid w:val="00D63796"/>
    <w:rsid w:val="00D6395F"/>
    <w:rsid w:val="00D65241"/>
    <w:rsid w:val="00D65C05"/>
    <w:rsid w:val="00D6744E"/>
    <w:rsid w:val="00D70BE9"/>
    <w:rsid w:val="00D71B26"/>
    <w:rsid w:val="00D71D15"/>
    <w:rsid w:val="00D7210B"/>
    <w:rsid w:val="00D72DBB"/>
    <w:rsid w:val="00D733D4"/>
    <w:rsid w:val="00D733DC"/>
    <w:rsid w:val="00D73425"/>
    <w:rsid w:val="00D75006"/>
    <w:rsid w:val="00D75EF7"/>
    <w:rsid w:val="00D75F29"/>
    <w:rsid w:val="00D7686B"/>
    <w:rsid w:val="00D811AE"/>
    <w:rsid w:val="00D825E4"/>
    <w:rsid w:val="00D827E0"/>
    <w:rsid w:val="00D829F7"/>
    <w:rsid w:val="00D8467F"/>
    <w:rsid w:val="00D84745"/>
    <w:rsid w:val="00D85019"/>
    <w:rsid w:val="00D85119"/>
    <w:rsid w:val="00D858B5"/>
    <w:rsid w:val="00D85B5A"/>
    <w:rsid w:val="00D867E8"/>
    <w:rsid w:val="00D87063"/>
    <w:rsid w:val="00D87CA5"/>
    <w:rsid w:val="00D87CFF"/>
    <w:rsid w:val="00D9087C"/>
    <w:rsid w:val="00D90AD7"/>
    <w:rsid w:val="00D919E6"/>
    <w:rsid w:val="00D92811"/>
    <w:rsid w:val="00D93C64"/>
    <w:rsid w:val="00D94EF9"/>
    <w:rsid w:val="00D958E2"/>
    <w:rsid w:val="00D96606"/>
    <w:rsid w:val="00DA094F"/>
    <w:rsid w:val="00DA0C02"/>
    <w:rsid w:val="00DA133B"/>
    <w:rsid w:val="00DA1F57"/>
    <w:rsid w:val="00DA20B6"/>
    <w:rsid w:val="00DA3016"/>
    <w:rsid w:val="00DA36B6"/>
    <w:rsid w:val="00DA3C2E"/>
    <w:rsid w:val="00DA46A0"/>
    <w:rsid w:val="00DA47CE"/>
    <w:rsid w:val="00DA569C"/>
    <w:rsid w:val="00DA608D"/>
    <w:rsid w:val="00DA632D"/>
    <w:rsid w:val="00DA774A"/>
    <w:rsid w:val="00DA781E"/>
    <w:rsid w:val="00DA7A90"/>
    <w:rsid w:val="00DB0157"/>
    <w:rsid w:val="00DB1924"/>
    <w:rsid w:val="00DB1F52"/>
    <w:rsid w:val="00DB33BB"/>
    <w:rsid w:val="00DB4840"/>
    <w:rsid w:val="00DB4DFE"/>
    <w:rsid w:val="00DB52AD"/>
    <w:rsid w:val="00DB62CF"/>
    <w:rsid w:val="00DB7279"/>
    <w:rsid w:val="00DC0489"/>
    <w:rsid w:val="00DC0E46"/>
    <w:rsid w:val="00DC1D5F"/>
    <w:rsid w:val="00DC4473"/>
    <w:rsid w:val="00DC54A0"/>
    <w:rsid w:val="00DC6238"/>
    <w:rsid w:val="00DC639F"/>
    <w:rsid w:val="00DC6908"/>
    <w:rsid w:val="00DC6E4B"/>
    <w:rsid w:val="00DC6E69"/>
    <w:rsid w:val="00DC75EC"/>
    <w:rsid w:val="00DC7644"/>
    <w:rsid w:val="00DC7668"/>
    <w:rsid w:val="00DD050E"/>
    <w:rsid w:val="00DD0D89"/>
    <w:rsid w:val="00DD18A8"/>
    <w:rsid w:val="00DD4932"/>
    <w:rsid w:val="00DD4B2A"/>
    <w:rsid w:val="00DD787B"/>
    <w:rsid w:val="00DE0B1C"/>
    <w:rsid w:val="00DE0F97"/>
    <w:rsid w:val="00DE1538"/>
    <w:rsid w:val="00DE22B2"/>
    <w:rsid w:val="00DE499C"/>
    <w:rsid w:val="00DE4DE9"/>
    <w:rsid w:val="00DE4F9A"/>
    <w:rsid w:val="00DE5209"/>
    <w:rsid w:val="00DE5331"/>
    <w:rsid w:val="00DE5DB4"/>
    <w:rsid w:val="00DE67C7"/>
    <w:rsid w:val="00DE6823"/>
    <w:rsid w:val="00DE694C"/>
    <w:rsid w:val="00DE6B6C"/>
    <w:rsid w:val="00DE6B79"/>
    <w:rsid w:val="00DE6D5B"/>
    <w:rsid w:val="00DE709C"/>
    <w:rsid w:val="00DF1CE0"/>
    <w:rsid w:val="00DF1F0A"/>
    <w:rsid w:val="00DF207F"/>
    <w:rsid w:val="00DF25C2"/>
    <w:rsid w:val="00DF273A"/>
    <w:rsid w:val="00DF31D2"/>
    <w:rsid w:val="00DF4BD7"/>
    <w:rsid w:val="00DF5E45"/>
    <w:rsid w:val="00DF62A6"/>
    <w:rsid w:val="00E00C5D"/>
    <w:rsid w:val="00E031EF"/>
    <w:rsid w:val="00E04737"/>
    <w:rsid w:val="00E06586"/>
    <w:rsid w:val="00E06EE6"/>
    <w:rsid w:val="00E07B7B"/>
    <w:rsid w:val="00E1072C"/>
    <w:rsid w:val="00E10F1B"/>
    <w:rsid w:val="00E11775"/>
    <w:rsid w:val="00E1219E"/>
    <w:rsid w:val="00E1235D"/>
    <w:rsid w:val="00E12C36"/>
    <w:rsid w:val="00E13686"/>
    <w:rsid w:val="00E13E25"/>
    <w:rsid w:val="00E14628"/>
    <w:rsid w:val="00E153C4"/>
    <w:rsid w:val="00E15CD1"/>
    <w:rsid w:val="00E16D38"/>
    <w:rsid w:val="00E17938"/>
    <w:rsid w:val="00E20431"/>
    <w:rsid w:val="00E210B1"/>
    <w:rsid w:val="00E21EF1"/>
    <w:rsid w:val="00E22D8D"/>
    <w:rsid w:val="00E23C38"/>
    <w:rsid w:val="00E23D41"/>
    <w:rsid w:val="00E24668"/>
    <w:rsid w:val="00E2493A"/>
    <w:rsid w:val="00E24E32"/>
    <w:rsid w:val="00E32309"/>
    <w:rsid w:val="00E3240F"/>
    <w:rsid w:val="00E32A62"/>
    <w:rsid w:val="00E32C97"/>
    <w:rsid w:val="00E33150"/>
    <w:rsid w:val="00E33A1C"/>
    <w:rsid w:val="00E346E3"/>
    <w:rsid w:val="00E34D71"/>
    <w:rsid w:val="00E35439"/>
    <w:rsid w:val="00E360D7"/>
    <w:rsid w:val="00E415C7"/>
    <w:rsid w:val="00E42C8D"/>
    <w:rsid w:val="00E43031"/>
    <w:rsid w:val="00E440FC"/>
    <w:rsid w:val="00E44C51"/>
    <w:rsid w:val="00E44ED5"/>
    <w:rsid w:val="00E532BA"/>
    <w:rsid w:val="00E53921"/>
    <w:rsid w:val="00E53F16"/>
    <w:rsid w:val="00E53F46"/>
    <w:rsid w:val="00E54AC2"/>
    <w:rsid w:val="00E54F02"/>
    <w:rsid w:val="00E56933"/>
    <w:rsid w:val="00E57042"/>
    <w:rsid w:val="00E578E2"/>
    <w:rsid w:val="00E61979"/>
    <w:rsid w:val="00E6221A"/>
    <w:rsid w:val="00E622D9"/>
    <w:rsid w:val="00E62426"/>
    <w:rsid w:val="00E62548"/>
    <w:rsid w:val="00E62842"/>
    <w:rsid w:val="00E63FAB"/>
    <w:rsid w:val="00E64305"/>
    <w:rsid w:val="00E65228"/>
    <w:rsid w:val="00E65D73"/>
    <w:rsid w:val="00E666D6"/>
    <w:rsid w:val="00E67B0C"/>
    <w:rsid w:val="00E70AAE"/>
    <w:rsid w:val="00E718C4"/>
    <w:rsid w:val="00E7234C"/>
    <w:rsid w:val="00E72698"/>
    <w:rsid w:val="00E729B3"/>
    <w:rsid w:val="00E72A58"/>
    <w:rsid w:val="00E72CCB"/>
    <w:rsid w:val="00E731E4"/>
    <w:rsid w:val="00E73F09"/>
    <w:rsid w:val="00E774B7"/>
    <w:rsid w:val="00E775C0"/>
    <w:rsid w:val="00E777A1"/>
    <w:rsid w:val="00E8009F"/>
    <w:rsid w:val="00E80AA9"/>
    <w:rsid w:val="00E80E6E"/>
    <w:rsid w:val="00E81456"/>
    <w:rsid w:val="00E8200B"/>
    <w:rsid w:val="00E82E92"/>
    <w:rsid w:val="00E84AD3"/>
    <w:rsid w:val="00E84CCE"/>
    <w:rsid w:val="00E85034"/>
    <w:rsid w:val="00E86356"/>
    <w:rsid w:val="00E86651"/>
    <w:rsid w:val="00E86E94"/>
    <w:rsid w:val="00E86EE8"/>
    <w:rsid w:val="00E87B14"/>
    <w:rsid w:val="00E90B8C"/>
    <w:rsid w:val="00E9104F"/>
    <w:rsid w:val="00E915D2"/>
    <w:rsid w:val="00E932F2"/>
    <w:rsid w:val="00E93C18"/>
    <w:rsid w:val="00E94655"/>
    <w:rsid w:val="00E95373"/>
    <w:rsid w:val="00E958FD"/>
    <w:rsid w:val="00E95B8F"/>
    <w:rsid w:val="00E96B19"/>
    <w:rsid w:val="00E975B7"/>
    <w:rsid w:val="00E97A3E"/>
    <w:rsid w:val="00EA09B6"/>
    <w:rsid w:val="00EA0F45"/>
    <w:rsid w:val="00EA0F5E"/>
    <w:rsid w:val="00EA1187"/>
    <w:rsid w:val="00EA32E7"/>
    <w:rsid w:val="00EA3705"/>
    <w:rsid w:val="00EA3AE8"/>
    <w:rsid w:val="00EA47AF"/>
    <w:rsid w:val="00EA5856"/>
    <w:rsid w:val="00EA5915"/>
    <w:rsid w:val="00EA649B"/>
    <w:rsid w:val="00EB082D"/>
    <w:rsid w:val="00EB0F60"/>
    <w:rsid w:val="00EB2412"/>
    <w:rsid w:val="00EB35F0"/>
    <w:rsid w:val="00EB3696"/>
    <w:rsid w:val="00EB3E26"/>
    <w:rsid w:val="00EB42E4"/>
    <w:rsid w:val="00EB47F8"/>
    <w:rsid w:val="00EB552A"/>
    <w:rsid w:val="00EB5F8A"/>
    <w:rsid w:val="00EB7000"/>
    <w:rsid w:val="00EC035F"/>
    <w:rsid w:val="00EC0624"/>
    <w:rsid w:val="00EC11FA"/>
    <w:rsid w:val="00EC2A64"/>
    <w:rsid w:val="00EC2CA6"/>
    <w:rsid w:val="00EC3691"/>
    <w:rsid w:val="00EC36B4"/>
    <w:rsid w:val="00EC4592"/>
    <w:rsid w:val="00EC5DBC"/>
    <w:rsid w:val="00EC69A4"/>
    <w:rsid w:val="00EC6E23"/>
    <w:rsid w:val="00ED0549"/>
    <w:rsid w:val="00ED345F"/>
    <w:rsid w:val="00ED3765"/>
    <w:rsid w:val="00ED4878"/>
    <w:rsid w:val="00ED57BC"/>
    <w:rsid w:val="00ED5F51"/>
    <w:rsid w:val="00ED6C6A"/>
    <w:rsid w:val="00ED733C"/>
    <w:rsid w:val="00EE126E"/>
    <w:rsid w:val="00EE6DDE"/>
    <w:rsid w:val="00EE7039"/>
    <w:rsid w:val="00EE7E70"/>
    <w:rsid w:val="00EF00F6"/>
    <w:rsid w:val="00EF0BE4"/>
    <w:rsid w:val="00EF2B25"/>
    <w:rsid w:val="00EF46F8"/>
    <w:rsid w:val="00EF5DFD"/>
    <w:rsid w:val="00EF6A48"/>
    <w:rsid w:val="00EF700C"/>
    <w:rsid w:val="00EF7B60"/>
    <w:rsid w:val="00EF7E88"/>
    <w:rsid w:val="00F013CF"/>
    <w:rsid w:val="00F01461"/>
    <w:rsid w:val="00F014E0"/>
    <w:rsid w:val="00F01ADD"/>
    <w:rsid w:val="00F02D4A"/>
    <w:rsid w:val="00F02DE9"/>
    <w:rsid w:val="00F04201"/>
    <w:rsid w:val="00F11CD0"/>
    <w:rsid w:val="00F11E75"/>
    <w:rsid w:val="00F126E4"/>
    <w:rsid w:val="00F1331B"/>
    <w:rsid w:val="00F13F41"/>
    <w:rsid w:val="00F14C60"/>
    <w:rsid w:val="00F14E20"/>
    <w:rsid w:val="00F15516"/>
    <w:rsid w:val="00F15BC7"/>
    <w:rsid w:val="00F17A68"/>
    <w:rsid w:val="00F17CF9"/>
    <w:rsid w:val="00F228A9"/>
    <w:rsid w:val="00F259BF"/>
    <w:rsid w:val="00F25F1A"/>
    <w:rsid w:val="00F27CBE"/>
    <w:rsid w:val="00F30E32"/>
    <w:rsid w:val="00F30E8C"/>
    <w:rsid w:val="00F31A66"/>
    <w:rsid w:val="00F31CE9"/>
    <w:rsid w:val="00F32FEE"/>
    <w:rsid w:val="00F33689"/>
    <w:rsid w:val="00F3412C"/>
    <w:rsid w:val="00F353EC"/>
    <w:rsid w:val="00F3707F"/>
    <w:rsid w:val="00F414F9"/>
    <w:rsid w:val="00F423B6"/>
    <w:rsid w:val="00F43B4E"/>
    <w:rsid w:val="00F43BE9"/>
    <w:rsid w:val="00F4520B"/>
    <w:rsid w:val="00F45788"/>
    <w:rsid w:val="00F469DB"/>
    <w:rsid w:val="00F507E4"/>
    <w:rsid w:val="00F51ED1"/>
    <w:rsid w:val="00F51FAA"/>
    <w:rsid w:val="00F52167"/>
    <w:rsid w:val="00F52E4F"/>
    <w:rsid w:val="00F53B37"/>
    <w:rsid w:val="00F54061"/>
    <w:rsid w:val="00F54366"/>
    <w:rsid w:val="00F609CD"/>
    <w:rsid w:val="00F61027"/>
    <w:rsid w:val="00F6226F"/>
    <w:rsid w:val="00F62D28"/>
    <w:rsid w:val="00F6322A"/>
    <w:rsid w:val="00F63C46"/>
    <w:rsid w:val="00F63EBA"/>
    <w:rsid w:val="00F64894"/>
    <w:rsid w:val="00F64AED"/>
    <w:rsid w:val="00F6584A"/>
    <w:rsid w:val="00F6607D"/>
    <w:rsid w:val="00F668F5"/>
    <w:rsid w:val="00F6754F"/>
    <w:rsid w:val="00F67693"/>
    <w:rsid w:val="00F676C8"/>
    <w:rsid w:val="00F70EF7"/>
    <w:rsid w:val="00F71680"/>
    <w:rsid w:val="00F71CE0"/>
    <w:rsid w:val="00F7272D"/>
    <w:rsid w:val="00F74496"/>
    <w:rsid w:val="00F749AA"/>
    <w:rsid w:val="00F74C52"/>
    <w:rsid w:val="00F75196"/>
    <w:rsid w:val="00F7741B"/>
    <w:rsid w:val="00F77466"/>
    <w:rsid w:val="00F811A8"/>
    <w:rsid w:val="00F811EB"/>
    <w:rsid w:val="00F812C8"/>
    <w:rsid w:val="00F814FD"/>
    <w:rsid w:val="00F815F9"/>
    <w:rsid w:val="00F82F05"/>
    <w:rsid w:val="00F8316C"/>
    <w:rsid w:val="00F836D4"/>
    <w:rsid w:val="00F8433D"/>
    <w:rsid w:val="00F86833"/>
    <w:rsid w:val="00F86AE2"/>
    <w:rsid w:val="00F87970"/>
    <w:rsid w:val="00F901F7"/>
    <w:rsid w:val="00F91FEC"/>
    <w:rsid w:val="00F92131"/>
    <w:rsid w:val="00F934A1"/>
    <w:rsid w:val="00F93B83"/>
    <w:rsid w:val="00F9499D"/>
    <w:rsid w:val="00F955CB"/>
    <w:rsid w:val="00F95997"/>
    <w:rsid w:val="00F95A24"/>
    <w:rsid w:val="00F97105"/>
    <w:rsid w:val="00F9734F"/>
    <w:rsid w:val="00F97D5B"/>
    <w:rsid w:val="00FA0571"/>
    <w:rsid w:val="00FA3D1B"/>
    <w:rsid w:val="00FA45CF"/>
    <w:rsid w:val="00FA473B"/>
    <w:rsid w:val="00FA49F1"/>
    <w:rsid w:val="00FA57F7"/>
    <w:rsid w:val="00FA5F14"/>
    <w:rsid w:val="00FB1440"/>
    <w:rsid w:val="00FB1CD3"/>
    <w:rsid w:val="00FB1F3D"/>
    <w:rsid w:val="00FB20BA"/>
    <w:rsid w:val="00FB3FBE"/>
    <w:rsid w:val="00FB54BC"/>
    <w:rsid w:val="00FB594A"/>
    <w:rsid w:val="00FB6358"/>
    <w:rsid w:val="00FB6D94"/>
    <w:rsid w:val="00FB7CC2"/>
    <w:rsid w:val="00FC0568"/>
    <w:rsid w:val="00FC16E9"/>
    <w:rsid w:val="00FC2DB7"/>
    <w:rsid w:val="00FC3693"/>
    <w:rsid w:val="00FC55D4"/>
    <w:rsid w:val="00FC5AEA"/>
    <w:rsid w:val="00FC5FE1"/>
    <w:rsid w:val="00FC7176"/>
    <w:rsid w:val="00FC7771"/>
    <w:rsid w:val="00FD09C6"/>
    <w:rsid w:val="00FD101C"/>
    <w:rsid w:val="00FD11DB"/>
    <w:rsid w:val="00FD1290"/>
    <w:rsid w:val="00FD3129"/>
    <w:rsid w:val="00FD3EBB"/>
    <w:rsid w:val="00FD3ED5"/>
    <w:rsid w:val="00FD4A62"/>
    <w:rsid w:val="00FD6779"/>
    <w:rsid w:val="00FD6818"/>
    <w:rsid w:val="00FD7024"/>
    <w:rsid w:val="00FE004A"/>
    <w:rsid w:val="00FE0355"/>
    <w:rsid w:val="00FE099B"/>
    <w:rsid w:val="00FE2211"/>
    <w:rsid w:val="00FE2549"/>
    <w:rsid w:val="00FE6988"/>
    <w:rsid w:val="00FE6A77"/>
    <w:rsid w:val="00FE7831"/>
    <w:rsid w:val="00FF02F2"/>
    <w:rsid w:val="00FF0B3D"/>
    <w:rsid w:val="00FF0E25"/>
    <w:rsid w:val="00FF1822"/>
    <w:rsid w:val="00FF226A"/>
    <w:rsid w:val="00FF2DD7"/>
    <w:rsid w:val="00FF496F"/>
    <w:rsid w:val="00FF5416"/>
    <w:rsid w:val="00FF69A5"/>
    <w:rsid w:val="00FF6BBF"/>
    <w:rsid w:val="00FF6F4D"/>
    <w:rsid w:val="020BE67E"/>
    <w:rsid w:val="02922309"/>
    <w:rsid w:val="034AF04F"/>
    <w:rsid w:val="045981D8"/>
    <w:rsid w:val="046A2632"/>
    <w:rsid w:val="04CF2D06"/>
    <w:rsid w:val="050855D5"/>
    <w:rsid w:val="054C4EAE"/>
    <w:rsid w:val="05535F28"/>
    <w:rsid w:val="06D4DA65"/>
    <w:rsid w:val="0728E11C"/>
    <w:rsid w:val="080C22C7"/>
    <w:rsid w:val="0870AAC6"/>
    <w:rsid w:val="089DB4C9"/>
    <w:rsid w:val="08BB26C3"/>
    <w:rsid w:val="0A40F95F"/>
    <w:rsid w:val="0AC8C35C"/>
    <w:rsid w:val="0D053CC4"/>
    <w:rsid w:val="0D3A3615"/>
    <w:rsid w:val="0DCC0F9D"/>
    <w:rsid w:val="0DD05758"/>
    <w:rsid w:val="0E630B5E"/>
    <w:rsid w:val="0F63D223"/>
    <w:rsid w:val="10AD104B"/>
    <w:rsid w:val="115801B3"/>
    <w:rsid w:val="11AB8D6F"/>
    <w:rsid w:val="14AAE99E"/>
    <w:rsid w:val="1545260D"/>
    <w:rsid w:val="16451629"/>
    <w:rsid w:val="164A383D"/>
    <w:rsid w:val="167D8A2A"/>
    <w:rsid w:val="16EF4AF0"/>
    <w:rsid w:val="175A3FD5"/>
    <w:rsid w:val="187FF2D8"/>
    <w:rsid w:val="18C4C1D5"/>
    <w:rsid w:val="19030783"/>
    <w:rsid w:val="1A3E8B57"/>
    <w:rsid w:val="1ACACFDC"/>
    <w:rsid w:val="1B7ACAD0"/>
    <w:rsid w:val="1CB71B1F"/>
    <w:rsid w:val="1E3BE39A"/>
    <w:rsid w:val="1F01C6D8"/>
    <w:rsid w:val="1F4D1685"/>
    <w:rsid w:val="1F570BEB"/>
    <w:rsid w:val="200DAA76"/>
    <w:rsid w:val="2013DC2C"/>
    <w:rsid w:val="2098AC92"/>
    <w:rsid w:val="211E143F"/>
    <w:rsid w:val="2173845C"/>
    <w:rsid w:val="21F2F00A"/>
    <w:rsid w:val="21FCE95D"/>
    <w:rsid w:val="23C864E4"/>
    <w:rsid w:val="24587BFE"/>
    <w:rsid w:val="24CE7BD9"/>
    <w:rsid w:val="25A81D78"/>
    <w:rsid w:val="262C65CE"/>
    <w:rsid w:val="26CE302A"/>
    <w:rsid w:val="293AF024"/>
    <w:rsid w:val="29E8A8BF"/>
    <w:rsid w:val="2AD48D80"/>
    <w:rsid w:val="2C3D7B23"/>
    <w:rsid w:val="2C4BC257"/>
    <w:rsid w:val="2C94D7A7"/>
    <w:rsid w:val="2D34AE44"/>
    <w:rsid w:val="2D3F3816"/>
    <w:rsid w:val="2E5F38DA"/>
    <w:rsid w:val="2E98145E"/>
    <w:rsid w:val="2F1CA923"/>
    <w:rsid w:val="2F2CEC31"/>
    <w:rsid w:val="301FE6FD"/>
    <w:rsid w:val="30C42C8C"/>
    <w:rsid w:val="311B4936"/>
    <w:rsid w:val="313EFA53"/>
    <w:rsid w:val="325D5250"/>
    <w:rsid w:val="32EC04B6"/>
    <w:rsid w:val="34291B97"/>
    <w:rsid w:val="3575B1B0"/>
    <w:rsid w:val="3683DAE6"/>
    <w:rsid w:val="36A670EE"/>
    <w:rsid w:val="36ABC32B"/>
    <w:rsid w:val="36F46B6E"/>
    <w:rsid w:val="398E0EED"/>
    <w:rsid w:val="3A496272"/>
    <w:rsid w:val="3A590E3D"/>
    <w:rsid w:val="3B3ABCED"/>
    <w:rsid w:val="3B3CB980"/>
    <w:rsid w:val="3BEDD12F"/>
    <w:rsid w:val="3BF6336A"/>
    <w:rsid w:val="3C2B2C53"/>
    <w:rsid w:val="3C4A491F"/>
    <w:rsid w:val="3C69F1FB"/>
    <w:rsid w:val="3CACEC43"/>
    <w:rsid w:val="3D0CDE51"/>
    <w:rsid w:val="3D8A484F"/>
    <w:rsid w:val="3ED2BCC8"/>
    <w:rsid w:val="40677635"/>
    <w:rsid w:val="40AD10AF"/>
    <w:rsid w:val="40CC15B4"/>
    <w:rsid w:val="41E1967D"/>
    <w:rsid w:val="423BAE1A"/>
    <w:rsid w:val="42403403"/>
    <w:rsid w:val="42A2F75A"/>
    <w:rsid w:val="4309994F"/>
    <w:rsid w:val="43824B51"/>
    <w:rsid w:val="444DCE74"/>
    <w:rsid w:val="44BB52F3"/>
    <w:rsid w:val="44EC8BAE"/>
    <w:rsid w:val="454C8138"/>
    <w:rsid w:val="457C0940"/>
    <w:rsid w:val="45B86137"/>
    <w:rsid w:val="4966D6AA"/>
    <w:rsid w:val="4A402A42"/>
    <w:rsid w:val="4A4BFAD7"/>
    <w:rsid w:val="4A8D65F1"/>
    <w:rsid w:val="4AB18DC9"/>
    <w:rsid w:val="4AE3384E"/>
    <w:rsid w:val="4B1C4B02"/>
    <w:rsid w:val="4B5E7F6A"/>
    <w:rsid w:val="4B90251E"/>
    <w:rsid w:val="4CF79D93"/>
    <w:rsid w:val="4D7F1E3D"/>
    <w:rsid w:val="4DB1E1F7"/>
    <w:rsid w:val="4E51A56B"/>
    <w:rsid w:val="4E53EBC4"/>
    <w:rsid w:val="4E6098C0"/>
    <w:rsid w:val="4E85B918"/>
    <w:rsid w:val="514363D1"/>
    <w:rsid w:val="51B1E7BD"/>
    <w:rsid w:val="51F1E232"/>
    <w:rsid w:val="5245DC7D"/>
    <w:rsid w:val="534DB6BA"/>
    <w:rsid w:val="5562C025"/>
    <w:rsid w:val="56872F45"/>
    <w:rsid w:val="58A1160B"/>
    <w:rsid w:val="58D9D8DE"/>
    <w:rsid w:val="58E90C7F"/>
    <w:rsid w:val="5971CBD8"/>
    <w:rsid w:val="598C10B6"/>
    <w:rsid w:val="59E46EB8"/>
    <w:rsid w:val="5A3CE66C"/>
    <w:rsid w:val="5D8A50F6"/>
    <w:rsid w:val="5DACB422"/>
    <w:rsid w:val="60677DBE"/>
    <w:rsid w:val="6188D6BC"/>
    <w:rsid w:val="622ECFF4"/>
    <w:rsid w:val="63341A7B"/>
    <w:rsid w:val="63B3DEA3"/>
    <w:rsid w:val="640DFDFE"/>
    <w:rsid w:val="64DF1E21"/>
    <w:rsid w:val="65E87BAA"/>
    <w:rsid w:val="6672BCDC"/>
    <w:rsid w:val="6771B526"/>
    <w:rsid w:val="67D5E0A9"/>
    <w:rsid w:val="6898CF8A"/>
    <w:rsid w:val="6AF0A788"/>
    <w:rsid w:val="6B95B013"/>
    <w:rsid w:val="6DDEBC47"/>
    <w:rsid w:val="6E97EF4A"/>
    <w:rsid w:val="6EF6332C"/>
    <w:rsid w:val="72C4708A"/>
    <w:rsid w:val="7477865A"/>
    <w:rsid w:val="75DC51FB"/>
    <w:rsid w:val="76313DEA"/>
    <w:rsid w:val="78608778"/>
    <w:rsid w:val="7A6ED792"/>
    <w:rsid w:val="7C7D4A52"/>
    <w:rsid w:val="7CAB50FA"/>
    <w:rsid w:val="7D3762E2"/>
    <w:rsid w:val="7D8B3416"/>
    <w:rsid w:val="7E975ED4"/>
    <w:rsid w:val="7EFD523C"/>
    <w:rsid w:val="7F2B644C"/>
    <w:rsid w:val="7F56CC61"/>
    <w:rsid w:val="7FEEA8D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01E4"/>
  <w15:docId w15:val="{005CD859-D0BD-40B3-8BE9-E5EABE3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006"/>
    <w:pPr>
      <w:spacing w:after="200" w:line="276" w:lineRule="auto"/>
    </w:pPr>
    <w:rPr>
      <w:rFonts w:ascii="Calibri" w:eastAsia="ヒラギノ角ゴ Pro W3" w:hAnsi="Calibri" w:cs="Times New Roman"/>
      <w:color w:val="000000"/>
      <w:szCs w:val="24"/>
      <w:lang w:val="en-US"/>
    </w:rPr>
  </w:style>
  <w:style w:type="paragraph" w:styleId="Titre1">
    <w:name w:val="heading 1"/>
    <w:basedOn w:val="Normal"/>
    <w:next w:val="Normal"/>
    <w:link w:val="Titre1Car"/>
    <w:uiPriority w:val="9"/>
    <w:qFormat/>
    <w:rsid w:val="00D750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750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D75006"/>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ubli1">
    <w:name w:val="Publi1"/>
    <w:basedOn w:val="Titre1"/>
    <w:next w:val="Publi2"/>
    <w:qFormat/>
    <w:rsid w:val="00D75006"/>
    <w:pPr>
      <w:numPr>
        <w:numId w:val="1"/>
      </w:numPr>
      <w:spacing w:before="480"/>
    </w:pPr>
    <w:rPr>
      <w:rFonts w:ascii="Times New Roman" w:hAnsi="Times New Roman"/>
      <w:b/>
      <w:bCs/>
      <w:color w:val="auto"/>
      <w:sz w:val="28"/>
      <w:szCs w:val="28"/>
    </w:rPr>
  </w:style>
  <w:style w:type="paragraph" w:customStyle="1" w:styleId="Publi2">
    <w:name w:val="Publi2"/>
    <w:basedOn w:val="Titre2"/>
    <w:next w:val="PubliManuscript"/>
    <w:qFormat/>
    <w:rsid w:val="00D75006"/>
    <w:pPr>
      <w:numPr>
        <w:ilvl w:val="1"/>
        <w:numId w:val="1"/>
      </w:numPr>
      <w:spacing w:before="120"/>
    </w:pPr>
    <w:rPr>
      <w:rFonts w:ascii="Times New Roman" w:hAnsi="Times New Roman"/>
      <w:b/>
      <w:bCs/>
      <w:i/>
      <w:color w:val="000000" w:themeColor="text1"/>
      <w:sz w:val="24"/>
    </w:rPr>
  </w:style>
  <w:style w:type="paragraph" w:customStyle="1" w:styleId="PubliManuscript">
    <w:name w:val="PubliManuscript"/>
    <w:basedOn w:val="Normal"/>
    <w:qFormat/>
    <w:rsid w:val="00D75006"/>
    <w:pPr>
      <w:widowControl w:val="0"/>
      <w:spacing w:before="120" w:after="120" w:line="480" w:lineRule="auto"/>
      <w:ind w:firstLine="567"/>
      <w:jc w:val="both"/>
    </w:pPr>
    <w:rPr>
      <w:rFonts w:ascii="Times New Roman" w:hAnsi="Times New Roman"/>
    </w:rPr>
  </w:style>
  <w:style w:type="character" w:styleId="Lienhypertexte">
    <w:name w:val="Hyperlink"/>
    <w:basedOn w:val="Policepardfaut"/>
    <w:uiPriority w:val="99"/>
    <w:unhideWhenUsed/>
    <w:rsid w:val="00D75006"/>
    <w:rPr>
      <w:color w:val="0563C1" w:themeColor="hyperlink"/>
      <w:u w:val="single"/>
    </w:rPr>
  </w:style>
  <w:style w:type="paragraph" w:customStyle="1" w:styleId="Publi3">
    <w:name w:val="Publi3"/>
    <w:basedOn w:val="Titre3"/>
    <w:next w:val="PubliManuscript"/>
    <w:qFormat/>
    <w:rsid w:val="00D75006"/>
    <w:pPr>
      <w:numPr>
        <w:numId w:val="2"/>
      </w:numPr>
      <w:spacing w:before="200"/>
    </w:pPr>
    <w:rPr>
      <w:rFonts w:ascii="Times New Roman" w:hAnsi="Times New Roman"/>
      <w:b/>
      <w:bCs/>
      <w:color w:val="auto"/>
      <w:sz w:val="22"/>
    </w:rPr>
  </w:style>
  <w:style w:type="paragraph" w:styleId="Pieddepage">
    <w:name w:val="footer"/>
    <w:basedOn w:val="Normal"/>
    <w:link w:val="PieddepageCar"/>
    <w:uiPriority w:val="99"/>
    <w:unhideWhenUsed/>
    <w:rsid w:val="00D75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5006"/>
    <w:rPr>
      <w:rFonts w:ascii="Calibri" w:eastAsia="ヒラギノ角ゴ Pro W3" w:hAnsi="Calibri" w:cs="Times New Roman"/>
      <w:color w:val="000000"/>
      <w:szCs w:val="24"/>
      <w:lang w:val="en-US"/>
    </w:rPr>
  </w:style>
  <w:style w:type="character" w:customStyle="1" w:styleId="Titre1Car">
    <w:name w:val="Titre 1 Car"/>
    <w:basedOn w:val="Policepardfaut"/>
    <w:link w:val="Titre1"/>
    <w:uiPriority w:val="9"/>
    <w:rsid w:val="00D75006"/>
    <w:rPr>
      <w:rFonts w:asciiTheme="majorHAnsi" w:eastAsiaTheme="majorEastAsia" w:hAnsiTheme="majorHAnsi" w:cstheme="majorBidi"/>
      <w:color w:val="2F5496" w:themeColor="accent1" w:themeShade="BF"/>
      <w:sz w:val="32"/>
      <w:szCs w:val="32"/>
      <w:lang w:val="en-US"/>
    </w:rPr>
  </w:style>
  <w:style w:type="character" w:customStyle="1" w:styleId="Titre2Car">
    <w:name w:val="Titre 2 Car"/>
    <w:basedOn w:val="Policepardfaut"/>
    <w:link w:val="Titre2"/>
    <w:uiPriority w:val="9"/>
    <w:semiHidden/>
    <w:rsid w:val="00D75006"/>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semiHidden/>
    <w:rsid w:val="00D75006"/>
    <w:rPr>
      <w:rFonts w:asciiTheme="majorHAnsi" w:eastAsiaTheme="majorEastAsia" w:hAnsiTheme="majorHAnsi" w:cstheme="majorBidi"/>
      <w:color w:val="1F3763" w:themeColor="accent1" w:themeShade="7F"/>
      <w:sz w:val="24"/>
      <w:szCs w:val="24"/>
      <w:lang w:val="en-US"/>
    </w:rPr>
  </w:style>
  <w:style w:type="character" w:styleId="Numrodeligne">
    <w:name w:val="line number"/>
    <w:basedOn w:val="Policepardfaut"/>
    <w:uiPriority w:val="99"/>
    <w:semiHidden/>
    <w:unhideWhenUsed/>
    <w:rsid w:val="00D75006"/>
  </w:style>
  <w:style w:type="character" w:styleId="Textedelespacerserv">
    <w:name w:val="Placeholder Text"/>
    <w:basedOn w:val="Policepardfaut"/>
    <w:uiPriority w:val="99"/>
    <w:semiHidden/>
    <w:rsid w:val="00764D9D"/>
    <w:rPr>
      <w:color w:val="808080"/>
    </w:rPr>
  </w:style>
  <w:style w:type="character" w:styleId="Marquedecommentaire">
    <w:name w:val="annotation reference"/>
    <w:basedOn w:val="Policepardfaut"/>
    <w:uiPriority w:val="99"/>
    <w:semiHidden/>
    <w:unhideWhenUsed/>
    <w:rsid w:val="00073F0B"/>
    <w:rPr>
      <w:sz w:val="16"/>
      <w:szCs w:val="16"/>
    </w:rPr>
  </w:style>
  <w:style w:type="paragraph" w:styleId="Commentaire">
    <w:name w:val="annotation text"/>
    <w:basedOn w:val="Normal"/>
    <w:link w:val="CommentaireCar"/>
    <w:uiPriority w:val="99"/>
    <w:unhideWhenUsed/>
    <w:rsid w:val="00073F0B"/>
    <w:pPr>
      <w:spacing w:line="240" w:lineRule="auto"/>
    </w:pPr>
    <w:rPr>
      <w:sz w:val="20"/>
      <w:szCs w:val="20"/>
    </w:rPr>
  </w:style>
  <w:style w:type="character" w:customStyle="1" w:styleId="CommentaireCar">
    <w:name w:val="Commentaire Car"/>
    <w:basedOn w:val="Policepardfaut"/>
    <w:link w:val="Commentaire"/>
    <w:uiPriority w:val="99"/>
    <w:rsid w:val="00073F0B"/>
    <w:rPr>
      <w:rFonts w:ascii="Calibri" w:eastAsia="ヒラギノ角ゴ Pro W3" w:hAnsi="Calibri" w:cs="Times New Roman"/>
      <w:color w:val="000000"/>
      <w:sz w:val="20"/>
      <w:szCs w:val="20"/>
      <w:lang w:val="en-US"/>
    </w:rPr>
  </w:style>
  <w:style w:type="paragraph" w:styleId="Objetducommentaire">
    <w:name w:val="annotation subject"/>
    <w:basedOn w:val="Commentaire"/>
    <w:next w:val="Commentaire"/>
    <w:link w:val="ObjetducommentaireCar"/>
    <w:uiPriority w:val="99"/>
    <w:semiHidden/>
    <w:unhideWhenUsed/>
    <w:rsid w:val="00073F0B"/>
    <w:rPr>
      <w:b/>
      <w:bCs/>
    </w:rPr>
  </w:style>
  <w:style w:type="character" w:customStyle="1" w:styleId="ObjetducommentaireCar">
    <w:name w:val="Objet du commentaire Car"/>
    <w:basedOn w:val="CommentaireCar"/>
    <w:link w:val="Objetducommentaire"/>
    <w:uiPriority w:val="99"/>
    <w:semiHidden/>
    <w:rsid w:val="00073F0B"/>
    <w:rPr>
      <w:rFonts w:ascii="Calibri" w:eastAsia="ヒラギノ角ゴ Pro W3" w:hAnsi="Calibri" w:cs="Times New Roman"/>
      <w:b/>
      <w:bCs/>
      <w:color w:val="000000"/>
      <w:sz w:val="20"/>
      <w:szCs w:val="20"/>
      <w:lang w:val="en-US"/>
    </w:rPr>
  </w:style>
  <w:style w:type="table" w:styleId="Grilledutableau">
    <w:name w:val="Table Grid"/>
    <w:basedOn w:val="TableauNormal"/>
    <w:uiPriority w:val="39"/>
    <w:rsid w:val="00172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C1357"/>
    <w:rPr>
      <w:color w:val="605E5C"/>
      <w:shd w:val="clear" w:color="auto" w:fill="E1DFDD"/>
    </w:rPr>
  </w:style>
  <w:style w:type="character" w:styleId="Accentuation">
    <w:name w:val="Emphasis"/>
    <w:basedOn w:val="Policepardfaut"/>
    <w:uiPriority w:val="20"/>
    <w:qFormat/>
    <w:rsid w:val="00185E81"/>
    <w:rPr>
      <w:i/>
      <w:iCs/>
    </w:rPr>
  </w:style>
  <w:style w:type="paragraph" w:styleId="Rvision">
    <w:name w:val="Revision"/>
    <w:hidden/>
    <w:uiPriority w:val="99"/>
    <w:semiHidden/>
    <w:rsid w:val="00690354"/>
    <w:pPr>
      <w:spacing w:after="0" w:line="240" w:lineRule="auto"/>
    </w:pPr>
    <w:rPr>
      <w:rFonts w:ascii="Calibri" w:eastAsia="ヒラギノ角ゴ Pro W3" w:hAnsi="Calibri" w:cs="Times New Roman"/>
      <w:color w:val="000000"/>
      <w:szCs w:val="24"/>
      <w:lang w:val="en-US"/>
    </w:rPr>
  </w:style>
  <w:style w:type="character" w:customStyle="1" w:styleId="anchor-text">
    <w:name w:val="anchor-text"/>
    <w:basedOn w:val="Policepardfaut"/>
    <w:rsid w:val="0022239A"/>
  </w:style>
  <w:style w:type="paragraph" w:customStyle="1" w:styleId="Standard">
    <w:name w:val="Standard"/>
    <w:rsid w:val="00461136"/>
    <w:pPr>
      <w:suppressAutoHyphens/>
      <w:autoSpaceDN w:val="0"/>
      <w:spacing w:after="200" w:line="276" w:lineRule="auto"/>
      <w:textAlignment w:val="baseline"/>
    </w:pPr>
    <w:rPr>
      <w:rFonts w:ascii="Calibri" w:eastAsia="Calibri" w:hAnsi="Calibri" w:cs="Calibri"/>
      <w:lang w:val="fr-FR"/>
    </w:rPr>
  </w:style>
  <w:style w:type="character" w:customStyle="1" w:styleId="volumeinfo">
    <w:name w:val="volumeinfo"/>
    <w:basedOn w:val="Policepardfaut"/>
    <w:rsid w:val="00855B27"/>
  </w:style>
  <w:style w:type="character" w:customStyle="1" w:styleId="text">
    <w:name w:val="text"/>
    <w:basedOn w:val="Policepardfaut"/>
    <w:rsid w:val="00F45788"/>
  </w:style>
  <w:style w:type="paragraph" w:customStyle="1" w:styleId="Default">
    <w:name w:val="Default"/>
    <w:rsid w:val="0069415E"/>
    <w:pPr>
      <w:autoSpaceDE w:val="0"/>
      <w:autoSpaceDN w:val="0"/>
      <w:adjustRightInd w:val="0"/>
      <w:spacing w:after="0" w:line="240" w:lineRule="auto"/>
    </w:pPr>
    <w:rPr>
      <w:rFonts w:ascii="Arial Narrow" w:hAnsi="Arial Narrow" w:cs="Arial Narrow"/>
      <w:color w:val="000000"/>
      <w:sz w:val="24"/>
      <w:szCs w:val="24"/>
    </w:rPr>
  </w:style>
  <w:style w:type="character" w:customStyle="1" w:styleId="A2">
    <w:name w:val="A2"/>
    <w:uiPriority w:val="99"/>
    <w:rsid w:val="0069415E"/>
    <w:rPr>
      <w:rFonts w:cs="Arial Narrow"/>
      <w:color w:val="000000"/>
      <w:sz w:val="16"/>
      <w:szCs w:val="16"/>
    </w:rPr>
  </w:style>
  <w:style w:type="paragraph" w:customStyle="1" w:styleId="pf0">
    <w:name w:val="pf0"/>
    <w:basedOn w:val="Normal"/>
    <w:rsid w:val="008959BB"/>
    <w:pPr>
      <w:spacing w:before="100" w:beforeAutospacing="1" w:after="100" w:afterAutospacing="1" w:line="240" w:lineRule="auto"/>
    </w:pPr>
    <w:rPr>
      <w:rFonts w:ascii="Times New Roman" w:eastAsia="Times New Roman" w:hAnsi="Times New Roman"/>
      <w:color w:val="auto"/>
      <w:sz w:val="24"/>
      <w:lang w:val="fr-BE" w:eastAsia="fr-BE"/>
    </w:rPr>
  </w:style>
  <w:style w:type="character" w:customStyle="1" w:styleId="cf01">
    <w:name w:val="cf01"/>
    <w:basedOn w:val="Policepardfaut"/>
    <w:rsid w:val="008959BB"/>
    <w:rPr>
      <w:rFonts w:ascii="Segoe UI" w:hAnsi="Segoe UI" w:cs="Segoe UI" w:hint="default"/>
      <w:color w:val="374051"/>
      <w:sz w:val="18"/>
      <w:szCs w:val="18"/>
      <w:shd w:val="clear" w:color="auto" w:fill="FFFFFF"/>
    </w:rPr>
  </w:style>
  <w:style w:type="paragraph" w:customStyle="1" w:styleId="dx-doi">
    <w:name w:val="dx-doi"/>
    <w:basedOn w:val="Normal"/>
    <w:rsid w:val="00FB7CC2"/>
    <w:pPr>
      <w:spacing w:before="100" w:beforeAutospacing="1" w:after="100" w:afterAutospacing="1" w:line="240" w:lineRule="auto"/>
    </w:pPr>
    <w:rPr>
      <w:rFonts w:ascii="Times New Roman" w:eastAsia="Times New Roman" w:hAnsi="Times New Roman"/>
      <w:color w:val="auto"/>
      <w:sz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4315">
      <w:bodyDiv w:val="1"/>
      <w:marLeft w:val="0"/>
      <w:marRight w:val="0"/>
      <w:marTop w:val="0"/>
      <w:marBottom w:val="0"/>
      <w:divBdr>
        <w:top w:val="none" w:sz="0" w:space="0" w:color="auto"/>
        <w:left w:val="none" w:sz="0" w:space="0" w:color="auto"/>
        <w:bottom w:val="none" w:sz="0" w:space="0" w:color="auto"/>
        <w:right w:val="none" w:sz="0" w:space="0" w:color="auto"/>
      </w:divBdr>
      <w:divsChild>
        <w:div w:id="1273169933">
          <w:marLeft w:val="0"/>
          <w:marRight w:val="0"/>
          <w:marTop w:val="0"/>
          <w:marBottom w:val="0"/>
          <w:divBdr>
            <w:top w:val="none" w:sz="0" w:space="0" w:color="auto"/>
            <w:left w:val="none" w:sz="0" w:space="0" w:color="auto"/>
            <w:bottom w:val="none" w:sz="0" w:space="0" w:color="auto"/>
            <w:right w:val="none" w:sz="0" w:space="0" w:color="auto"/>
          </w:divBdr>
        </w:div>
      </w:divsChild>
    </w:div>
    <w:div w:id="126632213">
      <w:bodyDiv w:val="1"/>
      <w:marLeft w:val="0"/>
      <w:marRight w:val="0"/>
      <w:marTop w:val="0"/>
      <w:marBottom w:val="0"/>
      <w:divBdr>
        <w:top w:val="none" w:sz="0" w:space="0" w:color="auto"/>
        <w:left w:val="none" w:sz="0" w:space="0" w:color="auto"/>
        <w:bottom w:val="none" w:sz="0" w:space="0" w:color="auto"/>
        <w:right w:val="none" w:sz="0" w:space="0" w:color="auto"/>
      </w:divBdr>
    </w:div>
    <w:div w:id="164444785">
      <w:bodyDiv w:val="1"/>
      <w:marLeft w:val="0"/>
      <w:marRight w:val="0"/>
      <w:marTop w:val="0"/>
      <w:marBottom w:val="0"/>
      <w:divBdr>
        <w:top w:val="none" w:sz="0" w:space="0" w:color="auto"/>
        <w:left w:val="none" w:sz="0" w:space="0" w:color="auto"/>
        <w:bottom w:val="none" w:sz="0" w:space="0" w:color="auto"/>
        <w:right w:val="none" w:sz="0" w:space="0" w:color="auto"/>
      </w:divBdr>
      <w:divsChild>
        <w:div w:id="585311141">
          <w:marLeft w:val="0"/>
          <w:marRight w:val="0"/>
          <w:marTop w:val="0"/>
          <w:marBottom w:val="0"/>
          <w:divBdr>
            <w:top w:val="none" w:sz="0" w:space="0" w:color="auto"/>
            <w:left w:val="none" w:sz="0" w:space="0" w:color="auto"/>
            <w:bottom w:val="none" w:sz="0" w:space="0" w:color="auto"/>
            <w:right w:val="none" w:sz="0" w:space="0" w:color="auto"/>
          </w:divBdr>
        </w:div>
        <w:div w:id="1234584722">
          <w:marLeft w:val="0"/>
          <w:marRight w:val="0"/>
          <w:marTop w:val="0"/>
          <w:marBottom w:val="0"/>
          <w:divBdr>
            <w:top w:val="none" w:sz="0" w:space="0" w:color="auto"/>
            <w:left w:val="none" w:sz="0" w:space="0" w:color="auto"/>
            <w:bottom w:val="none" w:sz="0" w:space="0" w:color="auto"/>
            <w:right w:val="none" w:sz="0" w:space="0" w:color="auto"/>
          </w:divBdr>
        </w:div>
        <w:div w:id="1513643754">
          <w:marLeft w:val="0"/>
          <w:marRight w:val="0"/>
          <w:marTop w:val="0"/>
          <w:marBottom w:val="0"/>
          <w:divBdr>
            <w:top w:val="none" w:sz="0" w:space="0" w:color="auto"/>
            <w:left w:val="none" w:sz="0" w:space="0" w:color="auto"/>
            <w:bottom w:val="none" w:sz="0" w:space="0" w:color="auto"/>
            <w:right w:val="none" w:sz="0" w:space="0" w:color="auto"/>
          </w:divBdr>
        </w:div>
        <w:div w:id="2079396305">
          <w:marLeft w:val="0"/>
          <w:marRight w:val="0"/>
          <w:marTop w:val="0"/>
          <w:marBottom w:val="0"/>
          <w:divBdr>
            <w:top w:val="none" w:sz="0" w:space="0" w:color="auto"/>
            <w:left w:val="none" w:sz="0" w:space="0" w:color="auto"/>
            <w:bottom w:val="none" w:sz="0" w:space="0" w:color="auto"/>
            <w:right w:val="none" w:sz="0" w:space="0" w:color="auto"/>
          </w:divBdr>
        </w:div>
      </w:divsChild>
    </w:div>
    <w:div w:id="330719104">
      <w:bodyDiv w:val="1"/>
      <w:marLeft w:val="0"/>
      <w:marRight w:val="0"/>
      <w:marTop w:val="0"/>
      <w:marBottom w:val="0"/>
      <w:divBdr>
        <w:top w:val="none" w:sz="0" w:space="0" w:color="auto"/>
        <w:left w:val="none" w:sz="0" w:space="0" w:color="auto"/>
        <w:bottom w:val="none" w:sz="0" w:space="0" w:color="auto"/>
        <w:right w:val="none" w:sz="0" w:space="0" w:color="auto"/>
      </w:divBdr>
      <w:divsChild>
        <w:div w:id="500049783">
          <w:marLeft w:val="0"/>
          <w:marRight w:val="0"/>
          <w:marTop w:val="0"/>
          <w:marBottom w:val="0"/>
          <w:divBdr>
            <w:top w:val="none" w:sz="0" w:space="0" w:color="auto"/>
            <w:left w:val="none" w:sz="0" w:space="0" w:color="auto"/>
            <w:bottom w:val="none" w:sz="0" w:space="0" w:color="auto"/>
            <w:right w:val="none" w:sz="0" w:space="0" w:color="auto"/>
          </w:divBdr>
        </w:div>
      </w:divsChild>
    </w:div>
    <w:div w:id="399140805">
      <w:bodyDiv w:val="1"/>
      <w:marLeft w:val="0"/>
      <w:marRight w:val="0"/>
      <w:marTop w:val="0"/>
      <w:marBottom w:val="0"/>
      <w:divBdr>
        <w:top w:val="none" w:sz="0" w:space="0" w:color="auto"/>
        <w:left w:val="none" w:sz="0" w:space="0" w:color="auto"/>
        <w:bottom w:val="none" w:sz="0" w:space="0" w:color="auto"/>
        <w:right w:val="none" w:sz="0" w:space="0" w:color="auto"/>
      </w:divBdr>
      <w:divsChild>
        <w:div w:id="1202865504">
          <w:marLeft w:val="0"/>
          <w:marRight w:val="0"/>
          <w:marTop w:val="0"/>
          <w:marBottom w:val="0"/>
          <w:divBdr>
            <w:top w:val="none" w:sz="0" w:space="0" w:color="auto"/>
            <w:left w:val="none" w:sz="0" w:space="0" w:color="auto"/>
            <w:bottom w:val="none" w:sz="0" w:space="0" w:color="auto"/>
            <w:right w:val="none" w:sz="0" w:space="0" w:color="auto"/>
          </w:divBdr>
        </w:div>
      </w:divsChild>
    </w:div>
    <w:div w:id="467095226">
      <w:bodyDiv w:val="1"/>
      <w:marLeft w:val="0"/>
      <w:marRight w:val="0"/>
      <w:marTop w:val="0"/>
      <w:marBottom w:val="0"/>
      <w:divBdr>
        <w:top w:val="none" w:sz="0" w:space="0" w:color="auto"/>
        <w:left w:val="none" w:sz="0" w:space="0" w:color="auto"/>
        <w:bottom w:val="none" w:sz="0" w:space="0" w:color="auto"/>
        <w:right w:val="none" w:sz="0" w:space="0" w:color="auto"/>
      </w:divBdr>
    </w:div>
    <w:div w:id="560942182">
      <w:bodyDiv w:val="1"/>
      <w:marLeft w:val="0"/>
      <w:marRight w:val="0"/>
      <w:marTop w:val="0"/>
      <w:marBottom w:val="0"/>
      <w:divBdr>
        <w:top w:val="none" w:sz="0" w:space="0" w:color="auto"/>
        <w:left w:val="none" w:sz="0" w:space="0" w:color="auto"/>
        <w:bottom w:val="none" w:sz="0" w:space="0" w:color="auto"/>
        <w:right w:val="none" w:sz="0" w:space="0" w:color="auto"/>
      </w:divBdr>
      <w:divsChild>
        <w:div w:id="1550728561">
          <w:marLeft w:val="0"/>
          <w:marRight w:val="0"/>
          <w:marTop w:val="0"/>
          <w:marBottom w:val="0"/>
          <w:divBdr>
            <w:top w:val="none" w:sz="0" w:space="0" w:color="auto"/>
            <w:left w:val="none" w:sz="0" w:space="0" w:color="auto"/>
            <w:bottom w:val="none" w:sz="0" w:space="0" w:color="auto"/>
            <w:right w:val="none" w:sz="0" w:space="0" w:color="auto"/>
          </w:divBdr>
        </w:div>
      </w:divsChild>
    </w:div>
    <w:div w:id="564073195">
      <w:bodyDiv w:val="1"/>
      <w:marLeft w:val="0"/>
      <w:marRight w:val="0"/>
      <w:marTop w:val="0"/>
      <w:marBottom w:val="0"/>
      <w:divBdr>
        <w:top w:val="none" w:sz="0" w:space="0" w:color="auto"/>
        <w:left w:val="none" w:sz="0" w:space="0" w:color="auto"/>
        <w:bottom w:val="none" w:sz="0" w:space="0" w:color="auto"/>
        <w:right w:val="none" w:sz="0" w:space="0" w:color="auto"/>
      </w:divBdr>
    </w:div>
    <w:div w:id="696732983">
      <w:bodyDiv w:val="1"/>
      <w:marLeft w:val="0"/>
      <w:marRight w:val="0"/>
      <w:marTop w:val="0"/>
      <w:marBottom w:val="0"/>
      <w:divBdr>
        <w:top w:val="none" w:sz="0" w:space="0" w:color="auto"/>
        <w:left w:val="none" w:sz="0" w:space="0" w:color="auto"/>
        <w:bottom w:val="none" w:sz="0" w:space="0" w:color="auto"/>
        <w:right w:val="none" w:sz="0" w:space="0" w:color="auto"/>
      </w:divBdr>
      <w:divsChild>
        <w:div w:id="1295602822">
          <w:marLeft w:val="0"/>
          <w:marRight w:val="0"/>
          <w:marTop w:val="0"/>
          <w:marBottom w:val="0"/>
          <w:divBdr>
            <w:top w:val="none" w:sz="0" w:space="0" w:color="auto"/>
            <w:left w:val="none" w:sz="0" w:space="0" w:color="auto"/>
            <w:bottom w:val="none" w:sz="0" w:space="0" w:color="auto"/>
            <w:right w:val="none" w:sz="0" w:space="0" w:color="auto"/>
          </w:divBdr>
        </w:div>
      </w:divsChild>
    </w:div>
    <w:div w:id="743064705">
      <w:bodyDiv w:val="1"/>
      <w:marLeft w:val="0"/>
      <w:marRight w:val="0"/>
      <w:marTop w:val="0"/>
      <w:marBottom w:val="0"/>
      <w:divBdr>
        <w:top w:val="none" w:sz="0" w:space="0" w:color="auto"/>
        <w:left w:val="none" w:sz="0" w:space="0" w:color="auto"/>
        <w:bottom w:val="none" w:sz="0" w:space="0" w:color="auto"/>
        <w:right w:val="none" w:sz="0" w:space="0" w:color="auto"/>
      </w:divBdr>
    </w:div>
    <w:div w:id="1165513729">
      <w:bodyDiv w:val="1"/>
      <w:marLeft w:val="0"/>
      <w:marRight w:val="0"/>
      <w:marTop w:val="0"/>
      <w:marBottom w:val="0"/>
      <w:divBdr>
        <w:top w:val="none" w:sz="0" w:space="0" w:color="auto"/>
        <w:left w:val="none" w:sz="0" w:space="0" w:color="auto"/>
        <w:bottom w:val="none" w:sz="0" w:space="0" w:color="auto"/>
        <w:right w:val="none" w:sz="0" w:space="0" w:color="auto"/>
      </w:divBdr>
      <w:divsChild>
        <w:div w:id="2047441764">
          <w:marLeft w:val="0"/>
          <w:marRight w:val="0"/>
          <w:marTop w:val="0"/>
          <w:marBottom w:val="0"/>
          <w:divBdr>
            <w:top w:val="none" w:sz="0" w:space="0" w:color="auto"/>
            <w:left w:val="none" w:sz="0" w:space="0" w:color="auto"/>
            <w:bottom w:val="none" w:sz="0" w:space="0" w:color="auto"/>
            <w:right w:val="none" w:sz="0" w:space="0" w:color="auto"/>
          </w:divBdr>
        </w:div>
      </w:divsChild>
    </w:div>
    <w:div w:id="1234241631">
      <w:bodyDiv w:val="1"/>
      <w:marLeft w:val="0"/>
      <w:marRight w:val="0"/>
      <w:marTop w:val="0"/>
      <w:marBottom w:val="0"/>
      <w:divBdr>
        <w:top w:val="none" w:sz="0" w:space="0" w:color="auto"/>
        <w:left w:val="none" w:sz="0" w:space="0" w:color="auto"/>
        <w:bottom w:val="none" w:sz="0" w:space="0" w:color="auto"/>
        <w:right w:val="none" w:sz="0" w:space="0" w:color="auto"/>
      </w:divBdr>
      <w:divsChild>
        <w:div w:id="1042094647">
          <w:marLeft w:val="0"/>
          <w:marRight w:val="0"/>
          <w:marTop w:val="0"/>
          <w:marBottom w:val="0"/>
          <w:divBdr>
            <w:top w:val="none" w:sz="0" w:space="0" w:color="auto"/>
            <w:left w:val="none" w:sz="0" w:space="0" w:color="auto"/>
            <w:bottom w:val="none" w:sz="0" w:space="0" w:color="auto"/>
            <w:right w:val="none" w:sz="0" w:space="0" w:color="auto"/>
          </w:divBdr>
        </w:div>
      </w:divsChild>
    </w:div>
    <w:div w:id="1271817236">
      <w:bodyDiv w:val="1"/>
      <w:marLeft w:val="0"/>
      <w:marRight w:val="0"/>
      <w:marTop w:val="0"/>
      <w:marBottom w:val="0"/>
      <w:divBdr>
        <w:top w:val="none" w:sz="0" w:space="0" w:color="auto"/>
        <w:left w:val="none" w:sz="0" w:space="0" w:color="auto"/>
        <w:bottom w:val="none" w:sz="0" w:space="0" w:color="auto"/>
        <w:right w:val="none" w:sz="0" w:space="0" w:color="auto"/>
      </w:divBdr>
      <w:divsChild>
        <w:div w:id="1271857625">
          <w:marLeft w:val="0"/>
          <w:marRight w:val="0"/>
          <w:marTop w:val="0"/>
          <w:marBottom w:val="0"/>
          <w:divBdr>
            <w:top w:val="none" w:sz="0" w:space="0" w:color="auto"/>
            <w:left w:val="none" w:sz="0" w:space="0" w:color="auto"/>
            <w:bottom w:val="none" w:sz="0" w:space="0" w:color="auto"/>
            <w:right w:val="none" w:sz="0" w:space="0" w:color="auto"/>
          </w:divBdr>
        </w:div>
      </w:divsChild>
    </w:div>
    <w:div w:id="1392147329">
      <w:bodyDiv w:val="1"/>
      <w:marLeft w:val="0"/>
      <w:marRight w:val="0"/>
      <w:marTop w:val="0"/>
      <w:marBottom w:val="0"/>
      <w:divBdr>
        <w:top w:val="none" w:sz="0" w:space="0" w:color="auto"/>
        <w:left w:val="none" w:sz="0" w:space="0" w:color="auto"/>
        <w:bottom w:val="none" w:sz="0" w:space="0" w:color="auto"/>
        <w:right w:val="none" w:sz="0" w:space="0" w:color="auto"/>
      </w:divBdr>
      <w:divsChild>
        <w:div w:id="51277327">
          <w:marLeft w:val="0"/>
          <w:marRight w:val="0"/>
          <w:marTop w:val="0"/>
          <w:marBottom w:val="0"/>
          <w:divBdr>
            <w:top w:val="none" w:sz="0" w:space="0" w:color="auto"/>
            <w:left w:val="none" w:sz="0" w:space="0" w:color="auto"/>
            <w:bottom w:val="none" w:sz="0" w:space="0" w:color="auto"/>
            <w:right w:val="none" w:sz="0" w:space="0" w:color="auto"/>
          </w:divBdr>
        </w:div>
      </w:divsChild>
    </w:div>
    <w:div w:id="1483036528">
      <w:bodyDiv w:val="1"/>
      <w:marLeft w:val="0"/>
      <w:marRight w:val="0"/>
      <w:marTop w:val="0"/>
      <w:marBottom w:val="0"/>
      <w:divBdr>
        <w:top w:val="none" w:sz="0" w:space="0" w:color="auto"/>
        <w:left w:val="none" w:sz="0" w:space="0" w:color="auto"/>
        <w:bottom w:val="none" w:sz="0" w:space="0" w:color="auto"/>
        <w:right w:val="none" w:sz="0" w:space="0" w:color="auto"/>
      </w:divBdr>
      <w:divsChild>
        <w:div w:id="647318385">
          <w:marLeft w:val="0"/>
          <w:marRight w:val="0"/>
          <w:marTop w:val="0"/>
          <w:marBottom w:val="0"/>
          <w:divBdr>
            <w:top w:val="none" w:sz="0" w:space="0" w:color="auto"/>
            <w:left w:val="none" w:sz="0" w:space="0" w:color="auto"/>
            <w:bottom w:val="none" w:sz="0" w:space="0" w:color="auto"/>
            <w:right w:val="none" w:sz="0" w:space="0" w:color="auto"/>
          </w:divBdr>
        </w:div>
      </w:divsChild>
    </w:div>
    <w:div w:id="1554927395">
      <w:bodyDiv w:val="1"/>
      <w:marLeft w:val="0"/>
      <w:marRight w:val="0"/>
      <w:marTop w:val="0"/>
      <w:marBottom w:val="0"/>
      <w:divBdr>
        <w:top w:val="none" w:sz="0" w:space="0" w:color="auto"/>
        <w:left w:val="none" w:sz="0" w:space="0" w:color="auto"/>
        <w:bottom w:val="none" w:sz="0" w:space="0" w:color="auto"/>
        <w:right w:val="none" w:sz="0" w:space="0" w:color="auto"/>
      </w:divBdr>
      <w:divsChild>
        <w:div w:id="1767652759">
          <w:marLeft w:val="0"/>
          <w:marRight w:val="0"/>
          <w:marTop w:val="0"/>
          <w:marBottom w:val="0"/>
          <w:divBdr>
            <w:top w:val="none" w:sz="0" w:space="0" w:color="auto"/>
            <w:left w:val="none" w:sz="0" w:space="0" w:color="auto"/>
            <w:bottom w:val="none" w:sz="0" w:space="0" w:color="auto"/>
            <w:right w:val="none" w:sz="0" w:space="0" w:color="auto"/>
          </w:divBdr>
        </w:div>
      </w:divsChild>
    </w:div>
    <w:div w:id="1754617647">
      <w:bodyDiv w:val="1"/>
      <w:marLeft w:val="0"/>
      <w:marRight w:val="0"/>
      <w:marTop w:val="0"/>
      <w:marBottom w:val="0"/>
      <w:divBdr>
        <w:top w:val="none" w:sz="0" w:space="0" w:color="auto"/>
        <w:left w:val="none" w:sz="0" w:space="0" w:color="auto"/>
        <w:bottom w:val="none" w:sz="0" w:space="0" w:color="auto"/>
        <w:right w:val="none" w:sz="0" w:space="0" w:color="auto"/>
      </w:divBdr>
      <w:divsChild>
        <w:div w:id="247735074">
          <w:marLeft w:val="0"/>
          <w:marRight w:val="0"/>
          <w:marTop w:val="0"/>
          <w:marBottom w:val="0"/>
          <w:divBdr>
            <w:top w:val="none" w:sz="0" w:space="0" w:color="auto"/>
            <w:left w:val="none" w:sz="0" w:space="0" w:color="auto"/>
            <w:bottom w:val="none" w:sz="0" w:space="0" w:color="auto"/>
            <w:right w:val="none" w:sz="0" w:space="0" w:color="auto"/>
          </w:divBdr>
        </w:div>
      </w:divsChild>
    </w:div>
    <w:div w:id="1817523394">
      <w:bodyDiv w:val="1"/>
      <w:marLeft w:val="0"/>
      <w:marRight w:val="0"/>
      <w:marTop w:val="0"/>
      <w:marBottom w:val="0"/>
      <w:divBdr>
        <w:top w:val="none" w:sz="0" w:space="0" w:color="auto"/>
        <w:left w:val="none" w:sz="0" w:space="0" w:color="auto"/>
        <w:bottom w:val="none" w:sz="0" w:space="0" w:color="auto"/>
        <w:right w:val="none" w:sz="0" w:space="0" w:color="auto"/>
      </w:divBdr>
      <w:divsChild>
        <w:div w:id="352463164">
          <w:marLeft w:val="0"/>
          <w:marRight w:val="0"/>
          <w:marTop w:val="0"/>
          <w:marBottom w:val="0"/>
          <w:divBdr>
            <w:top w:val="none" w:sz="0" w:space="0" w:color="auto"/>
            <w:left w:val="none" w:sz="0" w:space="0" w:color="auto"/>
            <w:bottom w:val="none" w:sz="0" w:space="0" w:color="auto"/>
            <w:right w:val="none" w:sz="0" w:space="0" w:color="auto"/>
          </w:divBdr>
        </w:div>
      </w:divsChild>
    </w:div>
    <w:div w:id="2133132379">
      <w:bodyDiv w:val="1"/>
      <w:marLeft w:val="0"/>
      <w:marRight w:val="0"/>
      <w:marTop w:val="0"/>
      <w:marBottom w:val="0"/>
      <w:divBdr>
        <w:top w:val="none" w:sz="0" w:space="0" w:color="auto"/>
        <w:left w:val="none" w:sz="0" w:space="0" w:color="auto"/>
        <w:bottom w:val="none" w:sz="0" w:space="0" w:color="auto"/>
        <w:right w:val="none" w:sz="0" w:space="0" w:color="auto"/>
      </w:divBdr>
      <w:divsChild>
        <w:div w:id="6987458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ja.2013.10.004" TargetMode="External"/><Relationship Id="rId21" Type="http://schemas.openxmlformats.org/officeDocument/2006/relationships/hyperlink" Target="https://doi.org/10.1093/af/vfy039" TargetMode="External"/><Relationship Id="rId42" Type="http://schemas.openxmlformats.org/officeDocument/2006/relationships/hyperlink" Target="https://doi.org/10.1073/pnas.0913658107" TargetMode="External"/><Relationship Id="rId47" Type="http://schemas.openxmlformats.org/officeDocument/2006/relationships/hyperlink" Target="https://doi.org/10.1007/s13593-019-0573-3" TargetMode="External"/><Relationship Id="rId63" Type="http://schemas.openxmlformats.org/officeDocument/2006/relationships/hyperlink" Target="https://doi.org/10.1175/2009JCLI2909.1" TargetMode="External"/><Relationship Id="rId68" Type="http://schemas.openxmlformats.org/officeDocument/2006/relationships/image" Target="media/image9.tiff"/><Relationship Id="rId16" Type="http://schemas.openxmlformats.org/officeDocument/2006/relationships/hyperlink" Target="https://doi.org/10.1111/gcb.14481" TargetMode="External"/><Relationship Id="rId11" Type="http://schemas.openxmlformats.org/officeDocument/2006/relationships/image" Target="media/image4.tiff"/><Relationship Id="rId24" Type="http://schemas.openxmlformats.org/officeDocument/2006/relationships/hyperlink" Target="https://doi.org/10.1016/j.jclepro.2014.02.005" TargetMode="External"/><Relationship Id="rId32" Type="http://schemas.openxmlformats.org/officeDocument/2006/relationships/hyperlink" Target="https://doi.org/10.1016/j.agee.2013.09.017" TargetMode="External"/><Relationship Id="rId37" Type="http://schemas.openxmlformats.org/officeDocument/2006/relationships/hyperlink" Target="https://doi.org/10.1146/annurev-ecolsys-112414-054234" TargetMode="External"/><Relationship Id="rId40" Type="http://schemas.openxmlformats.org/officeDocument/2006/relationships/hyperlink" Target="https://doi.org/10.1111/j.1365-2494.1992.tb02251.x" TargetMode="External"/><Relationship Id="rId45" Type="http://schemas.openxmlformats.org/officeDocument/2006/relationships/hyperlink" Target="https://doi.org/10.1590/S1806-66902014000500018" TargetMode="External"/><Relationship Id="rId53" Type="http://schemas.openxmlformats.org/officeDocument/2006/relationships/hyperlink" Target="https://doi.org/10.1017/S1751731118001945" TargetMode="External"/><Relationship Id="rId58" Type="http://schemas.openxmlformats.org/officeDocument/2006/relationships/hyperlink" Target="https://doi.org/10.1016/j.scitotenv.2020.138845" TargetMode="External"/><Relationship Id="rId66" Type="http://schemas.openxmlformats.org/officeDocument/2006/relationships/image" Target="media/image7.tiff"/><Relationship Id="rId74" Type="http://schemas.openxmlformats.org/officeDocument/2006/relationships/image" Target="media/image15.tiff"/><Relationship Id="rId5" Type="http://schemas.openxmlformats.org/officeDocument/2006/relationships/footnotes" Target="footnotes.xml"/><Relationship Id="rId61" Type="http://schemas.openxmlformats.org/officeDocument/2006/relationships/hyperlink" Target="https://doi.org/10.1073/pnas.0701728104" TargetMode="External"/><Relationship Id="rId19" Type="http://schemas.openxmlformats.org/officeDocument/2006/relationships/hyperlink" Target="https://doi.org/10.1016/j.agsy.2012.04.003" TargetMode="External"/><Relationship Id="rId14" Type="http://schemas.openxmlformats.org/officeDocument/2006/relationships/hyperlink" Target="https://doi.org/10.1002/agj2.20034" TargetMode="External"/><Relationship Id="rId22" Type="http://schemas.openxmlformats.org/officeDocument/2006/relationships/hyperlink" Target="https://doi.org/10.1016/j.eja.2013.09.010" TargetMode="External"/><Relationship Id="rId27" Type="http://schemas.openxmlformats.org/officeDocument/2006/relationships/hyperlink" Target="https://doi.org/10.3368/le.84.1.83" TargetMode="External"/><Relationship Id="rId30" Type="http://schemas.openxmlformats.org/officeDocument/2006/relationships/hyperlink" Target="https://doi.org/10.2136/sssaj2007.0121" TargetMode="External"/><Relationship Id="rId35" Type="http://schemas.openxmlformats.org/officeDocument/2006/relationships/hyperlink" Target="https://doi.org/10.1016/j.eja.2019.125952" TargetMode="External"/><Relationship Id="rId43" Type="http://schemas.openxmlformats.org/officeDocument/2006/relationships/hyperlink" Target="https://doi.org/10.1016/j.still.2009.12.005" TargetMode="External"/><Relationship Id="rId48" Type="http://schemas.openxmlformats.org/officeDocument/2006/relationships/hyperlink" Target="https://doi.org/10.3389/fsufs.2020.604099" TargetMode="External"/><Relationship Id="rId56" Type="http://schemas.openxmlformats.org/officeDocument/2006/relationships/hyperlink" Target="https://doi.org/10.2134/agronj1977.00021962006900020018x" TargetMode="External"/><Relationship Id="rId64" Type="http://schemas.openxmlformats.org/officeDocument/2006/relationships/hyperlink" Target="https://doi.org/10.1016/j.eneco.2021.105308" TargetMode="External"/><Relationship Id="rId69" Type="http://schemas.openxmlformats.org/officeDocument/2006/relationships/image" Target="media/image10.tiff"/><Relationship Id="rId77" Type="http://schemas.openxmlformats.org/officeDocument/2006/relationships/theme" Target="theme/theme1.xml"/><Relationship Id="rId8" Type="http://schemas.openxmlformats.org/officeDocument/2006/relationships/image" Target="media/image1.tiff"/><Relationship Id="rId51" Type="http://schemas.openxmlformats.org/officeDocument/2006/relationships/hyperlink" Target="https://doi.org/10.1002/agg2.20303" TargetMode="External"/><Relationship Id="rId72" Type="http://schemas.openxmlformats.org/officeDocument/2006/relationships/image" Target="media/image13.tiff"/><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hyperlink" Target="https://doi.org/10.1111/gcb.12520" TargetMode="External"/><Relationship Id="rId25" Type="http://schemas.openxmlformats.org/officeDocument/2006/relationships/hyperlink" Target="https://doi.org/10.1016/j.envsoft.2019.04.004" TargetMode="External"/><Relationship Id="rId33" Type="http://schemas.openxmlformats.org/officeDocument/2006/relationships/hyperlink" Target="https://doi.org/10.5751/ES-11412-250124" TargetMode="External"/><Relationship Id="rId38" Type="http://schemas.openxmlformats.org/officeDocument/2006/relationships/hyperlink" Target="https://doi.org/10.1016/S0065-2113(02)77017-X" TargetMode="External"/><Relationship Id="rId46" Type="http://schemas.openxmlformats.org/officeDocument/2006/relationships/hyperlink" Target="https://doi.org/10.1098/rspa.1948.0037" TargetMode="External"/><Relationship Id="rId59" Type="http://schemas.openxmlformats.org/officeDocument/2006/relationships/hyperlink" Target="https://doi.org/10.1016/j.agee.2013.10.012" TargetMode="External"/><Relationship Id="rId67" Type="http://schemas.openxmlformats.org/officeDocument/2006/relationships/image" Target="media/image8.tiff"/><Relationship Id="rId20" Type="http://schemas.openxmlformats.org/officeDocument/2006/relationships/hyperlink" Target="https://doi.org/10.1016/j.eja.2013.04.007" TargetMode="External"/><Relationship Id="rId41" Type="http://schemas.openxmlformats.org/officeDocument/2006/relationships/hyperlink" Target="https://doi.org/10.1016/j.scitotenv.2018.10.434" TargetMode="External"/><Relationship Id="rId54" Type="http://schemas.openxmlformats.org/officeDocument/2006/relationships/hyperlink" Target="https://doi.org/10.1016/j.jafr.2021.100190" TargetMode="External"/><Relationship Id="rId62" Type="http://schemas.openxmlformats.org/officeDocument/2006/relationships/hyperlink" Target="https://doi.org/10.1016/j.tree.2005.11.015" TargetMode="External"/><Relationship Id="rId70" Type="http://schemas.openxmlformats.org/officeDocument/2006/relationships/image" Target="media/image11.tiff"/><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agee.2019.04.013" TargetMode="External"/><Relationship Id="rId23" Type="http://schemas.openxmlformats.org/officeDocument/2006/relationships/hyperlink" Target="https://doi.org/10.1016/j.eja.2017.09.002" TargetMode="External"/><Relationship Id="rId28" Type="http://schemas.openxmlformats.org/officeDocument/2006/relationships/hyperlink" Target="https://doi.org/10.15232/S1080-7446(15)32530-4" TargetMode="External"/><Relationship Id="rId36" Type="http://schemas.openxmlformats.org/officeDocument/2006/relationships/hyperlink" Target="https://doi.org/10.1038/nature15374" TargetMode="External"/><Relationship Id="rId49" Type="http://schemas.openxmlformats.org/officeDocument/2006/relationships/hyperlink" Target="https://doi.org/10.5194/soil-7-217-2021" TargetMode="External"/><Relationship Id="rId57" Type="http://schemas.openxmlformats.org/officeDocument/2006/relationships/hyperlink" Target="https://doi.org/10.1111/j.1475-2743.2004.tb00362.x" TargetMode="External"/><Relationship Id="rId10" Type="http://schemas.openxmlformats.org/officeDocument/2006/relationships/image" Target="media/image3.tiff"/><Relationship Id="rId31" Type="http://schemas.openxmlformats.org/officeDocument/2006/relationships/hyperlink" Target="https://doi.org/10.4155/cmt.10.25" TargetMode="External"/><Relationship Id="rId44" Type="http://schemas.openxmlformats.org/officeDocument/2006/relationships/hyperlink" Target="https://doi.org/10.1111/gfs.12445" TargetMode="External"/><Relationship Id="rId52" Type="http://schemas.openxmlformats.org/officeDocument/2006/relationships/hyperlink" Target="https://doi.org/10.2134/agronj2006.0139" TargetMode="External"/><Relationship Id="rId60" Type="http://schemas.openxmlformats.org/officeDocument/2006/relationships/hyperlink" Target="https://doi.org/10.1038/nclimate2754" TargetMode="External"/><Relationship Id="rId65" Type="http://schemas.openxmlformats.org/officeDocument/2006/relationships/hyperlink" Target="https://doi.org/10.2134/agronj2015.0535" TargetMode="External"/><Relationship Id="rId73" Type="http://schemas.openxmlformats.org/officeDocument/2006/relationships/image" Target="media/image14.tiff"/><Relationship Id="rId4" Type="http://schemas.openxmlformats.org/officeDocument/2006/relationships/webSettings" Target="web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hyperlink" Target="https://doi.org/10.1016/j.eja.2008.03.001" TargetMode="External"/><Relationship Id="rId39" Type="http://schemas.openxmlformats.org/officeDocument/2006/relationships/hyperlink" Target="https://doi.org/10.1016/j.agsy.2019.102716" TargetMode="External"/><Relationship Id="rId34" Type="http://schemas.openxmlformats.org/officeDocument/2006/relationships/hyperlink" Target="https://doi.org/10.1371/journal.pone.0113261" TargetMode="External"/><Relationship Id="rId50" Type="http://schemas.openxmlformats.org/officeDocument/2006/relationships/hyperlink" Target="https://doi.org/10.1098/rstb.2010.0143" TargetMode="External"/><Relationship Id="rId55" Type="http://schemas.openxmlformats.org/officeDocument/2006/relationships/hyperlink" Target="https://doi.org/10.5194/bg-10-1675-2013" TargetMode="External"/><Relationship Id="rId76" Type="http://schemas.openxmlformats.org/officeDocument/2006/relationships/fontTable" Target="fontTable.xml"/><Relationship Id="rId7" Type="http://schemas.openxmlformats.org/officeDocument/2006/relationships/hyperlink" Target="mailto:mathieu.delandmeter@uliege.be" TargetMode="External"/><Relationship Id="rId71" Type="http://schemas.openxmlformats.org/officeDocument/2006/relationships/image" Target="media/image12.tiff"/><Relationship Id="rId2" Type="http://schemas.openxmlformats.org/officeDocument/2006/relationships/styles" Target="styles.xml"/><Relationship Id="rId29" Type="http://schemas.openxmlformats.org/officeDocument/2006/relationships/hyperlink" Target="https://doi.org/10.1038/nature1045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13100</Words>
  <Characters>72056</Characters>
  <Application>Microsoft Office Word</Application>
  <DocSecurity>0</DocSecurity>
  <Lines>600</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Mathieu Delandmeter</dc:creator>
  <cp:keywords/>
  <dc:description/>
  <cp:lastModifiedBy>Mathieu Delandmeter</cp:lastModifiedBy>
  <cp:revision>1</cp:revision>
  <dcterms:created xsi:type="dcterms:W3CDTF">2023-03-06T21:21:00Z</dcterms:created>
  <dcterms:modified xsi:type="dcterms:W3CDTF">2023-11-30T07:19:00Z</dcterms:modified>
</cp:coreProperties>
</file>