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C142D" w14:textId="77777777" w:rsidR="00B35618" w:rsidRDefault="003E07D9" w:rsidP="003E07D9">
      <w:pPr>
        <w:tabs>
          <w:tab w:val="left" w:pos="567"/>
          <w:tab w:val="left" w:pos="1276"/>
        </w:tabs>
        <w:ind w:left="1276" w:hanging="1276"/>
        <w:jc w:val="both"/>
        <w:rPr>
          <w:rFonts w:ascii="Calibri" w:hAnsi="Calibri" w:cs="Calibri"/>
          <w:sz w:val="22"/>
          <w:szCs w:val="22"/>
          <w:lang w:val="en-US" w:eastAsia="fr-BE"/>
        </w:rPr>
      </w:pPr>
      <w:r>
        <w:rPr>
          <w:rFonts w:ascii="Calibri" w:hAnsi="Calibri" w:cs="Calibri"/>
          <w:sz w:val="22"/>
          <w:szCs w:val="22"/>
        </w:rPr>
        <w:t>2022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en-US" w:eastAsia="fr-BE"/>
        </w:rPr>
        <w:t xml:space="preserve">Rencontre entre des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historiens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une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géographe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.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Témoignage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et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réflexion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, </w:t>
      </w:r>
    </w:p>
    <w:p w14:paraId="201EC2B3" w14:textId="77777777" w:rsidR="00B35618" w:rsidRDefault="003E07D9" w:rsidP="003E07D9">
      <w:pPr>
        <w:tabs>
          <w:tab w:val="left" w:pos="567"/>
          <w:tab w:val="left" w:pos="1276"/>
        </w:tabs>
        <w:ind w:left="1276" w:hanging="1276"/>
        <w:jc w:val="both"/>
        <w:rPr>
          <w:rFonts w:ascii="Calibri" w:hAnsi="Calibri" w:cs="Calibri"/>
          <w:sz w:val="22"/>
          <w:szCs w:val="22"/>
          <w:lang w:val="en-US" w:eastAsia="fr-BE"/>
        </w:rPr>
      </w:pPr>
      <w:r>
        <w:rPr>
          <w:rFonts w:ascii="Calibri" w:hAnsi="Calibri" w:cs="Calibri"/>
          <w:sz w:val="22"/>
          <w:szCs w:val="22"/>
          <w:lang w:val="en-US" w:eastAsia="fr-BE"/>
        </w:rPr>
        <w:t xml:space="preserve">in </w:t>
      </w:r>
      <w:r w:rsidRPr="00BB6F7D">
        <w:rPr>
          <w:rFonts w:ascii="Calibri" w:hAnsi="Calibri" w:cs="Calibri"/>
          <w:i/>
          <w:iCs/>
          <w:sz w:val="22"/>
          <w:szCs w:val="22"/>
          <w:lang w:val="en-US" w:eastAsia="fr-BE"/>
        </w:rPr>
        <w:t xml:space="preserve">Passions </w:t>
      </w:r>
      <w:proofErr w:type="spellStart"/>
      <w:r w:rsidRPr="00BB6F7D">
        <w:rPr>
          <w:rFonts w:ascii="Calibri" w:hAnsi="Calibri" w:cs="Calibri"/>
          <w:i/>
          <w:iCs/>
          <w:sz w:val="22"/>
          <w:szCs w:val="22"/>
          <w:lang w:val="en-US" w:eastAsia="fr-BE"/>
        </w:rPr>
        <w:t>liégeoises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. Mélanges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en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l’honneur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de Bruno Demoulin, </w:t>
      </w:r>
    </w:p>
    <w:p w14:paraId="141B1907" w14:textId="77777777" w:rsidR="00B35618" w:rsidRDefault="003E07D9" w:rsidP="003E07D9">
      <w:pPr>
        <w:tabs>
          <w:tab w:val="left" w:pos="567"/>
          <w:tab w:val="left" w:pos="1276"/>
        </w:tabs>
        <w:ind w:left="1276" w:hanging="1276"/>
        <w:jc w:val="both"/>
        <w:rPr>
          <w:rFonts w:ascii="Calibri" w:hAnsi="Calibri" w:cs="Calibri"/>
          <w:sz w:val="22"/>
          <w:szCs w:val="22"/>
          <w:lang w:val="en-US" w:eastAsia="fr-BE"/>
        </w:rPr>
      </w:pP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Textes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réunis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par Florence Close, Sébastien Dubois, Catherine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Lanneau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et Philippe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Raxhon</w:t>
      </w:r>
      <w:proofErr w:type="spellEnd"/>
    </w:p>
    <w:p w14:paraId="06D2A36C" w14:textId="77777777" w:rsidR="00B35618" w:rsidRDefault="003E07D9" w:rsidP="003E07D9">
      <w:pPr>
        <w:tabs>
          <w:tab w:val="left" w:pos="567"/>
          <w:tab w:val="left" w:pos="1276"/>
        </w:tabs>
        <w:ind w:left="1276" w:hanging="1276"/>
        <w:jc w:val="both"/>
        <w:rPr>
          <w:rFonts w:ascii="Calibri" w:hAnsi="Calibri" w:cs="Calibri"/>
          <w:sz w:val="22"/>
          <w:szCs w:val="22"/>
          <w:lang w:val="en-US" w:eastAsia="fr-BE"/>
        </w:rPr>
      </w:pPr>
      <w:r>
        <w:rPr>
          <w:rFonts w:ascii="Calibri" w:hAnsi="Calibri" w:cs="Calibri"/>
          <w:sz w:val="22"/>
          <w:szCs w:val="22"/>
          <w:lang w:val="en-US" w:eastAsia="fr-BE"/>
        </w:rPr>
        <w:t xml:space="preserve">Archives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générales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du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Royaume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et Archives de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l’Etat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 des Provinces, Studia, 170, </w:t>
      </w:r>
      <w:proofErr w:type="spellStart"/>
      <w:r>
        <w:rPr>
          <w:rFonts w:ascii="Calibri" w:hAnsi="Calibri" w:cs="Calibri"/>
          <w:sz w:val="22"/>
          <w:szCs w:val="22"/>
          <w:lang w:val="en-US" w:eastAsia="fr-BE"/>
        </w:rPr>
        <w:t>Bruxelles</w:t>
      </w:r>
      <w:proofErr w:type="spellEnd"/>
      <w:r>
        <w:rPr>
          <w:rFonts w:ascii="Calibri" w:hAnsi="Calibri" w:cs="Calibri"/>
          <w:sz w:val="22"/>
          <w:szCs w:val="22"/>
          <w:lang w:val="en-US" w:eastAsia="fr-BE"/>
        </w:rPr>
        <w:t xml:space="preserve">, 2022, </w:t>
      </w:r>
    </w:p>
    <w:p w14:paraId="1F0F7FEE" w14:textId="6A0617F9" w:rsidR="003E07D9" w:rsidRDefault="003E07D9" w:rsidP="003E07D9">
      <w:pPr>
        <w:tabs>
          <w:tab w:val="left" w:pos="567"/>
          <w:tab w:val="left" w:pos="1276"/>
        </w:tabs>
        <w:ind w:left="1276" w:hanging="1276"/>
        <w:jc w:val="both"/>
        <w:rPr>
          <w:rFonts w:ascii="Calibri" w:hAnsi="Calibri" w:cs="Calibri"/>
          <w:sz w:val="22"/>
          <w:szCs w:val="22"/>
          <w:lang w:val="en-US" w:eastAsia="fr-BE"/>
        </w:rPr>
      </w:pPr>
      <w:r>
        <w:rPr>
          <w:rFonts w:ascii="Calibri" w:hAnsi="Calibri" w:cs="Calibri"/>
          <w:sz w:val="22"/>
          <w:szCs w:val="22"/>
          <w:lang w:val="en-US" w:eastAsia="fr-BE"/>
        </w:rPr>
        <w:t>. 315-323.</w:t>
      </w:r>
    </w:p>
    <w:p w14:paraId="3DE6E815" w14:textId="77777777" w:rsidR="00B35618" w:rsidRDefault="00B35618" w:rsidP="003E07D9">
      <w:pPr>
        <w:tabs>
          <w:tab w:val="left" w:pos="567"/>
          <w:tab w:val="left" w:pos="1276"/>
        </w:tabs>
        <w:ind w:left="1276" w:hanging="1276"/>
        <w:jc w:val="both"/>
        <w:rPr>
          <w:rFonts w:ascii="Calibri" w:hAnsi="Calibri" w:cs="Calibri"/>
          <w:sz w:val="22"/>
          <w:szCs w:val="22"/>
          <w:lang w:val="en-US" w:eastAsia="fr-BE"/>
        </w:rPr>
      </w:pPr>
    </w:p>
    <w:p w14:paraId="79C18AC2" w14:textId="7F9108DA" w:rsidR="00B35618" w:rsidRDefault="00B35618" w:rsidP="003E07D9">
      <w:pPr>
        <w:tabs>
          <w:tab w:val="left" w:pos="567"/>
          <w:tab w:val="left" w:pos="1276"/>
        </w:tabs>
        <w:ind w:left="1276" w:hanging="1276"/>
        <w:jc w:val="both"/>
        <w:rPr>
          <w:rFonts w:ascii="Calibri" w:hAnsi="Calibri" w:cs="Calibri"/>
          <w:sz w:val="22"/>
          <w:szCs w:val="22"/>
          <w:lang w:val="en-US" w:eastAsia="fr-BE"/>
        </w:rPr>
      </w:pPr>
      <w:r>
        <w:rPr>
          <w:rStyle w:val="rynqvb"/>
          <w:lang w:val="en"/>
        </w:rPr>
        <w:t>Meeting between historians and a geographer.</w:t>
      </w:r>
      <w:r>
        <w:rPr>
          <w:rStyle w:val="hwtze"/>
          <w:lang w:val="en"/>
        </w:rPr>
        <w:t xml:space="preserve"> </w:t>
      </w:r>
      <w:r>
        <w:rPr>
          <w:rStyle w:val="rynqvb"/>
          <w:lang w:val="en"/>
        </w:rPr>
        <w:t>Testimony and reflection</w:t>
      </w:r>
    </w:p>
    <w:p w14:paraId="00F8DB15" w14:textId="77777777" w:rsidR="00675F2D" w:rsidRDefault="00675F2D"/>
    <w:p w14:paraId="539ABBAA" w14:textId="151DE36E" w:rsidR="00B35618" w:rsidRDefault="00B35618">
      <w:pPr>
        <w:rPr>
          <w:rStyle w:val="rynqvb"/>
          <w:lang w:val="en"/>
        </w:rPr>
      </w:pPr>
      <w:r>
        <w:rPr>
          <w:rStyle w:val="rynqvb"/>
          <w:lang w:val="en"/>
        </w:rPr>
        <w:t>History teaching</w:t>
      </w:r>
    </w:p>
    <w:p w14:paraId="626C2EDD" w14:textId="5DBD6D36" w:rsidR="00B35618" w:rsidRDefault="00B35618">
      <w:pPr>
        <w:rPr>
          <w:rStyle w:val="rynqvb"/>
          <w:lang w:val="en"/>
        </w:rPr>
      </w:pPr>
      <w:r>
        <w:rPr>
          <w:rStyle w:val="rynqvb"/>
          <w:lang w:val="en"/>
        </w:rPr>
        <w:t>Geography teaching</w:t>
      </w:r>
    </w:p>
    <w:p w14:paraId="54D8AEFC" w14:textId="20D81F63" w:rsidR="00B35618" w:rsidRDefault="00B35618">
      <w:pPr>
        <w:rPr>
          <w:rStyle w:val="rynqvb"/>
          <w:lang w:val="en"/>
        </w:rPr>
      </w:pPr>
      <w:r>
        <w:rPr>
          <w:rStyle w:val="rynqvb"/>
          <w:lang w:val="en"/>
        </w:rPr>
        <w:t>Epistemology of history</w:t>
      </w:r>
    </w:p>
    <w:p w14:paraId="0423878B" w14:textId="76E0F8FA" w:rsidR="00B35618" w:rsidRDefault="00B35618">
      <w:pPr>
        <w:rPr>
          <w:rStyle w:val="rynqvb"/>
          <w:lang w:val="en"/>
        </w:rPr>
      </w:pPr>
      <w:r>
        <w:rPr>
          <w:rStyle w:val="rynqvb"/>
          <w:lang w:val="en"/>
        </w:rPr>
        <w:t>Epistemology of geography</w:t>
      </w:r>
    </w:p>
    <w:p w14:paraId="14889FDF" w14:textId="77777777" w:rsidR="00B35618" w:rsidRDefault="00B35618">
      <w:pPr>
        <w:rPr>
          <w:rStyle w:val="rynqvb"/>
          <w:lang w:val="en"/>
        </w:rPr>
      </w:pPr>
    </w:p>
    <w:p w14:paraId="50A76A4D" w14:textId="77777777" w:rsidR="00B35618" w:rsidRPr="001C44B8" w:rsidRDefault="00B35618" w:rsidP="00B356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Plusieurs géographes ont déjà traité d</w:t>
      </w:r>
      <w:r w:rsidRPr="001C44B8">
        <w:rPr>
          <w:rFonts w:ascii="Times New Roman" w:hAnsi="Times New Roman"/>
        </w:rPr>
        <w:t>es relations entre l’histoire et la géographie</w:t>
      </w:r>
      <w:r>
        <w:rPr>
          <w:rFonts w:ascii="Times New Roman" w:hAnsi="Times New Roman"/>
        </w:rPr>
        <w:t xml:space="preserve">, </w:t>
      </w:r>
      <w:r w:rsidRPr="001C44B8">
        <w:rPr>
          <w:rFonts w:ascii="Times New Roman" w:hAnsi="Times New Roman"/>
        </w:rPr>
        <w:t xml:space="preserve">en particulier </w:t>
      </w:r>
      <w:r>
        <w:rPr>
          <w:rFonts w:ascii="Times New Roman" w:hAnsi="Times New Roman"/>
        </w:rPr>
        <w:t>en</w:t>
      </w:r>
      <w:r w:rsidRPr="001C44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France,</w:t>
      </w:r>
      <w:r w:rsidRPr="00E57E2B">
        <w:rPr>
          <w:rFonts w:ascii="Times New Roman" w:hAnsi="Times New Roman"/>
        </w:rPr>
        <w:t xml:space="preserve"> </w:t>
      </w:r>
      <w:r w:rsidRPr="001C44B8">
        <w:rPr>
          <w:rFonts w:ascii="Times New Roman" w:hAnsi="Times New Roman"/>
        </w:rPr>
        <w:t>où il existe une longue tradition de formation commune tant au niveau de l’enseignement élémentaire et secondaire qu’au niveau universitaire.</w:t>
      </w:r>
    </w:p>
    <w:p w14:paraId="41A5FEFD" w14:textId="7F5D716A" w:rsidR="00B35618" w:rsidRPr="001C44B8" w:rsidRDefault="00B35618" w:rsidP="00B356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</w:t>
      </w:r>
      <w:r w:rsidRPr="001C44B8">
        <w:rPr>
          <w:rFonts w:ascii="Times New Roman" w:hAnsi="Times New Roman"/>
        </w:rPr>
        <w:t xml:space="preserve">propos </w:t>
      </w:r>
      <w:r>
        <w:rPr>
          <w:rFonts w:ascii="Times New Roman" w:hAnsi="Times New Roman"/>
        </w:rPr>
        <w:t xml:space="preserve">de cet article </w:t>
      </w:r>
      <w:r w:rsidRPr="001C44B8">
        <w:rPr>
          <w:rFonts w:ascii="Times New Roman" w:hAnsi="Times New Roman"/>
        </w:rPr>
        <w:t>est un peu différent en raison de la situation belge</w:t>
      </w:r>
      <w:r>
        <w:rPr>
          <w:rFonts w:ascii="Times New Roman" w:hAnsi="Times New Roman"/>
        </w:rPr>
        <w:t>. En effet, au niveau universitaire,</w:t>
      </w:r>
      <w:r w:rsidRPr="001C44B8">
        <w:rPr>
          <w:rFonts w:ascii="Times New Roman" w:hAnsi="Times New Roman"/>
        </w:rPr>
        <w:t xml:space="preserve"> histoire et géographie relèvent de Facultés différentes, ce qui ne facilite par les contacts et les recherches communes. En outre, au niveau des écoles primaires et secondaires</w:t>
      </w:r>
      <w:r>
        <w:rPr>
          <w:rFonts w:ascii="Times New Roman" w:hAnsi="Times New Roman"/>
        </w:rPr>
        <w:t xml:space="preserve">, </w:t>
      </w:r>
      <w:r w:rsidRPr="001C44B8">
        <w:rPr>
          <w:rFonts w:ascii="Times New Roman" w:hAnsi="Times New Roman"/>
        </w:rPr>
        <w:t xml:space="preserve">les liens ne sont guère aussi forts </w:t>
      </w:r>
      <w:r>
        <w:rPr>
          <w:rFonts w:ascii="Times New Roman" w:hAnsi="Times New Roman"/>
        </w:rPr>
        <w:t xml:space="preserve">qu’en France, car </w:t>
      </w:r>
      <w:r w:rsidRPr="001C44B8">
        <w:rPr>
          <w:rFonts w:ascii="Times New Roman" w:hAnsi="Times New Roman"/>
        </w:rPr>
        <w:t>les programmes</w:t>
      </w:r>
      <w:r>
        <w:rPr>
          <w:rFonts w:ascii="Times New Roman" w:hAnsi="Times New Roman"/>
        </w:rPr>
        <w:t xml:space="preserve">, tout au moins jusqu’aujourd’hui, diffèrent </w:t>
      </w:r>
      <w:r w:rsidRPr="001C44B8">
        <w:rPr>
          <w:rFonts w:ascii="Times New Roman" w:hAnsi="Times New Roman"/>
        </w:rPr>
        <w:t xml:space="preserve">largement et n’aident pas à de véritables synergies entre les deux domaines. </w:t>
      </w:r>
    </w:p>
    <w:p w14:paraId="183402C9" w14:textId="6E276BF5" w:rsidR="00B35618" w:rsidRDefault="00B35618" w:rsidP="00B356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Nos réflexions </w:t>
      </w:r>
      <w:r>
        <w:rPr>
          <w:rFonts w:ascii="Times New Roman" w:hAnsi="Times New Roman"/>
        </w:rPr>
        <w:t xml:space="preserve">sont </w:t>
      </w:r>
      <w:r w:rsidRPr="001C44B8">
        <w:rPr>
          <w:rFonts w:ascii="Times New Roman" w:hAnsi="Times New Roman"/>
        </w:rPr>
        <w:t xml:space="preserve">donc </w:t>
      </w:r>
      <w:r>
        <w:rPr>
          <w:rFonts w:ascii="Times New Roman" w:hAnsi="Times New Roman"/>
        </w:rPr>
        <w:t xml:space="preserve">davantage guidées par nos </w:t>
      </w:r>
      <w:r w:rsidRPr="001C44B8">
        <w:rPr>
          <w:rFonts w:ascii="Times New Roman" w:hAnsi="Times New Roman"/>
        </w:rPr>
        <w:t>rencontres avec des historiens, en grande partie dans le cadre d’ouvrages grand public</w:t>
      </w:r>
      <w:r>
        <w:rPr>
          <w:rFonts w:ascii="Times New Roman" w:hAnsi="Times New Roman"/>
        </w:rPr>
        <w:t>,</w:t>
      </w:r>
      <w:r w:rsidRPr="001C44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 par</w:t>
      </w:r>
      <w:r w:rsidRPr="001C44B8">
        <w:rPr>
          <w:rFonts w:ascii="Times New Roman" w:hAnsi="Times New Roman"/>
        </w:rPr>
        <w:t xml:space="preserve"> des expériences pédagogiques relatives à l’enseignement secondaire</w:t>
      </w:r>
      <w:r>
        <w:rPr>
          <w:rFonts w:ascii="Times New Roman" w:hAnsi="Times New Roman"/>
        </w:rPr>
        <w:t xml:space="preserve"> que nous décrirons d’abord avant de tenter un court bilan.</w:t>
      </w:r>
    </w:p>
    <w:p w14:paraId="71CE6833" w14:textId="77777777" w:rsidR="00B35618" w:rsidRDefault="00B35618" w:rsidP="00B35618">
      <w:pPr>
        <w:jc w:val="both"/>
        <w:rPr>
          <w:rFonts w:ascii="Times New Roman" w:hAnsi="Times New Roman"/>
        </w:rPr>
      </w:pPr>
    </w:p>
    <w:p w14:paraId="20D489E8" w14:textId="07550393" w:rsidR="00B35618" w:rsidRDefault="00B35618" w:rsidP="00B35618">
      <w:pPr>
        <w:pStyle w:val="NormalWeb"/>
      </w:pPr>
      <w:proofErr w:type="spellStart"/>
      <w:r>
        <w:t>Several</w:t>
      </w:r>
      <w:proofErr w:type="spellEnd"/>
      <w:r>
        <w:t xml:space="preserve"> </w:t>
      </w:r>
      <w:proofErr w:type="spellStart"/>
      <w:r>
        <w:t>geographers</w:t>
      </w:r>
      <w:proofErr w:type="spellEnd"/>
      <w:r>
        <w:t xml:space="preserve"> have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dealt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geography</w:t>
      </w:r>
      <w:proofErr w:type="spellEnd"/>
      <w:r>
        <w:t xml:space="preserve">, </w:t>
      </w:r>
      <w:proofErr w:type="spellStart"/>
      <w:r>
        <w:t>especially</w:t>
      </w:r>
      <w:proofErr w:type="spellEnd"/>
      <w:r>
        <w:t xml:space="preserve"> in France,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gramStart"/>
      <w:r>
        <w:t>long tradition</w:t>
      </w:r>
      <w:proofErr w:type="gramEnd"/>
      <w:r>
        <w:t xml:space="preserve"> of </w:t>
      </w:r>
      <w:proofErr w:type="spellStart"/>
      <w:r>
        <w:t>common</w:t>
      </w:r>
      <w:proofErr w:type="spellEnd"/>
      <w:r>
        <w:t xml:space="preserve"> training at </w:t>
      </w:r>
      <w:proofErr w:type="spellStart"/>
      <w:r>
        <w:t>both</w:t>
      </w:r>
      <w:proofErr w:type="spellEnd"/>
      <w:r>
        <w:t xml:space="preserve"> the </w:t>
      </w:r>
      <w:proofErr w:type="spellStart"/>
      <w:r>
        <w:t>elementary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at the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level</w:t>
      </w:r>
      <w:proofErr w:type="spellEnd"/>
      <w:r>
        <w:t>.</w:t>
      </w:r>
    </w:p>
    <w:p w14:paraId="14BB3B43" w14:textId="77777777" w:rsidR="00B35618" w:rsidRDefault="00B35618" w:rsidP="00B35618">
      <w:pPr>
        <w:pStyle w:val="NormalWeb"/>
      </w:pPr>
      <w:r>
        <w:t xml:space="preserve">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article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due to the </w:t>
      </w:r>
      <w:proofErr w:type="spellStart"/>
      <w:r>
        <w:t>Belgian</w:t>
      </w:r>
      <w:proofErr w:type="spellEnd"/>
      <w:r>
        <w:t xml:space="preserve"> situation. Indeed, at the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, </w:t>
      </w:r>
      <w:proofErr w:type="spellStart"/>
      <w:r>
        <w:t>history</w:t>
      </w:r>
      <w:proofErr w:type="spellEnd"/>
      <w:r>
        <w:t xml:space="preserve"> and </w:t>
      </w:r>
      <w:proofErr w:type="spellStart"/>
      <w:r>
        <w:t>geography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to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contacts and </w:t>
      </w:r>
      <w:proofErr w:type="spellStart"/>
      <w:r>
        <w:t>research</w:t>
      </w:r>
      <w:proofErr w:type="spellEnd"/>
      <w:r>
        <w:t xml:space="preserve">. </w:t>
      </w:r>
      <w:proofErr w:type="spellStart"/>
      <w:r>
        <w:t>Furthermore</w:t>
      </w:r>
      <w:proofErr w:type="spellEnd"/>
      <w:r>
        <w:t xml:space="preserve">, at the </w:t>
      </w:r>
      <w:proofErr w:type="spellStart"/>
      <w:r>
        <w:t>primary</w:t>
      </w:r>
      <w:proofErr w:type="spellEnd"/>
      <w:r>
        <w:t xml:space="preserve"> and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, the connections are not as </w:t>
      </w:r>
      <w:proofErr w:type="spellStart"/>
      <w:r>
        <w:t>strong</w:t>
      </w:r>
      <w:proofErr w:type="spellEnd"/>
      <w:r>
        <w:t xml:space="preserve"> as in France, as the curricula, at least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widely</w:t>
      </w:r>
      <w:proofErr w:type="spellEnd"/>
      <w:r>
        <w:t xml:space="preserve"> and do not support real synergies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domains</w:t>
      </w:r>
      <w:proofErr w:type="spellEnd"/>
      <w:r>
        <w:t>.</w:t>
      </w:r>
    </w:p>
    <w:p w14:paraId="6DDD32BC" w14:textId="6376DC5E" w:rsidR="00B35618" w:rsidRDefault="00B35618" w:rsidP="00B35618">
      <w:pPr>
        <w:pStyle w:val="NormalWeb"/>
      </w:pPr>
      <w:proofErr w:type="spellStart"/>
      <w:r>
        <w:t>Therefore</w:t>
      </w:r>
      <w:proofErr w:type="spellEnd"/>
      <w:r>
        <w:t xml:space="preserve">,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reflections</w:t>
      </w:r>
      <w:proofErr w:type="spellEnd"/>
      <w:r>
        <w:t xml:space="preserve"> are more </w:t>
      </w:r>
      <w:proofErr w:type="spellStart"/>
      <w:r>
        <w:t>guided</w:t>
      </w:r>
      <w:proofErr w:type="spellEnd"/>
      <w:r>
        <w:t xml:space="preserve"> by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encounters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historians</w:t>
      </w:r>
      <w:proofErr w:type="spellEnd"/>
      <w:r>
        <w:t xml:space="preserve">, </w:t>
      </w:r>
      <w:proofErr w:type="spellStart"/>
      <w:r>
        <w:t>largely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popular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, and by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secondary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describe</w:t>
      </w:r>
      <w:proofErr w:type="spellEnd"/>
      <w:r>
        <w:t xml:space="preserve"> first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attempting</w:t>
      </w:r>
      <w:proofErr w:type="spellEnd"/>
      <w:r>
        <w:t xml:space="preserve"> a brief </w:t>
      </w:r>
      <w:proofErr w:type="spellStart"/>
      <w:r>
        <w:t>assessment</w:t>
      </w:r>
      <w:proofErr w:type="spellEnd"/>
      <w:r>
        <w:t>.</w:t>
      </w:r>
    </w:p>
    <w:p w14:paraId="538B2523" w14:textId="77777777" w:rsidR="00B35618" w:rsidRDefault="00B35618" w:rsidP="00B35618">
      <w:pPr>
        <w:jc w:val="both"/>
        <w:rPr>
          <w:rFonts w:ascii="Times New Roman" w:hAnsi="Times New Roman"/>
        </w:rPr>
      </w:pPr>
    </w:p>
    <w:p w14:paraId="7215FD68" w14:textId="77777777" w:rsidR="00B35618" w:rsidRDefault="00B35618"/>
    <w:sectPr w:rsidR="00B35618" w:rsidSect="0071537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7D9"/>
    <w:rsid w:val="003E07D9"/>
    <w:rsid w:val="00657382"/>
    <w:rsid w:val="00675F2D"/>
    <w:rsid w:val="0071537D"/>
    <w:rsid w:val="00B3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893D"/>
  <w15:chartTrackingRefBased/>
  <w15:docId w15:val="{6978E1BF-FD46-4D63-A964-C8A1AF0C4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32"/>
        <w:lang w:val="fr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7D9"/>
    <w:rPr>
      <w:rFonts w:ascii="Palatino" w:eastAsia="Times New Roman" w:hAnsi="Palatino" w:cs="Times New Roman"/>
      <w:kern w:val="0"/>
      <w:sz w:val="24"/>
      <w:szCs w:val="20"/>
      <w:lang w:val="fr-FR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wtze">
    <w:name w:val="hwtze"/>
    <w:basedOn w:val="Policepardfaut"/>
    <w:rsid w:val="00B35618"/>
  </w:style>
  <w:style w:type="character" w:customStyle="1" w:styleId="rynqvb">
    <w:name w:val="rynqvb"/>
    <w:basedOn w:val="Policepardfaut"/>
    <w:rsid w:val="00B35618"/>
  </w:style>
  <w:style w:type="paragraph" w:styleId="NormalWeb">
    <w:name w:val="Normal (Web)"/>
    <w:basedOn w:val="Normal"/>
    <w:uiPriority w:val="99"/>
    <w:semiHidden/>
    <w:unhideWhenUsed/>
    <w:rsid w:val="00B35618"/>
    <w:pPr>
      <w:spacing w:before="100" w:beforeAutospacing="1" w:after="100" w:afterAutospacing="1"/>
    </w:pPr>
    <w:rPr>
      <w:rFonts w:ascii="Times New Roman" w:hAnsi="Times New Roman"/>
      <w:szCs w:val="24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Référé 2</dc:creator>
  <cp:keywords/>
  <dc:description/>
  <cp:lastModifiedBy> Référé 2</cp:lastModifiedBy>
  <cp:revision>2</cp:revision>
  <dcterms:created xsi:type="dcterms:W3CDTF">2023-12-29T16:30:00Z</dcterms:created>
  <dcterms:modified xsi:type="dcterms:W3CDTF">2023-12-29T16:36:00Z</dcterms:modified>
</cp:coreProperties>
</file>