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417D4" w14:textId="77777777" w:rsidR="00F62C8B" w:rsidRPr="001603CF" w:rsidRDefault="000F3A41" w:rsidP="00FF53DC">
      <w:pPr>
        <w:pStyle w:val="RSCM01ReceivedAccepted"/>
        <w:rPr>
          <w:lang w:val="en-US"/>
        </w:rPr>
      </w:pPr>
      <w:r w:rsidRPr="001603CF">
        <w:rPr>
          <w:lang w:val="en-US"/>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B5F8247" w14:textId="77777777" w:rsidR="009B5C6C" w:rsidRPr="003F484A" w:rsidRDefault="009B5C6C" w:rsidP="00BA7E24">
                            <w:pPr>
                              <w:pStyle w:val="RSCF01FootnoteAuthorAddress"/>
                              <w:pBdr>
                                <w:top w:val="single" w:sz="12" w:space="5" w:color="A6A6A6" w:themeColor="background1" w:themeShade="A6"/>
                              </w:pBdr>
                              <w:jc w:val="both"/>
                              <w:rPr>
                                <w:lang w:val="en-US"/>
                              </w:rPr>
                            </w:pPr>
                            <w:r w:rsidRPr="003F484A">
                              <w:rPr>
                                <w:lang w:val="en-US"/>
                              </w:rPr>
                              <w:t>Center for Integrated Technology and Organic Synthesis, MolSys</w:t>
                            </w:r>
                            <w:r>
                              <w:rPr>
                                <w:lang w:val="en-US"/>
                              </w:rPr>
                              <w:t xml:space="preserve"> </w:t>
                            </w:r>
                            <w:r w:rsidRPr="003F484A">
                              <w:rPr>
                                <w:lang w:val="en-US"/>
                              </w:rPr>
                              <w:t>Research Unit, University of Liège, B-4000 Liège (Sart Tilman), Belgium</w:t>
                            </w:r>
                          </w:p>
                          <w:p w14:paraId="0A15AB46" w14:textId="77777777" w:rsidR="009B5C6C" w:rsidRDefault="00337C26" w:rsidP="00BA7E24">
                            <w:pPr>
                              <w:pStyle w:val="RSCF01FootnoteAuthorAddress"/>
                              <w:numPr>
                                <w:ilvl w:val="0"/>
                                <w:numId w:val="0"/>
                              </w:numPr>
                              <w:pBdr>
                                <w:top w:val="single" w:sz="12" w:space="5" w:color="A6A6A6" w:themeColor="background1" w:themeShade="A6"/>
                              </w:pBdr>
                              <w:ind w:firstLine="142"/>
                              <w:jc w:val="both"/>
                              <w:rPr>
                                <w:rStyle w:val="Lienhypertexte"/>
                                <w:i w:val="0"/>
                                <w:lang w:val="en-US"/>
                              </w:rPr>
                            </w:pPr>
                            <w:hyperlink r:id="rId8" w:history="1">
                              <w:r w:rsidR="009B5C6C" w:rsidRPr="003F484A">
                                <w:rPr>
                                  <w:rStyle w:val="Lienhypertexte"/>
                                  <w:lang w:val="en-US"/>
                                </w:rPr>
                                <w:t>jc.monbaliu@uliege.be</w:t>
                              </w:r>
                            </w:hyperlink>
                            <w:r w:rsidR="009B5C6C" w:rsidRPr="001D2329">
                              <w:rPr>
                                <w:rStyle w:val="Lienhypertexte"/>
                                <w:u w:val="none"/>
                                <w:lang w:val="en-US"/>
                              </w:rPr>
                              <w:t xml:space="preserve"> </w:t>
                            </w:r>
                            <w:r w:rsidR="009B5C6C" w:rsidRPr="001D2329">
                              <w:rPr>
                                <w:rStyle w:val="Lienhypertexte"/>
                                <w:i w:val="0"/>
                                <w:u w:val="none"/>
                                <w:lang w:val="en-US"/>
                              </w:rPr>
                              <w:t>|</w:t>
                            </w:r>
                            <w:r w:rsidR="009B5C6C" w:rsidRPr="003F484A">
                              <w:rPr>
                                <w:lang w:val="en-US"/>
                              </w:rPr>
                              <w:t xml:space="preserve"> </w:t>
                            </w:r>
                            <w:hyperlink r:id="rId9" w:history="1">
                              <w:r w:rsidR="009B5C6C" w:rsidRPr="003F484A">
                                <w:rPr>
                                  <w:rStyle w:val="Lienhypertexte"/>
                                  <w:lang w:val="en-US"/>
                                </w:rPr>
                                <w:t>www.citos.uliege.be</w:t>
                              </w:r>
                            </w:hyperlink>
                          </w:p>
                          <w:p w14:paraId="167D7F48" w14:textId="77777777" w:rsidR="009B5C6C" w:rsidRPr="00895129" w:rsidRDefault="009B5C6C" w:rsidP="00241ACD">
                            <w:pPr>
                              <w:pStyle w:val="RSCF01FootnoteAuthorAddress"/>
                              <w:pBdr>
                                <w:top w:val="none" w:sz="0" w:space="0" w:color="auto"/>
                              </w:pBdr>
                              <w:jc w:val="both"/>
                              <w:rPr>
                                <w:lang w:val="fr-BE"/>
                              </w:rPr>
                            </w:pPr>
                            <w:r w:rsidRPr="00895129">
                              <w:rPr>
                                <w:lang w:val="fr-BE"/>
                              </w:rPr>
                              <w:t>Univ Rouen Normandie, INSA Rouen Normandie, CNRS, Normandie Univ, COBRA UMR 6014, INC3M FR 3038, F-76000 Rouen, France</w:t>
                            </w:r>
                            <w:r w:rsidRPr="00895129" w:rsidDel="00302C7A">
                              <w:rPr>
                                <w:lang w:val="fr-BE"/>
                              </w:rPr>
                              <w:t xml:space="preserve"> </w:t>
                            </w:r>
                          </w:p>
                          <w:p w14:paraId="6001FC66" w14:textId="2F7AD656" w:rsidR="009B5C6C" w:rsidRPr="00501D03" w:rsidRDefault="009B5C6C" w:rsidP="00241ACD">
                            <w:pPr>
                              <w:pStyle w:val="RSCF01FootnoteAuthorAddress"/>
                              <w:pBdr>
                                <w:top w:val="none" w:sz="0" w:space="0" w:color="auto"/>
                              </w:pBdr>
                              <w:jc w:val="both"/>
                              <w:rPr>
                                <w:lang w:val="en-US"/>
                              </w:rPr>
                            </w:pPr>
                            <w:r w:rsidRPr="00501D03">
                              <w:rPr>
                                <w:lang w:val="en-US"/>
                              </w:rPr>
                              <w:t>FloW4all Flow Technology Resource center, University of Liège, B-4000 Liège (Sart-Tilman), Belgium</w:t>
                            </w:r>
                          </w:p>
                          <w:p w14:paraId="7674E99A" w14:textId="2D513496" w:rsidR="009B5C6C" w:rsidRDefault="009B5C6C" w:rsidP="00EE3EF1">
                            <w:pPr>
                              <w:pStyle w:val="RSCF01FootnoteAuthorAddress"/>
                              <w:pBdr>
                                <w:top w:val="none" w:sz="0" w:space="0" w:color="auto"/>
                              </w:pBdr>
                              <w:jc w:val="both"/>
                              <w:rPr>
                                <w:lang w:val="fr-FR"/>
                              </w:rPr>
                            </w:pPr>
                            <w:r w:rsidRPr="00832838">
                              <w:rPr>
                                <w:lang w:val="fr-FR"/>
                              </w:rPr>
                              <w:t xml:space="preserve">Corning Reactor Technologies, Corning SAS, 7 bis, Avenue de Valvins CS 70156 Samois sur Seine, 77215 Avon Cedex </w:t>
                            </w:r>
                            <w:r>
                              <w:rPr>
                                <w:lang w:val="fr-FR"/>
                              </w:rPr>
                              <w:t>–</w:t>
                            </w:r>
                            <w:r w:rsidRPr="00832838">
                              <w:rPr>
                                <w:lang w:val="fr-FR"/>
                              </w:rPr>
                              <w:t xml:space="preserve"> </w:t>
                            </w:r>
                            <w:r>
                              <w:rPr>
                                <w:lang w:val="fr-FR"/>
                              </w:rPr>
                              <w:t>France</w:t>
                            </w:r>
                          </w:p>
                          <w:p w14:paraId="71E31322" w14:textId="5EDE2BA6" w:rsidR="009B5C6C" w:rsidRPr="00EE3EF1" w:rsidRDefault="009B5C6C" w:rsidP="00EE3EF1">
                            <w:pPr>
                              <w:pStyle w:val="RSCF01FootnoteAuthorAddress"/>
                              <w:numPr>
                                <w:ilvl w:val="0"/>
                                <w:numId w:val="0"/>
                              </w:numPr>
                              <w:pBdr>
                                <w:top w:val="none" w:sz="0" w:space="0" w:color="auto"/>
                              </w:pBdr>
                              <w:ind w:left="85"/>
                              <w:jc w:val="both"/>
                              <w:rPr>
                                <w:lang w:val="fr-FR"/>
                              </w:rPr>
                            </w:pPr>
                            <w:r w:rsidRPr="00EE3EF1">
                              <w:rPr>
                                <w:vertAlign w:val="superscript"/>
                                <w:lang w:val="fr-FR"/>
                              </w:rPr>
                              <w:t>¶</w:t>
                            </w:r>
                            <w:r>
                              <w:rPr>
                                <w:vertAlign w:val="superscript"/>
                                <w:lang w:val="fr-FR"/>
                              </w:rPr>
                              <w:t xml:space="preserve"> </w:t>
                            </w:r>
                            <w:r w:rsidRPr="00EE3EF1">
                              <w:rPr>
                                <w:lang w:val="fr-FR"/>
                              </w:rPr>
                              <w:t>Equal contributions.</w:t>
                            </w:r>
                          </w:p>
                          <w:p w14:paraId="27AF82EA" w14:textId="77777777" w:rsidR="009B5C6C" w:rsidRDefault="009B5C6C" w:rsidP="00EE3EF1">
                            <w:pPr>
                              <w:pStyle w:val="RSCF01FootnoteAuthorAddress"/>
                              <w:numPr>
                                <w:ilvl w:val="0"/>
                                <w:numId w:val="0"/>
                              </w:numPr>
                              <w:pBdr>
                                <w:top w:val="none" w:sz="0" w:space="0" w:color="auto"/>
                              </w:pBdr>
                              <w:ind w:left="85"/>
                              <w:jc w:val="both"/>
                              <w:rPr>
                                <w:lang w:val="en-US"/>
                              </w:rPr>
                            </w:pPr>
                          </w:p>
                          <w:p w14:paraId="725476D8" w14:textId="0CE993F6" w:rsidR="009B5C6C" w:rsidRPr="00EE3EF1" w:rsidRDefault="009B5C6C" w:rsidP="00EE3EF1">
                            <w:pPr>
                              <w:pStyle w:val="RSCF01FootnoteAuthorAddress"/>
                              <w:numPr>
                                <w:ilvl w:val="0"/>
                                <w:numId w:val="0"/>
                              </w:numPr>
                              <w:pBdr>
                                <w:top w:val="none" w:sz="0" w:space="0" w:color="auto"/>
                              </w:pBdr>
                              <w:ind w:left="85"/>
                              <w:jc w:val="both"/>
                              <w:rPr>
                                <w:lang w:val="en-US"/>
                              </w:rPr>
                            </w:pPr>
                            <w:r w:rsidRPr="00EE3EF1">
                              <w:rPr>
                                <w:lang w:val="en-US"/>
                              </w:rPr>
                              <w:t xml:space="preserve">Electronic Supplementary Information (ESI) available: fluidic components, </w:t>
                            </w:r>
                            <w:r>
                              <w:rPr>
                                <w:lang w:val="en-US"/>
                              </w:rPr>
                              <w:t xml:space="preserve">computational protocols, </w:t>
                            </w:r>
                            <w:r w:rsidRPr="00EE3EF1">
                              <w:rPr>
                                <w:lang w:val="en-US"/>
                              </w:rPr>
                              <w:t>experimental procedures, details of the fluidic setup and procedures, computational details, details for the off-line analyses (GC, HPLC) and structural assignments (NMR).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B5F8247" w14:textId="77777777" w:rsidR="009B5C6C" w:rsidRPr="003F484A" w:rsidRDefault="009B5C6C" w:rsidP="00BA7E24">
                      <w:pPr>
                        <w:pStyle w:val="RSCF01FootnoteAuthorAddress"/>
                        <w:pBdr>
                          <w:top w:val="single" w:sz="12" w:space="5" w:color="A6A6A6" w:themeColor="background1" w:themeShade="A6"/>
                        </w:pBdr>
                        <w:jc w:val="both"/>
                        <w:rPr>
                          <w:lang w:val="en-US"/>
                        </w:rPr>
                      </w:pPr>
                      <w:r w:rsidRPr="003F484A">
                        <w:rPr>
                          <w:lang w:val="en-US"/>
                        </w:rPr>
                        <w:t>Center for Integrated Technology and Organic Synthesis, MolSys</w:t>
                      </w:r>
                      <w:r>
                        <w:rPr>
                          <w:lang w:val="en-US"/>
                        </w:rPr>
                        <w:t xml:space="preserve"> </w:t>
                      </w:r>
                      <w:r w:rsidRPr="003F484A">
                        <w:rPr>
                          <w:lang w:val="en-US"/>
                        </w:rPr>
                        <w:t>Research Unit, University of Liège, B-4000 Liège (Sart Tilman), Belgium</w:t>
                      </w:r>
                    </w:p>
                    <w:p w14:paraId="0A15AB46" w14:textId="77777777" w:rsidR="009B5C6C" w:rsidRDefault="003A2FF3" w:rsidP="00BA7E24">
                      <w:pPr>
                        <w:pStyle w:val="RSCF01FootnoteAuthorAddress"/>
                        <w:numPr>
                          <w:ilvl w:val="0"/>
                          <w:numId w:val="0"/>
                        </w:numPr>
                        <w:pBdr>
                          <w:top w:val="single" w:sz="12" w:space="5" w:color="A6A6A6" w:themeColor="background1" w:themeShade="A6"/>
                        </w:pBdr>
                        <w:ind w:firstLine="142"/>
                        <w:jc w:val="both"/>
                        <w:rPr>
                          <w:rStyle w:val="Lienhypertexte"/>
                          <w:i w:val="0"/>
                          <w:lang w:val="en-US"/>
                        </w:rPr>
                      </w:pPr>
                      <w:hyperlink r:id="rId10" w:history="1">
                        <w:r w:rsidR="009B5C6C" w:rsidRPr="003F484A">
                          <w:rPr>
                            <w:rStyle w:val="Lienhypertexte"/>
                            <w:lang w:val="en-US"/>
                          </w:rPr>
                          <w:t>jc.monbaliu@uliege.be</w:t>
                        </w:r>
                      </w:hyperlink>
                      <w:r w:rsidR="009B5C6C" w:rsidRPr="001D2329">
                        <w:rPr>
                          <w:rStyle w:val="Lienhypertexte"/>
                          <w:u w:val="none"/>
                          <w:lang w:val="en-US"/>
                        </w:rPr>
                        <w:t xml:space="preserve"> </w:t>
                      </w:r>
                      <w:r w:rsidR="009B5C6C" w:rsidRPr="001D2329">
                        <w:rPr>
                          <w:rStyle w:val="Lienhypertexte"/>
                          <w:i w:val="0"/>
                          <w:u w:val="none"/>
                          <w:lang w:val="en-US"/>
                        </w:rPr>
                        <w:t>|</w:t>
                      </w:r>
                      <w:r w:rsidR="009B5C6C" w:rsidRPr="003F484A">
                        <w:rPr>
                          <w:lang w:val="en-US"/>
                        </w:rPr>
                        <w:t xml:space="preserve"> </w:t>
                      </w:r>
                      <w:hyperlink r:id="rId11" w:history="1">
                        <w:r w:rsidR="009B5C6C" w:rsidRPr="003F484A">
                          <w:rPr>
                            <w:rStyle w:val="Lienhypertexte"/>
                            <w:lang w:val="en-US"/>
                          </w:rPr>
                          <w:t>www.citos.uliege.be</w:t>
                        </w:r>
                      </w:hyperlink>
                    </w:p>
                    <w:p w14:paraId="167D7F48" w14:textId="77777777" w:rsidR="009B5C6C" w:rsidRPr="00895129" w:rsidRDefault="009B5C6C" w:rsidP="00241ACD">
                      <w:pPr>
                        <w:pStyle w:val="RSCF01FootnoteAuthorAddress"/>
                        <w:pBdr>
                          <w:top w:val="none" w:sz="0" w:space="0" w:color="auto"/>
                        </w:pBdr>
                        <w:jc w:val="both"/>
                        <w:rPr>
                          <w:lang w:val="fr-BE"/>
                        </w:rPr>
                      </w:pPr>
                      <w:r w:rsidRPr="00895129">
                        <w:rPr>
                          <w:lang w:val="fr-BE"/>
                        </w:rPr>
                        <w:t>Univ Rouen Normandie, INSA Rouen Normandie, CNRS, Normandie Univ, COBRA UMR 6014, INC3M FR 3038, F-76000 Rouen, France</w:t>
                      </w:r>
                      <w:r w:rsidRPr="00895129" w:rsidDel="00302C7A">
                        <w:rPr>
                          <w:lang w:val="fr-BE"/>
                        </w:rPr>
                        <w:t xml:space="preserve"> </w:t>
                      </w:r>
                    </w:p>
                    <w:p w14:paraId="6001FC66" w14:textId="2F7AD656" w:rsidR="009B5C6C" w:rsidRPr="00501D03" w:rsidRDefault="009B5C6C" w:rsidP="00241ACD">
                      <w:pPr>
                        <w:pStyle w:val="RSCF01FootnoteAuthorAddress"/>
                        <w:pBdr>
                          <w:top w:val="none" w:sz="0" w:space="0" w:color="auto"/>
                        </w:pBdr>
                        <w:jc w:val="both"/>
                        <w:rPr>
                          <w:lang w:val="en-US"/>
                        </w:rPr>
                      </w:pPr>
                      <w:r w:rsidRPr="00501D03">
                        <w:rPr>
                          <w:lang w:val="en-US"/>
                        </w:rPr>
                        <w:t>FloW4all Flow Technology Resource center, University of Liège, B-4000 Liège (Sart-Tilman), Belgium</w:t>
                      </w:r>
                    </w:p>
                    <w:p w14:paraId="7674E99A" w14:textId="2D513496" w:rsidR="009B5C6C" w:rsidRDefault="009B5C6C" w:rsidP="00EE3EF1">
                      <w:pPr>
                        <w:pStyle w:val="RSCF01FootnoteAuthorAddress"/>
                        <w:pBdr>
                          <w:top w:val="none" w:sz="0" w:space="0" w:color="auto"/>
                        </w:pBdr>
                        <w:jc w:val="both"/>
                        <w:rPr>
                          <w:lang w:val="fr-FR"/>
                        </w:rPr>
                      </w:pPr>
                      <w:r w:rsidRPr="00832838">
                        <w:rPr>
                          <w:lang w:val="fr-FR"/>
                        </w:rPr>
                        <w:t xml:space="preserve">Corning Reactor Technologies, Corning SAS, 7 bis, Avenue de Valvins CS 70156 Samois sur Seine, 77215 Avon Cedex </w:t>
                      </w:r>
                      <w:r>
                        <w:rPr>
                          <w:lang w:val="fr-FR"/>
                        </w:rPr>
                        <w:t>–</w:t>
                      </w:r>
                      <w:r w:rsidRPr="00832838">
                        <w:rPr>
                          <w:lang w:val="fr-FR"/>
                        </w:rPr>
                        <w:t xml:space="preserve"> </w:t>
                      </w:r>
                      <w:r>
                        <w:rPr>
                          <w:lang w:val="fr-FR"/>
                        </w:rPr>
                        <w:t>France</w:t>
                      </w:r>
                    </w:p>
                    <w:p w14:paraId="71E31322" w14:textId="5EDE2BA6" w:rsidR="009B5C6C" w:rsidRPr="00EE3EF1" w:rsidRDefault="009B5C6C" w:rsidP="00EE3EF1">
                      <w:pPr>
                        <w:pStyle w:val="RSCF01FootnoteAuthorAddress"/>
                        <w:numPr>
                          <w:ilvl w:val="0"/>
                          <w:numId w:val="0"/>
                        </w:numPr>
                        <w:pBdr>
                          <w:top w:val="none" w:sz="0" w:space="0" w:color="auto"/>
                        </w:pBdr>
                        <w:ind w:left="85"/>
                        <w:jc w:val="both"/>
                        <w:rPr>
                          <w:lang w:val="fr-FR"/>
                        </w:rPr>
                      </w:pPr>
                      <w:r w:rsidRPr="00EE3EF1">
                        <w:rPr>
                          <w:vertAlign w:val="superscript"/>
                          <w:lang w:val="fr-FR"/>
                        </w:rPr>
                        <w:t>¶</w:t>
                      </w:r>
                      <w:r>
                        <w:rPr>
                          <w:vertAlign w:val="superscript"/>
                          <w:lang w:val="fr-FR"/>
                        </w:rPr>
                        <w:t xml:space="preserve"> </w:t>
                      </w:r>
                      <w:r w:rsidRPr="00EE3EF1">
                        <w:rPr>
                          <w:lang w:val="fr-FR"/>
                        </w:rPr>
                        <w:t>Equal contributions.</w:t>
                      </w:r>
                    </w:p>
                    <w:p w14:paraId="27AF82EA" w14:textId="77777777" w:rsidR="009B5C6C" w:rsidRDefault="009B5C6C" w:rsidP="00EE3EF1">
                      <w:pPr>
                        <w:pStyle w:val="RSCF01FootnoteAuthorAddress"/>
                        <w:numPr>
                          <w:ilvl w:val="0"/>
                          <w:numId w:val="0"/>
                        </w:numPr>
                        <w:pBdr>
                          <w:top w:val="none" w:sz="0" w:space="0" w:color="auto"/>
                        </w:pBdr>
                        <w:ind w:left="85"/>
                        <w:jc w:val="both"/>
                        <w:rPr>
                          <w:lang w:val="en-US"/>
                        </w:rPr>
                      </w:pPr>
                    </w:p>
                    <w:p w14:paraId="725476D8" w14:textId="0CE993F6" w:rsidR="009B5C6C" w:rsidRPr="00EE3EF1" w:rsidRDefault="009B5C6C" w:rsidP="00EE3EF1">
                      <w:pPr>
                        <w:pStyle w:val="RSCF01FootnoteAuthorAddress"/>
                        <w:numPr>
                          <w:ilvl w:val="0"/>
                          <w:numId w:val="0"/>
                        </w:numPr>
                        <w:pBdr>
                          <w:top w:val="none" w:sz="0" w:space="0" w:color="auto"/>
                        </w:pBdr>
                        <w:ind w:left="85"/>
                        <w:jc w:val="both"/>
                        <w:rPr>
                          <w:lang w:val="en-US"/>
                        </w:rPr>
                      </w:pPr>
                      <w:r w:rsidRPr="00EE3EF1">
                        <w:rPr>
                          <w:lang w:val="en-US"/>
                        </w:rPr>
                        <w:t xml:space="preserve">Electronic Supplementary Information (ESI) available: fluidic components, </w:t>
                      </w:r>
                      <w:r>
                        <w:rPr>
                          <w:lang w:val="en-US"/>
                        </w:rPr>
                        <w:t xml:space="preserve">computational protocols, </w:t>
                      </w:r>
                      <w:r w:rsidRPr="00EE3EF1">
                        <w:rPr>
                          <w:lang w:val="en-US"/>
                        </w:rPr>
                        <w:t>experimental procedures, details of the fluidic setup and procedures, computational details, details for the off-line analyses (GC, HPLC) and structural assignments (NMR). See DOI: 10.1039/x0xx00000x</w:t>
                      </w:r>
                    </w:p>
                  </w:txbxContent>
                </v:textbox>
                <w10:wrap type="topAndBottom" anchory="margin"/>
                <w10:anchorlock/>
              </v:shape>
            </w:pict>
          </mc:Fallback>
        </mc:AlternateContent>
      </w:r>
      <w:r w:rsidR="00F62C8B" w:rsidRPr="001603CF">
        <w:rPr>
          <w:lang w:val="en-US"/>
        </w:rPr>
        <w:t>Received 00th January 20</w:t>
      </w:r>
      <w:r w:rsidR="00F15F90" w:rsidRPr="001603CF">
        <w:rPr>
          <w:lang w:val="en-US"/>
        </w:rPr>
        <w:t>xx</w:t>
      </w:r>
      <w:r w:rsidR="00F62C8B" w:rsidRPr="001603CF">
        <w:rPr>
          <w:lang w:val="en-US"/>
        </w:rPr>
        <w:t>,</w:t>
      </w:r>
    </w:p>
    <w:p w14:paraId="5E930491" w14:textId="77777777" w:rsidR="00F62C8B" w:rsidRPr="001603CF" w:rsidRDefault="00F62C8B" w:rsidP="00FF53DC">
      <w:pPr>
        <w:pStyle w:val="RSCM01ReceivedAccepted"/>
        <w:rPr>
          <w:lang w:val="en-US"/>
        </w:rPr>
      </w:pPr>
      <w:r w:rsidRPr="001603CF">
        <w:rPr>
          <w:lang w:val="en-US"/>
        </w:rPr>
        <w:t>Accepted 00th January 20</w:t>
      </w:r>
      <w:r w:rsidR="00F15F90" w:rsidRPr="001603CF">
        <w:rPr>
          <w:lang w:val="en-US"/>
        </w:rPr>
        <w:t>xx</w:t>
      </w:r>
    </w:p>
    <w:p w14:paraId="492325BD" w14:textId="77777777" w:rsidR="00F62C8B" w:rsidRPr="001603CF" w:rsidRDefault="00F62C8B" w:rsidP="00FF53DC">
      <w:pPr>
        <w:pStyle w:val="RSCM02DOI"/>
        <w:rPr>
          <w:lang w:val="en-US"/>
        </w:rPr>
      </w:pPr>
      <w:r w:rsidRPr="001603CF">
        <w:rPr>
          <w:lang w:val="en-US"/>
        </w:rPr>
        <w:t>DOI: 10.1039/x0xx00000x</w:t>
      </w:r>
    </w:p>
    <w:p w14:paraId="646B8F30" w14:textId="77777777" w:rsidR="00A9649E" w:rsidRPr="001603CF" w:rsidRDefault="00A9649E" w:rsidP="00FF53DC">
      <w:pPr>
        <w:pStyle w:val="RSCM03Website"/>
        <w:rPr>
          <w:lang w:val="en-US"/>
        </w:rPr>
      </w:pPr>
    </w:p>
    <w:p w14:paraId="0D6101E0" w14:textId="6F2EF331" w:rsidR="004414A5" w:rsidRPr="001603CF" w:rsidRDefault="00F62C8B">
      <w:pPr>
        <w:pStyle w:val="RSCH01PaperTitle"/>
        <w:jc w:val="both"/>
        <w:rPr>
          <w:bCs/>
          <w:lang w:val="en-US"/>
        </w:rPr>
      </w:pPr>
      <w:r w:rsidRPr="001603CF">
        <w:rPr>
          <w:lang w:val="en-US"/>
        </w:rPr>
        <w:br w:type="column"/>
      </w:r>
      <w:r w:rsidR="004061E3" w:rsidRPr="001603CF">
        <w:rPr>
          <w:lang w:val="en-US"/>
        </w:rPr>
        <w:t xml:space="preserve">Miniaturized Ozonolysis Flow </w:t>
      </w:r>
      <w:r w:rsidR="00D61EB4" w:rsidRPr="001603CF">
        <w:rPr>
          <w:lang w:val="en-US"/>
        </w:rPr>
        <w:t>Platform</w:t>
      </w:r>
      <w:r w:rsidR="004061E3" w:rsidRPr="001603CF">
        <w:rPr>
          <w:lang w:val="en-US"/>
        </w:rPr>
        <w:t xml:space="preserve"> for </w:t>
      </w:r>
      <w:r w:rsidR="004F02DF" w:rsidRPr="001603CF">
        <w:rPr>
          <w:lang w:val="en-US"/>
        </w:rPr>
        <w:t>Expeditious</w:t>
      </w:r>
      <w:r w:rsidR="004061E3" w:rsidRPr="001603CF">
        <w:rPr>
          <w:lang w:val="en-US"/>
        </w:rPr>
        <w:t xml:space="preserve"> Sulfur Mustard Warfare Simulant Neutralization</w:t>
      </w:r>
    </w:p>
    <w:p w14:paraId="5DEC5214" w14:textId="4AE22302" w:rsidR="00994690" w:rsidRPr="001603CF" w:rsidRDefault="007B3B48">
      <w:pPr>
        <w:pStyle w:val="RSCB01ARTAbstract"/>
        <w:rPr>
          <w:rFonts w:cs="Times New Roman"/>
          <w:sz w:val="20"/>
          <w:vertAlign w:val="superscript"/>
          <w:lang w:val="en-US"/>
        </w:rPr>
      </w:pPr>
      <w:r w:rsidRPr="001603CF">
        <w:rPr>
          <w:rFonts w:cs="Times New Roman"/>
          <w:sz w:val="20"/>
          <w:lang w:val="en-US"/>
        </w:rPr>
        <w:t>Maxime Bodda</w:t>
      </w:r>
      <w:r w:rsidR="006A649B" w:rsidRPr="001603CF">
        <w:rPr>
          <w:rFonts w:cs="Times New Roman"/>
          <w:sz w:val="20"/>
          <w:lang w:val="en-US"/>
        </w:rPr>
        <w:t>ert,</w:t>
      </w:r>
      <w:r w:rsidR="00B04182" w:rsidRPr="001603CF">
        <w:rPr>
          <w:rFonts w:cs="Times New Roman"/>
          <w:sz w:val="20"/>
          <w:vertAlign w:val="superscript"/>
          <w:lang w:val="en-US"/>
        </w:rPr>
        <w:t>a,b</w:t>
      </w:r>
      <w:r w:rsidR="00A525EB" w:rsidRPr="001603CF">
        <w:rPr>
          <w:rFonts w:cs="Times New Roman"/>
          <w:sz w:val="20"/>
          <w:vertAlign w:val="superscript"/>
          <w:lang w:val="en-US"/>
        </w:rPr>
        <w:t>,</w:t>
      </w:r>
      <w:r w:rsidR="00EE3EF1" w:rsidRPr="001603CF">
        <w:rPr>
          <w:rFonts w:ascii="Times New Roman" w:hAnsi="Times New Roman"/>
          <w:vertAlign w:val="superscript"/>
          <w:lang w:val="en-US"/>
        </w:rPr>
        <w:t>¶</w:t>
      </w:r>
      <w:r w:rsidR="00EE3EF1" w:rsidRPr="001603CF">
        <w:rPr>
          <w:rFonts w:ascii="Times New Roman" w:hAnsi="Times New Roman" w:cs="Times New Roman"/>
          <w:vertAlign w:val="superscript"/>
          <w:lang w:val="en-US"/>
        </w:rPr>
        <w:t xml:space="preserve"> </w:t>
      </w:r>
      <w:r w:rsidR="00EE3EF1" w:rsidRPr="001603CF">
        <w:rPr>
          <w:lang w:val="en-US"/>
        </w:rPr>
        <w:t xml:space="preserve"> </w:t>
      </w:r>
      <w:r w:rsidR="006A649B" w:rsidRPr="001603CF">
        <w:rPr>
          <w:rFonts w:cs="Times New Roman"/>
          <w:sz w:val="20"/>
          <w:lang w:val="en-US"/>
        </w:rPr>
        <w:t xml:space="preserve"> </w:t>
      </w:r>
      <w:r w:rsidR="00B04182" w:rsidRPr="001603CF">
        <w:rPr>
          <w:rFonts w:cs="Times New Roman"/>
          <w:sz w:val="20"/>
          <w:lang w:val="en-US"/>
        </w:rPr>
        <w:t>Pauline Bianchi</w:t>
      </w:r>
      <w:r w:rsidR="00B04182" w:rsidRPr="001603CF">
        <w:rPr>
          <w:rFonts w:cs="Times New Roman"/>
          <w:sz w:val="20"/>
          <w:vertAlign w:val="superscript"/>
          <w:lang w:val="en-US"/>
        </w:rPr>
        <w:t>a</w:t>
      </w:r>
      <w:r w:rsidR="009A0FA5" w:rsidRPr="001603CF">
        <w:rPr>
          <w:rFonts w:cs="Times New Roman"/>
          <w:sz w:val="20"/>
          <w:vertAlign w:val="superscript"/>
          <w:lang w:val="en-US"/>
        </w:rPr>
        <w:t>,</w:t>
      </w:r>
      <w:r w:rsidR="00EE3EF1" w:rsidRPr="001603CF">
        <w:rPr>
          <w:rFonts w:ascii="Times New Roman" w:hAnsi="Times New Roman"/>
          <w:vertAlign w:val="superscript"/>
          <w:lang w:val="en-US"/>
        </w:rPr>
        <w:t xml:space="preserve"> ¶</w:t>
      </w:r>
      <w:r w:rsidR="00EE3EF1" w:rsidRPr="001603CF">
        <w:rPr>
          <w:rFonts w:ascii="Times New Roman" w:hAnsi="Times New Roman" w:cs="Times New Roman"/>
          <w:vertAlign w:val="superscript"/>
          <w:lang w:val="en-US"/>
        </w:rPr>
        <w:t xml:space="preserve"> </w:t>
      </w:r>
      <w:r w:rsidR="00B04182" w:rsidRPr="001603CF">
        <w:rPr>
          <w:rFonts w:cs="Times New Roman"/>
          <w:sz w:val="20"/>
          <w:lang w:val="en-US"/>
        </w:rPr>
        <w:t>, Diana V. Silva-Brenes,</w:t>
      </w:r>
      <w:r w:rsidR="00B04182" w:rsidRPr="001603CF">
        <w:rPr>
          <w:rFonts w:cs="Times New Roman"/>
          <w:sz w:val="20"/>
          <w:vertAlign w:val="superscript"/>
          <w:lang w:val="en-US"/>
        </w:rPr>
        <w:t>a</w:t>
      </w:r>
      <w:r w:rsidR="00EA576C" w:rsidRPr="001603CF">
        <w:rPr>
          <w:rFonts w:cs="Times New Roman"/>
          <w:sz w:val="20"/>
          <w:vertAlign w:val="superscript"/>
          <w:lang w:val="en-US"/>
        </w:rPr>
        <w:t>,c</w:t>
      </w:r>
      <w:r w:rsidR="00403BB1" w:rsidRPr="001603CF">
        <w:rPr>
          <w:rFonts w:cs="Times New Roman"/>
          <w:sz w:val="20"/>
          <w:lang w:val="en-US"/>
        </w:rPr>
        <w:t xml:space="preserve"> </w:t>
      </w:r>
      <w:r w:rsidR="006B6BE6" w:rsidRPr="001603CF">
        <w:rPr>
          <w:rFonts w:cs="Times New Roman"/>
          <w:sz w:val="20"/>
          <w:lang w:val="en-US"/>
        </w:rPr>
        <w:t>Ancuta Musina</w:t>
      </w:r>
      <w:r w:rsidR="00490FEF" w:rsidRPr="001603CF">
        <w:rPr>
          <w:rFonts w:cs="Times New Roman"/>
          <w:sz w:val="20"/>
          <w:lang w:val="en-US"/>
        </w:rPr>
        <w:t>,</w:t>
      </w:r>
      <w:r w:rsidR="00EA576C" w:rsidRPr="001603CF">
        <w:rPr>
          <w:rFonts w:cs="Times New Roman"/>
          <w:sz w:val="20"/>
          <w:vertAlign w:val="superscript"/>
          <w:lang w:val="en-US"/>
        </w:rPr>
        <w:t>d</w:t>
      </w:r>
      <w:r w:rsidR="00490FEF" w:rsidRPr="001603CF">
        <w:rPr>
          <w:rFonts w:cs="Times New Roman"/>
          <w:sz w:val="20"/>
          <w:lang w:val="en-US"/>
        </w:rPr>
        <w:t xml:space="preserve"> Marc Winter,</w:t>
      </w:r>
      <w:r w:rsidR="00EA576C" w:rsidRPr="001603CF">
        <w:rPr>
          <w:rFonts w:cs="Times New Roman"/>
          <w:sz w:val="20"/>
          <w:vertAlign w:val="superscript"/>
          <w:lang w:val="en-US"/>
        </w:rPr>
        <w:t>d</w:t>
      </w:r>
      <w:r w:rsidR="00490FEF" w:rsidRPr="001603CF">
        <w:rPr>
          <w:rFonts w:cs="Times New Roman"/>
          <w:sz w:val="20"/>
          <w:lang w:val="en-US"/>
        </w:rPr>
        <w:t xml:space="preserve"> Philippe M. C. Roth,</w:t>
      </w:r>
      <w:r w:rsidR="00EA576C" w:rsidRPr="001603CF">
        <w:rPr>
          <w:rFonts w:cs="Times New Roman"/>
          <w:sz w:val="20"/>
          <w:vertAlign w:val="superscript"/>
          <w:lang w:val="en-US"/>
        </w:rPr>
        <w:t>d</w:t>
      </w:r>
      <w:r w:rsidR="00490FEF" w:rsidRPr="001603CF">
        <w:rPr>
          <w:rFonts w:cs="Times New Roman"/>
          <w:sz w:val="20"/>
          <w:lang w:val="en-US"/>
        </w:rPr>
        <w:t xml:space="preserve"> </w:t>
      </w:r>
      <w:r w:rsidR="00D0010D" w:rsidRPr="001603CF">
        <w:rPr>
          <w:rFonts w:cs="Times New Roman"/>
          <w:sz w:val="20"/>
          <w:lang w:val="en-US"/>
        </w:rPr>
        <w:t>Pierre-Yves Renard,</w:t>
      </w:r>
      <w:r w:rsidR="00D0010D" w:rsidRPr="001603CF">
        <w:rPr>
          <w:rFonts w:cs="Times New Roman"/>
          <w:sz w:val="20"/>
          <w:vertAlign w:val="superscript"/>
          <w:lang w:val="en-US"/>
        </w:rPr>
        <w:t>b</w:t>
      </w:r>
      <w:r w:rsidR="00D0010D" w:rsidRPr="001603CF">
        <w:rPr>
          <w:rFonts w:cs="Times New Roman"/>
          <w:sz w:val="20"/>
          <w:lang w:val="en-US"/>
        </w:rPr>
        <w:t xml:space="preserve"> </w:t>
      </w:r>
      <w:r w:rsidRPr="001603CF">
        <w:rPr>
          <w:rFonts w:cs="Times New Roman"/>
          <w:sz w:val="20"/>
          <w:lang w:val="en-US"/>
        </w:rPr>
        <w:t>Julien Legros*</w:t>
      </w:r>
      <w:r w:rsidRPr="001603CF">
        <w:rPr>
          <w:rFonts w:cs="Times New Roman"/>
          <w:sz w:val="20"/>
          <w:vertAlign w:val="superscript"/>
          <w:lang w:val="en-US"/>
        </w:rPr>
        <w:t>,b</w:t>
      </w:r>
      <w:r w:rsidRPr="001603CF">
        <w:rPr>
          <w:rFonts w:cs="Times New Roman"/>
          <w:sz w:val="20"/>
          <w:lang w:val="en-US"/>
        </w:rPr>
        <w:t xml:space="preserve"> and </w:t>
      </w:r>
      <w:r w:rsidR="00513362" w:rsidRPr="001603CF">
        <w:rPr>
          <w:rFonts w:cs="Times New Roman"/>
          <w:sz w:val="20"/>
          <w:lang w:val="en-US"/>
        </w:rPr>
        <w:t>Jean-Christophe M. Monbaliu</w:t>
      </w:r>
      <w:r w:rsidR="008125A0" w:rsidRPr="001603CF">
        <w:rPr>
          <w:rFonts w:cs="Times New Roman"/>
          <w:sz w:val="20"/>
          <w:lang w:val="en-US"/>
        </w:rPr>
        <w:t>*</w:t>
      </w:r>
      <w:r w:rsidR="00BA7E24" w:rsidRPr="001603CF">
        <w:rPr>
          <w:rFonts w:cs="Times New Roman"/>
          <w:sz w:val="20"/>
          <w:vertAlign w:val="superscript"/>
          <w:lang w:val="en-US"/>
        </w:rPr>
        <w:t>,</w:t>
      </w:r>
      <w:r w:rsidR="008125A0" w:rsidRPr="001603CF">
        <w:rPr>
          <w:rFonts w:cs="Times New Roman"/>
          <w:sz w:val="20"/>
          <w:vertAlign w:val="superscript"/>
          <w:lang w:val="en-US"/>
        </w:rPr>
        <w:t>a</w:t>
      </w:r>
      <w:r w:rsidR="00EA576C" w:rsidRPr="001603CF">
        <w:rPr>
          <w:rFonts w:cs="Times New Roman"/>
          <w:sz w:val="20"/>
          <w:vertAlign w:val="superscript"/>
          <w:lang w:val="en-US"/>
        </w:rPr>
        <w:t>,c</w:t>
      </w:r>
      <w:r w:rsidR="00513362" w:rsidRPr="001603CF">
        <w:rPr>
          <w:rFonts w:cs="Times New Roman"/>
          <w:sz w:val="20"/>
          <w:lang w:val="en-US"/>
        </w:rPr>
        <w:t xml:space="preserve"> </w:t>
      </w:r>
    </w:p>
    <w:p w14:paraId="5D45B6E7" w14:textId="5AE9CECA" w:rsidR="000565CD" w:rsidRPr="001603CF" w:rsidRDefault="00F92D30">
      <w:pPr>
        <w:pStyle w:val="RSCB01ARTAbstract"/>
        <w:rPr>
          <w:lang w:val="en-US"/>
        </w:rPr>
      </w:pPr>
      <w:r w:rsidRPr="001603CF">
        <w:rPr>
          <w:lang w:val="en-US"/>
        </w:rPr>
        <w:t xml:space="preserve">This communication introduces a highly efficient, safe and sustainable flow protocol for the oxidative neutralization of sulfur-based Chemical Warfare Agent simulants using ozone. The methodology employs preliminary </w:t>
      </w:r>
      <w:r w:rsidRPr="001603CF">
        <w:rPr>
          <w:i/>
          <w:lang w:val="en-US"/>
        </w:rPr>
        <w:t>in silico</w:t>
      </w:r>
      <w:r w:rsidRPr="001603CF">
        <w:rPr>
          <w:lang w:val="en-US"/>
        </w:rPr>
        <w:t xml:space="preserve"> mechanistic studies and chemical analogy studies with DFT to scout reaction profiles and kinetics. It unveils crucial parameters that guide selectivity and prevent the formation of undesirable overoxidized by-products. This computational foundation is seamlessly translated into real-world neutralization experiments conducted under flow conditions, yielding remarkably swift neutralization rates</w:t>
      </w:r>
      <w:r w:rsidR="004C3DFC" w:rsidRPr="001603CF">
        <w:rPr>
          <w:lang w:val="en-US"/>
        </w:rPr>
        <w:t xml:space="preserve"> under mild conditions</w:t>
      </w:r>
      <w:r w:rsidRPr="001603CF">
        <w:rPr>
          <w:lang w:val="en-US"/>
        </w:rPr>
        <w:t>. Full oxidative neutralization of CWA simulants with ozone is achieved within a second, without the need for additives or catalysts</w:t>
      </w:r>
      <w:r w:rsidR="00CA5571" w:rsidRPr="001603CF">
        <w:rPr>
          <w:lang w:val="en-US"/>
        </w:rPr>
        <w:t>, in an EtOH/water mix</w:t>
      </w:r>
      <w:r w:rsidR="00F8688A" w:rsidRPr="001603CF">
        <w:rPr>
          <w:lang w:val="en-US"/>
        </w:rPr>
        <w:t>tu</w:t>
      </w:r>
      <w:r w:rsidR="00CA5571" w:rsidRPr="001603CF">
        <w:rPr>
          <w:lang w:val="en-US"/>
        </w:rPr>
        <w:t>re</w:t>
      </w:r>
      <w:r w:rsidRPr="001603CF">
        <w:rPr>
          <w:lang w:val="en-US"/>
        </w:rPr>
        <w:t>. This convergence of computational insights and experimental validation provides a promising avenue to</w:t>
      </w:r>
      <w:r w:rsidR="007D42BD" w:rsidRPr="001603CF">
        <w:rPr>
          <w:lang w:val="en-US"/>
        </w:rPr>
        <w:t>ward new neutralization protocols</w:t>
      </w:r>
      <w:r w:rsidRPr="001603CF">
        <w:rPr>
          <w:lang w:val="en-US"/>
        </w:rPr>
        <w:t xml:space="preserve">, foreseeing transformative possibilities with low waste generation and high safety. </w:t>
      </w:r>
    </w:p>
    <w:p w14:paraId="39E3785F" w14:textId="28EAF05A" w:rsidR="007F45EA" w:rsidRPr="001603CF" w:rsidRDefault="007F45EA">
      <w:pPr>
        <w:pStyle w:val="RSCB01ARTAbstract"/>
        <w:rPr>
          <w:lang w:val="en-US"/>
        </w:rPr>
        <w:sectPr w:rsidR="007F45EA" w:rsidRPr="001603CF"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7598E2B4" w14:textId="252196A0" w:rsidR="003166FA" w:rsidRPr="001603CF" w:rsidRDefault="00FA2DA2">
      <w:pPr>
        <w:pStyle w:val="RSCB04AHeadingSection"/>
        <w:rPr>
          <w:lang w:val="en-US"/>
        </w:rPr>
      </w:pPr>
      <w:r w:rsidRPr="001603CF">
        <w:rPr>
          <w:lang w:val="en-US"/>
        </w:rPr>
        <w:t>Introduction</w:t>
      </w:r>
    </w:p>
    <w:p w14:paraId="28ECA0FB" w14:textId="798CD2EC" w:rsidR="00C63E78" w:rsidRPr="001603CF" w:rsidRDefault="0072027A">
      <w:pPr>
        <w:pStyle w:val="RSCB02ArticleText"/>
        <w:rPr>
          <w:lang w:val="en-US"/>
        </w:rPr>
      </w:pPr>
      <w:r w:rsidRPr="001603CF">
        <w:rPr>
          <w:lang w:val="en-US"/>
        </w:rPr>
        <w:t xml:space="preserve">Bis(2-chloroethyl) sulfide (aka sulfur mustard, mustard gas, </w:t>
      </w:r>
      <w:r w:rsidR="000E2EF3" w:rsidRPr="001603CF">
        <w:rPr>
          <w:lang w:val="en-US"/>
        </w:rPr>
        <w:t>y</w:t>
      </w:r>
      <w:r w:rsidRPr="001603CF">
        <w:rPr>
          <w:lang w:val="en-US"/>
        </w:rPr>
        <w:t xml:space="preserve">perite, or </w:t>
      </w:r>
      <w:r w:rsidRPr="001603CF">
        <w:rPr>
          <w:b/>
          <w:lang w:val="en-US"/>
        </w:rPr>
        <w:t>HD</w:t>
      </w:r>
      <w:r w:rsidRPr="001603CF">
        <w:rPr>
          <w:lang w:val="en-US"/>
        </w:rPr>
        <w:t xml:space="preserve">; CAS 505-60-2) was originally prepared by Guthrie </w:t>
      </w:r>
      <w:r w:rsidR="00D37E33" w:rsidRPr="001603CF">
        <w:rPr>
          <w:lang w:val="en-US"/>
        </w:rPr>
        <w:t xml:space="preserve">and Niemann </w:t>
      </w:r>
      <w:r w:rsidRPr="001603CF">
        <w:rPr>
          <w:lang w:val="en-US"/>
        </w:rPr>
        <w:t>in 1860.</w:t>
      </w:r>
      <w:r w:rsidR="0065052C" w:rsidRPr="001603CF">
        <w:rPr>
          <w:lang w:val="en-US"/>
        </w:rPr>
        <w:fldChar w:fldCharType="begin" w:fldLock="1"/>
      </w:r>
      <w:r w:rsidR="0065052C" w:rsidRPr="001603CF">
        <w:rPr>
          <w:lang w:val="en-US"/>
        </w:rPr>
        <w:instrText>ADDIN CSL_CITATION {"citationItems":[{"id":"ITEM-1","itemData":{"author":[{"dropping-particle":"","family":"Guthrie","given":"Frederick","non-dropping-particle":"","parse-names":false,"suffix":""}],"container-title":"Quarterly Journal of the Chemical Society of London","id":"ITEM-1","issue":"1","issued":{"date-parts":[["1860"]]},"page":"109-126","title":"XIII.—On some derivatives from the olefines","type":"article-journal","volume":"12"},"uris":["http://www.mendeley.com/documents/?uuid=ea16322d-a7af-4917-8179-10cd88a04703"]},{"id":"ITEM-2","itemData":{"DOI":"10.1002/jlac.18601130304","ISSN":"10990690","author":[{"dropping-particle":"","family":"Niemann","given":"A.","non-dropping-particle":"","parse-names":false,"suffix":""}],"container-title":"Justus Liebigs Annalen der Chemie","id":"ITEM-2","issue":"3","issued":{"date-parts":[["1860"]]},"page":"288-292","title":"Ueber die Einwirkung des braunen Chlorschwefels auf Elaylgas","type":"article-journal","volume":"113"},"uris":["http://www.mendeley.com/documents/?uuid=ea696dab-c2f4-4947-800a-6633a5dc2fc0"]}],"mendeley":{"formattedCitation":"&lt;sup&gt;1,2&lt;/sup&gt;","plainTextFormattedCitation":"1,2","previouslyFormattedCitation":"&lt;sup&gt;1,2&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1,2</w:t>
      </w:r>
      <w:r w:rsidR="0065052C" w:rsidRPr="001603CF">
        <w:rPr>
          <w:lang w:val="en-US"/>
        </w:rPr>
        <w:fldChar w:fldCharType="end"/>
      </w:r>
      <w:r w:rsidR="0065052C" w:rsidRPr="001603CF">
        <w:rPr>
          <w:lang w:val="en-US"/>
        </w:rPr>
        <w:t xml:space="preserve"> </w:t>
      </w:r>
      <w:r w:rsidRPr="001603CF">
        <w:rPr>
          <w:lang w:val="en-US"/>
        </w:rPr>
        <w:t>It was first weaponized during World War</w:t>
      </w:r>
      <w:r w:rsidR="00E84D1B" w:rsidRPr="001603CF">
        <w:rPr>
          <w:lang w:val="en-US"/>
        </w:rPr>
        <w:t xml:space="preserve"> </w:t>
      </w:r>
      <w:r w:rsidR="007B7993" w:rsidRPr="001603CF">
        <w:rPr>
          <w:lang w:val="en-US"/>
        </w:rPr>
        <w:t xml:space="preserve">I </w:t>
      </w:r>
      <w:r w:rsidR="00E84D1B" w:rsidRPr="001603CF">
        <w:rPr>
          <w:lang w:val="en-US"/>
        </w:rPr>
        <w:t xml:space="preserve">as a vesicant, </w:t>
      </w:r>
      <w:r w:rsidRPr="001603CF">
        <w:rPr>
          <w:lang w:val="en-US"/>
        </w:rPr>
        <w:t>induc</w:t>
      </w:r>
      <w:r w:rsidR="00E84D1B" w:rsidRPr="001603CF">
        <w:rPr>
          <w:lang w:val="en-US"/>
        </w:rPr>
        <w:t>ing</w:t>
      </w:r>
      <w:r w:rsidR="006A2FD1" w:rsidRPr="001603CF">
        <w:rPr>
          <w:lang w:val="en-US"/>
        </w:rPr>
        <w:t xml:space="preserve"> severe</w:t>
      </w:r>
      <w:r w:rsidRPr="001603CF">
        <w:rPr>
          <w:lang w:val="en-US"/>
        </w:rPr>
        <w:t xml:space="preserve"> skin and mucous membrane blistering upon contact. </w:t>
      </w:r>
      <w:r w:rsidR="005B488D" w:rsidRPr="001603CF">
        <w:rPr>
          <w:lang w:val="en-US"/>
        </w:rPr>
        <w:t xml:space="preserve">Its deployment on battlefields was </w:t>
      </w:r>
      <w:r w:rsidRPr="001603CF">
        <w:rPr>
          <w:lang w:val="en-US"/>
        </w:rPr>
        <w:t xml:space="preserve">prohibited </w:t>
      </w:r>
      <w:r w:rsidR="005B488D" w:rsidRPr="001603CF">
        <w:rPr>
          <w:lang w:val="en-US"/>
        </w:rPr>
        <w:t xml:space="preserve">with </w:t>
      </w:r>
      <w:r w:rsidRPr="001603CF">
        <w:rPr>
          <w:lang w:val="en-US"/>
        </w:rPr>
        <w:t xml:space="preserve">Geneva Protocol </w:t>
      </w:r>
      <w:r w:rsidR="005220F6" w:rsidRPr="001603CF">
        <w:rPr>
          <w:lang w:val="en-US"/>
        </w:rPr>
        <w:t>(</w:t>
      </w:r>
      <w:r w:rsidRPr="001603CF">
        <w:rPr>
          <w:lang w:val="en-US"/>
        </w:rPr>
        <w:t xml:space="preserve">1925), </w:t>
      </w:r>
      <w:r w:rsidR="005B488D" w:rsidRPr="001603CF">
        <w:rPr>
          <w:lang w:val="en-US"/>
        </w:rPr>
        <w:t xml:space="preserve">and </w:t>
      </w:r>
      <w:r w:rsidRPr="001603CF">
        <w:rPr>
          <w:lang w:val="en-US"/>
        </w:rPr>
        <w:t xml:space="preserve">the manufacture, accumulation, and utilization of </w:t>
      </w:r>
      <w:r w:rsidR="006A2FD1" w:rsidRPr="001603CF">
        <w:rPr>
          <w:b/>
          <w:lang w:val="en-US"/>
        </w:rPr>
        <w:t>HD</w:t>
      </w:r>
      <w:r w:rsidRPr="001603CF">
        <w:rPr>
          <w:lang w:val="en-US"/>
        </w:rPr>
        <w:t xml:space="preserve"> </w:t>
      </w:r>
      <w:r w:rsidR="005B488D" w:rsidRPr="001603CF">
        <w:rPr>
          <w:lang w:val="en-US"/>
        </w:rPr>
        <w:t xml:space="preserve">was </w:t>
      </w:r>
      <w:r w:rsidR="005158DF" w:rsidRPr="001603CF">
        <w:rPr>
          <w:lang w:val="en-US"/>
        </w:rPr>
        <w:t xml:space="preserve">again </w:t>
      </w:r>
      <w:r w:rsidRPr="001603CF">
        <w:rPr>
          <w:lang w:val="en-US"/>
        </w:rPr>
        <w:t xml:space="preserve">proscribed by the Chemical Weapons Convention (CWC) in 1997. The Organization for the </w:t>
      </w:r>
      <w:r w:rsidR="00F10B10" w:rsidRPr="001603CF">
        <w:rPr>
          <w:lang w:val="en-US"/>
        </w:rPr>
        <w:t>Prohibition</w:t>
      </w:r>
      <w:r w:rsidRPr="001603CF">
        <w:rPr>
          <w:lang w:val="en-US"/>
        </w:rPr>
        <w:t xml:space="preserve"> of Chemical Weapons (OPCW) and the CWC-signatory countries have relentlessly worked on the destruction of existing stockpiles.</w:t>
      </w:r>
      <w:r w:rsidR="0065052C" w:rsidRPr="001603CF">
        <w:rPr>
          <w:lang w:val="en-US"/>
        </w:rPr>
        <w:fldChar w:fldCharType="begin" w:fldLock="1"/>
      </w:r>
      <w:r w:rsidR="0065052C" w:rsidRPr="001603CF">
        <w:rPr>
          <w:lang w:val="en-US"/>
        </w:rPr>
        <w:instrText>ADDIN CSL_CITATION {"citationItems":[{"id":"ITEM-1","itemData":{"URL":"https://disarmament.unoda.org/wmd/chemical/","accessed":{"date-parts":[["2023","8","20"]]},"author":[{"dropping-particle":"","family":"UNODA","given":"","non-dropping-particle":"","parse-names":false,"suffix":""}],"id":"ITEM-1","issued":{"date-parts":[["0"]]},"title":"Chemical Weapons","type":"webpage"},"uris":["http://www.mendeley.com/documents/?uuid=cfaa6352-42aa-396c-aa74-529e6048a612"]},{"id":"ITEM-2","itemData":{"URL":"https://www.opcw.org/our-work/what-chemical-weapon","accessed":{"date-parts":[["2023","8","20"]]},"author":[{"dropping-particle":"","family":"OPCW","given":"","non-dropping-particle":"","parse-names":false,"suffix":""}],"id":"ITEM-2","issued":{"date-parts":[["0"]]},"title":"What is a Chemical Weapon?","type":"webpage"},"uris":["http://www.mendeley.com/documents/?uuid=5896913b-c2d9-3f4f-9ed4-795ff662d672"]}],"mendeley":{"formattedCitation":"&lt;sup&gt;3,4&lt;/sup&gt;","plainTextFormattedCitation":"3,4","previouslyFormattedCitation":"&lt;sup&gt;3,4&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3,4</w:t>
      </w:r>
      <w:r w:rsidR="0065052C" w:rsidRPr="001603CF">
        <w:rPr>
          <w:lang w:val="en-US"/>
        </w:rPr>
        <w:fldChar w:fldCharType="end"/>
      </w:r>
      <w:r w:rsidR="0065052C" w:rsidRPr="001603CF">
        <w:rPr>
          <w:lang w:val="en-US"/>
        </w:rPr>
        <w:t xml:space="preserve"> </w:t>
      </w:r>
      <w:r w:rsidRPr="001603CF">
        <w:rPr>
          <w:lang w:val="en-US"/>
        </w:rPr>
        <w:t xml:space="preserve">These </w:t>
      </w:r>
      <w:r w:rsidR="005B488D" w:rsidRPr="001603CF">
        <w:rPr>
          <w:lang w:val="en-US"/>
        </w:rPr>
        <w:t>endeavors</w:t>
      </w:r>
      <w:r w:rsidRPr="001603CF">
        <w:rPr>
          <w:lang w:val="en-US"/>
        </w:rPr>
        <w:t xml:space="preserve"> reached their culmination with </w:t>
      </w:r>
      <w:r w:rsidR="005220F6" w:rsidRPr="001603CF">
        <w:rPr>
          <w:lang w:val="en-US"/>
        </w:rPr>
        <w:t>a</w:t>
      </w:r>
      <w:r w:rsidRPr="001603CF">
        <w:rPr>
          <w:lang w:val="en-US"/>
        </w:rPr>
        <w:t xml:space="preserve"> recent declaration from the US Department of Defense, confirming the </w:t>
      </w:r>
      <w:r w:rsidR="00990B9E" w:rsidRPr="001603CF">
        <w:rPr>
          <w:lang w:val="en-US"/>
        </w:rPr>
        <w:t xml:space="preserve">successful </w:t>
      </w:r>
      <w:r w:rsidRPr="001603CF">
        <w:rPr>
          <w:lang w:val="en-US"/>
        </w:rPr>
        <w:t xml:space="preserve">destruction of </w:t>
      </w:r>
      <w:r w:rsidR="00130ECA" w:rsidRPr="001603CF">
        <w:rPr>
          <w:lang w:val="en-US"/>
        </w:rPr>
        <w:t xml:space="preserve">domestic </w:t>
      </w:r>
      <w:r w:rsidRPr="001603CF">
        <w:rPr>
          <w:lang w:val="en-US"/>
        </w:rPr>
        <w:t>CWA stockpiles</w:t>
      </w:r>
      <w:r w:rsidR="00C63E78" w:rsidRPr="001603CF">
        <w:rPr>
          <w:lang w:val="en-US"/>
        </w:rPr>
        <w:t>.</w:t>
      </w:r>
      <w:r w:rsidR="0065052C" w:rsidRPr="001603CF">
        <w:rPr>
          <w:lang w:val="en-US"/>
        </w:rPr>
        <w:fldChar w:fldCharType="begin" w:fldLock="1"/>
      </w:r>
      <w:r w:rsidR="0065052C" w:rsidRPr="001603CF">
        <w:rPr>
          <w:lang w:val="en-US"/>
        </w:rPr>
        <w:instrText>ADDIN CSL_CITATION {"citationItems":[{"id":"ITEM-1","itemData":{"URL":"https://www.defense.gov/News/Releases/Release/Article/3451920/us-completes-chemical-weapons-stockpile-destruction-operations/","accessed":{"date-parts":[["2023","8","20"]]},"author":[{"dropping-particle":"","family":"United States Government","given":"","non-dropping-particle":"","parse-names":false,"suffix":""}],"id":"ITEM-1","issued":{"date-parts":[["2023"]]},"title":"US Completes Chemical Weapons Stockpile Destruction Operations","type":"webpage"},"uris":["http://www.mendeley.com/documents/?uuid=8031c0e7-f2d3-3d48-8a65-c6b4d8f04fa6"]}],"mendeley":{"formattedCitation":"&lt;sup&gt;5&lt;/sup&gt;","plainTextFormattedCitation":"5","previouslyFormattedCitation":"&lt;sup&gt;5&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5</w:t>
      </w:r>
      <w:r w:rsidR="0065052C" w:rsidRPr="001603CF">
        <w:rPr>
          <w:lang w:val="en-US"/>
        </w:rPr>
        <w:fldChar w:fldCharType="end"/>
      </w:r>
    </w:p>
    <w:p w14:paraId="50FB65C6" w14:textId="5B5C33F9" w:rsidR="00097CEF" w:rsidRPr="001603CF" w:rsidRDefault="00C63E78">
      <w:pPr>
        <w:pStyle w:val="RSCB02ArticleText"/>
        <w:rPr>
          <w:lang w:val="en-US"/>
        </w:rPr>
      </w:pPr>
      <w:r w:rsidRPr="001603CF">
        <w:rPr>
          <w:lang w:val="en-US"/>
        </w:rPr>
        <w:tab/>
      </w:r>
      <w:r w:rsidR="00434AD6" w:rsidRPr="001603CF">
        <w:rPr>
          <w:lang w:val="en-US"/>
        </w:rPr>
        <w:t xml:space="preserve">With these significant achievements in disarmament, the interest for developing new neutralization protocols specifically targeting </w:t>
      </w:r>
      <w:r w:rsidR="00434AD6" w:rsidRPr="001603CF">
        <w:rPr>
          <w:b/>
          <w:lang w:val="en-US"/>
        </w:rPr>
        <w:t>HD</w:t>
      </w:r>
      <w:r w:rsidR="00434AD6" w:rsidRPr="001603CF">
        <w:rPr>
          <w:lang w:val="en-US"/>
        </w:rPr>
        <w:t xml:space="preserve"> can be legitimately questioned. </w:t>
      </w:r>
      <w:r w:rsidR="006E5E0D" w:rsidRPr="001603CF">
        <w:rPr>
          <w:lang w:val="en-US"/>
        </w:rPr>
        <w:t xml:space="preserve">There are, however, other threatening scenarios involving </w:t>
      </w:r>
      <w:r w:rsidR="006E5E0D" w:rsidRPr="001603CF">
        <w:rPr>
          <w:b/>
          <w:lang w:val="en-US"/>
        </w:rPr>
        <w:t>HD</w:t>
      </w:r>
      <w:r w:rsidR="00A42D03" w:rsidRPr="001603CF">
        <w:rPr>
          <w:lang w:val="en-US"/>
        </w:rPr>
        <w:t xml:space="preserve">. </w:t>
      </w:r>
      <w:r w:rsidR="00442AC7" w:rsidRPr="001603CF">
        <w:rPr>
          <w:lang w:val="en-US"/>
        </w:rPr>
        <w:t xml:space="preserve">The </w:t>
      </w:r>
      <w:r w:rsidR="00442AC7" w:rsidRPr="001603CF">
        <w:rPr>
          <w:lang w:val="en-US"/>
        </w:rPr>
        <w:t xml:space="preserve">countries that have not ratified the CWC, on </w:t>
      </w:r>
      <w:r w:rsidR="002702BD" w:rsidRPr="001603CF">
        <w:rPr>
          <w:lang w:val="en-US"/>
        </w:rPr>
        <w:t xml:space="preserve">the </w:t>
      </w:r>
      <w:r w:rsidR="00442AC7" w:rsidRPr="001603CF">
        <w:rPr>
          <w:lang w:val="en-US"/>
        </w:rPr>
        <w:t xml:space="preserve">one hand, and </w:t>
      </w:r>
      <w:r w:rsidR="00290C0B" w:rsidRPr="001603CF">
        <w:rPr>
          <w:lang w:val="en-US"/>
        </w:rPr>
        <w:t xml:space="preserve">the </w:t>
      </w:r>
      <w:r w:rsidR="00442AC7" w:rsidRPr="001603CF">
        <w:rPr>
          <w:lang w:val="en-US"/>
        </w:rPr>
        <w:t xml:space="preserve">current geopolitical instabilities and terrorist threats on the other, are only </w:t>
      </w:r>
      <w:r w:rsidR="00273B16" w:rsidRPr="001603CF">
        <w:rPr>
          <w:lang w:val="en-US"/>
        </w:rPr>
        <w:t xml:space="preserve">the </w:t>
      </w:r>
      <w:r w:rsidR="00521582" w:rsidRPr="001603CF">
        <w:rPr>
          <w:lang w:val="en-US"/>
        </w:rPr>
        <w:t>visible part of the iceberg</w:t>
      </w:r>
      <w:r w:rsidR="00442AC7" w:rsidRPr="001603CF">
        <w:rPr>
          <w:lang w:val="en-US"/>
        </w:rPr>
        <w:t xml:space="preserve">. </w:t>
      </w:r>
      <w:r w:rsidR="003C099D" w:rsidRPr="001603CF">
        <w:rPr>
          <w:lang w:val="en-US"/>
        </w:rPr>
        <w:t xml:space="preserve">A silent, background threat of </w:t>
      </w:r>
      <w:r w:rsidR="005037BA" w:rsidRPr="001603CF">
        <w:rPr>
          <w:lang w:val="en-US"/>
        </w:rPr>
        <w:t xml:space="preserve">inestimable </w:t>
      </w:r>
      <w:r w:rsidR="000338EF" w:rsidRPr="001603CF">
        <w:rPr>
          <w:lang w:val="en-US"/>
        </w:rPr>
        <w:t xml:space="preserve">ecological and societal </w:t>
      </w:r>
      <w:r w:rsidR="003C099D" w:rsidRPr="001603CF">
        <w:rPr>
          <w:lang w:val="en-US"/>
        </w:rPr>
        <w:t xml:space="preserve">magnitude </w:t>
      </w:r>
      <w:r w:rsidR="000338EF" w:rsidRPr="001603CF">
        <w:rPr>
          <w:lang w:val="en-US"/>
        </w:rPr>
        <w:t xml:space="preserve">lies in the many </w:t>
      </w:r>
      <w:r w:rsidR="00442AC7" w:rsidRPr="001603CF">
        <w:rPr>
          <w:lang w:val="en-US"/>
        </w:rPr>
        <w:t>maritime dump sites of CWAs remnants from World Wars I</w:t>
      </w:r>
      <w:r w:rsidR="00443700" w:rsidRPr="001603CF">
        <w:rPr>
          <w:lang w:val="en-US"/>
        </w:rPr>
        <w:t xml:space="preserve"> </w:t>
      </w:r>
      <w:r w:rsidR="00442AC7" w:rsidRPr="001603CF">
        <w:rPr>
          <w:lang w:val="en-US"/>
        </w:rPr>
        <w:t>&amp;</w:t>
      </w:r>
      <w:r w:rsidR="00443700" w:rsidRPr="001603CF">
        <w:rPr>
          <w:lang w:val="en-US"/>
        </w:rPr>
        <w:t xml:space="preserve"> </w:t>
      </w:r>
      <w:r w:rsidR="00442AC7" w:rsidRPr="001603CF">
        <w:rPr>
          <w:lang w:val="en-US"/>
        </w:rPr>
        <w:t>II</w:t>
      </w:r>
      <w:r w:rsidR="003C099D" w:rsidRPr="001603CF">
        <w:rPr>
          <w:lang w:val="en-US"/>
        </w:rPr>
        <w:t>.</w:t>
      </w:r>
      <w:r w:rsidR="0065052C" w:rsidRPr="001603CF">
        <w:rPr>
          <w:lang w:val="en-US"/>
        </w:rPr>
        <w:fldChar w:fldCharType="begin" w:fldLock="1"/>
      </w:r>
      <w:r w:rsidR="0065052C" w:rsidRPr="001603CF">
        <w:rPr>
          <w:lang w:val="en-US"/>
        </w:rPr>
        <w:instrText>ADDIN CSL_CITATION {"citationItems":[{"id":"ITEM-1","itemData":{"URL":"https://nonproliferation.org/chemical-weapon-munitions-dumped-at-sea/","accessed":{"date-parts":[["2023","8","20"]]},"author":[{"dropping-particle":"","family":"Wilkinson","given":"Ian","non-dropping-particle":"","parse-names":false,"suffix":""}],"id":"ITEM-1","issued":{"date-parts":[["2017"]]},"title":"Chemical Weapon Munitions Dumped at Sea: An Interactive Map | James Martin Center for Nonproliferation Studies","type":"webpage"},"uris":["http://www.mendeley.com/documents/?uuid=baca426a-b0c5-3e15-b6ea-b2c703af4028"]},{"id":"ITEM-2","itemData":{"DOI":"10.1021/es903472a","ISSN":"0013936X","PMID":"20469894","author":[{"dropping-particle":"","family":"Sanderson","given":"Hans","non-dropping-particle":"","parse-names":false,"suffix":""},{"dropping-particle":"","family":"Fauser","given":"Patrik","non-dropping-particle":"","parse-names":false,"suffix":""},{"dropping-particle":"","family":"Thomsen","given":"Marianne","non-dropping-particle":"","parse-names":false,"suffix":""},{"dropping-particle":"","family":"Vanninen","given":"Paula","non-dropping-particle":"","parse-names":false,"suffix":""},{"dropping-particle":"","family":"Soderstrom","given":"Martin","non-dropping-particle":"","parse-names":false,"suffix":""},{"dropping-particle":"","family":"Savin","given":"Yuri","non-dropping-particle":"","parse-names":false,"suffix":""},{"dropping-particle":"","family":"Khalikov","given":"Ildus","non-dropping-particle":"","parse-names":false,"suffix":""},{"dropping-particle":"","family":"Hirvonen","given":"Anu","non-dropping-particle":"","parse-names":false,"suffix":""},{"dropping-particle":"","family":"Niiranen","given":"Susa","non-dropping-particle":"","parse-names":false,"suffix":""},{"dropping-particle":"","family":"Missiaen","given":"Tine","non-dropping-particle":"","parse-names":false,"suffix":""},{"dropping-particle":"","family":"Gress","given":"Alexander","non-dropping-particle":"","parse-names":false,"suffix":""},{"dropping-particle":"","family":"Borodin","given":"Pavel","non-dropping-particle":"","parse-names":false,"suffix":""},{"dropping-particle":"","family":"Medvedeva","given":"Nadezda","non-dropping-particle":"","parse-names":false,"suffix":""},{"dropping-particle":"","family":"Polyak","given":"Yulia","non-dropping-particle":"","parse-names":false,"suffix":""},{"dropping-particle":"","family":"Paka","given":"Vadim","non-dropping-particle":"","parse-names":false,"suffix":""},{"dropping-particle":"","family":"Zhurbas","given":"Victor","non-dropping-particle":"","parse-names":false,"suffix":""},{"dropping-particle":"","family":"Feller","given":"Pascal","non-dropping-particle":"","parse-names":false,"suffix":""}],"container-title":"Environmental Science and Technology","id":"ITEM-2","issue":"12","issued":{"date-parts":[["2010"]]},"page":"4389-4394","title":"Environmental hazards of sea-dumped chemical weapons","type":"article-journal","volume":"44"},"uris":["http://www.mendeley.com/documents/?uuid=ce2b9604-e477-44a9-a1d2-daf7bbdad229"]}],"mendeley":{"formattedCitation":"&lt;sup&gt;6,7&lt;/sup&gt;","plainTextFormattedCitation":"6,7","previouslyFormattedCitation":"&lt;sup&gt;6,7&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6,7</w:t>
      </w:r>
      <w:r w:rsidR="0065052C" w:rsidRPr="001603CF">
        <w:rPr>
          <w:lang w:val="en-US"/>
        </w:rPr>
        <w:fldChar w:fldCharType="end"/>
      </w:r>
      <w:r w:rsidR="003C099D" w:rsidRPr="001603CF">
        <w:rPr>
          <w:lang w:val="en-US"/>
        </w:rPr>
        <w:t xml:space="preserve"> </w:t>
      </w:r>
      <w:r w:rsidR="00991F4F" w:rsidRPr="001603CF">
        <w:rPr>
          <w:lang w:val="en-US"/>
        </w:rPr>
        <w:t xml:space="preserve">All of the aforementioned points provide ample </w:t>
      </w:r>
      <w:r w:rsidR="005037BA" w:rsidRPr="001603CF">
        <w:rPr>
          <w:lang w:val="en-US"/>
        </w:rPr>
        <w:t xml:space="preserve">reason </w:t>
      </w:r>
      <w:r w:rsidR="00991F4F" w:rsidRPr="001603CF">
        <w:rPr>
          <w:lang w:val="en-US"/>
        </w:rPr>
        <w:t xml:space="preserve">for continued creative exploration aimed at enhancing the efficiency of neutralization, detection, and emergency protocols. </w:t>
      </w:r>
      <w:r w:rsidR="00832068" w:rsidRPr="001603CF">
        <w:rPr>
          <w:lang w:val="en-US"/>
        </w:rPr>
        <w:t>Documentation of these research domains has been steadily growing.</w:t>
      </w:r>
      <w:r w:rsidR="0065052C" w:rsidRPr="001603CF">
        <w:rPr>
          <w:lang w:val="en-US"/>
        </w:rPr>
        <w:fldChar w:fldCharType="begin" w:fldLock="1"/>
      </w:r>
      <w:r w:rsidR="00983A42" w:rsidRPr="001603CF">
        <w:rPr>
          <w:lang w:val="en-US"/>
        </w:rPr>
        <w:instrText>ADDIN CSL_CITATION {"citationItems":[{"id":"ITEM-1","itemData":{"DOI":"10.1039/d3gc01149f","ISSN":"1463-9262","abstract":"Chemical warfare agents (CWAs) have been classified as fatal weapons of mass destruction because of their toxicity and deadly consequences. Among other CWAs, sulfur mustards (HDs) were employed during the...Chemical warfare agents (CWAs) have been classified as fatal weapons of mass destruction because of their toxicity and deadly consequences. Among other CWAs, sulfur mustards (HDs) were employed during the Iraq-Iran war (1984-1988), causing significant fatal effects for 100,000 military and civilian Iranians, and around 45,000 people are still suffering from long-term health repercussions. Hence, the detection and detoxification of these acutely dangerous chemicals are critical for protecting ourselves and have thus sparked much scientific interest around the globe. In this regard, studies show that various photo-responsive porous organic materials like activated metal-organic-frameworks (MOFs), porous organic polymers (POPs), covalent organic frameworks (COFs), and TiO2-derived materials are highly effective for the photochemical detoxification of HDs. Given this context, we have traversed through the history of developing various photo-responsive porous materials and their efficacy in detoxifying CWAs, notably HDs. Moreover, we highlighted the numerous research methodologies reported to detect and modulate the excitonic effects in photo-porous materials, which can tune the in-situ generated reactive oxygen species (ROS) responsible for HD detoxification. Lastly, we have listed the hurdles in creating photo-active porous materials and functionalizing them for large-scale HD detoxification. Although most of the described porous photocatalysts demonstrated good lab-scale performance, relatively few are accessible for large-scale industrial use. We have also addressed the future needs and potential for employing photo-porous materials for efficient detoxification of HDs on an industrial scale to alleviate the issue of CWA/HD stockpiling and their potential use as a weapon of mass destruction.","author":[{"dropping-particle":"","family":"Kalita","given":"Priyanka","non-dropping-particle":"","parse-names":false,"suffix":""},{"dropping-particle":"","family":"Paul","given":"Ratul","non-dropping-particle":"","parse-names":false,"suffix":""},{"dropping-particle":"","family":"Boruah","given":"Ankita","non-dropping-particle":"","parse-names":false,"suffix":""},{"dropping-particle":"","family":"Dao","given":"Duy Quang","non-dropping-particle":"","parse-names":false,"suffix":""},{"dropping-particle":"","family":"Bhaumik","given":"Asim","non-dropping-particle":"","parse-names":false,"suffix":""},{"dropping-particle":"","family":"Mondal","given":"John","non-dropping-particle":"","parse-names":false,"suffix":""}],"container-title":"Green Chemistry","id":"ITEM-1","issued":{"date-parts":[["2023"]]},"page":"5789-5812","publisher":"Royal Society of Chemistry","title":"A Critical Review on Emerging Photoactive Porous Materials for Sulfide Oxidation and Sulfur Mustards Decontamination","type":"article-journal","volume":"25"},"uris":["http://www.mendeley.com/documents/?uuid=c1c3ad6b-c421-4d40-a1dc-4fa153f66e81"]},{"id":"ITEM-2","itemData":{"DOI":"10.1038/s41570-021-00275-4","ISBN":"0123456789","ISSN":"23973358","PMID":"33969223","abstract":"The most recent global health and economic crisis caused by the SARS-CoV-2 outbreak has shown us that it is vital to be prepared for the next global threat, be it caused by pollutants, chemical toxins or biohazards. Therefore, we need to develop environments in which infectious diseases and dangerous chemicals cannot be spread or misused so easily. Especially, those who put themselves in situations of most exposure — doctors, nurses and those protecting and caring for the safety of others — should be adequately protected. In this Review, we explore how the development of coatings for surfaces and functionalized fabrics can help to accelerate the inactivation of biological and chemical toxins. We start by looking at recent advancements in the use of metal and metal-oxide-based catalysts for the inactivation of pathogenic threats, with a focus on identifying specific chemical bonds that can be targeted. We then discuss the use of metal–organic frameworks on textiles for the capture and degradation of various chemical warfare agents and their simulants, their long-term efficacy and the challenges they face. [Figure not available: see fulltext.]","author":[{"dropping-particle":"","family":"Jabbour","given":"Christia R.","non-dropping-particle":"","parse-names":false,"suffix":""},{"dropping-particle":"","family":"Parker","given":"Luke A.","non-dropping-particle":"","parse-names":false,"suffix":""},{"dropping-particle":"","family":"Hutter","given":"Eline M.","non-dropping-particle":"","parse-names":false,"suffix":""},{"dropping-particle":"","family":"Weckhuysen","given":"Bert M.","non-dropping-particle":"","parse-names":false,"suffix":""}],"container-title":"Nature Reviews Chemistry","id":"ITEM-2","issue":"6","issued":{"date-parts":[["2021"]]},"page":"370-387","publisher":"Springer US","title":"Chemical targets to deactivate biological and chemical toxins using surfaces and fabrics","type":"article-journal","volume":"5"},"uris":["http://www.mendeley.com/documents/?uuid=199c49ca-5cb9-453b-a72a-1e206af47922"]},{"id":"ITEM-3","itemData":{"DOI":"10.1002/chem.202003665","ISSN":"15213765","PMID":"32876358","abstract":"Research on the decontamination of the chemical warfare agent sulfur mustard pursues several objectives that include the neutralization of spared ammunition, the cleaning of affected areas, and also the development of protective equipment or tools. Neutralization of vesicant sulfur mustard involves different chemical routes such as hydrolysis, dehydrochlorination, oxidation, or complete mineralization. This review weighs the pros and cons associated with the different systems reported in the literature, with an emphasis on catalytic procedures, to selectively convert sulfur mustard or its simulants into harmless products.","author":[{"dropping-particle":"","family":"Oheix","given":"Emmanuel","non-dropping-particle":"","parse-names":false,"suffix":""},{"dropping-particle":"","family":"Gravel","given":"Edmond","non-dropping-particle":"","parse-names":false,"suffix":""},{"dropping-particle":"","family":"Doris","given":"Eric","non-dropping-particle":"","parse-names":false,"suffix":""}],"container-title":"Chemistry - A European Journal","id":"ITEM-3","issue":"1","issued":{"date-parts":[["2021"]]},"page":"54-68","title":"Catalytic Processes for the Neutralization of Sulfur Mustard","type":"article-journal","volume":"27"},"uris":["http://www.mendeley.com/documents/?uuid=7c49083c-9b84-4c31-a447-838dc6b49be7"]},{"id":"ITEM-4","itemData":{"DOI":"10.1039/c9ob00802k","ISSN":"14770520","PMID":"31215586","abstract":"Despite international prohibition, some ill-intentioned states and organisations have shown their will and capacity to run chemical weapon programs, and the number of incidents involving chemical warfare agents (CWA) has significantly increased in recent years. Herein, we aimed to offer a clear overview of chemical warfare agents to organic chemists not specialized in this field by (1) introducing the main CWAs and their relevant simulants legally usable in academic laboratories and (2) presenting a selection of recent and soft neutralisation methods, such as organocatalysis and continuous flow, and materials such as metal-organic frameworks and polyoxometalates. These modern approaches offer potential future alternatives to \"heavy\" decontamination methods.","author":[{"dropping-particle":"","family":"Picard","given":"Baptiste","non-dropping-particle":"","parse-names":false,"suffix":""},{"dropping-particle":"","family":"Chataigner","given":"Isabelle","non-dropping-particle":"","parse-names":false,"suffix":""},{"dropping-particle":"","family":"Maddaluno","given":"Jacques","non-dropping-particle":"","parse-names":false,"suffix":""},{"dropping-particle":"","family":"Legros","given":"Julien","non-dropping-particle":"","parse-names":false,"suffix":""}],"container-title":"Organic and Biomolecular Chemistry","id":"ITEM-4","issue":"27","issued":{"date-parts":[["2019"]]},"page":"6528-6537","publisher":"Royal Society of Chemistry","title":"Introduction to chemical warfare agents, relevant simulants and modern neutralisation methods","type":"article-journal","volume":"17"},"uris":["http://www.mendeley.com/documents/?uuid=b319e052-1ea8-4c49-9d64-d6b7419c4fdd"]},{"id":"ITEM-5","itemData":{"DOI":"10.1039/d3cc00349c","ISSN":"1364548X","PMID":"37021353","abstract":"We have introduced a Friedel-Crafts alkylation strategy of a Ni-salphen complex as derived from 2-hydroxy-5-methoxybenzaldehyde, an isomer of biomass derived vanillin, to construct a Ni-salphen based porous organic polymer (Ni@T-POP). The X-ray absorption spectroscopy (XAS) analysis revealed the existence of Ni-N2O2 core sites in the Ni@T-POP framework, which demonstrates unprecedented catalytic efficiency towards oxidative decontamination of sulfur mustards (HD's) compared to its complex precursor.","author":[{"dropping-particle":"","family":"Kalita","given":"Priyanka","non-dropping-particle":"","parse-names":false,"suffix":""},{"dropping-particle":"","family":"Paul","given":"Ratul","non-dropping-particle":"","parse-names":false,"suffix":""},{"dropping-particle":"","family":"Pao","given":"Chih Wen","non-dropping-particle":"","parse-names":false,"suffix":""},{"dropping-particle":"","family":"Chatterjee","given":"Rupak","non-dropping-particle":"","parse-names":false,"suffix":""},{"dropping-particle":"","family":"Bhaumik","given":"Asim","non-dropping-particle":"","parse-names":false,"suffix":""},{"dropping-particle":"","family":"Mondal","given":"John","non-dropping-particle":"","parse-names":false,"suffix":""}],"container-title":"Chemical Communications","id":"ITEM-5","issue":"34","issued":{"date-parts":[["2023"]]},"page":"5067-5070","publisher":"Royal Society of Chemistry","title":"Putting forward a Ni-metallosalphen-based porous organic polymer for detoxification of sulfur mustard gas simulant","type":"article-journal","volume":"59"},"uris":["http://www.mendeley.com/documents/?uuid=8df08d14-c276-4026-a584-6d99256ee9dd"]},{"id":"ITEM-6","itemData":{"DOI":"10.1002/ejic.202300221","author":[{"dropping-particle":"","family":"Yu","given":"Ming-yue","non-dropping-particle":"","parse-names":false,"suffix":""},{"dropping-particle":"","family":"Liu","given":"Jin-hua","non-dropping-particle":"","parse-names":false,"suffix":""},{"dropping-particle":"","family":"Liu","given":"Fang-wang","non-dropping-particle":"","parse-names":false,"suffix":""},{"dropping-particle":"","family":"Zou","given":"Fang","non-dropping-particle":"","parse-names":false,"suffix":""},{"dropping-particle":"","family":"Zhang","given":"Li","non-dropping-particle":"","parse-names":false,"suffix":""},{"dropping-particle":"","family":"Gao","given":"Qing-ping","non-dropping-particle":"","parse-names":false,"suffix":""},{"dropping-particle":"","family":"Ren","given":"Xiao-Yan","non-dropping-particle":"","parse-names":false,"suffix":""},{"dropping-particle":"","family":"Zhang","given":"Qian","non-dropping-particle":"","parse-names":false,"suffix":""},{"dropping-particle":"","family":"Liu","given":"Shi-Zhong","non-dropping-particle":"","parse-names":false,"suffix":""},{"dropping-particle":"","family":"Dong","given":"Chun-Peng","non-dropping-particle":"","parse-names":false,"suffix":""},{"dropping-particle":"","family":"Guo","given":"Ting-Ting","non-dropping-particle":"","parse-names":false,"suffix":""},{"dropping-particle":"","family":"Ma","given":"Tian-Fang","non-dropping-particle":"","parse-names":false,"suffix":""},{"dropping-particle":"","family":"Pei","given":"Wen-Yuan","non-dropping-particle":"","parse-names":false,"suffix":""}],"container-title":"European Journal of Inorganic Chemistry","id":"ITEM-6","issued":{"date-parts":[["2023"]]},"page":"1-7","title":"Polyoxometalate-Incorporated Cu I -Resorcin [ 4 ] arene Metal-Organic Complexes as Heterogeneous Catalysts for Catalytic Oxidation of Mustard Gas Simulant","type":"article-journal","volume":"4"},"uris":["http://www.mendeley.com/documents/?uuid=4faf6337-72b1-46e3-916f-3d8291b1bb16"]}],"mendeley":{"formattedCitation":"&lt;sup&gt;8–13&lt;/sup&gt;","plainTextFormattedCitation":"8–13","previouslyFormattedCitation":"&lt;sup&gt;8–13&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8–13</w:t>
      </w:r>
      <w:r w:rsidR="0065052C" w:rsidRPr="001603CF">
        <w:rPr>
          <w:lang w:val="en-US"/>
        </w:rPr>
        <w:fldChar w:fldCharType="end"/>
      </w:r>
      <w:r w:rsidR="00A0237B" w:rsidRPr="001603CF">
        <w:rPr>
          <w:lang w:val="en-US"/>
        </w:rPr>
        <w:t xml:space="preserve"> </w:t>
      </w:r>
    </w:p>
    <w:p w14:paraId="44B732A3" w14:textId="37B4F54A" w:rsidR="00A0237B" w:rsidRPr="001603CF" w:rsidRDefault="00A945C5">
      <w:pPr>
        <w:pStyle w:val="RSCB02ArticleText"/>
        <w:rPr>
          <w:lang w:val="en-US"/>
        </w:rPr>
      </w:pPr>
      <w:r w:rsidRPr="001603CF">
        <w:rPr>
          <w:lang w:val="en-US"/>
        </w:rPr>
        <w:tab/>
      </w:r>
      <w:r w:rsidR="005037BA" w:rsidRPr="001603CF">
        <w:rPr>
          <w:lang w:val="en-US"/>
        </w:rPr>
        <w:t xml:space="preserve">Protocols for the neutralization </w:t>
      </w:r>
      <w:r w:rsidRPr="001603CF">
        <w:rPr>
          <w:lang w:val="en-US"/>
        </w:rPr>
        <w:t xml:space="preserve">and/or destruction </w:t>
      </w:r>
      <w:r w:rsidR="005037BA" w:rsidRPr="001603CF">
        <w:rPr>
          <w:lang w:val="en-US"/>
        </w:rPr>
        <w:t xml:space="preserve">of </w:t>
      </w:r>
      <w:r w:rsidR="005037BA" w:rsidRPr="001603CF">
        <w:rPr>
          <w:b/>
          <w:bCs/>
          <w:lang w:val="en-US"/>
        </w:rPr>
        <w:t>HD</w:t>
      </w:r>
      <w:r w:rsidR="005037BA" w:rsidRPr="001603CF">
        <w:rPr>
          <w:lang w:val="en-US"/>
        </w:rPr>
        <w:t xml:space="preserve"> </w:t>
      </w:r>
      <w:r w:rsidRPr="001603CF">
        <w:rPr>
          <w:lang w:val="en-US"/>
        </w:rPr>
        <w:t>are designed to impede the formation of an electrophilic episulfonium species</w:t>
      </w:r>
      <w:r w:rsidR="004D7949" w:rsidRPr="001603CF">
        <w:rPr>
          <w:lang w:val="en-US"/>
        </w:rPr>
        <w:t>,</w:t>
      </w:r>
      <w:r w:rsidR="00F02F20" w:rsidRPr="001603CF">
        <w:rPr>
          <w:lang w:val="en-US"/>
        </w:rPr>
        <w:t xml:space="preserve"> </w:t>
      </w:r>
      <w:r w:rsidR="00F02F20" w:rsidRPr="001603CF">
        <w:rPr>
          <w:b/>
          <w:lang w:val="en-US"/>
        </w:rPr>
        <w:t>epi-HD</w:t>
      </w:r>
      <w:r w:rsidRPr="001603CF">
        <w:rPr>
          <w:lang w:val="en-US"/>
        </w:rPr>
        <w:t>, which is linked to the acute toxicity of sulfur mustards</w:t>
      </w:r>
      <w:r w:rsidR="00EC00B1" w:rsidRPr="001603CF">
        <w:rPr>
          <w:lang w:val="en-US"/>
        </w:rPr>
        <w:t xml:space="preserve"> (Figure 1a</w:t>
      </w:r>
      <w:r w:rsidR="008274DF" w:rsidRPr="001603CF">
        <w:rPr>
          <w:lang w:val="en-US"/>
        </w:rPr>
        <w:t>,b</w:t>
      </w:r>
      <w:r w:rsidR="00EC00B1" w:rsidRPr="001603CF">
        <w:rPr>
          <w:lang w:val="en-US"/>
        </w:rPr>
        <w:t>).</w:t>
      </w:r>
      <w:r w:rsidR="00A05099" w:rsidRPr="001603CF">
        <w:rPr>
          <w:lang w:val="en-US"/>
        </w:rPr>
        <w:t xml:space="preserve"> </w:t>
      </w:r>
      <w:r w:rsidR="005A67B8" w:rsidRPr="001603CF">
        <w:rPr>
          <w:lang w:val="en-US"/>
        </w:rPr>
        <w:t xml:space="preserve">The </w:t>
      </w:r>
      <w:r w:rsidR="00C022FD" w:rsidRPr="001603CF">
        <w:rPr>
          <w:lang w:val="en-US"/>
        </w:rPr>
        <w:t>official</w:t>
      </w:r>
      <w:r w:rsidR="005A67B8" w:rsidRPr="001603CF">
        <w:rPr>
          <w:lang w:val="en-US"/>
        </w:rPr>
        <w:t xml:space="preserve"> method for destroying </w:t>
      </w:r>
      <w:r w:rsidR="005A67B8" w:rsidRPr="001603CF">
        <w:rPr>
          <w:b/>
          <w:lang w:val="en-US"/>
        </w:rPr>
        <w:t>HD</w:t>
      </w:r>
      <w:r w:rsidR="005A67B8" w:rsidRPr="001603CF">
        <w:rPr>
          <w:lang w:val="en-US"/>
        </w:rPr>
        <w:t xml:space="preserve"> involves its direct incineration or the incineration of the corresponding hydrolysate after tre</w:t>
      </w:r>
      <w:r w:rsidR="00380564" w:rsidRPr="001603CF">
        <w:rPr>
          <w:lang w:val="en-US"/>
        </w:rPr>
        <w:t>atment under hot alkaline conditions.</w:t>
      </w:r>
      <w:r w:rsidR="0065052C" w:rsidRPr="001603CF">
        <w:rPr>
          <w:lang w:val="en-US"/>
        </w:rPr>
        <w:fldChar w:fldCharType="begin" w:fldLock="1"/>
      </w:r>
      <w:r w:rsidR="0065052C" w:rsidRPr="001603CF">
        <w:rPr>
          <w:lang w:val="en-US"/>
        </w:rPr>
        <w:instrText>ADDIN CSL_CITATION {"citationItems":[{"id":"ITEM-1","itemData":{"URL":"https://www.peoacwa.army.mil/","accessed":{"date-parts":[["2023","8","20"]]},"author":[{"dropping-particle":"","family":"Alternatives","given":"Assembled Chemical Weapons","non-dropping-particle":"","parse-names":false,"suffix":""}],"id":"ITEM-1","issued":{"date-parts":[["0"]]},"title":"Program Executive Office","type":"webpage"},"uris":["http://www.mendeley.com/documents/?uuid=908ad02f-4b3c-3533-bec6-fd65d5877e62"]}],"mendeley":{"formattedCitation":"&lt;sup&gt;14&lt;/sup&gt;","plainTextFormattedCitation":"14","previouslyFormattedCitation":"&lt;sup&gt;14&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14</w:t>
      </w:r>
      <w:r w:rsidR="0065052C" w:rsidRPr="001603CF">
        <w:rPr>
          <w:lang w:val="en-US"/>
        </w:rPr>
        <w:fldChar w:fldCharType="end"/>
      </w:r>
      <w:r w:rsidR="0065052C" w:rsidRPr="001603CF">
        <w:rPr>
          <w:lang w:val="en-US"/>
        </w:rPr>
        <w:t xml:space="preserve"> </w:t>
      </w:r>
      <w:r w:rsidR="006149CC" w:rsidRPr="001603CF">
        <w:rPr>
          <w:lang w:val="en-US"/>
        </w:rPr>
        <w:t xml:space="preserve">Examples </w:t>
      </w:r>
      <w:r w:rsidR="00F8688A" w:rsidRPr="001603CF">
        <w:rPr>
          <w:lang w:val="en-US"/>
        </w:rPr>
        <w:t xml:space="preserve">of </w:t>
      </w:r>
      <w:r w:rsidR="006149CC" w:rsidRPr="001603CF">
        <w:rPr>
          <w:lang w:val="en-US"/>
        </w:rPr>
        <w:t>solvolysis under hyperbaric conditions have also been reported,</w:t>
      </w:r>
      <w:r w:rsidR="0065052C" w:rsidRPr="001603CF">
        <w:rPr>
          <w:lang w:val="en-US"/>
        </w:rPr>
        <w:fldChar w:fldCharType="begin" w:fldLock="1"/>
      </w:r>
      <w:r w:rsidR="00497937" w:rsidRPr="001603CF">
        <w:rPr>
          <w:lang w:val="en-US"/>
        </w:rPr>
        <w:instrText>ADDIN CSL_CITATION {"citationItems":[{"id":"ITEM-1","itemData":{"DOI":"10.1039/d2ob01217k","ISSN":"14770520","PMID":"36148796","abstract":"The neutralisation of structurally varied chemical warfare agent simulants (blister and nerve agents) and pesticides (Paraoxon) with the assistance of high pressure is reported. Chloroethyl amines and sulfides (nitrogen and sulfur mustards), phosphonothioates (V-series nerve agents) and phosphates (pesticide) readily react with simple nucleophilic scavengers (alcohols, amines) at P &gt; 14 000 bar.","author":[{"dropping-particle":"","family":"Mansour","given":"Sergui","non-dropping-particle":"","parse-names":false,"suffix":""},{"dropping-particle":"","family":"Silva","given":"Valmir B.","non-dropping-particle":"","parse-names":false,"suffix":""},{"dropping-particle":"","family":"Orth","given":"Elisa S.","non-dropping-particle":"","parse-names":false,"suffix":""},{"dropping-particle":"","family":"Legros","given":"Julien","non-dropping-particle":"","parse-names":false,"suffix":""}],"container-title":"Organic and Biomolecular Chemistry","id":"ITEM-1","issued":{"date-parts":[["2022"]]},"page":"7604-7608","publisher":"Royal Society of Chemistry","title":"Soft detoxification of chemical warfare agent simulants and pesticides under pressure","type":"article-journal","volume":"20"},"uris":["http://www.mendeley.com/documents/?uuid=6b19b87e-2d0c-4eeb-ab3f-4b4a1fafcd68"]}],"mendeley":{"formattedCitation":"&lt;sup&gt;15&lt;/sup&gt;","plainTextFormattedCitation":"15","previouslyFormattedCitation":"&lt;sup&gt;15&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15</w:t>
      </w:r>
      <w:r w:rsidR="0065052C" w:rsidRPr="001603CF">
        <w:rPr>
          <w:lang w:val="en-US"/>
        </w:rPr>
        <w:fldChar w:fldCharType="end"/>
      </w:r>
      <w:r w:rsidR="00305F8F" w:rsidRPr="001603CF">
        <w:rPr>
          <w:lang w:val="en-US"/>
        </w:rPr>
        <w:t xml:space="preserve"> </w:t>
      </w:r>
      <w:r w:rsidR="00A13254" w:rsidRPr="001603CF">
        <w:rPr>
          <w:lang w:val="en-US"/>
        </w:rPr>
        <w:t>as well as</w:t>
      </w:r>
      <w:r w:rsidR="006149CC" w:rsidRPr="001603CF">
        <w:rPr>
          <w:lang w:val="en-US"/>
        </w:rPr>
        <w:t xml:space="preserve"> </w:t>
      </w:r>
      <w:r w:rsidR="00305F8F" w:rsidRPr="001603CF">
        <w:rPr>
          <w:lang w:val="en-US"/>
        </w:rPr>
        <w:t>nucleophilic neutralization</w:t>
      </w:r>
      <w:r w:rsidR="0065052C" w:rsidRPr="001603CF">
        <w:rPr>
          <w:lang w:val="en-US"/>
        </w:rPr>
        <w:fldChar w:fldCharType="begin" w:fldLock="1"/>
      </w:r>
      <w:r w:rsidR="00497937" w:rsidRPr="001603CF">
        <w:rPr>
          <w:lang w:val="en-US"/>
        </w:rPr>
        <w:instrText>ADDIN CSL_CITATION {"citationItems":[{"id":"ITEM-1","itemData":{"DOI":"10.1039/d3re00264k","author":[{"dropping-particle":"","family":"Silva","given":"Valmir B.","non-dropping-particle":"","parse-names":false,"suffix":""},{"dropping-particle":"","family":"Mansour","given":"Sergui","non-dropping-particle":"","parse-names":false,"suffix":""},{"dropping-particle":"","family":"Delaune","given":"Antonin","non-dropping-particle":"","parse-names":false,"suffix":""},{"dropping-particle":"","family":"Felpin","given":"François-Xavier","non-dropping-particle":"","parse-names":false,"suffix":""},{"dropping-particle":"","family":"Legros","given":"Julien","non-dropping-particle":"","parse-names":false,"suffix":""}],"container-title":"Reaction Chemistry &amp; Engineering (Submitted)","id":"ITEM-1","issued":{"date-parts":[["2023"]]},"publisher":"Royal Society of Chemistry","title":"Flow detoxification of a sulfur mustard simulant with organometallic compounds enabled by an optimization algorithm","type":"article-journal"},"uris":["http://www.mendeley.com/documents/?uuid=ed5ed0d6-9afd-49ad-8bd4-8657d6c521f7"]}],"mendeley":{"formattedCitation":"&lt;sup&gt;16&lt;/sup&gt;","plainTextFormattedCitation":"16","previouslyFormattedCitation":"&lt;sup&gt;16&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16</w:t>
      </w:r>
      <w:r w:rsidR="0065052C" w:rsidRPr="001603CF">
        <w:rPr>
          <w:lang w:val="en-US"/>
        </w:rPr>
        <w:fldChar w:fldCharType="end"/>
      </w:r>
      <w:r w:rsidR="00305F8F" w:rsidRPr="001603CF">
        <w:rPr>
          <w:lang w:val="en-US"/>
        </w:rPr>
        <w:t xml:space="preserve"> </w:t>
      </w:r>
      <w:r w:rsidR="00A13254" w:rsidRPr="001603CF">
        <w:rPr>
          <w:lang w:val="en-US"/>
        </w:rPr>
        <w:t>and</w:t>
      </w:r>
      <w:r w:rsidR="00C22420" w:rsidRPr="001603CF">
        <w:rPr>
          <w:lang w:val="en-US"/>
        </w:rPr>
        <w:t xml:space="preserve"> </w:t>
      </w:r>
      <w:r w:rsidR="006149CC" w:rsidRPr="001603CF">
        <w:rPr>
          <w:lang w:val="en-US"/>
        </w:rPr>
        <w:t>dehydrohalogenation</w:t>
      </w:r>
      <w:r w:rsidR="00476FDA" w:rsidRPr="001603CF">
        <w:rPr>
          <w:lang w:val="en-US"/>
        </w:rPr>
        <w:t xml:space="preserve"> protocols</w:t>
      </w:r>
      <w:r w:rsidR="006149CC" w:rsidRPr="001603CF">
        <w:rPr>
          <w:lang w:val="en-US"/>
        </w:rPr>
        <w:t>.</w:t>
      </w:r>
      <w:r w:rsidR="0065052C" w:rsidRPr="001603CF">
        <w:rPr>
          <w:lang w:val="en-US"/>
        </w:rPr>
        <w:fldChar w:fldCharType="begin" w:fldLock="1"/>
      </w:r>
      <w:r w:rsidR="0065052C" w:rsidRPr="001603CF">
        <w:rPr>
          <w:lang w:val="en-US"/>
        </w:rPr>
        <w:instrText>ADDIN CSL_CITATION {"citationItems":[{"id":"ITEM-1","itemData":{"DOI":"10.1021/jp984689u","ISSN":"15206106","abstract":"The room-temperature reactions of the chemical warfare agents VX (O-ethyl S-2-(diisopropylamino)ethyl methylphosphonothioate), GD (3,3-dimethyl-2-butyl methylphosphonofluoridate, or Soman), and HD (2,2′dichloroethyl sulfide, or mustard) with nanosize MgO have been studied using solid-state MAS NMR. All three agents hydrolyze on the surface of the very reactive MgO nanoparticles. VX yields ethyl methylphosphonic acid (EMPA) and methylphosphonic acid (MPA), but no toxic S-(2-diisopropylamino)ethyl methylphosphonothioate (EA-2192). GD forms both GD-acid and MPA. For HD, in addition to hydrolysis to thiodiglycol, about 50% elimination to divinyl sulfide occurs. The reaction kinetics for all three agents are characterized by a fast initial reaction followed by gradual slowing to a steady-state reaction with first-order behavior. The fast reaction is consistent with liquid spreading through the porous nanoparticle aggregates. The steady-state reaction is identified as a gas-phase reaction, mediated by evaporation, once the liquid achieves its volume in the smallest available pores. © 1999 American Chemical Society.","author":[{"dropping-particle":"","family":"Wagner","given":"George W.","non-dropping-particle":"","parse-names":false,"suffix":""},{"dropping-particle":"","family":"Bartram","given":"Philip W.","non-dropping-particle":"","parse-names":false,"suffix":""},{"dropping-particle":"","family":"Koper","given":"Olga","non-dropping-particle":"","parse-names":false,"suffix":""},{"dropping-particle":"","family":"Klabunde","given":"Kenneth J.","non-dropping-particle":"","parse-names":false,"suffix":""}],"container-title":"Journal of Physical Chemistry B","id":"ITEM-1","issue":"16","issued":{"date-parts":[["1999"]]},"page":"3225-3228","title":"Reactions of VX, GD, and HD with nanosize MgO","type":"article-journal","volume":"103"},"uris":["http://www.mendeley.com/documents/?uuid=a5c69766-a31c-44d3-a9f1-1100e703574a"]}],"mendeley":{"formattedCitation":"&lt;sup&gt;17&lt;/sup&gt;","plainTextFormattedCitation":"17","previouslyFormattedCitation":"&lt;sup&gt;17&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17</w:t>
      </w:r>
      <w:r w:rsidR="0065052C" w:rsidRPr="001603CF">
        <w:rPr>
          <w:lang w:val="en-US"/>
        </w:rPr>
        <w:fldChar w:fldCharType="end"/>
      </w:r>
      <w:r w:rsidR="0065052C" w:rsidRPr="001603CF">
        <w:rPr>
          <w:lang w:val="en-US"/>
        </w:rPr>
        <w:t xml:space="preserve"> </w:t>
      </w:r>
      <w:r w:rsidR="005E12DB" w:rsidRPr="001603CF">
        <w:rPr>
          <w:lang w:val="en-US"/>
        </w:rPr>
        <w:t>Selective sulfoxidation is b</w:t>
      </w:r>
      <w:r w:rsidR="006149CC" w:rsidRPr="001603CF">
        <w:rPr>
          <w:lang w:val="en-US"/>
        </w:rPr>
        <w:t>y far the most reported protocol in the primary literature</w:t>
      </w:r>
      <w:r w:rsidR="005E12DB" w:rsidRPr="001603CF">
        <w:rPr>
          <w:lang w:val="en-US"/>
        </w:rPr>
        <w:t>. It</w:t>
      </w:r>
      <w:r w:rsidR="00864EDF" w:rsidRPr="001603CF">
        <w:rPr>
          <w:lang w:val="en-US"/>
        </w:rPr>
        <w:t xml:space="preserve"> </w:t>
      </w:r>
      <w:r w:rsidR="0091073C" w:rsidRPr="001603CF">
        <w:rPr>
          <w:lang w:val="en-US"/>
        </w:rPr>
        <w:t xml:space="preserve">has been described through a multitude of variants including either (photo)catalytic </w:t>
      </w:r>
      <w:r w:rsidR="0020005F" w:rsidRPr="001603CF">
        <w:rPr>
          <w:lang w:val="en-US"/>
        </w:rPr>
        <w:t>or</w:t>
      </w:r>
      <w:r w:rsidR="0091073C" w:rsidRPr="001603CF">
        <w:rPr>
          <w:lang w:val="en-US"/>
        </w:rPr>
        <w:t xml:space="preserve"> stoichiometric </w:t>
      </w:r>
      <w:r w:rsidR="00332AB8" w:rsidRPr="001603CF">
        <w:rPr>
          <w:lang w:val="en-US"/>
        </w:rPr>
        <w:t>conditions</w:t>
      </w:r>
      <w:r w:rsidR="008274DF" w:rsidRPr="001603CF">
        <w:rPr>
          <w:lang w:val="en-US"/>
        </w:rPr>
        <w:t xml:space="preserve"> (Figure 1</w:t>
      </w:r>
      <w:r w:rsidR="00F67336" w:rsidRPr="001603CF">
        <w:rPr>
          <w:lang w:val="en-US"/>
        </w:rPr>
        <w:t>b</w:t>
      </w:r>
      <w:r w:rsidR="008274DF" w:rsidRPr="001603CF">
        <w:rPr>
          <w:lang w:val="en-US"/>
        </w:rPr>
        <w:t>).</w:t>
      </w:r>
      <w:r w:rsidR="0065052C" w:rsidRPr="001603CF">
        <w:rPr>
          <w:lang w:val="en-US"/>
        </w:rPr>
        <w:fldChar w:fldCharType="begin" w:fldLock="1"/>
      </w:r>
      <w:r w:rsidR="0065052C" w:rsidRPr="001603CF">
        <w:rPr>
          <w:lang w:val="en-US"/>
        </w:rPr>
        <w:instrText>ADDIN CSL_CITATION {"citationItems":[{"id":"ITEM-1","itemData":{"DOI":"10.1039/c9ob00802k","ISSN":"14770520","PMID":"31215586","abstract":"Despite international prohibition, some ill-intentioned states and organisations have shown their will and capacity to run chemical weapon programs, and the number of incidents involving chemical warfare agents (CWA) has significantly increased in recent years. Herein, we aimed to offer a clear overview of chemical warfare agents to organic chemists not specialized in this field by (1) introducing the main CWAs and their relevant simulants legally usable in academic laboratories and (2) presenting a selection of recent and soft neutralisation methods, such as organocatalysis and continuous flow, and materials such as metal-organic frameworks and polyoxometalates. These modern approaches offer potential future alternatives to \"heavy\" decontamination methods.","author":[{"dropping-particle":"","family":"Picard","given":"Baptiste","non-dropping-particle":"","parse-names":false,"suffix":""},{"dropping-particle":"","family":"Chataigner","given":"Isabelle","non-dropping-particle":"","parse-names":false,"suffix":""},{"dropping-particle":"","family":"Maddaluno","given":"Jacques","non-dropping-particle":"","parse-names":false,"suffix":""},{"dropping-particle":"","family":"Legros","given":"Julien","non-dropping-particle":"","parse-names":false,"suffix":""}],"container-title":"Organic and Biomolecular Chemistry","id":"ITEM-1","issue":"27","issued":{"date-parts":[["2019"]]},"page":"6528-6537","publisher":"Royal Society of Chemistry","title":"Introduction to chemical warfare agents, relevant simulants and modern neutralisation methods","type":"article-journal","volume":"17"},"uris":["http://www.mendeley.com/documents/?uuid=b319e052-1ea8-4c49-9d64-d6b7419c4fdd"]},{"id":"ITEM-2","itemData":{"DOI":"10.1002/chem.202003665","ISSN":"15213765","PMID":"32876358","abstract":"Research on the decontamination of the chemical warfare agent sulfur mustard pursues several objectives that include the neutralization of spared ammunition, the cleaning of affected areas, and also the development of protective equipment or tools. Neutralization of vesicant sulfur mustard involves different chemical routes such as hydrolysis, dehydrochlorination, oxidation, or complete mineralization. This review weighs the pros and cons associated with the different systems reported in the literature, with an emphasis on catalytic procedures, to selectively convert sulfur mustard or its simulants into harmless products.","author":[{"dropping-particle":"","family":"Oheix","given":"Emmanuel","non-dropping-particle":"","parse-names":false,"suffix":""},{"dropping-particle":"","family":"Gravel","given":"Edmond","non-dropping-particle":"","parse-names":false,"suffix":""},{"dropping-particle":"","family":"Doris","given":"Eric","non-dropping-particle":"","parse-names":false,"suffix":""}],"container-title":"Chemistry - A European Journal","id":"ITEM-2","issue":"1","issued":{"date-parts":[["2021"]]},"page":"54-68","title":"Catalytic Processes for the Neutralization of Sulfur Mustard","type":"article-journal","volume":"27"},"uris":["http://www.mendeley.com/documents/?uuid=7c49083c-9b84-4c31-a447-838dc6b49be7"]}],"mendeley":{"formattedCitation":"&lt;sup&gt;10,11&lt;/sup&gt;","plainTextFormattedCitation":"10,11","previouslyFormattedCitation":"&lt;sup&gt;10,11&lt;/sup&gt;"},"properties":{"noteIndex":0},"schema":"https://github.com/citation-style-language/schema/raw/master/csl-citation.json"}</w:instrText>
      </w:r>
      <w:r w:rsidR="0065052C" w:rsidRPr="001603CF">
        <w:rPr>
          <w:lang w:val="en-US"/>
        </w:rPr>
        <w:fldChar w:fldCharType="separate"/>
      </w:r>
      <w:r w:rsidR="0065052C" w:rsidRPr="001603CF">
        <w:rPr>
          <w:noProof/>
          <w:vertAlign w:val="superscript"/>
          <w:lang w:val="en-US"/>
        </w:rPr>
        <w:t>10,11</w:t>
      </w:r>
      <w:r w:rsidR="0065052C" w:rsidRPr="001603CF">
        <w:rPr>
          <w:lang w:val="en-US"/>
        </w:rPr>
        <w:fldChar w:fldCharType="end"/>
      </w:r>
      <w:r w:rsidR="006F3AB2" w:rsidRPr="001603CF">
        <w:rPr>
          <w:lang w:val="en-US"/>
        </w:rPr>
        <w:t xml:space="preserve"> Regardless of the conditions, the selectivity of the oxidation is the most critical parameter</w:t>
      </w:r>
      <w:r w:rsidR="00332AB8" w:rsidRPr="001603CF">
        <w:rPr>
          <w:lang w:val="en-US"/>
        </w:rPr>
        <w:t xml:space="preserve"> often at the expense of the atom economy,</w:t>
      </w:r>
      <w:r w:rsidR="0091073C" w:rsidRPr="001603CF">
        <w:rPr>
          <w:lang w:val="en-US"/>
        </w:rPr>
        <w:t xml:space="preserve"> </w:t>
      </w:r>
      <w:r w:rsidR="00332AB8" w:rsidRPr="001603CF">
        <w:rPr>
          <w:lang w:val="en-US"/>
        </w:rPr>
        <w:t>production costs</w:t>
      </w:r>
      <w:r w:rsidR="007C1564" w:rsidRPr="001603CF">
        <w:rPr>
          <w:lang w:val="en-US"/>
        </w:rPr>
        <w:t xml:space="preserve">, toxicity and </w:t>
      </w:r>
      <w:r w:rsidR="00011B11" w:rsidRPr="001603CF">
        <w:rPr>
          <w:lang w:val="en-US"/>
        </w:rPr>
        <w:t>practical considerations</w:t>
      </w:r>
      <w:r w:rsidR="00332AB8" w:rsidRPr="001603CF">
        <w:rPr>
          <w:lang w:val="en-US"/>
        </w:rPr>
        <w:t>.</w:t>
      </w:r>
      <w:r w:rsidR="00604FC5" w:rsidRPr="001603CF">
        <w:rPr>
          <w:lang w:val="en-US"/>
        </w:rPr>
        <w:t xml:space="preserve"> Overoxidation to the corresponding toxic sulfone must be rigorously prevented</w:t>
      </w:r>
      <w:r w:rsidR="009B5C6C" w:rsidRPr="001603CF">
        <w:rPr>
          <w:lang w:val="en-US"/>
        </w:rPr>
        <w:t xml:space="preserve">. </w:t>
      </w:r>
      <w:bookmarkStart w:id="0" w:name="_Hlk147500451"/>
      <w:r w:rsidR="009B5C6C" w:rsidRPr="001603CF">
        <w:rPr>
          <w:lang w:val="en-US"/>
        </w:rPr>
        <w:t>Indeed,</w:t>
      </w:r>
      <w:r w:rsidR="001D75C3" w:rsidRPr="001603CF">
        <w:rPr>
          <w:lang w:val="en-US"/>
        </w:rPr>
        <w:t xml:space="preserve"> </w:t>
      </w:r>
      <w:r w:rsidR="009B5C6C" w:rsidRPr="001603CF">
        <w:rPr>
          <w:lang w:val="en-US"/>
        </w:rPr>
        <w:t>the corresponding overoxidized sulfone</w:t>
      </w:r>
      <w:r w:rsidR="00F32746" w:rsidRPr="001603CF">
        <w:rPr>
          <w:lang w:val="en-US"/>
        </w:rPr>
        <w:t>,</w:t>
      </w:r>
      <w:r w:rsidR="009B5C6C" w:rsidRPr="001603CF">
        <w:rPr>
          <w:lang w:val="en-US"/>
        </w:rPr>
        <w:t xml:space="preserve"> </w:t>
      </w:r>
      <w:r w:rsidR="009B5C6C" w:rsidRPr="001603CF">
        <w:rPr>
          <w:b/>
          <w:lang w:val="en-US"/>
        </w:rPr>
        <w:t>HDO</w:t>
      </w:r>
      <w:r w:rsidR="009B5C6C" w:rsidRPr="001603CF">
        <w:rPr>
          <w:b/>
          <w:vertAlign w:val="subscript"/>
          <w:lang w:val="en-US"/>
        </w:rPr>
        <w:t>2</w:t>
      </w:r>
      <w:r w:rsidR="009B5C6C" w:rsidRPr="001603CF">
        <w:rPr>
          <w:lang w:val="en-US"/>
        </w:rPr>
        <w:t xml:space="preserve"> (Figure 1b)</w:t>
      </w:r>
      <w:r w:rsidR="00F32746" w:rsidRPr="001603CF">
        <w:rPr>
          <w:lang w:val="en-US"/>
        </w:rPr>
        <w:t>,</w:t>
      </w:r>
      <w:r w:rsidR="009B5C6C" w:rsidRPr="001603CF">
        <w:rPr>
          <w:lang w:val="en-US"/>
        </w:rPr>
        <w:t xml:space="preserve"> </w:t>
      </w:r>
      <w:r w:rsidR="00C8747A" w:rsidRPr="001603CF">
        <w:rPr>
          <w:lang w:val="en-US"/>
        </w:rPr>
        <w:t>spontaneously</w:t>
      </w:r>
      <w:r w:rsidR="0030482D" w:rsidRPr="001603CF">
        <w:rPr>
          <w:lang w:val="en-US"/>
        </w:rPr>
        <w:t xml:space="preserve"> forms a </w:t>
      </w:r>
      <w:r w:rsidR="00E22926" w:rsidRPr="001603CF">
        <w:rPr>
          <w:lang w:val="en-US"/>
        </w:rPr>
        <w:t xml:space="preserve">toxic </w:t>
      </w:r>
      <w:r w:rsidR="00F32746" w:rsidRPr="001603CF">
        <w:rPr>
          <w:lang w:val="en-US"/>
        </w:rPr>
        <w:t>di</w:t>
      </w:r>
      <w:r w:rsidR="0030482D" w:rsidRPr="001603CF">
        <w:rPr>
          <w:lang w:val="en-US"/>
        </w:rPr>
        <w:t>vinyl sulfone through dehalogenation</w:t>
      </w:r>
      <w:r w:rsidR="009B5C6C" w:rsidRPr="001603CF">
        <w:rPr>
          <w:lang w:val="en-US"/>
        </w:rPr>
        <w:t xml:space="preserve"> under physiologic</w:t>
      </w:r>
      <w:r w:rsidR="00B643A3" w:rsidRPr="001603CF">
        <w:rPr>
          <w:lang w:val="en-US"/>
        </w:rPr>
        <w:t>al</w:t>
      </w:r>
      <w:r w:rsidR="009B5C6C" w:rsidRPr="001603CF">
        <w:rPr>
          <w:lang w:val="en-US"/>
        </w:rPr>
        <w:t xml:space="preserve"> conditions</w:t>
      </w:r>
      <w:r w:rsidR="00F32746" w:rsidRPr="001603CF">
        <w:rPr>
          <w:lang w:val="en-US"/>
        </w:rPr>
        <w:t xml:space="preserve">. The latter has been associated with stronger protein denaturing properties than the parent </w:t>
      </w:r>
      <w:r w:rsidR="00F32746" w:rsidRPr="001603CF">
        <w:rPr>
          <w:b/>
          <w:lang w:val="en-US"/>
        </w:rPr>
        <w:t>HD</w:t>
      </w:r>
      <w:r w:rsidR="004B6C63" w:rsidRPr="001603CF">
        <w:rPr>
          <w:lang w:val="en-US"/>
        </w:rPr>
        <w:t>.</w:t>
      </w:r>
      <w:r w:rsidR="00864EF1" w:rsidRPr="001603CF">
        <w:rPr>
          <w:lang w:val="en-US"/>
        </w:rPr>
        <w:fldChar w:fldCharType="begin" w:fldLock="1"/>
      </w:r>
      <w:r w:rsidR="00864EF1" w:rsidRPr="001603CF">
        <w:rPr>
          <w:lang w:val="en-US"/>
        </w:rPr>
        <w:instrText>ADDIN CSL_CITATION {"citationItems":[{"id":"ITEM-1","itemData":{"DOI":"10.1042/BJ0400737","ISSN":"0006-2936","PMID":"20277249","author":[{"dropping-particle":"","family":"Boursnell","given":"J. C.","non-dropping-particle":"","parse-names":false,"suffix":""},{"dropping-particle":"","family":"Francis","given":"G. E.","non-dropping-particle":"","parse-names":false,"suffix":""},{"dropping-particle":"","family":"Wormall","given":"A.","non-dropping-particle":"","parse-names":false,"suffix":""}],"container-title":"Biochemical Journal","id":"ITEM-1","issue":"5-6","issued":{"date-parts":[["1946","1","1"]]},"page":"737-742","publisher":"Portland Press","title":"Studies on mustard gas (ββ′-dichlorodiethyl sulphide) and some related compounds2. The action of mustard gas, ββ′-dichlorodiethyl sulphone and divinyl sulphone on amino-acids","type":"article-journal","volume":"40"},"uris":["http://www.mendeley.com/documents/?uuid=450260a7-09a1-3b63-8e72-b19353717f79"]}],"mendeley":{"formattedCitation":"&lt;sup&gt;18&lt;/sup&gt;","plainTextFormattedCitation":"18","previouslyFormattedCitation":"&lt;sup&gt;18&lt;/sup&gt;"},"properties":{"noteIndex":0},"schema":"https://github.com/citation-style-language/schema/raw/master/csl-citation.json"}</w:instrText>
      </w:r>
      <w:r w:rsidR="00864EF1" w:rsidRPr="001603CF">
        <w:rPr>
          <w:lang w:val="en-US"/>
        </w:rPr>
        <w:fldChar w:fldCharType="separate"/>
      </w:r>
      <w:r w:rsidR="00864EF1" w:rsidRPr="001603CF">
        <w:rPr>
          <w:noProof/>
          <w:vertAlign w:val="superscript"/>
          <w:lang w:val="en-US"/>
        </w:rPr>
        <w:t>18</w:t>
      </w:r>
      <w:r w:rsidR="00864EF1" w:rsidRPr="001603CF">
        <w:rPr>
          <w:lang w:val="en-US"/>
        </w:rPr>
        <w:fldChar w:fldCharType="end"/>
      </w:r>
      <w:bookmarkEnd w:id="0"/>
    </w:p>
    <w:p w14:paraId="4FC48DEB" w14:textId="56503905" w:rsidR="004C0F81" w:rsidRPr="001603CF" w:rsidRDefault="00EC0DC3" w:rsidP="00FF53DC">
      <w:pPr>
        <w:pStyle w:val="RSCB02ArticleText"/>
        <w:ind w:firstLine="284"/>
        <w:rPr>
          <w:lang w:val="en-US"/>
        </w:rPr>
      </w:pPr>
      <w:r w:rsidRPr="001603CF">
        <w:rPr>
          <w:lang w:val="en-US"/>
        </w:rPr>
        <w:lastRenderedPageBreak/>
        <w:t xml:space="preserve">In a series of previous articles, we have documented our efforts </w:t>
      </w:r>
      <w:r w:rsidR="00142B4F" w:rsidRPr="001603CF">
        <w:rPr>
          <w:lang w:val="en-US"/>
        </w:rPr>
        <w:t>to develop efficient</w:t>
      </w:r>
      <w:r w:rsidR="005E56A9" w:rsidRPr="001603CF">
        <w:rPr>
          <w:lang w:val="en-US"/>
        </w:rPr>
        <w:t xml:space="preserve"> oxidative</w:t>
      </w:r>
      <w:r w:rsidR="00142B4F" w:rsidRPr="001603CF">
        <w:rPr>
          <w:lang w:val="en-US"/>
        </w:rPr>
        <w:t xml:space="preserve"> neutralization </w:t>
      </w:r>
      <w:r w:rsidR="009A2918" w:rsidRPr="001603CF">
        <w:rPr>
          <w:lang w:val="en-US"/>
        </w:rPr>
        <w:t xml:space="preserve">flow </w:t>
      </w:r>
      <w:r w:rsidR="00142B4F" w:rsidRPr="001603CF">
        <w:rPr>
          <w:lang w:val="en-US"/>
        </w:rPr>
        <w:t xml:space="preserve">processes specifically targeting </w:t>
      </w:r>
      <w:r w:rsidR="00142B4F" w:rsidRPr="001603CF">
        <w:rPr>
          <w:b/>
          <w:lang w:val="en-US"/>
        </w:rPr>
        <w:t>HD</w:t>
      </w:r>
      <w:r w:rsidR="00142B4F" w:rsidRPr="001603CF">
        <w:rPr>
          <w:lang w:val="en-US"/>
        </w:rPr>
        <w:t xml:space="preserve"> simulants</w:t>
      </w:r>
      <w:r w:rsidR="00F92D30" w:rsidRPr="001603CF">
        <w:rPr>
          <w:lang w:val="en-US"/>
        </w:rPr>
        <w:t xml:space="preserve"> (e.g., </w:t>
      </w:r>
      <w:r w:rsidR="00F92D30" w:rsidRPr="001603CF">
        <w:rPr>
          <w:b/>
          <w:lang w:val="en-US"/>
        </w:rPr>
        <w:t>CEES</w:t>
      </w:r>
      <w:r w:rsidR="00F92D30" w:rsidRPr="001603CF">
        <w:rPr>
          <w:lang w:val="en-US"/>
        </w:rPr>
        <w:t xml:space="preserve"> or </w:t>
      </w:r>
      <w:r w:rsidR="00F92D30" w:rsidRPr="001603CF">
        <w:rPr>
          <w:b/>
          <w:lang w:val="en-US"/>
        </w:rPr>
        <w:t>CEPS</w:t>
      </w:r>
      <w:r w:rsidR="00F92D30" w:rsidRPr="001603CF">
        <w:rPr>
          <w:lang w:val="en-US"/>
        </w:rPr>
        <w:t>)</w:t>
      </w:r>
      <w:r w:rsidR="00EC00B1" w:rsidRPr="001603CF">
        <w:rPr>
          <w:lang w:val="en-US"/>
        </w:rPr>
        <w:t>.</w:t>
      </w:r>
      <w:r w:rsidR="0065052C" w:rsidRPr="001603CF">
        <w:rPr>
          <w:lang w:val="en-US"/>
        </w:rPr>
        <w:fldChar w:fldCharType="begin" w:fldLock="1"/>
      </w:r>
      <w:r w:rsidR="00864EF1" w:rsidRPr="001603CF">
        <w:rPr>
          <w:lang w:val="en-US"/>
        </w:rPr>
        <w:instrText>ADDIN CSL_CITATION {"citationItems":[{"id":"ITEM-1","itemData":{"DOI":"10.1039/d0gc01142h","ISSN":"1463-9262","abstract":" Intensified chemical neutralization of a chemical warfare agent simulant CEES with air and light under continuous flow conditions.  A low footprint, mobile, robust and frugal chemical neutralization technology is reported for the oxidative neutralization of a mustard gas simulant. It relies on the inherent properties of a highly engineered continuous flow setup and carefully optimized and simple, yet robust, experimental conditions. The neutralization protocol uses only non-toxic, widely available and cheap chemicals. The continuous flow setup integrates a singlet oxygen generator and exploits its oxidative power to neutralize 2-chloroethyl ethyl sulfide ( CEES ), the most common thioether mustard gas simulant. The flow reactor can be connected to either pressurized oxygen or air and handles CEES as a 1 M solution in EtOH containing a trace amount (0.06 mol%) of a non-toxic and widely available photosensitizer (Methylene Blue). Upon irradiation with visible light (orange or white light), total and highly selective neutralization towards the corresponding non-toxic sulfoxide (1-chloro-2-(ethylsulfinyl)ethane, CEESO ) is obtained with reactor effluents containing less than 1% of the corresponding potentially toxic sulfone (1-chloro-2-(ethylsulfonyl)ethane, CEESO2 ). With a low footprint ( L × W × H 94 × 42 × 40 cm), this neutralization technology can be equipped on a vehicle for on-site interventions, localized at a neutralization facility or both. This experimental work is also supported with the computational rationalization of the reactivity of CEES towards singlet oxygen. ","author":[{"dropping-particle":"","family":"Emmanuel","given":"Noémie","non-dropping-particle":"","parse-names":false,"suffix":""},{"dropping-particle":"","family":"Bianchi","given":"Pauline","non-dropping-particle":"","parse-names":false,"suffix":""},{"dropping-particle":"","family":"Legros","given":"Julien","non-dropping-particle":"","parse-names":false,"suffix":""},{"dropping-particle":"","family":"Monbaliu","given":"Jean-Christophe M.","non-dropping-particle":"","parse-names":false,"suffix":""}],"container-title":"Green Chemistry","id":"ITEM-1","issued":{"date-parts":[["2020"]]},"page":"4105-4115","publisher":"Royal Society of Chemistry","title":"A safe and compact flow platform for the neutralization of a mustard gas simulant with air and light","type":"article-journal","volume":"22"},"uris":["http://www.mendeley.com/documents/?uuid=29a3104b-a9d6-4684-978c-391064f597d2"]},{"id":"ITEM-2","itemData":{"DOI":"10.1002/anie.201702744","ISSN":"15213773","author":[{"dropping-particle":"","family":"Picard","given":"Baptiste","non-dropping-particle":"","parse-names":false,"suffix":""},{"dropping-particle":"","family":"Gouilleux","given":"Boris","non-dropping-particle":"","parse-names":false,"suffix":""},{"dropping-particle":"","family":"Lebleu","given":"Thomas","non-dropping-particle":"","parse-names":false,"suffix":""},{"dropping-particle":"","family":"Maddaluno","given":"Jacques","non-dropping-particle":"","parse-names":false,"suffix":""},{"dropping-particle":"","family":"Chataigner","given":"Isabelle","non-dropping-particle":"","parse-names":false,"suffix":""},{"dropping-particle":"","family":"Penhoat","given":"Maël","non-dropping-particle":"","parse-names":false,"suffix":""},{"dropping-particle":"","family":"Felpin","given":"François Xavier","non-dropping-particle":"","parse-names":false,"suffix":""},{"dropping-particle":"","family":"Giraudeau","given":"Patrick","non-dropping-particle":"","parse-names":false,"suffix":""},{"dropping-particle":"","family":"Legros","given":"Julien","non-dropping-particle":"","parse-names":false,"suffix":""}],"container-title":"Angewandte Chemie - International Edition","id":"ITEM-2","issue":"26","issued":{"date-parts":[["2017"]]},"page":"7568-7572","title":"Oxidative Neutralization of Mustard-Gas Simulants in an On-Board Flow Device with In-Line NMR Monitoring","type":"article-journal","volume":"56"},"uris":["http://www.mendeley.com/documents/?uuid=5bb0407f-b6bf-4a11-8844-304f46bd5a70"]},{"id":"ITEM-3","itemData":{"DOI":"10.1039/d1gc00449b","ISSN":"14639270","abstract":"The oxidative neutralisation of sulfur-containing CWAs (yperite and VX simulants) with Oxone has been developed in flow systems. In order to reach full selectivity towards harmless decomposition products, Oxone has to be used either in solid form (blister agent detoxification) or aqueous form (nerve agent detoxification).","author":[{"dropping-particle":"","family":"Delaune","given":"Antonin","non-dropping-particle":"","parse-names":false,"suffix":""},{"dropping-particle":"","family":"Mansour","given":"Sergui","non-dropping-particle":"","parse-names":false,"suffix":""},{"dropping-particle":"","family":"Picard","given":"Baptiste","non-dropping-particle":"","parse-names":false,"suffix":""},{"dropping-particle":"","family":"Carrasqueira","given":"Philippe","non-dropping-particle":"","parse-names":false,"suffix":""},{"dropping-particle":"","family":"Chataigner","given":"Isabelle","non-dropping-particle":"","parse-names":false,"suffix":""},{"dropping-particle":"","family":"Jean","given":"Ludovic","non-dropping-particle":"","parse-names":false,"suffix":""},{"dropping-particle":"","family":"Renard","given":"Pierre Yves","non-dropping-particle":"","parse-names":false,"suffix":""},{"dropping-particle":"","family":"Monbaliu","given":"Jean Christophe M.","non-dropping-particle":"","parse-names":false,"suffix":""},{"dropping-particle":"","family":"Legros","given":"Julien","non-dropping-particle":"","parse-names":false,"suffix":""}],"container-title":"Green Chemistry","id":"ITEM-3","issue":"8","issued":{"date-parts":[["2021"]]},"page":"2925-2930","publisher":"Royal Society of Chemistry","title":"Flow neutralisation of sulfur-containing chemical warfare agents with Oxone: packed bedvs.aqueous solution","type":"article-journal","volume":"23"},"uris":["http://www.mendeley.com/documents/?uuid=6e0f8138-3990-44bf-9a59-99ab85a1a2df"]},{"id":"ITEM-4","itemData":{"DOI":"10.1039/d2gc00458e","ISSN":"14639270","abstract":"Herein, we report the development of a continuous flow generator that produces highly reactive organic hypochlorites for the chemical neutralization of sulfur-based chemical warfare agent (CWA) simulants. The generator relies on resource and equipment with low environmental footprint and uses chemicals that are widely available and cheap. The standard decontamination protocol for sulfur-based CWA “mustard gas” (a.k.a. Yperite or HD) relies on bleach (aqueous sodium hypochlorite) as a convenient oxidative neutralization measure; however, the high lipophilicity of HD causes the formation of micelles and hence superficial and/or unselective detoxification. Aqueous bleach can be rapidly upgraded to more lipophilic organic hypochlorites (MeOCl, EtOCl, iPrOCl and tBuOCl). We demonstrate that the latter readily oxidize simulants of HD (such as chloroethyl ethyl sulfide (CEES)) to the corresponding sulfoxide (CEESO). With a fine tuning of the reaction conditions, the oxidation is nearly instantaneous and prevents the formation of toxic overoxidized sulfones, though organic hypochlorites also contribute to the innocuous chlorination of the neutralized sulfoxide. The assets of continuous flow technology enable the merging of both the upstream hypochlorite generator and the downstream neutralization setup to provide a safe, compact and mobile framework. Some aspects of the reactivity of organic hypochlorites with model sulfur compounds are also discussed by means of computational chemistry (DFT). The flexibility (simple chemicals, liquid feeds and wastes) and efficiency (space time yield = 3.74 kg L−1 h−1) of this protocol outclass other recently reported neutralization procedures in flow.","author":[{"dropping-particle":"","family":"Kassin","given":"Victor Emmanuel H.","non-dropping-particle":"","parse-names":false,"suffix":""},{"dropping-particle":"V.","family":"Silva-Brenes","given":"Diana","non-dropping-particle":"","parse-names":false,"suffix":""},{"dropping-particle":"","family":"Bernard","given":"Thomas","non-dropping-particle":"","parse-names":false,"suffix":""},{"dropping-particle":"","family":"Legros","given":"Julien","non-dropping-particle":"","parse-names":false,"suffix":""},{"dropping-particle":"","family":"Monbaliu","given":"Jean Christophe M.","non-dropping-particle":"","parse-names":false,"suffix":""}],"container-title":"Green Chemistry","id":"ITEM-4","issued":{"date-parts":[["2022"]]},"page":"3167-3179","publisher":"Royal Society of Chemistry","title":"A continuous flow generator of organic hypochlorites for the neutralization of chemical warfare agent simulants","type":"article-journal","volume":"24"},"uris":["http://www.mendeley.com/documents/?uuid=66ce7145-8f4b-497b-b668-b0995dd04a25"]}],"mendeley":{"formattedCitation":"&lt;sup&gt;19–22&lt;/sup&gt;","plainTextFormattedCitation":"19–22","previouslyFormattedCitation":"&lt;sup&gt;19–22&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19–22</w:t>
      </w:r>
      <w:r w:rsidR="0065052C" w:rsidRPr="001603CF">
        <w:rPr>
          <w:lang w:val="en-US"/>
        </w:rPr>
        <w:fldChar w:fldCharType="end"/>
      </w:r>
      <w:r w:rsidR="002B106E" w:rsidRPr="001603CF">
        <w:rPr>
          <w:lang w:val="en-US"/>
        </w:rPr>
        <w:t xml:space="preserve"> </w:t>
      </w:r>
      <w:r w:rsidR="00EC00B1" w:rsidRPr="001603CF">
        <w:rPr>
          <w:lang w:val="en-US"/>
        </w:rPr>
        <w:t>We believe that such protocols</w:t>
      </w:r>
      <w:r w:rsidR="00142B4F" w:rsidRPr="001603CF">
        <w:rPr>
          <w:lang w:val="en-US"/>
        </w:rPr>
        <w:t xml:space="preserve"> </w:t>
      </w:r>
      <w:r w:rsidR="004D7949" w:rsidRPr="001603CF">
        <w:rPr>
          <w:lang w:val="en-US"/>
        </w:rPr>
        <w:t xml:space="preserve">must </w:t>
      </w:r>
      <w:r w:rsidR="00EC00B1" w:rsidRPr="001603CF">
        <w:rPr>
          <w:lang w:val="en-US"/>
        </w:rPr>
        <w:t xml:space="preserve">rely </w:t>
      </w:r>
      <w:r w:rsidR="00142B4F" w:rsidRPr="001603CF">
        <w:rPr>
          <w:lang w:val="en-US"/>
        </w:rPr>
        <w:t>on simple, widely available chemicals</w:t>
      </w:r>
      <w:r w:rsidR="00C13B66" w:rsidRPr="001603CF">
        <w:rPr>
          <w:lang w:val="en-US"/>
        </w:rPr>
        <w:t xml:space="preserve"> (Figure </w:t>
      </w:r>
      <w:r w:rsidR="00097CEF" w:rsidRPr="001603CF">
        <w:rPr>
          <w:lang w:val="en-US"/>
        </w:rPr>
        <w:t>1</w:t>
      </w:r>
      <w:r w:rsidR="00B81067" w:rsidRPr="001603CF">
        <w:rPr>
          <w:lang w:val="en-US"/>
        </w:rPr>
        <w:t>c</w:t>
      </w:r>
      <w:r w:rsidR="00C13B66" w:rsidRPr="001603CF">
        <w:rPr>
          <w:lang w:val="en-US"/>
        </w:rPr>
        <w:t>)</w:t>
      </w:r>
      <w:r w:rsidR="00251043" w:rsidRPr="001603CF">
        <w:rPr>
          <w:lang w:val="en-US"/>
        </w:rPr>
        <w:t xml:space="preserve"> in order to facilitate their widespread adoption in emergency situations</w:t>
      </w:r>
      <w:r w:rsidR="00142B4F" w:rsidRPr="001603CF">
        <w:rPr>
          <w:lang w:val="en-US"/>
        </w:rPr>
        <w:t>.</w:t>
      </w:r>
      <w:r w:rsidR="005E56A9" w:rsidRPr="001603CF">
        <w:rPr>
          <w:lang w:val="en-US"/>
        </w:rPr>
        <w:t xml:space="preserve"> </w:t>
      </w:r>
      <w:r w:rsidR="00251043" w:rsidRPr="001603CF">
        <w:rPr>
          <w:lang w:val="en-US"/>
        </w:rPr>
        <w:t>O</w:t>
      </w:r>
      <w:r w:rsidR="005E56A9" w:rsidRPr="001603CF">
        <w:rPr>
          <w:lang w:val="en-US"/>
        </w:rPr>
        <w:t xml:space="preserve">ur efforts </w:t>
      </w:r>
      <w:r w:rsidR="00251043" w:rsidRPr="001603CF">
        <w:rPr>
          <w:lang w:val="en-US"/>
        </w:rPr>
        <w:t xml:space="preserve">also </w:t>
      </w:r>
      <w:r w:rsidR="004F0DBC" w:rsidRPr="001603CF">
        <w:rPr>
          <w:lang w:val="en-US"/>
        </w:rPr>
        <w:t>aim</w:t>
      </w:r>
      <w:r w:rsidR="00336D02" w:rsidRPr="001603CF">
        <w:rPr>
          <w:lang w:val="en-US"/>
        </w:rPr>
        <w:t xml:space="preserve"> for</w:t>
      </w:r>
      <w:r w:rsidR="004F0DBC" w:rsidRPr="001603CF">
        <w:rPr>
          <w:lang w:val="en-US"/>
        </w:rPr>
        <w:t xml:space="preserve"> </w:t>
      </w:r>
      <w:r w:rsidR="005E56A9" w:rsidRPr="001603CF">
        <w:rPr>
          <w:lang w:val="en-US"/>
        </w:rPr>
        <w:t xml:space="preserve">low toxicity </w:t>
      </w:r>
      <w:r w:rsidR="00AF5080" w:rsidRPr="001603CF">
        <w:rPr>
          <w:lang w:val="en-US"/>
        </w:rPr>
        <w:t xml:space="preserve">and safe process conditions. </w:t>
      </w:r>
      <w:r w:rsidR="00251043" w:rsidRPr="001603CF">
        <w:rPr>
          <w:lang w:val="en-US"/>
        </w:rPr>
        <w:t>In addition, w</w:t>
      </w:r>
      <w:r w:rsidR="00AF5080" w:rsidRPr="001603CF">
        <w:rPr>
          <w:lang w:val="en-US"/>
        </w:rPr>
        <w:t xml:space="preserve">e have </w:t>
      </w:r>
      <w:r w:rsidR="00336D02" w:rsidRPr="001603CF">
        <w:rPr>
          <w:lang w:val="en-US"/>
        </w:rPr>
        <w:t xml:space="preserve">introduced </w:t>
      </w:r>
      <w:r w:rsidR="00AF5080" w:rsidRPr="001603CF">
        <w:rPr>
          <w:lang w:val="en-US"/>
        </w:rPr>
        <w:t xml:space="preserve">innovation </w:t>
      </w:r>
      <w:r w:rsidR="00602FD8" w:rsidRPr="001603CF">
        <w:rPr>
          <w:lang w:val="en-US"/>
        </w:rPr>
        <w:t xml:space="preserve">through the use of advanced computational methods, to both guide and further validate the neutralization processes on actual CWAs </w:t>
      </w:r>
      <w:r w:rsidR="002A795E" w:rsidRPr="001603CF">
        <w:rPr>
          <w:i/>
          <w:lang w:val="en-US"/>
        </w:rPr>
        <w:t>in silico</w:t>
      </w:r>
      <w:r w:rsidR="002A795E" w:rsidRPr="001603CF">
        <w:rPr>
          <w:lang w:val="en-US"/>
        </w:rPr>
        <w:t>.</w:t>
      </w:r>
      <w:r w:rsidR="0065052C" w:rsidRPr="001603CF">
        <w:rPr>
          <w:lang w:val="en-US"/>
        </w:rPr>
        <w:fldChar w:fldCharType="begin" w:fldLock="1"/>
      </w:r>
      <w:r w:rsidR="00864EF1" w:rsidRPr="001603CF">
        <w:rPr>
          <w:lang w:val="en-US"/>
        </w:rPr>
        <w:instrText>ADDIN CSL_CITATION {"citationItems":[{"id":"ITEM-1","itemData":{"DOI":"10.1039/d0gc01142h","ISSN":"1463-9262","abstract":" Intensified chemical neutralization of a chemical warfare agent simulant CEES with air and light under continuous flow conditions.  A low footprint, mobile, robust and frugal chemical neutralization technology is reported for the oxidative neutralization of a mustard gas simulant. It relies on the inherent properties of a highly engineered continuous flow setup and carefully optimized and simple, yet robust, experimental conditions. The neutralization protocol uses only non-toxic, widely available and cheap chemicals. The continuous flow setup integrates a singlet oxygen generator and exploits its oxidative power to neutralize 2-chloroethyl ethyl sulfide ( CEES ), the most common thioether mustard gas simulant. The flow reactor can be connected to either pressurized oxygen or air and handles CEES as a 1 M solution in EtOH containing a trace amount (0.06 mol%) of a non-toxic and widely available photosensitizer (Methylene Blue). Upon irradiation with visible light (orange or white light), total and highly selective neutralization towards the corresponding non-toxic sulfoxide (1-chloro-2-(ethylsulfinyl)ethane, CEESO ) is obtained with reactor effluents containing less than 1% of the corresponding potentially toxic sulfone (1-chloro-2-(ethylsulfonyl)ethane, CEESO2 ). With a low footprint ( L × W × H 94 × 42 × 40 cm), this neutralization technology can be equipped on a vehicle for on-site interventions, localized at a neutralization facility or both. This experimental work is also supported with the computational rationalization of the reactivity of CEES towards singlet oxygen. ","author":[{"dropping-particle":"","family":"Emmanuel","given":"Noémie","non-dropping-particle":"","parse-names":false,"suffix":""},{"dropping-particle":"","family":"Bianchi","given":"Pauline","non-dropping-particle":"","parse-names":false,"suffix":""},{"dropping-particle":"","family":"Legros","given":"Julien","non-dropping-particle":"","parse-names":false,"suffix":""},{"dropping-particle":"","family":"Monbaliu","given":"Jean-Christophe M.","non-dropping-particle":"","parse-names":false,"suffix":""}],"container-title":"Green Chemistry","id":"ITEM-1","issued":{"date-parts":[["2020"]]},"page":"4105-4115","publisher":"Royal Society of Chemistry","title":"A safe and compact flow platform for the neutralization of a mustard gas simulant with air and light","type":"article-journal","volume":"22"},"uris":["http://www.mendeley.com/documents/?uuid=29a3104b-a9d6-4684-978c-391064f597d2"]},{"id":"ITEM-2","itemData":{"DOI":"10.1039/d2gc00458e","ISSN":"14639270","abstract":"Herein, we report the development of a continuous flow generator that produces highly reactive organic hypochlorites for the chemical neutralization of sulfur-based chemical warfare agent (CWA) simulants. The generator relies on resource and equipment with low environmental footprint and uses chemicals that are widely available and cheap. The standard decontamination protocol for sulfur-based CWA “mustard gas” (a.k.a. Yperite or HD) relies on bleach (aqueous sodium hypochlorite) as a convenient oxidative neutralization measure; however, the high lipophilicity of HD causes the formation of micelles and hence superficial and/or unselective detoxification. Aqueous bleach can be rapidly upgraded to more lipophilic organic hypochlorites (MeOCl, EtOCl, iPrOCl and tBuOCl). We demonstrate that the latter readily oxidize simulants of HD (such as chloroethyl ethyl sulfide (CEES)) to the corresponding sulfoxide (CEESO). With a fine tuning of the reaction conditions, the oxidation is nearly instantaneous and prevents the formation of toxic overoxidized sulfones, though organic hypochlorites also contribute to the innocuous chlorination of the neutralized sulfoxide. The assets of continuous flow technology enable the merging of both the upstream hypochlorite generator and the downstream neutralization setup to provide a safe, compact and mobile framework. Some aspects of the reactivity of organic hypochlorites with model sulfur compounds are also discussed by means of computational chemistry (DFT). The flexibility (simple chemicals, liquid feeds and wastes) and efficiency (space time yield = 3.74 kg L−1 h−1) of this protocol outclass other recently reported neutralization procedures in flow.","author":[{"dropping-particle":"","family":"Kassin","given":"Victor Emmanuel H.","non-dropping-particle":"","parse-names":false,"suffix":""},{"dropping-particle":"V.","family":"Silva-Brenes","given":"Diana","non-dropping-particle":"","parse-names":false,"suffix":""},{"dropping-particle":"","family":"Bernard","given":"Thomas","non-dropping-particle":"","parse-names":false,"suffix":""},{"dropping-particle":"","family":"Legros","given":"Julien","non-dropping-particle":"","parse-names":false,"suffix":""},{"dropping-particle":"","family":"Monbaliu","given":"Jean Christophe M.","non-dropping-particle":"","parse-names":false,"suffix":""}],"container-title":"Green Chemistry","id":"ITEM-2","issued":{"date-parts":[["2022"]]},"page":"3167-3179","publisher":"Royal Society of Chemistry","title":"A continuous flow generator of organic hypochlorites for the neutralization of chemical warfare agent simulants","type":"article-journal","volume":"24"},"uris":["http://www.mendeley.com/documents/?uuid=66ce7145-8f4b-497b-b668-b0995dd04a25"]}],"mendeley":{"formattedCitation":"&lt;sup&gt;19,22&lt;/sup&gt;","plainTextFormattedCitation":"19,22","previouslyFormattedCitation":"&lt;sup&gt;19,22&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19,22</w:t>
      </w:r>
      <w:r w:rsidR="0065052C" w:rsidRPr="001603CF">
        <w:rPr>
          <w:lang w:val="en-US"/>
        </w:rPr>
        <w:fldChar w:fldCharType="end"/>
      </w:r>
      <w:r w:rsidR="0065052C" w:rsidRPr="001603CF">
        <w:rPr>
          <w:lang w:val="en-US"/>
        </w:rPr>
        <w:t xml:space="preserve"> </w:t>
      </w:r>
      <w:r w:rsidR="002A795E" w:rsidRPr="001603CF">
        <w:rPr>
          <w:lang w:val="en-US"/>
        </w:rPr>
        <w:t xml:space="preserve">Such </w:t>
      </w:r>
      <w:r w:rsidR="002702BD" w:rsidRPr="001603CF">
        <w:rPr>
          <w:lang w:val="en-US"/>
        </w:rPr>
        <w:t xml:space="preserve">a </w:t>
      </w:r>
      <w:r w:rsidR="002A795E" w:rsidRPr="001603CF">
        <w:rPr>
          <w:lang w:val="en-US"/>
        </w:rPr>
        <w:t xml:space="preserve">multidisciplinary approach offers safer and more sustainable options to address </w:t>
      </w:r>
      <w:r w:rsidR="002C0CC4" w:rsidRPr="001603CF">
        <w:rPr>
          <w:lang w:val="en-US"/>
        </w:rPr>
        <w:t>this</w:t>
      </w:r>
      <w:r w:rsidR="002A795E" w:rsidRPr="001603CF">
        <w:rPr>
          <w:lang w:val="en-US"/>
        </w:rPr>
        <w:t xml:space="preserve"> challenging research area, with limited waste generation and chemical hazard</w:t>
      </w:r>
      <w:r w:rsidR="002702BD" w:rsidRPr="001603CF">
        <w:rPr>
          <w:lang w:val="en-US"/>
        </w:rPr>
        <w:t>s</w:t>
      </w:r>
      <w:r w:rsidR="002A795E" w:rsidRPr="001603CF">
        <w:rPr>
          <w:lang w:val="en-US"/>
        </w:rPr>
        <w:t xml:space="preserve"> for the operators. </w:t>
      </w:r>
      <w:bookmarkStart w:id="1" w:name="_Hlk147499892"/>
      <w:r w:rsidR="00FF53DC" w:rsidRPr="001603CF">
        <w:rPr>
          <w:lang w:val="en-US"/>
        </w:rPr>
        <w:t xml:space="preserve">Despite these innovations, </w:t>
      </w:r>
      <w:r w:rsidR="001C45B1" w:rsidRPr="001603CF">
        <w:rPr>
          <w:lang w:val="en-US"/>
        </w:rPr>
        <w:t xml:space="preserve">we </w:t>
      </w:r>
      <w:r w:rsidR="00906917" w:rsidRPr="001603CF">
        <w:rPr>
          <w:lang w:val="en-US"/>
        </w:rPr>
        <w:t xml:space="preserve">sought to </w:t>
      </w:r>
      <w:r w:rsidR="0032006C" w:rsidRPr="001603CF">
        <w:rPr>
          <w:lang w:val="en-US"/>
        </w:rPr>
        <w:t xml:space="preserve">further </w:t>
      </w:r>
      <w:r w:rsidR="00906917" w:rsidRPr="001603CF">
        <w:rPr>
          <w:lang w:val="en-US"/>
        </w:rPr>
        <w:t xml:space="preserve">improve the overall neutralization efficiency with extremely </w:t>
      </w:r>
      <w:r w:rsidR="00310C77" w:rsidRPr="001603CF">
        <w:rPr>
          <w:lang w:val="en-US"/>
        </w:rPr>
        <w:t xml:space="preserve">short </w:t>
      </w:r>
      <w:r w:rsidR="00906917" w:rsidRPr="001603CF">
        <w:rPr>
          <w:lang w:val="en-US"/>
        </w:rPr>
        <w:t>reaction times</w:t>
      </w:r>
      <w:r w:rsidR="002E14BA" w:rsidRPr="001603CF">
        <w:rPr>
          <w:lang w:val="en-US"/>
        </w:rPr>
        <w:t xml:space="preserve"> </w:t>
      </w:r>
      <w:r w:rsidR="00FF53DC" w:rsidRPr="001603CF">
        <w:rPr>
          <w:lang w:val="en-US"/>
        </w:rPr>
        <w:t xml:space="preserve">and </w:t>
      </w:r>
      <w:r w:rsidR="002E14BA" w:rsidRPr="001603CF">
        <w:rPr>
          <w:lang w:val="en-US"/>
        </w:rPr>
        <w:t>additive-</w:t>
      </w:r>
      <w:r w:rsidR="00310C77" w:rsidRPr="001603CF">
        <w:rPr>
          <w:lang w:val="en-US"/>
        </w:rPr>
        <w:t xml:space="preserve">, </w:t>
      </w:r>
      <w:r w:rsidR="00FF53DC" w:rsidRPr="001603CF">
        <w:rPr>
          <w:lang w:val="en-US"/>
        </w:rPr>
        <w:t>catalyst</w:t>
      </w:r>
      <w:r w:rsidR="002E14BA" w:rsidRPr="001603CF">
        <w:rPr>
          <w:lang w:val="en-US"/>
        </w:rPr>
        <w:t>-free</w:t>
      </w:r>
      <w:r w:rsidR="00FF53DC" w:rsidRPr="001603CF">
        <w:rPr>
          <w:lang w:val="en-US"/>
        </w:rPr>
        <w:t xml:space="preserve"> procedures to ease their implementation </w:t>
      </w:r>
      <w:r w:rsidR="00310C77" w:rsidRPr="001603CF">
        <w:rPr>
          <w:lang w:val="en-US"/>
        </w:rPr>
        <w:t xml:space="preserve">for </w:t>
      </w:r>
      <w:r w:rsidR="00FF53DC" w:rsidRPr="001603CF">
        <w:rPr>
          <w:lang w:val="en-US"/>
        </w:rPr>
        <w:t>emergency situations.</w:t>
      </w:r>
      <w:bookmarkEnd w:id="1"/>
    </w:p>
    <w:p w14:paraId="20699534" w14:textId="08442A19" w:rsidR="008274DF" w:rsidRPr="001603CF" w:rsidRDefault="008558F4" w:rsidP="00FF53DC">
      <w:pPr>
        <w:pStyle w:val="RSCI03FigureSchemeChartUncaptioned"/>
        <w:jc w:val="both"/>
        <w:rPr>
          <w:lang w:val="en-US"/>
        </w:rPr>
      </w:pPr>
      <w:r w:rsidRPr="001603CF">
        <w:rPr>
          <w:b/>
          <w:noProof/>
          <w:lang w:val="en-US"/>
        </w:rPr>
        <w:drawing>
          <wp:inline distT="0" distB="0" distL="0" distR="0" wp14:anchorId="3A0FC93D" wp14:editId="3F947249">
            <wp:extent cx="3168015" cy="43338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4333875"/>
                    </a:xfrm>
                    <a:prstGeom prst="rect">
                      <a:avLst/>
                    </a:prstGeom>
                  </pic:spPr>
                </pic:pic>
              </a:graphicData>
            </a:graphic>
          </wp:inline>
        </w:drawing>
      </w:r>
      <w:r w:rsidR="008274DF" w:rsidRPr="001603CF">
        <w:rPr>
          <w:b/>
          <w:lang w:val="en-US"/>
        </w:rPr>
        <w:t xml:space="preserve">Fig. 1. </w:t>
      </w:r>
      <w:r w:rsidR="000F5B29" w:rsidRPr="001603CF">
        <w:rPr>
          <w:lang w:val="en-US"/>
        </w:rPr>
        <w:t>P</w:t>
      </w:r>
      <w:r w:rsidR="008274DF" w:rsidRPr="001603CF">
        <w:rPr>
          <w:lang w:val="en-US"/>
        </w:rPr>
        <w:t xml:space="preserve">rotocols for the chemical neutralization of </w:t>
      </w:r>
      <w:r w:rsidR="008274DF" w:rsidRPr="001603CF">
        <w:rPr>
          <w:b/>
          <w:lang w:val="en-US"/>
        </w:rPr>
        <w:t>HD</w:t>
      </w:r>
      <w:r w:rsidR="008274DF" w:rsidRPr="001603CF">
        <w:rPr>
          <w:lang w:val="en-US"/>
        </w:rPr>
        <w:t xml:space="preserve"> and stimulants.</w:t>
      </w:r>
      <w:r w:rsidR="00966362" w:rsidRPr="001603CF">
        <w:rPr>
          <w:lang w:val="en-US"/>
        </w:rPr>
        <w:t xml:space="preserve"> (</w:t>
      </w:r>
      <w:r w:rsidR="00966362" w:rsidRPr="001603CF">
        <w:rPr>
          <w:b/>
          <w:u w:val="single"/>
          <w:lang w:val="en-US"/>
        </w:rPr>
        <w:t>N</w:t>
      </w:r>
      <w:r w:rsidR="00966362" w:rsidRPr="001603CF">
        <w:rPr>
          <w:lang w:val="en-US"/>
        </w:rPr>
        <w:t>) refers to neutralized, low toxicity species, while (</w:t>
      </w:r>
      <w:r w:rsidR="00966362" w:rsidRPr="001603CF">
        <w:rPr>
          <w:b/>
          <w:u w:val="single"/>
          <w:lang w:val="en-US"/>
        </w:rPr>
        <w:t>T</w:t>
      </w:r>
      <w:r w:rsidR="00966362" w:rsidRPr="001603CF">
        <w:rPr>
          <w:lang w:val="en-US"/>
        </w:rPr>
        <w:t>) refers to toxic byproducts.</w:t>
      </w:r>
      <w:r w:rsidR="008274DF" w:rsidRPr="001603CF">
        <w:rPr>
          <w:lang w:val="en-US"/>
        </w:rPr>
        <w:t xml:space="preserve"> </w:t>
      </w:r>
      <w:r w:rsidR="008274DF" w:rsidRPr="001603CF">
        <w:rPr>
          <w:b/>
          <w:lang w:val="en-US"/>
        </w:rPr>
        <w:t>(a)</w:t>
      </w:r>
      <w:r w:rsidR="008274DF" w:rsidRPr="001603CF">
        <w:rPr>
          <w:lang w:val="en-US"/>
        </w:rPr>
        <w:t xml:space="preserve"> </w:t>
      </w:r>
      <w:r w:rsidR="00067011" w:rsidRPr="001603CF">
        <w:rPr>
          <w:lang w:val="en-US"/>
        </w:rPr>
        <w:t xml:space="preserve">Structure of </w:t>
      </w:r>
      <w:r w:rsidR="00067011" w:rsidRPr="001603CF">
        <w:rPr>
          <w:b/>
          <w:lang w:val="en-US"/>
        </w:rPr>
        <w:t>HD</w:t>
      </w:r>
      <w:r w:rsidR="001F6AFF" w:rsidRPr="001603CF">
        <w:rPr>
          <w:lang w:val="en-US"/>
        </w:rPr>
        <w:t>, its toxic episulfonium derivati</w:t>
      </w:r>
      <w:r w:rsidR="00FC11B6" w:rsidRPr="001603CF">
        <w:rPr>
          <w:lang w:val="en-US"/>
        </w:rPr>
        <w:t>v</w:t>
      </w:r>
      <w:r w:rsidR="001F6AFF" w:rsidRPr="001603CF">
        <w:rPr>
          <w:lang w:val="en-US"/>
        </w:rPr>
        <w:t>e (</w:t>
      </w:r>
      <w:r w:rsidR="001F6AFF" w:rsidRPr="001603CF">
        <w:rPr>
          <w:b/>
          <w:lang w:val="en-US"/>
        </w:rPr>
        <w:t>epi-HD</w:t>
      </w:r>
      <w:r w:rsidR="001F6AFF" w:rsidRPr="001603CF">
        <w:rPr>
          <w:lang w:val="en-US"/>
        </w:rPr>
        <w:t>)</w:t>
      </w:r>
      <w:r w:rsidR="000D0FF5" w:rsidRPr="001603CF">
        <w:rPr>
          <w:lang w:val="en-US"/>
        </w:rPr>
        <w:t>,</w:t>
      </w:r>
      <w:r w:rsidR="001F6AFF" w:rsidRPr="001603CF">
        <w:rPr>
          <w:lang w:val="en-US"/>
        </w:rPr>
        <w:t xml:space="preserve"> and widely accepted</w:t>
      </w:r>
      <w:r w:rsidR="00FC11B6" w:rsidRPr="001603CF">
        <w:rPr>
          <w:lang w:val="en-US"/>
        </w:rPr>
        <w:t xml:space="preserve"> lower toxicity</w:t>
      </w:r>
      <w:r w:rsidR="001F6AFF" w:rsidRPr="001603CF">
        <w:rPr>
          <w:lang w:val="en-US"/>
        </w:rPr>
        <w:t xml:space="preserve"> simulants (</w:t>
      </w:r>
      <w:r w:rsidR="001F6AFF" w:rsidRPr="001603CF">
        <w:rPr>
          <w:b/>
          <w:lang w:val="en-US"/>
        </w:rPr>
        <w:t xml:space="preserve">CEES </w:t>
      </w:r>
      <w:r w:rsidR="001F6AFF" w:rsidRPr="001603CF">
        <w:rPr>
          <w:lang w:val="en-US"/>
        </w:rPr>
        <w:t xml:space="preserve">and </w:t>
      </w:r>
      <w:r w:rsidR="001F6AFF" w:rsidRPr="001603CF">
        <w:rPr>
          <w:b/>
          <w:lang w:val="en-US"/>
        </w:rPr>
        <w:t>CEPS</w:t>
      </w:r>
      <w:r w:rsidR="001F6AFF" w:rsidRPr="001603CF">
        <w:rPr>
          <w:lang w:val="en-US"/>
        </w:rPr>
        <w:t>)</w:t>
      </w:r>
      <w:r w:rsidR="008274DF" w:rsidRPr="001603CF">
        <w:rPr>
          <w:lang w:val="en-US"/>
        </w:rPr>
        <w:t>.</w:t>
      </w:r>
      <w:r w:rsidR="001F6AFF" w:rsidRPr="001603CF">
        <w:rPr>
          <w:lang w:val="en-US"/>
        </w:rPr>
        <w:t xml:space="preserve"> </w:t>
      </w:r>
      <w:r w:rsidR="008274DF" w:rsidRPr="001603CF">
        <w:rPr>
          <w:b/>
          <w:lang w:val="en-US"/>
        </w:rPr>
        <w:t>(b)</w:t>
      </w:r>
      <w:r w:rsidR="008274DF" w:rsidRPr="001603CF">
        <w:rPr>
          <w:lang w:val="en-US"/>
        </w:rPr>
        <w:t xml:space="preserve"> </w:t>
      </w:r>
      <w:r w:rsidR="001F6AFF" w:rsidRPr="001603CF">
        <w:rPr>
          <w:lang w:val="en-US"/>
        </w:rPr>
        <w:t xml:space="preserve">General protocols </w:t>
      </w:r>
      <w:r w:rsidR="00E133BC" w:rsidRPr="001603CF">
        <w:rPr>
          <w:lang w:val="en-US"/>
        </w:rPr>
        <w:t xml:space="preserve">for the neutralization of </w:t>
      </w:r>
      <w:r w:rsidR="00E133BC" w:rsidRPr="001603CF">
        <w:rPr>
          <w:b/>
          <w:lang w:val="en-US"/>
        </w:rPr>
        <w:t xml:space="preserve">HD </w:t>
      </w:r>
      <w:r w:rsidR="00E133BC" w:rsidRPr="001603CF">
        <w:rPr>
          <w:lang w:val="en-US"/>
        </w:rPr>
        <w:t xml:space="preserve">and simulants, including solvolysis, dehydrochlorination and oxidation. </w:t>
      </w:r>
      <w:r w:rsidR="008274DF" w:rsidRPr="001603CF">
        <w:rPr>
          <w:b/>
          <w:lang w:val="en-US"/>
        </w:rPr>
        <w:t>(c)</w:t>
      </w:r>
      <w:r w:rsidR="00E133BC" w:rsidRPr="001603CF">
        <w:rPr>
          <w:lang w:val="en-US"/>
        </w:rPr>
        <w:t xml:space="preserve"> Continuous flow oxidative neutralization</w:t>
      </w:r>
      <w:r w:rsidR="008274DF" w:rsidRPr="001603CF">
        <w:rPr>
          <w:lang w:val="en-US"/>
        </w:rPr>
        <w:t xml:space="preserve"> </w:t>
      </w:r>
      <w:r w:rsidR="00E133BC" w:rsidRPr="001603CF">
        <w:rPr>
          <w:lang w:val="en-US"/>
        </w:rPr>
        <w:t xml:space="preserve">processes </w:t>
      </w:r>
      <w:r w:rsidR="00C27187" w:rsidRPr="001603CF">
        <w:rPr>
          <w:lang w:val="en-US"/>
        </w:rPr>
        <w:t>using either (photo)catalytic or stoichiometric conditions</w:t>
      </w:r>
      <w:r w:rsidR="00EF2413" w:rsidRPr="001603CF">
        <w:rPr>
          <w:lang w:val="en-US"/>
        </w:rPr>
        <w:t xml:space="preserve">. The main strategy presented in this communication is illustrated. </w:t>
      </w:r>
    </w:p>
    <w:p w14:paraId="570C6465" w14:textId="6C7D4807" w:rsidR="003A2342" w:rsidRPr="001603CF" w:rsidRDefault="00801A4A">
      <w:pPr>
        <w:pStyle w:val="RSCB02ArticleText"/>
        <w:ind w:firstLine="284"/>
        <w:rPr>
          <w:lang w:val="en-US"/>
        </w:rPr>
      </w:pPr>
      <w:r w:rsidRPr="001603CF">
        <w:rPr>
          <w:lang w:val="en-US"/>
        </w:rPr>
        <w:t xml:space="preserve">In this communication, we present a highly effective and sustainable protocol for the oxidative neutralization of </w:t>
      </w:r>
      <w:r w:rsidRPr="001603CF">
        <w:rPr>
          <w:b/>
          <w:lang w:val="en-US"/>
        </w:rPr>
        <w:t>HD</w:t>
      </w:r>
      <w:r w:rsidRPr="001603CF">
        <w:rPr>
          <w:lang w:val="en-US"/>
        </w:rPr>
        <w:t xml:space="preserve"> simulants utilizing ozone </w:t>
      </w:r>
      <w:r w:rsidR="009C13DD" w:rsidRPr="001603CF">
        <w:rPr>
          <w:lang w:val="en-US"/>
        </w:rPr>
        <w:t>under continuous flow conditions</w:t>
      </w:r>
      <w:r w:rsidRPr="001603CF">
        <w:rPr>
          <w:lang w:val="en-US"/>
        </w:rPr>
        <w:t xml:space="preserve">. The </w:t>
      </w:r>
      <w:r w:rsidRPr="001603CF">
        <w:rPr>
          <w:lang w:val="en-US"/>
        </w:rPr>
        <w:t>generation of ozone directly from compressed</w:t>
      </w:r>
      <w:r w:rsidR="0077723F" w:rsidRPr="001603CF">
        <w:rPr>
          <w:lang w:val="en-US"/>
        </w:rPr>
        <w:t xml:space="preserve"> </w:t>
      </w:r>
      <w:r w:rsidRPr="001603CF">
        <w:rPr>
          <w:lang w:val="en-US"/>
        </w:rPr>
        <w:t xml:space="preserve">oxygen obviates the need for supplementary additives or catalysts, thereby </w:t>
      </w:r>
      <w:r w:rsidR="00336D02" w:rsidRPr="001603CF">
        <w:rPr>
          <w:lang w:val="en-US"/>
        </w:rPr>
        <w:t>fully harnessing its inherent oxidative potential</w:t>
      </w:r>
      <w:r w:rsidRPr="001603CF">
        <w:rPr>
          <w:lang w:val="en-US"/>
        </w:rPr>
        <w:t xml:space="preserve">. Our initial exploration encompassed </w:t>
      </w:r>
      <w:r w:rsidRPr="001603CF">
        <w:rPr>
          <w:i/>
          <w:lang w:val="en-US"/>
        </w:rPr>
        <w:t>in silico</w:t>
      </w:r>
      <w:r w:rsidRPr="001603CF">
        <w:rPr>
          <w:lang w:val="en-US"/>
        </w:rPr>
        <w:t xml:space="preserve"> analyses using a DFT protocol, </w:t>
      </w:r>
      <w:r w:rsidR="00F175DA" w:rsidRPr="001603CF">
        <w:rPr>
          <w:lang w:val="en-US"/>
        </w:rPr>
        <w:t xml:space="preserve">to </w:t>
      </w:r>
      <w:r w:rsidRPr="001603CF">
        <w:rPr>
          <w:lang w:val="en-US"/>
        </w:rPr>
        <w:t>elucidat</w:t>
      </w:r>
      <w:r w:rsidR="00F175DA" w:rsidRPr="001603CF">
        <w:rPr>
          <w:lang w:val="en-US"/>
        </w:rPr>
        <w:t>e</w:t>
      </w:r>
      <w:r w:rsidRPr="001603CF">
        <w:rPr>
          <w:lang w:val="en-US"/>
        </w:rPr>
        <w:t xml:space="preserve"> the mechanism, selectivity, and intrinsic </w:t>
      </w:r>
      <w:r w:rsidR="00751A64" w:rsidRPr="001603CF">
        <w:rPr>
          <w:lang w:val="en-US"/>
        </w:rPr>
        <w:t>features</w:t>
      </w:r>
      <w:r w:rsidRPr="001603CF">
        <w:rPr>
          <w:lang w:val="en-US"/>
        </w:rPr>
        <w:t xml:space="preserve">. Additionally, we </w:t>
      </w:r>
      <w:r w:rsidR="002F3DDD" w:rsidRPr="001603CF">
        <w:rPr>
          <w:lang w:val="en-US"/>
        </w:rPr>
        <w:t xml:space="preserve">illustrate </w:t>
      </w:r>
      <w:r w:rsidR="005B41C2" w:rsidRPr="001603CF">
        <w:rPr>
          <w:lang w:val="en-US"/>
        </w:rPr>
        <w:t xml:space="preserve">a rational </w:t>
      </w:r>
      <w:r w:rsidRPr="001603CF">
        <w:rPr>
          <w:lang w:val="en-US"/>
        </w:rPr>
        <w:t xml:space="preserve">selection process for low toxicity simulants of </w:t>
      </w:r>
      <w:r w:rsidRPr="001603CF">
        <w:rPr>
          <w:b/>
          <w:lang w:val="en-US"/>
        </w:rPr>
        <w:t>HD</w:t>
      </w:r>
      <w:r w:rsidRPr="001603CF">
        <w:rPr>
          <w:lang w:val="en-US"/>
        </w:rPr>
        <w:t xml:space="preserve"> employing conceptual DFT to identify thioethers with analogous chemical behavior while mitigating the </w:t>
      </w:r>
      <w:r w:rsidR="00F175DA" w:rsidRPr="001603CF">
        <w:rPr>
          <w:lang w:val="en-US"/>
        </w:rPr>
        <w:t xml:space="preserve">legal </w:t>
      </w:r>
      <w:r w:rsidRPr="001603CF">
        <w:rPr>
          <w:lang w:val="en-US"/>
        </w:rPr>
        <w:t xml:space="preserve">and toxicity </w:t>
      </w:r>
      <w:r w:rsidR="00F175DA" w:rsidRPr="001603CF">
        <w:rPr>
          <w:lang w:val="en-US"/>
        </w:rPr>
        <w:t xml:space="preserve">concerns </w:t>
      </w:r>
      <w:r w:rsidRPr="001603CF">
        <w:rPr>
          <w:lang w:val="en-US"/>
        </w:rPr>
        <w:t xml:space="preserve">associated with </w:t>
      </w:r>
      <w:r w:rsidRPr="001603CF">
        <w:rPr>
          <w:b/>
          <w:lang w:val="en-US"/>
        </w:rPr>
        <w:t>HD</w:t>
      </w:r>
      <w:r w:rsidRPr="001603CF">
        <w:rPr>
          <w:lang w:val="en-US"/>
        </w:rPr>
        <w:t xml:space="preserve">. Computational profiles and kinetics of reactions </w:t>
      </w:r>
      <w:r w:rsidRPr="001603CF">
        <w:rPr>
          <w:i/>
          <w:lang w:val="en-US"/>
        </w:rPr>
        <w:t>in silico</w:t>
      </w:r>
      <w:r w:rsidRPr="001603CF">
        <w:rPr>
          <w:lang w:val="en-US"/>
        </w:rPr>
        <w:t xml:space="preserve"> were computed to </w:t>
      </w:r>
      <w:r w:rsidR="005B41C2" w:rsidRPr="001603CF">
        <w:rPr>
          <w:lang w:val="en-US"/>
        </w:rPr>
        <w:t>emphasize</w:t>
      </w:r>
      <w:r w:rsidR="003A2342" w:rsidRPr="001603CF">
        <w:rPr>
          <w:lang w:val="en-US"/>
        </w:rPr>
        <w:t xml:space="preserve"> the most influential parameters driving </w:t>
      </w:r>
      <w:r w:rsidRPr="001603CF">
        <w:rPr>
          <w:lang w:val="en-US"/>
        </w:rPr>
        <w:t xml:space="preserve">selectivity and preventing the formation of toxic </w:t>
      </w:r>
      <w:r w:rsidR="003A2342" w:rsidRPr="001603CF">
        <w:rPr>
          <w:lang w:val="en-US"/>
        </w:rPr>
        <w:t xml:space="preserve">overoxidized </w:t>
      </w:r>
      <w:r w:rsidRPr="001603CF">
        <w:rPr>
          <w:lang w:val="en-US"/>
        </w:rPr>
        <w:t>by-products</w:t>
      </w:r>
      <w:r w:rsidR="003A2342" w:rsidRPr="001603CF">
        <w:rPr>
          <w:lang w:val="en-US"/>
        </w:rPr>
        <w:t xml:space="preserve"> (</w:t>
      </w:r>
      <w:r w:rsidRPr="001603CF">
        <w:rPr>
          <w:lang w:val="en-US"/>
        </w:rPr>
        <w:t>sulfone derivatives</w:t>
      </w:r>
      <w:r w:rsidR="003A2342" w:rsidRPr="001603CF">
        <w:rPr>
          <w:lang w:val="en-US"/>
        </w:rPr>
        <w:t>)</w:t>
      </w:r>
      <w:r w:rsidRPr="001603CF">
        <w:rPr>
          <w:lang w:val="en-US"/>
        </w:rPr>
        <w:t xml:space="preserve">. </w:t>
      </w:r>
      <w:r w:rsidR="003F0A5A" w:rsidRPr="001603CF">
        <w:rPr>
          <w:lang w:val="en-US"/>
        </w:rPr>
        <w:t xml:space="preserve"> </w:t>
      </w:r>
      <w:r w:rsidR="003A2342" w:rsidRPr="001603CF">
        <w:rPr>
          <w:lang w:val="en-US"/>
        </w:rPr>
        <w:t xml:space="preserve">The computational work </w:t>
      </w:r>
      <w:r w:rsidR="00F97779" w:rsidRPr="001603CF">
        <w:rPr>
          <w:lang w:val="en-US"/>
        </w:rPr>
        <w:t>wa</w:t>
      </w:r>
      <w:r w:rsidR="003A2342" w:rsidRPr="001603CF">
        <w:rPr>
          <w:lang w:val="en-US"/>
        </w:rPr>
        <w:t xml:space="preserve">s next translated to actual neutralization experiments </w:t>
      </w:r>
      <w:r w:rsidR="00FE7379" w:rsidRPr="001603CF">
        <w:rPr>
          <w:lang w:val="en-US"/>
        </w:rPr>
        <w:t xml:space="preserve">conducted </w:t>
      </w:r>
      <w:r w:rsidR="003A2342" w:rsidRPr="001603CF">
        <w:rPr>
          <w:lang w:val="en-US"/>
        </w:rPr>
        <w:t xml:space="preserve">under flow conditions, </w:t>
      </w:r>
      <w:r w:rsidR="00FE7379" w:rsidRPr="001603CF">
        <w:rPr>
          <w:lang w:val="en-US"/>
        </w:rPr>
        <w:t xml:space="preserve">yielding </w:t>
      </w:r>
      <w:r w:rsidR="003A2342" w:rsidRPr="001603CF">
        <w:rPr>
          <w:lang w:val="en-US"/>
        </w:rPr>
        <w:t xml:space="preserve">unprecedently fast neutralization rates (full neutralization within </w:t>
      </w:r>
      <w:r w:rsidR="00FE7379" w:rsidRPr="001603CF">
        <w:rPr>
          <w:lang w:val="en-US"/>
        </w:rPr>
        <w:t>a mere</w:t>
      </w:r>
      <w:r w:rsidR="003A2342" w:rsidRPr="001603CF">
        <w:rPr>
          <w:lang w:val="en-US"/>
        </w:rPr>
        <w:t xml:space="preserve"> second)</w:t>
      </w:r>
      <w:r w:rsidR="00FE7379" w:rsidRPr="001603CF">
        <w:rPr>
          <w:lang w:val="en-US"/>
        </w:rPr>
        <w:t>.</w:t>
      </w:r>
      <w:r w:rsidR="003A2342" w:rsidRPr="001603CF">
        <w:rPr>
          <w:lang w:val="en-US"/>
        </w:rPr>
        <w:t xml:space="preserve"> </w:t>
      </w:r>
      <w:r w:rsidR="00C37811" w:rsidRPr="001603CF">
        <w:rPr>
          <w:lang w:val="en-US"/>
        </w:rPr>
        <w:t xml:space="preserve">We believe that this multidisciplinary approach </w:t>
      </w:r>
      <w:r w:rsidR="00C712B2" w:rsidRPr="001603CF">
        <w:rPr>
          <w:lang w:val="en-US"/>
        </w:rPr>
        <w:t>surpasses</w:t>
      </w:r>
      <w:r w:rsidR="00C37811" w:rsidRPr="001603CF">
        <w:rPr>
          <w:lang w:val="en-US"/>
        </w:rPr>
        <w:t xml:space="preserve"> existing protocols that rely exclusive</w:t>
      </w:r>
      <w:r w:rsidR="007F58B7" w:rsidRPr="001603CF">
        <w:rPr>
          <w:lang w:val="en-US"/>
        </w:rPr>
        <w:t>ly on</w:t>
      </w:r>
      <w:r w:rsidR="00C37811" w:rsidRPr="001603CF">
        <w:rPr>
          <w:lang w:val="en-US"/>
        </w:rPr>
        <w:t xml:space="preserve"> experimental data or on cheminformatics</w:t>
      </w:r>
      <w:r w:rsidR="00683BB6" w:rsidRPr="001603CF">
        <w:rPr>
          <w:lang w:val="en-US"/>
        </w:rPr>
        <w:t xml:space="preserve"> protocols.</w:t>
      </w:r>
      <w:r w:rsidR="00983A42" w:rsidRPr="001603CF">
        <w:rPr>
          <w:lang w:val="en-US"/>
        </w:rPr>
        <w:fldChar w:fldCharType="begin" w:fldLock="1"/>
      </w:r>
      <w:r w:rsidR="00864EF1" w:rsidRPr="001603CF">
        <w:rPr>
          <w:lang w:val="en-US"/>
        </w:rPr>
        <w:instrText>ADDIN CSL_CITATION {"citationItems":[{"id":"ITEM-1","itemData":{"DOI":"10.1016/j.jhazmat.2011.07.077","ISSN":"03043894","PMID":"21872989","abstract":"Direct experimentation with chemical warfare agents (CWA) to study important problems such as their permeation across protective barrier materials, decontamination of equipment and facilities, or the environmental transport and fate of CWAs is not feasible because of the obvious toxicity of the CWAs and associated restrictions on their laboratory use. The common practice is to use \" simulants,\" namely, analogous chemicals that closely resemble the CWAs but are less toxic, with the expectation that the results attained for simulants can be correlated to how the CWAs would perform. Simulants have been traditionally chosen by experts, by means of intuition, using similarity in one or more physical properties (such as vapor pressure or aqueous solubility) or in the molecular structural features (such as functional groups) between the stimulant and the CWA. This work is designed to automate the simulant identification process backed by quantitative metrics, by means of chemical similarity search software routinely used in pharmaceutical drug discovery. The question addressed here is: By the metrics of such software, how similar are traditional simulants to CWAs? That is, what is the numerical \" distance\" between each CWA and its customary simulants in the quantitative space of molecular descriptors? The answers show promise for finding close but less toxic simulants for the ever-increasing numbers of CWAs objectively and fast. © 2011.","author":[{"dropping-particle":"","family":"Lavoie","given":"J.","non-dropping-particle":"","parse-names":false,"suffix":""},{"dropping-particle":"","family":"Srinivasan","given":"Sree","non-dropping-particle":"","parse-names":false,"suffix":""},{"dropping-particle":"","family":"Nagarajan","given":"R.","non-dropping-particle":"","parse-names":false,"suffix":""}],"container-title":"Journal of Hazardous Materials","id":"ITEM-1","issued":{"date-parts":[["2011"]]},"page":"85-91","publisher":"Elsevier B.V.","title":"Using cheminformatics to find simulants for chemical warfare agents","type":"article-journal","volume":"194"},"uris":["http://www.mendeley.com/documents/?uuid=7fe905d5-fd98-427f-b0ed-7849331cff82"]}],"mendeley":{"formattedCitation":"&lt;sup&gt;23&lt;/sup&gt;","plainTextFormattedCitation":"23","previouslyFormattedCitation":"&lt;sup&gt;23&lt;/sup&gt;"},"properties":{"noteIndex":0},"schema":"https://github.com/citation-style-language/schema/raw/master/csl-citation.json"}</w:instrText>
      </w:r>
      <w:r w:rsidR="00983A42" w:rsidRPr="001603CF">
        <w:rPr>
          <w:lang w:val="en-US"/>
        </w:rPr>
        <w:fldChar w:fldCharType="separate"/>
      </w:r>
      <w:r w:rsidR="00864EF1" w:rsidRPr="001603CF">
        <w:rPr>
          <w:noProof/>
          <w:vertAlign w:val="superscript"/>
          <w:lang w:val="en-US"/>
        </w:rPr>
        <w:t>23</w:t>
      </w:r>
      <w:r w:rsidR="00983A42" w:rsidRPr="001603CF">
        <w:rPr>
          <w:lang w:val="en-US"/>
        </w:rPr>
        <w:fldChar w:fldCharType="end"/>
      </w:r>
    </w:p>
    <w:p w14:paraId="7D1E54CA" w14:textId="77777777" w:rsidR="00DF3A0F" w:rsidRPr="001603CF" w:rsidRDefault="00DF3A0F">
      <w:pPr>
        <w:pStyle w:val="RSCB04AHeadingSection"/>
        <w:rPr>
          <w:lang w:val="en-US"/>
        </w:rPr>
      </w:pPr>
      <w:r w:rsidRPr="001603CF">
        <w:rPr>
          <w:lang w:val="en-US"/>
        </w:rPr>
        <w:t>Experimental Section</w:t>
      </w:r>
    </w:p>
    <w:p w14:paraId="0FA7CE89" w14:textId="57729671" w:rsidR="00DF3A0F" w:rsidRPr="001603CF" w:rsidRDefault="00DF3A0F">
      <w:pPr>
        <w:pStyle w:val="RSCB06BHeadingSub-Section"/>
        <w:rPr>
          <w:lang w:val="en-US"/>
        </w:rPr>
      </w:pPr>
      <w:r w:rsidRPr="001603CF">
        <w:rPr>
          <w:lang w:val="en-US"/>
        </w:rPr>
        <w:t>General information</w:t>
      </w:r>
    </w:p>
    <w:p w14:paraId="6DD4D1E8" w14:textId="3822FA1E" w:rsidR="00D702D9" w:rsidRPr="001603CF" w:rsidRDefault="007F58B7">
      <w:pPr>
        <w:pStyle w:val="RSCB02ArticleText"/>
        <w:rPr>
          <w:lang w:val="en-US"/>
        </w:rPr>
      </w:pPr>
      <w:bookmarkStart w:id="2" w:name="_Hlk142903869"/>
      <w:r w:rsidRPr="001603CF">
        <w:rPr>
          <w:lang w:val="en-US"/>
        </w:rPr>
        <w:t xml:space="preserve">Samples were analyzed </w:t>
      </w:r>
      <w:r w:rsidR="00D702D9" w:rsidRPr="001603CF">
        <w:rPr>
          <w:lang w:val="en-US"/>
        </w:rPr>
        <w:t>by Gas Chromatography</w:t>
      </w:r>
      <w:r w:rsidR="00D702D9" w:rsidRPr="001603CF">
        <w:rPr>
          <w:b/>
          <w:lang w:val="en-US"/>
        </w:rPr>
        <w:t xml:space="preserve"> </w:t>
      </w:r>
      <w:r w:rsidR="00D702D9" w:rsidRPr="001603CF">
        <w:rPr>
          <w:lang w:val="en-US"/>
        </w:rPr>
        <w:t>coupled to Flame Ionization Detection (GC-FID</w:t>
      </w:r>
      <w:r w:rsidR="00F97779" w:rsidRPr="001603CF">
        <w:rPr>
          <w:lang w:val="en-US"/>
        </w:rPr>
        <w:t>, Shimadzu GC-2014</w:t>
      </w:r>
      <w:r w:rsidR="00D702D9" w:rsidRPr="001603CF">
        <w:rPr>
          <w:lang w:val="en-US"/>
        </w:rPr>
        <w:t>) or by High Performance Liquid Chromatography coupled to Diode-Array Detection (HPLC-DAD</w:t>
      </w:r>
      <w:r w:rsidR="00EE6022" w:rsidRPr="001603CF">
        <w:rPr>
          <w:lang w:val="en-US"/>
        </w:rPr>
        <w:t>, Shimadzu Prominence LC-2030 3D</w:t>
      </w:r>
      <w:r w:rsidR="00D702D9" w:rsidRPr="001603CF">
        <w:rPr>
          <w:lang w:val="en-US"/>
        </w:rPr>
        <w:t xml:space="preserve">). Structural identity was confirmed by </w:t>
      </w:r>
      <w:r w:rsidR="00D702D9" w:rsidRPr="001603CF">
        <w:rPr>
          <w:vertAlign w:val="superscript"/>
          <w:lang w:val="en-US"/>
        </w:rPr>
        <w:t>1</w:t>
      </w:r>
      <w:r w:rsidR="00D702D9" w:rsidRPr="001603CF">
        <w:rPr>
          <w:lang w:val="en-US"/>
        </w:rPr>
        <w:t xml:space="preserve">H and </w:t>
      </w:r>
      <w:r w:rsidR="00D702D9" w:rsidRPr="001603CF">
        <w:rPr>
          <w:vertAlign w:val="superscript"/>
          <w:lang w:val="en-US"/>
        </w:rPr>
        <w:t>13</w:t>
      </w:r>
      <w:r w:rsidR="00D702D9" w:rsidRPr="001603CF">
        <w:rPr>
          <w:lang w:val="en-US"/>
        </w:rPr>
        <w:t>C NMR spectroscopy (400 MHz Bruker Avance spectrometer)</w:t>
      </w:r>
      <w:r w:rsidR="00F645C4" w:rsidRPr="001603CF">
        <w:rPr>
          <w:lang w:val="en-US"/>
        </w:rPr>
        <w:t>,</w:t>
      </w:r>
      <w:r w:rsidR="00CF1DCB" w:rsidRPr="001603CF">
        <w:rPr>
          <w:lang w:val="en-US"/>
        </w:rPr>
        <w:t xml:space="preserve"> and</w:t>
      </w:r>
      <w:r w:rsidR="00D702D9" w:rsidRPr="001603CF">
        <w:rPr>
          <w:lang w:val="en-US"/>
        </w:rPr>
        <w:t xml:space="preserve"> by GC-MS (Supporting Information, Section </w:t>
      </w:r>
      <w:r w:rsidR="00A13254" w:rsidRPr="001603CF">
        <w:rPr>
          <w:lang w:val="en-US"/>
        </w:rPr>
        <w:t>6</w:t>
      </w:r>
      <w:r w:rsidR="00D702D9" w:rsidRPr="001603CF">
        <w:rPr>
          <w:lang w:val="en-US"/>
        </w:rPr>
        <w:t xml:space="preserve">). </w:t>
      </w:r>
      <w:r w:rsidR="00876E89" w:rsidRPr="001603CF">
        <w:rPr>
          <w:lang w:val="en-US"/>
        </w:rPr>
        <w:t xml:space="preserve">Methyl phenyl sulfide </w:t>
      </w:r>
      <w:r w:rsidR="00D702D9" w:rsidRPr="001603CF">
        <w:rPr>
          <w:lang w:val="en-US"/>
        </w:rPr>
        <w:t>(</w:t>
      </w:r>
      <w:r w:rsidR="00D702D9" w:rsidRPr="001603CF">
        <w:rPr>
          <w:b/>
          <w:lang w:val="en-US"/>
        </w:rPr>
        <w:t>1a</w:t>
      </w:r>
      <w:r w:rsidR="00D702D9" w:rsidRPr="001603CF">
        <w:rPr>
          <w:lang w:val="en-US"/>
        </w:rPr>
        <w:t>),</w:t>
      </w:r>
      <w:r w:rsidR="006007E3" w:rsidRPr="001603CF">
        <w:rPr>
          <w:lang w:val="en-US"/>
        </w:rPr>
        <w:t xml:space="preserve"> </w:t>
      </w:r>
      <w:r w:rsidR="00D702D9" w:rsidRPr="001603CF">
        <w:rPr>
          <w:lang w:val="en-US"/>
        </w:rPr>
        <w:t>methyl phenyl sulfone (</w:t>
      </w:r>
      <w:r w:rsidR="00D702D9" w:rsidRPr="001603CF">
        <w:rPr>
          <w:b/>
          <w:lang w:val="en-US"/>
        </w:rPr>
        <w:t>3a</w:t>
      </w:r>
      <w:r w:rsidR="00D702D9" w:rsidRPr="001603CF">
        <w:rPr>
          <w:lang w:val="en-US"/>
        </w:rPr>
        <w:t>), dipropyl sulfide (</w:t>
      </w:r>
      <w:r w:rsidR="00D702D9" w:rsidRPr="001603CF">
        <w:rPr>
          <w:b/>
          <w:lang w:val="en-US"/>
        </w:rPr>
        <w:t>1b</w:t>
      </w:r>
      <w:r w:rsidR="00D702D9" w:rsidRPr="001603CF">
        <w:rPr>
          <w:lang w:val="en-US"/>
        </w:rPr>
        <w:t>), dipropyl sulfone (</w:t>
      </w:r>
      <w:r w:rsidR="00D702D9" w:rsidRPr="001603CF">
        <w:rPr>
          <w:b/>
          <w:lang w:val="en-US"/>
        </w:rPr>
        <w:t>3b</w:t>
      </w:r>
      <w:r w:rsidR="00D702D9" w:rsidRPr="001603CF">
        <w:rPr>
          <w:lang w:val="en-US"/>
        </w:rPr>
        <w:t>), 2-chloroethyl phenyl sulfide (</w:t>
      </w:r>
      <w:r w:rsidR="00D702D9" w:rsidRPr="001603CF">
        <w:rPr>
          <w:b/>
          <w:lang w:val="en-US"/>
        </w:rPr>
        <w:t>CEPS</w:t>
      </w:r>
      <w:r w:rsidR="00D702D9" w:rsidRPr="001603CF">
        <w:rPr>
          <w:lang w:val="en-US"/>
        </w:rPr>
        <w:t xml:space="preserve">), </w:t>
      </w:r>
      <w:r w:rsidR="006007E3" w:rsidRPr="001603CF">
        <w:rPr>
          <w:lang w:val="en-US"/>
        </w:rPr>
        <w:t xml:space="preserve">2-chloroethyl phenyl </w:t>
      </w:r>
      <w:r w:rsidR="0058009E" w:rsidRPr="001603CF">
        <w:rPr>
          <w:lang w:val="en-US"/>
        </w:rPr>
        <w:t xml:space="preserve">sulfone </w:t>
      </w:r>
      <w:r w:rsidR="006007E3" w:rsidRPr="001603CF">
        <w:rPr>
          <w:bCs/>
          <w:lang w:val="en-US"/>
        </w:rPr>
        <w:t>(</w:t>
      </w:r>
      <w:r w:rsidR="006007E3" w:rsidRPr="001603CF">
        <w:rPr>
          <w:b/>
          <w:lang w:val="en-US"/>
        </w:rPr>
        <w:t>CEPSO</w:t>
      </w:r>
      <w:r w:rsidR="006007E3" w:rsidRPr="001603CF">
        <w:rPr>
          <w:b/>
          <w:vertAlign w:val="subscript"/>
          <w:lang w:val="en-US"/>
        </w:rPr>
        <w:t>2</w:t>
      </w:r>
      <w:r w:rsidR="006007E3" w:rsidRPr="001603CF">
        <w:rPr>
          <w:lang w:val="en-US"/>
        </w:rPr>
        <w:t>)</w:t>
      </w:r>
      <w:r w:rsidR="006007E3" w:rsidRPr="001603CF">
        <w:rPr>
          <w:bCs/>
          <w:lang w:val="en-US"/>
        </w:rPr>
        <w:t>,</w:t>
      </w:r>
      <w:r w:rsidR="006007E3" w:rsidRPr="001603CF">
        <w:rPr>
          <w:b/>
          <w:lang w:val="en-US"/>
        </w:rPr>
        <w:t xml:space="preserve"> </w:t>
      </w:r>
      <w:r w:rsidR="00D702D9" w:rsidRPr="001603CF">
        <w:rPr>
          <w:lang w:val="en-US"/>
        </w:rPr>
        <w:t>2-chloroethyl ethyl sulfide (</w:t>
      </w:r>
      <w:r w:rsidR="00D702D9" w:rsidRPr="001603CF">
        <w:rPr>
          <w:b/>
          <w:lang w:val="en-US"/>
        </w:rPr>
        <w:t>CEES</w:t>
      </w:r>
      <w:r w:rsidR="00D702D9" w:rsidRPr="001603CF">
        <w:rPr>
          <w:lang w:val="en-US"/>
        </w:rPr>
        <w:t xml:space="preserve">), </w:t>
      </w:r>
      <w:r w:rsidR="006007E3" w:rsidRPr="001603CF">
        <w:rPr>
          <w:lang w:val="en-US"/>
        </w:rPr>
        <w:t>2-chloroethyl ethyl sulfone</w:t>
      </w:r>
      <w:r w:rsidR="006007E3" w:rsidRPr="001603CF">
        <w:rPr>
          <w:b/>
          <w:lang w:val="en-US"/>
        </w:rPr>
        <w:t xml:space="preserve"> </w:t>
      </w:r>
      <w:r w:rsidR="006007E3" w:rsidRPr="001603CF">
        <w:rPr>
          <w:bCs/>
          <w:lang w:val="en-US"/>
        </w:rPr>
        <w:t>(</w:t>
      </w:r>
      <w:r w:rsidR="006007E3" w:rsidRPr="001603CF">
        <w:rPr>
          <w:b/>
          <w:lang w:val="en-US"/>
        </w:rPr>
        <w:t>CEESO</w:t>
      </w:r>
      <w:r w:rsidR="006007E3" w:rsidRPr="001603CF">
        <w:rPr>
          <w:b/>
          <w:vertAlign w:val="subscript"/>
          <w:lang w:val="en-US"/>
        </w:rPr>
        <w:t>2</w:t>
      </w:r>
      <w:r w:rsidR="006007E3" w:rsidRPr="001603CF">
        <w:rPr>
          <w:lang w:val="en-US"/>
        </w:rPr>
        <w:t>), e</w:t>
      </w:r>
      <w:r w:rsidR="00D702D9" w:rsidRPr="001603CF">
        <w:rPr>
          <w:lang w:val="en-US"/>
        </w:rPr>
        <w:t xml:space="preserve">thanol, water, </w:t>
      </w:r>
      <w:r w:rsidR="006007E3" w:rsidRPr="001603CF">
        <w:rPr>
          <w:lang w:val="en-US"/>
        </w:rPr>
        <w:t xml:space="preserve">and </w:t>
      </w:r>
      <w:r w:rsidR="00D702D9" w:rsidRPr="001603CF">
        <w:rPr>
          <w:lang w:val="en-US"/>
        </w:rPr>
        <w:t xml:space="preserve">sodium thiosulfate were purchased from commercial sources and used without additional purification (Supporting Information, </w:t>
      </w:r>
      <w:r w:rsidR="00A13254" w:rsidRPr="001603CF">
        <w:rPr>
          <w:lang w:val="en-US"/>
        </w:rPr>
        <w:t>S</w:t>
      </w:r>
      <w:r w:rsidR="00D702D9" w:rsidRPr="001603CF">
        <w:rPr>
          <w:lang w:val="en-US"/>
        </w:rPr>
        <w:t xml:space="preserve">ection </w:t>
      </w:r>
      <w:r w:rsidR="00A13254" w:rsidRPr="001603CF">
        <w:rPr>
          <w:lang w:val="en-US"/>
        </w:rPr>
        <w:t>3.1.</w:t>
      </w:r>
      <w:r w:rsidR="00D702D9" w:rsidRPr="001603CF">
        <w:rPr>
          <w:lang w:val="en-US"/>
        </w:rPr>
        <w:t xml:space="preserve">). </w:t>
      </w:r>
      <w:r w:rsidR="006007E3" w:rsidRPr="001603CF">
        <w:rPr>
          <w:lang w:val="en-US"/>
        </w:rPr>
        <w:t>Methyl phenyl sulfoxide (</w:t>
      </w:r>
      <w:r w:rsidR="006007E3" w:rsidRPr="001603CF">
        <w:rPr>
          <w:b/>
          <w:lang w:val="en-US"/>
        </w:rPr>
        <w:t>2a</w:t>
      </w:r>
      <w:r w:rsidR="006007E3" w:rsidRPr="001603CF">
        <w:rPr>
          <w:lang w:val="en-US"/>
        </w:rPr>
        <w:t>), dipropyl sulfoxide (</w:t>
      </w:r>
      <w:r w:rsidR="006007E3" w:rsidRPr="001603CF">
        <w:rPr>
          <w:b/>
          <w:lang w:val="en-US"/>
        </w:rPr>
        <w:t>2b</w:t>
      </w:r>
      <w:r w:rsidR="006007E3" w:rsidRPr="001603CF">
        <w:rPr>
          <w:lang w:val="en-US"/>
        </w:rPr>
        <w:t>), 2-chloroethyl phenyl sulfoxide (</w:t>
      </w:r>
      <w:r w:rsidR="00D702D9" w:rsidRPr="001603CF">
        <w:rPr>
          <w:b/>
          <w:lang w:val="en-US"/>
        </w:rPr>
        <w:t>CEPSO</w:t>
      </w:r>
      <w:r w:rsidR="006007E3" w:rsidRPr="001603CF">
        <w:rPr>
          <w:bCs/>
          <w:lang w:val="en-US"/>
        </w:rPr>
        <w:t>)</w:t>
      </w:r>
      <w:r w:rsidR="00D702D9" w:rsidRPr="001603CF">
        <w:rPr>
          <w:bCs/>
          <w:lang w:val="en-US"/>
        </w:rPr>
        <w:t>,</w:t>
      </w:r>
      <w:r w:rsidR="00D702D9" w:rsidRPr="001603CF">
        <w:rPr>
          <w:b/>
          <w:lang w:val="en-US"/>
        </w:rPr>
        <w:t xml:space="preserve"> </w:t>
      </w:r>
      <w:r w:rsidR="006007E3" w:rsidRPr="001603CF">
        <w:rPr>
          <w:bCs/>
          <w:lang w:val="en-US"/>
        </w:rPr>
        <w:t xml:space="preserve">and </w:t>
      </w:r>
      <w:r w:rsidR="006007E3" w:rsidRPr="001603CF">
        <w:rPr>
          <w:lang w:val="en-US"/>
        </w:rPr>
        <w:t>2-chloroethyl ethyl sulfone</w:t>
      </w:r>
      <w:r w:rsidR="006007E3" w:rsidRPr="001603CF">
        <w:rPr>
          <w:b/>
          <w:lang w:val="en-US"/>
        </w:rPr>
        <w:t xml:space="preserve"> </w:t>
      </w:r>
      <w:r w:rsidR="006007E3" w:rsidRPr="001603CF">
        <w:rPr>
          <w:bCs/>
          <w:lang w:val="en-US"/>
        </w:rPr>
        <w:t>(</w:t>
      </w:r>
      <w:r w:rsidR="00D702D9" w:rsidRPr="001603CF">
        <w:rPr>
          <w:b/>
          <w:lang w:val="en-US"/>
        </w:rPr>
        <w:t>CEESO</w:t>
      </w:r>
      <w:r w:rsidR="006007E3" w:rsidRPr="001603CF">
        <w:rPr>
          <w:bCs/>
          <w:lang w:val="en-US"/>
        </w:rPr>
        <w:t>)</w:t>
      </w:r>
      <w:r w:rsidR="00D702D9" w:rsidRPr="001603CF">
        <w:rPr>
          <w:b/>
          <w:lang w:val="en-US"/>
        </w:rPr>
        <w:t xml:space="preserve"> </w:t>
      </w:r>
      <w:r w:rsidR="00D702D9" w:rsidRPr="001603CF">
        <w:rPr>
          <w:lang w:val="en-US"/>
        </w:rPr>
        <w:t xml:space="preserve">were prepared according </w:t>
      </w:r>
      <w:r w:rsidR="0058009E" w:rsidRPr="001603CF">
        <w:rPr>
          <w:lang w:val="en-US"/>
        </w:rPr>
        <w:t xml:space="preserve">to </w:t>
      </w:r>
      <w:r w:rsidR="00D702D9" w:rsidRPr="001603CF">
        <w:rPr>
          <w:lang w:val="en-US"/>
        </w:rPr>
        <w:t>adapting protocols from the literature.</w:t>
      </w:r>
      <w:r w:rsidR="0065052C" w:rsidRPr="001603CF">
        <w:rPr>
          <w:lang w:val="en-US"/>
        </w:rPr>
        <w:fldChar w:fldCharType="begin" w:fldLock="1"/>
      </w:r>
      <w:r w:rsidR="00864EF1" w:rsidRPr="001603CF">
        <w:rPr>
          <w:lang w:val="en-US"/>
        </w:rPr>
        <w:instrText>ADDIN CSL_CITATION {"citationItems":[{"id":"ITEM-1","itemData":{"author":[{"dropping-particle":"","family":"Singh","given":"Janak","non-dropping-particle":"","parse-names":false,"suffix":""},{"dropping-particle":"","family":"Kissick","given":"Thomas P","non-dropping-particle":"","parse-names":false,"suffix":""},{"dropping-particle":"","family":"Mueller","given":"Richard H","non-dropping-particle":"","parse-names":false,"suffix":""}],"container-title":"Organic Preparations and Procedures Inc","id":"ITEM-1","issue":"4","issued":{"date-parts":[["1989"]]},"page":"501-504","title":"Efficient synthesis of alpha-chlorovihyl phenyl sulfone","type":"article-journal","volume":"21"},"uris":["http://www.mendeley.com/documents/?uuid=f86ea357-c5cd-48e0-a715-d2c55b24417f"]},{"id":"ITEM-2","itemData":{"DOI":"10.1055/s-0030-1259516","ISSN":"09365214","abstract":"An efficient oxidation of sulfides with air catalyzed by the combination of potassium nitrate with pyridinium tribromide under transition-metal-free conditions was reported. By replacing pyridinium tribromide with bromine, the reaction system was also useful in the oxidation of alcohols. All reactions afforded the corresponding products in good to excellent yields with high chemoselectivities. © Georg Thieme Verlag Stuttgart New York.","author":[{"dropping-particle":"","family":"Yuan","given":"Yu","non-dropping-particle":"","parse-names":false,"suffix":""},{"dropping-particle":"","family":"Shi","given":"Xiao","non-dropping-particle":"","parse-names":false,"suffix":""},{"dropping-particle":"","family":"Liu","given":"Wei","non-dropping-particle":"","parse-names":false,"suffix":""}],"container-title":"Synlett","id":"ITEM-2","issue":"4","issued":{"date-parts":[["2011"]]},"page":"559-564","title":"Transition-metal-free, chemoselective aerobic oxidations of sulfides and alcohols with potassium nitrate and pyridinium tribromide or bromine","type":"article-journal"},"uris":["http://www.mendeley.com/documents/?uuid=71ee96d9-ad80-46b8-b885-e4f6c7fc66a1"]}],"mendeley":{"formattedCitation":"&lt;sup&gt;24,25&lt;/sup&gt;","plainTextFormattedCitation":"24,25","previouslyFormattedCitation":"&lt;sup&gt;24,25&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24,25</w:t>
      </w:r>
      <w:r w:rsidR="0065052C" w:rsidRPr="001603CF">
        <w:rPr>
          <w:lang w:val="en-US"/>
        </w:rPr>
        <w:fldChar w:fldCharType="end"/>
      </w:r>
    </w:p>
    <w:p w14:paraId="4379BE4D" w14:textId="38AD0568" w:rsidR="00DF3A0F" w:rsidRPr="001603CF" w:rsidRDefault="00DF3A0F">
      <w:pPr>
        <w:pStyle w:val="RSCB07BHeadingSub-Section-standalone"/>
        <w:jc w:val="both"/>
        <w:rPr>
          <w:lang w:val="en-US"/>
        </w:rPr>
      </w:pPr>
      <w:r w:rsidRPr="001603CF">
        <w:rPr>
          <w:lang w:val="en-US"/>
        </w:rPr>
        <w:t>Computational study</w:t>
      </w:r>
    </w:p>
    <w:p w14:paraId="27EC2369" w14:textId="7E041E04" w:rsidR="00BC2190" w:rsidRPr="001603CF" w:rsidRDefault="00F8688A">
      <w:pPr>
        <w:pStyle w:val="RSCB02ArticleText"/>
        <w:rPr>
          <w:lang w:val="en-US"/>
        </w:rPr>
      </w:pPr>
      <w:r w:rsidRPr="001603CF">
        <w:rPr>
          <w:lang w:val="en-US"/>
        </w:rPr>
        <w:t>Calculations were performed using the Gaussian 16</w:t>
      </w:r>
      <w:r w:rsidR="0065052C" w:rsidRPr="001603CF">
        <w:rPr>
          <w:lang w:val="en-US"/>
        </w:rPr>
        <w:fldChar w:fldCharType="begin" w:fldLock="1"/>
      </w:r>
      <w:r w:rsidR="00864EF1" w:rsidRPr="001603CF">
        <w:rPr>
          <w:lang w:val="en-US"/>
        </w:rPr>
        <w:instrText>ADDIN CSL_CITATION {"citationItems":[{"id":"ITEM-1","itemData":{"URL":"https://gaussian.com/gaussian16/","accessed":{"date-parts":[["2023","8","20"]]},"id":"ITEM-1","issued":{"date-parts":[["0"]]},"title":"Gaussian 16 | Gaussian.com","type":"webpage"},"uris":["http://www.mendeley.com/documents/?uuid=11813119-b303-3bf7-b819-e6b2fd4d33d9"]}],"mendeley":{"formattedCitation":"&lt;sup&gt;26&lt;/sup&gt;","plainTextFormattedCitation":"26","previouslyFormattedCitation":"&lt;sup&gt;26&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26</w:t>
      </w:r>
      <w:r w:rsidR="0065052C" w:rsidRPr="001603CF">
        <w:rPr>
          <w:lang w:val="en-US"/>
        </w:rPr>
        <w:fldChar w:fldCharType="end"/>
      </w:r>
      <w:r w:rsidRPr="001603CF">
        <w:rPr>
          <w:lang w:val="en-US"/>
        </w:rPr>
        <w:t xml:space="preserve"> package </w:t>
      </w:r>
      <w:r w:rsidR="00A13254" w:rsidRPr="001603CF">
        <w:rPr>
          <w:lang w:val="en-US"/>
        </w:rPr>
        <w:t xml:space="preserve">and </w:t>
      </w:r>
      <w:r w:rsidRPr="001603CF">
        <w:rPr>
          <w:lang w:val="en-US"/>
        </w:rPr>
        <w:t xml:space="preserve">implicit solvation (SMD, solvent = ethanol). </w:t>
      </w:r>
      <w:bookmarkStart w:id="3" w:name="_Hlk143089484"/>
      <w:r w:rsidRPr="001603CF">
        <w:rPr>
          <w:lang w:val="en-US"/>
        </w:rPr>
        <w:t>Optimization and characterization with vibrational analysis of the stationary points were carried out at the B3LYP-D3BJ/6-31+G* level of theory. Electronic energies were computed at the M08HX/6-311+G** level whereas solvation energies and Gibbs free energy corrections were obtained at the B3LYP-D3BJ/6-31+G* level</w:t>
      </w:r>
      <w:bookmarkStart w:id="4" w:name="_Hlk143088801"/>
      <w:r w:rsidRPr="001603CF">
        <w:rPr>
          <w:lang w:val="en-US"/>
        </w:rPr>
        <w:t>.</w:t>
      </w:r>
      <w:bookmarkEnd w:id="3"/>
      <w:r w:rsidR="00EC00C7" w:rsidRPr="001603CF">
        <w:rPr>
          <w:lang w:val="en-US"/>
        </w:rPr>
        <w:t xml:space="preserve"> Transition states (TSs) were determined with the Newton−Raphson technique, then checked with the Hessian matrix and intrinsic reaction coordinates (IRC). The lowest energy conformation for each transition state was kept when determining activation barriers.</w:t>
      </w:r>
      <w:r w:rsidR="000A1B51" w:rsidRPr="001603CF">
        <w:rPr>
          <w:lang w:val="en-US"/>
        </w:rPr>
        <w:t xml:space="preserve"> </w:t>
      </w:r>
      <w:r w:rsidR="00EC00C7" w:rsidRPr="001603CF">
        <w:rPr>
          <w:lang w:val="en-US"/>
        </w:rPr>
        <w:t>A</w:t>
      </w:r>
      <w:r w:rsidR="000A1B51" w:rsidRPr="001603CF">
        <w:rPr>
          <w:lang w:val="en-US"/>
        </w:rPr>
        <w:t xml:space="preserve">ctivation barriers </w:t>
      </w:r>
      <w:r w:rsidR="00F45BBF" w:rsidRPr="001603CF">
        <w:rPr>
          <w:lang w:val="en-US"/>
        </w:rPr>
        <w:t xml:space="preserve">were </w:t>
      </w:r>
      <w:r w:rsidR="000A1B51" w:rsidRPr="001603CF">
        <w:rPr>
          <w:lang w:val="en-US"/>
        </w:rPr>
        <w:t xml:space="preserve">corrected </w:t>
      </w:r>
      <w:r w:rsidR="00E01DF7" w:rsidRPr="001603CF">
        <w:rPr>
          <w:lang w:val="en-US"/>
        </w:rPr>
        <w:t>for</w:t>
      </w:r>
      <w:r w:rsidR="000A1B51" w:rsidRPr="001603CF">
        <w:rPr>
          <w:lang w:val="en-US"/>
        </w:rPr>
        <w:t xml:space="preserve"> concentration </w:t>
      </w:r>
      <w:r w:rsidR="00A13254" w:rsidRPr="001603CF">
        <w:rPr>
          <w:lang w:val="en-US"/>
        </w:rPr>
        <w:t xml:space="preserve">and </w:t>
      </w:r>
      <w:r w:rsidR="000A1B51" w:rsidRPr="001603CF">
        <w:rPr>
          <w:lang w:val="en-US"/>
        </w:rPr>
        <w:t xml:space="preserve">quasi-harmonic factors (Grimme method for entropy and Head-Gordon method for </w:t>
      </w:r>
      <w:r w:rsidR="000A1B51" w:rsidRPr="001603CF">
        <w:rPr>
          <w:lang w:val="en-US"/>
        </w:rPr>
        <w:lastRenderedPageBreak/>
        <w:t>enthalpy correction)</w:t>
      </w:r>
      <w:r w:rsidR="0065052C" w:rsidRPr="001603CF">
        <w:rPr>
          <w:lang w:val="en-US"/>
        </w:rPr>
        <w:fldChar w:fldCharType="begin" w:fldLock="1"/>
      </w:r>
      <w:r w:rsidR="00864EF1" w:rsidRPr="001603CF">
        <w:rPr>
          <w:lang w:val="en-US"/>
        </w:rPr>
        <w:instrText>ADDIN CSL_CITATION {"citationItems":[{"id":"ITEM-1","itemData":{"DOI":"10.5281/ZENODO.1435820","author":[{"dropping-particle":"","family":"Funes-Ardoiz","given":"Ignacio","non-dropping-particle":"","parse-names":false,"suffix":""},{"dropping-particle":"","family":"Paton","given":"Robert S.","non-dropping-particle":"","parse-names":false,"suffix":""}],"id":"ITEM-1","issued":{"date-parts":[["2018","9","26"]]},"title":"GoodVibes: version 2.0.3","type":"article"},"uris":["http://www.mendeley.com/documents/?uuid=017b77c7-edd7-36f2-a245-0052d5ad17ff"]}],"mendeley":{"formattedCitation":"&lt;sup&gt;27&lt;/sup&gt;","plainTextFormattedCitation":"27","previouslyFormattedCitation":"&lt;sup&gt;27&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27</w:t>
      </w:r>
      <w:r w:rsidR="0065052C" w:rsidRPr="001603CF">
        <w:rPr>
          <w:lang w:val="en-US"/>
        </w:rPr>
        <w:fldChar w:fldCharType="end"/>
      </w:r>
      <w:r w:rsidR="000A1B51" w:rsidRPr="001603CF">
        <w:rPr>
          <w:lang w:val="en-US"/>
        </w:rPr>
        <w:t xml:space="preserve"> using </w:t>
      </w:r>
      <w:r w:rsidR="00BE3BED" w:rsidRPr="001603CF">
        <w:rPr>
          <w:lang w:val="en-US"/>
        </w:rPr>
        <w:t>our</w:t>
      </w:r>
      <w:r w:rsidR="000A1B51" w:rsidRPr="001603CF">
        <w:rPr>
          <w:lang w:val="en-US"/>
        </w:rPr>
        <w:t xml:space="preserve"> open-access SnapPy toolkit (v1.0.0.)</w:t>
      </w:r>
      <w:r w:rsidR="00443476" w:rsidRPr="001603CF">
        <w:rPr>
          <w:lang w:val="en-US"/>
        </w:rPr>
        <w:t>.</w:t>
      </w:r>
      <w:r w:rsidR="0065052C" w:rsidRPr="001603CF">
        <w:rPr>
          <w:lang w:val="en-US"/>
        </w:rPr>
        <w:fldChar w:fldCharType="begin" w:fldLock="1"/>
      </w:r>
      <w:r w:rsidR="00864EF1" w:rsidRPr="001603CF">
        <w:rPr>
          <w:lang w:val="en-US"/>
        </w:rPr>
        <w:instrText>ADDIN CSL_CITATION {"citationItems":[{"id":"ITEM-1","itemData":{"DOI":"10.5281/ZENODO.8116089","author":[{"dropping-particle":"","family":"Monbaliu","given":"Jean-Christophe","non-dropping-particle":"","parse-names":false,"suffix":""},{"dropping-particle":"","family":"Bianchi","given":"Pauline","non-dropping-particle":"","parse-names":false,"suffix":""}],"id":"ITEM-1","issued":{"date-parts":[["2023","7","5"]]},"title":"SnapPy","type":"article"},"uris":["http://www.mendeley.com/documents/?uuid=559945ed-515e-3492-a762-c32897589242"]}],"mendeley":{"formattedCitation":"&lt;sup&gt;28&lt;/sup&gt;","plainTextFormattedCitation":"28","previouslyFormattedCitation":"&lt;sup&gt;28&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28</w:t>
      </w:r>
      <w:r w:rsidR="0065052C" w:rsidRPr="001603CF">
        <w:rPr>
          <w:lang w:val="en-US"/>
        </w:rPr>
        <w:fldChar w:fldCharType="end"/>
      </w:r>
      <w:bookmarkEnd w:id="4"/>
      <w:r w:rsidR="0065052C" w:rsidRPr="001603CF">
        <w:rPr>
          <w:lang w:val="en-US"/>
        </w:rPr>
        <w:t xml:space="preserve"> </w:t>
      </w:r>
      <w:r w:rsidR="00EC00C7" w:rsidRPr="001603CF">
        <w:rPr>
          <w:lang w:val="en-US"/>
        </w:rPr>
        <w:t xml:space="preserve">Reaction times were also </w:t>
      </w:r>
      <w:r w:rsidR="00B10F32" w:rsidRPr="001603CF">
        <w:rPr>
          <w:lang w:val="en-US"/>
        </w:rPr>
        <w:t>determined</w:t>
      </w:r>
      <w:r w:rsidR="00EC00C7" w:rsidRPr="001603CF">
        <w:rPr>
          <w:lang w:val="en-US"/>
        </w:rPr>
        <w:t xml:space="preserve"> using SnapPy. </w:t>
      </w:r>
      <w:r w:rsidRPr="001603CF">
        <w:rPr>
          <w:lang w:val="en-US"/>
        </w:rPr>
        <w:t xml:space="preserve">NBO charges were calculated using the NBO 3.1 extension from Gaussian. </w:t>
      </w:r>
      <w:r w:rsidR="000A1B51" w:rsidRPr="001603CF">
        <w:rPr>
          <w:lang w:val="en-US"/>
        </w:rPr>
        <w:t>Local nucleophilicity on the sulfur atom</w:t>
      </w:r>
      <w:r w:rsidRPr="001603CF">
        <w:rPr>
          <w:lang w:val="en-US"/>
        </w:rPr>
        <w:t xml:space="preserve"> w</w:t>
      </w:r>
      <w:r w:rsidR="000A1B51" w:rsidRPr="001603CF">
        <w:rPr>
          <w:lang w:val="en-US"/>
        </w:rPr>
        <w:t>as</w:t>
      </w:r>
      <w:r w:rsidRPr="001603CF">
        <w:rPr>
          <w:lang w:val="en-US"/>
        </w:rPr>
        <w:t xml:space="preserve"> calculated using equations from conceptual Density Functional Theory</w:t>
      </w:r>
      <w:r w:rsidR="00443476" w:rsidRPr="001603CF">
        <w:rPr>
          <w:lang w:val="en-US"/>
        </w:rPr>
        <w:t>.</w:t>
      </w:r>
      <w:r w:rsidR="0065052C" w:rsidRPr="001603CF">
        <w:rPr>
          <w:lang w:val="en-US"/>
        </w:rPr>
        <w:fldChar w:fldCharType="begin" w:fldLock="1"/>
      </w:r>
      <w:r w:rsidR="00864EF1" w:rsidRPr="001603CF">
        <w:rPr>
          <w:lang w:val="en-US"/>
        </w:rPr>
        <w:instrText>ADDIN CSL_CITATION {"citationItems":[{"id":"ITEM-1","itemData":{"DOI":"10.3390/molecules21060748","ISSN":"14203049","PMID":"27294896","abstract":"Theoretical reactivity indices based on the conceptual Density Functional Theory (DFT) have become a powerful tool for the semiquantitative study of organic reactivity. A large number of reactivity indices have been proposed in the literature. Herein, global quantities like the electronic chemical potential μ, the electrophilicity ω and the nucleophilicity N indices, and local condensed indices like the electrophilic Pk+ and nucleophilic Pk- Parr functions, as the most relevant indices for the study of organic reactivity, are discussed.","author":[{"dropping-particle":"","family":"Domingo","given":"Luis R.","non-dropping-particle":"","parse-names":false,"suffix":""},{"dropping-particle":"","family":"Ríos-Gutiérrez","given":"Mar","non-dropping-particle":"","parse-names":false,"suffix":""},{"dropping-particle":"","family":"Pérez","given":"Patricia","non-dropping-particle":"","parse-names":false,"suffix":""}],"container-title":"Molecules","id":"ITEM-1","issue":"6","issued":{"date-parts":[["2016"]]},"title":"Applications of the conceptual density functional theory indices to organic chemistry reactivity","type":"article-journal","volume":"21"},"uris":["http://www.mendeley.com/documents/?uuid=58d55291-89c6-4b61-bdce-df4e6e99a59b"]},{"id":"ITEM-2","itemData":{"DOI":"10.1021/cr990029p","ISSN":"00092665","author":[{"dropping-particle":"","family":"Geerlings","given":"P.","non-dropping-particle":"","parse-names":false,"suffix":""},{"dropping-particle":"","family":"Proft","given":"F.","non-dropping-particle":"De","parse-names":false,"suffix":""},{"dropping-particle":"","family":"Langenaeker","given":"W.","non-dropping-particle":"","parse-names":false,"suffix":""}],"container-title":"Chemical Reviews","id":"ITEM-2","issue":"5","issued":{"date-parts":[["2003"]]},"page":"1793-1873","title":"Conceptual density functional theory","type":"article-journal","volume":"103"},"uris":["http://www.mendeley.com/documents/?uuid=98918723-c866-47e8-8c75-a60396b089f5"]}],"mendeley":{"formattedCitation":"&lt;sup&gt;29,30&lt;/sup&gt;","plainTextFormattedCitation":"29,30","previouslyFormattedCitation":"&lt;sup&gt;29,30&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29,30</w:t>
      </w:r>
      <w:r w:rsidR="0065052C" w:rsidRPr="001603CF">
        <w:rPr>
          <w:lang w:val="en-US"/>
        </w:rPr>
        <w:fldChar w:fldCharType="end"/>
      </w:r>
      <w:r w:rsidR="009B4BFB" w:rsidRPr="001603CF">
        <w:rPr>
          <w:lang w:val="en-US"/>
        </w:rPr>
        <w:t xml:space="preserve"> All equations and the protocols followed are available in the Supporting Information (Section </w:t>
      </w:r>
      <w:r w:rsidR="00A13254" w:rsidRPr="001603CF">
        <w:rPr>
          <w:lang w:val="en-US"/>
        </w:rPr>
        <w:t>1.1</w:t>
      </w:r>
      <w:r w:rsidR="009B4BFB" w:rsidRPr="001603CF">
        <w:rPr>
          <w:lang w:val="en-US"/>
        </w:rPr>
        <w:t>).</w:t>
      </w:r>
      <w:bookmarkEnd w:id="2"/>
    </w:p>
    <w:p w14:paraId="26AC6FA1" w14:textId="2A67986E" w:rsidR="00490FEF" w:rsidRPr="001603CF" w:rsidRDefault="00490FEF">
      <w:pPr>
        <w:pStyle w:val="RSCB07BHeadingSub-Section-standalone"/>
        <w:rPr>
          <w:lang w:val="en-US"/>
        </w:rPr>
      </w:pPr>
      <w:r w:rsidRPr="001603CF">
        <w:rPr>
          <w:lang w:val="en-US"/>
        </w:rPr>
        <w:t xml:space="preserve">Safety </w:t>
      </w:r>
      <w:r w:rsidR="00D702D9" w:rsidRPr="001603CF">
        <w:rPr>
          <w:lang w:val="en-US"/>
        </w:rPr>
        <w:t>statement</w:t>
      </w:r>
      <w:r w:rsidRPr="001603CF">
        <w:rPr>
          <w:lang w:val="en-US"/>
        </w:rPr>
        <w:t xml:space="preserve"> </w:t>
      </w:r>
    </w:p>
    <w:p w14:paraId="29155A1F" w14:textId="22563130" w:rsidR="00F55C8C" w:rsidRPr="001603CF" w:rsidRDefault="00F55C8C">
      <w:pPr>
        <w:pStyle w:val="RSCB02ArticleText"/>
        <w:rPr>
          <w:lang w:val="en-US"/>
        </w:rPr>
      </w:pPr>
      <w:r w:rsidRPr="001603CF">
        <w:rPr>
          <w:b/>
          <w:lang w:val="en-US"/>
        </w:rPr>
        <w:t>CAUTION:</w:t>
      </w:r>
      <w:r w:rsidRPr="001603CF">
        <w:rPr>
          <w:lang w:val="en-US"/>
        </w:rPr>
        <w:t xml:space="preserve"> 2-chloroethyl phenyl sulfide (</w:t>
      </w:r>
      <w:r w:rsidRPr="001603CF">
        <w:rPr>
          <w:b/>
          <w:lang w:val="en-US"/>
        </w:rPr>
        <w:t>CEPS</w:t>
      </w:r>
      <w:r w:rsidRPr="001603CF">
        <w:rPr>
          <w:lang w:val="en-US"/>
        </w:rPr>
        <w:t>) and 1-chloro-2-(ethylsulfinyl)ethane (</w:t>
      </w:r>
      <w:r w:rsidRPr="001603CF">
        <w:rPr>
          <w:b/>
          <w:lang w:val="en-US"/>
        </w:rPr>
        <w:t>CEES</w:t>
      </w:r>
      <w:r w:rsidRPr="001603CF">
        <w:rPr>
          <w:lang w:val="en-US"/>
        </w:rPr>
        <w:t>) are highly toxic and severe vesicants and must be handled under a fume hood. All contaminated glassware should be neutralized with bleach prior to disposal</w:t>
      </w:r>
      <w:r w:rsidR="00E97023" w:rsidRPr="001603CF">
        <w:rPr>
          <w:lang w:val="en-US"/>
        </w:rPr>
        <w:t xml:space="preserve"> (be warned that the quench solution containing sodium thiosulfate is chemically not compatible with bleach)</w:t>
      </w:r>
      <w:r w:rsidRPr="001603CF">
        <w:rPr>
          <w:lang w:val="en-US"/>
        </w:rPr>
        <w:t>. Ozone is toxic and</w:t>
      </w:r>
      <w:r w:rsidR="00F45BBF" w:rsidRPr="001603CF">
        <w:rPr>
          <w:lang w:val="en-US"/>
        </w:rPr>
        <w:t xml:space="preserve"> a</w:t>
      </w:r>
      <w:r w:rsidRPr="001603CF">
        <w:rPr>
          <w:lang w:val="en-US"/>
        </w:rPr>
        <w:t xml:space="preserve"> strong oxidizer. All experiments should be carried out under a fume hood in the presence of a fully qualified ozone detector. For </w:t>
      </w:r>
      <w:r w:rsidR="004F0DBC" w:rsidRPr="001603CF">
        <w:rPr>
          <w:lang w:val="en-US"/>
        </w:rPr>
        <w:t xml:space="preserve">additional </w:t>
      </w:r>
      <w:r w:rsidRPr="001603CF">
        <w:rPr>
          <w:lang w:val="en-US"/>
        </w:rPr>
        <w:t>safety, it is recommended that the operator possesses a portable personal ozone detector at all times during operations. Ozone can also form peroxides with various organic compounds;</w:t>
      </w:r>
      <w:r w:rsidR="00F45BBF" w:rsidRPr="001603CF">
        <w:rPr>
          <w:lang w:val="en-US"/>
        </w:rPr>
        <w:t xml:space="preserve"> </w:t>
      </w:r>
      <w:r w:rsidR="009C0688" w:rsidRPr="001603CF">
        <w:rPr>
          <w:lang w:val="en-US"/>
        </w:rPr>
        <w:t>therefore,</w:t>
      </w:r>
      <w:r w:rsidRPr="001603CF">
        <w:rPr>
          <w:lang w:val="en-US"/>
        </w:rPr>
        <w:t xml:space="preserve"> it is recommended to regularly use p</w:t>
      </w:r>
      <w:r w:rsidRPr="001603CF">
        <w:rPr>
          <w:rFonts w:eastAsia="Times New Roman"/>
          <w:lang w:val="en-US"/>
        </w:rPr>
        <w:t xml:space="preserve">eroxide test strips on reactor effluents before disposal. Ozone decomposes </w:t>
      </w:r>
      <w:r w:rsidR="00F45BBF" w:rsidRPr="001603CF">
        <w:rPr>
          <w:rFonts w:eastAsia="Times New Roman"/>
          <w:lang w:val="en-US"/>
        </w:rPr>
        <w:t xml:space="preserve">resulting in </w:t>
      </w:r>
      <w:r w:rsidRPr="001603CF">
        <w:rPr>
          <w:rFonts w:eastAsia="Times New Roman"/>
          <w:lang w:val="en-US"/>
        </w:rPr>
        <w:t>the formation of oxygen</w:t>
      </w:r>
      <w:r w:rsidR="00F45BBF" w:rsidRPr="001603CF">
        <w:rPr>
          <w:rFonts w:eastAsia="Times New Roman"/>
          <w:lang w:val="en-US"/>
        </w:rPr>
        <w:t xml:space="preserve"> and</w:t>
      </w:r>
      <w:r w:rsidRPr="001603CF">
        <w:rPr>
          <w:rFonts w:eastAsia="Times New Roman"/>
          <w:lang w:val="en-US"/>
        </w:rPr>
        <w:t xml:space="preserve"> therefore potentially forming </w:t>
      </w:r>
      <w:r w:rsidR="00A13254" w:rsidRPr="001603CF">
        <w:rPr>
          <w:rFonts w:eastAsia="Times New Roman"/>
          <w:lang w:val="en-US"/>
        </w:rPr>
        <w:t xml:space="preserve">a </w:t>
      </w:r>
      <w:r w:rsidRPr="001603CF">
        <w:rPr>
          <w:rFonts w:eastAsia="Times New Roman"/>
          <w:lang w:val="en-US"/>
        </w:rPr>
        <w:t xml:space="preserve">flammable oxygen/solvent mixture. </w:t>
      </w:r>
      <w:r w:rsidRPr="001603CF">
        <w:rPr>
          <w:lang w:val="en-US"/>
        </w:rPr>
        <w:t>To mitigate this risk, it is strongly recommended to degas and dilute the reactor effluent with a continuous stream of nitrogen.</w:t>
      </w:r>
      <w:r w:rsidRPr="001603CF">
        <w:rPr>
          <w:rFonts w:eastAsia="Times New Roman"/>
          <w:lang w:val="en-US"/>
        </w:rPr>
        <w:t xml:space="preserve"> Additional details on the safety measures are detailed in the Supporting Information (Section </w:t>
      </w:r>
      <w:r w:rsidR="004209E9" w:rsidRPr="001603CF">
        <w:rPr>
          <w:rFonts w:eastAsia="Times New Roman"/>
          <w:lang w:val="en-US"/>
        </w:rPr>
        <w:t>4</w:t>
      </w:r>
      <w:r w:rsidRPr="001603CF">
        <w:rPr>
          <w:rFonts w:eastAsia="Times New Roman"/>
          <w:lang w:val="en-US"/>
        </w:rPr>
        <w:t xml:space="preserve">). </w:t>
      </w:r>
      <w:r w:rsidRPr="001603CF">
        <w:rPr>
          <w:lang w:val="en-US"/>
        </w:rPr>
        <w:t>The reader</w:t>
      </w:r>
      <w:r w:rsidR="004F0DBC" w:rsidRPr="001603CF">
        <w:rPr>
          <w:lang w:val="en-US"/>
        </w:rPr>
        <w:t>s</w:t>
      </w:r>
      <w:r w:rsidRPr="001603CF">
        <w:rPr>
          <w:lang w:val="en-US"/>
        </w:rPr>
        <w:t xml:space="preserve"> should become aware of legal restrictions in their country on the permittance to study </w:t>
      </w:r>
      <w:r w:rsidRPr="001603CF">
        <w:rPr>
          <w:b/>
          <w:bCs/>
          <w:lang w:val="en-US"/>
        </w:rPr>
        <w:t>HD</w:t>
      </w:r>
      <w:r w:rsidRPr="001603CF">
        <w:rPr>
          <w:lang w:val="en-US"/>
        </w:rPr>
        <w:t xml:space="preserve"> or any related </w:t>
      </w:r>
      <w:r w:rsidR="00F45BBF" w:rsidRPr="001603CF">
        <w:rPr>
          <w:lang w:val="en-US"/>
        </w:rPr>
        <w:t>analogs</w:t>
      </w:r>
      <w:r w:rsidRPr="001603CF">
        <w:rPr>
          <w:lang w:val="en-US"/>
        </w:rPr>
        <w:t xml:space="preserve"> of chemical warfare agents before possessing them in the lab.</w:t>
      </w:r>
    </w:p>
    <w:p w14:paraId="30EF12B7" w14:textId="0143F972" w:rsidR="00DF3A0F" w:rsidRPr="001603CF" w:rsidRDefault="007D3397">
      <w:pPr>
        <w:pStyle w:val="RSCB07BHeadingSub-Section-standalone"/>
        <w:spacing w:after="0"/>
        <w:rPr>
          <w:lang w:val="en-US"/>
        </w:rPr>
      </w:pPr>
      <w:r w:rsidRPr="001603CF">
        <w:rPr>
          <w:lang w:val="en-US"/>
        </w:rPr>
        <w:t>Optimized conditions for the oxidative neutralization of CEES</w:t>
      </w:r>
      <w:r w:rsidR="009C0688" w:rsidRPr="001603CF">
        <w:rPr>
          <w:lang w:val="en-US"/>
        </w:rPr>
        <w:t xml:space="preserve"> (0.5 M)</w:t>
      </w:r>
    </w:p>
    <w:p w14:paraId="4FFCAE91" w14:textId="03D9735E" w:rsidR="00FF53DC" w:rsidRPr="001603CF" w:rsidRDefault="009C22A9" w:rsidP="00FF53DC">
      <w:pPr>
        <w:pStyle w:val="RSCB07BHeadingSub-Section-standalone"/>
        <w:jc w:val="both"/>
        <w:rPr>
          <w:b w:val="0"/>
          <w:lang w:val="en-US"/>
        </w:rPr>
      </w:pPr>
      <w:r w:rsidRPr="001603CF">
        <w:rPr>
          <w:b w:val="0"/>
          <w:lang w:val="en-US"/>
        </w:rPr>
        <w:t>Lab scale m</w:t>
      </w:r>
      <w:r w:rsidRPr="001603CF">
        <w:rPr>
          <w:rStyle w:val="RSCB02ArticleTextChar"/>
          <w:b w:val="0"/>
          <w:lang w:val="en-US"/>
        </w:rPr>
        <w:t>esofluidic experiments were carried out in a Corning® Advanced-Flow™ LowFlow Reactor (0.5 mL internal volume glass fluidic modules) connected to a Corning Ozone generator. Liquid feeds were handled with syringe or piston pumps (Knauer – Azura P4.1S for the</w:t>
      </w:r>
      <w:r w:rsidR="009C0688" w:rsidRPr="001603CF">
        <w:rPr>
          <w:rStyle w:val="RSCB02ArticleTextChar"/>
          <w:b w:val="0"/>
          <w:lang w:val="en-US"/>
        </w:rPr>
        <w:t xml:space="preserve"> </w:t>
      </w:r>
      <w:r w:rsidRPr="001603CF">
        <w:rPr>
          <w:rStyle w:val="RSCB02ArticleTextChar"/>
          <w:b w:val="0"/>
          <w:lang w:val="en-US"/>
        </w:rPr>
        <w:t xml:space="preserve">feed solution </w:t>
      </w:r>
      <w:r w:rsidR="009C0688" w:rsidRPr="001603CF">
        <w:rPr>
          <w:rStyle w:val="RSCB02ArticleTextChar"/>
          <w:b w:val="0"/>
          <w:lang w:val="en-US"/>
        </w:rPr>
        <w:t>A containing the sulfide</w:t>
      </w:r>
      <w:r w:rsidRPr="001603CF">
        <w:rPr>
          <w:rStyle w:val="RSCB02ArticleTextChar"/>
          <w:b w:val="0"/>
          <w:lang w:val="en-US"/>
        </w:rPr>
        <w:t xml:space="preserve">; HiTec Zang SyrDos™ 2 XLP for </w:t>
      </w:r>
      <w:r w:rsidR="009C0688" w:rsidRPr="001603CF">
        <w:rPr>
          <w:rStyle w:val="RSCB02ArticleTextChar"/>
          <w:b w:val="0"/>
          <w:lang w:val="en-US"/>
        </w:rPr>
        <w:t xml:space="preserve">feed B containing the quench </w:t>
      </w:r>
      <w:r w:rsidRPr="001603CF">
        <w:rPr>
          <w:rStyle w:val="RSCB02ArticleTextChar"/>
          <w:b w:val="0"/>
          <w:lang w:val="en-US"/>
        </w:rPr>
        <w:t>solution). Feed and collection lines consisted of PFA tubing (1/8” o.d.) with PFA or</w:t>
      </w:r>
      <w:r w:rsidR="00EA7273" w:rsidRPr="001603CF">
        <w:rPr>
          <w:rStyle w:val="RSCB02ArticleTextChar"/>
          <w:b w:val="0"/>
          <w:lang w:val="en-US"/>
        </w:rPr>
        <w:t xml:space="preserve"> stainless steel</w:t>
      </w:r>
      <w:r w:rsidRPr="001603CF">
        <w:rPr>
          <w:rStyle w:val="RSCB02ArticleTextChar"/>
          <w:b w:val="0"/>
          <w:lang w:val="en-US"/>
        </w:rPr>
        <w:t xml:space="preserve"> </w:t>
      </w:r>
      <w:r w:rsidR="00EA7273" w:rsidRPr="001603CF">
        <w:rPr>
          <w:rStyle w:val="RSCB02ArticleTextChar"/>
          <w:b w:val="0"/>
          <w:lang w:val="en-US"/>
        </w:rPr>
        <w:t>(</w:t>
      </w:r>
      <w:r w:rsidRPr="001603CF">
        <w:rPr>
          <w:rStyle w:val="RSCB02ArticleTextChar"/>
          <w:b w:val="0"/>
          <w:lang w:val="en-US"/>
        </w:rPr>
        <w:t>SS</w:t>
      </w:r>
      <w:r w:rsidR="00EA7273" w:rsidRPr="001603CF">
        <w:rPr>
          <w:rStyle w:val="RSCB02ArticleTextChar"/>
          <w:b w:val="0"/>
          <w:lang w:val="en-US"/>
        </w:rPr>
        <w:t>)</w:t>
      </w:r>
      <w:r w:rsidRPr="001603CF">
        <w:rPr>
          <w:rStyle w:val="RSCB02ArticleTextChar"/>
          <w:b w:val="0"/>
          <w:lang w:val="en-US"/>
        </w:rPr>
        <w:t xml:space="preserve"> Swagelok connectors and ferrules. The process temperature was regulated with a LAUDA PROLINE RP 845 thermostat. The downstream pressure was set at </w:t>
      </w:r>
      <w:r w:rsidR="00CF1DCB" w:rsidRPr="001603CF">
        <w:rPr>
          <w:rStyle w:val="RSCB02ArticleTextChar"/>
          <w:b w:val="0"/>
          <w:lang w:val="en-US"/>
        </w:rPr>
        <w:t>10</w:t>
      </w:r>
      <w:r w:rsidR="00A5699A" w:rsidRPr="001603CF">
        <w:rPr>
          <w:rStyle w:val="RSCB02ArticleTextChar"/>
          <w:b w:val="0"/>
          <w:lang w:val="en-US"/>
        </w:rPr>
        <w:t xml:space="preserve"> </w:t>
      </w:r>
      <w:r w:rsidRPr="001603CF">
        <w:rPr>
          <w:rStyle w:val="RSCB02ArticleTextChar"/>
          <w:b w:val="0"/>
          <w:lang w:val="en-US"/>
        </w:rPr>
        <w:t xml:space="preserve">bar (Zaiput BPR-10). The reactor setup was thoroughly flushed with </w:t>
      </w:r>
      <w:r w:rsidR="00E71219" w:rsidRPr="001603CF">
        <w:rPr>
          <w:rStyle w:val="RSCB02ArticleTextChar"/>
          <w:b w:val="0"/>
          <w:lang w:val="en-US"/>
        </w:rPr>
        <w:t>n</w:t>
      </w:r>
      <w:r w:rsidRPr="001603CF">
        <w:rPr>
          <w:rStyle w:val="RSCB02ArticleTextChar"/>
          <w:b w:val="0"/>
          <w:lang w:val="en-US"/>
        </w:rPr>
        <w:t>itrogen, and then with 1:1 EtOH/H</w:t>
      </w:r>
      <w:r w:rsidRPr="001603CF">
        <w:rPr>
          <w:rStyle w:val="RSCB02ArticleTextChar"/>
          <w:b w:val="0"/>
          <w:vertAlign w:val="subscript"/>
          <w:lang w:val="en-US"/>
        </w:rPr>
        <w:t>2</w:t>
      </w:r>
      <w:r w:rsidRPr="001603CF">
        <w:rPr>
          <w:rStyle w:val="RSCB02ArticleTextChar"/>
          <w:b w:val="0"/>
          <w:lang w:val="en-US"/>
        </w:rPr>
        <w:t>O mixture for 5 min</w:t>
      </w:r>
      <w:r w:rsidR="00A13254" w:rsidRPr="001603CF">
        <w:rPr>
          <w:rStyle w:val="RSCB02ArticleTextChar"/>
          <w:b w:val="0"/>
          <w:lang w:val="en-US"/>
        </w:rPr>
        <w:t xml:space="preserve">. </w:t>
      </w:r>
      <w:r w:rsidRPr="001603CF">
        <w:rPr>
          <w:rStyle w:val="RSCB02ArticleTextChar"/>
          <w:b w:val="0"/>
          <w:lang w:val="en-US"/>
        </w:rPr>
        <w:t>The pump handling feed solution B (0.</w:t>
      </w:r>
      <w:r w:rsidR="003A0CD2" w:rsidRPr="001603CF">
        <w:rPr>
          <w:rStyle w:val="RSCB02ArticleTextChar"/>
          <w:b w:val="0"/>
          <w:lang w:val="en-US"/>
        </w:rPr>
        <w:t>5</w:t>
      </w:r>
      <w:r w:rsidRPr="001603CF">
        <w:rPr>
          <w:rStyle w:val="RSCB02ArticleTextChar"/>
          <w:b w:val="0"/>
          <w:lang w:val="en-US"/>
        </w:rPr>
        <w:t xml:space="preserve"> M sodium thiosulfate quench solution</w:t>
      </w:r>
      <w:r w:rsidR="00D90813" w:rsidRPr="001603CF">
        <w:rPr>
          <w:rStyle w:val="RSCB02ArticleTextChar"/>
          <w:b w:val="0"/>
          <w:lang w:val="en-US"/>
        </w:rPr>
        <w:t xml:space="preserve"> in </w:t>
      </w:r>
      <w:r w:rsidR="00D90813" w:rsidRPr="001603CF">
        <w:rPr>
          <w:rFonts w:cstheme="minorHAnsi"/>
          <w:b w:val="0"/>
          <w:lang w:val="en-US"/>
        </w:rPr>
        <w:t>9:1 (</w:t>
      </w:r>
      <w:r w:rsidR="00D90813" w:rsidRPr="001603CF">
        <w:rPr>
          <w:rFonts w:cstheme="minorHAnsi"/>
          <w:b w:val="0"/>
          <w:i/>
          <w:iCs/>
          <w:lang w:val="en-US"/>
        </w:rPr>
        <w:t>v:v</w:t>
      </w:r>
      <w:r w:rsidR="00D90813" w:rsidRPr="001603CF">
        <w:rPr>
          <w:rFonts w:cstheme="minorHAnsi"/>
          <w:b w:val="0"/>
          <w:lang w:val="en-US"/>
        </w:rPr>
        <w:t xml:space="preserve">) water/ethanol </w:t>
      </w:r>
      <w:r w:rsidR="00D90813" w:rsidRPr="001603CF">
        <w:rPr>
          <w:rFonts w:cstheme="minorHAnsi"/>
          <w:b w:val="0"/>
          <w:szCs w:val="18"/>
          <w:lang w:val="en-US"/>
        </w:rPr>
        <w:t>mixture</w:t>
      </w:r>
      <w:r w:rsidRPr="001603CF">
        <w:rPr>
          <w:rStyle w:val="RSCB02ArticleTextChar"/>
          <w:b w:val="0"/>
          <w:lang w:val="en-US"/>
        </w:rPr>
        <w:t xml:space="preserve">) was set to </w:t>
      </w:r>
      <w:r w:rsidR="00F37D92" w:rsidRPr="001603CF">
        <w:rPr>
          <w:rStyle w:val="RSCB02ArticleTextChar"/>
          <w:b w:val="0"/>
          <w:lang w:val="en-US"/>
        </w:rPr>
        <w:t>3.</w:t>
      </w:r>
      <w:r w:rsidR="003A0CD2" w:rsidRPr="001603CF">
        <w:rPr>
          <w:rStyle w:val="RSCB02ArticleTextChar"/>
          <w:b w:val="0"/>
          <w:lang w:val="en-US"/>
        </w:rPr>
        <w:t>51</w:t>
      </w:r>
      <w:r w:rsidRPr="001603CF">
        <w:rPr>
          <w:rStyle w:val="RSCB02ArticleTextChar"/>
          <w:b w:val="0"/>
          <w:lang w:val="en-US"/>
        </w:rPr>
        <w:t xml:space="preserve"> mL min</w:t>
      </w:r>
      <w:r w:rsidRPr="001603CF">
        <w:rPr>
          <w:rStyle w:val="RSCB02ArticleTextChar"/>
          <w:b w:val="0"/>
          <w:vertAlign w:val="superscript"/>
          <w:lang w:val="en-US"/>
        </w:rPr>
        <w:t>-1</w:t>
      </w:r>
      <w:r w:rsidRPr="001603CF">
        <w:rPr>
          <w:rStyle w:val="RSCB02ArticleTextChar"/>
          <w:b w:val="0"/>
          <w:lang w:val="en-US"/>
        </w:rPr>
        <w:t xml:space="preserve"> </w:t>
      </w:r>
      <w:r w:rsidR="008E7D82" w:rsidRPr="001603CF">
        <w:rPr>
          <w:rStyle w:val="RSCB02ArticleTextChar"/>
          <w:b w:val="0"/>
          <w:lang w:val="en-US"/>
        </w:rPr>
        <w:t xml:space="preserve">and </w:t>
      </w:r>
      <w:r w:rsidRPr="001603CF">
        <w:rPr>
          <w:rStyle w:val="RSCB02ArticleTextChar"/>
          <w:b w:val="0"/>
          <w:lang w:val="en-US"/>
        </w:rPr>
        <w:t>the pump handlin</w:t>
      </w:r>
      <w:r w:rsidR="004A0586" w:rsidRPr="001603CF">
        <w:rPr>
          <w:rStyle w:val="RSCB02ArticleTextChar"/>
          <w:b w:val="0"/>
          <w:lang w:val="en-US"/>
        </w:rPr>
        <w:t>g</w:t>
      </w:r>
      <w:r w:rsidRPr="001603CF">
        <w:rPr>
          <w:rStyle w:val="RSCB02ArticleTextChar"/>
          <w:b w:val="0"/>
          <w:lang w:val="en-US"/>
        </w:rPr>
        <w:t xml:space="preserve"> feed solution A (0.5 M </w:t>
      </w:r>
      <w:r w:rsidRPr="001603CF">
        <w:rPr>
          <w:szCs w:val="18"/>
          <w:lang w:val="en-US"/>
        </w:rPr>
        <w:t>CEES</w:t>
      </w:r>
      <w:r w:rsidRPr="001603CF">
        <w:rPr>
          <w:b w:val="0"/>
          <w:szCs w:val="18"/>
          <w:lang w:val="en-US"/>
        </w:rPr>
        <w:t xml:space="preserve"> in EtOH) was set to </w:t>
      </w:r>
      <w:r w:rsidR="00DC01B8" w:rsidRPr="001603CF">
        <w:rPr>
          <w:rStyle w:val="RSCB02ArticleTextChar"/>
          <w:b w:val="0"/>
          <w:lang w:val="en-US"/>
        </w:rPr>
        <w:t>1.7</w:t>
      </w:r>
      <w:r w:rsidR="003A0CD2" w:rsidRPr="001603CF">
        <w:rPr>
          <w:rStyle w:val="RSCB02ArticleTextChar"/>
          <w:b w:val="0"/>
          <w:lang w:val="en-US"/>
        </w:rPr>
        <w:t>6</w:t>
      </w:r>
      <w:r w:rsidRPr="001603CF">
        <w:rPr>
          <w:rStyle w:val="RSCB02ArticleTextChar"/>
          <w:b w:val="0"/>
          <w:lang w:val="en-US"/>
        </w:rPr>
        <w:t xml:space="preserve"> mL min</w:t>
      </w:r>
      <w:r w:rsidRPr="001603CF">
        <w:rPr>
          <w:rStyle w:val="RSCB02ArticleTextChar"/>
          <w:b w:val="0"/>
          <w:vertAlign w:val="superscript"/>
          <w:lang w:val="en-US"/>
        </w:rPr>
        <w:t>-1</w:t>
      </w:r>
      <w:r w:rsidRPr="001603CF">
        <w:rPr>
          <w:b w:val="0"/>
          <w:szCs w:val="18"/>
          <w:lang w:val="en-US"/>
        </w:rPr>
        <w:t xml:space="preserve">. </w:t>
      </w:r>
      <w:r w:rsidR="008E7D82" w:rsidRPr="001603CF">
        <w:rPr>
          <w:rStyle w:val="RSCB02ArticleTextChar"/>
          <w:b w:val="0"/>
          <w:lang w:val="en-US"/>
        </w:rPr>
        <w:t xml:space="preserve">Lastly, the line feeding the reactor with ozone </w:t>
      </w:r>
      <w:r w:rsidR="008E7D82" w:rsidRPr="001603CF">
        <w:rPr>
          <w:b w:val="0"/>
          <w:szCs w:val="18"/>
          <w:lang w:val="en-US"/>
        </w:rPr>
        <w:t>(282 mL</w:t>
      </w:r>
      <w:r w:rsidR="008E7D82" w:rsidRPr="001603CF">
        <w:rPr>
          <w:b w:val="0"/>
          <w:szCs w:val="18"/>
          <w:vertAlign w:val="subscript"/>
          <w:lang w:val="en-US"/>
        </w:rPr>
        <w:t>N</w:t>
      </w:r>
      <w:r w:rsidR="008E7D82" w:rsidRPr="001603CF">
        <w:rPr>
          <w:b w:val="0"/>
          <w:szCs w:val="18"/>
          <w:lang w:val="en-US"/>
        </w:rPr>
        <w:t xml:space="preserve"> min</w:t>
      </w:r>
      <w:r w:rsidR="008E7D82" w:rsidRPr="001603CF">
        <w:rPr>
          <w:b w:val="0"/>
          <w:szCs w:val="18"/>
          <w:vertAlign w:val="superscript"/>
          <w:lang w:val="en-US"/>
        </w:rPr>
        <w:t>-1</w:t>
      </w:r>
      <w:r w:rsidR="008E7D82" w:rsidRPr="001603CF">
        <w:rPr>
          <w:b w:val="0"/>
          <w:szCs w:val="18"/>
          <w:lang w:val="en-US"/>
        </w:rPr>
        <w:t xml:space="preserve">) was initiated. </w:t>
      </w:r>
      <w:r w:rsidRPr="001603CF">
        <w:rPr>
          <w:szCs w:val="18"/>
          <w:lang w:val="en-US"/>
        </w:rPr>
        <w:t>CEES</w:t>
      </w:r>
      <w:r w:rsidRPr="001603CF">
        <w:rPr>
          <w:b w:val="0"/>
          <w:szCs w:val="18"/>
          <w:lang w:val="en-US"/>
        </w:rPr>
        <w:t xml:space="preserve"> was reacted with ozone at </w:t>
      </w:r>
      <w:r w:rsidR="00046DD1" w:rsidRPr="001603CF">
        <w:rPr>
          <w:b w:val="0"/>
          <w:szCs w:val="18"/>
          <w:lang w:val="en-US"/>
        </w:rPr>
        <w:t>10</w:t>
      </w:r>
      <w:r w:rsidRPr="001603CF">
        <w:rPr>
          <w:b w:val="0"/>
          <w:szCs w:val="18"/>
          <w:lang w:val="en-US"/>
        </w:rPr>
        <w:t xml:space="preserve"> °C for a residence time of 1 s. Samples were collected at steady state</w:t>
      </w:r>
      <w:r w:rsidRPr="001603CF">
        <w:rPr>
          <w:b w:val="0"/>
          <w:lang w:val="en-US"/>
        </w:rPr>
        <w:t xml:space="preserve">. </w:t>
      </w:r>
      <w:r w:rsidR="008E7D82" w:rsidRPr="001603CF">
        <w:rPr>
          <w:b w:val="0"/>
          <w:lang w:val="en-US"/>
        </w:rPr>
        <w:t xml:space="preserve">Note that </w:t>
      </w:r>
      <w:r w:rsidR="008E7D82" w:rsidRPr="001603CF">
        <w:rPr>
          <w:b w:val="0"/>
          <w:szCs w:val="18"/>
          <w:lang w:val="en-US"/>
        </w:rPr>
        <w:t xml:space="preserve">the selection of a </w:t>
      </w:r>
      <w:r w:rsidR="008E7D82" w:rsidRPr="001603CF">
        <w:rPr>
          <w:rFonts w:cstheme="minorHAnsi"/>
          <w:b w:val="0"/>
          <w:lang w:val="en-US"/>
        </w:rPr>
        <w:t>9:1 (</w:t>
      </w:r>
      <w:r w:rsidR="008E7D82" w:rsidRPr="001603CF">
        <w:rPr>
          <w:rFonts w:cstheme="minorHAnsi"/>
          <w:b w:val="0"/>
          <w:i/>
          <w:iCs/>
          <w:lang w:val="en-US"/>
        </w:rPr>
        <w:t>v:v</w:t>
      </w:r>
      <w:r w:rsidR="008E7D82" w:rsidRPr="001603CF">
        <w:rPr>
          <w:rFonts w:cstheme="minorHAnsi"/>
          <w:b w:val="0"/>
          <w:lang w:val="en-US"/>
        </w:rPr>
        <w:t xml:space="preserve">) water/ethanol </w:t>
      </w:r>
      <w:r w:rsidR="008E7D82" w:rsidRPr="001603CF">
        <w:rPr>
          <w:rFonts w:cstheme="minorHAnsi"/>
          <w:b w:val="0"/>
          <w:szCs w:val="18"/>
          <w:lang w:val="en-US"/>
        </w:rPr>
        <w:t>mixture is critical to avoid extensive precipitation of inorganic salts upon quenching.</w:t>
      </w:r>
      <w:r w:rsidR="00E45131" w:rsidRPr="001603CF">
        <w:rPr>
          <w:rFonts w:cstheme="minorHAnsi"/>
          <w:b w:val="0"/>
          <w:szCs w:val="18"/>
          <w:lang w:val="en-US"/>
        </w:rPr>
        <w:t xml:space="preserve"> </w:t>
      </w:r>
      <w:r w:rsidR="000D6D23" w:rsidRPr="001603CF">
        <w:rPr>
          <w:b w:val="0"/>
          <w:lang w:val="en-US"/>
        </w:rPr>
        <w:t xml:space="preserve">After </w:t>
      </w:r>
      <w:r w:rsidR="004C0E9C" w:rsidRPr="001603CF">
        <w:rPr>
          <w:b w:val="0"/>
          <w:lang w:val="en-US"/>
        </w:rPr>
        <w:t xml:space="preserve">each run, the ozone gas line </w:t>
      </w:r>
      <w:r w:rsidR="004C0E9C" w:rsidRPr="001603CF">
        <w:rPr>
          <w:b w:val="0"/>
          <w:lang w:val="en-US"/>
        </w:rPr>
        <w:t>was redirected to the vent</w:t>
      </w:r>
      <w:r w:rsidR="00B36692" w:rsidRPr="001603CF">
        <w:rPr>
          <w:b w:val="0"/>
          <w:lang w:val="en-US"/>
        </w:rPr>
        <w:t>,</w:t>
      </w:r>
      <w:r w:rsidR="004C0E9C" w:rsidRPr="001603CF">
        <w:rPr>
          <w:b w:val="0"/>
          <w:lang w:val="en-US"/>
        </w:rPr>
        <w:t xml:space="preserve"> and the generator and lines were flushed with nitrogen. </w:t>
      </w:r>
    </w:p>
    <w:p w14:paraId="4DAD64FE" w14:textId="3A313466" w:rsidR="00DF3A0F" w:rsidRPr="001603CF" w:rsidRDefault="009C22A9">
      <w:pPr>
        <w:pStyle w:val="RSCB04AHeadingSection"/>
        <w:rPr>
          <w:lang w:val="en-US"/>
        </w:rPr>
      </w:pPr>
      <w:r w:rsidRPr="001603CF">
        <w:rPr>
          <w:lang w:val="en-US"/>
        </w:rPr>
        <w:t>R</w:t>
      </w:r>
      <w:r w:rsidR="00DF3A0F" w:rsidRPr="001603CF">
        <w:rPr>
          <w:lang w:val="en-US"/>
        </w:rPr>
        <w:t>esults and Discussion</w:t>
      </w:r>
    </w:p>
    <w:p w14:paraId="7AEA8754" w14:textId="717A606D" w:rsidR="007129D1" w:rsidRPr="001603CF" w:rsidRDefault="00D430D8">
      <w:pPr>
        <w:pStyle w:val="RSCB06BHeadingSub-Section"/>
        <w:rPr>
          <w:lang w:val="en-US"/>
        </w:rPr>
      </w:pPr>
      <w:r w:rsidRPr="001603CF">
        <w:rPr>
          <w:lang w:val="en-US"/>
        </w:rPr>
        <w:t>Computational design</w:t>
      </w:r>
    </w:p>
    <w:p w14:paraId="642D311A" w14:textId="448040F7" w:rsidR="00E37D8D" w:rsidRPr="001603CF" w:rsidRDefault="00985B96">
      <w:pPr>
        <w:pStyle w:val="RSCB02ArticleText"/>
        <w:rPr>
          <w:lang w:val="en-US"/>
        </w:rPr>
      </w:pPr>
      <w:r w:rsidRPr="001603CF">
        <w:rPr>
          <w:lang w:val="en-US"/>
        </w:rPr>
        <w:t xml:space="preserve">The access to </w:t>
      </w:r>
      <w:r w:rsidRPr="001603CF">
        <w:rPr>
          <w:b/>
          <w:lang w:val="en-US"/>
        </w:rPr>
        <w:t xml:space="preserve">HD </w:t>
      </w:r>
      <w:r w:rsidRPr="001603CF">
        <w:rPr>
          <w:lang w:val="en-US"/>
        </w:rPr>
        <w:t xml:space="preserve">is restricted to very few labs worldwide with military clearance. While such restriction is perfectly understandable given all the above, it is clearly a main limitation when it comes to the development of actual </w:t>
      </w:r>
      <w:r w:rsidRPr="001603CF">
        <w:rPr>
          <w:b/>
          <w:lang w:val="en-US"/>
        </w:rPr>
        <w:t>HD</w:t>
      </w:r>
      <w:r w:rsidRPr="001603CF">
        <w:rPr>
          <w:lang w:val="en-US"/>
        </w:rPr>
        <w:t xml:space="preserve"> neutralization protocols. </w:t>
      </w:r>
      <w:r w:rsidR="00663265" w:rsidRPr="001603CF">
        <w:rPr>
          <w:lang w:val="en-US"/>
        </w:rPr>
        <w:t>S</w:t>
      </w:r>
      <w:r w:rsidRPr="001603CF">
        <w:rPr>
          <w:lang w:val="en-US"/>
        </w:rPr>
        <w:t xml:space="preserve">afety </w:t>
      </w:r>
      <w:r w:rsidR="00806ECA" w:rsidRPr="001603CF">
        <w:rPr>
          <w:lang w:val="en-US"/>
        </w:rPr>
        <w:t>concerns</w:t>
      </w:r>
      <w:r w:rsidR="00663265" w:rsidRPr="001603CF">
        <w:rPr>
          <w:lang w:val="en-US"/>
        </w:rPr>
        <w:t xml:space="preserve"> </w:t>
      </w:r>
      <w:r w:rsidRPr="001603CF">
        <w:rPr>
          <w:lang w:val="en-US"/>
        </w:rPr>
        <w:t>are enough to trigger the search for alternative, low</w:t>
      </w:r>
      <w:r w:rsidR="00183A47" w:rsidRPr="001603CF">
        <w:rPr>
          <w:lang w:val="en-US"/>
        </w:rPr>
        <w:t>-</w:t>
      </w:r>
      <w:r w:rsidRPr="001603CF">
        <w:rPr>
          <w:lang w:val="en-US"/>
        </w:rPr>
        <w:t xml:space="preserve">toxicity structures, yet able to provide relevant chemical information. There </w:t>
      </w:r>
      <w:r w:rsidR="00183A47" w:rsidRPr="001603CF">
        <w:rPr>
          <w:lang w:val="en-US"/>
        </w:rPr>
        <w:t xml:space="preserve">is </w:t>
      </w:r>
      <w:r w:rsidRPr="001603CF">
        <w:rPr>
          <w:lang w:val="en-US"/>
        </w:rPr>
        <w:t xml:space="preserve">a wide range of </w:t>
      </w:r>
      <w:r w:rsidR="00663265" w:rsidRPr="001603CF">
        <w:rPr>
          <w:lang w:val="en-US"/>
        </w:rPr>
        <w:t xml:space="preserve">commercially available </w:t>
      </w:r>
      <w:r w:rsidRPr="001603CF">
        <w:rPr>
          <w:lang w:val="en-US"/>
        </w:rPr>
        <w:t xml:space="preserve">thioethers, and among them, both </w:t>
      </w:r>
      <w:r w:rsidRPr="001603CF">
        <w:rPr>
          <w:b/>
          <w:lang w:val="en-US"/>
        </w:rPr>
        <w:t>CEPS</w:t>
      </w:r>
      <w:r w:rsidRPr="001603CF">
        <w:rPr>
          <w:lang w:val="en-US"/>
        </w:rPr>
        <w:t xml:space="preserve"> and </w:t>
      </w:r>
      <w:r w:rsidRPr="001603CF">
        <w:rPr>
          <w:b/>
          <w:lang w:val="en-US"/>
        </w:rPr>
        <w:t>CEES</w:t>
      </w:r>
      <w:r w:rsidRPr="001603CF">
        <w:rPr>
          <w:lang w:val="en-US"/>
        </w:rPr>
        <w:t xml:space="preserve"> are commonly used </w:t>
      </w:r>
      <w:r w:rsidRPr="001603CF">
        <w:rPr>
          <w:b/>
          <w:lang w:val="en-US"/>
        </w:rPr>
        <w:t>HD</w:t>
      </w:r>
      <w:r w:rsidRPr="001603CF">
        <w:rPr>
          <w:lang w:val="en-US"/>
        </w:rPr>
        <w:t xml:space="preserve"> simulants </w:t>
      </w:r>
      <w:r w:rsidR="00663265" w:rsidRPr="001603CF">
        <w:rPr>
          <w:lang w:val="en-US"/>
        </w:rPr>
        <w:t>due to their</w:t>
      </w:r>
      <w:r w:rsidRPr="001603CF">
        <w:rPr>
          <w:lang w:val="en-US"/>
        </w:rPr>
        <w:t xml:space="preserve"> structural resemblance.</w:t>
      </w:r>
      <w:r w:rsidRPr="001603CF">
        <w:rPr>
          <w:b/>
          <w:lang w:val="en-US"/>
        </w:rPr>
        <w:t xml:space="preserve"> </w:t>
      </w:r>
      <w:r w:rsidRPr="001603CF">
        <w:rPr>
          <w:lang w:val="en-US"/>
        </w:rPr>
        <w:t>However, both</w:t>
      </w:r>
      <w:r w:rsidR="009C6E7B" w:rsidRPr="001603CF">
        <w:rPr>
          <w:lang w:val="en-US"/>
        </w:rPr>
        <w:t xml:space="preserve"> compounds</w:t>
      </w:r>
      <w:r w:rsidRPr="001603CF">
        <w:rPr>
          <w:lang w:val="en-US"/>
        </w:rPr>
        <w:t xml:space="preserve"> are toxic and severe vesicants, </w:t>
      </w:r>
      <w:r w:rsidR="00663265" w:rsidRPr="001603CF">
        <w:rPr>
          <w:lang w:val="en-US"/>
        </w:rPr>
        <w:t xml:space="preserve">and </w:t>
      </w:r>
      <w:r w:rsidRPr="001603CF">
        <w:rPr>
          <w:lang w:val="en-US"/>
        </w:rPr>
        <w:t>the</w:t>
      </w:r>
      <w:r w:rsidR="00663265" w:rsidRPr="001603CF">
        <w:rPr>
          <w:lang w:val="en-US"/>
        </w:rPr>
        <w:t>ir</w:t>
      </w:r>
      <w:r w:rsidRPr="001603CF">
        <w:rPr>
          <w:lang w:val="en-US"/>
        </w:rPr>
        <w:t xml:space="preserve"> use should not be taken lightly for the development of neutralization processes. Other suitable </w:t>
      </w:r>
      <w:r w:rsidR="005B404A" w:rsidRPr="001603CF">
        <w:rPr>
          <w:lang w:val="en-US"/>
        </w:rPr>
        <w:t xml:space="preserve">commercially available </w:t>
      </w:r>
      <w:r w:rsidRPr="001603CF">
        <w:rPr>
          <w:lang w:val="en-US"/>
        </w:rPr>
        <w:t xml:space="preserve">thioethers may </w:t>
      </w:r>
      <w:r w:rsidR="005B404A" w:rsidRPr="001603CF">
        <w:rPr>
          <w:lang w:val="en-US"/>
        </w:rPr>
        <w:t>exist</w:t>
      </w:r>
      <w:r w:rsidRPr="001603CF">
        <w:rPr>
          <w:lang w:val="en-US"/>
        </w:rPr>
        <w:t xml:space="preserve">, </w:t>
      </w:r>
      <w:r w:rsidR="005B404A" w:rsidRPr="001603CF">
        <w:rPr>
          <w:lang w:val="en-US"/>
        </w:rPr>
        <w:t xml:space="preserve">however </w:t>
      </w:r>
      <w:r w:rsidRPr="001603CF">
        <w:rPr>
          <w:lang w:val="en-US"/>
        </w:rPr>
        <w:t xml:space="preserve">sufficient quantitative information is </w:t>
      </w:r>
      <w:r w:rsidR="005B404A" w:rsidRPr="001603CF">
        <w:rPr>
          <w:lang w:val="en-US"/>
        </w:rPr>
        <w:t xml:space="preserve">necessary </w:t>
      </w:r>
      <w:r w:rsidRPr="001603CF">
        <w:rPr>
          <w:lang w:val="en-US"/>
        </w:rPr>
        <w:t xml:space="preserve">to </w:t>
      </w:r>
      <w:r w:rsidR="005B404A" w:rsidRPr="001603CF">
        <w:rPr>
          <w:lang w:val="en-US"/>
        </w:rPr>
        <w:t>support</w:t>
      </w:r>
      <w:r w:rsidRPr="001603CF">
        <w:rPr>
          <w:lang w:val="en-US"/>
        </w:rPr>
        <w:t xml:space="preserve"> </w:t>
      </w:r>
      <w:r w:rsidR="005B404A" w:rsidRPr="001603CF">
        <w:rPr>
          <w:lang w:val="en-US"/>
        </w:rPr>
        <w:t xml:space="preserve">their use </w:t>
      </w:r>
      <w:r w:rsidRPr="001603CF">
        <w:rPr>
          <w:lang w:val="en-US"/>
        </w:rPr>
        <w:t xml:space="preserve">as potential simulants. In an ideal scenario, a low </w:t>
      </w:r>
      <w:r w:rsidR="00E37D8D" w:rsidRPr="001603CF">
        <w:rPr>
          <w:lang w:val="en-US"/>
        </w:rPr>
        <w:t xml:space="preserve">toxicity, widely available thioether would be used to develop new process conditions, prior to transposition to a closer </w:t>
      </w:r>
      <w:r w:rsidR="00E37D8D" w:rsidRPr="001603CF">
        <w:rPr>
          <w:b/>
          <w:lang w:val="en-US"/>
        </w:rPr>
        <w:t xml:space="preserve">HD </w:t>
      </w:r>
      <w:r w:rsidR="00E37D8D" w:rsidRPr="001603CF">
        <w:rPr>
          <w:lang w:val="en-US"/>
        </w:rPr>
        <w:t xml:space="preserve">simulant. </w:t>
      </w:r>
      <w:r w:rsidR="00E03F1E" w:rsidRPr="001603CF">
        <w:rPr>
          <w:lang w:val="en-US"/>
        </w:rPr>
        <w:t>A</w:t>
      </w:r>
      <w:r w:rsidR="00E37D8D" w:rsidRPr="001603CF">
        <w:rPr>
          <w:lang w:val="en-US"/>
        </w:rPr>
        <w:t xml:space="preserve"> quantitative metric to claim chemical analogy </w:t>
      </w:r>
      <w:r w:rsidR="00E03F1E" w:rsidRPr="001603CF">
        <w:rPr>
          <w:lang w:val="en-US"/>
        </w:rPr>
        <w:t xml:space="preserve">between such a thioether and </w:t>
      </w:r>
      <w:r w:rsidR="00E37D8D" w:rsidRPr="001603CF">
        <w:rPr>
          <w:b/>
          <w:lang w:val="en-US"/>
        </w:rPr>
        <w:t>HD</w:t>
      </w:r>
      <w:r w:rsidR="00E37D8D" w:rsidRPr="001603CF">
        <w:rPr>
          <w:lang w:val="en-US"/>
        </w:rPr>
        <w:t xml:space="preserve"> can be accessed </w:t>
      </w:r>
      <w:r w:rsidR="00E37D8D" w:rsidRPr="001603CF">
        <w:rPr>
          <w:i/>
          <w:lang w:val="en-US"/>
        </w:rPr>
        <w:t>in silico</w:t>
      </w:r>
      <w:r w:rsidR="00E37D8D" w:rsidRPr="001603CF">
        <w:rPr>
          <w:lang w:val="en-US"/>
        </w:rPr>
        <w:t xml:space="preserve">. The availability of the non-bonding </w:t>
      </w:r>
      <w:r w:rsidR="00E37D8D" w:rsidRPr="001603CF">
        <w:rPr>
          <w:i/>
          <w:lang w:val="en-US"/>
        </w:rPr>
        <w:t>n</w:t>
      </w:r>
      <w:r w:rsidR="00E37D8D" w:rsidRPr="001603CF">
        <w:rPr>
          <w:vertAlign w:val="subscript"/>
          <w:lang w:val="en-US"/>
        </w:rPr>
        <w:t>S</w:t>
      </w:r>
      <w:r w:rsidR="00E37D8D" w:rsidRPr="001603CF">
        <w:rPr>
          <w:lang w:val="en-US"/>
        </w:rPr>
        <w:t xml:space="preserve"> orbitals through stereoelectronic interactions has been already proposed by our lab as a first metric to rank the potential candidates,</w:t>
      </w:r>
      <w:r w:rsidR="0065052C" w:rsidRPr="001603CF">
        <w:rPr>
          <w:lang w:val="en-US"/>
        </w:rPr>
        <w:fldChar w:fldCharType="begin" w:fldLock="1"/>
      </w:r>
      <w:r w:rsidR="00864EF1" w:rsidRPr="001603CF">
        <w:rPr>
          <w:lang w:val="en-US"/>
        </w:rPr>
        <w:instrText>ADDIN CSL_CITATION {"citationItems":[{"id":"ITEM-1","itemData":{"DOI":"10.1039/d0gc01142h","ISSN":"1463-9262","abstract":" Intensified chemical neutralization of a chemical warfare agent simulant CEES with air and light under continuous flow conditions.  A low footprint, mobile, robust and frugal chemical neutralization technology is reported for the oxidative neutralization of a mustard gas simulant. It relies on the inherent properties of a highly engineered continuous flow setup and carefully optimized and simple, yet robust, experimental conditions. The neutralization protocol uses only non-toxic, widely available and cheap chemicals. The continuous flow setup integrates a singlet oxygen generator and exploits its oxidative power to neutralize 2-chloroethyl ethyl sulfide ( CEES ), the most common thioether mustard gas simulant. The flow reactor can be connected to either pressurized oxygen or air and handles CEES as a 1 M solution in EtOH containing a trace amount (0.06 mol%) of a non-toxic and widely available photosensitizer (Methylene Blue). Upon irradiation with visible light (orange or white light), total and highly selective neutralization towards the corresponding non-toxic sulfoxide (1-chloro-2-(ethylsulfinyl)ethane, CEESO ) is obtained with reactor effluents containing less than 1% of the corresponding potentially toxic sulfone (1-chloro-2-(ethylsulfonyl)ethane, CEESO2 ). With a low footprint ( L × W × H 94 × 42 × 40 cm), this neutralization technology can be equipped on a vehicle for on-site interventions, localized at a neutralization facility or both. This experimental work is also supported with the computational rationalization of the reactivity of CEES towards singlet oxygen. ","author":[{"dropping-particle":"","family":"Emmanuel","given":"Noémie","non-dropping-particle":"","parse-names":false,"suffix":""},{"dropping-particle":"","family":"Bianchi","given":"Pauline","non-dropping-particle":"","parse-names":false,"suffix":""},{"dropping-particle":"","family":"Legros","given":"Julien","non-dropping-particle":"","parse-names":false,"suffix":""},{"dropping-particle":"","family":"Monbaliu","given":"Jean-Christophe M.","non-dropping-particle":"","parse-names":false,"suffix":""}],"container-title":"Green Chemistry","id":"ITEM-1","issued":{"date-parts":[["2020"]]},"page":"4105-4115","publisher":"Royal Society of Chemistry","title":"A safe and compact flow platform for the neutralization of a mustard gas simulant with air and light","type":"article-journal","volume":"22"},"uris":["http://www.mendeley.com/documents/?uuid=29a3104b-a9d6-4684-978c-391064f597d2"]}],"mendeley":{"formattedCitation":"&lt;sup&gt;19&lt;/sup&gt;","plainTextFormattedCitation":"19","previouslyFormattedCitation":"&lt;sup&gt;19&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19</w:t>
      </w:r>
      <w:r w:rsidR="0065052C" w:rsidRPr="001603CF">
        <w:rPr>
          <w:lang w:val="en-US"/>
        </w:rPr>
        <w:fldChar w:fldCharType="end"/>
      </w:r>
      <w:r w:rsidR="00E37D8D" w:rsidRPr="001603CF">
        <w:rPr>
          <w:lang w:val="en-US"/>
        </w:rPr>
        <w:t xml:space="preserve"> </w:t>
      </w:r>
      <w:r w:rsidR="005B404A" w:rsidRPr="001603CF">
        <w:rPr>
          <w:lang w:val="en-US"/>
        </w:rPr>
        <w:t xml:space="preserve">though </w:t>
      </w:r>
      <w:r w:rsidR="00E37D8D" w:rsidRPr="001603CF">
        <w:rPr>
          <w:lang w:val="en-US"/>
        </w:rPr>
        <w:t xml:space="preserve">it </w:t>
      </w:r>
      <w:r w:rsidR="005B404A" w:rsidRPr="001603CF">
        <w:rPr>
          <w:lang w:val="en-US"/>
        </w:rPr>
        <w:t xml:space="preserve">was based </w:t>
      </w:r>
      <w:r w:rsidR="00E37D8D" w:rsidRPr="001603CF">
        <w:rPr>
          <w:lang w:val="en-US"/>
        </w:rPr>
        <w:t xml:space="preserve">only </w:t>
      </w:r>
      <w:r w:rsidR="005B404A" w:rsidRPr="001603CF">
        <w:rPr>
          <w:lang w:val="en-US"/>
        </w:rPr>
        <w:t>on chemical intuition</w:t>
      </w:r>
      <w:r w:rsidR="00E37D8D" w:rsidRPr="001603CF">
        <w:rPr>
          <w:lang w:val="en-US"/>
        </w:rPr>
        <w:t xml:space="preserve">. </w:t>
      </w:r>
      <w:r w:rsidR="005B404A" w:rsidRPr="001603CF">
        <w:rPr>
          <w:lang w:val="en-US"/>
        </w:rPr>
        <w:t>W</w:t>
      </w:r>
      <w:r w:rsidR="00E37D8D" w:rsidRPr="001603CF">
        <w:rPr>
          <w:lang w:val="en-US"/>
        </w:rPr>
        <w:t xml:space="preserve">e have </w:t>
      </w:r>
      <w:r w:rsidR="005B404A" w:rsidRPr="001603CF">
        <w:rPr>
          <w:lang w:val="en-US"/>
        </w:rPr>
        <w:t xml:space="preserve">now </w:t>
      </w:r>
      <w:r w:rsidR="00E37D8D" w:rsidRPr="001603CF">
        <w:rPr>
          <w:lang w:val="en-US"/>
        </w:rPr>
        <w:t xml:space="preserve">developed </w:t>
      </w:r>
      <w:r w:rsidR="00183A47" w:rsidRPr="001603CF">
        <w:rPr>
          <w:lang w:val="en-US"/>
        </w:rPr>
        <w:t xml:space="preserve">the </w:t>
      </w:r>
      <w:r w:rsidR="00E37D8D" w:rsidRPr="001603CF">
        <w:rPr>
          <w:lang w:val="en-US"/>
        </w:rPr>
        <w:t>necessary tools and know-how for accessing a more refined selection protocol. The latter relies both on Conceptual Density Functional Theory (CDFT)</w:t>
      </w:r>
      <w:r w:rsidR="0065052C" w:rsidRPr="001603CF">
        <w:rPr>
          <w:lang w:val="en-US"/>
        </w:rPr>
        <w:fldChar w:fldCharType="begin" w:fldLock="1"/>
      </w:r>
      <w:r w:rsidR="00864EF1" w:rsidRPr="001603CF">
        <w:rPr>
          <w:lang w:val="en-US"/>
        </w:rPr>
        <w:instrText>ADDIN CSL_CITATION {"citationItems":[{"id":"ITEM-1","itemData":{"DOI":"10.3390/molecules21060748","ISSN":"14203049","PMID":"27294896","abstract":"Theoretical reactivity indices based on the conceptual Density Functional Theory (DFT) have become a powerful tool for the semiquantitative study of organic reactivity. A large number of reactivity indices have been proposed in the literature. Herein, global quantities like the electronic chemical potential μ, the electrophilicity ω and the nucleophilicity N indices, and local condensed indices like the electrophilic Pk+ and nucleophilic Pk- Parr functions, as the most relevant indices for the study of organic reactivity, are discussed.","author":[{"dropping-particle":"","family":"Domingo","given":"Luis R.","non-dropping-particle":"","parse-names":false,"suffix":""},{"dropping-particle":"","family":"Ríos-Gutiérrez","given":"Mar","non-dropping-particle":"","parse-names":false,"suffix":""},{"dropping-particle":"","family":"Pérez","given":"Patricia","non-dropping-particle":"","parse-names":false,"suffix":""}],"container-title":"Molecules","id":"ITEM-1","issue":"6","issued":{"date-parts":[["2016"]]},"title":"Applications of the conceptual density functional theory indices to organic chemistry reactivity","type":"article-journal","volume":"21"},"uris":["http://www.mendeley.com/documents/?uuid=58d55291-89c6-4b61-bdce-df4e6e99a59b"]},{"id":"ITEM-2","itemData":{"DOI":"10.1021/cr990029p","ISSN":"00092665","author":[{"dropping-particle":"","family":"Geerlings","given":"P.","non-dropping-particle":"","parse-names":false,"suffix":""},{"dropping-particle":"","family":"Proft","given":"F.","non-dropping-particle":"De","parse-names":false,"suffix":""},{"dropping-particle":"","family":"Langenaeker","given":"W.","non-dropping-particle":"","parse-names":false,"suffix":""}],"container-title":"Chemical Reviews","id":"ITEM-2","issue":"5","issued":{"date-parts":[["2003"]]},"page":"1793-1873","title":"Conceptual density functional theory","type":"article-journal","volume":"103"},"uris":["http://www.mendeley.com/documents/?uuid=98918723-c866-47e8-8c75-a60396b089f5"]}],"mendeley":{"formattedCitation":"&lt;sup&gt;29,30&lt;/sup&gt;","plainTextFormattedCitation":"29,30","previouslyFormattedCitation":"&lt;sup&gt;29,30&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29,30</w:t>
      </w:r>
      <w:r w:rsidR="0065052C" w:rsidRPr="001603CF">
        <w:rPr>
          <w:lang w:val="en-US"/>
        </w:rPr>
        <w:fldChar w:fldCharType="end"/>
      </w:r>
      <w:r w:rsidR="00E37D8D" w:rsidRPr="001603CF">
        <w:rPr>
          <w:lang w:val="en-US"/>
        </w:rPr>
        <w:t xml:space="preserve"> and on the accurate calculation of activation barriers through our open-source software.</w:t>
      </w:r>
      <w:r w:rsidR="0065052C" w:rsidRPr="001603CF">
        <w:rPr>
          <w:lang w:val="en-US"/>
        </w:rPr>
        <w:fldChar w:fldCharType="begin" w:fldLock="1"/>
      </w:r>
      <w:r w:rsidR="00864EF1" w:rsidRPr="001603CF">
        <w:rPr>
          <w:lang w:val="en-US"/>
        </w:rPr>
        <w:instrText>ADDIN CSL_CITATION {"citationItems":[{"id":"ITEM-1","itemData":{"DOI":"10.5281/ZENODO.8116089","author":[{"dropping-particle":"","family":"Monbaliu","given":"Jean-Christophe","non-dropping-particle":"","parse-names":false,"suffix":""},{"dropping-particle":"","family":"Bianchi","given":"Pauline","non-dropping-particle":"","parse-names":false,"suffix":""}],"id":"ITEM-1","issued":{"date-parts":[["2023","7","5"]]},"title":"SnapPy","type":"article"},"uris":["http://www.mendeley.com/documents/?uuid=559945ed-515e-3492-a762-c32897589242"]}],"mendeley":{"formattedCitation":"&lt;sup&gt;28&lt;/sup&gt;","plainTextFormattedCitation":"28","previouslyFormattedCitation":"&lt;sup&gt;28&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28</w:t>
      </w:r>
      <w:r w:rsidR="0065052C" w:rsidRPr="001603CF">
        <w:rPr>
          <w:lang w:val="en-US"/>
        </w:rPr>
        <w:fldChar w:fldCharType="end"/>
      </w:r>
      <w:r w:rsidR="00E37D8D" w:rsidRPr="001603CF">
        <w:rPr>
          <w:lang w:val="en-US"/>
        </w:rPr>
        <w:t xml:space="preserve"> The combination of both provided a powerful tool </w:t>
      </w:r>
      <w:r w:rsidR="002B3B4C" w:rsidRPr="001603CF">
        <w:rPr>
          <w:lang w:val="en-US"/>
        </w:rPr>
        <w:t xml:space="preserve">to </w:t>
      </w:r>
      <w:r w:rsidR="00E37D8D" w:rsidRPr="001603CF">
        <w:rPr>
          <w:lang w:val="en-US"/>
        </w:rPr>
        <w:t xml:space="preserve">extract </w:t>
      </w:r>
      <w:r w:rsidR="002B3B4C" w:rsidRPr="001603CF">
        <w:rPr>
          <w:lang w:val="en-US"/>
        </w:rPr>
        <w:t xml:space="preserve">the </w:t>
      </w:r>
      <w:r w:rsidR="00E37D8D" w:rsidRPr="001603CF">
        <w:rPr>
          <w:lang w:val="en-US"/>
        </w:rPr>
        <w:t>information</w:t>
      </w:r>
      <w:r w:rsidR="002B3B4C" w:rsidRPr="001603CF">
        <w:rPr>
          <w:lang w:val="en-US"/>
        </w:rPr>
        <w:t xml:space="preserve"> necessary to draw</w:t>
      </w:r>
      <w:r w:rsidR="00EC00C7" w:rsidRPr="001603CF">
        <w:rPr>
          <w:lang w:val="en-US"/>
        </w:rPr>
        <w:t xml:space="preserve"> chemical</w:t>
      </w:r>
      <w:r w:rsidR="002B3B4C" w:rsidRPr="001603CF">
        <w:rPr>
          <w:lang w:val="en-US"/>
        </w:rPr>
        <w:t xml:space="preserve"> analogies between the</w:t>
      </w:r>
      <w:r w:rsidR="00EC00C7" w:rsidRPr="001603CF">
        <w:rPr>
          <w:lang w:val="en-US"/>
        </w:rPr>
        <w:t xml:space="preserve"> species</w:t>
      </w:r>
      <w:r w:rsidR="00E37D8D" w:rsidRPr="001603CF">
        <w:rPr>
          <w:lang w:val="en-US"/>
        </w:rPr>
        <w:t xml:space="preserve">. We believe that the increasing reliance on </w:t>
      </w:r>
      <w:r w:rsidR="00E37D8D" w:rsidRPr="001603CF">
        <w:rPr>
          <w:i/>
          <w:lang w:val="en-US"/>
        </w:rPr>
        <w:t xml:space="preserve">in silico </w:t>
      </w:r>
      <w:r w:rsidR="00E37D8D" w:rsidRPr="001603CF">
        <w:rPr>
          <w:lang w:val="en-US"/>
        </w:rPr>
        <w:t xml:space="preserve">methods to predict chemical behavior can also contribute </w:t>
      </w:r>
      <w:r w:rsidR="002B3B4C" w:rsidRPr="001603CF">
        <w:rPr>
          <w:lang w:val="en-US"/>
        </w:rPr>
        <w:t xml:space="preserve">to </w:t>
      </w:r>
      <w:r w:rsidR="00E37D8D" w:rsidRPr="001603CF">
        <w:rPr>
          <w:lang w:val="en-US"/>
        </w:rPr>
        <w:t>reduc</w:t>
      </w:r>
      <w:r w:rsidR="00E03F1E" w:rsidRPr="001603CF">
        <w:rPr>
          <w:lang w:val="en-US"/>
        </w:rPr>
        <w:t>ing</w:t>
      </w:r>
      <w:r w:rsidR="00E37D8D" w:rsidRPr="001603CF">
        <w:rPr>
          <w:lang w:val="en-US"/>
        </w:rPr>
        <w:t xml:space="preserve"> the amount of waste generated </w:t>
      </w:r>
      <w:r w:rsidR="002B3B4C" w:rsidRPr="001603CF">
        <w:rPr>
          <w:lang w:val="en-US"/>
        </w:rPr>
        <w:t xml:space="preserve">in </w:t>
      </w:r>
      <w:r w:rsidR="00E37D8D" w:rsidRPr="001603CF">
        <w:rPr>
          <w:lang w:val="en-US"/>
        </w:rPr>
        <w:t>experimental trial-and-error and optimization phases, specifically when toxic compounds are involved.</w:t>
      </w:r>
      <w:r w:rsidR="0065052C" w:rsidRPr="001603CF">
        <w:rPr>
          <w:lang w:val="en-US"/>
        </w:rPr>
        <w:fldChar w:fldCharType="begin" w:fldLock="1"/>
      </w:r>
      <w:r w:rsidR="00864EF1" w:rsidRPr="001603CF">
        <w:rPr>
          <w:lang w:val="en-US"/>
        </w:rPr>
        <w:instrText>ADDIN CSL_CITATION {"citationItems":[{"id":"ITEM-1","itemData":{"DOI":"10.1016/j.psep.2023.02.001","ISSN":"09575820","abstract":"After World War II, the Baltic Sea was contaminated by dumping unused sulfur mustard (SM) and other chemical warfare agents (CWAs), which now constitutes a huge environmental hazard. We use both experimental and theoretical methods to understand the reactivity of SM in water, in particular the hydrolysis, which is one of the chemical reactions leading to the neutralization of SM. Real conditions present in the Baltic Sea are represented by performing Car-Parrinello molecular dynamics simulations for sulfur mustard in explicit water solution at finite temperature. We study the relative occurrence and stability of various SM conformers in water and analyze the solute–solvent interactions, with special focus on the formation of intra- and intermolecular hydrogen bonds and their lifetime. A missing piece toward the understanding of the sulfonium cation formation and SM hydrolysis reaction is provided by obtaining the activation energy for SM decomposition in water solution from gas chromatography–mass spectrometry (GC-MS) experiments. The complex mechanism of SM hydrolysis is also studied by umbrella sampling simulations to obtain the free energy barrier for the sulfonium cation formation and to provide an atomistic view of the reaction process.","author":[{"dropping-particle":"","family":"Klöffel","given":"Tobias","non-dropping-particle":"","parse-names":false,"suffix":""},{"dropping-particle":"","family":"Gordon","given":"Diana","non-dropping-particle":"","parse-names":false,"suffix":""},{"dropping-particle":"","family":"Popiel","given":"Stanislaw","non-dropping-particle":"","parse-names":false,"suffix":""},{"dropping-particle":"","family":"Nawala","given":"Jakub","non-dropping-particle":"","parse-names":false,"suffix":""},{"dropping-particle":"","family":"Meyer","given":"Bernd","non-dropping-particle":"","parse-names":false,"suffix":""},{"dropping-particle":"","family":"Rodziewicz","given":"Pawel","non-dropping-particle":"","parse-names":false,"suffix":""}],"container-title":"Process Safety and Environmental Protection","id":"ITEM-1","issue":"February","issued":{"date-parts":[["2023"]]},"page":"105-112","title":"Understanding the mechanism of the sulfur mustard hydrolysis reaction on the atomistic level from experiment and first-principles simulations","type":"article-journal","volume":"172"},"uris":["http://www.mendeley.com/documents/?uuid=02de5556-52d5-4ae7-90b1-4593d3bc5216"]}],"mendeley":{"formattedCitation":"&lt;sup&gt;31&lt;/sup&gt;","plainTextFormattedCitation":"31","previouslyFormattedCitation":"&lt;sup&gt;31&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31</w:t>
      </w:r>
      <w:r w:rsidR="0065052C" w:rsidRPr="001603CF">
        <w:rPr>
          <w:lang w:val="en-US"/>
        </w:rPr>
        <w:fldChar w:fldCharType="end"/>
      </w:r>
      <w:r w:rsidR="00E37D8D" w:rsidRPr="001603CF">
        <w:rPr>
          <w:lang w:val="en-US"/>
        </w:rPr>
        <w:t xml:space="preserve"> </w:t>
      </w:r>
    </w:p>
    <w:p w14:paraId="3C2BF949" w14:textId="4821FE1B" w:rsidR="00E37D8D" w:rsidRPr="001603CF" w:rsidRDefault="00E37D8D">
      <w:pPr>
        <w:pStyle w:val="RSCB02ArticleText"/>
        <w:ind w:firstLine="284"/>
        <w:rPr>
          <w:lang w:val="en-US"/>
        </w:rPr>
      </w:pPr>
      <w:r w:rsidRPr="001603CF">
        <w:rPr>
          <w:lang w:val="en-US"/>
        </w:rPr>
        <w:t xml:space="preserve">In the presence of ozone, the sulfur atom of </w:t>
      </w:r>
      <w:r w:rsidRPr="001603CF">
        <w:rPr>
          <w:b/>
          <w:lang w:val="en-US"/>
        </w:rPr>
        <w:t>HD</w:t>
      </w:r>
      <w:r w:rsidRPr="001603CF">
        <w:rPr>
          <w:lang w:val="en-US"/>
        </w:rPr>
        <w:t xml:space="preserve"> is expected to behave as a nucl</w:t>
      </w:r>
      <w:r w:rsidR="00183A47" w:rsidRPr="001603CF">
        <w:rPr>
          <w:lang w:val="en-US"/>
        </w:rPr>
        <w:t>e</w:t>
      </w:r>
      <w:r w:rsidRPr="001603CF">
        <w:rPr>
          <w:lang w:val="en-US"/>
        </w:rPr>
        <w:t>ophile,</w:t>
      </w:r>
      <w:r w:rsidR="0065052C" w:rsidRPr="001603CF">
        <w:rPr>
          <w:lang w:val="en-US"/>
        </w:rPr>
        <w:fldChar w:fldCharType="begin" w:fldLock="1"/>
      </w:r>
      <w:r w:rsidR="00864EF1" w:rsidRPr="001603CF">
        <w:rPr>
          <w:lang w:val="en-US"/>
        </w:rPr>
        <w:instrText>ADDIN CSL_CITATION {"citationItems":[{"id":"ITEM-1","itemData":{"author":[{"dropping-particle":"","family":"Thompson","given":"Quentin E","non-dropping-particle":"","parse-names":false,"suffix":""}],"container-title":"Journal of the American Chemical Society","id":"ITEM-1","issue":"10","issued":{"date-parts":[["1961"]]},"page":"845-851","title":"Ozone Oxidation of Nucleophilic Substances. I. Tertiary Phosphite Esters","type":"article-journal","volume":"845"},"uris":["http://www.mendeley.com/documents/?uuid=ca74089a-bbff-4030-9ba6-00c054c3e1eb"]}],"mendeley":{"formattedCitation":"&lt;sup&gt;32&lt;/sup&gt;","plainTextFormattedCitation":"32","previouslyFormattedCitation":"&lt;sup&gt;32&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32</w:t>
      </w:r>
      <w:r w:rsidR="0065052C" w:rsidRPr="001603CF">
        <w:rPr>
          <w:lang w:val="en-US"/>
        </w:rPr>
        <w:fldChar w:fldCharType="end"/>
      </w:r>
      <w:r w:rsidRPr="001603CF">
        <w:rPr>
          <w:lang w:val="en-US"/>
        </w:rPr>
        <w:t xml:space="preserve"> which is confirmed </w:t>
      </w:r>
      <w:r w:rsidR="00EC00C7" w:rsidRPr="001603CF">
        <w:rPr>
          <w:lang w:val="en-US"/>
        </w:rPr>
        <w:t xml:space="preserve">by </w:t>
      </w:r>
      <w:r w:rsidRPr="001603CF">
        <w:rPr>
          <w:lang w:val="en-US"/>
        </w:rPr>
        <w:t>the computations of the reaction mechanism (see below). Therefore, the local nucleophilicity (</w:t>
      </w:r>
      <w:r w:rsidRPr="001603CF">
        <w:rPr>
          <w:i/>
          <w:lang w:val="en-US"/>
        </w:rPr>
        <w:t>N</w:t>
      </w:r>
      <w:r w:rsidRPr="001603CF">
        <w:rPr>
          <w:vertAlign w:val="subscript"/>
          <w:lang w:val="en-US"/>
        </w:rPr>
        <w:t>S</w:t>
      </w:r>
      <w:r w:rsidRPr="001603CF">
        <w:rPr>
          <w:lang w:val="en-US"/>
        </w:rPr>
        <w:t>)</w:t>
      </w:r>
      <w:r w:rsidR="0065052C" w:rsidRPr="001603CF">
        <w:rPr>
          <w:lang w:val="en-US"/>
        </w:rPr>
        <w:fldChar w:fldCharType="begin" w:fldLock="1"/>
      </w:r>
      <w:r w:rsidR="00864EF1" w:rsidRPr="001603CF">
        <w:rPr>
          <w:lang w:val="en-US"/>
        </w:rPr>
        <w:instrText>ADDIN CSL_CITATION {"citationItems":[{"id":"ITEM-1","itemData":{"DOI":"10.3390/molecules21060748","ISSN":"14203049","PMID":"27294896","abstract":"Theoretical reactivity indices based on the conceptual Density Functional Theory (DFT) have become a powerful tool for the semiquantitative study of organic reactivity. A large number of reactivity indices have been proposed in the literature. Herein, global quantities like the electronic chemical potential μ, the electrophilicity ω and the nucleophilicity N indices, and local condensed indices like the electrophilic Pk+ and nucleophilic Pk- Parr functions, as the most relevant indices for the study of organic reactivity, are discussed.","author":[{"dropping-particle":"","family":"Domingo","given":"Luis R.","non-dropping-particle":"","parse-names":false,"suffix":""},{"dropping-particle":"","family":"Ríos-Gutiérrez","given":"Mar","non-dropping-particle":"","parse-names":false,"suffix":""},{"dropping-particle":"","family":"Pérez","given":"Patricia","non-dropping-particle":"","parse-names":false,"suffix":""}],"container-title":"Molecules","id":"ITEM-1","issue":"6","issued":{"date-parts":[["2016"]]},"title":"Applications of the conceptual density functional theory indices to organic chemistry reactivity","type":"article-journal","volume":"21"},"uris":["http://www.mendeley.com/documents/?uuid=58d55291-89c6-4b61-bdce-df4e6e99a59b"]}],"mendeley":{"formattedCitation":"&lt;sup&gt;29&lt;/sup&gt;","plainTextFormattedCitation":"29","previouslyFormattedCitation":"&lt;sup&gt;29&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29</w:t>
      </w:r>
      <w:r w:rsidR="0065052C" w:rsidRPr="001603CF">
        <w:rPr>
          <w:lang w:val="en-US"/>
        </w:rPr>
        <w:fldChar w:fldCharType="end"/>
      </w:r>
      <w:r w:rsidRPr="001603CF">
        <w:rPr>
          <w:lang w:val="en-US"/>
        </w:rPr>
        <w:t xml:space="preserve"> on the sulfur atom of </w:t>
      </w:r>
      <w:r w:rsidRPr="001603CF">
        <w:rPr>
          <w:b/>
          <w:lang w:val="en-US"/>
        </w:rPr>
        <w:t>HD</w:t>
      </w:r>
      <w:r w:rsidRPr="001603CF">
        <w:rPr>
          <w:lang w:val="en-US"/>
        </w:rPr>
        <w:t xml:space="preserve"> and six potential simulants was computed at the B3LYP</w:t>
      </w:r>
      <w:r w:rsidR="00B52B20" w:rsidRPr="001603CF">
        <w:rPr>
          <w:lang w:val="en-US"/>
        </w:rPr>
        <w:t>-D3BJ</w:t>
      </w:r>
      <w:r w:rsidRPr="001603CF">
        <w:rPr>
          <w:lang w:val="en-US"/>
        </w:rPr>
        <w:t xml:space="preserve">/6-31+G* level in ethanol (Figure 2a) using a classical approach in CDFT. The six potential thioether simulant candidates included </w:t>
      </w:r>
      <w:r w:rsidR="00876E89" w:rsidRPr="001603CF">
        <w:rPr>
          <w:lang w:val="en-US"/>
        </w:rPr>
        <w:t xml:space="preserve">methyl </w:t>
      </w:r>
      <w:r w:rsidR="00E71219" w:rsidRPr="001603CF">
        <w:rPr>
          <w:lang w:val="en-US"/>
        </w:rPr>
        <w:t xml:space="preserve">phenyl </w:t>
      </w:r>
      <w:r w:rsidR="00876E89" w:rsidRPr="001603CF">
        <w:rPr>
          <w:lang w:val="en-US"/>
        </w:rPr>
        <w:t xml:space="preserve">sulfide </w:t>
      </w:r>
      <w:r w:rsidRPr="001603CF">
        <w:rPr>
          <w:lang w:val="en-US"/>
        </w:rPr>
        <w:t>(</w:t>
      </w:r>
      <w:r w:rsidRPr="001603CF">
        <w:rPr>
          <w:b/>
          <w:lang w:val="en-US"/>
        </w:rPr>
        <w:t>1a</w:t>
      </w:r>
      <w:r w:rsidRPr="001603CF">
        <w:rPr>
          <w:lang w:val="en-US"/>
        </w:rPr>
        <w:t>), dipropyl sulfide (</w:t>
      </w:r>
      <w:r w:rsidRPr="001603CF">
        <w:rPr>
          <w:b/>
          <w:lang w:val="en-US"/>
        </w:rPr>
        <w:t>1b</w:t>
      </w:r>
      <w:r w:rsidRPr="001603CF">
        <w:rPr>
          <w:lang w:val="en-US"/>
        </w:rPr>
        <w:t>), diphenyl sulfide (</w:t>
      </w:r>
      <w:r w:rsidRPr="001603CF">
        <w:rPr>
          <w:b/>
          <w:lang w:val="en-US"/>
        </w:rPr>
        <w:t>1c</w:t>
      </w:r>
      <w:r w:rsidRPr="001603CF">
        <w:rPr>
          <w:lang w:val="en-US"/>
        </w:rPr>
        <w:t>), dibenzo[b,d]thiophene (</w:t>
      </w:r>
      <w:r w:rsidRPr="001603CF">
        <w:rPr>
          <w:b/>
          <w:lang w:val="en-US"/>
        </w:rPr>
        <w:t>1d</w:t>
      </w:r>
      <w:r w:rsidRPr="001603CF">
        <w:rPr>
          <w:lang w:val="en-US"/>
        </w:rPr>
        <w:t>), 2-chloroethyl phenyl sulfide (</w:t>
      </w:r>
      <w:r w:rsidRPr="001603CF">
        <w:rPr>
          <w:b/>
          <w:lang w:val="en-US"/>
        </w:rPr>
        <w:t>CEPS</w:t>
      </w:r>
      <w:r w:rsidRPr="001603CF">
        <w:rPr>
          <w:lang w:val="en-US"/>
        </w:rPr>
        <w:t xml:space="preserve">) and </w:t>
      </w:r>
      <w:r w:rsidR="00183A47" w:rsidRPr="001603CF">
        <w:rPr>
          <w:lang w:val="en-US"/>
        </w:rPr>
        <w:t>2-chloroethyl ethyl sulfide</w:t>
      </w:r>
      <w:r w:rsidRPr="001603CF">
        <w:rPr>
          <w:lang w:val="en-US"/>
        </w:rPr>
        <w:t xml:space="preserve"> (</w:t>
      </w:r>
      <w:r w:rsidRPr="001603CF">
        <w:rPr>
          <w:b/>
          <w:lang w:val="en-US"/>
        </w:rPr>
        <w:t>CEES</w:t>
      </w:r>
      <w:r w:rsidRPr="001603CF">
        <w:rPr>
          <w:lang w:val="en-US"/>
        </w:rPr>
        <w:t>).</w:t>
      </w:r>
    </w:p>
    <w:p w14:paraId="375F9076" w14:textId="4341A902" w:rsidR="008A5532" w:rsidRPr="001603CF" w:rsidRDefault="008A5532">
      <w:pPr>
        <w:pStyle w:val="RSCB02ArticleText"/>
        <w:ind w:firstLine="284"/>
        <w:rPr>
          <w:lang w:val="en-US"/>
        </w:rPr>
      </w:pPr>
      <w:r w:rsidRPr="001603CF">
        <w:rPr>
          <w:lang w:val="en-US"/>
        </w:rPr>
        <w:t xml:space="preserve">The local nucleophilicity on </w:t>
      </w:r>
      <w:r w:rsidRPr="001603CF">
        <w:rPr>
          <w:b/>
          <w:lang w:val="en-US"/>
        </w:rPr>
        <w:t xml:space="preserve">1b </w:t>
      </w:r>
      <w:r w:rsidRPr="001603CF">
        <w:rPr>
          <w:lang w:val="en-US"/>
        </w:rPr>
        <w:t>(</w:t>
      </w:r>
      <w:r w:rsidRPr="001603CF">
        <w:rPr>
          <w:i/>
          <w:lang w:val="en-US"/>
        </w:rPr>
        <w:t>N</w:t>
      </w:r>
      <w:r w:rsidRPr="001603CF">
        <w:rPr>
          <w:i/>
          <w:vertAlign w:val="subscript"/>
          <w:lang w:val="en-US"/>
        </w:rPr>
        <w:t xml:space="preserve">S </w:t>
      </w:r>
      <w:r w:rsidRPr="001603CF">
        <w:rPr>
          <w:lang w:val="en-US"/>
        </w:rPr>
        <w:t>= 2.1)</w:t>
      </w:r>
      <w:r w:rsidRPr="001603CF">
        <w:rPr>
          <w:b/>
          <w:lang w:val="en-US"/>
        </w:rPr>
        <w:t xml:space="preserve"> </w:t>
      </w:r>
      <w:r w:rsidRPr="001603CF">
        <w:rPr>
          <w:lang w:val="en-US"/>
        </w:rPr>
        <w:t>emphasizes a stronger nucleophilic behavior than the other computed thio</w:t>
      </w:r>
      <w:r w:rsidR="00183A47" w:rsidRPr="001603CF">
        <w:rPr>
          <w:lang w:val="en-US"/>
        </w:rPr>
        <w:t>e</w:t>
      </w:r>
      <w:r w:rsidRPr="001603CF">
        <w:rPr>
          <w:lang w:val="en-US"/>
        </w:rPr>
        <w:t xml:space="preserve">thers. Conversely, </w:t>
      </w:r>
      <w:r w:rsidRPr="001603CF">
        <w:rPr>
          <w:b/>
          <w:lang w:val="en-US"/>
        </w:rPr>
        <w:t>1c</w:t>
      </w:r>
      <w:r w:rsidRPr="001603CF">
        <w:rPr>
          <w:lang w:val="en-US"/>
        </w:rPr>
        <w:t xml:space="preserve"> (</w:t>
      </w:r>
      <w:r w:rsidRPr="001603CF">
        <w:rPr>
          <w:i/>
          <w:lang w:val="en-US"/>
        </w:rPr>
        <w:t>N</w:t>
      </w:r>
      <w:r w:rsidRPr="001603CF">
        <w:rPr>
          <w:i/>
          <w:vertAlign w:val="subscript"/>
          <w:lang w:val="en-US"/>
        </w:rPr>
        <w:t xml:space="preserve">S </w:t>
      </w:r>
      <w:r w:rsidRPr="001603CF">
        <w:rPr>
          <w:lang w:val="en-US"/>
        </w:rPr>
        <w:t>= 1.0)</w:t>
      </w:r>
      <w:r w:rsidRPr="001603CF">
        <w:rPr>
          <w:b/>
          <w:lang w:val="en-US"/>
        </w:rPr>
        <w:t xml:space="preserve"> </w:t>
      </w:r>
      <w:r w:rsidRPr="001603CF">
        <w:rPr>
          <w:lang w:val="en-US"/>
        </w:rPr>
        <w:t xml:space="preserve">and </w:t>
      </w:r>
      <w:r w:rsidRPr="001603CF">
        <w:rPr>
          <w:b/>
          <w:lang w:val="en-US"/>
        </w:rPr>
        <w:t>1d</w:t>
      </w:r>
      <w:r w:rsidRPr="001603CF">
        <w:rPr>
          <w:lang w:val="en-US"/>
        </w:rPr>
        <w:t xml:space="preserve"> (</w:t>
      </w:r>
      <w:r w:rsidRPr="001603CF">
        <w:rPr>
          <w:i/>
          <w:lang w:val="en-US"/>
        </w:rPr>
        <w:t>N</w:t>
      </w:r>
      <w:r w:rsidRPr="001603CF">
        <w:rPr>
          <w:i/>
          <w:vertAlign w:val="subscript"/>
          <w:lang w:val="en-US"/>
        </w:rPr>
        <w:t xml:space="preserve">S </w:t>
      </w:r>
      <w:r w:rsidRPr="001603CF">
        <w:rPr>
          <w:lang w:val="en-US"/>
        </w:rPr>
        <w:t>= 0.8)</w:t>
      </w:r>
      <w:r w:rsidRPr="001603CF">
        <w:rPr>
          <w:b/>
          <w:lang w:val="en-US"/>
        </w:rPr>
        <w:t xml:space="preserve"> </w:t>
      </w:r>
      <w:r w:rsidRPr="001603CF">
        <w:rPr>
          <w:lang w:val="en-US"/>
        </w:rPr>
        <w:t xml:space="preserve">appeared at the antipode, their nucleophilicity being reduced through delocalization. </w:t>
      </w:r>
      <w:r w:rsidRPr="001603CF">
        <w:rPr>
          <w:b/>
          <w:lang w:val="en-US"/>
        </w:rPr>
        <w:t xml:space="preserve">CEES </w:t>
      </w:r>
      <w:r w:rsidRPr="001603CF">
        <w:rPr>
          <w:lang w:val="en-US"/>
        </w:rPr>
        <w:t>(</w:t>
      </w:r>
      <w:r w:rsidRPr="001603CF">
        <w:rPr>
          <w:i/>
          <w:lang w:val="en-US"/>
        </w:rPr>
        <w:t>N</w:t>
      </w:r>
      <w:r w:rsidRPr="001603CF">
        <w:rPr>
          <w:i/>
          <w:vertAlign w:val="subscript"/>
          <w:lang w:val="en-US"/>
        </w:rPr>
        <w:t xml:space="preserve">S </w:t>
      </w:r>
      <w:r w:rsidRPr="001603CF">
        <w:rPr>
          <w:lang w:val="en-US"/>
        </w:rPr>
        <w:t xml:space="preserve">= 1.9), </w:t>
      </w:r>
      <w:r w:rsidRPr="001603CF">
        <w:rPr>
          <w:b/>
          <w:lang w:val="en-US"/>
        </w:rPr>
        <w:t>1a</w:t>
      </w:r>
      <w:r w:rsidRPr="001603CF">
        <w:rPr>
          <w:lang w:val="en-US"/>
        </w:rPr>
        <w:t xml:space="preserve"> (</w:t>
      </w:r>
      <w:r w:rsidRPr="001603CF">
        <w:rPr>
          <w:i/>
          <w:lang w:val="en-US"/>
        </w:rPr>
        <w:t>N</w:t>
      </w:r>
      <w:r w:rsidRPr="001603CF">
        <w:rPr>
          <w:i/>
          <w:vertAlign w:val="subscript"/>
          <w:lang w:val="en-US"/>
        </w:rPr>
        <w:t xml:space="preserve">S </w:t>
      </w:r>
      <w:r w:rsidRPr="001603CF">
        <w:rPr>
          <w:lang w:val="en-US"/>
        </w:rPr>
        <w:t xml:space="preserve">= 1.8) and </w:t>
      </w:r>
      <w:r w:rsidRPr="001603CF">
        <w:rPr>
          <w:b/>
          <w:lang w:val="en-US"/>
        </w:rPr>
        <w:t xml:space="preserve">CEPS </w:t>
      </w:r>
      <w:r w:rsidRPr="001603CF">
        <w:rPr>
          <w:lang w:val="en-US"/>
        </w:rPr>
        <w:t>(</w:t>
      </w:r>
      <w:r w:rsidRPr="001603CF">
        <w:rPr>
          <w:i/>
          <w:lang w:val="en-US"/>
        </w:rPr>
        <w:t>N</w:t>
      </w:r>
      <w:r w:rsidRPr="001603CF">
        <w:rPr>
          <w:i/>
          <w:vertAlign w:val="subscript"/>
          <w:lang w:val="en-US"/>
        </w:rPr>
        <w:t xml:space="preserve">S </w:t>
      </w:r>
      <w:r w:rsidRPr="001603CF">
        <w:rPr>
          <w:lang w:val="en-US"/>
        </w:rPr>
        <w:t xml:space="preserve">= 1.6) </w:t>
      </w:r>
      <w:r w:rsidRPr="001603CF">
        <w:rPr>
          <w:lang w:val="en-US"/>
        </w:rPr>
        <w:lastRenderedPageBreak/>
        <w:t xml:space="preserve">demonstrated local nucleophilicities akin to </w:t>
      </w:r>
      <w:r w:rsidRPr="001603CF">
        <w:rPr>
          <w:b/>
          <w:lang w:val="en-US"/>
        </w:rPr>
        <w:t>HD</w:t>
      </w:r>
      <w:r w:rsidRPr="001603CF">
        <w:rPr>
          <w:lang w:val="en-US"/>
        </w:rPr>
        <w:t xml:space="preserve"> (</w:t>
      </w:r>
      <w:r w:rsidRPr="001603CF">
        <w:rPr>
          <w:i/>
          <w:lang w:val="en-US"/>
        </w:rPr>
        <w:t>N</w:t>
      </w:r>
      <w:r w:rsidRPr="001603CF">
        <w:rPr>
          <w:i/>
          <w:vertAlign w:val="subscript"/>
          <w:lang w:val="en-US"/>
        </w:rPr>
        <w:t xml:space="preserve">S </w:t>
      </w:r>
      <w:r w:rsidRPr="001603CF">
        <w:rPr>
          <w:lang w:val="en-US"/>
        </w:rPr>
        <w:t>= 1.</w:t>
      </w:r>
      <w:r w:rsidR="00183A47" w:rsidRPr="001603CF">
        <w:rPr>
          <w:lang w:val="en-US"/>
        </w:rPr>
        <w:t>8</w:t>
      </w:r>
      <w:r w:rsidRPr="001603CF">
        <w:rPr>
          <w:lang w:val="en-US"/>
        </w:rPr>
        <w:t xml:space="preserve">). This initial analysis underscores </w:t>
      </w:r>
      <w:r w:rsidRPr="001603CF">
        <w:rPr>
          <w:b/>
          <w:lang w:val="en-US"/>
        </w:rPr>
        <w:t>1a</w:t>
      </w:r>
      <w:r w:rsidRPr="001603CF">
        <w:rPr>
          <w:lang w:val="en-US"/>
        </w:rPr>
        <w:t xml:space="preserve"> and </w:t>
      </w:r>
      <w:r w:rsidRPr="001603CF">
        <w:rPr>
          <w:b/>
          <w:lang w:val="en-US"/>
        </w:rPr>
        <w:t>CEES</w:t>
      </w:r>
      <w:r w:rsidRPr="001603CF">
        <w:rPr>
          <w:lang w:val="en-US"/>
        </w:rPr>
        <w:t xml:space="preserve"> as the closest </w:t>
      </w:r>
      <w:r w:rsidRPr="001603CF">
        <w:rPr>
          <w:b/>
          <w:lang w:val="en-US"/>
        </w:rPr>
        <w:t>HD</w:t>
      </w:r>
      <w:r w:rsidRPr="001603CF">
        <w:rPr>
          <w:lang w:val="en-US"/>
        </w:rPr>
        <w:t xml:space="preserve"> simulants in terms of local nucleophilicity. Refining the analysis through the computation of Molecular Electrostatic Potential (MEP) surfaces corroborated the CDFT trends. MEP surfaces also reveal the intense electron-withdrawing effect of chlorinated substituents (Figure 2a), thus providing more insight </w:t>
      </w:r>
      <w:r w:rsidR="00183A47" w:rsidRPr="001603CF">
        <w:rPr>
          <w:lang w:val="en-US"/>
        </w:rPr>
        <w:t>int</w:t>
      </w:r>
      <w:r w:rsidRPr="001603CF">
        <w:rPr>
          <w:lang w:val="en-US"/>
        </w:rPr>
        <w:t xml:space="preserve">o the necessary requirements to mimic the reactivity of </w:t>
      </w:r>
      <w:r w:rsidRPr="001603CF">
        <w:rPr>
          <w:b/>
          <w:lang w:val="en-US"/>
        </w:rPr>
        <w:t>HD</w:t>
      </w:r>
      <w:r w:rsidRPr="001603CF">
        <w:rPr>
          <w:lang w:val="en-US"/>
        </w:rPr>
        <w:t xml:space="preserve">. From there, it became apparent that </w:t>
      </w:r>
      <w:r w:rsidRPr="001603CF">
        <w:rPr>
          <w:b/>
          <w:lang w:val="en-US"/>
        </w:rPr>
        <w:t>1</w:t>
      </w:r>
      <w:r w:rsidR="00E71219" w:rsidRPr="001603CF">
        <w:rPr>
          <w:b/>
          <w:lang w:val="en-US"/>
        </w:rPr>
        <w:t>a</w:t>
      </w:r>
      <w:r w:rsidRPr="001603CF">
        <w:rPr>
          <w:lang w:val="en-US"/>
        </w:rPr>
        <w:t xml:space="preserve"> is </w:t>
      </w:r>
      <w:r w:rsidR="00E26D40" w:rsidRPr="001603CF">
        <w:rPr>
          <w:lang w:val="en-US"/>
        </w:rPr>
        <w:t xml:space="preserve">a promising </w:t>
      </w:r>
      <w:r w:rsidRPr="001603CF">
        <w:rPr>
          <w:lang w:val="en-US"/>
        </w:rPr>
        <w:t xml:space="preserve">simulant for </w:t>
      </w:r>
      <w:r w:rsidRPr="001603CF">
        <w:rPr>
          <w:b/>
          <w:lang w:val="en-US"/>
        </w:rPr>
        <w:t>HD</w:t>
      </w:r>
      <w:r w:rsidR="00E26D40" w:rsidRPr="001603CF">
        <w:rPr>
          <w:lang w:val="en-US"/>
        </w:rPr>
        <w:t xml:space="preserve">, given its low toxicity compared to </w:t>
      </w:r>
      <w:r w:rsidR="00E26D40" w:rsidRPr="001603CF">
        <w:rPr>
          <w:b/>
          <w:lang w:val="en-US"/>
        </w:rPr>
        <w:t>CEES</w:t>
      </w:r>
      <w:r w:rsidRPr="001603CF">
        <w:rPr>
          <w:lang w:val="en-US"/>
        </w:rPr>
        <w:t xml:space="preserve">. While being structurally different, it mimics the nucleophilicity of the sulfur atom on </w:t>
      </w:r>
      <w:r w:rsidRPr="001603CF">
        <w:rPr>
          <w:b/>
          <w:lang w:val="en-US"/>
        </w:rPr>
        <w:t>HD</w:t>
      </w:r>
      <w:r w:rsidR="00806ECA" w:rsidRPr="001603CF">
        <w:rPr>
          <w:bCs/>
          <w:lang w:val="en-US"/>
        </w:rPr>
        <w:t>,</w:t>
      </w:r>
      <w:r w:rsidRPr="001603CF">
        <w:rPr>
          <w:lang w:val="en-US"/>
        </w:rPr>
        <w:t xml:space="preserve"> yet it lacks </w:t>
      </w:r>
      <w:r w:rsidR="00806ECA" w:rsidRPr="001603CF">
        <w:rPr>
          <w:lang w:val="en-US"/>
        </w:rPr>
        <w:t xml:space="preserve">the </w:t>
      </w:r>
      <w:r w:rsidRPr="001603CF">
        <w:rPr>
          <w:lang w:val="en-US"/>
        </w:rPr>
        <w:t xml:space="preserve">activated C-Cl bond. </w:t>
      </w:r>
      <w:r w:rsidRPr="001603CF">
        <w:rPr>
          <w:b/>
          <w:lang w:val="en-US"/>
        </w:rPr>
        <w:t xml:space="preserve">CEES </w:t>
      </w:r>
      <w:r w:rsidRPr="001603CF">
        <w:rPr>
          <w:lang w:val="en-US"/>
        </w:rPr>
        <w:t xml:space="preserve">is the most trustworthy simulant, combining both similar sulfur local nucleophilicity and </w:t>
      </w:r>
      <w:r w:rsidR="00806ECA" w:rsidRPr="001603CF">
        <w:rPr>
          <w:lang w:val="en-US"/>
        </w:rPr>
        <w:t xml:space="preserve">the influence </w:t>
      </w:r>
      <w:r w:rsidRPr="001603CF">
        <w:rPr>
          <w:lang w:val="en-US"/>
        </w:rPr>
        <w:t xml:space="preserve">of </w:t>
      </w:r>
      <w:r w:rsidR="00806ECA" w:rsidRPr="001603CF">
        <w:rPr>
          <w:lang w:val="en-US"/>
        </w:rPr>
        <w:t xml:space="preserve">at least </w:t>
      </w:r>
      <w:r w:rsidRPr="001603CF">
        <w:rPr>
          <w:lang w:val="en-US"/>
        </w:rPr>
        <w:t xml:space="preserve">one activated C-Cl bond. On the other hand, despite structural proximity to </w:t>
      </w:r>
      <w:r w:rsidRPr="001603CF">
        <w:rPr>
          <w:b/>
          <w:lang w:val="en-US"/>
        </w:rPr>
        <w:t>CEES</w:t>
      </w:r>
      <w:r w:rsidRPr="001603CF">
        <w:rPr>
          <w:lang w:val="en-US"/>
        </w:rPr>
        <w:t xml:space="preserve">, </w:t>
      </w:r>
      <w:r w:rsidRPr="001603CF">
        <w:rPr>
          <w:b/>
          <w:lang w:val="en-US"/>
        </w:rPr>
        <w:t>CEPS</w:t>
      </w:r>
      <w:r w:rsidRPr="001603CF">
        <w:rPr>
          <w:lang w:val="en-US"/>
        </w:rPr>
        <w:t xml:space="preserve"> does not emerge as an optimal simulant, with a decreased </w:t>
      </w:r>
      <w:r w:rsidRPr="001603CF">
        <w:rPr>
          <w:i/>
          <w:lang w:val="en-US"/>
        </w:rPr>
        <w:t>N</w:t>
      </w:r>
      <w:r w:rsidRPr="001603CF">
        <w:rPr>
          <w:i/>
          <w:vertAlign w:val="subscript"/>
          <w:lang w:val="en-US"/>
        </w:rPr>
        <w:t>S</w:t>
      </w:r>
      <w:r w:rsidRPr="001603CF">
        <w:rPr>
          <w:i/>
          <w:lang w:val="en-US"/>
        </w:rPr>
        <w:t xml:space="preserve">, </w:t>
      </w:r>
      <w:r w:rsidR="00806ECA" w:rsidRPr="001603CF">
        <w:rPr>
          <w:lang w:val="en-US"/>
        </w:rPr>
        <w:t xml:space="preserve">which </w:t>
      </w:r>
      <w:r w:rsidRPr="001603CF">
        <w:rPr>
          <w:lang w:val="en-US"/>
        </w:rPr>
        <w:t>likely entails distinct chemical behavior.</w:t>
      </w:r>
    </w:p>
    <w:p w14:paraId="48FD8A97" w14:textId="11588CEA" w:rsidR="0058009E" w:rsidRPr="001603CF" w:rsidRDefault="008558F4">
      <w:pPr>
        <w:pStyle w:val="RSCI03FigureSchemeChartUncaptioned"/>
        <w:jc w:val="both"/>
        <w:rPr>
          <w:lang w:val="en-US"/>
        </w:rPr>
      </w:pPr>
      <w:r w:rsidRPr="001603CF">
        <w:rPr>
          <w:b/>
          <w:noProof/>
          <w:lang w:val="en-US"/>
        </w:rPr>
        <w:drawing>
          <wp:inline distT="0" distB="0" distL="0" distR="0" wp14:anchorId="0D22BA90" wp14:editId="372C4496">
            <wp:extent cx="3168015" cy="54298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5429885"/>
                    </a:xfrm>
                    <a:prstGeom prst="rect">
                      <a:avLst/>
                    </a:prstGeom>
                  </pic:spPr>
                </pic:pic>
              </a:graphicData>
            </a:graphic>
          </wp:inline>
        </w:drawing>
      </w:r>
      <w:r w:rsidR="0058009E" w:rsidRPr="001603CF">
        <w:rPr>
          <w:b/>
          <w:lang w:val="en-US"/>
        </w:rPr>
        <w:t xml:space="preserve"> Fig. 2. (a) </w:t>
      </w:r>
      <w:r w:rsidR="0058009E" w:rsidRPr="001603CF">
        <w:rPr>
          <w:i/>
          <w:lang w:val="en-US"/>
        </w:rPr>
        <w:t>In silico</w:t>
      </w:r>
      <w:r w:rsidR="0058009E" w:rsidRPr="001603CF">
        <w:rPr>
          <w:lang w:val="en-US"/>
        </w:rPr>
        <w:t xml:space="preserve"> </w:t>
      </w:r>
      <w:r w:rsidR="0058009E" w:rsidRPr="001603CF">
        <w:rPr>
          <w:b/>
          <w:lang w:val="en-US"/>
        </w:rPr>
        <w:t>HD</w:t>
      </w:r>
      <w:r w:rsidR="0058009E" w:rsidRPr="001603CF">
        <w:rPr>
          <w:lang w:val="en-US"/>
        </w:rPr>
        <w:t xml:space="preserve"> simulant selection at the B3LYP/6-31+G*//M08HX-6-311+G** level (SMD = EtOH) (Supporting Information, section 1.2). </w:t>
      </w:r>
      <w:r w:rsidR="0058009E" w:rsidRPr="001603CF">
        <w:rPr>
          <w:i/>
          <w:lang w:val="en-US"/>
        </w:rPr>
        <w:t>N</w:t>
      </w:r>
      <w:r w:rsidR="0058009E" w:rsidRPr="001603CF">
        <w:rPr>
          <w:lang w:val="en-US"/>
        </w:rPr>
        <w:t xml:space="preserve">s refers to the local nucleophilicity at the sulfur atom; </w:t>
      </w:r>
      <w:r w:rsidR="0058009E" w:rsidRPr="001603CF">
        <w:rPr>
          <w:rFonts w:cstheme="minorHAnsi"/>
          <w:lang w:val="en-US"/>
        </w:rPr>
        <w:t>∆</w:t>
      </w:r>
      <w:r w:rsidR="0058009E" w:rsidRPr="001603CF">
        <w:rPr>
          <w:i/>
          <w:lang w:val="en-US"/>
        </w:rPr>
        <w:t>G</w:t>
      </w:r>
      <w:r w:rsidR="0058009E" w:rsidRPr="001603CF">
        <w:rPr>
          <w:color w:val="202122"/>
          <w:shd w:val="clear" w:color="auto" w:fill="FFFFFF"/>
          <w:vertAlign w:val="superscript"/>
          <w:lang w:val="en-US"/>
        </w:rPr>
        <w:t>‡</w:t>
      </w:r>
      <w:r w:rsidR="0058009E" w:rsidRPr="001603CF">
        <w:rPr>
          <w:b/>
          <w:lang w:val="en-US"/>
        </w:rPr>
        <w:t xml:space="preserve"> </w:t>
      </w:r>
      <w:r w:rsidR="0058009E" w:rsidRPr="001603CF">
        <w:rPr>
          <w:lang w:val="en-US"/>
        </w:rPr>
        <w:t>is the activation</w:t>
      </w:r>
      <w:r w:rsidR="0058009E" w:rsidRPr="001603CF">
        <w:rPr>
          <w:b/>
          <w:lang w:val="en-US"/>
        </w:rPr>
        <w:t xml:space="preserve"> </w:t>
      </w:r>
      <w:r w:rsidR="0058009E" w:rsidRPr="001603CF">
        <w:rPr>
          <w:lang w:val="en-US"/>
        </w:rPr>
        <w:t xml:space="preserve">barrier for the sulfoxidation, and for the overoxidation to sulfone (in brackets); </w:t>
      </w:r>
      <w:r w:rsidR="0058009E" w:rsidRPr="001603CF">
        <w:rPr>
          <w:i/>
          <w:lang w:val="en-US"/>
        </w:rPr>
        <w:t>t</w:t>
      </w:r>
      <w:r w:rsidR="0058009E" w:rsidRPr="001603CF">
        <w:rPr>
          <w:vertAlign w:val="subscript"/>
          <w:lang w:val="en-US"/>
        </w:rPr>
        <w:t>99%</w:t>
      </w:r>
      <w:r w:rsidR="0058009E" w:rsidRPr="001603CF">
        <w:rPr>
          <w:lang w:val="en-US"/>
        </w:rPr>
        <w:t xml:space="preserve"> is the </w:t>
      </w:r>
      <w:r w:rsidR="0058009E" w:rsidRPr="001603CF">
        <w:rPr>
          <w:lang w:val="en-US"/>
        </w:rPr>
        <w:t xml:space="preserve">time to reach 99% conv. of the substrate at 0.1 M and 10 °C; </w:t>
      </w:r>
      <w:r w:rsidR="0058009E" w:rsidRPr="001603CF">
        <w:rPr>
          <w:i/>
          <w:lang w:val="en-US"/>
        </w:rPr>
        <w:t>Da</w:t>
      </w:r>
      <w:r w:rsidR="0058009E" w:rsidRPr="001603CF">
        <w:rPr>
          <w:lang w:val="en-US"/>
        </w:rPr>
        <w:t xml:space="preserve"> is the Damköhler number. Inserts on the left-hand side depict the Molecular Electrostatic Potential (MEP) surfaces (in red: negative potential up to -0.03 au, in blue: positive potential up to 0.03 au). Color code: green, good simulants for </w:t>
      </w:r>
      <w:r w:rsidR="0058009E" w:rsidRPr="001603CF">
        <w:rPr>
          <w:b/>
          <w:lang w:val="en-US"/>
        </w:rPr>
        <w:t>HD</w:t>
      </w:r>
      <w:r w:rsidR="0058009E" w:rsidRPr="001603CF">
        <w:rPr>
          <w:lang w:val="en-US"/>
        </w:rPr>
        <w:t xml:space="preserve">; yellow, average simulant for </w:t>
      </w:r>
      <w:r w:rsidR="0058009E" w:rsidRPr="001603CF">
        <w:rPr>
          <w:b/>
          <w:lang w:val="en-US"/>
        </w:rPr>
        <w:t>HD</w:t>
      </w:r>
      <w:r w:rsidR="0058009E" w:rsidRPr="001603CF">
        <w:rPr>
          <w:lang w:val="en-US"/>
        </w:rPr>
        <w:t>; red, poor simulants.</w:t>
      </w:r>
      <w:r w:rsidR="0058009E" w:rsidRPr="001603CF">
        <w:rPr>
          <w:b/>
          <w:lang w:val="en-US"/>
        </w:rPr>
        <w:t xml:space="preserve"> (b)</w:t>
      </w:r>
      <w:r w:rsidR="0058009E" w:rsidRPr="001603CF">
        <w:rPr>
          <w:lang w:val="en-US"/>
        </w:rPr>
        <w:t xml:space="preserve"> Transition state structures (B3LYP/6-31+G*) and activation energies for the oxidation of </w:t>
      </w:r>
      <w:r w:rsidR="0058009E" w:rsidRPr="001603CF">
        <w:rPr>
          <w:b/>
          <w:lang w:val="en-US"/>
        </w:rPr>
        <w:t>HD</w:t>
      </w:r>
      <w:r w:rsidR="0058009E" w:rsidRPr="001603CF">
        <w:rPr>
          <w:lang w:val="en-US"/>
        </w:rPr>
        <w:t xml:space="preserve"> toward </w:t>
      </w:r>
      <w:r w:rsidR="0058009E" w:rsidRPr="001603CF">
        <w:rPr>
          <w:b/>
          <w:lang w:val="en-US"/>
        </w:rPr>
        <w:t xml:space="preserve">HDO </w:t>
      </w:r>
      <w:r w:rsidR="0058009E" w:rsidRPr="001603CF">
        <w:rPr>
          <w:lang w:val="en-US"/>
        </w:rPr>
        <w:t xml:space="preserve">and </w:t>
      </w:r>
      <w:r w:rsidR="0058009E" w:rsidRPr="001603CF">
        <w:rPr>
          <w:b/>
          <w:lang w:val="en-US"/>
        </w:rPr>
        <w:t>HDO</w:t>
      </w:r>
      <w:r w:rsidR="0058009E" w:rsidRPr="001603CF">
        <w:rPr>
          <w:b/>
          <w:vertAlign w:val="subscript"/>
          <w:lang w:val="en-US"/>
        </w:rPr>
        <w:t>2</w:t>
      </w:r>
      <w:r w:rsidR="0058009E" w:rsidRPr="001603CF">
        <w:rPr>
          <w:lang w:val="en-US"/>
        </w:rPr>
        <w:t xml:space="preserve"> (Supporting Information, sections 1.3 and 1.4). </w:t>
      </w:r>
    </w:p>
    <w:p w14:paraId="6835C90B" w14:textId="6B6A750E" w:rsidR="008A5532" w:rsidRPr="001603CF" w:rsidRDefault="008A5532">
      <w:pPr>
        <w:pStyle w:val="RSCB02ArticleText"/>
        <w:ind w:firstLine="284"/>
        <w:rPr>
          <w:rFonts w:cstheme="minorHAnsi"/>
          <w:lang w:val="en-US"/>
        </w:rPr>
      </w:pPr>
      <w:r w:rsidRPr="001603CF">
        <w:rPr>
          <w:lang w:val="en-US"/>
        </w:rPr>
        <w:t xml:space="preserve">The relevance of the sulfur local nucleophilicity as a suitable metric for the selection of </w:t>
      </w:r>
      <w:r w:rsidRPr="001603CF">
        <w:rPr>
          <w:b/>
          <w:lang w:val="en-US"/>
        </w:rPr>
        <w:t xml:space="preserve">HD </w:t>
      </w:r>
      <w:r w:rsidRPr="001603CF">
        <w:rPr>
          <w:lang w:val="en-US"/>
        </w:rPr>
        <w:t xml:space="preserve">simulants was further validated </w:t>
      </w:r>
      <w:r w:rsidRPr="001603CF">
        <w:rPr>
          <w:i/>
          <w:lang w:val="en-US"/>
        </w:rPr>
        <w:t>in silico</w:t>
      </w:r>
      <w:r w:rsidRPr="001603CF">
        <w:rPr>
          <w:lang w:val="en-US"/>
        </w:rPr>
        <w:t xml:space="preserve">. Transition states associated with the oxidation of thioethers </w:t>
      </w:r>
      <w:r w:rsidRPr="001603CF">
        <w:rPr>
          <w:b/>
          <w:lang w:val="en-US"/>
        </w:rPr>
        <w:t>1a-d</w:t>
      </w:r>
      <w:r w:rsidRPr="001603CF">
        <w:rPr>
          <w:lang w:val="en-US"/>
        </w:rPr>
        <w:t>,</w:t>
      </w:r>
      <w:r w:rsidRPr="001603CF">
        <w:rPr>
          <w:b/>
          <w:lang w:val="en-US"/>
        </w:rPr>
        <w:t xml:space="preserve"> CEPS, CEES </w:t>
      </w:r>
      <w:r w:rsidRPr="001603CF">
        <w:rPr>
          <w:lang w:val="en-US"/>
        </w:rPr>
        <w:t xml:space="preserve">and </w:t>
      </w:r>
      <w:r w:rsidRPr="001603CF">
        <w:rPr>
          <w:b/>
          <w:lang w:val="en-US"/>
        </w:rPr>
        <w:t>HD</w:t>
      </w:r>
      <w:r w:rsidRPr="001603CF">
        <w:rPr>
          <w:lang w:val="en-US"/>
        </w:rPr>
        <w:t xml:space="preserve"> were computed in EtOH toward the corresponding sulfoxides </w:t>
      </w:r>
      <w:r w:rsidRPr="001603CF">
        <w:rPr>
          <w:b/>
          <w:lang w:val="en-US"/>
        </w:rPr>
        <w:t>2a-d</w:t>
      </w:r>
      <w:r w:rsidRPr="001603CF">
        <w:rPr>
          <w:lang w:val="en-US"/>
        </w:rPr>
        <w:t xml:space="preserve">, </w:t>
      </w:r>
      <w:r w:rsidRPr="001603CF">
        <w:rPr>
          <w:b/>
          <w:lang w:val="en-US"/>
        </w:rPr>
        <w:t xml:space="preserve">CEPSO, CEESO </w:t>
      </w:r>
      <w:r w:rsidRPr="001603CF">
        <w:rPr>
          <w:lang w:val="en-US"/>
        </w:rPr>
        <w:t xml:space="preserve">and </w:t>
      </w:r>
      <w:r w:rsidRPr="001603CF">
        <w:rPr>
          <w:b/>
          <w:lang w:val="en-US"/>
        </w:rPr>
        <w:t>HDO</w:t>
      </w:r>
      <w:r w:rsidRPr="001603CF">
        <w:rPr>
          <w:lang w:val="en-US"/>
        </w:rPr>
        <w:t xml:space="preserve">, as well as for the undesired overoxidation to sulfones </w:t>
      </w:r>
      <w:r w:rsidRPr="001603CF">
        <w:rPr>
          <w:b/>
          <w:lang w:val="en-US"/>
        </w:rPr>
        <w:t>3a-d</w:t>
      </w:r>
      <w:r w:rsidRPr="001603CF">
        <w:rPr>
          <w:lang w:val="en-US"/>
        </w:rPr>
        <w:t xml:space="preserve">, </w:t>
      </w:r>
      <w:r w:rsidRPr="001603CF">
        <w:rPr>
          <w:b/>
          <w:lang w:val="en-US"/>
        </w:rPr>
        <w:t>CEPSO</w:t>
      </w:r>
      <w:r w:rsidRPr="001603CF">
        <w:rPr>
          <w:b/>
          <w:vertAlign w:val="subscript"/>
          <w:lang w:val="en-US"/>
        </w:rPr>
        <w:t>2</w:t>
      </w:r>
      <w:r w:rsidRPr="001603CF">
        <w:rPr>
          <w:b/>
          <w:lang w:val="en-US"/>
        </w:rPr>
        <w:t>, CEESO</w:t>
      </w:r>
      <w:r w:rsidRPr="001603CF">
        <w:rPr>
          <w:b/>
          <w:vertAlign w:val="subscript"/>
          <w:lang w:val="en-US"/>
        </w:rPr>
        <w:t>2</w:t>
      </w:r>
      <w:r w:rsidRPr="001603CF">
        <w:rPr>
          <w:b/>
          <w:lang w:val="en-US"/>
        </w:rPr>
        <w:t xml:space="preserve"> </w:t>
      </w:r>
      <w:r w:rsidRPr="001603CF">
        <w:rPr>
          <w:lang w:val="en-US"/>
        </w:rPr>
        <w:t xml:space="preserve">and </w:t>
      </w:r>
      <w:r w:rsidRPr="001603CF">
        <w:rPr>
          <w:b/>
          <w:lang w:val="en-US"/>
        </w:rPr>
        <w:t>HDO</w:t>
      </w:r>
      <w:r w:rsidRPr="001603CF">
        <w:rPr>
          <w:b/>
          <w:vertAlign w:val="subscript"/>
          <w:lang w:val="en-US"/>
        </w:rPr>
        <w:t>2</w:t>
      </w:r>
      <w:r w:rsidRPr="001603CF">
        <w:rPr>
          <w:lang w:val="en-US"/>
        </w:rPr>
        <w:t xml:space="preserve"> (Figures 2a,b</w:t>
      </w:r>
      <w:r w:rsidR="00770FD4" w:rsidRPr="001603CF">
        <w:rPr>
          <w:lang w:val="en-US"/>
        </w:rPr>
        <w:t xml:space="preserve"> and Supporting Information, Section</w:t>
      </w:r>
      <w:r w:rsidR="004209E9" w:rsidRPr="001603CF">
        <w:rPr>
          <w:lang w:val="en-US"/>
        </w:rPr>
        <w:t>s</w:t>
      </w:r>
      <w:r w:rsidR="00770FD4" w:rsidRPr="001603CF">
        <w:rPr>
          <w:lang w:val="en-US"/>
        </w:rPr>
        <w:t xml:space="preserve"> </w:t>
      </w:r>
      <w:r w:rsidR="00183A47" w:rsidRPr="001603CF">
        <w:rPr>
          <w:lang w:val="en-US"/>
        </w:rPr>
        <w:t>1.3 and 1.4</w:t>
      </w:r>
      <w:r w:rsidRPr="001603CF">
        <w:rPr>
          <w:lang w:val="en-US"/>
        </w:rPr>
        <w:t>). The corresponding activation barriers (</w:t>
      </w:r>
      <w:r w:rsidRPr="001603CF">
        <w:rPr>
          <w:rFonts w:cstheme="minorHAnsi"/>
          <w:lang w:val="en-US"/>
        </w:rPr>
        <w:t>Δ</w:t>
      </w:r>
      <w:r w:rsidRPr="001603CF">
        <w:rPr>
          <w:rFonts w:cstheme="minorHAnsi"/>
          <w:i/>
          <w:lang w:val="en-US"/>
        </w:rPr>
        <w:t>G</w:t>
      </w:r>
      <w:r w:rsidRPr="001603CF">
        <w:rPr>
          <w:rFonts w:cstheme="minorHAnsi"/>
          <w:vertAlign w:val="superscript"/>
          <w:lang w:val="en-US"/>
        </w:rPr>
        <w:sym w:font="Symbol" w:char="F0B9"/>
      </w:r>
      <w:r w:rsidRPr="001603CF">
        <w:rPr>
          <w:rFonts w:cstheme="minorHAnsi"/>
          <w:lang w:val="en-US"/>
        </w:rPr>
        <w:t xml:space="preserve">) </w:t>
      </w:r>
      <w:r w:rsidRPr="001603CF">
        <w:rPr>
          <w:lang w:val="en-US"/>
        </w:rPr>
        <w:t xml:space="preserve">follow a similar trend to the local nucleophilicity index, as illustrated in Figure 2a. </w:t>
      </w:r>
      <w:r w:rsidR="00D631BF" w:rsidRPr="001603CF">
        <w:rPr>
          <w:lang w:val="en-US"/>
        </w:rPr>
        <w:t xml:space="preserve">In </w:t>
      </w:r>
      <w:r w:rsidRPr="001603CF">
        <w:rPr>
          <w:lang w:val="en-US"/>
        </w:rPr>
        <w:t xml:space="preserve">general, the higher the sulfur local nucleophilicity, the lower the activation barrier, at least for the critical sulfoxidation. These activation barriers can be connected to inherent kinetics through Eyring’s equation (Supporting Information, Section </w:t>
      </w:r>
      <w:r w:rsidR="00183A47" w:rsidRPr="001603CF">
        <w:rPr>
          <w:lang w:val="en-US"/>
        </w:rPr>
        <w:t>1.1</w:t>
      </w:r>
      <w:r w:rsidRPr="001603CF">
        <w:rPr>
          <w:lang w:val="en-US"/>
        </w:rPr>
        <w:t xml:space="preserve">). For the sulfoxidation, the oxidations of all thioether substrates are characterized </w:t>
      </w:r>
      <w:r w:rsidR="0065052C" w:rsidRPr="001603CF">
        <w:rPr>
          <w:lang w:val="en-US"/>
        </w:rPr>
        <w:t xml:space="preserve">by </w:t>
      </w:r>
      <w:r w:rsidRPr="001603CF">
        <w:rPr>
          <w:lang w:val="en-US"/>
        </w:rPr>
        <w:t>low activation barriers (</w:t>
      </w:r>
      <w:r w:rsidRPr="001603CF">
        <w:rPr>
          <w:rFonts w:cstheme="minorHAnsi"/>
          <w:lang w:val="en-US"/>
        </w:rPr>
        <w:t>Δ</w:t>
      </w:r>
      <w:r w:rsidRPr="001603CF">
        <w:rPr>
          <w:rFonts w:cstheme="minorHAnsi"/>
          <w:i/>
          <w:lang w:val="en-US"/>
        </w:rPr>
        <w:t>G</w:t>
      </w:r>
      <w:r w:rsidRPr="001603CF">
        <w:rPr>
          <w:rFonts w:cstheme="minorHAnsi"/>
          <w:vertAlign w:val="superscript"/>
          <w:lang w:val="en-US"/>
        </w:rPr>
        <w:sym w:font="Symbol" w:char="F0B9"/>
      </w:r>
      <w:r w:rsidRPr="001603CF">
        <w:rPr>
          <w:rFonts w:cstheme="minorHAnsi"/>
          <w:vertAlign w:val="superscript"/>
          <w:lang w:val="en-US"/>
        </w:rPr>
        <w:t xml:space="preserve"> </w:t>
      </w:r>
      <w:r w:rsidRPr="001603CF">
        <w:rPr>
          <w:lang w:val="en-US"/>
        </w:rPr>
        <w:t>&lt;8 kcal mol</w:t>
      </w:r>
      <w:r w:rsidRPr="001603CF">
        <w:rPr>
          <w:vertAlign w:val="superscript"/>
          <w:lang w:val="en-US"/>
        </w:rPr>
        <w:t>-1</w:t>
      </w:r>
      <w:r w:rsidRPr="001603CF">
        <w:rPr>
          <w:lang w:val="en-US"/>
        </w:rPr>
        <w:t>), which translates to reaction completion below 1 s (at 10 °C and 0.</w:t>
      </w:r>
      <w:r w:rsidR="0058009E" w:rsidRPr="001603CF">
        <w:rPr>
          <w:lang w:val="en-US"/>
        </w:rPr>
        <w:t>1</w:t>
      </w:r>
      <w:r w:rsidRPr="001603CF">
        <w:rPr>
          <w:lang w:val="en-US"/>
        </w:rPr>
        <w:t xml:space="preserve"> M). The overoxidation to the undesired sulfones comes with a higher activation barrier, at least for substrates </w:t>
      </w:r>
      <w:r w:rsidRPr="001603CF">
        <w:rPr>
          <w:b/>
          <w:lang w:val="en-US"/>
        </w:rPr>
        <w:t>1a,b</w:t>
      </w:r>
      <w:r w:rsidRPr="001603CF">
        <w:rPr>
          <w:lang w:val="en-US"/>
        </w:rPr>
        <w:t xml:space="preserve">, </w:t>
      </w:r>
      <w:r w:rsidRPr="001603CF">
        <w:rPr>
          <w:b/>
          <w:lang w:val="en-US"/>
        </w:rPr>
        <w:t>CEPS</w:t>
      </w:r>
      <w:r w:rsidRPr="001603CF">
        <w:rPr>
          <w:lang w:val="en-US"/>
        </w:rPr>
        <w:t xml:space="preserve">, </w:t>
      </w:r>
      <w:r w:rsidRPr="001603CF">
        <w:rPr>
          <w:b/>
          <w:lang w:val="en-US"/>
        </w:rPr>
        <w:t>CEES</w:t>
      </w:r>
      <w:r w:rsidRPr="001603CF">
        <w:rPr>
          <w:lang w:val="en-US"/>
        </w:rPr>
        <w:t xml:space="preserve"> and </w:t>
      </w:r>
      <w:r w:rsidRPr="001603CF">
        <w:rPr>
          <w:b/>
          <w:lang w:val="en-US"/>
        </w:rPr>
        <w:t xml:space="preserve">HD </w:t>
      </w:r>
      <w:r w:rsidRPr="001603CF">
        <w:rPr>
          <w:lang w:val="en-US"/>
        </w:rPr>
        <w:t xml:space="preserve">(3.1 &lt; </w:t>
      </w:r>
      <w:r w:rsidRPr="001603CF">
        <w:rPr>
          <w:rFonts w:cstheme="minorHAnsi"/>
          <w:lang w:val="en-US"/>
        </w:rPr>
        <w:t>ΔΔ</w:t>
      </w:r>
      <w:r w:rsidRPr="001603CF">
        <w:rPr>
          <w:rFonts w:cstheme="minorHAnsi"/>
          <w:i/>
          <w:lang w:val="en-US"/>
        </w:rPr>
        <w:t>G</w:t>
      </w:r>
      <w:r w:rsidRPr="001603CF">
        <w:rPr>
          <w:rFonts w:cstheme="minorHAnsi"/>
          <w:vertAlign w:val="superscript"/>
          <w:lang w:val="en-US"/>
        </w:rPr>
        <w:sym w:font="Symbol" w:char="F0B9"/>
      </w:r>
      <w:r w:rsidRPr="001603CF">
        <w:rPr>
          <w:rFonts w:cstheme="minorHAnsi"/>
          <w:vertAlign w:val="superscript"/>
          <w:lang w:val="en-US"/>
        </w:rPr>
        <w:t xml:space="preserve"> </w:t>
      </w:r>
      <w:r w:rsidRPr="001603CF">
        <w:rPr>
          <w:rFonts w:cstheme="minorHAnsi"/>
          <w:lang w:val="en-US"/>
        </w:rPr>
        <w:t>&lt; 6 kcal mol</w:t>
      </w:r>
      <w:r w:rsidRPr="001603CF">
        <w:rPr>
          <w:rFonts w:cstheme="minorHAnsi"/>
          <w:vertAlign w:val="superscript"/>
          <w:lang w:val="en-US"/>
        </w:rPr>
        <w:t>-1</w:t>
      </w:r>
      <w:r w:rsidRPr="001603CF">
        <w:rPr>
          <w:rFonts w:cstheme="minorHAnsi"/>
          <w:lang w:val="en-US"/>
        </w:rPr>
        <w:t xml:space="preserve">). For compounds </w:t>
      </w:r>
      <w:r w:rsidRPr="001603CF">
        <w:rPr>
          <w:rFonts w:cstheme="minorHAnsi"/>
          <w:b/>
          <w:lang w:val="en-US"/>
        </w:rPr>
        <w:t>1c,d</w:t>
      </w:r>
      <w:r w:rsidRPr="001603CF">
        <w:rPr>
          <w:rFonts w:cstheme="minorHAnsi"/>
          <w:lang w:val="en-US"/>
        </w:rPr>
        <w:t>, the overoxidation appear</w:t>
      </w:r>
      <w:r w:rsidR="00E71219" w:rsidRPr="001603CF">
        <w:rPr>
          <w:rFonts w:cstheme="minorHAnsi"/>
          <w:lang w:val="en-US"/>
        </w:rPr>
        <w:t>s</w:t>
      </w:r>
      <w:r w:rsidRPr="001603CF">
        <w:rPr>
          <w:rFonts w:cstheme="minorHAnsi"/>
          <w:lang w:val="en-US"/>
        </w:rPr>
        <w:t xml:space="preserve"> to be more favorable than the sulfoxidation by 0.5-0.8 kcal mol</w:t>
      </w:r>
      <w:r w:rsidRPr="001603CF">
        <w:rPr>
          <w:rFonts w:cstheme="minorHAnsi"/>
          <w:vertAlign w:val="superscript"/>
          <w:lang w:val="en-US"/>
        </w:rPr>
        <w:t>-1</w:t>
      </w:r>
      <w:r w:rsidRPr="001603CF">
        <w:rPr>
          <w:rFonts w:cstheme="minorHAnsi"/>
          <w:lang w:val="en-US"/>
        </w:rPr>
        <w:t xml:space="preserve">. Nevertheless, </w:t>
      </w:r>
      <w:r w:rsidR="004F0DBC" w:rsidRPr="001603CF">
        <w:rPr>
          <w:rFonts w:cstheme="minorHAnsi"/>
          <w:lang w:val="en-US"/>
        </w:rPr>
        <w:t>computational results confirm</w:t>
      </w:r>
      <w:r w:rsidR="00D05DC9" w:rsidRPr="001603CF">
        <w:rPr>
          <w:rFonts w:cstheme="minorHAnsi"/>
          <w:lang w:val="en-US"/>
        </w:rPr>
        <w:t xml:space="preserve"> selectivity issues</w:t>
      </w:r>
      <w:r w:rsidR="004F0DBC" w:rsidRPr="001603CF">
        <w:rPr>
          <w:rFonts w:cstheme="minorHAnsi"/>
          <w:lang w:val="en-US"/>
        </w:rPr>
        <w:t xml:space="preserve"> </w:t>
      </w:r>
      <w:r w:rsidRPr="001603CF">
        <w:rPr>
          <w:rFonts w:cstheme="minorHAnsi"/>
          <w:lang w:val="en-US"/>
        </w:rPr>
        <w:t>in all instances</w:t>
      </w:r>
      <w:r w:rsidR="00D05DC9" w:rsidRPr="001603CF">
        <w:rPr>
          <w:rFonts w:cstheme="minorHAnsi"/>
          <w:lang w:val="en-US"/>
        </w:rPr>
        <w:t>, since</w:t>
      </w:r>
      <w:r w:rsidRPr="001603CF">
        <w:rPr>
          <w:rFonts w:cstheme="minorHAnsi"/>
          <w:lang w:val="en-US"/>
        </w:rPr>
        <w:t xml:space="preserve"> </w:t>
      </w:r>
      <w:r w:rsidR="004F0DBC" w:rsidRPr="001603CF">
        <w:rPr>
          <w:rFonts w:cstheme="minorHAnsi"/>
          <w:lang w:val="en-US"/>
        </w:rPr>
        <w:t xml:space="preserve">the </w:t>
      </w:r>
      <w:r w:rsidRPr="001603CF">
        <w:rPr>
          <w:rFonts w:cstheme="minorHAnsi"/>
          <w:lang w:val="en-US"/>
        </w:rPr>
        <w:t>activation barriers for</w:t>
      </w:r>
      <w:r w:rsidR="00183A47" w:rsidRPr="001603CF">
        <w:rPr>
          <w:rFonts w:cstheme="minorHAnsi"/>
          <w:lang w:val="en-US"/>
        </w:rPr>
        <w:t xml:space="preserve"> </w:t>
      </w:r>
      <w:r w:rsidRPr="001603CF">
        <w:rPr>
          <w:rFonts w:cstheme="minorHAnsi"/>
          <w:lang w:val="en-US"/>
        </w:rPr>
        <w:t>overoxidation also translate into extremely fast kinetics, with 99% conversion expected below 1 s under the same conditions. It can therefore be concluded that these reactions are clearly limited by diffusion (</w:t>
      </w:r>
      <w:r w:rsidRPr="001603CF">
        <w:rPr>
          <w:rFonts w:cstheme="minorHAnsi"/>
          <w:i/>
          <w:lang w:val="en-US"/>
        </w:rPr>
        <w:t>Da &gt; 1</w:t>
      </w:r>
      <w:r w:rsidRPr="001603CF">
        <w:rPr>
          <w:rFonts w:cstheme="minorHAnsi"/>
          <w:lang w:val="en-US"/>
        </w:rPr>
        <w:t>)</w:t>
      </w:r>
      <w:r w:rsidR="0065052C" w:rsidRPr="001603CF">
        <w:rPr>
          <w:rFonts w:cstheme="minorHAnsi"/>
          <w:lang w:val="en-US"/>
        </w:rPr>
        <w:fldChar w:fldCharType="begin" w:fldLock="1"/>
      </w:r>
      <w:r w:rsidR="00864EF1" w:rsidRPr="001603CF">
        <w:rPr>
          <w:rFonts w:cstheme="minorHAnsi"/>
          <w:lang w:val="en-US"/>
        </w:rPr>
        <w:instrText>ADDIN CSL_CITATION {"citationItems":[{"id":"ITEM-1","itemData":{"DOI":"10.1021/op200349f","ISSN":"10836160","abstract":"Continuous flow chemistry is being used increasingly; however, without detailed knowledge of reaction engineering, it can be difficult to judge whether dispersion and mixing are important factors on reaction outcome. Understanding these effects can result in improved choices of reactor dimensions and give insight for reactor scale-up. We provide an overview of both dispersive and mixing effects in flow systems and present simple relationships for determining whether mixing or dispersion is important for a given flow system. These results are summarized in convenient charts to enable the experimentalist to identify conditions with potential mixing or dispersion problems. The information also expedites design changes, such as inclusion or changes of mixers and changes in reaction tube diameters. As a case study, application of the principles to a glycosylation reaction results in increased throughput and cleaner product profiles compared to previously reported results. © 2012 American Chemical Society.","author":[{"dropping-particle":"","family":"Nagy","given":"Kevin D.","non-dropping-particle":"","parse-names":false,"suffix":""},{"dropping-particle":"","family":"Shen","given":"Bo","non-dropping-particle":"","parse-names":false,"suffix":""},{"dropping-particle":"","family":"Jamison","given":"Timothy F.","non-dropping-particle":"","parse-names":false,"suffix":""},{"dropping-particle":"","family":"Jensen","given":"Klavs F.","non-dropping-particle":"","parse-names":false,"suffix":""}],"container-title":"Organic Process Research and Development","id":"ITEM-1","issue":"5","issued":{"date-parts":[["2012"]]},"page":"976-981","title":"Mixing and dispersion in small-scale flow systems","type":"article-journal","volume":"16"},"uris":["http://www.mendeley.com/documents/?uuid=c04eff0c-dfa9-4853-ad6f-3b02fc44ee01"]}],"mendeley":{"formattedCitation":"&lt;sup&gt;33&lt;/sup&gt;","plainTextFormattedCitation":"33","previouslyFormattedCitation":"&lt;sup&gt;33&lt;/sup&gt;"},"properties":{"noteIndex":0},"schema":"https://github.com/citation-style-language/schema/raw/master/csl-citation.json"}</w:instrText>
      </w:r>
      <w:r w:rsidR="0065052C" w:rsidRPr="001603CF">
        <w:rPr>
          <w:rFonts w:cstheme="minorHAnsi"/>
          <w:lang w:val="en-US"/>
        </w:rPr>
        <w:fldChar w:fldCharType="separate"/>
      </w:r>
      <w:r w:rsidR="00864EF1" w:rsidRPr="001603CF">
        <w:rPr>
          <w:rFonts w:cstheme="minorHAnsi"/>
          <w:noProof/>
          <w:vertAlign w:val="superscript"/>
          <w:lang w:val="en-US"/>
        </w:rPr>
        <w:t>33</w:t>
      </w:r>
      <w:r w:rsidR="0065052C" w:rsidRPr="001603CF">
        <w:rPr>
          <w:rFonts w:cstheme="minorHAnsi"/>
          <w:lang w:val="en-US"/>
        </w:rPr>
        <w:fldChar w:fldCharType="end"/>
      </w:r>
      <w:r w:rsidRPr="001603CF">
        <w:rPr>
          <w:rFonts w:cstheme="minorHAnsi"/>
          <w:lang w:val="en-US"/>
        </w:rPr>
        <w:t xml:space="preserve"> and require high mixing efficiency to avoid </w:t>
      </w:r>
      <w:r w:rsidRPr="001603CF">
        <w:rPr>
          <w:lang w:val="en-US"/>
        </w:rPr>
        <w:t xml:space="preserve">concentration gradients. Selectivity towards the sulfoxide will therefore critically depend on both the selection of an appropriate setup allowing for short reaction times and high mixing efficiency, as well as an appropriate quenching of any remaining ozone. </w:t>
      </w:r>
    </w:p>
    <w:p w14:paraId="726EA474" w14:textId="44D34898" w:rsidR="008A5532" w:rsidRPr="001603CF" w:rsidRDefault="008A5532">
      <w:pPr>
        <w:pStyle w:val="RSCB02ArticleText"/>
        <w:ind w:firstLine="284"/>
        <w:rPr>
          <w:lang w:val="en-US"/>
        </w:rPr>
      </w:pPr>
      <w:r w:rsidRPr="001603CF">
        <w:rPr>
          <w:lang w:val="en-US"/>
        </w:rPr>
        <w:t xml:space="preserve">This scenario emphasizes a case where conventional batch protocols encounter challenges in fulfilling these criteria. Furthermore, batch ozonolysis typically demands sub-zero temperatures to mitigate the potential for explosive reactions. This </w:t>
      </w:r>
      <w:r w:rsidR="00D05DC9" w:rsidRPr="001603CF">
        <w:rPr>
          <w:lang w:val="en-US"/>
        </w:rPr>
        <w:t xml:space="preserve">prompted us to </w:t>
      </w:r>
      <w:r w:rsidRPr="001603CF">
        <w:rPr>
          <w:lang w:val="en-US"/>
        </w:rPr>
        <w:t>develop</w:t>
      </w:r>
      <w:r w:rsidR="00D05DC9" w:rsidRPr="001603CF">
        <w:rPr>
          <w:lang w:val="en-US"/>
        </w:rPr>
        <w:t xml:space="preserve"> </w:t>
      </w:r>
      <w:r w:rsidRPr="001603CF">
        <w:rPr>
          <w:lang w:val="en-US"/>
        </w:rPr>
        <w:t xml:space="preserve">flow conditions, where dedicated flow reactors are meticulously engineered to sustain optimal mixing efficiency. Both the ability to integrate </w:t>
      </w:r>
      <w:r w:rsidR="00C22420" w:rsidRPr="001603CF">
        <w:rPr>
          <w:i/>
          <w:lang w:val="en-US"/>
        </w:rPr>
        <w:t>in</w:t>
      </w:r>
      <w:r w:rsidR="00C22420" w:rsidRPr="001603CF">
        <w:rPr>
          <w:lang w:val="en-US"/>
        </w:rPr>
        <w:t xml:space="preserve"> </w:t>
      </w:r>
      <w:r w:rsidRPr="001603CF">
        <w:rPr>
          <w:i/>
          <w:lang w:val="en-US"/>
        </w:rPr>
        <w:t>situ</w:t>
      </w:r>
      <w:r w:rsidRPr="001603CF">
        <w:rPr>
          <w:lang w:val="en-US"/>
        </w:rPr>
        <w:t xml:space="preserve"> quenching capabilities and the absence of headspace </w:t>
      </w:r>
      <w:r w:rsidR="00D05DC9" w:rsidRPr="001603CF">
        <w:rPr>
          <w:lang w:val="en-US"/>
        </w:rPr>
        <w:t xml:space="preserve">were </w:t>
      </w:r>
      <w:r w:rsidRPr="001603CF">
        <w:rPr>
          <w:lang w:val="en-US"/>
        </w:rPr>
        <w:t xml:space="preserve">also </w:t>
      </w:r>
      <w:r w:rsidR="00D05DC9" w:rsidRPr="001603CF">
        <w:rPr>
          <w:lang w:val="en-US"/>
        </w:rPr>
        <w:t xml:space="preserve">considered </w:t>
      </w:r>
      <w:r w:rsidRPr="001603CF">
        <w:rPr>
          <w:lang w:val="en-US"/>
        </w:rPr>
        <w:t>as important safety feature</w:t>
      </w:r>
      <w:r w:rsidR="00183A47" w:rsidRPr="001603CF">
        <w:rPr>
          <w:lang w:val="en-US"/>
        </w:rPr>
        <w:t>s</w:t>
      </w:r>
      <w:r w:rsidRPr="001603CF">
        <w:rPr>
          <w:lang w:val="en-US"/>
        </w:rPr>
        <w:t xml:space="preserve"> for potentially flammable and/or explosive mixtures.</w:t>
      </w:r>
      <w:r w:rsidR="0065052C" w:rsidRPr="001603CF">
        <w:rPr>
          <w:lang w:val="en-US"/>
        </w:rPr>
        <w:fldChar w:fldCharType="begin" w:fldLock="1"/>
      </w:r>
      <w:r w:rsidR="00864EF1" w:rsidRPr="001603CF">
        <w:rPr>
          <w:lang w:val="en-US"/>
        </w:rPr>
        <w:instrText>ADDIN CSL_CITATION {"citationItems":[{"id":"ITEM-1","itemData":{"DOI":"10.1039/d1re00520k","ISSN":"20589883","abstract":"The oxidation reaction is one of the most important transformations in synthetic chemistry, allowing for the introduction and modification of various functional groups. Continuous flow chemistry involving the use of channels or tubing to conduct a reaction has received a remarkable amount of attention in academia and industry. The technology provides reduced reaction times, higher selectivities, straightforward scalability, and the possibility to safely use hazardous intermediates and gaseous reactants. This review presents an up-to-date overview of oxidation chemistry using various oxidants in continuous flow microreactors. In addition, the advantages of using molecular oxygen as the most environmentally benign oxidant in photochemistry and biochemistry are discussed.","author":[{"dropping-particle":"","family":"Wan","given":"Li","non-dropping-particle":"","parse-names":false,"suffix":""},{"dropping-particle":"","family":"Jiang","given":"Meifen","non-dropping-particle":"","parse-names":false,"suffix":""},{"dropping-particle":"","family":"Cheng","given":"Dang","non-dropping-particle":"","parse-names":false,"suffix":""},{"dropping-particle":"","family":"Liu","given":"Minjie","non-dropping-particle":"","parse-names":false,"suffix":""},{"dropping-particle":"","family":"Chen","given":"Fener","non-dropping-particle":"","parse-names":false,"suffix":""}],"container-title":"Reaction Chemistry and Engineering","id":"ITEM-1","issue":"3","issued":{"date-parts":[["2022"]]},"page":"490-550","publisher":"Royal Society of Chemistry","title":"Continuous flow technology-a tool for safer oxidation chemistry","type":"article-journal","volume":"7"},"uris":["http://www.mendeley.com/documents/?uuid=fe8f71c5-2619-4660-a877-8c268e5b801e"]}],"mendeley":{"formattedCitation":"&lt;sup&gt;34&lt;/sup&gt;","plainTextFormattedCitation":"34","previouslyFormattedCitation":"&lt;sup&gt;34&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34</w:t>
      </w:r>
      <w:r w:rsidR="0065052C" w:rsidRPr="001603CF">
        <w:rPr>
          <w:lang w:val="en-US"/>
        </w:rPr>
        <w:fldChar w:fldCharType="end"/>
      </w:r>
      <w:r w:rsidRPr="001603CF">
        <w:rPr>
          <w:lang w:val="en-US"/>
        </w:rPr>
        <w:t xml:space="preserve"> </w:t>
      </w:r>
    </w:p>
    <w:p w14:paraId="2CBA72C6" w14:textId="77777777" w:rsidR="008A5532" w:rsidRPr="001603CF" w:rsidRDefault="008A5532">
      <w:pPr>
        <w:pStyle w:val="RSCB07BHeadingSub-Section-standalone"/>
        <w:rPr>
          <w:lang w:val="en-US"/>
        </w:rPr>
      </w:pPr>
      <w:r w:rsidRPr="001603CF">
        <w:rPr>
          <w:lang w:val="en-US"/>
        </w:rPr>
        <w:t>Experimental validation</w:t>
      </w:r>
    </w:p>
    <w:p w14:paraId="07D1D938" w14:textId="3F7FA58D" w:rsidR="008A5532" w:rsidRPr="001603CF" w:rsidRDefault="008A5532">
      <w:pPr>
        <w:pStyle w:val="RSCB02ArticleText"/>
        <w:rPr>
          <w:lang w:val="en-US"/>
        </w:rPr>
      </w:pPr>
      <w:r w:rsidRPr="001603CF">
        <w:rPr>
          <w:lang w:val="en-US"/>
        </w:rPr>
        <w:t xml:space="preserve">There is precedent for the ozonolysis </w:t>
      </w:r>
      <w:r w:rsidR="005077B9" w:rsidRPr="001603CF">
        <w:rPr>
          <w:lang w:val="en-US"/>
        </w:rPr>
        <w:t xml:space="preserve">of various substrates </w:t>
      </w:r>
      <w:r w:rsidRPr="001603CF">
        <w:rPr>
          <w:lang w:val="en-US"/>
        </w:rPr>
        <w:t>under continuous flow (micro and mesofluidic setups).</w:t>
      </w:r>
      <w:r w:rsidR="0065052C" w:rsidRPr="001603CF">
        <w:rPr>
          <w:lang w:val="en-US"/>
        </w:rPr>
        <w:fldChar w:fldCharType="begin" w:fldLock="1"/>
      </w:r>
      <w:r w:rsidR="00864EF1" w:rsidRPr="001603CF">
        <w:rPr>
          <w:lang w:val="en-US"/>
        </w:rPr>
        <w:instrText>ADDIN CSL_CITATION {"citationItems":[{"id":"ITEM-1","itemData":{"DOI":"10.1021/acs.oprd.1c00008","ISSN":"1520586X","abstract":"Despite its synthetic relevance, ozonolysis is still an underused reaction in the synthetic chemistry industries. This can be attributed to safety issues while handling the ozone itself, alongside extra hazard related to unstable reaction intermediates. Flow chemistry is inherently safer as it involves a small volume of reagent at any given time. Here, to address safety and technical issues, we describe the design and testing of an ozone dosing line. A global risk assessment and the description of the setup, the analytics, are presented in detail. This new dosing line enabled the successful scale-up of β-pinene ozonolysis in flow, with a productivity of over 16 g/h.","author":[{"dropping-particle":"","family":"Vaz","given":"Margaux","non-dropping-particle":"","parse-names":false,"suffix":""},{"dropping-particle":"","family":"Courboin","given":"Daniel","non-dropping-particle":"","parse-names":false,"suffix":""},{"dropping-particle":"","family":"Winter","given":"Marc","non-dropping-particle":"","parse-names":false,"suffix":""},{"dropping-particle":"","family":"Roth","given":"Philippe M.C.","non-dropping-particle":"","parse-names":false,"suffix":""}],"container-title":"Organic Process Research and Development","id":"ITEM-1","issue":"7","issued":{"date-parts":[["2021"]]},"page":"1589-1597","title":"Scale-Up of Ozonolysis using Inherently Safer Technology in Continuous Flow under Pressure: Case Study on β-Pinene","type":"article-journal","volume":"25"},"uris":["http://www.mendeley.com/documents/?uuid=15e05377-d357-4244-9233-a9d5a7bec561"]},{"id":"ITEM-2","itemData":{"DOI":"10.1039/d1re00264c","ISSN":"20589883","abstract":"Ozonolysis reactions are generally high-yielding, highly selective, and sustainable processes, especially when performed in green solvents. However, ozonolysis is underutilized in organic synthesis and chemical manufacture due to the safety concerns associated with handling ozone (O3) gas and the highly reactive ozonide intermediate. In this article, the development of ozonolysis reactions within a dedicated microreactor platform suitable for gas-liquid transformations is described. The optimization of the reaction conditions for the ozonolysis of cyclohexene to hexanedial, and thioanisole to methyl phenyl sulfoxide is presented. Cyclohexene is transformed to hexanedial in 94% yield at 0 °C within 1.7 seconds. In a similar fashion, the ozonolysis of thioanisole was achieved in 99% yield at 0 °C within &lt;1 second. A 3D printed heat flow calorimeter was used to measure the heat of reaction for the ozonolysis of thioanisole, giving a value of -165 ± 4 kJ mol-1. A 3 hour long run achieved a throughput of 1.77 g h-1 for methyl phenyl sulfoxide, which corresponds to a space time yield of 1.84 kg L-1 h-1 for this intensified process. This journal is","author":[{"dropping-particle":"","family":"Polterauer","given":"Dominik","non-dropping-particle":"","parse-names":false,"suffix":""},{"dropping-particle":"","family":"Roberge","given":"Dominique M.","non-dropping-particle":"","parse-names":false,"suffix":""},{"dropping-particle":"","family":"Hanselmann","given":"Paul","non-dropping-particle":"","parse-names":false,"suffix":""},{"dropping-particle":"","family":"Elsner","given":"Petteri","non-dropping-particle":"","parse-names":false,"suffix":""},{"dropping-particle":"","family":"Hone","given":"Christopher A.","non-dropping-particle":"","parse-names":false,"suffix":""},{"dropping-particle":"","family":"Kappe","given":"C. Oliver","non-dropping-particle":"","parse-names":false,"suffix":""}],"container-title":"Reaction Chemistry and Engineering","id":"ITEM-2","issue":"12","issued":{"date-parts":[["2021"]]},"page":"2253-2258","publisher":"Royal Society of Chemistry","title":"Process intensification of ozonolysis reactions using dedicated microstructured reactors","type":"article-journal","volume":"6"},"uris":["http://www.mendeley.com/documents/?uuid=b4fcf500-4480-4ec2-a2f2-ac86ce004f84"]},{"id":"ITEM-3","itemData":{"DOI":"10.1007/s41981-022-00220-6","ISSN":"20630212","abstract":"Due to the inherent safety and high mass/heat transfer efficiency of microreactor, the continuous micro-reaction technology has been widely applied in hazardous chemistry recently. In this work, a continuous ozonolysis system based on micro-packed bed reactors (µPBRs) was developed with the synthesis of benzaldehyde as a model reaction. The effects of operating variables (e.g., stirring time, molar ozone/olefin ratio, reaction pressure, reaction temperature and liquid residence time) on the olefins conversion and product distribution were investigated. Based on the experimental results, the optimum reaction conditions are as follows: stirring time 1 h, molar ratio of ozone to olefin 1.2, reaction pressure 0.1 MPa, and the reaction temperature ranging from − 15 to 10</w:instrText>
      </w:r>
      <w:r w:rsidR="00864EF1" w:rsidRPr="001603CF">
        <w:rPr>
          <w:rFonts w:ascii="Cambria Math" w:hAnsi="Cambria Math" w:cs="Cambria Math"/>
          <w:lang w:val="en-US"/>
        </w:rPr>
        <w:instrText>℃</w:instrText>
      </w:r>
      <w:r w:rsidR="00864EF1" w:rsidRPr="001603CF">
        <w:rPr>
          <w:lang w:val="en-US"/>
        </w:rPr>
        <w:instrText>, as opposed to the low temperature (&lt;-50</w:instrText>
      </w:r>
      <w:r w:rsidR="00864EF1" w:rsidRPr="001603CF">
        <w:rPr>
          <w:rFonts w:ascii="Cambria Math" w:hAnsi="Cambria Math" w:cs="Cambria Math"/>
          <w:lang w:val="en-US"/>
        </w:rPr>
        <w:instrText>℃</w:instrText>
      </w:r>
      <w:r w:rsidR="00864EF1" w:rsidRPr="001603CF">
        <w:rPr>
          <w:lang w:val="en-US"/>
        </w:rPr>
        <w:instrText>) routinely employed for batch operation. In addition, the full conversion of styrene and a benzaldehyde yield of ~ 93% was observed with the liquid residence time of 3.8–30.8 s. Consequently, the flow ozonolysis technique upon µPBRs allows for a sustainable, safe and efficient approach to oxidize olefins to aldehydes/ketones compared to traditional methods.","author":[{"dropping-particle":"","family":"Lou","given":"Fengyan","non-dropping-particle":"","parse-names":false,"suffix":""},{"dropping-particle":"","family":"Cao","given":"Qiang","non-dropping-particle":"","parse-names":false,"suffix":""},{"dropping-particle":"","family":"Zhang","given":"Chenghao","non-dropping-particle":"","parse-names":false,"suffix":""},{"dropping-particle":"","family":"Ai","given":"Ning","non-dropping-particle":"","parse-names":false,"suffix":""},{"dropping-particle":"","family":"Wang","given":"Qining","non-dropping-particle":"","parse-names":false,"suffix":""},{"dropping-particle":"","family":"Zhang","given":"Jisong","non-dropping-particle":"","parse-names":false,"suffix":""}],"container-title":"Journal of Flow Chemistry","id":"ITEM-3","issue":"3","issued":{"date-parts":[["2022"]]},"page":"307-315","title":"Continuous synthesis of benzaldehyde by ozonolysis of styrene in a micro-packed bed reactor","type":"article-journal","volume":"12"},"uris":["http://www.mendeley.com/documents/?uuid=bf372e9b-1edd-44c8-8533-431af15d069e"]},{"id":"ITEM-4","itemData":{"DOI":"10.1039/c7re00084g","ISSN":"20589883","abstract":"Efficient ozonolysis of quinoline, electron deficient 8-nitroquinoline, and electron rich 6-methoxyquinoline is conducted in a Corning low flow reactor (Corning LFR) with recycling. The conversions of quinoline and 8-nitroquinoline from single-pass experiments were 75.6 and 52.4%, respectively. Upon successive oxidative work-up in a batch reactor, pyridine-2,3-dicarboxylic acid was obtained in 72.7 and 24.7% yields from the ozonolysis products of quinoline and 8-nitroquinoline, respectively. The recycling increased the overall conversions to 95.2 and 76.9%, respectively. For 6-methoxyquinoline, the conversion from the single-pass experiment, 45.2%, was increased to 73.5% with recycling under a higher liquid flow rate and substrate concentration for ozonolysis. Experimental results, conversions, residence time distribution (RTD), and the overall mass transfer coefficient are included in reactor models to determine the rate constants for ozonolysis. Predictions with the rate constants for quinoline, 8-nitroquinoline, and 6-methoxyquinoline show good agreement with the experimental results for different recycle ratios and concentrations of ozone and substrates.","author":[{"dropping-particle":"","family":"Lee","given":"Kyoungmi","non-dropping-particle":"","parse-names":false,"suffix":""},{"dropping-particle":"","family":"Lin","given":"Hongkun","non-dropping-particle":"","parse-names":false,"suffix":""},{"dropping-particle":"","family":"Jensen","given":"Klavs F.","non-dropping-particle":"","parse-names":false,"suffix":""}],"container-title":"Reaction Chemistry and Engineering","id":"ITEM-4","issue":"5","issued":{"date-parts":[["2017"]]},"page":"696-702","publisher":"Royal Society of Chemistry","title":"Ozonolysis of quinoline and quinoline derivatives in a Corning low flow reactor","type":"article-journal","volume":"2"},"uris":["http://www.mendeley.com/documents/?uuid=9be6cbce-a866-4a36-b6a9-54747cfd0be9"]},{"id":"ITEM-5","itemData":{"DOI":"10.1021/ol102984h","ISSN":"15237060","abstract":"Several important types of ozonolysis reactions have been performed in a continuous flow device that is able to perform both the ozonolysis and quenching steps in flow mode. This technique allows safe and scalable ozonolysis reactions to be performed on a laboratory scale.(Figure Presented) © 2011 American Chemical Society.","author":[{"dropping-particle":"","family":"Irfan","given":"Muhammad","non-dropping-particle":"","parse-names":false,"suffix":""},{"dropping-particle":"","family":"Glasnov","given":"Toma N.","non-dropping-particle":"","parse-names":false,"suffix":""},{"dropping-particle":"","family":"Kappe","given":"C. Oliver","non-dropping-particle":"","parse-names":false,"suffix":""}],"container-title":"Organic Letters","id":"ITEM-5","issue":"5","issued":{"date-parts":[["2011"]]},"page":"984-987","title":"Continuous flow ozonolysis in a laboratory scale reactor","type":"article-journal","volume":"13"},"uris":["http://www.mendeley.com/documents/?uuid=ec986b7a-2fe6-4227-9653-0befa7218217"]},{"id":"ITEM-6","itemData":{"DOI":"10.1556/1846.2015.00010","ISSN":"20630212","abstract":"Ozonolysis of alkenes in liquid phase is conducted from micro scales to milli scales using a multichannel microreactor, a Corning low-flow reactor (LFR), and a Corning advanced-flow reactor (AFR). For the mass transfer limited test case of ozonolysis of 1-decene, maximum conversions that depend on the ozone availability in the gas phase are achieved regardless of the operating conditions, proving an excellent mass transfer in all three reactors. Ozonolysis of Sudan Red 7B dye provides visualization of the completion of the reaction in the glass-made AFR and LFR. Overall mass transfer coefficients are estimated to be on the order of 1/s in both the LFR and AFR, increasing with both liquid and gas flow rates. These values are within the same range observed in microchannels and one order of magnitude larger than in other conventional contactors.","author":[{"dropping-particle":"","family":"Nieves-Remacha","given":"María José","non-dropping-particle":"","parse-names":false,"suffix":""},{"dropping-particle":"","family":"Jensen","given":"Klavs F.","non-dropping-particle":"","parse-names":false,"suffix":""}],"container-title":"Journal of Flow Chemistry","id":"ITEM-6","issue":"3","issued":{"date-parts":[["2015"]]},"page":"160-165","title":"Mass transfer characteristics of ozonolysis in microreactors and advanced-flow reactors","type":"article-journal","volume":"5"},"uris":["http://www.mendeley.com/documents/?uuid=aa068fc0-d332-4fde-ba0d-218ec5634cdf"]},{"id":"ITEM-7","itemData":{"DOI":"10.1021/ol100322t","ISSN":"15237060","abstract":"(Figure Presented) A flow-through chemistry apparatus has been developed which allows gases and liquids to contact via a semipermeable Teflon AF-2400 membrane. In this preliminary investigation, the concept was proven by application to the ozonolysls of a series of alkenes. © 2010 American Chemical Society.","author":[{"dropping-particle":"","family":"O'Brien","given":"Matthew","non-dropping-particle":"","parse-names":false,"suffix":""},{"dropping-particle":"","family":"Baxendale","given":"Ian R.","non-dropping-particle":"","parse-names":false,"suffix":""},{"dropping-particle":"V.","family":"Ley","given":"Steven","non-dropping-particle":"","parse-names":false,"suffix":""}],"container-title":"Organic Letters","id":"ITEM-7","issue":"7","issued":{"date-parts":[["2010"]]},"page":"1596-1598","title":"Flow ozonolysis using a semipermeable Teflon AF-2400 membrane to effect gas - Liquid contact","type":"article-journal","volume":"12"},"uris":["http://www.mendeley.com/documents/?uuid=f23503ad-8c94-43c1-a478-ebb8137a69ee"]}],"mendeley":{"formattedCitation":"&lt;sup&gt;35–41&lt;/sup&gt;","plainTextFormattedCitation":"35–41","previouslyFormattedCitation":"&lt;sup&gt;35–41&lt;/sup&gt;"},"properties":{"noteIndex":0},"schema":"https://github.com/citation-style-language/schema/raw/master/csl-citation.json"}</w:instrText>
      </w:r>
      <w:r w:rsidR="0065052C" w:rsidRPr="001603CF">
        <w:rPr>
          <w:lang w:val="en-US"/>
        </w:rPr>
        <w:fldChar w:fldCharType="separate"/>
      </w:r>
      <w:r w:rsidR="00864EF1" w:rsidRPr="001603CF">
        <w:rPr>
          <w:noProof/>
          <w:vertAlign w:val="superscript"/>
          <w:lang w:val="en-US"/>
        </w:rPr>
        <w:t>35–41</w:t>
      </w:r>
      <w:r w:rsidR="0065052C" w:rsidRPr="001603CF">
        <w:rPr>
          <w:lang w:val="en-US"/>
        </w:rPr>
        <w:fldChar w:fldCharType="end"/>
      </w:r>
      <w:r w:rsidRPr="001603CF">
        <w:rPr>
          <w:lang w:val="en-US"/>
        </w:rPr>
        <w:t xml:space="preserve"> </w:t>
      </w:r>
      <w:r w:rsidR="0065052C" w:rsidRPr="001603CF">
        <w:rPr>
          <w:lang w:val="en-US"/>
        </w:rPr>
        <w:t>H</w:t>
      </w:r>
      <w:r w:rsidRPr="001603CF">
        <w:rPr>
          <w:lang w:val="en-US"/>
        </w:rPr>
        <w:t>ere, experiments were performed using a commercial Corning® Advanced-Flow™ Reactor (AFR) specifically designed for a minimal footprint (AFR</w:t>
      </w:r>
      <w:r w:rsidRPr="001603CF">
        <w:rPr>
          <w:vertAlign w:val="superscript"/>
          <w:lang w:val="en-US"/>
        </w:rPr>
        <w:t>TM</w:t>
      </w:r>
      <w:r w:rsidRPr="001603CF">
        <w:rPr>
          <w:lang w:val="en-US"/>
        </w:rPr>
        <w:t xml:space="preserve"> LowFlow). The reactor configuration featured 2 LowFlow glass fluidic modules (FM, 0.5 </w:t>
      </w:r>
      <w:r w:rsidRPr="001603CF">
        <w:rPr>
          <w:lang w:val="en-US"/>
        </w:rPr>
        <w:lastRenderedPageBreak/>
        <w:t>mL internal volume each) specifically designed for high mass transfer in liquid-gas biphasic systems. Both FMs were connected in series and featured an embedded high-performance heat exchanger. The reactor setup was fed upstream with compressed ozone (</w:t>
      </w:r>
      <w:r w:rsidR="00C56DAC" w:rsidRPr="001603CF">
        <w:rPr>
          <w:lang w:val="en-US"/>
        </w:rPr>
        <w:t>10</w:t>
      </w:r>
      <w:r w:rsidRPr="001603CF">
        <w:rPr>
          <w:lang w:val="en-US"/>
        </w:rPr>
        <w:t xml:space="preserve"> bar) and with a liquid feed of thioether in ethanol. </w:t>
      </w:r>
      <w:r w:rsidR="00473F11" w:rsidRPr="001603CF">
        <w:rPr>
          <w:lang w:val="en-US"/>
        </w:rPr>
        <w:t>The pressurized ozone generator has been reported elsewhere.</w:t>
      </w:r>
      <w:r w:rsidR="00473F11" w:rsidRPr="001603CF">
        <w:rPr>
          <w:lang w:val="en-US"/>
        </w:rPr>
        <w:fldChar w:fldCharType="begin" w:fldLock="1"/>
      </w:r>
      <w:r w:rsidR="00864EF1" w:rsidRPr="001603CF">
        <w:rPr>
          <w:lang w:val="en-US"/>
        </w:rPr>
        <w:instrText>ADDIN CSL_CITATION {"citationItems":[{"id":"ITEM-1","itemData":{"DOI":"10.1021/acs.oprd.1c00008","ISSN":"1520586X","abstract":"Despite its synthetic relevance, ozonolysis is still an underused reaction in the synthetic chemistry industries. This can be attributed to safety issues while handling the ozone itself, alongside extra hazard related to unstable reaction intermediates. Flow chemistry is inherently safer as it involves a small volume of reagent at any given time. Here, to address safety and technical issues, we describe the design and testing of an ozone dosing line. A global risk assessment and the description of the setup, the analytics, are presented in detail. This new dosing line enabled the successful scale-up of β-pinene ozonolysis in flow, with a productivity of over 16 g/h.","author":[{"dropping-particle":"","family":"Vaz","given":"Margaux","non-dropping-particle":"","parse-names":false,"suffix":""},{"dropping-particle":"","family":"Courboin","given":"Daniel","non-dropping-particle":"","parse-names":false,"suffix":""},{"dropping-particle":"","family":"Winter","given":"Marc","non-dropping-particle":"","parse-names":false,"suffix":""},{"dropping-particle":"","family":"Roth","given":"Philippe M.C.","non-dropping-particle":"","parse-names":false,"suffix":""}],"container-title":"Organic Process Research and Development","id":"ITEM-1","issue":"7","issued":{"date-parts":[["2021"]]},"page":"1589-1597","title":"Scale-Up of Ozonolysis using Inherently Safer Technology in Continuous Flow under Pressure: Case Study on β-Pinene","type":"article-journal","volume":"25"},"uris":["http://www.mendeley.com/documents/?uuid=15e05377-d357-4244-9233-a9d5a7bec561"]}],"mendeley":{"formattedCitation":"&lt;sup&gt;35&lt;/sup&gt;","plainTextFormattedCitation":"35","previouslyFormattedCitation":"&lt;sup&gt;35&lt;/sup&gt;"},"properties":{"noteIndex":0},"schema":"https://github.com/citation-style-language/schema/raw/master/csl-citation.json"}</w:instrText>
      </w:r>
      <w:r w:rsidR="00473F11" w:rsidRPr="001603CF">
        <w:rPr>
          <w:lang w:val="en-US"/>
        </w:rPr>
        <w:fldChar w:fldCharType="separate"/>
      </w:r>
      <w:r w:rsidR="00864EF1" w:rsidRPr="001603CF">
        <w:rPr>
          <w:noProof/>
          <w:vertAlign w:val="superscript"/>
          <w:lang w:val="en-US"/>
        </w:rPr>
        <w:t>35</w:t>
      </w:r>
      <w:r w:rsidR="00473F11" w:rsidRPr="001603CF">
        <w:rPr>
          <w:lang w:val="en-US"/>
        </w:rPr>
        <w:fldChar w:fldCharType="end"/>
      </w:r>
      <w:r w:rsidR="00473F11" w:rsidRPr="001603CF">
        <w:rPr>
          <w:lang w:val="en-US"/>
        </w:rPr>
        <w:t xml:space="preserve"> </w:t>
      </w:r>
      <w:r w:rsidRPr="001603CF">
        <w:rPr>
          <w:lang w:val="en-US"/>
        </w:rPr>
        <w:t xml:space="preserve">FM1 was used for the oxidation of various </w:t>
      </w:r>
      <w:r w:rsidRPr="001603CF">
        <w:rPr>
          <w:b/>
          <w:lang w:val="en-US"/>
        </w:rPr>
        <w:t>HD</w:t>
      </w:r>
      <w:r w:rsidRPr="001603CF">
        <w:rPr>
          <w:lang w:val="en-US"/>
        </w:rPr>
        <w:t xml:space="preserve"> thioether simulants with ozone, while FM2 was used to quench the reaction mixture (aqueous sodium thiosulfate, 0.</w:t>
      </w:r>
      <w:r w:rsidR="00C07425" w:rsidRPr="001603CF">
        <w:rPr>
          <w:lang w:val="en-US"/>
        </w:rPr>
        <w:t>5</w:t>
      </w:r>
      <w:r w:rsidRPr="001603CF">
        <w:rPr>
          <w:lang w:val="en-US"/>
        </w:rPr>
        <w:t xml:space="preserve"> M). Note here that the in-line quench is an additional safety feature to neutralize any unreacted ozone prior to the collection of reaction effluents. The reactor effluents were analyzed either by HPLC or GC-FID (</w:t>
      </w:r>
      <w:r w:rsidR="00E670C7" w:rsidRPr="001603CF">
        <w:rPr>
          <w:lang w:val="en-US"/>
        </w:rPr>
        <w:t>Supporting Information</w:t>
      </w:r>
      <w:r w:rsidRPr="001603CF">
        <w:rPr>
          <w:lang w:val="en-US"/>
        </w:rPr>
        <w:t>, Section 3.</w:t>
      </w:r>
      <w:r w:rsidR="004209E9" w:rsidRPr="001603CF">
        <w:rPr>
          <w:lang w:val="en-US"/>
        </w:rPr>
        <w:t>2</w:t>
      </w:r>
      <w:r w:rsidRPr="001603CF">
        <w:rPr>
          <w:lang w:val="en-US"/>
        </w:rPr>
        <w:t>). A simplified flow chart for the ozone neutralization platform is depicted in Figure 3</w:t>
      </w:r>
      <w:r w:rsidR="00E670C7" w:rsidRPr="001603CF">
        <w:rPr>
          <w:lang w:val="en-US"/>
        </w:rPr>
        <w:t>a</w:t>
      </w:r>
      <w:r w:rsidRPr="001603CF">
        <w:rPr>
          <w:lang w:val="en-US"/>
        </w:rPr>
        <w:t xml:space="preserve"> (</w:t>
      </w:r>
      <w:r w:rsidR="00E670C7" w:rsidRPr="001603CF">
        <w:rPr>
          <w:lang w:val="en-US"/>
        </w:rPr>
        <w:t xml:space="preserve">Supporting Information, Section 2 and 4 </w:t>
      </w:r>
      <w:r w:rsidRPr="001603CF">
        <w:rPr>
          <w:lang w:val="en-US"/>
        </w:rPr>
        <w:t xml:space="preserve">for detailed setup and experimental protocols, </w:t>
      </w:r>
      <w:r w:rsidR="00402DE1" w:rsidRPr="001603CF">
        <w:rPr>
          <w:lang w:val="en-US"/>
        </w:rPr>
        <w:t>photos</w:t>
      </w:r>
      <w:r w:rsidR="000D0FF5" w:rsidRPr="001603CF">
        <w:rPr>
          <w:lang w:val="en-US"/>
        </w:rPr>
        <w:t>,</w:t>
      </w:r>
      <w:r w:rsidRPr="001603CF">
        <w:rPr>
          <w:lang w:val="en-US"/>
        </w:rPr>
        <w:t xml:space="preserve"> and risk analysis). </w:t>
      </w:r>
    </w:p>
    <w:p w14:paraId="06C219FE" w14:textId="173AAA1C" w:rsidR="002B2F17" w:rsidRPr="001603CF" w:rsidRDefault="008558F4">
      <w:pPr>
        <w:pStyle w:val="RSCI03FigureSchemeChartUncaptioned"/>
        <w:jc w:val="both"/>
        <w:rPr>
          <w:lang w:val="en-US"/>
        </w:rPr>
      </w:pPr>
      <w:r w:rsidRPr="001603CF">
        <w:rPr>
          <w:b/>
          <w:noProof/>
          <w:lang w:val="en-US"/>
        </w:rPr>
        <w:drawing>
          <wp:inline distT="0" distB="0" distL="0" distR="0" wp14:anchorId="409CACE5" wp14:editId="1E4B5D23">
            <wp:extent cx="3168015" cy="451167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4511675"/>
                    </a:xfrm>
                    <a:prstGeom prst="rect">
                      <a:avLst/>
                    </a:prstGeom>
                  </pic:spPr>
                </pic:pic>
              </a:graphicData>
            </a:graphic>
          </wp:inline>
        </w:drawing>
      </w:r>
      <w:r w:rsidR="00F92E47" w:rsidRPr="001603CF">
        <w:rPr>
          <w:b/>
          <w:lang w:val="en-US"/>
        </w:rPr>
        <w:t xml:space="preserve">Fig. </w:t>
      </w:r>
      <w:r w:rsidR="00F121B0" w:rsidRPr="001603CF">
        <w:rPr>
          <w:b/>
          <w:lang w:val="en-US"/>
        </w:rPr>
        <w:t>3</w:t>
      </w:r>
      <w:r w:rsidR="00F92E47" w:rsidRPr="001603CF">
        <w:rPr>
          <w:b/>
          <w:lang w:val="en-US"/>
        </w:rPr>
        <w:t xml:space="preserve">. (a) </w:t>
      </w:r>
      <w:r w:rsidR="00F92E47" w:rsidRPr="001603CF">
        <w:rPr>
          <w:lang w:val="en-US"/>
        </w:rPr>
        <w:t xml:space="preserve">Simplified flow chart. </w:t>
      </w:r>
      <w:r w:rsidR="00F92E47" w:rsidRPr="001603CF">
        <w:rPr>
          <w:b/>
          <w:lang w:val="en-US"/>
        </w:rPr>
        <w:t>(b)</w:t>
      </w:r>
      <w:r w:rsidR="00F92E47" w:rsidRPr="001603CF">
        <w:rPr>
          <w:lang w:val="en-US"/>
        </w:rPr>
        <w:t xml:space="preserve">  </w:t>
      </w:r>
      <w:r w:rsidR="00F93BA9" w:rsidRPr="001603CF">
        <w:rPr>
          <w:lang w:val="en-US"/>
        </w:rPr>
        <w:t xml:space="preserve">Structure </w:t>
      </w:r>
      <w:r w:rsidR="00B96B15" w:rsidRPr="001603CF">
        <w:rPr>
          <w:lang w:val="en-US"/>
        </w:rPr>
        <w:t>of</w:t>
      </w:r>
      <w:r w:rsidR="00F93BA9" w:rsidRPr="001603CF">
        <w:rPr>
          <w:lang w:val="en-US"/>
        </w:rPr>
        <w:t xml:space="preserve"> the different product</w:t>
      </w:r>
      <w:r w:rsidR="00F8688A" w:rsidRPr="001603CF">
        <w:rPr>
          <w:lang w:val="en-US"/>
        </w:rPr>
        <w:t>s</w:t>
      </w:r>
      <w:r w:rsidR="00F93BA9" w:rsidRPr="001603CF">
        <w:rPr>
          <w:lang w:val="en-US"/>
        </w:rPr>
        <w:t xml:space="preserve"> </w:t>
      </w:r>
      <w:r w:rsidR="00B96B15" w:rsidRPr="001603CF">
        <w:rPr>
          <w:lang w:val="en-US"/>
        </w:rPr>
        <w:t>observed</w:t>
      </w:r>
      <w:r w:rsidR="00F93BA9" w:rsidRPr="001603CF">
        <w:rPr>
          <w:lang w:val="en-US"/>
        </w:rPr>
        <w:t xml:space="preserve"> upon ozone oxidation </w:t>
      </w:r>
      <w:r w:rsidR="00B96B15" w:rsidRPr="001603CF">
        <w:rPr>
          <w:lang w:val="en-US"/>
        </w:rPr>
        <w:t>of</w:t>
      </w:r>
      <w:r w:rsidR="002B2F17" w:rsidRPr="001603CF">
        <w:rPr>
          <w:lang w:val="en-US"/>
        </w:rPr>
        <w:t xml:space="preserve"> compounds </w:t>
      </w:r>
      <w:r w:rsidR="002B2F17" w:rsidRPr="001603CF">
        <w:rPr>
          <w:b/>
          <w:lang w:val="en-US"/>
        </w:rPr>
        <w:t>1a</w:t>
      </w:r>
      <w:r w:rsidR="00F93BA9" w:rsidRPr="001603CF">
        <w:rPr>
          <w:b/>
          <w:lang w:val="en-US"/>
        </w:rPr>
        <w:t>,b</w:t>
      </w:r>
      <w:r w:rsidR="001D26BF" w:rsidRPr="001603CF">
        <w:rPr>
          <w:b/>
          <w:lang w:val="en-US"/>
        </w:rPr>
        <w:t>,</w:t>
      </w:r>
      <w:r w:rsidR="002B2F17" w:rsidRPr="001603CF">
        <w:rPr>
          <w:b/>
          <w:lang w:val="en-US"/>
        </w:rPr>
        <w:t xml:space="preserve"> CEPS</w:t>
      </w:r>
      <w:r w:rsidR="00B96B15" w:rsidRPr="001603CF">
        <w:rPr>
          <w:b/>
          <w:lang w:val="en-US"/>
        </w:rPr>
        <w:t>,</w:t>
      </w:r>
      <w:r w:rsidR="00F93BA9" w:rsidRPr="001603CF">
        <w:rPr>
          <w:b/>
          <w:lang w:val="en-US"/>
        </w:rPr>
        <w:t xml:space="preserve"> </w:t>
      </w:r>
      <w:r w:rsidR="00F93BA9" w:rsidRPr="001603CF">
        <w:rPr>
          <w:lang w:val="en-US"/>
        </w:rPr>
        <w:t xml:space="preserve">and </w:t>
      </w:r>
      <w:r w:rsidR="00F93BA9" w:rsidRPr="001603CF">
        <w:rPr>
          <w:b/>
          <w:lang w:val="en-US"/>
        </w:rPr>
        <w:t>CEES</w:t>
      </w:r>
      <w:r w:rsidR="002B2F17" w:rsidRPr="001603CF">
        <w:rPr>
          <w:lang w:val="en-US"/>
        </w:rPr>
        <w:t xml:space="preserve"> </w:t>
      </w:r>
      <w:r w:rsidR="00B96B15" w:rsidRPr="001603CF">
        <w:rPr>
          <w:lang w:val="en-US"/>
        </w:rPr>
        <w:t>i</w:t>
      </w:r>
      <w:r w:rsidR="002B2F17" w:rsidRPr="001603CF">
        <w:rPr>
          <w:lang w:val="en-US"/>
        </w:rPr>
        <w:t>n the crude reactor effluents</w:t>
      </w:r>
      <w:r w:rsidR="00E162F2" w:rsidRPr="001603CF">
        <w:rPr>
          <w:lang w:val="en-US"/>
        </w:rPr>
        <w:t xml:space="preserve"> (see Table </w:t>
      </w:r>
      <w:r w:rsidR="00F121B0" w:rsidRPr="001603CF">
        <w:rPr>
          <w:lang w:val="en-US"/>
        </w:rPr>
        <w:t>1)</w:t>
      </w:r>
      <w:r w:rsidR="00E162F2" w:rsidRPr="001603CF">
        <w:rPr>
          <w:lang w:val="en-US"/>
        </w:rPr>
        <w:t xml:space="preserve">. Feed solutions for compounds </w:t>
      </w:r>
      <w:r w:rsidR="00E162F2" w:rsidRPr="001603CF">
        <w:rPr>
          <w:b/>
          <w:lang w:val="en-US"/>
        </w:rPr>
        <w:t>1a,b</w:t>
      </w:r>
      <w:r w:rsidR="001D26BF" w:rsidRPr="001603CF">
        <w:rPr>
          <w:b/>
          <w:lang w:val="en-US"/>
        </w:rPr>
        <w:t>,</w:t>
      </w:r>
      <w:r w:rsidR="00E162F2" w:rsidRPr="001603CF">
        <w:rPr>
          <w:b/>
          <w:lang w:val="en-US"/>
        </w:rPr>
        <w:t xml:space="preserve"> CEPS</w:t>
      </w:r>
      <w:r w:rsidR="00B96B15" w:rsidRPr="001603CF">
        <w:rPr>
          <w:b/>
          <w:lang w:val="en-US"/>
        </w:rPr>
        <w:t>,</w:t>
      </w:r>
      <w:r w:rsidR="00E162F2" w:rsidRPr="001603CF">
        <w:rPr>
          <w:lang w:val="en-US"/>
        </w:rPr>
        <w:t xml:space="preserve"> and </w:t>
      </w:r>
      <w:r w:rsidR="00E162F2" w:rsidRPr="001603CF">
        <w:rPr>
          <w:b/>
          <w:lang w:val="en-US"/>
        </w:rPr>
        <w:t>CEES</w:t>
      </w:r>
      <w:r w:rsidR="00E162F2" w:rsidRPr="001603CF">
        <w:rPr>
          <w:lang w:val="en-US"/>
        </w:rPr>
        <w:t xml:space="preserve"> were prepared in EtOH (0.</w:t>
      </w:r>
      <w:r w:rsidR="0058009E" w:rsidRPr="001603CF">
        <w:rPr>
          <w:lang w:val="en-US"/>
        </w:rPr>
        <w:t>1</w:t>
      </w:r>
      <w:r w:rsidR="00E162F2" w:rsidRPr="001603CF">
        <w:rPr>
          <w:lang w:val="en-US"/>
        </w:rPr>
        <w:t xml:space="preserve"> or 0.5 M, see Table </w:t>
      </w:r>
      <w:r w:rsidR="00F121B0" w:rsidRPr="001603CF">
        <w:rPr>
          <w:lang w:val="en-US"/>
        </w:rPr>
        <w:t>1</w:t>
      </w:r>
      <w:r w:rsidR="00E162F2" w:rsidRPr="001603CF">
        <w:rPr>
          <w:lang w:val="en-US"/>
        </w:rPr>
        <w:t>). The rea</w:t>
      </w:r>
      <w:r w:rsidR="001D26BF" w:rsidRPr="001603CF">
        <w:rPr>
          <w:lang w:val="en-US"/>
        </w:rPr>
        <w:t xml:space="preserve">ctor effluent was quenched with </w:t>
      </w:r>
      <w:r w:rsidR="00F37282" w:rsidRPr="001603CF">
        <w:rPr>
          <w:lang w:val="en-US"/>
        </w:rPr>
        <w:t>0.</w:t>
      </w:r>
      <w:r w:rsidR="00967699" w:rsidRPr="001603CF">
        <w:rPr>
          <w:lang w:val="en-US"/>
        </w:rPr>
        <w:t>5</w:t>
      </w:r>
      <w:r w:rsidR="00F37282" w:rsidRPr="001603CF">
        <w:rPr>
          <w:lang w:val="en-US"/>
        </w:rPr>
        <w:t xml:space="preserve"> M </w:t>
      </w:r>
      <w:r w:rsidR="001D26BF" w:rsidRPr="001603CF">
        <w:rPr>
          <w:lang w:val="en-US"/>
        </w:rPr>
        <w:t>aqueous sodium thiosulfate</w:t>
      </w:r>
      <w:r w:rsidR="00F37282" w:rsidRPr="001603CF">
        <w:rPr>
          <w:lang w:val="en-US"/>
        </w:rPr>
        <w:t>. All experiments were monitored with an ozone detector at the outlet of the reactor.</w:t>
      </w:r>
      <w:r w:rsidR="001D26BF" w:rsidRPr="001603CF">
        <w:rPr>
          <w:lang w:val="en-US"/>
        </w:rPr>
        <w:t xml:space="preserve"> </w:t>
      </w:r>
    </w:p>
    <w:p w14:paraId="4905D4A2" w14:textId="55545F61" w:rsidR="00DC54CD" w:rsidRPr="001603CF" w:rsidRDefault="00E75654">
      <w:pPr>
        <w:pStyle w:val="RSCB02ArticleText"/>
        <w:ind w:firstLine="284"/>
        <w:rPr>
          <w:lang w:val="en-US"/>
        </w:rPr>
      </w:pPr>
      <w:r w:rsidRPr="001603CF">
        <w:rPr>
          <w:lang w:val="en-US"/>
        </w:rPr>
        <w:t xml:space="preserve">Validation of the </w:t>
      </w:r>
      <w:r w:rsidRPr="001603CF">
        <w:rPr>
          <w:i/>
          <w:lang w:val="en-US"/>
        </w:rPr>
        <w:t>in silico</w:t>
      </w:r>
      <w:r w:rsidRPr="001603CF">
        <w:rPr>
          <w:lang w:val="en-US"/>
        </w:rPr>
        <w:t xml:space="preserve"> predictions was </w:t>
      </w:r>
      <w:r w:rsidR="00986D4E">
        <w:rPr>
          <w:lang w:val="en-US"/>
        </w:rPr>
        <w:t xml:space="preserve">next </w:t>
      </w:r>
      <w:r w:rsidR="00C07425" w:rsidRPr="001603CF">
        <w:rPr>
          <w:lang w:val="en-US"/>
        </w:rPr>
        <w:t>performed</w:t>
      </w:r>
      <w:r w:rsidRPr="001603CF">
        <w:rPr>
          <w:lang w:val="en-US"/>
        </w:rPr>
        <w:t xml:space="preserve">. </w:t>
      </w:r>
      <w:r w:rsidR="00364D51" w:rsidRPr="001603CF">
        <w:rPr>
          <w:lang w:val="en-US"/>
        </w:rPr>
        <w:t xml:space="preserve">Among the small libraries of potential </w:t>
      </w:r>
      <w:r w:rsidR="00364D51" w:rsidRPr="001603CF">
        <w:rPr>
          <w:b/>
          <w:lang w:val="en-US"/>
        </w:rPr>
        <w:t xml:space="preserve">HD </w:t>
      </w:r>
      <w:r w:rsidR="00364D51" w:rsidRPr="001603CF">
        <w:rPr>
          <w:lang w:val="en-US"/>
        </w:rPr>
        <w:t xml:space="preserve">simulants, 3 thioethers were picked </w:t>
      </w:r>
      <w:r w:rsidRPr="001603CF">
        <w:rPr>
          <w:lang w:val="en-US"/>
        </w:rPr>
        <w:t xml:space="preserve">to </w:t>
      </w:r>
      <w:r w:rsidR="0028071E" w:rsidRPr="001603CF">
        <w:rPr>
          <w:lang w:val="en-US"/>
        </w:rPr>
        <w:t xml:space="preserve">experimentally represent 3 </w:t>
      </w:r>
      <w:r w:rsidR="00AD2DDE" w:rsidRPr="001603CF">
        <w:rPr>
          <w:lang w:val="en-US"/>
        </w:rPr>
        <w:t>different</w:t>
      </w:r>
      <w:r w:rsidR="00364D51" w:rsidRPr="001603CF">
        <w:rPr>
          <w:lang w:val="en-US"/>
        </w:rPr>
        <w:t xml:space="preserve"> </w:t>
      </w:r>
      <w:r w:rsidR="00364D51" w:rsidRPr="001603CF">
        <w:rPr>
          <w:lang w:val="en-US"/>
        </w:rPr>
        <w:t>computed</w:t>
      </w:r>
      <w:r w:rsidR="00AD2DDE" w:rsidRPr="001603CF">
        <w:rPr>
          <w:lang w:val="en-US"/>
        </w:rPr>
        <w:t xml:space="preserve"> </w:t>
      </w:r>
      <w:r w:rsidR="0028071E" w:rsidRPr="001603CF">
        <w:rPr>
          <w:lang w:val="en-US"/>
        </w:rPr>
        <w:t xml:space="preserve">local </w:t>
      </w:r>
      <w:r w:rsidR="00AD2DDE" w:rsidRPr="001603CF">
        <w:rPr>
          <w:lang w:val="en-US"/>
        </w:rPr>
        <w:t xml:space="preserve">nucleophilicities. Specifically, we chose to explore </w:t>
      </w:r>
      <w:r w:rsidR="00AD2DDE" w:rsidRPr="001603CF">
        <w:rPr>
          <w:b/>
          <w:bCs/>
          <w:lang w:val="en-US"/>
        </w:rPr>
        <w:t>1a</w:t>
      </w:r>
      <w:r w:rsidR="005F73FA" w:rsidRPr="001603CF">
        <w:rPr>
          <w:b/>
          <w:bCs/>
          <w:lang w:val="en-US"/>
        </w:rPr>
        <w:t xml:space="preserve"> </w:t>
      </w:r>
      <w:r w:rsidR="005F73FA" w:rsidRPr="001603CF">
        <w:rPr>
          <w:lang w:val="en-US"/>
        </w:rPr>
        <w:t>(</w:t>
      </w:r>
      <w:r w:rsidR="005F73FA" w:rsidRPr="001603CF">
        <w:rPr>
          <w:i/>
          <w:iCs/>
          <w:lang w:val="en-US"/>
        </w:rPr>
        <w:t>N</w:t>
      </w:r>
      <w:r w:rsidR="005F73FA" w:rsidRPr="001603CF">
        <w:rPr>
          <w:vertAlign w:val="subscript"/>
          <w:lang w:val="en-US"/>
        </w:rPr>
        <w:t>s</w:t>
      </w:r>
      <w:r w:rsidR="005F73FA" w:rsidRPr="001603CF">
        <w:rPr>
          <w:lang w:val="en-US"/>
        </w:rPr>
        <w:t xml:space="preserve"> 1.8)</w:t>
      </w:r>
      <w:r w:rsidR="00AD2DDE" w:rsidRPr="001603CF">
        <w:rPr>
          <w:lang w:val="en-US"/>
        </w:rPr>
        <w:t xml:space="preserve">, as the most </w:t>
      </w:r>
      <w:r w:rsidRPr="001603CF">
        <w:rPr>
          <w:lang w:val="en-US"/>
        </w:rPr>
        <w:t>similar</w:t>
      </w:r>
      <w:r w:rsidR="00AD2DDE" w:rsidRPr="001603CF">
        <w:rPr>
          <w:lang w:val="en-US"/>
        </w:rPr>
        <w:t xml:space="preserve"> analogue to </w:t>
      </w:r>
      <w:r w:rsidR="00AD2DDE" w:rsidRPr="001603CF">
        <w:rPr>
          <w:b/>
          <w:bCs/>
          <w:lang w:val="en-US"/>
        </w:rPr>
        <w:t>CEES</w:t>
      </w:r>
      <w:r w:rsidR="00AD2DDE" w:rsidRPr="001603CF">
        <w:rPr>
          <w:lang w:val="en-US"/>
        </w:rPr>
        <w:t xml:space="preserve"> </w:t>
      </w:r>
      <w:r w:rsidR="005F73FA" w:rsidRPr="001603CF">
        <w:rPr>
          <w:lang w:val="en-US"/>
        </w:rPr>
        <w:t>(</w:t>
      </w:r>
      <w:r w:rsidR="005F73FA" w:rsidRPr="001603CF">
        <w:rPr>
          <w:i/>
          <w:iCs/>
          <w:lang w:val="en-US"/>
        </w:rPr>
        <w:t>N</w:t>
      </w:r>
      <w:r w:rsidR="005F73FA" w:rsidRPr="001603CF">
        <w:rPr>
          <w:vertAlign w:val="subscript"/>
          <w:lang w:val="en-US"/>
        </w:rPr>
        <w:t>s</w:t>
      </w:r>
      <w:r w:rsidR="005F73FA" w:rsidRPr="001603CF">
        <w:rPr>
          <w:lang w:val="en-US"/>
        </w:rPr>
        <w:t xml:space="preserve"> 1.9) </w:t>
      </w:r>
      <w:r w:rsidR="00AD2DDE" w:rsidRPr="001603CF">
        <w:rPr>
          <w:lang w:val="en-US"/>
        </w:rPr>
        <w:t xml:space="preserve">according to our computations; </w:t>
      </w:r>
      <w:r w:rsidR="00AD2DDE" w:rsidRPr="001603CF">
        <w:rPr>
          <w:b/>
          <w:bCs/>
          <w:lang w:val="en-US"/>
        </w:rPr>
        <w:t>1b</w:t>
      </w:r>
      <w:r w:rsidR="00AD2DDE" w:rsidRPr="001603CF">
        <w:rPr>
          <w:lang w:val="en-US"/>
        </w:rPr>
        <w:t xml:space="preserve"> </w:t>
      </w:r>
      <w:r w:rsidR="005F73FA" w:rsidRPr="001603CF">
        <w:rPr>
          <w:lang w:val="en-US"/>
        </w:rPr>
        <w:t>(</w:t>
      </w:r>
      <w:r w:rsidR="005F73FA" w:rsidRPr="001603CF">
        <w:rPr>
          <w:i/>
          <w:iCs/>
          <w:lang w:val="en-US"/>
        </w:rPr>
        <w:t>N</w:t>
      </w:r>
      <w:r w:rsidR="005F73FA" w:rsidRPr="001603CF">
        <w:rPr>
          <w:vertAlign w:val="subscript"/>
          <w:lang w:val="en-US"/>
        </w:rPr>
        <w:t>s</w:t>
      </w:r>
      <w:r w:rsidR="005F73FA" w:rsidRPr="001603CF">
        <w:rPr>
          <w:lang w:val="en-US"/>
        </w:rPr>
        <w:t xml:space="preserve"> 2.1) </w:t>
      </w:r>
      <w:r w:rsidR="00AD2DDE" w:rsidRPr="001603CF">
        <w:rPr>
          <w:lang w:val="en-US"/>
        </w:rPr>
        <w:t xml:space="preserve">as an example of a </w:t>
      </w:r>
      <w:r w:rsidR="006D3866" w:rsidRPr="001603CF">
        <w:rPr>
          <w:lang w:val="en-US"/>
        </w:rPr>
        <w:t xml:space="preserve">sulfide with a higher nucleophilicity than </w:t>
      </w:r>
      <w:r w:rsidR="00883D95" w:rsidRPr="001603CF">
        <w:rPr>
          <w:b/>
          <w:bCs/>
          <w:lang w:val="en-US"/>
        </w:rPr>
        <w:t>CEES</w:t>
      </w:r>
      <w:r w:rsidR="00883D95" w:rsidRPr="001603CF">
        <w:rPr>
          <w:lang w:val="en-US"/>
        </w:rPr>
        <w:t xml:space="preserve">; and </w:t>
      </w:r>
      <w:r w:rsidR="00883D95" w:rsidRPr="001603CF">
        <w:rPr>
          <w:b/>
          <w:bCs/>
          <w:lang w:val="en-US"/>
        </w:rPr>
        <w:t>CEPS</w:t>
      </w:r>
      <w:r w:rsidR="00883D95" w:rsidRPr="001603CF">
        <w:rPr>
          <w:lang w:val="en-US"/>
        </w:rPr>
        <w:t xml:space="preserve"> </w:t>
      </w:r>
      <w:r w:rsidR="005F73FA" w:rsidRPr="001603CF">
        <w:rPr>
          <w:lang w:val="en-US"/>
        </w:rPr>
        <w:t>(</w:t>
      </w:r>
      <w:r w:rsidR="005F73FA" w:rsidRPr="001603CF">
        <w:rPr>
          <w:i/>
          <w:iCs/>
          <w:lang w:val="en-US"/>
        </w:rPr>
        <w:t>N</w:t>
      </w:r>
      <w:r w:rsidR="005F73FA" w:rsidRPr="001603CF">
        <w:rPr>
          <w:vertAlign w:val="subscript"/>
          <w:lang w:val="en-US"/>
        </w:rPr>
        <w:t>s</w:t>
      </w:r>
      <w:r w:rsidR="005F73FA" w:rsidRPr="001603CF">
        <w:rPr>
          <w:lang w:val="en-US"/>
        </w:rPr>
        <w:t xml:space="preserve"> 1.6) </w:t>
      </w:r>
      <w:r w:rsidR="00883D95" w:rsidRPr="001603CF">
        <w:rPr>
          <w:lang w:val="en-US"/>
        </w:rPr>
        <w:t>as an analogue with lesser reactivity</w:t>
      </w:r>
      <w:r w:rsidR="005F73FA" w:rsidRPr="001603CF">
        <w:rPr>
          <w:lang w:val="en-US"/>
        </w:rPr>
        <w:t xml:space="preserve"> </w:t>
      </w:r>
      <w:r w:rsidR="00EF0B65" w:rsidRPr="001603CF">
        <w:rPr>
          <w:lang w:val="en-US"/>
        </w:rPr>
        <w:t xml:space="preserve">and that </w:t>
      </w:r>
      <w:r w:rsidR="005F73FA" w:rsidRPr="001603CF">
        <w:rPr>
          <w:lang w:val="en-US"/>
        </w:rPr>
        <w:t xml:space="preserve">is frequently used as a </w:t>
      </w:r>
      <w:r w:rsidR="005F73FA" w:rsidRPr="001603CF">
        <w:rPr>
          <w:b/>
          <w:bCs/>
          <w:lang w:val="en-US"/>
        </w:rPr>
        <w:t>CEES</w:t>
      </w:r>
      <w:r w:rsidR="005F73FA" w:rsidRPr="001603CF">
        <w:rPr>
          <w:lang w:val="en-US"/>
        </w:rPr>
        <w:t xml:space="preserve"> </w:t>
      </w:r>
      <w:r w:rsidR="004F39D0" w:rsidRPr="001603CF">
        <w:rPr>
          <w:lang w:val="en-US"/>
        </w:rPr>
        <w:t>simulant</w:t>
      </w:r>
      <w:r w:rsidRPr="001603CF">
        <w:rPr>
          <w:lang w:val="en-US"/>
        </w:rPr>
        <w:t xml:space="preserve">. </w:t>
      </w:r>
      <w:r w:rsidR="00C07425" w:rsidRPr="001603CF">
        <w:rPr>
          <w:lang w:val="en-US"/>
        </w:rPr>
        <w:t>The c</w:t>
      </w:r>
      <w:r w:rsidR="00CD7DBF" w:rsidRPr="001603CF">
        <w:rPr>
          <w:lang w:val="en-US"/>
        </w:rPr>
        <w:t xml:space="preserve">onditions </w:t>
      </w:r>
      <w:r w:rsidR="00883D95" w:rsidRPr="001603CF">
        <w:rPr>
          <w:lang w:val="en-US"/>
        </w:rPr>
        <w:t xml:space="preserve">selected for </w:t>
      </w:r>
      <w:r w:rsidR="00CD7DBF" w:rsidRPr="001603CF">
        <w:rPr>
          <w:lang w:val="en-US"/>
        </w:rPr>
        <w:t>the</w:t>
      </w:r>
      <w:r w:rsidR="00DD7F67" w:rsidRPr="001603CF">
        <w:rPr>
          <w:lang w:val="en-US"/>
        </w:rPr>
        <w:t xml:space="preserve"> computational</w:t>
      </w:r>
      <w:r w:rsidR="00CD7DBF" w:rsidRPr="001603CF">
        <w:rPr>
          <w:lang w:val="en-US"/>
        </w:rPr>
        <w:t xml:space="preserve"> kinetics study were </w:t>
      </w:r>
      <w:r w:rsidR="0045009B" w:rsidRPr="001603CF">
        <w:rPr>
          <w:lang w:val="en-US"/>
        </w:rPr>
        <w:t>implemented</w:t>
      </w:r>
      <w:r w:rsidR="00CD7DBF" w:rsidRPr="001603CF">
        <w:rPr>
          <w:lang w:val="en-US"/>
        </w:rPr>
        <w:t xml:space="preserve"> experimentally</w:t>
      </w:r>
      <w:r w:rsidR="00EF0B65" w:rsidRPr="001603CF">
        <w:rPr>
          <w:lang w:val="en-US"/>
        </w:rPr>
        <w:t xml:space="preserve">, </w:t>
      </w:r>
      <w:r w:rsidR="00EF0B65" w:rsidRPr="001603CF">
        <w:rPr>
          <w:i/>
          <w:lang w:val="en-US"/>
        </w:rPr>
        <w:t>i.e.</w:t>
      </w:r>
      <w:r w:rsidR="00EF0B65" w:rsidRPr="001603CF">
        <w:rPr>
          <w:lang w:val="en-US"/>
        </w:rPr>
        <w:t>,</w:t>
      </w:r>
      <w:r w:rsidR="00883D95" w:rsidRPr="001603CF">
        <w:rPr>
          <w:lang w:val="en-US"/>
        </w:rPr>
        <w:t xml:space="preserve"> 0.1 M</w:t>
      </w:r>
      <w:r w:rsidR="00EF0B65" w:rsidRPr="001603CF">
        <w:rPr>
          <w:lang w:val="en-US"/>
        </w:rPr>
        <w:t xml:space="preserve"> concentration of the sulfide</w:t>
      </w:r>
      <w:r w:rsidR="00883D95" w:rsidRPr="001603CF">
        <w:rPr>
          <w:lang w:val="en-US"/>
        </w:rPr>
        <w:t xml:space="preserve"> in EtOH</w:t>
      </w:r>
      <w:r w:rsidR="00EF0B65" w:rsidRPr="001603CF">
        <w:rPr>
          <w:lang w:val="en-US"/>
        </w:rPr>
        <w:t xml:space="preserve"> and 1</w:t>
      </w:r>
      <w:r w:rsidR="004F39D0" w:rsidRPr="001603CF">
        <w:rPr>
          <w:lang w:val="en-US"/>
        </w:rPr>
        <w:t xml:space="preserve"> s</w:t>
      </w:r>
      <w:r w:rsidR="00EF0B65" w:rsidRPr="001603CF">
        <w:rPr>
          <w:lang w:val="en-US"/>
        </w:rPr>
        <w:t xml:space="preserve"> of residence time</w:t>
      </w:r>
      <w:r w:rsidR="00CD7DBF" w:rsidRPr="001603CF">
        <w:rPr>
          <w:lang w:val="en-US"/>
        </w:rPr>
        <w:t xml:space="preserve">. </w:t>
      </w:r>
      <w:r w:rsidR="0023708A" w:rsidRPr="001603CF">
        <w:rPr>
          <w:lang w:val="en-US"/>
        </w:rPr>
        <w:t xml:space="preserve">A control experiment where the system was operated without ozone led to no conversion of the sulfide (Table 1, Entry 1). </w:t>
      </w:r>
      <w:r w:rsidR="00B634AE" w:rsidRPr="001603CF">
        <w:rPr>
          <w:lang w:val="en-US"/>
        </w:rPr>
        <w:t xml:space="preserve">Each </w:t>
      </w:r>
      <w:r w:rsidR="008A71E1" w:rsidRPr="001603CF">
        <w:rPr>
          <w:lang w:val="en-US"/>
        </w:rPr>
        <w:t xml:space="preserve">of the selected </w:t>
      </w:r>
      <w:r w:rsidR="00B907B4" w:rsidRPr="001603CF">
        <w:rPr>
          <w:lang w:val="en-US"/>
        </w:rPr>
        <w:t>compound</w:t>
      </w:r>
      <w:r w:rsidR="00B634AE" w:rsidRPr="001603CF">
        <w:rPr>
          <w:lang w:val="en-US"/>
        </w:rPr>
        <w:t xml:space="preserve"> was </w:t>
      </w:r>
      <w:r w:rsidR="008A71E1" w:rsidRPr="001603CF">
        <w:rPr>
          <w:lang w:val="en-US"/>
        </w:rPr>
        <w:t xml:space="preserve">then tested using </w:t>
      </w:r>
      <w:r w:rsidR="00B634AE" w:rsidRPr="001603CF">
        <w:rPr>
          <w:lang w:val="en-US"/>
        </w:rPr>
        <w:t xml:space="preserve">a </w:t>
      </w:r>
      <w:r w:rsidR="00883D95" w:rsidRPr="001603CF">
        <w:rPr>
          <w:lang w:val="en-US"/>
        </w:rPr>
        <w:t>small</w:t>
      </w:r>
      <w:r w:rsidR="00CD7DBF" w:rsidRPr="001603CF">
        <w:rPr>
          <w:lang w:val="en-US"/>
        </w:rPr>
        <w:t xml:space="preserve"> excess of ozone </w:t>
      </w:r>
      <w:r w:rsidR="00B764FF" w:rsidRPr="001603CF">
        <w:rPr>
          <w:lang w:val="en-US"/>
        </w:rPr>
        <w:t xml:space="preserve">(1.4 equiv.) </w:t>
      </w:r>
      <w:r w:rsidR="00B907B4" w:rsidRPr="001603CF">
        <w:rPr>
          <w:lang w:val="en-US"/>
        </w:rPr>
        <w:t xml:space="preserve">in order to </w:t>
      </w:r>
      <w:r w:rsidR="00B764FF" w:rsidRPr="001603CF">
        <w:rPr>
          <w:lang w:val="en-US"/>
        </w:rPr>
        <w:t>test the</w:t>
      </w:r>
      <w:r w:rsidR="00B634AE" w:rsidRPr="001603CF">
        <w:rPr>
          <w:lang w:val="en-US"/>
        </w:rPr>
        <w:t>ir</w:t>
      </w:r>
      <w:r w:rsidR="00B764FF" w:rsidRPr="001603CF">
        <w:rPr>
          <w:lang w:val="en-US"/>
        </w:rPr>
        <w:t xml:space="preserve"> propensity </w:t>
      </w:r>
      <w:r w:rsidR="00B634AE" w:rsidRPr="001603CF">
        <w:rPr>
          <w:lang w:val="en-US"/>
        </w:rPr>
        <w:t xml:space="preserve">for </w:t>
      </w:r>
      <w:r w:rsidR="00B764FF" w:rsidRPr="001603CF">
        <w:rPr>
          <w:lang w:val="en-US"/>
        </w:rPr>
        <w:t xml:space="preserve">overoxidation </w:t>
      </w:r>
      <w:r w:rsidR="00B907B4" w:rsidRPr="001603CF">
        <w:rPr>
          <w:lang w:val="en-US"/>
        </w:rPr>
        <w:t xml:space="preserve">to </w:t>
      </w:r>
      <w:r w:rsidR="00B764FF" w:rsidRPr="001603CF">
        <w:rPr>
          <w:lang w:val="en-US"/>
        </w:rPr>
        <w:t xml:space="preserve">the </w:t>
      </w:r>
      <w:r w:rsidR="004F39D0" w:rsidRPr="001603CF">
        <w:rPr>
          <w:lang w:val="en-US"/>
        </w:rPr>
        <w:t xml:space="preserve">corresponding </w:t>
      </w:r>
      <w:r w:rsidR="00B764FF" w:rsidRPr="001603CF">
        <w:rPr>
          <w:lang w:val="en-US"/>
        </w:rPr>
        <w:t>sulfone</w:t>
      </w:r>
      <w:r w:rsidR="004F39D0" w:rsidRPr="001603CF">
        <w:rPr>
          <w:lang w:val="en-US"/>
        </w:rPr>
        <w:t>s</w:t>
      </w:r>
      <w:r w:rsidR="00722159" w:rsidRPr="001603CF">
        <w:rPr>
          <w:lang w:val="en-US"/>
        </w:rPr>
        <w:t xml:space="preserve"> (</w:t>
      </w:r>
      <w:r w:rsidR="00722159" w:rsidRPr="001603CF">
        <w:rPr>
          <w:b/>
          <w:lang w:val="en-US"/>
        </w:rPr>
        <w:t>3a</w:t>
      </w:r>
      <w:r w:rsidR="00722159" w:rsidRPr="001603CF">
        <w:rPr>
          <w:lang w:val="en-US"/>
        </w:rPr>
        <w:t xml:space="preserve">, </w:t>
      </w:r>
      <w:r w:rsidR="00722159" w:rsidRPr="001603CF">
        <w:rPr>
          <w:b/>
          <w:lang w:val="en-US"/>
        </w:rPr>
        <w:t>b</w:t>
      </w:r>
      <w:r w:rsidR="00722159" w:rsidRPr="001603CF">
        <w:rPr>
          <w:lang w:val="en-US"/>
        </w:rPr>
        <w:t xml:space="preserve"> and </w:t>
      </w:r>
      <w:r w:rsidR="00722159" w:rsidRPr="001603CF">
        <w:rPr>
          <w:b/>
          <w:lang w:val="en-US"/>
        </w:rPr>
        <w:t>CEPSO</w:t>
      </w:r>
      <w:r w:rsidR="00722159" w:rsidRPr="001603CF">
        <w:rPr>
          <w:b/>
          <w:vertAlign w:val="subscript"/>
          <w:lang w:val="en-US"/>
        </w:rPr>
        <w:t>2</w:t>
      </w:r>
      <w:r w:rsidR="00722159" w:rsidRPr="001603CF">
        <w:rPr>
          <w:lang w:val="en-US"/>
        </w:rPr>
        <w:t>)</w:t>
      </w:r>
      <w:r w:rsidR="00CD7DBF" w:rsidRPr="001603CF">
        <w:rPr>
          <w:lang w:val="en-US"/>
        </w:rPr>
        <w:t xml:space="preserve">. </w:t>
      </w:r>
      <w:r w:rsidR="00883D95" w:rsidRPr="001603CF">
        <w:rPr>
          <w:lang w:val="en-US"/>
        </w:rPr>
        <w:t>Under these conditions, t</w:t>
      </w:r>
      <w:r w:rsidR="00B764FF" w:rsidRPr="001603CF">
        <w:rPr>
          <w:lang w:val="en-US"/>
        </w:rPr>
        <w:t xml:space="preserve">he reaction with </w:t>
      </w:r>
      <w:r w:rsidR="00B764FF" w:rsidRPr="001603CF">
        <w:rPr>
          <w:b/>
          <w:bCs/>
          <w:lang w:val="en-US"/>
        </w:rPr>
        <w:t>1a</w:t>
      </w:r>
      <w:r w:rsidR="00B764FF" w:rsidRPr="001603CF">
        <w:rPr>
          <w:lang w:val="en-US"/>
        </w:rPr>
        <w:t xml:space="preserve"> </w:t>
      </w:r>
      <w:r w:rsidR="00A40372" w:rsidRPr="001603CF">
        <w:rPr>
          <w:lang w:val="en-US"/>
        </w:rPr>
        <w:t xml:space="preserve">led to </w:t>
      </w:r>
      <w:r w:rsidR="00DC54CD" w:rsidRPr="001603CF">
        <w:rPr>
          <w:lang w:val="en-US"/>
        </w:rPr>
        <w:t>full conversion into its corresponding sulfox</w:t>
      </w:r>
      <w:r w:rsidR="00183A47" w:rsidRPr="001603CF">
        <w:rPr>
          <w:lang w:val="en-US"/>
        </w:rPr>
        <w:t>i</w:t>
      </w:r>
      <w:r w:rsidR="00DC54CD" w:rsidRPr="001603CF">
        <w:rPr>
          <w:lang w:val="en-US"/>
        </w:rPr>
        <w:t xml:space="preserve">de </w:t>
      </w:r>
      <w:r w:rsidR="00DC54CD" w:rsidRPr="001603CF">
        <w:rPr>
          <w:b/>
          <w:lang w:val="en-US"/>
        </w:rPr>
        <w:t>2a</w:t>
      </w:r>
      <w:r w:rsidR="00A40372" w:rsidRPr="001603CF">
        <w:rPr>
          <w:bCs/>
          <w:lang w:val="en-US"/>
        </w:rPr>
        <w:t xml:space="preserve">, with no overoxidation to sulfone </w:t>
      </w:r>
      <w:r w:rsidR="00A40372" w:rsidRPr="001603CF">
        <w:rPr>
          <w:b/>
          <w:lang w:val="en-US"/>
        </w:rPr>
        <w:t>3a</w:t>
      </w:r>
      <w:r w:rsidR="00DC54CD" w:rsidRPr="001603CF">
        <w:rPr>
          <w:lang w:val="en-US"/>
        </w:rPr>
        <w:t xml:space="preserve"> (Figure </w:t>
      </w:r>
      <w:r w:rsidR="00F121B0" w:rsidRPr="001603CF">
        <w:rPr>
          <w:lang w:val="en-US"/>
        </w:rPr>
        <w:t>3</w:t>
      </w:r>
      <w:r w:rsidR="00DC54CD" w:rsidRPr="001603CF">
        <w:rPr>
          <w:lang w:val="en-US"/>
        </w:rPr>
        <w:t xml:space="preserve">, Table </w:t>
      </w:r>
      <w:r w:rsidR="00F121B0" w:rsidRPr="001603CF">
        <w:rPr>
          <w:lang w:val="en-US"/>
        </w:rPr>
        <w:t>1</w:t>
      </w:r>
      <w:r w:rsidR="00DC54CD" w:rsidRPr="001603CF">
        <w:rPr>
          <w:lang w:val="en-US"/>
        </w:rPr>
        <w:t xml:space="preserve">, </w:t>
      </w:r>
      <w:r w:rsidR="004008E8" w:rsidRPr="001603CF">
        <w:rPr>
          <w:lang w:val="en-US"/>
        </w:rPr>
        <w:t xml:space="preserve">Entry </w:t>
      </w:r>
      <w:r w:rsidR="00CD7DBF" w:rsidRPr="001603CF">
        <w:rPr>
          <w:lang w:val="en-US"/>
        </w:rPr>
        <w:t>2</w:t>
      </w:r>
      <w:r w:rsidR="00DC54CD" w:rsidRPr="001603CF">
        <w:rPr>
          <w:lang w:val="en-US"/>
        </w:rPr>
        <w:t xml:space="preserve">). </w:t>
      </w:r>
      <w:r w:rsidR="00883D95" w:rsidRPr="001603CF">
        <w:rPr>
          <w:lang w:val="en-US"/>
        </w:rPr>
        <w:t>Sulfide</w:t>
      </w:r>
      <w:r w:rsidR="0045009B" w:rsidRPr="001603CF">
        <w:rPr>
          <w:lang w:val="en-US"/>
        </w:rPr>
        <w:t xml:space="preserve"> </w:t>
      </w:r>
      <w:r w:rsidR="0045009B" w:rsidRPr="001603CF">
        <w:rPr>
          <w:b/>
          <w:lang w:val="en-US"/>
        </w:rPr>
        <w:t>1b</w:t>
      </w:r>
      <w:r w:rsidR="00883D95" w:rsidRPr="001603CF">
        <w:rPr>
          <w:b/>
          <w:lang w:val="en-US"/>
        </w:rPr>
        <w:t xml:space="preserve">, </w:t>
      </w:r>
      <w:r w:rsidR="00883D95" w:rsidRPr="001603CF">
        <w:rPr>
          <w:bCs/>
          <w:lang w:val="en-US"/>
        </w:rPr>
        <w:t>on the other hand,</w:t>
      </w:r>
      <w:r w:rsidR="0045009B" w:rsidRPr="001603CF">
        <w:rPr>
          <w:lang w:val="en-US"/>
        </w:rPr>
        <w:t xml:space="preserve"> was converted into a mixture of the desired sulfoxide </w:t>
      </w:r>
      <w:r w:rsidR="0045009B" w:rsidRPr="001603CF">
        <w:rPr>
          <w:b/>
          <w:lang w:val="en-US"/>
        </w:rPr>
        <w:t xml:space="preserve">2b </w:t>
      </w:r>
      <w:r w:rsidR="0045009B" w:rsidRPr="001603CF">
        <w:rPr>
          <w:lang w:val="en-US"/>
        </w:rPr>
        <w:t xml:space="preserve">(96%) and </w:t>
      </w:r>
      <w:r w:rsidR="00DC54CD" w:rsidRPr="001603CF">
        <w:rPr>
          <w:lang w:val="en-US"/>
        </w:rPr>
        <w:t xml:space="preserve">sulfone </w:t>
      </w:r>
      <w:r w:rsidR="00DC54CD" w:rsidRPr="001603CF">
        <w:rPr>
          <w:b/>
          <w:lang w:val="en-US"/>
        </w:rPr>
        <w:t>3b</w:t>
      </w:r>
      <w:r w:rsidR="00DC54CD" w:rsidRPr="001603CF">
        <w:rPr>
          <w:lang w:val="en-US"/>
        </w:rPr>
        <w:t xml:space="preserve"> </w:t>
      </w:r>
      <w:r w:rsidR="0045009B" w:rsidRPr="001603CF">
        <w:rPr>
          <w:lang w:val="en-US"/>
        </w:rPr>
        <w:t>(4%)</w:t>
      </w:r>
      <w:r w:rsidR="0051158A" w:rsidRPr="001603CF">
        <w:rPr>
          <w:lang w:val="en-US"/>
        </w:rPr>
        <w:t xml:space="preserve"> (Figure 3, Table 1, Entry 3)</w:t>
      </w:r>
      <w:r w:rsidR="0045009B" w:rsidRPr="001603CF">
        <w:rPr>
          <w:lang w:val="en-US"/>
        </w:rPr>
        <w:t xml:space="preserve">. </w:t>
      </w:r>
      <w:r w:rsidR="00DC54CD" w:rsidRPr="001603CF">
        <w:rPr>
          <w:lang w:val="en-US"/>
        </w:rPr>
        <w:t xml:space="preserve">The overoxidation is not surprising </w:t>
      </w:r>
      <w:r w:rsidR="00711933" w:rsidRPr="001603CF">
        <w:rPr>
          <w:lang w:val="en-US"/>
        </w:rPr>
        <w:t>considering</w:t>
      </w:r>
      <w:r w:rsidR="00DC54CD" w:rsidRPr="001603CF">
        <w:rPr>
          <w:lang w:val="en-US"/>
        </w:rPr>
        <w:t xml:space="preserve"> the preliminary computational study, which </w:t>
      </w:r>
      <w:r w:rsidR="0023708A" w:rsidRPr="001603CF">
        <w:rPr>
          <w:lang w:val="en-US"/>
        </w:rPr>
        <w:t>revealed</w:t>
      </w:r>
      <w:r w:rsidR="00DC54CD" w:rsidRPr="001603CF">
        <w:rPr>
          <w:lang w:val="en-US"/>
        </w:rPr>
        <w:t xml:space="preserve"> the higher nucleophilicity of </w:t>
      </w:r>
      <w:r w:rsidR="00DC54CD" w:rsidRPr="001603CF">
        <w:rPr>
          <w:b/>
          <w:lang w:val="en-US"/>
        </w:rPr>
        <w:t>1b</w:t>
      </w:r>
      <w:r w:rsidR="00DC54CD" w:rsidRPr="001603CF">
        <w:rPr>
          <w:lang w:val="en-US"/>
        </w:rPr>
        <w:t>.</w:t>
      </w:r>
      <w:r w:rsidR="00264CA4" w:rsidRPr="001603CF">
        <w:rPr>
          <w:lang w:val="en-US"/>
        </w:rPr>
        <w:t xml:space="preserve"> </w:t>
      </w:r>
      <w:r w:rsidR="00D455B9" w:rsidRPr="001603CF">
        <w:rPr>
          <w:lang w:val="en-US"/>
        </w:rPr>
        <w:t xml:space="preserve">Finally, in the case </w:t>
      </w:r>
      <w:r w:rsidR="00264CA4" w:rsidRPr="001603CF">
        <w:rPr>
          <w:lang w:val="en-US"/>
        </w:rPr>
        <w:t>of</w:t>
      </w:r>
      <w:r w:rsidR="0045009B" w:rsidRPr="001603CF">
        <w:rPr>
          <w:lang w:val="en-US"/>
        </w:rPr>
        <w:t xml:space="preserve"> </w:t>
      </w:r>
      <w:r w:rsidR="0045009B" w:rsidRPr="001603CF">
        <w:rPr>
          <w:b/>
          <w:lang w:val="en-US"/>
        </w:rPr>
        <w:t>CEPS</w:t>
      </w:r>
      <w:r w:rsidR="00D455B9" w:rsidRPr="001603CF">
        <w:rPr>
          <w:b/>
          <w:lang w:val="en-US"/>
        </w:rPr>
        <w:t xml:space="preserve">, </w:t>
      </w:r>
      <w:r w:rsidR="00D455B9" w:rsidRPr="001603CF">
        <w:rPr>
          <w:lang w:val="en-US"/>
        </w:rPr>
        <w:t>the oxidation</w:t>
      </w:r>
      <w:r w:rsidR="0045009B" w:rsidRPr="001603CF">
        <w:rPr>
          <w:lang w:val="en-US"/>
        </w:rPr>
        <w:t xml:space="preserve"> </w:t>
      </w:r>
      <w:r w:rsidR="00711933" w:rsidRPr="001603CF">
        <w:rPr>
          <w:lang w:val="en-US"/>
        </w:rPr>
        <w:t>did</w:t>
      </w:r>
      <w:r w:rsidR="0045009B" w:rsidRPr="001603CF">
        <w:rPr>
          <w:lang w:val="en-US"/>
        </w:rPr>
        <w:t xml:space="preserve"> not </w:t>
      </w:r>
      <w:r w:rsidR="00AE2539" w:rsidRPr="001603CF">
        <w:rPr>
          <w:lang w:val="en-US"/>
        </w:rPr>
        <w:t>complete</w:t>
      </w:r>
      <w:r w:rsidR="00264CA4" w:rsidRPr="001603CF">
        <w:rPr>
          <w:lang w:val="en-US"/>
        </w:rPr>
        <w:t xml:space="preserve"> </w:t>
      </w:r>
      <w:r w:rsidR="0045009B" w:rsidRPr="001603CF">
        <w:rPr>
          <w:lang w:val="en-US"/>
        </w:rPr>
        <w:t>within the 1 s timef</w:t>
      </w:r>
      <w:r w:rsidR="00140557" w:rsidRPr="001603CF">
        <w:rPr>
          <w:lang w:val="en-US"/>
        </w:rPr>
        <w:t>r</w:t>
      </w:r>
      <w:r w:rsidR="0045009B" w:rsidRPr="001603CF">
        <w:rPr>
          <w:lang w:val="en-US"/>
        </w:rPr>
        <w:t>ame</w:t>
      </w:r>
      <w:r w:rsidR="00264CA4" w:rsidRPr="001603CF">
        <w:rPr>
          <w:lang w:val="en-US"/>
        </w:rPr>
        <w:t xml:space="preserve"> </w:t>
      </w:r>
      <w:r w:rsidR="0045009B" w:rsidRPr="001603CF">
        <w:rPr>
          <w:lang w:val="en-US"/>
        </w:rPr>
        <w:t>(Figure 3, Table 1, Entry 4)</w:t>
      </w:r>
      <w:r w:rsidR="0023708A" w:rsidRPr="001603CF">
        <w:rPr>
          <w:lang w:val="en-US"/>
        </w:rPr>
        <w:t>, affording</w:t>
      </w:r>
      <w:r w:rsidR="0045009B" w:rsidRPr="001603CF">
        <w:rPr>
          <w:lang w:val="en-US"/>
        </w:rPr>
        <w:t xml:space="preserve"> </w:t>
      </w:r>
      <w:r w:rsidR="0023708A" w:rsidRPr="001603CF">
        <w:rPr>
          <w:lang w:val="en-US"/>
        </w:rPr>
        <w:t>o</w:t>
      </w:r>
      <w:r w:rsidR="00FC3437" w:rsidRPr="001603CF">
        <w:rPr>
          <w:lang w:val="en-US"/>
        </w:rPr>
        <w:t xml:space="preserve">nly </w:t>
      </w:r>
      <w:r w:rsidR="0023708A" w:rsidRPr="001603CF">
        <w:rPr>
          <w:lang w:val="en-US"/>
        </w:rPr>
        <w:t>8</w:t>
      </w:r>
      <w:r w:rsidR="00507E72" w:rsidRPr="001603CF">
        <w:rPr>
          <w:lang w:val="en-US"/>
        </w:rPr>
        <w:t>1</w:t>
      </w:r>
      <w:r w:rsidR="0023708A" w:rsidRPr="001603CF">
        <w:rPr>
          <w:lang w:val="en-US"/>
        </w:rPr>
        <w:t xml:space="preserve">% of </w:t>
      </w:r>
      <w:r w:rsidR="00FC3437" w:rsidRPr="001603CF">
        <w:rPr>
          <w:lang w:val="en-US"/>
        </w:rPr>
        <w:t xml:space="preserve">the </w:t>
      </w:r>
      <w:r w:rsidR="0045009B" w:rsidRPr="001603CF">
        <w:rPr>
          <w:lang w:val="en-US"/>
        </w:rPr>
        <w:t>sulfoxide</w:t>
      </w:r>
      <w:r w:rsidR="00CD7DBF" w:rsidRPr="001603CF">
        <w:rPr>
          <w:lang w:val="en-US"/>
        </w:rPr>
        <w:t xml:space="preserve"> </w:t>
      </w:r>
      <w:r w:rsidR="0045009B" w:rsidRPr="001603CF">
        <w:rPr>
          <w:b/>
          <w:lang w:val="en-US"/>
        </w:rPr>
        <w:t>CEPSO</w:t>
      </w:r>
      <w:r w:rsidR="0045009B" w:rsidRPr="001603CF">
        <w:rPr>
          <w:lang w:val="en-US"/>
        </w:rPr>
        <w:t xml:space="preserve"> and</w:t>
      </w:r>
      <w:r w:rsidR="0023708A" w:rsidRPr="001603CF">
        <w:rPr>
          <w:lang w:val="en-US"/>
        </w:rPr>
        <w:t xml:space="preserve"> 2%</w:t>
      </w:r>
      <w:r w:rsidR="0045009B" w:rsidRPr="001603CF">
        <w:rPr>
          <w:lang w:val="en-US"/>
        </w:rPr>
        <w:t xml:space="preserve"> </w:t>
      </w:r>
      <w:r w:rsidR="0023708A" w:rsidRPr="001603CF">
        <w:rPr>
          <w:lang w:val="en-US"/>
        </w:rPr>
        <w:t xml:space="preserve">of the sulfone </w:t>
      </w:r>
      <w:r w:rsidR="0045009B" w:rsidRPr="001603CF">
        <w:rPr>
          <w:b/>
          <w:lang w:val="en-US"/>
        </w:rPr>
        <w:t>CEPSO</w:t>
      </w:r>
      <w:r w:rsidR="0045009B" w:rsidRPr="001603CF">
        <w:rPr>
          <w:b/>
          <w:vertAlign w:val="subscript"/>
          <w:lang w:val="en-US"/>
        </w:rPr>
        <w:t>2</w:t>
      </w:r>
      <w:r w:rsidR="0045009B" w:rsidRPr="001603CF">
        <w:rPr>
          <w:lang w:val="en-US"/>
        </w:rPr>
        <w:t xml:space="preserve">.  </w:t>
      </w:r>
      <w:r w:rsidR="00DF5650" w:rsidRPr="001603CF">
        <w:rPr>
          <w:lang w:val="en-US"/>
        </w:rPr>
        <w:t xml:space="preserve">Part of the </w:t>
      </w:r>
      <w:r w:rsidR="0023708A" w:rsidRPr="001603CF">
        <w:rPr>
          <w:lang w:val="en-US"/>
        </w:rPr>
        <w:t xml:space="preserve">un-oxidized </w:t>
      </w:r>
      <w:r w:rsidR="00FC3437" w:rsidRPr="001603CF">
        <w:rPr>
          <w:b/>
          <w:bCs/>
          <w:lang w:val="en-US"/>
        </w:rPr>
        <w:t>CEPS</w:t>
      </w:r>
      <w:r w:rsidR="00FC3437" w:rsidRPr="001603CF">
        <w:rPr>
          <w:lang w:val="en-US"/>
        </w:rPr>
        <w:t xml:space="preserve"> </w:t>
      </w:r>
      <w:r w:rsidR="0023708A" w:rsidRPr="001603CF">
        <w:rPr>
          <w:lang w:val="en-US"/>
        </w:rPr>
        <w:t xml:space="preserve">was </w:t>
      </w:r>
      <w:r w:rsidR="0045009B" w:rsidRPr="001603CF">
        <w:rPr>
          <w:lang w:val="en-US"/>
        </w:rPr>
        <w:t>hydroly</w:t>
      </w:r>
      <w:r w:rsidR="00FC3437" w:rsidRPr="001603CF">
        <w:rPr>
          <w:lang w:val="en-US"/>
        </w:rPr>
        <w:t xml:space="preserve">zed under the </w:t>
      </w:r>
      <w:r w:rsidR="0045009B" w:rsidRPr="001603CF">
        <w:rPr>
          <w:lang w:val="en-US"/>
        </w:rPr>
        <w:t xml:space="preserve">quench </w:t>
      </w:r>
      <w:r w:rsidR="00FC3437" w:rsidRPr="001603CF">
        <w:rPr>
          <w:lang w:val="en-US"/>
        </w:rPr>
        <w:t xml:space="preserve">conditions, </w:t>
      </w:r>
      <w:r w:rsidR="0023708A" w:rsidRPr="001603CF">
        <w:rPr>
          <w:lang w:val="en-US"/>
        </w:rPr>
        <w:t xml:space="preserve">leading to the formation of </w:t>
      </w:r>
      <w:r w:rsidR="00FC3437" w:rsidRPr="001603CF">
        <w:rPr>
          <w:lang w:val="en-US"/>
        </w:rPr>
        <w:t>compound</w:t>
      </w:r>
      <w:r w:rsidR="0045009B" w:rsidRPr="001603CF">
        <w:rPr>
          <w:lang w:val="en-US"/>
        </w:rPr>
        <w:t xml:space="preserve"> </w:t>
      </w:r>
      <w:r w:rsidR="0045009B" w:rsidRPr="001603CF">
        <w:rPr>
          <w:b/>
          <w:lang w:val="en-US"/>
        </w:rPr>
        <w:t>4</w:t>
      </w:r>
      <w:r w:rsidR="00507E72" w:rsidRPr="001603CF">
        <w:rPr>
          <w:b/>
          <w:lang w:val="en-US"/>
        </w:rPr>
        <w:t xml:space="preserve"> </w:t>
      </w:r>
      <w:r w:rsidR="00507E72" w:rsidRPr="001603CF">
        <w:rPr>
          <w:bCs/>
          <w:lang w:val="en-US"/>
        </w:rPr>
        <w:t>(8%)</w:t>
      </w:r>
      <w:r w:rsidR="0045009B" w:rsidRPr="001603CF">
        <w:rPr>
          <w:lang w:val="en-US"/>
        </w:rPr>
        <w:t>. All th</w:t>
      </w:r>
      <w:r w:rsidR="00CD7DBF" w:rsidRPr="001603CF">
        <w:rPr>
          <w:lang w:val="en-US"/>
        </w:rPr>
        <w:t xml:space="preserve">ese results </w:t>
      </w:r>
      <w:r w:rsidR="009C6588" w:rsidRPr="001603CF">
        <w:rPr>
          <w:lang w:val="en-US"/>
        </w:rPr>
        <w:t>agree</w:t>
      </w:r>
      <w:r w:rsidR="00967699" w:rsidRPr="001603CF">
        <w:rPr>
          <w:lang w:val="en-US"/>
        </w:rPr>
        <w:t xml:space="preserve"> </w:t>
      </w:r>
      <w:r w:rsidR="00946C6B" w:rsidRPr="001603CF">
        <w:rPr>
          <w:lang w:val="en-US"/>
        </w:rPr>
        <w:t>with</w:t>
      </w:r>
      <w:r w:rsidR="0045009B" w:rsidRPr="001603CF">
        <w:rPr>
          <w:lang w:val="en-US"/>
        </w:rPr>
        <w:t xml:space="preserve"> the </w:t>
      </w:r>
      <w:r w:rsidR="0045009B" w:rsidRPr="001603CF">
        <w:rPr>
          <w:i/>
          <w:lang w:val="en-US"/>
        </w:rPr>
        <w:t xml:space="preserve">in silico </w:t>
      </w:r>
      <w:r w:rsidR="0045009B" w:rsidRPr="001603CF">
        <w:rPr>
          <w:lang w:val="en-US"/>
        </w:rPr>
        <w:t>ranking and confirm</w:t>
      </w:r>
      <w:r w:rsidR="00AE2539" w:rsidRPr="001603CF">
        <w:rPr>
          <w:lang w:val="en-US"/>
        </w:rPr>
        <w:t>ed</w:t>
      </w:r>
      <w:r w:rsidR="0045009B" w:rsidRPr="001603CF">
        <w:rPr>
          <w:lang w:val="en-US"/>
        </w:rPr>
        <w:t xml:space="preserve"> the sulfide nucleophilicity as a </w:t>
      </w:r>
      <w:r w:rsidR="00A3703E" w:rsidRPr="001603CF">
        <w:rPr>
          <w:lang w:val="en-US"/>
        </w:rPr>
        <w:t xml:space="preserve">robust </w:t>
      </w:r>
      <w:r w:rsidR="009C6588" w:rsidRPr="001603CF">
        <w:rPr>
          <w:lang w:val="en-US"/>
        </w:rPr>
        <w:t xml:space="preserve">metric </w:t>
      </w:r>
      <w:r w:rsidR="00B92B9E" w:rsidRPr="001603CF">
        <w:rPr>
          <w:lang w:val="en-US"/>
        </w:rPr>
        <w:t>for the propensity of oxidation using ozone.</w:t>
      </w:r>
      <w:r w:rsidR="002C75FB" w:rsidRPr="001603CF">
        <w:rPr>
          <w:lang w:val="en-US"/>
        </w:rPr>
        <w:t xml:space="preserve"> C</w:t>
      </w:r>
      <w:r w:rsidR="00B92B9E" w:rsidRPr="001603CF">
        <w:rPr>
          <w:lang w:val="en-US"/>
        </w:rPr>
        <w:t xml:space="preserve">onsidering that </w:t>
      </w:r>
      <w:r w:rsidR="00B92B9E" w:rsidRPr="001603CF">
        <w:rPr>
          <w:b/>
          <w:bCs/>
          <w:lang w:val="en-US"/>
        </w:rPr>
        <w:t>1a</w:t>
      </w:r>
      <w:r w:rsidR="00B92B9E" w:rsidRPr="001603CF">
        <w:rPr>
          <w:lang w:val="en-US"/>
        </w:rPr>
        <w:t xml:space="preserve"> </w:t>
      </w:r>
      <w:r w:rsidR="00C70400" w:rsidRPr="001603CF">
        <w:rPr>
          <w:lang w:val="en-US"/>
        </w:rPr>
        <w:t xml:space="preserve">is </w:t>
      </w:r>
      <w:r w:rsidR="00B92B9E" w:rsidRPr="001603CF">
        <w:rPr>
          <w:lang w:val="en-US"/>
        </w:rPr>
        <w:t xml:space="preserve">the closest analogue to </w:t>
      </w:r>
      <w:r w:rsidR="00B92B9E" w:rsidRPr="001603CF">
        <w:rPr>
          <w:b/>
          <w:bCs/>
          <w:lang w:val="en-US"/>
        </w:rPr>
        <w:t>CEES</w:t>
      </w:r>
      <w:r w:rsidR="00B92B9E" w:rsidRPr="001603CF">
        <w:rPr>
          <w:lang w:val="en-US"/>
        </w:rPr>
        <w:t xml:space="preserve"> and having shown that </w:t>
      </w:r>
      <w:r w:rsidR="005E7C00" w:rsidRPr="001603CF">
        <w:rPr>
          <w:b/>
          <w:bCs/>
          <w:lang w:val="en-US"/>
        </w:rPr>
        <w:t>1a</w:t>
      </w:r>
      <w:r w:rsidR="005E7C00" w:rsidRPr="001603CF">
        <w:rPr>
          <w:lang w:val="en-US"/>
        </w:rPr>
        <w:t xml:space="preserve"> could be </w:t>
      </w:r>
      <w:r w:rsidR="00B92B9E" w:rsidRPr="001603CF">
        <w:rPr>
          <w:lang w:val="en-US"/>
        </w:rPr>
        <w:t>full</w:t>
      </w:r>
      <w:r w:rsidR="005E7C00" w:rsidRPr="001603CF">
        <w:rPr>
          <w:lang w:val="en-US"/>
        </w:rPr>
        <w:t>y</w:t>
      </w:r>
      <w:r w:rsidR="00B92B9E" w:rsidRPr="001603CF">
        <w:rPr>
          <w:lang w:val="en-US"/>
        </w:rPr>
        <w:t xml:space="preserve"> and selective</w:t>
      </w:r>
      <w:r w:rsidR="005E7C00" w:rsidRPr="001603CF">
        <w:rPr>
          <w:lang w:val="en-US"/>
        </w:rPr>
        <w:t>ly</w:t>
      </w:r>
      <w:r w:rsidR="00B92B9E" w:rsidRPr="001603CF">
        <w:rPr>
          <w:lang w:val="en-US"/>
        </w:rPr>
        <w:t xml:space="preserve"> </w:t>
      </w:r>
      <w:r w:rsidR="005E7C00" w:rsidRPr="001603CF">
        <w:rPr>
          <w:lang w:val="en-US"/>
        </w:rPr>
        <w:t xml:space="preserve">oxidized to the sulfoxide </w:t>
      </w:r>
      <w:r w:rsidR="00B92B9E" w:rsidRPr="001603CF">
        <w:rPr>
          <w:lang w:val="en-US"/>
        </w:rPr>
        <w:t xml:space="preserve">using this method, we proceeded to </w:t>
      </w:r>
      <w:r w:rsidR="00FC122A" w:rsidRPr="001603CF">
        <w:rPr>
          <w:lang w:val="en-US"/>
        </w:rPr>
        <w:t xml:space="preserve">test the </w:t>
      </w:r>
      <w:r w:rsidR="005E7C00" w:rsidRPr="001603CF">
        <w:rPr>
          <w:lang w:val="en-US"/>
        </w:rPr>
        <w:t>protocol</w:t>
      </w:r>
      <w:r w:rsidR="00FC122A" w:rsidRPr="001603CF">
        <w:rPr>
          <w:lang w:val="en-US"/>
        </w:rPr>
        <w:t xml:space="preserve"> </w:t>
      </w:r>
      <w:r w:rsidR="005E7C00" w:rsidRPr="001603CF">
        <w:rPr>
          <w:lang w:val="en-US"/>
        </w:rPr>
        <w:t>to neutralize</w:t>
      </w:r>
      <w:r w:rsidR="00FC122A" w:rsidRPr="001603CF">
        <w:rPr>
          <w:lang w:val="en-US"/>
        </w:rPr>
        <w:t xml:space="preserve"> </w:t>
      </w:r>
      <w:r w:rsidR="005E7C00" w:rsidRPr="001603CF">
        <w:rPr>
          <w:b/>
          <w:bCs/>
          <w:lang w:val="en-US"/>
        </w:rPr>
        <w:t>CEES</w:t>
      </w:r>
      <w:r w:rsidR="005E7C00" w:rsidRPr="001603CF">
        <w:rPr>
          <w:lang w:val="en-US"/>
        </w:rPr>
        <w:t xml:space="preserve">. </w:t>
      </w:r>
    </w:p>
    <w:p w14:paraId="7FBB2C41" w14:textId="5D99DB06" w:rsidR="00DC54CD" w:rsidRPr="001603CF" w:rsidRDefault="00DC54CD">
      <w:pPr>
        <w:pStyle w:val="RSCB02ArticleText"/>
        <w:ind w:firstLine="284"/>
        <w:rPr>
          <w:lang w:val="en-US"/>
        </w:rPr>
      </w:pPr>
    </w:p>
    <w:p w14:paraId="621B3DEB" w14:textId="0B878102" w:rsidR="00473B9E" w:rsidRPr="001603CF" w:rsidRDefault="00473B9E">
      <w:pPr>
        <w:pStyle w:val="RSCT01TableTitlewithtopbar"/>
        <w:rPr>
          <w:lang w:val="en-US"/>
        </w:rPr>
      </w:pPr>
      <w:r w:rsidRPr="001603CF">
        <w:rPr>
          <w:b/>
          <w:lang w:val="en-US"/>
        </w:rPr>
        <w:t xml:space="preserve">Table </w:t>
      </w:r>
      <w:r w:rsidR="00F121B0" w:rsidRPr="001603CF">
        <w:rPr>
          <w:b/>
          <w:lang w:val="en-US"/>
        </w:rPr>
        <w:t>1</w:t>
      </w:r>
      <w:r w:rsidRPr="001603CF">
        <w:rPr>
          <w:lang w:val="en-US"/>
        </w:rPr>
        <w:t xml:space="preserve">. </w:t>
      </w:r>
      <w:r w:rsidR="00583E5A" w:rsidRPr="001603CF">
        <w:rPr>
          <w:noProof/>
          <w:lang w:val="en-US"/>
        </w:rPr>
        <w:t xml:space="preserve">Oxidative neutralization with ozone under flow conditions (see Figure </w:t>
      </w:r>
      <w:r w:rsidR="00F121B0" w:rsidRPr="001603CF">
        <w:rPr>
          <w:noProof/>
          <w:lang w:val="en-US"/>
        </w:rPr>
        <w:t>3</w:t>
      </w:r>
      <w:r w:rsidR="00583E5A" w:rsidRPr="001603CF">
        <w:rPr>
          <w:noProof/>
          <w:lang w:val="en-US"/>
        </w:rPr>
        <w:t xml:space="preserve">). </w:t>
      </w:r>
    </w:p>
    <w:tbl>
      <w:tblPr>
        <w:tblStyle w:val="Tableausimple5"/>
        <w:tblW w:w="5103" w:type="dxa"/>
        <w:shd w:val="clear" w:color="auto" w:fill="FFFFFF" w:themeFill="background1"/>
        <w:tblLayout w:type="fixed"/>
        <w:tblLook w:val="04A0" w:firstRow="1" w:lastRow="0" w:firstColumn="1" w:lastColumn="0" w:noHBand="0" w:noVBand="1"/>
      </w:tblPr>
      <w:tblGrid>
        <w:gridCol w:w="567"/>
        <w:gridCol w:w="993"/>
        <w:gridCol w:w="850"/>
        <w:gridCol w:w="851"/>
        <w:gridCol w:w="850"/>
        <w:gridCol w:w="992"/>
      </w:tblGrid>
      <w:tr w:rsidR="00E94538" w:rsidRPr="001603CF" w14:paraId="5CD60AAC" w14:textId="77777777" w:rsidTr="009B5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vAlign w:val="center"/>
          </w:tcPr>
          <w:p w14:paraId="07AC9BBC" w14:textId="77777777" w:rsidR="00E94538" w:rsidRPr="001603CF" w:rsidRDefault="00E94538">
            <w:pPr>
              <w:pStyle w:val="RSCT03TableBody"/>
              <w:rPr>
                <w:rFonts w:cstheme="minorHAnsi"/>
                <w:b/>
                <w:bCs/>
                <w:lang w:val="en-US"/>
              </w:rPr>
            </w:pPr>
            <w:r w:rsidRPr="001603CF">
              <w:rPr>
                <w:rFonts w:cstheme="minorHAnsi"/>
                <w:b/>
                <w:bCs/>
                <w:lang w:val="en-US"/>
              </w:rPr>
              <w:t>Entry</w:t>
            </w:r>
          </w:p>
        </w:tc>
        <w:tc>
          <w:tcPr>
            <w:tcW w:w="993" w:type="dxa"/>
            <w:vAlign w:val="center"/>
          </w:tcPr>
          <w:p w14:paraId="03DF3F43"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lang w:val="en-US"/>
              </w:rPr>
            </w:pPr>
            <w:r w:rsidRPr="001603CF">
              <w:rPr>
                <w:rFonts w:cstheme="minorHAnsi"/>
                <w:b/>
                <w:bCs/>
                <w:lang w:val="en-US"/>
              </w:rPr>
              <w:t xml:space="preserve">Substrate </w:t>
            </w:r>
            <w:r w:rsidRPr="001603CF">
              <w:rPr>
                <w:rFonts w:cstheme="minorHAnsi"/>
                <w:bCs/>
                <w:vertAlign w:val="superscript"/>
                <w:lang w:val="en-US"/>
              </w:rPr>
              <w:t>a</w:t>
            </w:r>
          </w:p>
        </w:tc>
        <w:tc>
          <w:tcPr>
            <w:tcW w:w="850" w:type="dxa"/>
            <w:vAlign w:val="center"/>
          </w:tcPr>
          <w:p w14:paraId="268A9727"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iCs w:val="0"/>
                <w:lang w:val="en-US"/>
              </w:rPr>
            </w:pPr>
            <w:r w:rsidRPr="001603CF">
              <w:rPr>
                <w:rFonts w:cstheme="minorHAnsi"/>
                <w:b/>
                <w:bCs/>
                <w:lang w:val="en-US"/>
              </w:rPr>
              <w:t>Ozone</w:t>
            </w:r>
          </w:p>
          <w:p w14:paraId="2DD57448"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lang w:val="en-US"/>
              </w:rPr>
            </w:pPr>
            <w:r w:rsidRPr="001603CF">
              <w:rPr>
                <w:rFonts w:cstheme="minorHAnsi"/>
                <w:b/>
                <w:bCs/>
                <w:lang w:val="en-US"/>
              </w:rPr>
              <w:t>(equiv.)</w:t>
            </w:r>
          </w:p>
        </w:tc>
        <w:tc>
          <w:tcPr>
            <w:tcW w:w="851" w:type="dxa"/>
            <w:vAlign w:val="center"/>
          </w:tcPr>
          <w:p w14:paraId="70DAC213" w14:textId="0A8CE089"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iCs w:val="0"/>
                <w:vertAlign w:val="superscript"/>
                <w:lang w:val="en-US"/>
              </w:rPr>
            </w:pPr>
            <w:r w:rsidRPr="001603CF">
              <w:rPr>
                <w:rFonts w:cstheme="minorHAnsi"/>
                <w:b/>
                <w:bCs/>
                <w:lang w:val="en-US"/>
              </w:rPr>
              <w:t>Sulfide</w:t>
            </w:r>
          </w:p>
          <w:p w14:paraId="13543D87"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lang w:val="en-US"/>
              </w:rPr>
            </w:pPr>
            <w:r w:rsidRPr="001603CF">
              <w:rPr>
                <w:rFonts w:cstheme="minorHAnsi"/>
                <w:b/>
                <w:bCs/>
                <w:lang w:val="en-US"/>
              </w:rPr>
              <w:t>(%Area)</w:t>
            </w:r>
          </w:p>
        </w:tc>
        <w:tc>
          <w:tcPr>
            <w:tcW w:w="850" w:type="dxa"/>
            <w:vAlign w:val="center"/>
          </w:tcPr>
          <w:p w14:paraId="21C929CE"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iCs w:val="0"/>
                <w:lang w:val="en-US"/>
              </w:rPr>
            </w:pPr>
            <w:r w:rsidRPr="001603CF">
              <w:rPr>
                <w:rFonts w:cstheme="minorHAnsi"/>
                <w:b/>
                <w:bCs/>
                <w:lang w:val="en-US"/>
              </w:rPr>
              <w:t>Sulfoxide</w:t>
            </w:r>
          </w:p>
          <w:p w14:paraId="3D557B6F"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iCs w:val="0"/>
                <w:lang w:val="en-US"/>
              </w:rPr>
            </w:pPr>
            <w:r w:rsidRPr="001603CF">
              <w:rPr>
                <w:rFonts w:cstheme="minorHAnsi"/>
                <w:b/>
                <w:bCs/>
                <w:lang w:val="en-US"/>
              </w:rPr>
              <w:t>(%Area)</w:t>
            </w:r>
          </w:p>
        </w:tc>
        <w:tc>
          <w:tcPr>
            <w:tcW w:w="992" w:type="dxa"/>
            <w:vAlign w:val="center"/>
          </w:tcPr>
          <w:p w14:paraId="136D22A0" w14:textId="77777777" w:rsidR="00E94538" w:rsidRPr="001603CF" w:rsidRDefault="00E94538">
            <w:pPr>
              <w:pStyle w:val="RSCT03TableBody"/>
              <w:cnfStyle w:val="100000000000" w:firstRow="1" w:lastRow="0" w:firstColumn="0" w:lastColumn="0" w:oddVBand="0" w:evenVBand="0" w:oddHBand="0" w:evenHBand="0" w:firstRowFirstColumn="0" w:firstRowLastColumn="0" w:lastRowFirstColumn="0" w:lastRowLastColumn="0"/>
              <w:rPr>
                <w:rFonts w:cstheme="minorHAnsi"/>
                <w:b/>
                <w:bCs/>
                <w:i w:val="0"/>
                <w:lang w:val="en-US"/>
              </w:rPr>
            </w:pPr>
            <w:r w:rsidRPr="001603CF">
              <w:rPr>
                <w:rFonts w:cstheme="minorHAnsi"/>
                <w:b/>
                <w:bCs/>
                <w:lang w:val="en-US"/>
              </w:rPr>
              <w:t>Other Products (%Area)</w:t>
            </w:r>
          </w:p>
        </w:tc>
      </w:tr>
      <w:tr w:rsidR="00E94538" w:rsidRPr="001603CF" w14:paraId="005A04E4" w14:textId="77777777" w:rsidTr="009B5C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A644B51" w14:textId="77777777" w:rsidR="00E94538" w:rsidRPr="001603CF" w:rsidRDefault="00E94538" w:rsidP="00FF53DC">
            <w:pPr>
              <w:pStyle w:val="RSCT03TableBody"/>
              <w:rPr>
                <w:rFonts w:cstheme="minorHAnsi"/>
                <w:i w:val="0"/>
                <w:lang w:val="en-US"/>
              </w:rPr>
            </w:pPr>
            <w:r w:rsidRPr="001603CF">
              <w:rPr>
                <w:rFonts w:cstheme="minorHAnsi"/>
                <w:lang w:val="en-US"/>
              </w:rPr>
              <w:t>1</w:t>
            </w:r>
          </w:p>
        </w:tc>
        <w:tc>
          <w:tcPr>
            <w:tcW w:w="993" w:type="dxa"/>
            <w:shd w:val="clear" w:color="auto" w:fill="FFFFFF" w:themeFill="background1"/>
            <w:vAlign w:val="center"/>
          </w:tcPr>
          <w:p w14:paraId="14AA2C4F" w14:textId="75B243C4" w:rsidR="00E94538" w:rsidRPr="001603CF" w:rsidRDefault="00E94538" w:rsidP="00FF53DC">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1a</w:t>
            </w:r>
          </w:p>
        </w:tc>
        <w:tc>
          <w:tcPr>
            <w:tcW w:w="850" w:type="dxa"/>
            <w:shd w:val="clear" w:color="auto" w:fill="FFFFFF" w:themeFill="background1"/>
            <w:vAlign w:val="center"/>
          </w:tcPr>
          <w:p w14:paraId="5F7289EB"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w:t>
            </w:r>
          </w:p>
        </w:tc>
        <w:tc>
          <w:tcPr>
            <w:tcW w:w="851" w:type="dxa"/>
            <w:shd w:val="clear" w:color="auto" w:fill="FFFFFF" w:themeFill="background1"/>
            <w:vAlign w:val="center"/>
          </w:tcPr>
          <w:p w14:paraId="4821F78E"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&gt;99</w:t>
            </w:r>
          </w:p>
        </w:tc>
        <w:tc>
          <w:tcPr>
            <w:tcW w:w="850" w:type="dxa"/>
            <w:shd w:val="clear" w:color="auto" w:fill="FFFFFF" w:themeFill="background1"/>
            <w:vAlign w:val="center"/>
          </w:tcPr>
          <w:p w14:paraId="5A22CDBD"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n.d.</w:t>
            </w:r>
          </w:p>
        </w:tc>
        <w:tc>
          <w:tcPr>
            <w:tcW w:w="992" w:type="dxa"/>
            <w:shd w:val="clear" w:color="auto" w:fill="FFFFFF" w:themeFill="background1"/>
            <w:vAlign w:val="center"/>
          </w:tcPr>
          <w:p w14:paraId="043BAC9F"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n.d.</w:t>
            </w:r>
          </w:p>
        </w:tc>
      </w:tr>
      <w:tr w:rsidR="00E94538" w:rsidRPr="001603CF" w14:paraId="3387396D" w14:textId="77777777" w:rsidTr="009B5C6C">
        <w:trPr>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87A49FD" w14:textId="77777777" w:rsidR="00E94538" w:rsidRPr="001603CF" w:rsidRDefault="00E94538" w:rsidP="00FF53DC">
            <w:pPr>
              <w:pStyle w:val="RSCT03TableBody"/>
              <w:rPr>
                <w:rFonts w:cstheme="minorHAnsi"/>
                <w:i w:val="0"/>
                <w:lang w:val="en-US"/>
              </w:rPr>
            </w:pPr>
            <w:r w:rsidRPr="001603CF">
              <w:rPr>
                <w:rFonts w:cstheme="minorHAnsi"/>
                <w:lang w:val="en-US"/>
              </w:rPr>
              <w:t>2</w:t>
            </w:r>
          </w:p>
        </w:tc>
        <w:tc>
          <w:tcPr>
            <w:tcW w:w="993" w:type="dxa"/>
            <w:shd w:val="clear" w:color="auto" w:fill="FFFFFF" w:themeFill="background1"/>
            <w:vAlign w:val="center"/>
          </w:tcPr>
          <w:p w14:paraId="26753A5E" w14:textId="52DE9B95" w:rsidR="00E94538" w:rsidRPr="001603CF" w:rsidRDefault="00E94538" w:rsidP="00FF53DC">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b/>
                <w:lang w:val="en-US"/>
              </w:rPr>
              <w:t>1a</w:t>
            </w:r>
          </w:p>
        </w:tc>
        <w:tc>
          <w:tcPr>
            <w:tcW w:w="850" w:type="dxa"/>
            <w:shd w:val="clear" w:color="auto" w:fill="FFFFFF" w:themeFill="background1"/>
            <w:vAlign w:val="center"/>
          </w:tcPr>
          <w:p w14:paraId="7A4CE69E"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1.4</w:t>
            </w:r>
          </w:p>
        </w:tc>
        <w:tc>
          <w:tcPr>
            <w:tcW w:w="851" w:type="dxa"/>
            <w:shd w:val="clear" w:color="auto" w:fill="FFFFFF" w:themeFill="background1"/>
            <w:vAlign w:val="center"/>
          </w:tcPr>
          <w:p w14:paraId="73382FD6"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 xml:space="preserve">n.d. </w:t>
            </w:r>
          </w:p>
        </w:tc>
        <w:tc>
          <w:tcPr>
            <w:tcW w:w="850" w:type="dxa"/>
            <w:shd w:val="clear" w:color="auto" w:fill="FFFFFF" w:themeFill="background1"/>
            <w:vAlign w:val="center"/>
          </w:tcPr>
          <w:p w14:paraId="4D900912"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&gt;99</w:t>
            </w:r>
          </w:p>
        </w:tc>
        <w:tc>
          <w:tcPr>
            <w:tcW w:w="992" w:type="dxa"/>
            <w:shd w:val="clear" w:color="auto" w:fill="FFFFFF" w:themeFill="background1"/>
            <w:vAlign w:val="center"/>
          </w:tcPr>
          <w:p w14:paraId="29B8D9C6"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b/>
                <w:lang w:val="en-US"/>
              </w:rPr>
            </w:pPr>
            <w:r w:rsidRPr="001603CF">
              <w:rPr>
                <w:rFonts w:cstheme="minorHAnsi"/>
                <w:lang w:val="en-US"/>
              </w:rPr>
              <w:t>n.d.</w:t>
            </w:r>
          </w:p>
        </w:tc>
      </w:tr>
      <w:tr w:rsidR="00E94538" w:rsidRPr="001603CF" w14:paraId="4E4DD3C9" w14:textId="77777777" w:rsidTr="009B5C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B2E2C9" w14:textId="77777777" w:rsidR="00E94538" w:rsidRPr="001603CF" w:rsidRDefault="00E94538" w:rsidP="00FF53DC">
            <w:pPr>
              <w:pStyle w:val="RSCT03TableBody"/>
              <w:rPr>
                <w:rFonts w:cstheme="minorHAnsi"/>
                <w:i w:val="0"/>
                <w:lang w:val="en-US"/>
              </w:rPr>
            </w:pPr>
            <w:r w:rsidRPr="001603CF">
              <w:rPr>
                <w:rFonts w:cstheme="minorHAnsi"/>
                <w:lang w:val="en-US"/>
              </w:rPr>
              <w:t>3</w:t>
            </w:r>
          </w:p>
        </w:tc>
        <w:tc>
          <w:tcPr>
            <w:tcW w:w="993" w:type="dxa"/>
            <w:shd w:val="clear" w:color="auto" w:fill="FFFFFF" w:themeFill="background1"/>
            <w:vAlign w:val="center"/>
          </w:tcPr>
          <w:p w14:paraId="1AB33135" w14:textId="410373D4" w:rsidR="00E94538" w:rsidRPr="001603CF" w:rsidRDefault="00E94538" w:rsidP="00FF53DC">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1b</w:t>
            </w:r>
          </w:p>
        </w:tc>
        <w:tc>
          <w:tcPr>
            <w:tcW w:w="850" w:type="dxa"/>
            <w:shd w:val="clear" w:color="auto" w:fill="FFFFFF" w:themeFill="background1"/>
            <w:vAlign w:val="center"/>
          </w:tcPr>
          <w:p w14:paraId="67737F37"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1.4</w:t>
            </w:r>
          </w:p>
        </w:tc>
        <w:tc>
          <w:tcPr>
            <w:tcW w:w="851" w:type="dxa"/>
            <w:shd w:val="clear" w:color="auto" w:fill="FFFFFF" w:themeFill="background1"/>
            <w:vAlign w:val="center"/>
          </w:tcPr>
          <w:p w14:paraId="54E44D53"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n.d.</w:t>
            </w:r>
          </w:p>
        </w:tc>
        <w:tc>
          <w:tcPr>
            <w:tcW w:w="850" w:type="dxa"/>
            <w:shd w:val="clear" w:color="auto" w:fill="FFFFFF" w:themeFill="background1"/>
            <w:vAlign w:val="center"/>
          </w:tcPr>
          <w:p w14:paraId="55775C04"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96</w:t>
            </w:r>
          </w:p>
        </w:tc>
        <w:tc>
          <w:tcPr>
            <w:tcW w:w="992" w:type="dxa"/>
            <w:shd w:val="clear" w:color="auto" w:fill="FFFFFF" w:themeFill="background1"/>
            <w:vAlign w:val="center"/>
          </w:tcPr>
          <w:p w14:paraId="5F11F0C0"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 xml:space="preserve">3b </w:t>
            </w:r>
            <w:r w:rsidRPr="001603CF">
              <w:rPr>
                <w:rFonts w:cstheme="minorHAnsi"/>
                <w:lang w:val="en-US"/>
              </w:rPr>
              <w:t>(4)</w:t>
            </w:r>
          </w:p>
        </w:tc>
      </w:tr>
      <w:tr w:rsidR="00E94538" w:rsidRPr="001603CF" w14:paraId="1CF2FF12" w14:textId="77777777" w:rsidTr="009B5C6C">
        <w:trPr>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AC29E4A" w14:textId="77777777" w:rsidR="00E94538" w:rsidRPr="001603CF" w:rsidRDefault="00E94538" w:rsidP="00FF53DC">
            <w:pPr>
              <w:pStyle w:val="RSCT03TableBody"/>
              <w:rPr>
                <w:rFonts w:cstheme="minorHAnsi"/>
                <w:i w:val="0"/>
                <w:lang w:val="en-US"/>
              </w:rPr>
            </w:pPr>
            <w:r w:rsidRPr="001603CF">
              <w:rPr>
                <w:rFonts w:cstheme="minorHAnsi"/>
                <w:lang w:val="en-US"/>
              </w:rPr>
              <w:t>4</w:t>
            </w:r>
          </w:p>
        </w:tc>
        <w:tc>
          <w:tcPr>
            <w:tcW w:w="993" w:type="dxa"/>
            <w:shd w:val="clear" w:color="auto" w:fill="FFFFFF" w:themeFill="background1"/>
            <w:vAlign w:val="center"/>
          </w:tcPr>
          <w:p w14:paraId="373F2F4F" w14:textId="18175DB0" w:rsidR="00E94538" w:rsidRPr="001603CF" w:rsidRDefault="00E94538" w:rsidP="00FF53DC">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b/>
                <w:lang w:val="en-US"/>
              </w:rPr>
              <w:t>CEPS</w:t>
            </w:r>
            <w:r w:rsidR="0058009E" w:rsidRPr="001603CF">
              <w:rPr>
                <w:rFonts w:cstheme="minorHAnsi"/>
                <w:vertAlign w:val="superscript"/>
                <w:lang w:val="en-US"/>
              </w:rPr>
              <w:t>b</w:t>
            </w:r>
          </w:p>
        </w:tc>
        <w:tc>
          <w:tcPr>
            <w:tcW w:w="850" w:type="dxa"/>
            <w:shd w:val="clear" w:color="auto" w:fill="FFFFFF" w:themeFill="background1"/>
            <w:vAlign w:val="center"/>
          </w:tcPr>
          <w:p w14:paraId="0E06CCE8"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1.4</w:t>
            </w:r>
          </w:p>
        </w:tc>
        <w:tc>
          <w:tcPr>
            <w:tcW w:w="851" w:type="dxa"/>
            <w:shd w:val="clear" w:color="auto" w:fill="FFFFFF" w:themeFill="background1"/>
            <w:vAlign w:val="center"/>
          </w:tcPr>
          <w:p w14:paraId="35EFA6A4"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9</w:t>
            </w:r>
          </w:p>
        </w:tc>
        <w:tc>
          <w:tcPr>
            <w:tcW w:w="850" w:type="dxa"/>
            <w:shd w:val="clear" w:color="auto" w:fill="FFFFFF" w:themeFill="background1"/>
            <w:vAlign w:val="center"/>
          </w:tcPr>
          <w:p w14:paraId="45D8AA8F"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81</w:t>
            </w:r>
          </w:p>
        </w:tc>
        <w:tc>
          <w:tcPr>
            <w:tcW w:w="992" w:type="dxa"/>
            <w:shd w:val="clear" w:color="auto" w:fill="FFFFFF" w:themeFill="background1"/>
            <w:vAlign w:val="center"/>
          </w:tcPr>
          <w:p w14:paraId="241406A5"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b/>
                <w:lang w:val="en-US"/>
              </w:rPr>
              <w:t>CEPSO</w:t>
            </w:r>
            <w:r w:rsidRPr="001603CF">
              <w:rPr>
                <w:rFonts w:cstheme="minorHAnsi"/>
                <w:b/>
                <w:vertAlign w:val="subscript"/>
                <w:lang w:val="en-US"/>
              </w:rPr>
              <w:t>2</w:t>
            </w:r>
            <w:r w:rsidRPr="001603CF">
              <w:rPr>
                <w:rFonts w:cstheme="minorHAnsi"/>
                <w:lang w:val="en-US"/>
              </w:rPr>
              <w:t xml:space="preserve"> (2)</w:t>
            </w:r>
          </w:p>
          <w:p w14:paraId="2F4FA17D"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b/>
                <w:lang w:val="en-US"/>
              </w:rPr>
              <w:t xml:space="preserve">4 </w:t>
            </w:r>
            <w:r w:rsidRPr="001603CF">
              <w:rPr>
                <w:rFonts w:cstheme="minorHAnsi"/>
                <w:lang w:val="en-US"/>
              </w:rPr>
              <w:t>(8)</w:t>
            </w:r>
          </w:p>
        </w:tc>
      </w:tr>
      <w:tr w:rsidR="00E94538" w:rsidRPr="001603CF" w14:paraId="0CD5806B" w14:textId="77777777" w:rsidTr="009B5C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1301408" w14:textId="77777777" w:rsidR="00E94538" w:rsidRPr="001603CF" w:rsidRDefault="00E94538" w:rsidP="00FF53DC">
            <w:pPr>
              <w:pStyle w:val="RSCT03TableBody"/>
              <w:rPr>
                <w:rFonts w:cstheme="minorHAnsi"/>
                <w:i w:val="0"/>
                <w:lang w:val="en-US"/>
              </w:rPr>
            </w:pPr>
            <w:r w:rsidRPr="001603CF">
              <w:rPr>
                <w:rFonts w:cstheme="minorHAnsi"/>
                <w:lang w:val="en-US"/>
              </w:rPr>
              <w:t>5</w:t>
            </w:r>
          </w:p>
        </w:tc>
        <w:tc>
          <w:tcPr>
            <w:tcW w:w="993" w:type="dxa"/>
            <w:shd w:val="clear" w:color="auto" w:fill="FFFFFF" w:themeFill="background1"/>
            <w:vAlign w:val="center"/>
          </w:tcPr>
          <w:p w14:paraId="1C7D3D1E" w14:textId="77777777" w:rsidR="00E94538" w:rsidRPr="001603CF" w:rsidRDefault="00E94538" w:rsidP="00FF53DC">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CEES</w:t>
            </w:r>
          </w:p>
        </w:tc>
        <w:tc>
          <w:tcPr>
            <w:tcW w:w="850" w:type="dxa"/>
            <w:shd w:val="clear" w:color="auto" w:fill="FFFFFF" w:themeFill="background1"/>
            <w:vAlign w:val="center"/>
          </w:tcPr>
          <w:p w14:paraId="0B9E62F2"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1.2</w:t>
            </w:r>
          </w:p>
        </w:tc>
        <w:tc>
          <w:tcPr>
            <w:tcW w:w="851" w:type="dxa"/>
            <w:shd w:val="clear" w:color="auto" w:fill="FFFFFF" w:themeFill="background1"/>
            <w:vAlign w:val="center"/>
          </w:tcPr>
          <w:p w14:paraId="5646967C"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n.d.</w:t>
            </w:r>
          </w:p>
        </w:tc>
        <w:tc>
          <w:tcPr>
            <w:tcW w:w="850" w:type="dxa"/>
            <w:shd w:val="clear" w:color="auto" w:fill="FFFFFF" w:themeFill="background1"/>
            <w:vAlign w:val="center"/>
          </w:tcPr>
          <w:p w14:paraId="6D07F234"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&gt;99</w:t>
            </w:r>
          </w:p>
        </w:tc>
        <w:tc>
          <w:tcPr>
            <w:tcW w:w="992" w:type="dxa"/>
            <w:shd w:val="clear" w:color="auto" w:fill="FFFFFF" w:themeFill="background1"/>
            <w:vAlign w:val="center"/>
          </w:tcPr>
          <w:p w14:paraId="64E3A8F4"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sidRPr="001603CF">
              <w:rPr>
                <w:rFonts w:cstheme="minorHAnsi"/>
                <w:lang w:val="en-US"/>
              </w:rPr>
              <w:t>n.d</w:t>
            </w:r>
            <w:proofErr w:type="spellEnd"/>
          </w:p>
        </w:tc>
      </w:tr>
      <w:tr w:rsidR="00E94538" w:rsidRPr="001603CF" w14:paraId="499751C4" w14:textId="77777777" w:rsidTr="009B5C6C">
        <w:trPr>
          <w:trHeight w:val="44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75AC524C" w14:textId="77777777" w:rsidR="00E94538" w:rsidRPr="001603CF" w:rsidRDefault="00E94538" w:rsidP="00FF53DC">
            <w:pPr>
              <w:pStyle w:val="RSCT03TableBody"/>
              <w:rPr>
                <w:rFonts w:cstheme="minorHAnsi"/>
                <w:i w:val="0"/>
                <w:lang w:val="en-US"/>
              </w:rPr>
            </w:pPr>
            <w:r w:rsidRPr="001603CF">
              <w:rPr>
                <w:rFonts w:cstheme="minorHAnsi"/>
                <w:lang w:val="en-US"/>
              </w:rPr>
              <w:t>6</w:t>
            </w:r>
          </w:p>
        </w:tc>
        <w:tc>
          <w:tcPr>
            <w:tcW w:w="993" w:type="dxa"/>
            <w:shd w:val="clear" w:color="auto" w:fill="auto"/>
            <w:vAlign w:val="center"/>
          </w:tcPr>
          <w:p w14:paraId="6EDE2E1C" w14:textId="77777777" w:rsidR="00E94538" w:rsidRPr="001603CF" w:rsidRDefault="00E94538" w:rsidP="00FF53DC">
            <w:pPr>
              <w:pStyle w:val="RSCT03TableBody"/>
              <w:cnfStyle w:val="000000000000" w:firstRow="0" w:lastRow="0" w:firstColumn="0" w:lastColumn="0" w:oddVBand="0" w:evenVBand="0" w:oddHBand="0" w:evenHBand="0" w:firstRowFirstColumn="0" w:firstRowLastColumn="0" w:lastRowFirstColumn="0" w:lastRowLastColumn="0"/>
              <w:rPr>
                <w:rFonts w:cstheme="minorHAnsi"/>
                <w:b/>
                <w:lang w:val="en-US"/>
              </w:rPr>
            </w:pPr>
            <w:r w:rsidRPr="001603CF">
              <w:rPr>
                <w:rFonts w:cstheme="minorHAnsi"/>
                <w:b/>
                <w:lang w:val="en-US"/>
              </w:rPr>
              <w:t>CEES</w:t>
            </w:r>
          </w:p>
        </w:tc>
        <w:tc>
          <w:tcPr>
            <w:tcW w:w="850" w:type="dxa"/>
            <w:shd w:val="clear" w:color="auto" w:fill="auto"/>
            <w:vAlign w:val="center"/>
          </w:tcPr>
          <w:p w14:paraId="5C9BD5CA"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b/>
                <w:lang w:val="en-US"/>
              </w:rPr>
            </w:pPr>
            <w:r w:rsidRPr="001603CF">
              <w:rPr>
                <w:rFonts w:cstheme="minorHAnsi"/>
                <w:lang w:val="en-US"/>
              </w:rPr>
              <w:t>1</w:t>
            </w:r>
          </w:p>
        </w:tc>
        <w:tc>
          <w:tcPr>
            <w:tcW w:w="851" w:type="dxa"/>
            <w:shd w:val="clear" w:color="auto" w:fill="auto"/>
            <w:vAlign w:val="center"/>
          </w:tcPr>
          <w:p w14:paraId="61659CB1"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b/>
                <w:lang w:val="en-US"/>
              </w:rPr>
            </w:pPr>
            <w:r w:rsidRPr="001603CF">
              <w:rPr>
                <w:rFonts w:cstheme="minorHAnsi"/>
                <w:lang w:val="en-US"/>
              </w:rPr>
              <w:t>n.d.</w:t>
            </w:r>
          </w:p>
        </w:tc>
        <w:tc>
          <w:tcPr>
            <w:tcW w:w="850" w:type="dxa"/>
            <w:shd w:val="clear" w:color="auto" w:fill="auto"/>
            <w:vAlign w:val="center"/>
          </w:tcPr>
          <w:p w14:paraId="12392B3D"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&gt;99</w:t>
            </w:r>
          </w:p>
        </w:tc>
        <w:tc>
          <w:tcPr>
            <w:tcW w:w="992" w:type="dxa"/>
            <w:shd w:val="clear" w:color="auto" w:fill="auto"/>
            <w:vAlign w:val="center"/>
          </w:tcPr>
          <w:p w14:paraId="363C7D15"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n.d.</w:t>
            </w:r>
          </w:p>
        </w:tc>
      </w:tr>
      <w:tr w:rsidR="00E94538" w:rsidRPr="001603CF" w14:paraId="390B1BB3" w14:textId="77777777" w:rsidTr="009B5C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289C73" w14:textId="77777777" w:rsidR="00E94538" w:rsidRPr="001603CF" w:rsidRDefault="00E94538" w:rsidP="00FF53DC">
            <w:pPr>
              <w:pStyle w:val="RSCT03TableBody"/>
              <w:rPr>
                <w:rFonts w:cstheme="minorHAnsi"/>
                <w:i w:val="0"/>
                <w:lang w:val="en-US"/>
              </w:rPr>
            </w:pPr>
            <w:r w:rsidRPr="001603CF">
              <w:rPr>
                <w:rFonts w:cstheme="minorHAnsi"/>
                <w:lang w:val="en-US"/>
              </w:rPr>
              <w:t>7</w:t>
            </w:r>
          </w:p>
        </w:tc>
        <w:tc>
          <w:tcPr>
            <w:tcW w:w="993" w:type="dxa"/>
            <w:shd w:val="clear" w:color="auto" w:fill="FFFFFF" w:themeFill="background1"/>
            <w:vAlign w:val="center"/>
          </w:tcPr>
          <w:p w14:paraId="2A06D639" w14:textId="77777777" w:rsidR="00E94538" w:rsidRPr="001603CF" w:rsidRDefault="00E94538" w:rsidP="00FF53DC">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CEES</w:t>
            </w:r>
          </w:p>
        </w:tc>
        <w:tc>
          <w:tcPr>
            <w:tcW w:w="850" w:type="dxa"/>
            <w:shd w:val="clear" w:color="auto" w:fill="FFFFFF" w:themeFill="background1"/>
            <w:vAlign w:val="center"/>
          </w:tcPr>
          <w:p w14:paraId="63551881"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0.8</w:t>
            </w:r>
          </w:p>
        </w:tc>
        <w:tc>
          <w:tcPr>
            <w:tcW w:w="851" w:type="dxa"/>
            <w:shd w:val="clear" w:color="auto" w:fill="FFFFFF" w:themeFill="background1"/>
            <w:vAlign w:val="center"/>
          </w:tcPr>
          <w:p w14:paraId="5299F7DC"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&gt;99</w:t>
            </w:r>
          </w:p>
        </w:tc>
        <w:tc>
          <w:tcPr>
            <w:tcW w:w="850" w:type="dxa"/>
            <w:shd w:val="clear" w:color="auto" w:fill="FFFFFF" w:themeFill="background1"/>
            <w:vAlign w:val="center"/>
          </w:tcPr>
          <w:p w14:paraId="77C69B72"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lang w:val="en-US"/>
              </w:rPr>
              <w:t>84</w:t>
            </w:r>
          </w:p>
        </w:tc>
        <w:tc>
          <w:tcPr>
            <w:tcW w:w="992" w:type="dxa"/>
            <w:shd w:val="clear" w:color="auto" w:fill="FFFFFF" w:themeFill="background1"/>
            <w:vAlign w:val="center"/>
          </w:tcPr>
          <w:p w14:paraId="19464D2B" w14:textId="77777777" w:rsidR="00E94538" w:rsidRPr="001603CF" w:rsidRDefault="00E94538">
            <w:pPr>
              <w:pStyle w:val="RSCT03TableBody"/>
              <w:cnfStyle w:val="000000100000" w:firstRow="0" w:lastRow="0" w:firstColumn="0" w:lastColumn="0" w:oddVBand="0" w:evenVBand="0" w:oddHBand="1" w:evenHBand="0" w:firstRowFirstColumn="0" w:firstRowLastColumn="0" w:lastRowFirstColumn="0" w:lastRowLastColumn="0"/>
              <w:rPr>
                <w:rFonts w:cstheme="minorHAnsi"/>
                <w:lang w:val="en-US"/>
              </w:rPr>
            </w:pPr>
            <w:r w:rsidRPr="001603CF">
              <w:rPr>
                <w:rFonts w:cstheme="minorHAnsi"/>
                <w:b/>
                <w:lang w:val="en-US"/>
              </w:rPr>
              <w:t>5</w:t>
            </w:r>
            <w:r w:rsidRPr="001603CF">
              <w:rPr>
                <w:rFonts w:cstheme="minorHAnsi"/>
                <w:lang w:val="en-US"/>
              </w:rPr>
              <w:t xml:space="preserve"> (16)</w:t>
            </w:r>
          </w:p>
        </w:tc>
      </w:tr>
      <w:tr w:rsidR="00E94538" w:rsidRPr="001603CF" w14:paraId="2B9AE67E" w14:textId="77777777" w:rsidTr="009B5C6C">
        <w:trPr>
          <w:trHeight w:val="44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A327AE4" w14:textId="77777777" w:rsidR="00E94538" w:rsidRPr="001603CF" w:rsidRDefault="00E94538" w:rsidP="00FF53DC">
            <w:pPr>
              <w:pStyle w:val="RSCT03TableBody"/>
              <w:rPr>
                <w:rFonts w:cstheme="minorHAnsi"/>
                <w:i w:val="0"/>
                <w:lang w:val="en-US"/>
              </w:rPr>
            </w:pPr>
            <w:r w:rsidRPr="001603CF">
              <w:rPr>
                <w:rFonts w:cstheme="minorHAnsi"/>
                <w:lang w:val="en-US"/>
              </w:rPr>
              <w:t>8</w:t>
            </w:r>
          </w:p>
        </w:tc>
        <w:tc>
          <w:tcPr>
            <w:tcW w:w="993" w:type="dxa"/>
            <w:shd w:val="clear" w:color="auto" w:fill="FFFFFF" w:themeFill="background1"/>
            <w:vAlign w:val="center"/>
          </w:tcPr>
          <w:p w14:paraId="7DA16700" w14:textId="3C7F578B" w:rsidR="00E94538" w:rsidRPr="001603CF" w:rsidRDefault="00E94538" w:rsidP="00FF53DC">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1603CF">
              <w:rPr>
                <w:rFonts w:cstheme="minorHAnsi"/>
                <w:b/>
                <w:lang w:val="en-US"/>
              </w:rPr>
              <w:t>CEES</w:t>
            </w:r>
            <w:r w:rsidR="0058009E" w:rsidRPr="001603CF">
              <w:rPr>
                <w:rFonts w:cstheme="minorHAnsi"/>
                <w:vertAlign w:val="superscript"/>
                <w:lang w:val="en-US"/>
              </w:rPr>
              <w:t>c</w:t>
            </w:r>
            <w:proofErr w:type="spellEnd"/>
          </w:p>
        </w:tc>
        <w:tc>
          <w:tcPr>
            <w:tcW w:w="850" w:type="dxa"/>
            <w:shd w:val="clear" w:color="auto" w:fill="FFFFFF" w:themeFill="background1"/>
            <w:vAlign w:val="center"/>
          </w:tcPr>
          <w:p w14:paraId="33F953AD"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1</w:t>
            </w:r>
          </w:p>
        </w:tc>
        <w:tc>
          <w:tcPr>
            <w:tcW w:w="851" w:type="dxa"/>
            <w:shd w:val="clear" w:color="auto" w:fill="FFFFFF" w:themeFill="background1"/>
            <w:vAlign w:val="center"/>
          </w:tcPr>
          <w:p w14:paraId="7F0BE43E"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n.d.</w:t>
            </w:r>
          </w:p>
        </w:tc>
        <w:tc>
          <w:tcPr>
            <w:tcW w:w="850" w:type="dxa"/>
            <w:shd w:val="clear" w:color="auto" w:fill="FFFFFF" w:themeFill="background1"/>
            <w:vAlign w:val="center"/>
          </w:tcPr>
          <w:p w14:paraId="06401AE9"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&gt;99</w:t>
            </w:r>
          </w:p>
        </w:tc>
        <w:tc>
          <w:tcPr>
            <w:tcW w:w="992" w:type="dxa"/>
            <w:shd w:val="clear" w:color="auto" w:fill="FFFFFF" w:themeFill="background1"/>
            <w:vAlign w:val="center"/>
          </w:tcPr>
          <w:p w14:paraId="6454FDD6" w14:textId="77777777" w:rsidR="00E94538" w:rsidRPr="001603CF" w:rsidRDefault="00E94538">
            <w:pPr>
              <w:pStyle w:val="RSCT03TableBody"/>
              <w:cnfStyle w:val="000000000000" w:firstRow="0" w:lastRow="0" w:firstColumn="0" w:lastColumn="0" w:oddVBand="0" w:evenVBand="0" w:oddHBand="0" w:evenHBand="0" w:firstRowFirstColumn="0" w:firstRowLastColumn="0" w:lastRowFirstColumn="0" w:lastRowLastColumn="0"/>
              <w:rPr>
                <w:rFonts w:cstheme="minorHAnsi"/>
                <w:lang w:val="en-US"/>
              </w:rPr>
            </w:pPr>
            <w:r w:rsidRPr="001603CF">
              <w:rPr>
                <w:rFonts w:cstheme="minorHAnsi"/>
                <w:lang w:val="en-US"/>
              </w:rPr>
              <w:t>n.d.</w:t>
            </w:r>
          </w:p>
        </w:tc>
      </w:tr>
    </w:tbl>
    <w:p w14:paraId="78BB4749" w14:textId="54B64709" w:rsidR="00F564CE" w:rsidRPr="001603CF" w:rsidRDefault="009B295E" w:rsidP="00FF53DC">
      <w:pPr>
        <w:pStyle w:val="RSCT05TableFootnotewithoutbottombar"/>
        <w:rPr>
          <w:lang w:val="en-US"/>
        </w:rPr>
      </w:pPr>
      <w:proofErr w:type="spellStart"/>
      <w:r w:rsidRPr="001603CF">
        <w:rPr>
          <w:vertAlign w:val="superscript"/>
          <w:lang w:val="en-US"/>
        </w:rPr>
        <w:t>a</w:t>
      </w:r>
      <w:proofErr w:type="spellEnd"/>
      <w:r w:rsidRPr="001603CF">
        <w:rPr>
          <w:lang w:val="en-US"/>
        </w:rPr>
        <w:t xml:space="preserve"> All experiments</w:t>
      </w:r>
      <w:r w:rsidR="00F8688A" w:rsidRPr="001603CF">
        <w:rPr>
          <w:lang w:val="en-US"/>
        </w:rPr>
        <w:t xml:space="preserve"> were</w:t>
      </w:r>
      <w:r w:rsidRPr="001603CF">
        <w:rPr>
          <w:lang w:val="en-US"/>
        </w:rPr>
        <w:t xml:space="preserve"> carried out at </w:t>
      </w:r>
      <w:r w:rsidR="0058009E" w:rsidRPr="001603CF">
        <w:rPr>
          <w:lang w:val="en-US"/>
        </w:rPr>
        <w:t xml:space="preserve">0.1 M and </w:t>
      </w:r>
      <w:r w:rsidRPr="001603CF">
        <w:rPr>
          <w:lang w:val="en-US"/>
        </w:rPr>
        <w:t xml:space="preserve">10 °C with </w:t>
      </w:r>
      <w:r w:rsidR="00183A47" w:rsidRPr="001603CF">
        <w:rPr>
          <w:lang w:val="en-US"/>
        </w:rPr>
        <w:t xml:space="preserve">a </w:t>
      </w:r>
      <w:r w:rsidRPr="001603CF">
        <w:rPr>
          <w:lang w:val="en-US"/>
        </w:rPr>
        <w:t xml:space="preserve">backpressure of </w:t>
      </w:r>
      <w:r w:rsidR="004C0E9C" w:rsidRPr="001603CF">
        <w:rPr>
          <w:lang w:val="en-US"/>
        </w:rPr>
        <w:t>10</w:t>
      </w:r>
      <w:r w:rsidRPr="001603CF">
        <w:rPr>
          <w:lang w:val="en-US"/>
        </w:rPr>
        <w:t xml:space="preserve"> bar. All samples were quenched with aqueous sodium thiosulfate</w:t>
      </w:r>
      <w:r w:rsidR="004F0DBC" w:rsidRPr="001603CF">
        <w:rPr>
          <w:lang w:val="en-US"/>
        </w:rPr>
        <w:t xml:space="preserve"> (0.</w:t>
      </w:r>
      <w:r w:rsidR="005F73FA" w:rsidRPr="001603CF">
        <w:rPr>
          <w:lang w:val="en-US"/>
        </w:rPr>
        <w:t>5</w:t>
      </w:r>
      <w:r w:rsidR="00B96B15" w:rsidRPr="001603CF">
        <w:rPr>
          <w:lang w:val="en-US"/>
        </w:rPr>
        <w:t xml:space="preserve"> </w:t>
      </w:r>
      <w:r w:rsidR="004F0DBC" w:rsidRPr="001603CF">
        <w:rPr>
          <w:lang w:val="en-US"/>
        </w:rPr>
        <w:t>M)</w:t>
      </w:r>
      <w:r w:rsidRPr="001603CF">
        <w:rPr>
          <w:lang w:val="en-US"/>
        </w:rPr>
        <w:t>.</w:t>
      </w:r>
      <w:r w:rsidR="00F564CE" w:rsidRPr="001603CF">
        <w:rPr>
          <w:vertAlign w:val="superscript"/>
          <w:lang w:val="en-US"/>
        </w:rPr>
        <w:t xml:space="preserve"> </w:t>
      </w:r>
      <w:r w:rsidR="0058009E" w:rsidRPr="001603CF">
        <w:rPr>
          <w:lang w:val="en-US"/>
        </w:rPr>
        <w:t>Data from LC (</w:t>
      </w:r>
      <w:r w:rsidR="0058009E" w:rsidRPr="001603CF">
        <w:rPr>
          <w:b/>
          <w:lang w:val="en-US"/>
        </w:rPr>
        <w:t>1a</w:t>
      </w:r>
      <w:r w:rsidR="0058009E" w:rsidRPr="001603CF">
        <w:rPr>
          <w:lang w:val="en-US"/>
        </w:rPr>
        <w:t xml:space="preserve">, </w:t>
      </w:r>
      <w:r w:rsidR="0058009E" w:rsidRPr="001603CF">
        <w:rPr>
          <w:b/>
          <w:lang w:val="en-US"/>
        </w:rPr>
        <w:t>CEPS</w:t>
      </w:r>
      <w:r w:rsidR="0058009E" w:rsidRPr="001603CF">
        <w:rPr>
          <w:lang w:val="en-US"/>
        </w:rPr>
        <w:t>) or GC-FID (</w:t>
      </w:r>
      <w:r w:rsidR="0058009E" w:rsidRPr="001603CF">
        <w:rPr>
          <w:b/>
          <w:lang w:val="en-US"/>
        </w:rPr>
        <w:t>1b</w:t>
      </w:r>
      <w:r w:rsidR="0058009E" w:rsidRPr="001603CF">
        <w:rPr>
          <w:lang w:val="en-US"/>
        </w:rPr>
        <w:t xml:space="preserve">, </w:t>
      </w:r>
      <w:r w:rsidR="0058009E" w:rsidRPr="001603CF">
        <w:rPr>
          <w:b/>
          <w:lang w:val="en-US"/>
        </w:rPr>
        <w:t>CEES</w:t>
      </w:r>
      <w:r w:rsidR="0058009E" w:rsidRPr="001603CF">
        <w:rPr>
          <w:lang w:val="en-US"/>
        </w:rPr>
        <w:t>) analysis (n.d. stands for not detected).</w:t>
      </w:r>
      <w:r w:rsidR="0058009E" w:rsidRPr="001603CF">
        <w:rPr>
          <w:vertAlign w:val="superscript"/>
          <w:lang w:val="en-US"/>
        </w:rPr>
        <w:t xml:space="preserve"> b</w:t>
      </w:r>
      <w:r w:rsidR="00F564CE" w:rsidRPr="001603CF">
        <w:rPr>
          <w:lang w:val="en-US"/>
        </w:rPr>
        <w:t xml:space="preserve"> 0.</w:t>
      </w:r>
      <w:r w:rsidR="0058009E" w:rsidRPr="001603CF">
        <w:rPr>
          <w:lang w:val="en-US"/>
        </w:rPr>
        <w:t>2</w:t>
      </w:r>
      <w:r w:rsidR="00F564CE" w:rsidRPr="001603CF">
        <w:rPr>
          <w:lang w:val="en-US"/>
        </w:rPr>
        <w:t xml:space="preserve"> M. </w:t>
      </w:r>
      <w:r w:rsidR="0058009E" w:rsidRPr="001603CF">
        <w:rPr>
          <w:vertAlign w:val="superscript"/>
          <w:lang w:val="en-US"/>
        </w:rPr>
        <w:t>c</w:t>
      </w:r>
      <w:r w:rsidR="00F564CE" w:rsidRPr="001603CF">
        <w:rPr>
          <w:lang w:val="en-US"/>
        </w:rPr>
        <w:t xml:space="preserve"> 0.5 M</w:t>
      </w:r>
    </w:p>
    <w:p w14:paraId="3A67E284" w14:textId="3DB3A371" w:rsidR="003641D5" w:rsidRPr="001603CF" w:rsidRDefault="005E7C00" w:rsidP="00FF53DC">
      <w:pPr>
        <w:pStyle w:val="RSCB02ArticleText"/>
        <w:ind w:firstLine="284"/>
        <w:rPr>
          <w:lang w:val="en-US"/>
        </w:rPr>
      </w:pPr>
      <w:r w:rsidRPr="001603CF">
        <w:rPr>
          <w:lang w:val="en-US"/>
        </w:rPr>
        <w:lastRenderedPageBreak/>
        <w:t xml:space="preserve">The neutralization of </w:t>
      </w:r>
      <w:r w:rsidRPr="001603CF">
        <w:rPr>
          <w:b/>
          <w:bCs/>
          <w:lang w:val="en-US"/>
        </w:rPr>
        <w:t>CEES</w:t>
      </w:r>
      <w:r w:rsidRPr="001603CF">
        <w:rPr>
          <w:lang w:val="en-US"/>
        </w:rPr>
        <w:t xml:space="preserve"> using 1.2 </w:t>
      </w:r>
      <w:r w:rsidR="00E75654" w:rsidRPr="001603CF">
        <w:rPr>
          <w:lang w:val="en-US"/>
        </w:rPr>
        <w:t xml:space="preserve">equivalents of ozone </w:t>
      </w:r>
      <w:r w:rsidR="00026948" w:rsidRPr="001603CF">
        <w:rPr>
          <w:lang w:val="en-US"/>
        </w:rPr>
        <w:t xml:space="preserve">successfully afforded full oxidation to the sulfoxide, </w:t>
      </w:r>
      <w:r w:rsidR="00F50214" w:rsidRPr="001603CF">
        <w:rPr>
          <w:lang w:val="en-US"/>
        </w:rPr>
        <w:t>while</w:t>
      </w:r>
      <w:r w:rsidR="00026948" w:rsidRPr="001603CF">
        <w:rPr>
          <w:lang w:val="en-US"/>
        </w:rPr>
        <w:t xml:space="preserve"> avoiding the formation of toxic sulfone </w:t>
      </w:r>
      <w:r w:rsidR="00026948" w:rsidRPr="001603CF">
        <w:rPr>
          <w:b/>
          <w:bCs/>
          <w:lang w:val="en-US"/>
        </w:rPr>
        <w:t>CEESO</w:t>
      </w:r>
      <w:r w:rsidR="00026948" w:rsidRPr="001603CF">
        <w:rPr>
          <w:b/>
          <w:bCs/>
          <w:vertAlign w:val="subscript"/>
          <w:lang w:val="en-US"/>
        </w:rPr>
        <w:t>2</w:t>
      </w:r>
      <w:r w:rsidR="00026948" w:rsidRPr="001603CF">
        <w:rPr>
          <w:lang w:val="en-US"/>
        </w:rPr>
        <w:t xml:space="preserve"> </w:t>
      </w:r>
      <w:r w:rsidR="00E75654" w:rsidRPr="001603CF">
        <w:rPr>
          <w:lang w:val="en-US"/>
        </w:rPr>
        <w:t>(Table 1, Entries 5)</w:t>
      </w:r>
      <w:r w:rsidR="00026948" w:rsidRPr="001603CF">
        <w:rPr>
          <w:lang w:val="en-US"/>
        </w:rPr>
        <w:t xml:space="preserve">. </w:t>
      </w:r>
      <w:r w:rsidR="00F50214" w:rsidRPr="001603CF">
        <w:rPr>
          <w:lang w:val="en-US"/>
        </w:rPr>
        <w:t>Trials</w:t>
      </w:r>
      <w:r w:rsidR="00026948" w:rsidRPr="001603CF">
        <w:rPr>
          <w:lang w:val="en-US"/>
        </w:rPr>
        <w:t xml:space="preserve"> using 1 equiv. of ozone showed equally satisfactory results,</w:t>
      </w:r>
      <w:r w:rsidR="00E75654" w:rsidRPr="001603CF">
        <w:rPr>
          <w:lang w:val="en-US"/>
        </w:rPr>
        <w:t xml:space="preserve"> promot</w:t>
      </w:r>
      <w:r w:rsidR="00352EDE" w:rsidRPr="001603CF">
        <w:rPr>
          <w:lang w:val="en-US"/>
        </w:rPr>
        <w:t xml:space="preserve">ing </w:t>
      </w:r>
      <w:r w:rsidR="00E75654" w:rsidRPr="001603CF">
        <w:rPr>
          <w:lang w:val="en-US"/>
        </w:rPr>
        <w:t xml:space="preserve">full conversion towards sulfoxide </w:t>
      </w:r>
      <w:r w:rsidR="00E75654" w:rsidRPr="001603CF">
        <w:rPr>
          <w:b/>
          <w:lang w:val="en-US"/>
        </w:rPr>
        <w:t xml:space="preserve">CEESO </w:t>
      </w:r>
      <w:r w:rsidR="00E75654" w:rsidRPr="001603CF">
        <w:rPr>
          <w:lang w:val="en-US"/>
        </w:rPr>
        <w:t>(Table 1, Entry 6).</w:t>
      </w:r>
      <w:r w:rsidR="00F564CE" w:rsidRPr="001603CF">
        <w:rPr>
          <w:lang w:val="en-US"/>
        </w:rPr>
        <w:t xml:space="preserve"> </w:t>
      </w:r>
      <w:r w:rsidR="00E75654" w:rsidRPr="001603CF">
        <w:rPr>
          <w:lang w:val="en-US"/>
        </w:rPr>
        <w:t>When</w:t>
      </w:r>
      <w:r w:rsidR="00DC54CD" w:rsidRPr="001603CF">
        <w:rPr>
          <w:lang w:val="en-US"/>
        </w:rPr>
        <w:t xml:space="preserve"> </w:t>
      </w:r>
      <w:proofErr w:type="spellStart"/>
      <w:r w:rsidR="00DC54CD" w:rsidRPr="001603CF">
        <w:rPr>
          <w:lang w:val="en-US"/>
        </w:rPr>
        <w:t>substoichiometric</w:t>
      </w:r>
      <w:proofErr w:type="spellEnd"/>
      <w:r w:rsidR="00DC54CD" w:rsidRPr="001603CF">
        <w:rPr>
          <w:lang w:val="en-US"/>
        </w:rPr>
        <w:t xml:space="preserve"> amount</w:t>
      </w:r>
      <w:r w:rsidR="00026948" w:rsidRPr="001603CF">
        <w:rPr>
          <w:lang w:val="en-US"/>
        </w:rPr>
        <w:t>s</w:t>
      </w:r>
      <w:r w:rsidR="00DC54CD" w:rsidRPr="001603CF">
        <w:rPr>
          <w:lang w:val="en-US"/>
        </w:rPr>
        <w:t xml:space="preserve"> of ozone (0.8 equiv.)</w:t>
      </w:r>
      <w:r w:rsidR="00E75654" w:rsidRPr="001603CF">
        <w:rPr>
          <w:lang w:val="en-US"/>
        </w:rPr>
        <w:t xml:space="preserve"> </w:t>
      </w:r>
      <w:r w:rsidR="00026948" w:rsidRPr="001603CF">
        <w:rPr>
          <w:lang w:val="en-US"/>
        </w:rPr>
        <w:t>were used</w:t>
      </w:r>
      <w:r w:rsidR="00DC54CD" w:rsidRPr="001603CF">
        <w:rPr>
          <w:lang w:val="en-US"/>
        </w:rPr>
        <w:t xml:space="preserve">, </w:t>
      </w:r>
      <w:r w:rsidR="00026948" w:rsidRPr="001603CF">
        <w:rPr>
          <w:lang w:val="en-US"/>
        </w:rPr>
        <w:t xml:space="preserve">only 84% of </w:t>
      </w:r>
      <w:r w:rsidR="00DC54CD" w:rsidRPr="001603CF">
        <w:rPr>
          <w:b/>
          <w:lang w:val="en-US"/>
        </w:rPr>
        <w:t xml:space="preserve">CEES </w:t>
      </w:r>
      <w:r w:rsidR="00026948" w:rsidRPr="001603CF">
        <w:rPr>
          <w:bCs/>
          <w:lang w:val="en-US"/>
        </w:rPr>
        <w:t>was</w:t>
      </w:r>
      <w:r w:rsidR="00026948" w:rsidRPr="001603CF">
        <w:rPr>
          <w:b/>
          <w:lang w:val="en-US"/>
        </w:rPr>
        <w:t xml:space="preserve"> </w:t>
      </w:r>
      <w:r w:rsidR="00026948" w:rsidRPr="001603CF">
        <w:rPr>
          <w:lang w:val="en-US"/>
        </w:rPr>
        <w:t xml:space="preserve">oxidized to </w:t>
      </w:r>
      <w:r w:rsidR="00026948" w:rsidRPr="001603CF">
        <w:rPr>
          <w:b/>
          <w:bCs/>
          <w:lang w:val="en-US"/>
        </w:rPr>
        <w:t>CEESO</w:t>
      </w:r>
      <w:r w:rsidR="00C70400" w:rsidRPr="001603CF">
        <w:rPr>
          <w:b/>
          <w:bCs/>
          <w:lang w:val="en-US"/>
        </w:rPr>
        <w:t xml:space="preserve"> </w:t>
      </w:r>
      <w:r w:rsidR="00C70400" w:rsidRPr="001603CF">
        <w:rPr>
          <w:lang w:val="en-US"/>
        </w:rPr>
        <w:t>(Table 1, Entry 7)</w:t>
      </w:r>
      <w:r w:rsidR="00026948" w:rsidRPr="001603CF">
        <w:rPr>
          <w:lang w:val="en-US"/>
        </w:rPr>
        <w:t xml:space="preserve">. The remaining </w:t>
      </w:r>
      <w:r w:rsidR="00026948" w:rsidRPr="001603CF">
        <w:rPr>
          <w:b/>
          <w:bCs/>
          <w:lang w:val="en-US"/>
        </w:rPr>
        <w:t>CEES</w:t>
      </w:r>
      <w:r w:rsidR="00026948" w:rsidRPr="001603CF">
        <w:rPr>
          <w:lang w:val="en-US"/>
        </w:rPr>
        <w:t xml:space="preserve"> reacted </w:t>
      </w:r>
      <w:r w:rsidR="00BA1C5E" w:rsidRPr="001603CF">
        <w:rPr>
          <w:lang w:val="en-US"/>
        </w:rPr>
        <w:t xml:space="preserve">to form compound </w:t>
      </w:r>
      <w:r w:rsidR="00E75654" w:rsidRPr="001603CF">
        <w:rPr>
          <w:b/>
          <w:lang w:val="en-US"/>
        </w:rPr>
        <w:t>5</w:t>
      </w:r>
      <w:r w:rsidR="00E75654" w:rsidRPr="001603CF">
        <w:rPr>
          <w:lang w:val="en-US"/>
        </w:rPr>
        <w:t xml:space="preserve"> </w:t>
      </w:r>
      <w:r w:rsidR="00BA1C5E" w:rsidRPr="001603CF">
        <w:rPr>
          <w:lang w:val="en-US"/>
        </w:rPr>
        <w:t xml:space="preserve">(16%). The formation of compound </w:t>
      </w:r>
      <w:r w:rsidR="00BA1C5E" w:rsidRPr="001603CF">
        <w:rPr>
          <w:b/>
          <w:bCs/>
          <w:lang w:val="en-US"/>
        </w:rPr>
        <w:t>5</w:t>
      </w:r>
      <w:r w:rsidR="00BA1C5E" w:rsidRPr="001603CF">
        <w:rPr>
          <w:lang w:val="en-US"/>
        </w:rPr>
        <w:t xml:space="preserve"> likely takes place during the quenching, through the formation of the epi-sulfonium followed by </w:t>
      </w:r>
      <w:r w:rsidR="00352EDE" w:rsidRPr="001603CF">
        <w:rPr>
          <w:lang w:val="en-US"/>
        </w:rPr>
        <w:t>nucleophilic</w:t>
      </w:r>
      <w:r w:rsidR="00BA1C5E" w:rsidRPr="001603CF">
        <w:rPr>
          <w:lang w:val="en-US"/>
        </w:rPr>
        <w:t xml:space="preserve"> attack </w:t>
      </w:r>
      <w:r w:rsidR="00352EDE" w:rsidRPr="001603CF">
        <w:rPr>
          <w:lang w:val="en-US"/>
        </w:rPr>
        <w:t>from</w:t>
      </w:r>
      <w:r w:rsidR="00BA1C5E" w:rsidRPr="001603CF">
        <w:rPr>
          <w:lang w:val="en-US"/>
        </w:rPr>
        <w:t xml:space="preserve"> a second molecule of </w:t>
      </w:r>
      <w:r w:rsidR="00BA1C5E" w:rsidRPr="001603CF">
        <w:rPr>
          <w:b/>
          <w:bCs/>
          <w:lang w:val="en-US"/>
        </w:rPr>
        <w:t>CEES</w:t>
      </w:r>
      <w:r w:rsidR="00DC54CD" w:rsidRPr="001603CF">
        <w:rPr>
          <w:lang w:val="en-US"/>
        </w:rPr>
        <w:t>.</w:t>
      </w:r>
      <w:r w:rsidR="00E75654" w:rsidRPr="001603CF">
        <w:rPr>
          <w:lang w:val="en-US"/>
        </w:rPr>
        <w:t xml:space="preserve"> </w:t>
      </w:r>
      <w:r w:rsidR="003641D5" w:rsidRPr="001603CF">
        <w:rPr>
          <w:lang w:val="en-US"/>
        </w:rPr>
        <w:t xml:space="preserve">The presence of different </w:t>
      </w:r>
      <w:r w:rsidR="00D779C6" w:rsidRPr="001603CF">
        <w:rPr>
          <w:lang w:val="en-US"/>
        </w:rPr>
        <w:t>side products</w:t>
      </w:r>
      <w:r w:rsidR="003641D5" w:rsidRPr="001603CF">
        <w:rPr>
          <w:lang w:val="en-US"/>
        </w:rPr>
        <w:t xml:space="preserve"> </w:t>
      </w:r>
      <w:r w:rsidR="00D779C6" w:rsidRPr="001603CF">
        <w:rPr>
          <w:lang w:val="en-US"/>
        </w:rPr>
        <w:t xml:space="preserve">for </w:t>
      </w:r>
      <w:r w:rsidR="003641D5" w:rsidRPr="001603CF">
        <w:rPr>
          <w:lang w:val="en-US"/>
        </w:rPr>
        <w:t xml:space="preserve">unreacted </w:t>
      </w:r>
      <w:r w:rsidR="003641D5" w:rsidRPr="001603CF">
        <w:rPr>
          <w:b/>
          <w:lang w:val="en-US"/>
        </w:rPr>
        <w:t>CEES</w:t>
      </w:r>
      <w:r w:rsidR="003641D5" w:rsidRPr="001603CF">
        <w:rPr>
          <w:lang w:val="en-US"/>
        </w:rPr>
        <w:t xml:space="preserve"> or </w:t>
      </w:r>
      <w:r w:rsidR="003641D5" w:rsidRPr="001603CF">
        <w:rPr>
          <w:b/>
          <w:lang w:val="en-US"/>
        </w:rPr>
        <w:t>CEPS</w:t>
      </w:r>
      <w:r w:rsidR="003641D5" w:rsidRPr="001603CF">
        <w:rPr>
          <w:lang w:val="en-US"/>
        </w:rPr>
        <w:t xml:space="preserve"> </w:t>
      </w:r>
      <w:r w:rsidR="00D779C6" w:rsidRPr="001603CF">
        <w:rPr>
          <w:lang w:val="en-US"/>
        </w:rPr>
        <w:t xml:space="preserve">under the </w:t>
      </w:r>
      <w:r w:rsidR="003641D5" w:rsidRPr="001603CF">
        <w:rPr>
          <w:lang w:val="en-US"/>
        </w:rPr>
        <w:t xml:space="preserve">quenching </w:t>
      </w:r>
      <w:r w:rsidR="00D779C6" w:rsidRPr="001603CF">
        <w:rPr>
          <w:lang w:val="en-US"/>
        </w:rPr>
        <w:t xml:space="preserve">conditions </w:t>
      </w:r>
      <w:r w:rsidR="00EB6CAB" w:rsidRPr="001603CF">
        <w:rPr>
          <w:lang w:val="en-US"/>
        </w:rPr>
        <w:t>highlights</w:t>
      </w:r>
      <w:r w:rsidR="00D779C6" w:rsidRPr="001603CF">
        <w:rPr>
          <w:lang w:val="en-US"/>
        </w:rPr>
        <w:t xml:space="preserve"> </w:t>
      </w:r>
      <w:r w:rsidR="003641D5" w:rsidRPr="001603CF">
        <w:rPr>
          <w:lang w:val="en-US"/>
        </w:rPr>
        <w:t xml:space="preserve">the difference in nucleophilicity between both species. In water, mustard species are known to favor the electrophilic episulfonium form, which is then prone to react with nucleophilic species. While the sulfur atom of </w:t>
      </w:r>
      <w:r w:rsidR="003641D5" w:rsidRPr="001603CF">
        <w:rPr>
          <w:b/>
          <w:lang w:val="en-US"/>
        </w:rPr>
        <w:t>CEES</w:t>
      </w:r>
      <w:r w:rsidR="003641D5" w:rsidRPr="001603CF">
        <w:rPr>
          <w:lang w:val="en-US"/>
        </w:rPr>
        <w:t xml:space="preserve"> is reactive enough to give product </w:t>
      </w:r>
      <w:r w:rsidR="003641D5" w:rsidRPr="001603CF">
        <w:rPr>
          <w:b/>
          <w:lang w:val="en-US"/>
        </w:rPr>
        <w:t>5</w:t>
      </w:r>
      <w:r w:rsidR="003641D5" w:rsidRPr="001603CF">
        <w:rPr>
          <w:lang w:val="en-US"/>
        </w:rPr>
        <w:t xml:space="preserve">, water competes with </w:t>
      </w:r>
      <w:r w:rsidR="003641D5" w:rsidRPr="001603CF">
        <w:rPr>
          <w:b/>
          <w:lang w:val="en-US"/>
        </w:rPr>
        <w:t>CEPS</w:t>
      </w:r>
      <w:r w:rsidR="003641D5" w:rsidRPr="001603CF">
        <w:rPr>
          <w:lang w:val="en-US"/>
        </w:rPr>
        <w:t xml:space="preserve"> and forms </w:t>
      </w:r>
      <w:proofErr w:type="spellStart"/>
      <w:r w:rsidR="003641D5" w:rsidRPr="001603CF">
        <w:rPr>
          <w:lang w:val="en-US"/>
        </w:rPr>
        <w:t>hydrosylate</w:t>
      </w:r>
      <w:proofErr w:type="spellEnd"/>
      <w:r w:rsidR="003641D5" w:rsidRPr="001603CF">
        <w:rPr>
          <w:lang w:val="en-US"/>
        </w:rPr>
        <w:t xml:space="preserve"> </w:t>
      </w:r>
      <w:r w:rsidR="003641D5" w:rsidRPr="001603CF">
        <w:rPr>
          <w:b/>
          <w:lang w:val="en-US"/>
        </w:rPr>
        <w:t>4</w:t>
      </w:r>
      <w:r w:rsidR="003641D5" w:rsidRPr="001603CF">
        <w:rPr>
          <w:lang w:val="en-US"/>
        </w:rPr>
        <w:t>.</w:t>
      </w:r>
      <w:r w:rsidR="00864EF1" w:rsidRPr="001603CF">
        <w:rPr>
          <w:lang w:val="en-US"/>
        </w:rPr>
        <w:fldChar w:fldCharType="begin" w:fldLock="1"/>
      </w:r>
      <w:r w:rsidR="00864EF1" w:rsidRPr="001603CF">
        <w:rPr>
          <w:lang w:val="en-US"/>
        </w:rPr>
        <w:instrText>ADDIN CSL_CITATION {"citationItems":[{"id":"ITEM-1","itemData":{"DOI":"10.1039/c2ob26482j","ISSN":"14770520","PMID":"23070251","abstract":"Mustard gas, bis(β-chloroethyl) sulfide (HD), is highly toxic and harmful to humans and the environment. It comprises one class of chemical warfare agents (CWAs) that was used in both World Wars I and II. The three basic analogues or surrogates are: the monochloro derivative, known as the half mustard, 2-chloroethyl ethyl sulfide (CEES); an oxygen analogue, bis(β-chloroethyl) ether (BCEE); and several nitrogen analogues based on the 2,2′-dichlorodiethylamine framework (e.g., HN1, HN2, and HN3). The origin of their toxicity is considered to be from the formation of three-membered heterocyclic ions, a reaction that is especially accelerated in aqueous solution. The reaction of these cyclic ion intermediates with a number of important biological species such as DNA, RNA and proteins causes cell toxicity and is responsible for the deleterious effects of the mustards. While a number of studies have been performed over the last century to determine the chemistry of these compounds, early studies suffered from a lack of more sophisticated NMR and X-ray techniques. It is now well-established that the sulfur and nitrogen mustards are highly reactive in water, while the oxygen analog is much more stable. In this study, we review and summarize results from previous studies, and add results of our own studies of the reactivity of these mustards toward various nonaqueous solvents and nucleophiles. In this manner a more comprehensive evaluation of the stability and reactivity of these related mustard compounds is achieved. © 2012 The Royal Society of Chemistry.","author":[{"dropping-particle":"","family":"Wang","given":"Qi Qiang","non-dropping-particle":"","parse-names":false,"suffix":""},{"dropping-particle":"","family":"Begum","given":"Rowshan Ara","non-dropping-particle":"","parse-names":false,"suffix":""},{"dropping-particle":"","family":"Day","given":"Victor W.","non-dropping-particle":"","parse-names":false,"suffix":""},{"dropping-particle":"","family":"Bowman-James","given":"Kristin","non-dropping-particle":"","parse-names":false,"suffix":""}],"container-title":"Organic and Biomolecular Chemistry","id":"ITEM-1","issue":"44","issued":{"date-parts":[["2012"]]},"page":"8786-8793","title":"Sulfur, oxygen, and nitrogen mustards: Stability and reactivity","type":"article-journal","volume":"10"},"uris":["http://www.mendeley.com/documents/?uuid=c1022e93-c778-443c-9ec3-0a967a896afa"]}],"mendeley":{"formattedCitation":"&lt;sup&gt;42&lt;/sup&gt;","plainTextFormattedCitation":"42","previouslyFormattedCitation":"&lt;sup&gt;42&lt;/sup&gt;"},"properties":{"noteIndex":0},"schema":"https://github.com/citation-style-language/schema/raw/master/csl-citation.json"}</w:instrText>
      </w:r>
      <w:r w:rsidR="00864EF1" w:rsidRPr="001603CF">
        <w:rPr>
          <w:lang w:val="en-US"/>
        </w:rPr>
        <w:fldChar w:fldCharType="separate"/>
      </w:r>
      <w:r w:rsidR="00864EF1" w:rsidRPr="001603CF">
        <w:rPr>
          <w:noProof/>
          <w:vertAlign w:val="superscript"/>
          <w:lang w:val="en-US"/>
        </w:rPr>
        <w:t>42</w:t>
      </w:r>
      <w:r w:rsidR="00864EF1" w:rsidRPr="001603CF">
        <w:rPr>
          <w:lang w:val="en-US"/>
        </w:rPr>
        <w:fldChar w:fldCharType="end"/>
      </w:r>
    </w:p>
    <w:p w14:paraId="4A9DBEE9" w14:textId="5963C473" w:rsidR="00DC54CD" w:rsidRPr="001603CF" w:rsidRDefault="00DC54CD" w:rsidP="00FF53DC">
      <w:pPr>
        <w:pStyle w:val="RSCB02ArticleText"/>
        <w:ind w:firstLine="284"/>
        <w:rPr>
          <w:lang w:val="en-US"/>
        </w:rPr>
      </w:pPr>
      <w:r w:rsidRPr="001603CF">
        <w:rPr>
          <w:lang w:val="en-US"/>
        </w:rPr>
        <w:t xml:space="preserve">Finally, </w:t>
      </w:r>
      <w:r w:rsidR="00F50214" w:rsidRPr="001603CF">
        <w:rPr>
          <w:lang w:val="en-US"/>
        </w:rPr>
        <w:t xml:space="preserve">to show the potential for higher throughput, </w:t>
      </w:r>
      <w:r w:rsidRPr="001603CF">
        <w:rPr>
          <w:lang w:val="en-US"/>
        </w:rPr>
        <w:t xml:space="preserve">the concentration of the feed solution of </w:t>
      </w:r>
      <w:r w:rsidRPr="001603CF">
        <w:rPr>
          <w:b/>
          <w:lang w:val="en-US"/>
        </w:rPr>
        <w:t>CEES</w:t>
      </w:r>
      <w:r w:rsidRPr="001603CF">
        <w:rPr>
          <w:lang w:val="en-US"/>
        </w:rPr>
        <w:t xml:space="preserve"> </w:t>
      </w:r>
      <w:r w:rsidR="00F50214" w:rsidRPr="001603CF">
        <w:rPr>
          <w:lang w:val="en-US"/>
        </w:rPr>
        <w:t xml:space="preserve">was </w:t>
      </w:r>
      <w:r w:rsidRPr="001603CF">
        <w:rPr>
          <w:lang w:val="en-US"/>
        </w:rPr>
        <w:t>increased (0.5 M in EtOH)</w:t>
      </w:r>
      <w:r w:rsidR="005213BF" w:rsidRPr="001603CF">
        <w:rPr>
          <w:lang w:val="en-US"/>
        </w:rPr>
        <w:t xml:space="preserve">. Using the same protocol, complete and selective </w:t>
      </w:r>
      <w:r w:rsidRPr="001603CF">
        <w:rPr>
          <w:lang w:val="en-US"/>
        </w:rPr>
        <w:t xml:space="preserve">conversion </w:t>
      </w:r>
      <w:r w:rsidR="005213BF" w:rsidRPr="001603CF">
        <w:rPr>
          <w:lang w:val="en-US"/>
        </w:rPr>
        <w:t xml:space="preserve">to the sulfoxide was obtained </w:t>
      </w:r>
      <w:r w:rsidRPr="001603CF">
        <w:rPr>
          <w:lang w:val="en-US"/>
        </w:rPr>
        <w:t>within 1 s</w:t>
      </w:r>
      <w:r w:rsidR="00E75654" w:rsidRPr="001603CF">
        <w:rPr>
          <w:lang w:val="en-US"/>
        </w:rPr>
        <w:t xml:space="preserve"> (Table 1, Entry 8)</w:t>
      </w:r>
      <w:r w:rsidRPr="001603CF">
        <w:rPr>
          <w:lang w:val="en-US"/>
        </w:rPr>
        <w:t xml:space="preserve">. </w:t>
      </w:r>
    </w:p>
    <w:p w14:paraId="7F948B1F" w14:textId="26540890" w:rsidR="00E61949" w:rsidRPr="001603CF" w:rsidRDefault="00180ABE">
      <w:pPr>
        <w:pStyle w:val="RSCB04AHeadingSection"/>
        <w:rPr>
          <w:lang w:val="en-US"/>
        </w:rPr>
      </w:pPr>
      <w:r w:rsidRPr="001603CF">
        <w:rPr>
          <w:lang w:val="en-US"/>
        </w:rPr>
        <w:t>Conclusion</w:t>
      </w:r>
    </w:p>
    <w:p w14:paraId="3FFACC47" w14:textId="0F2B86DA" w:rsidR="007F0C6F" w:rsidRPr="001603CF" w:rsidRDefault="00A27FE2" w:rsidP="00FF53DC">
      <w:pPr>
        <w:pStyle w:val="RSCB02ArticleText"/>
        <w:rPr>
          <w:lang w:val="en-US"/>
        </w:rPr>
      </w:pPr>
      <w:r w:rsidRPr="001603CF">
        <w:rPr>
          <w:lang w:val="en-US"/>
        </w:rPr>
        <w:t>We have developed an innovative</w:t>
      </w:r>
      <w:r w:rsidR="00F8688A" w:rsidRPr="001603CF">
        <w:rPr>
          <w:lang w:val="en-US"/>
        </w:rPr>
        <w:t xml:space="preserve"> </w:t>
      </w:r>
      <w:r w:rsidRPr="001603CF">
        <w:rPr>
          <w:lang w:val="en-US"/>
        </w:rPr>
        <w:t xml:space="preserve">protocol for </w:t>
      </w:r>
      <w:r w:rsidR="008A5D88" w:rsidRPr="001603CF">
        <w:rPr>
          <w:lang w:val="en-US"/>
        </w:rPr>
        <w:t>the oxidative</w:t>
      </w:r>
      <w:r w:rsidR="00E434D6" w:rsidRPr="001603CF">
        <w:rPr>
          <w:lang w:val="en-US"/>
        </w:rPr>
        <w:t xml:space="preserve"> neutralization of</w:t>
      </w:r>
      <w:r w:rsidR="008A5D88" w:rsidRPr="001603CF">
        <w:rPr>
          <w:lang w:val="en-US"/>
        </w:rPr>
        <w:t xml:space="preserve"> </w:t>
      </w:r>
      <w:r w:rsidR="00E434D6" w:rsidRPr="001603CF">
        <w:rPr>
          <w:b/>
          <w:lang w:val="en-US"/>
        </w:rPr>
        <w:t>HD</w:t>
      </w:r>
      <w:r w:rsidR="00E434D6" w:rsidRPr="001603CF">
        <w:rPr>
          <w:lang w:val="en-US"/>
        </w:rPr>
        <w:t xml:space="preserve"> </w:t>
      </w:r>
      <w:r w:rsidRPr="001603CF">
        <w:rPr>
          <w:lang w:val="en-US"/>
        </w:rPr>
        <w:t xml:space="preserve">simulants with unprecedented </w:t>
      </w:r>
      <w:r w:rsidR="000125AD" w:rsidRPr="001603CF">
        <w:rPr>
          <w:lang w:val="en-US"/>
        </w:rPr>
        <w:t>efficiency</w:t>
      </w:r>
      <w:r w:rsidR="00F8688A" w:rsidRPr="001603CF">
        <w:rPr>
          <w:lang w:val="en-US"/>
        </w:rPr>
        <w:t xml:space="preserve"> (0.5 M and 1 s residence time)</w:t>
      </w:r>
      <w:r w:rsidRPr="001603CF">
        <w:rPr>
          <w:lang w:val="en-US"/>
        </w:rPr>
        <w:t>.</w:t>
      </w:r>
      <w:r w:rsidR="00F8688A" w:rsidRPr="001603CF">
        <w:rPr>
          <w:lang w:val="en-US"/>
        </w:rPr>
        <w:t xml:space="preserve"> </w:t>
      </w:r>
      <w:r w:rsidR="00E434D6" w:rsidRPr="001603CF">
        <w:rPr>
          <w:lang w:val="en-US"/>
        </w:rPr>
        <w:t xml:space="preserve">This procedure harnesses the </w:t>
      </w:r>
      <w:r w:rsidR="00183A47" w:rsidRPr="001603CF">
        <w:rPr>
          <w:lang w:val="en-US"/>
        </w:rPr>
        <w:t xml:space="preserve">benefits </w:t>
      </w:r>
      <w:r w:rsidR="00E434D6" w:rsidRPr="001603CF">
        <w:rPr>
          <w:lang w:val="en-US"/>
        </w:rPr>
        <w:t xml:space="preserve">of continuous flow to maximize the potent oxidizing </w:t>
      </w:r>
      <w:r w:rsidR="00172C01" w:rsidRPr="001603CF">
        <w:rPr>
          <w:lang w:val="en-US"/>
        </w:rPr>
        <w:t xml:space="preserve">nature </w:t>
      </w:r>
      <w:r w:rsidR="00E434D6" w:rsidRPr="001603CF">
        <w:rPr>
          <w:lang w:val="en-US"/>
        </w:rPr>
        <w:t>of ozone</w:t>
      </w:r>
      <w:r w:rsidR="0036223D" w:rsidRPr="001603CF">
        <w:rPr>
          <w:lang w:val="en-US"/>
        </w:rPr>
        <w:t>. The methodology incorporates an initial DFT study to rationally guide the selection of appropriate simulants</w:t>
      </w:r>
      <w:r w:rsidR="004F0DBC" w:rsidRPr="001603CF">
        <w:rPr>
          <w:lang w:val="en-US"/>
        </w:rPr>
        <w:t xml:space="preserve"> for </w:t>
      </w:r>
      <w:r w:rsidR="004F0DBC" w:rsidRPr="001603CF">
        <w:rPr>
          <w:b/>
          <w:lang w:val="en-US"/>
        </w:rPr>
        <w:t>HD</w:t>
      </w:r>
      <w:r w:rsidR="004F0DBC" w:rsidRPr="001603CF">
        <w:rPr>
          <w:lang w:val="en-US"/>
        </w:rPr>
        <w:t xml:space="preserve"> oxidative neutralization processes</w:t>
      </w:r>
      <w:r w:rsidR="0036223D" w:rsidRPr="001603CF">
        <w:rPr>
          <w:lang w:val="en-US"/>
        </w:rPr>
        <w:t xml:space="preserve"> and collect critical information on kinetics and selectivity, while preventing the generation of </w:t>
      </w:r>
      <w:r w:rsidR="00587876" w:rsidRPr="001603CF">
        <w:rPr>
          <w:lang w:val="en-US"/>
        </w:rPr>
        <w:t xml:space="preserve">unnecessary waste. We demonstrate the relevance of the local </w:t>
      </w:r>
      <w:r w:rsidR="00F8688A" w:rsidRPr="001603CF">
        <w:rPr>
          <w:lang w:val="en-US"/>
        </w:rPr>
        <w:t xml:space="preserve">nucleophilicity </w:t>
      </w:r>
      <w:r w:rsidR="00ED1D7C" w:rsidRPr="001603CF">
        <w:rPr>
          <w:lang w:val="en-US"/>
        </w:rPr>
        <w:t xml:space="preserve">of </w:t>
      </w:r>
      <w:r w:rsidR="00587876" w:rsidRPr="001603CF">
        <w:rPr>
          <w:lang w:val="en-US"/>
        </w:rPr>
        <w:t xml:space="preserve">sulfur as a </w:t>
      </w:r>
      <w:r w:rsidR="00F8688A" w:rsidRPr="001603CF">
        <w:rPr>
          <w:lang w:val="en-US"/>
        </w:rPr>
        <w:t>metric for ranking simulants</w:t>
      </w:r>
      <w:bookmarkStart w:id="5" w:name="_Hlk147501240"/>
      <w:r w:rsidR="00F8688A" w:rsidRPr="001603CF">
        <w:rPr>
          <w:lang w:val="en-US"/>
        </w:rPr>
        <w:t>.</w:t>
      </w:r>
      <w:r w:rsidR="00FF53DC" w:rsidRPr="001603CF">
        <w:rPr>
          <w:lang w:val="en-US"/>
        </w:rPr>
        <w:t xml:space="preserve"> This </w:t>
      </w:r>
      <w:r w:rsidR="009930F2" w:rsidRPr="001603CF">
        <w:rPr>
          <w:lang w:val="en-US"/>
        </w:rPr>
        <w:t xml:space="preserve">valuable </w:t>
      </w:r>
      <w:r w:rsidR="00FF53DC" w:rsidRPr="001603CF">
        <w:rPr>
          <w:lang w:val="en-US"/>
        </w:rPr>
        <w:t xml:space="preserve">approach </w:t>
      </w:r>
      <w:r w:rsidR="009930F2" w:rsidRPr="001603CF">
        <w:rPr>
          <w:lang w:val="en-US"/>
        </w:rPr>
        <w:t>could also be extende</w:t>
      </w:r>
      <w:r w:rsidR="009B4136" w:rsidRPr="001603CF">
        <w:rPr>
          <w:lang w:val="en-US"/>
        </w:rPr>
        <w:t>d</w:t>
      </w:r>
      <w:r w:rsidR="009930F2" w:rsidRPr="001603CF">
        <w:rPr>
          <w:lang w:val="en-US"/>
        </w:rPr>
        <w:t xml:space="preserve"> for </w:t>
      </w:r>
      <w:r w:rsidR="00FF53DC" w:rsidRPr="001603CF">
        <w:rPr>
          <w:lang w:val="en-US"/>
        </w:rPr>
        <w:t>study</w:t>
      </w:r>
      <w:r w:rsidR="009930F2" w:rsidRPr="001603CF">
        <w:rPr>
          <w:lang w:val="en-US"/>
        </w:rPr>
        <w:t>ing</w:t>
      </w:r>
      <w:r w:rsidR="00FF53DC" w:rsidRPr="001603CF">
        <w:rPr>
          <w:lang w:val="en-US"/>
        </w:rPr>
        <w:t xml:space="preserve"> non-toxic mustard analogues such as carbonates</w:t>
      </w:r>
      <w:r w:rsidR="009930F2" w:rsidRPr="001603CF">
        <w:rPr>
          <w:lang w:val="en-US"/>
        </w:rPr>
        <w:t>,</w:t>
      </w:r>
      <w:r w:rsidR="00FF53DC" w:rsidRPr="001603CF">
        <w:rPr>
          <w:lang w:val="en-US"/>
        </w:rPr>
        <w:t xml:space="preserve"> which have already found synthetic applications in green chemistry.</w:t>
      </w:r>
      <w:r w:rsidR="00864EF1" w:rsidRPr="001603CF">
        <w:rPr>
          <w:lang w:val="en-US"/>
        </w:rPr>
        <w:fldChar w:fldCharType="begin" w:fldLock="1"/>
      </w:r>
      <w:r w:rsidR="00864EF1" w:rsidRPr="001603CF">
        <w:rPr>
          <w:lang w:val="en-US"/>
        </w:rPr>
        <w:instrText>ADDIN CSL_CITATION {"citationItems":[{"id":"ITEM-1","itemData":{"DOI":"10.1002/ejoc.201200321","ISSN":"1434193X","abstract":"Sulfur and nitrogen half-mustard compounds lose their aggressive properties when the chlorine atom is replaced by a carbonate moiety. The anchimeric effect of the novel mustard carbonate analogues is investigated. The reaction follows first-order kinetics, does not need any base, and occurs with -OH, -NH and acidic -CH nucleophiles. Most of these molecules are unexplored and might provide a novel strategy for the preparation of compounds previously not easily accessible. Copyright © 2012 WILEY-VCH Verlag GmbH &amp; Co. KGaA, Weinheim.","author":[{"dropping-particle":"","family":"Aricò","given":"Fabio","non-dropping-particle":"","parse-names":false,"suffix":""},{"dropping-particle":"","family":"Chiurato","given":"Matteo","non-dropping-particle":"","parse-names":false,"suffix":""},{"dropping-particle":"","family":"Peltier","given":"Josephine","non-dropping-particle":"","parse-names":false,"suffix":""},{"dropping-particle":"","family":"Tundo","given":"Pietro","non-dropping-particle":"","parse-names":false,"suffix":""}],"container-title":"European Journal of Organic Chemistry","id":"ITEM-1","issue":"17","issued":{"date-parts":[["2012"]]},"page":"3223-3228","title":"Sulfur and nitrogen mustard carbonate analogues","type":"article-journal"},"uris":["http://www.mendeley.com/documents/?uuid=5fb83101-7bcb-4a58-947b-b4274acd6934"]},{"id":"ITEM-2","itemData":{"DOI":"10.1021/sc4001737","ISSN":"21680485","abstract":"Sulfur and nitrogen mustards are very toxic, yet versatile organic molecules with numerous applications. Herein, we report on a synthesis of a new class of green compounds, i.e., half-mustard and iprit carbonates, that result in new, unexplored, and safe molecules. Their chemical behavior with several nucleophiles and their reaction kinetics have been investigated. © 2013 American Chemical Society.","author":[{"dropping-particle":"","family":"Aricò","given":"Fabio","non-dropping-particle":"","parse-names":false,"suffix":""},{"dropping-particle":"","family":"Evaristo","given":"Serena","non-dropping-particle":"","parse-names":false,"suffix":""},{"dropping-particle":"","family":"Tundo","given":"Pietro","non-dropping-particle":"","parse-names":false,"suffix":""}],"container-title":"ACS Sustainable Chemistry and Engineering","id":"ITEM-2","issue":"10","issued":{"date-parts":[["2013"]]},"page":"1319-1325","title":"Chemical behavior and reaction kinetics of sulfur and nitrogen half-mustard and iprit carbonate analogues","type":"article-journal","volume":"1"},"uris":["http://www.mendeley.com/documents/?uuid=d00a9a8e-dd6e-4764-9328-55c284aa562c"]}],"mendeley":{"formattedCitation":"&lt;sup&gt;43,44&lt;/sup&gt;","plainTextFormattedCitation":"43,44","previouslyFormattedCitation":"&lt;sup&gt;43,44&lt;/sup&gt;"},"properties":{"noteIndex":0},"schema":"https://github.com/citation-style-language/schema/raw/master/csl-citation.json"}</w:instrText>
      </w:r>
      <w:r w:rsidR="00864EF1" w:rsidRPr="001603CF">
        <w:rPr>
          <w:lang w:val="en-US"/>
        </w:rPr>
        <w:fldChar w:fldCharType="separate"/>
      </w:r>
      <w:r w:rsidR="00864EF1" w:rsidRPr="001603CF">
        <w:rPr>
          <w:noProof/>
          <w:vertAlign w:val="superscript"/>
          <w:lang w:val="en-US"/>
        </w:rPr>
        <w:t>43,44</w:t>
      </w:r>
      <w:r w:rsidR="00864EF1" w:rsidRPr="001603CF">
        <w:rPr>
          <w:lang w:val="en-US"/>
        </w:rPr>
        <w:fldChar w:fldCharType="end"/>
      </w:r>
      <w:r w:rsidR="00F8688A" w:rsidRPr="001603CF">
        <w:rPr>
          <w:lang w:val="en-US"/>
        </w:rPr>
        <w:t xml:space="preserve"> </w:t>
      </w:r>
      <w:bookmarkEnd w:id="5"/>
      <w:r w:rsidR="004F0DBC" w:rsidRPr="001603CF">
        <w:rPr>
          <w:lang w:val="en-US"/>
        </w:rPr>
        <w:t xml:space="preserve">As far as oxidative pathways are concerned, </w:t>
      </w:r>
      <w:r w:rsidR="00CF1DCB" w:rsidRPr="001603CF">
        <w:rPr>
          <w:lang w:val="en-US"/>
        </w:rPr>
        <w:t>m</w:t>
      </w:r>
      <w:r w:rsidR="00876E89" w:rsidRPr="001603CF">
        <w:rPr>
          <w:lang w:val="en-US"/>
        </w:rPr>
        <w:t xml:space="preserve">ethyl phenyl sulfide </w:t>
      </w:r>
      <w:r w:rsidR="006E280C" w:rsidRPr="001603CF">
        <w:rPr>
          <w:lang w:val="en-US"/>
        </w:rPr>
        <w:t>(</w:t>
      </w:r>
      <w:r w:rsidR="006E280C" w:rsidRPr="001603CF">
        <w:rPr>
          <w:b/>
          <w:lang w:val="en-US"/>
        </w:rPr>
        <w:t>1a</w:t>
      </w:r>
      <w:r w:rsidR="006E280C" w:rsidRPr="001603CF">
        <w:rPr>
          <w:lang w:val="en-US"/>
        </w:rPr>
        <w:t xml:space="preserve">) </w:t>
      </w:r>
      <w:r w:rsidR="00587876" w:rsidRPr="001603CF">
        <w:rPr>
          <w:lang w:val="en-US"/>
        </w:rPr>
        <w:t>appears as a good</w:t>
      </w:r>
      <w:r w:rsidR="00351F1E" w:rsidRPr="001603CF">
        <w:rPr>
          <w:lang w:val="en-US"/>
        </w:rPr>
        <w:t>,</w:t>
      </w:r>
      <w:r w:rsidR="00587876" w:rsidRPr="001603CF">
        <w:rPr>
          <w:lang w:val="en-US"/>
        </w:rPr>
        <w:t xml:space="preserve"> low tox</w:t>
      </w:r>
      <w:r w:rsidR="004F0DBC" w:rsidRPr="001603CF">
        <w:rPr>
          <w:lang w:val="en-US"/>
        </w:rPr>
        <w:t>i</w:t>
      </w:r>
      <w:r w:rsidR="00587876" w:rsidRPr="001603CF">
        <w:rPr>
          <w:lang w:val="en-US"/>
        </w:rPr>
        <w:t xml:space="preserve">city </w:t>
      </w:r>
      <w:r w:rsidR="00ED1D7C" w:rsidRPr="001603CF">
        <w:rPr>
          <w:lang w:val="en-US"/>
        </w:rPr>
        <w:t xml:space="preserve">simulant </w:t>
      </w:r>
      <w:r w:rsidR="00587876" w:rsidRPr="001603CF">
        <w:rPr>
          <w:lang w:val="en-US"/>
        </w:rPr>
        <w:t xml:space="preserve">for preliminary scouting of reaction conditions. </w:t>
      </w:r>
      <w:r w:rsidR="00ED1D7C" w:rsidRPr="001603CF">
        <w:rPr>
          <w:lang w:val="en-US"/>
        </w:rPr>
        <w:t xml:space="preserve">Between </w:t>
      </w:r>
      <w:r w:rsidR="00906722" w:rsidRPr="001603CF">
        <w:rPr>
          <w:lang w:val="en-US"/>
        </w:rPr>
        <w:t xml:space="preserve">two of the most widely </w:t>
      </w:r>
      <w:r w:rsidR="00183A47" w:rsidRPr="001603CF">
        <w:rPr>
          <w:lang w:val="en-US"/>
        </w:rPr>
        <w:t xml:space="preserve">used </w:t>
      </w:r>
      <w:r w:rsidR="00906722" w:rsidRPr="001603CF">
        <w:rPr>
          <w:lang w:val="en-US"/>
        </w:rPr>
        <w:t>simulants, namely, 2-chloroethyl phenyl sulfide (</w:t>
      </w:r>
      <w:r w:rsidR="00906722" w:rsidRPr="001603CF">
        <w:rPr>
          <w:b/>
          <w:lang w:val="en-US"/>
        </w:rPr>
        <w:t>CEPS</w:t>
      </w:r>
      <w:r w:rsidR="00906722" w:rsidRPr="001603CF">
        <w:rPr>
          <w:lang w:val="en-US"/>
        </w:rPr>
        <w:t xml:space="preserve">) and </w:t>
      </w:r>
      <w:r w:rsidR="00587876" w:rsidRPr="001603CF">
        <w:rPr>
          <w:lang w:val="en-US"/>
        </w:rPr>
        <w:t>2-chloroethyl ethyl sulfide</w:t>
      </w:r>
      <w:r w:rsidR="00906722" w:rsidRPr="001603CF">
        <w:rPr>
          <w:lang w:val="en-US"/>
        </w:rPr>
        <w:t xml:space="preserve"> (</w:t>
      </w:r>
      <w:r w:rsidR="00906722" w:rsidRPr="001603CF">
        <w:rPr>
          <w:b/>
          <w:lang w:val="en-US"/>
        </w:rPr>
        <w:t>CEES</w:t>
      </w:r>
      <w:r w:rsidR="00906722" w:rsidRPr="001603CF">
        <w:rPr>
          <w:lang w:val="en-US"/>
        </w:rPr>
        <w:t>)</w:t>
      </w:r>
      <w:r w:rsidR="00587876" w:rsidRPr="001603CF">
        <w:rPr>
          <w:lang w:val="en-US"/>
        </w:rPr>
        <w:t xml:space="preserve">, </w:t>
      </w:r>
      <w:r w:rsidR="00DC184B" w:rsidRPr="001603CF">
        <w:rPr>
          <w:lang w:val="en-US"/>
        </w:rPr>
        <w:t xml:space="preserve">CFDT descriptors emphasize </w:t>
      </w:r>
      <w:r w:rsidR="00DC184B" w:rsidRPr="001603CF">
        <w:rPr>
          <w:b/>
          <w:lang w:val="en-US"/>
        </w:rPr>
        <w:t xml:space="preserve">CEES </w:t>
      </w:r>
      <w:r w:rsidR="00DC184B" w:rsidRPr="001603CF">
        <w:rPr>
          <w:lang w:val="en-US"/>
        </w:rPr>
        <w:t xml:space="preserve">as the best </w:t>
      </w:r>
      <w:r w:rsidR="00ED1D7C" w:rsidRPr="001603CF">
        <w:rPr>
          <w:lang w:val="en-US"/>
        </w:rPr>
        <w:t>choice</w:t>
      </w:r>
      <w:r w:rsidR="00DC184B" w:rsidRPr="001603CF">
        <w:rPr>
          <w:lang w:val="en-US"/>
        </w:rPr>
        <w:t xml:space="preserve">. </w:t>
      </w:r>
      <w:r w:rsidR="007F0C6F" w:rsidRPr="001603CF">
        <w:rPr>
          <w:lang w:val="en-US"/>
        </w:rPr>
        <w:t xml:space="preserve">We have also demonstrated how </w:t>
      </w:r>
      <w:r w:rsidR="007F0C6F" w:rsidRPr="001603CF">
        <w:rPr>
          <w:i/>
          <w:lang w:val="en-US"/>
        </w:rPr>
        <w:t>in silico</w:t>
      </w:r>
      <w:r w:rsidR="007F0C6F" w:rsidRPr="001603CF">
        <w:rPr>
          <w:lang w:val="en-US"/>
        </w:rPr>
        <w:t xml:space="preserve"> kinetics can be generated to frame experimental conditions</w:t>
      </w:r>
      <w:r w:rsidR="004F0DBC" w:rsidRPr="001603CF">
        <w:rPr>
          <w:lang w:val="en-US"/>
        </w:rPr>
        <w:t xml:space="preserve"> and to highlight the critical parameters to be taken into consideration for efficient and selective processes</w:t>
      </w:r>
      <w:r w:rsidR="007F0C6F" w:rsidRPr="001603CF">
        <w:rPr>
          <w:lang w:val="en-US"/>
        </w:rPr>
        <w:t>. The sulfoxidation of selected thioethers proceed</w:t>
      </w:r>
      <w:r w:rsidR="00EC00C7" w:rsidRPr="001603CF">
        <w:rPr>
          <w:lang w:val="en-US"/>
        </w:rPr>
        <w:t>s</w:t>
      </w:r>
      <w:r w:rsidR="007F0C6F" w:rsidRPr="001603CF">
        <w:rPr>
          <w:lang w:val="en-US"/>
        </w:rPr>
        <w:t xml:space="preserve"> with extremely fast kinetics </w:t>
      </w:r>
      <w:r w:rsidR="003D28B1" w:rsidRPr="001603CF">
        <w:rPr>
          <w:lang w:val="en-US"/>
        </w:rPr>
        <w:t xml:space="preserve">primarily </w:t>
      </w:r>
      <w:r w:rsidR="00ED1D7C" w:rsidRPr="001603CF">
        <w:rPr>
          <w:lang w:val="en-US"/>
        </w:rPr>
        <w:t xml:space="preserve">limited </w:t>
      </w:r>
      <w:r w:rsidR="003D28B1" w:rsidRPr="001603CF">
        <w:rPr>
          <w:lang w:val="en-US"/>
        </w:rPr>
        <w:t xml:space="preserve">by diffusion. Subsequently, we successfully transitioned to a compact and efficient </w:t>
      </w:r>
      <w:r w:rsidR="00983A42" w:rsidRPr="001603CF">
        <w:rPr>
          <w:lang w:val="en-US"/>
        </w:rPr>
        <w:t xml:space="preserve">flow </w:t>
      </w:r>
      <w:r w:rsidR="003D28B1" w:rsidRPr="001603CF">
        <w:rPr>
          <w:lang w:val="en-US"/>
        </w:rPr>
        <w:t>setup that guarantees optimal mixing, short residence times,</w:t>
      </w:r>
      <w:r w:rsidR="00696F97" w:rsidRPr="001603CF">
        <w:rPr>
          <w:lang w:val="en-US"/>
        </w:rPr>
        <w:t xml:space="preserve"> in-line quench</w:t>
      </w:r>
      <w:r w:rsidR="003D28B1" w:rsidRPr="001603CF">
        <w:rPr>
          <w:lang w:val="en-US"/>
        </w:rPr>
        <w:t xml:space="preserve"> and superior selectivity.</w:t>
      </w:r>
      <w:r w:rsidR="00696F97" w:rsidRPr="001603CF">
        <w:rPr>
          <w:lang w:val="en-US"/>
        </w:rPr>
        <w:t xml:space="preserve"> After experimental validation of the computational study, the most promising simulant </w:t>
      </w:r>
      <w:r w:rsidR="00696F97" w:rsidRPr="001603CF">
        <w:rPr>
          <w:b/>
          <w:lang w:val="en-US"/>
        </w:rPr>
        <w:t xml:space="preserve">CEES </w:t>
      </w:r>
      <w:r w:rsidR="00696F97" w:rsidRPr="001603CF">
        <w:rPr>
          <w:lang w:val="en-US"/>
        </w:rPr>
        <w:t>could be fully converted to the non-toxic sulfoxide species</w:t>
      </w:r>
      <w:r w:rsidR="00AF6549" w:rsidRPr="001603CF">
        <w:rPr>
          <w:lang w:val="en-US"/>
        </w:rPr>
        <w:t xml:space="preserve"> (&gt;99% selectivity)</w:t>
      </w:r>
      <w:r w:rsidR="00696F97" w:rsidRPr="001603CF">
        <w:rPr>
          <w:lang w:val="en-US"/>
        </w:rPr>
        <w:t xml:space="preserve">. </w:t>
      </w:r>
      <w:r w:rsidR="007F0C6F" w:rsidRPr="001603CF">
        <w:rPr>
          <w:lang w:val="en-US"/>
        </w:rPr>
        <w:t>Th</w:t>
      </w:r>
      <w:r w:rsidR="000D0FF5" w:rsidRPr="001603CF">
        <w:rPr>
          <w:lang w:val="en-US"/>
        </w:rPr>
        <w:t>e</w:t>
      </w:r>
      <w:r w:rsidR="007F0C6F" w:rsidRPr="001603CF">
        <w:rPr>
          <w:lang w:val="en-US"/>
        </w:rPr>
        <w:t xml:space="preserve"> protocol herein described appears as one of the safest, most sustainable and compact oxidative neutralization process</w:t>
      </w:r>
      <w:r w:rsidR="00BE0E02" w:rsidRPr="001603CF">
        <w:rPr>
          <w:lang w:val="en-US"/>
        </w:rPr>
        <w:t>es</w:t>
      </w:r>
      <w:r w:rsidR="007F0C6F" w:rsidRPr="001603CF">
        <w:rPr>
          <w:lang w:val="en-US"/>
        </w:rPr>
        <w:t xml:space="preserve">: it uses mild conditions (10 °C, </w:t>
      </w:r>
      <w:r w:rsidR="00CF1DCB" w:rsidRPr="001603CF">
        <w:rPr>
          <w:lang w:val="en-US"/>
        </w:rPr>
        <w:t>10</w:t>
      </w:r>
      <w:r w:rsidR="007F0C6F" w:rsidRPr="001603CF">
        <w:rPr>
          <w:lang w:val="en-US"/>
        </w:rPr>
        <w:t xml:space="preserve"> </w:t>
      </w:r>
      <w:proofErr w:type="gramStart"/>
      <w:r w:rsidR="007F0C6F" w:rsidRPr="001603CF">
        <w:rPr>
          <w:lang w:val="en-US"/>
        </w:rPr>
        <w:t>bar</w:t>
      </w:r>
      <w:proofErr w:type="gramEnd"/>
      <w:r w:rsidR="007F0C6F" w:rsidRPr="001603CF">
        <w:rPr>
          <w:lang w:val="en-US"/>
        </w:rPr>
        <w:t xml:space="preserve"> of counterpressure), relies on EtOH/water as a solvent, and requires neither an additive nor a catalyst. </w:t>
      </w:r>
      <w:r w:rsidR="003D28B1" w:rsidRPr="001603CF">
        <w:rPr>
          <w:lang w:val="en-US"/>
        </w:rPr>
        <w:t>This approach can be seamlessly integrated with widely accessible industrial ozone generators</w:t>
      </w:r>
      <w:r w:rsidR="007F0C6F" w:rsidRPr="001603CF">
        <w:rPr>
          <w:lang w:val="en-US"/>
        </w:rPr>
        <w:t xml:space="preserve">. </w:t>
      </w:r>
      <w:bookmarkStart w:id="6" w:name="_Hlk147492505"/>
      <w:r w:rsidR="00A50AF9" w:rsidRPr="001603CF">
        <w:rPr>
          <w:lang w:val="en-US"/>
        </w:rPr>
        <w:t xml:space="preserve">This process is amenable to much larger scales based on the unique features of Corning AFR mesofluidic systems, ensuring seamless scalability </w:t>
      </w:r>
      <w:r w:rsidR="00797E70" w:rsidRPr="001603CF">
        <w:rPr>
          <w:lang w:val="en-US"/>
        </w:rPr>
        <w:t xml:space="preserve">up </w:t>
      </w:r>
      <w:r w:rsidR="00A50AF9" w:rsidRPr="001603CF">
        <w:rPr>
          <w:lang w:val="en-US"/>
        </w:rPr>
        <w:t>to several liters per minute of processed material with larger mesofluidic reactors.</w:t>
      </w:r>
      <w:bookmarkEnd w:id="6"/>
      <w:r w:rsidR="00864EF1" w:rsidRPr="001603CF">
        <w:rPr>
          <w:lang w:val="en-US"/>
        </w:rPr>
        <w:fldChar w:fldCharType="begin" w:fldLock="1"/>
      </w:r>
      <w:r w:rsidR="00864EF1" w:rsidRPr="001603CF">
        <w:rPr>
          <w:lang w:val="en-US"/>
        </w:rPr>
        <w:instrText>ADDIN CSL_CITATION {"citationItems":[{"id":"ITEM-1","itemData":{"DOI":"10.1039/d1gc04666g","ISSN":"14639270","abstract":"Modafinil is an anti-narcoleptic drug used to treat excessive daytime sleepiness associated with sleep apnea and shift-work disorder. It is unique in its lack of significant side-effects or addiction-inducing properties and is currently utilized as a superior alternative to other options (e.g., amphetamines). Since the original report of its synthesis in 1976, nearly 20 manuscripts and patents have been published that propose alternative synthetic routes that limit the formation of problematic impurities, reduce the number of steps, or improve the green metrics of the process. Herein we show how the synthesis of modafinil can be improved in a continuous flow setup to deliver modafinil in 77% yield over three steps. No intermediate purification steps are required to obtain an output stream with modafinil in over 80% purity from which USP-grade modafinil can be isolated by precipitation, filtration and washing with solvent. The synthesis, performed entirely in class 3 FDA solvents, has a lower E-factor than current industrial processes and results entirely in innocuous side products (NaCl, NaHSO4). Finally, the process can be conducted in a single concatenated flow setup and is the first step in our efforts towards constructing an end-to-end pharmaceutical manufacturing system.","author":[{"dropping-particle":"V.","family":"Silva-Brenes","given":"Diana","non-dropping-particle":"","parse-names":false,"suffix":""},{"dropping-particle":"","family":"Emmanuel","given":"Noémie","non-dropping-particle":"","parse-names":false,"suffix":""},{"dropping-particle":"","family":"López Mejías","given":"Vilmalí","non-dropping-particle":"","parse-names":false,"suffix":""},{"dropping-particle":"","family":"Duconge","given":"Jorge","non-dropping-particle":"","parse-names":false,"suffix":""},{"dropping-particle":"","family":"Vlaar","given":"Cornelis","non-dropping-particle":"","parse-names":false,"suffix":""},{"dropping-particle":"","family":"Stelzer","given":"Torsten","non-dropping-particle":"","parse-names":false,"suffix":""},{"dropping-particle":"","family":"Monbaliu","given":"Jean Christophe M.","non-dropping-particle":"","parse-names":false,"suffix":""}],"container-title":"Green Chemistry","id":"ITEM-1","issue":"5","issued":{"date-parts":[["2022"]]},"page":"2094-2103","publisher":"Royal Society of Chemistry","title":"Out-smarting smart drug modafinil through flow chemistry†","type":"article-journal","volume":"24"},"uris":["http://www.mendeley.com/documents/?uuid=02083a14-40dc-4a39-9301-86750fb6be04"]},{"id":"ITEM-2","itemData":{"DOI":"10.1039/d0gc04395h","ISSN":"14639270","abstract":"The unique reactivity profile of α-chloronitroso derivatives is expressed to its fullest potential through the development of an integrated, modular and scalable continuous flow process for the electrophilic α-aminohydroxylation of various enolizable ketones. Flow conditions contribute to mitigating the high reactivity and toxicity of α-chloronitroso derivatives and provide an efficient, versatile and safe protocol for the α-aminohydroxylation of ketones with a minimal footprint. Fundamental aspects of the α-aminohydroxylation process were computed by DFT and further supported the experimental observations, hence leading to the unprecedented α-chloronitroso-based α-aminohydroxylation of primary, secondary and tertiary substrates. Recycling of the carbon backbone of the α-chloronitroso derivatives provides a high atom economy for the preparation of value-added molecules. This work showcases α-chloronitroso derivatives as economic and efficient vehicles for transferring electrophilic synthons of hydroxylamine toward nucleophilic enolates. A representative range of precursors and analogs of pharmaceutical active ingredients, including WHO essentials and drugs in shortage (such as epinephrine and ketamine), are prepared within minutes according to a fully concatenated process. The process features sequential modules with distinct unit operations including chemical transformations and multiple in-line extractions. The process relies on an upstream chemical Generator that manages the preparation of α-chloronitroso derivatives and that feeds downstream a series of α-aminohydroxylation modules. The setup is amenable to the addition of libraries of compounds for feeding upstream the process of discovery in medicinal chemistry and is transposable to pilot scale. Several layers of in-line analytical procedures are featured to improve process control and safety.","author":[{"dropping-particle":"","family":"Kassin","given":"Victor Emmanuel H.","non-dropping-particle":"","parse-names":false,"suffix":""},{"dropping-particle":"","family":"Morodo","given":"Romain","non-dropping-particle":"","parse-names":false,"suffix":""},{"dropping-particle":"","family":"Toupy","given":"Thomas","non-dropping-particle":"","parse-names":false,"suffix":""},{"dropping-particle":"","family":"Jacquemin","given":"Isaline","non-dropping-particle":"","parse-names":false,"suffix":""},{"dropping-particle":"","family":"Hecke","given":"Kristof","non-dropping-particle":"Van","parse-names":false,"suffix":""},{"dropping-particle":"","family":"Robiette","given":"Raphaël","non-dropping-particle":"","parse-names":false,"suffix":""},{"dropping-particle":"","family":"Monbaliu","given":"Jean Christophe M.","non-dropping-particle":"","parse-names":false,"suffix":""}],"container-title":"Green Chemistry","id":"ITEM-2","issue":"6","issued":{"date-parts":[["2021"]]},"page":"2336-2351","publisher":"Royal Society of Chemistry","title":"A modular, low footprint and scalable flow platform for the expedient α-aminohydroxylation of enolizable ketones","type":"article-journal","volume":"23"},"uris":["http://www.mendeley.com/documents/?uuid=58063850-6860-4612-8e61-4a0551df567c"]},{"id":"ITEM-3","itemData":{"DOI":"10.1039/d0gc01142h","ISSN":"1463-9262","abstract":" Intensified chemical neutralization of a chemical warfare agent simulant CEES with air and light under continuous flow conditions.  A low footprint, mobile, robust and frugal chemical neutralization technology is reported for the oxidative neutralization of a mustard gas simulant. It relies on the inherent properties of a highly engineered continuous flow setup and carefully optimized and simple, yet robust, experimental conditions. The neutralization protocol uses only non-toxic, widely available and cheap chemicals. The continuous flow setup integrates a singlet oxygen generator and exploits its oxidative power to neutralize 2-chloroethyl ethyl sulfide ( CEES ), the most common thioether mustard gas simulant. The flow reactor can be connected to either pressurized oxygen or air and handles CEES as a 1 M solution in EtOH containing a trace amount (0.06 mol%) of a non-toxic and widely available photosensitizer (Methylene Blue). Upon irradiation with visible light (orange or white light), total and highly selective neutralization towards the corresponding non-toxic sulfoxide (1-chloro-2-(ethylsulfinyl)ethane, CEESO ) is obtained with reactor effluents containing less than 1% of the corresponding potentially toxic sulfone (1-chloro-2-(ethylsulfonyl)ethane, CEESO2 ). With a low footprint ( L × W × H 94 × 42 × 40 cm), this neutralization technology can be equipped on a vehicle for on-site interventions, localized at a neutralization facility or both. This experimental work is also supported with the computational rationalization of the reactivity of CEES towards singlet oxygen. ","author":[{"dropping-particle":"","family":"Emmanuel","given":"Noémie","non-dropping-particle":"","parse-names":false,"suffix":""},{"dropping-particle":"","family":"Bianchi","given":"Pauline","non-dropping-particle":"","parse-names":false,"suffix":""},{"dropping-particle":"","family":"Legros","given":"Julien","non-dropping-particle":"","parse-names":false,"suffix":""},{"dropping-particle":"","family":"Monbaliu","given":"Jean-Christophe M.","non-dropping-particle":"","parse-names":false,"suffix":""}],"container-title":"Green Chemistry","id":"ITEM-3","issued":{"date-parts":[["2020"]]},"page":"4105-4115","publisher":"Royal Society of Chemistry","title":"A safe and compact flow platform for the neutralization of a mustard gas simulant with air and light","type":"article-journal","volume":"22"},"uris":["http://www.mendeley.com/documents/?uuid=29a3104b-a9d6-4684-978c-391064f597d2"]},{"id":"ITEM-4","itemData":{"DOI":"10.1039/c9gc01819k","ISSN":"14639270","abstract":"A robust continuous flow procedure for the transformation of bio-based glycerol into high value-added oxiranes (epichlorohydrin and glycidol) is presented. The flow procedure features a central hydrochlorination/dechlorination sequence and provides economically and environmentally favorable conditions involving an organocatalyst and aqueous solutions of hydrochloric acid and sodium hydroxide. Pimelic acid (10 mol%) shows an exceptional catalytic activity (&gt;99% conversion of glycerol, a high selectivity toward 1,3-dichloro-2-propanol and 81% cumulated yield toward intermediate chlorohydrins) for the hydrochlorination of glycerol (140 °C) with 36 wt% aqueous HCl. These conditions are validated on a sample of crude bio-based glycerol. The dechlorination step is effective (quantitative conversion based on glycerol) with concentrated aqueous sodium hydroxide (20 °C) and can be directly concatenated to the hydrochlorination step, hence providing a ca. 2:3 separable mixture of glycidol and epichlorohydrin (74% cumulated yield). An in-line membrane separation unit is included downstream, providing usable streams of epichlorohydrin (in MTBE, with an optional concentrator) and glycidol (in water). The scalability of the dechlorination step is then assessed in a commercial pilot-scale continuous flow reactor. Next, bio-based epichlorohydrin is further utilized for the continuous flow preparation of β-amino alcohol active pharmaceutical ingredients including propranolol (hypertension, WHO essential), naftopidil (prostatic hyperplasia) and alprenolol (angina pectoris) within a concatenable two-step procedure using a FDA class 3 solvent (DMSO). This work provides the first example of direct upgrading of bio-based glycerol into high value-added pharmaceuticals under continuous flow conditions.","author":[{"dropping-particle":"","family":"Morodo","given":"Romain","non-dropping-particle":"","parse-names":false,"suffix":""},{"dropping-particle":"","family":"Gérardy","given":"Romaric","non-dropping-particle":"","parse-names":false,"suffix":""},{"dropping-particle":"","family":"Petit","given":"Guillaume","non-dropping-particle":"","parse-names":false,"suffix":""},{"dropping-particle":"","family":"Monbaliu","given":"Jean Christophe M.","non-dropping-particle":"","parse-names":false,"suffix":""}],"container-title":"Green Chemistry","id":"ITEM-4","issue":"16","issued":{"date-parts":[["2019"]]},"page":"4422-4433","publisher":"Royal Society of Chemistry","title":"Continuous flow upgrading of glycerol toward oxiranes and active pharmaceutical ingredients thereof","type":"article-journal","volume":"21"},"uris":["http://www.mendeley.com/documents/?uuid=06faf3c5-c907-477d-a651-6cfe0207d67c"]},{"id":"ITEM-5","itemData":{"DOI":"10.1021/acs.oprd.7b00212","author":[{"dropping-particle":"","family":"Emmanuel","given":"Noémie","non-dropping-particle":"","parse-names":false,"suffix":""},{"dropping-particle":"","family":"Mendoza","given":"Carlos","non-dropping-particle":"","parse-names":false,"suffix":""},{"dropping-particle":"","family":"Winter","given":"Marc","non-dropping-particle":"","parse-names":false,"suffix":""},{"dropping-particle":"","family":"Horn","given":"Clemens R","non-dropping-particle":"","parse-names":false,"suffix":""},{"dropping-particle":"","family":"Vizza","given":"Alessandra","non-dropping-particle":"","parse-names":false,"suffix":""},{"dropping-particle":"","family":"Dreesen","given":"Laurent","non-dropping-particle":"","parse-names":false,"suffix":""},{"dropping-particle":"","family":"Monbaliu","given":"Jean-christophe M","non-dropping-particle":"","parse-names":false,"suffix":""}],"container-title":"Org. Process Res. Dev.","id":"ITEM-5","issued":{"date-parts":[["2017"]]},"page":"1435-1438","title":"Scalable Photocatalytic Oxidation of Methionine under Continuous- Flow Conditions","type":"article-journal","volume":"21"},"uris":["http://www.mendeley.com/documents/?uuid=0538da01-103f-4fad-be98-152e80b9f87a"]}],"mendeley":{"formattedCitation":"&lt;sup&gt;19,45–48&lt;/sup&gt;","plainTextFormattedCitation":"19,45–48","previouslyFormattedCitation":"&lt;sup&gt;19,45–47&lt;/sup&gt;"},"properties":{"noteIndex":0},"schema":"https://github.com/citation-style-language/schema/raw/master/csl-citation.json"}</w:instrText>
      </w:r>
      <w:r w:rsidR="00864EF1" w:rsidRPr="001603CF">
        <w:rPr>
          <w:lang w:val="en-US"/>
        </w:rPr>
        <w:fldChar w:fldCharType="separate"/>
      </w:r>
      <w:r w:rsidR="00864EF1" w:rsidRPr="001603CF">
        <w:rPr>
          <w:noProof/>
          <w:vertAlign w:val="superscript"/>
          <w:lang w:val="en-US"/>
        </w:rPr>
        <w:t>19,45–48</w:t>
      </w:r>
      <w:r w:rsidR="00864EF1" w:rsidRPr="001603CF">
        <w:rPr>
          <w:lang w:val="en-US"/>
        </w:rPr>
        <w:fldChar w:fldCharType="end"/>
      </w:r>
      <w:r w:rsidR="00864EF1" w:rsidRPr="001603CF">
        <w:rPr>
          <w:lang w:val="en-US"/>
        </w:rPr>
        <w:t xml:space="preserve"> </w:t>
      </w:r>
      <w:r w:rsidR="00215B41" w:rsidRPr="001603CF">
        <w:rPr>
          <w:lang w:val="en-US"/>
        </w:rPr>
        <w:t>Finally, we would like to highlight t</w:t>
      </w:r>
      <w:r w:rsidR="007F0C6F" w:rsidRPr="001603CF">
        <w:rPr>
          <w:lang w:val="en-US"/>
        </w:rPr>
        <w:t xml:space="preserve">he convergence between computations and experiments </w:t>
      </w:r>
      <w:r w:rsidR="00215B41" w:rsidRPr="001603CF">
        <w:rPr>
          <w:lang w:val="en-US"/>
        </w:rPr>
        <w:t>a</w:t>
      </w:r>
      <w:r w:rsidR="007F0C6F" w:rsidRPr="001603CF">
        <w:rPr>
          <w:lang w:val="en-US"/>
        </w:rPr>
        <w:t xml:space="preserve">s a promising tool for accessing </w:t>
      </w:r>
      <w:r w:rsidR="008B1BF3" w:rsidRPr="001603CF">
        <w:rPr>
          <w:lang w:val="en-US"/>
        </w:rPr>
        <w:t>meticulously designed protocols</w:t>
      </w:r>
      <w:r w:rsidR="00CF1DCB" w:rsidRPr="001603CF">
        <w:rPr>
          <w:lang w:val="en-US"/>
        </w:rPr>
        <w:t xml:space="preserve"> and</w:t>
      </w:r>
      <w:r w:rsidR="008B1BF3" w:rsidRPr="001603CF">
        <w:rPr>
          <w:lang w:val="en-US"/>
        </w:rPr>
        <w:t xml:space="preserve"> substantially reducing contact with highly toxic compounds</w:t>
      </w:r>
      <w:r w:rsidR="00696F97" w:rsidRPr="001603CF">
        <w:rPr>
          <w:lang w:val="en-US"/>
        </w:rPr>
        <w:t xml:space="preserve"> such as </w:t>
      </w:r>
      <w:r w:rsidR="00696F97" w:rsidRPr="001603CF">
        <w:rPr>
          <w:b/>
          <w:lang w:val="en-US"/>
        </w:rPr>
        <w:t>CEES</w:t>
      </w:r>
      <w:r w:rsidR="008B1BF3" w:rsidRPr="001603CF">
        <w:rPr>
          <w:lang w:val="en-US"/>
        </w:rPr>
        <w:t>. These findings hold substantial promise for their extension to the neutralization of sulfur mustard</w:t>
      </w:r>
      <w:r w:rsidR="00CF1DCB" w:rsidRPr="001603CF">
        <w:rPr>
          <w:lang w:val="en-US"/>
        </w:rPr>
        <w:t xml:space="preserve"> </w:t>
      </w:r>
      <w:r w:rsidR="00CF1DCB" w:rsidRPr="001603CF">
        <w:rPr>
          <w:b/>
          <w:lang w:val="en-US"/>
        </w:rPr>
        <w:t>HD</w:t>
      </w:r>
      <w:r w:rsidR="008B1BF3" w:rsidRPr="001603CF">
        <w:rPr>
          <w:lang w:val="en-US"/>
        </w:rPr>
        <w:t>.</w:t>
      </w:r>
    </w:p>
    <w:p w14:paraId="61B9B7F7" w14:textId="77777777" w:rsidR="000E0F2C" w:rsidRPr="001603CF" w:rsidRDefault="000E0F2C" w:rsidP="00FF53DC">
      <w:pPr>
        <w:pStyle w:val="RSCB04AHeadingSection"/>
        <w:rPr>
          <w:lang w:val="en-US"/>
        </w:rPr>
      </w:pPr>
      <w:r w:rsidRPr="001603CF">
        <w:rPr>
          <w:lang w:val="en-US"/>
        </w:rPr>
        <w:t>Author Contributions</w:t>
      </w:r>
    </w:p>
    <w:p w14:paraId="56CE6638" w14:textId="65EED9B1" w:rsidR="008B1BF3" w:rsidRPr="001603CF" w:rsidRDefault="000E0F2C">
      <w:pPr>
        <w:pStyle w:val="RSCB02ArticleText"/>
        <w:rPr>
          <w:lang w:val="en-US"/>
        </w:rPr>
      </w:pPr>
      <w:r w:rsidRPr="001603CF">
        <w:rPr>
          <w:lang w:val="en-US"/>
        </w:rPr>
        <w:t>MB performed the experiments</w:t>
      </w:r>
      <w:r w:rsidR="00F33E1D" w:rsidRPr="001603CF">
        <w:rPr>
          <w:lang w:val="en-US"/>
        </w:rPr>
        <w:t xml:space="preserve">. </w:t>
      </w:r>
      <w:r w:rsidRPr="001603CF">
        <w:rPr>
          <w:lang w:val="en-US"/>
        </w:rPr>
        <w:t>PB</w:t>
      </w:r>
      <w:r w:rsidR="00AB7C9C" w:rsidRPr="001603CF">
        <w:rPr>
          <w:lang w:val="en-US"/>
        </w:rPr>
        <w:t xml:space="preserve"> designed and</w:t>
      </w:r>
      <w:r w:rsidRPr="001603CF">
        <w:rPr>
          <w:lang w:val="en-US"/>
        </w:rPr>
        <w:t xml:space="preserve"> performed the computation</w:t>
      </w:r>
      <w:r w:rsidR="00AB7C9C" w:rsidRPr="001603CF">
        <w:rPr>
          <w:lang w:val="en-US"/>
        </w:rPr>
        <w:t>al</w:t>
      </w:r>
      <w:r w:rsidRPr="001603CF">
        <w:rPr>
          <w:lang w:val="en-US"/>
        </w:rPr>
        <w:t xml:space="preserve"> </w:t>
      </w:r>
      <w:r w:rsidR="00F33E1D" w:rsidRPr="001603CF">
        <w:rPr>
          <w:lang w:val="en-US"/>
        </w:rPr>
        <w:t>study, analy</w:t>
      </w:r>
      <w:r w:rsidR="00F8688A" w:rsidRPr="001603CF">
        <w:rPr>
          <w:lang w:val="en-US"/>
        </w:rPr>
        <w:t>z</w:t>
      </w:r>
      <w:r w:rsidR="00F33E1D" w:rsidRPr="001603CF">
        <w:rPr>
          <w:lang w:val="en-US"/>
        </w:rPr>
        <w:t>ed the results</w:t>
      </w:r>
      <w:r w:rsidR="000D0FF5" w:rsidRPr="001603CF">
        <w:rPr>
          <w:lang w:val="en-US"/>
        </w:rPr>
        <w:t>,</w:t>
      </w:r>
      <w:r w:rsidR="00F33E1D" w:rsidRPr="001603CF">
        <w:rPr>
          <w:lang w:val="en-US"/>
        </w:rPr>
        <w:t xml:space="preserve"> and prepared the corresponding section in the manuscript and Supporting Information. D</w:t>
      </w:r>
      <w:r w:rsidR="00960A29" w:rsidRPr="001603CF">
        <w:rPr>
          <w:lang w:val="en-US"/>
        </w:rPr>
        <w:t xml:space="preserve">VSB supervised the experiments, wrote the </w:t>
      </w:r>
      <w:r w:rsidR="002E4501" w:rsidRPr="001603CF">
        <w:rPr>
          <w:lang w:val="en-US"/>
        </w:rPr>
        <w:t>experimental sections of the Supporting Information</w:t>
      </w:r>
      <w:r w:rsidR="000D0FF5" w:rsidRPr="001603CF">
        <w:rPr>
          <w:lang w:val="en-US"/>
        </w:rPr>
        <w:t>,</w:t>
      </w:r>
      <w:r w:rsidR="002E4501" w:rsidRPr="001603CF">
        <w:rPr>
          <w:lang w:val="en-US"/>
        </w:rPr>
        <w:t xml:space="preserve"> and proofread the manuscript. </w:t>
      </w:r>
      <w:r w:rsidR="00E349F1" w:rsidRPr="001603CF">
        <w:rPr>
          <w:lang w:val="en-US"/>
        </w:rPr>
        <w:t>DC, MW and PMCR commissioned the mesofluidic reactor setup and the ozone generator</w:t>
      </w:r>
      <w:r w:rsidR="00AB7C9C" w:rsidRPr="001603CF">
        <w:rPr>
          <w:lang w:val="en-US"/>
        </w:rPr>
        <w:t xml:space="preserve">, </w:t>
      </w:r>
      <w:r w:rsidR="000D0FF5" w:rsidRPr="001603CF">
        <w:rPr>
          <w:lang w:val="en-US"/>
        </w:rPr>
        <w:t xml:space="preserve">provided </w:t>
      </w:r>
      <w:r w:rsidR="00E349F1" w:rsidRPr="001603CF">
        <w:rPr>
          <w:lang w:val="en-US"/>
        </w:rPr>
        <w:t>technical assis</w:t>
      </w:r>
      <w:r w:rsidR="000D0FF5" w:rsidRPr="001603CF">
        <w:rPr>
          <w:lang w:val="en-US"/>
        </w:rPr>
        <w:t>tance</w:t>
      </w:r>
      <w:r w:rsidR="00E349F1" w:rsidRPr="001603CF">
        <w:rPr>
          <w:lang w:val="en-US"/>
        </w:rPr>
        <w:t xml:space="preserve"> for the experimental optimization</w:t>
      </w:r>
      <w:r w:rsidR="000D0FF5" w:rsidRPr="001603CF">
        <w:rPr>
          <w:lang w:val="en-US"/>
        </w:rPr>
        <w:t>,</w:t>
      </w:r>
      <w:r w:rsidR="00AB7C9C" w:rsidRPr="001603CF">
        <w:rPr>
          <w:lang w:val="en-US"/>
        </w:rPr>
        <w:t xml:space="preserve"> and proofread the manuscript. JL </w:t>
      </w:r>
      <w:r w:rsidR="00FC5EE8" w:rsidRPr="001603CF">
        <w:rPr>
          <w:lang w:val="en-US"/>
        </w:rPr>
        <w:t xml:space="preserve">and PYR </w:t>
      </w:r>
      <w:r w:rsidR="00AB7C9C" w:rsidRPr="001603CF">
        <w:rPr>
          <w:lang w:val="en-US"/>
        </w:rPr>
        <w:t xml:space="preserve">designed the experiments and corrected the manuscript. </w:t>
      </w:r>
      <w:r w:rsidRPr="001603CF">
        <w:rPr>
          <w:lang w:val="en-US"/>
        </w:rPr>
        <w:t xml:space="preserve">JCMM </w:t>
      </w:r>
      <w:r w:rsidR="00DB77A4" w:rsidRPr="001603CF">
        <w:rPr>
          <w:lang w:val="en-US"/>
        </w:rPr>
        <w:t xml:space="preserve">designed the experiments, </w:t>
      </w:r>
      <w:r w:rsidRPr="001603CF">
        <w:rPr>
          <w:lang w:val="en-US"/>
        </w:rPr>
        <w:t>supervised the research</w:t>
      </w:r>
      <w:r w:rsidR="000D0FF5" w:rsidRPr="001603CF">
        <w:rPr>
          <w:lang w:val="en-US"/>
        </w:rPr>
        <w:t>,</w:t>
      </w:r>
      <w:r w:rsidR="00F33E1D" w:rsidRPr="001603CF">
        <w:rPr>
          <w:lang w:val="en-US"/>
        </w:rPr>
        <w:t xml:space="preserve"> and wrote the manuscript</w:t>
      </w:r>
      <w:r w:rsidR="00B42740" w:rsidRPr="001603CF">
        <w:rPr>
          <w:lang w:val="en-US"/>
        </w:rPr>
        <w:t>.</w:t>
      </w:r>
      <w:r w:rsidRPr="001603CF">
        <w:rPr>
          <w:lang w:val="en-US"/>
        </w:rPr>
        <w:t xml:space="preserve"> </w:t>
      </w:r>
    </w:p>
    <w:p w14:paraId="177CDB0E" w14:textId="6B5048A1" w:rsidR="00C9557D" w:rsidRPr="001603CF" w:rsidRDefault="00AB7C9C">
      <w:pPr>
        <w:pStyle w:val="RSCB04AHeadingSection"/>
        <w:rPr>
          <w:lang w:val="en-US"/>
        </w:rPr>
      </w:pPr>
      <w:r w:rsidRPr="001603CF">
        <w:rPr>
          <w:lang w:val="en-US"/>
        </w:rPr>
        <w:t>C</w:t>
      </w:r>
      <w:r w:rsidR="00C9557D" w:rsidRPr="001603CF">
        <w:rPr>
          <w:lang w:val="en-US"/>
        </w:rPr>
        <w:t>onflict</w:t>
      </w:r>
      <w:r w:rsidR="00F05C18" w:rsidRPr="001603CF">
        <w:rPr>
          <w:lang w:val="en-US"/>
        </w:rPr>
        <w:t>s</w:t>
      </w:r>
      <w:r w:rsidR="00C9557D" w:rsidRPr="001603CF">
        <w:rPr>
          <w:lang w:val="en-US"/>
        </w:rPr>
        <w:t xml:space="preserve"> of interest</w:t>
      </w:r>
    </w:p>
    <w:p w14:paraId="4C2476B3" w14:textId="77777777" w:rsidR="005210DA" w:rsidRPr="001603CF" w:rsidRDefault="005210DA">
      <w:pPr>
        <w:keepNext/>
        <w:spacing w:after="200" w:line="276" w:lineRule="auto"/>
        <w:rPr>
          <w:rFonts w:asciiTheme="minorHAnsi" w:eastAsiaTheme="minorHAnsi" w:hAnsiTheme="minorHAnsi" w:cstheme="minorBidi"/>
          <w:sz w:val="22"/>
          <w:szCs w:val="22"/>
          <w:lang w:val="en-US" w:eastAsia="en-US"/>
        </w:rPr>
      </w:pPr>
      <w:r w:rsidRPr="001603CF">
        <w:rPr>
          <w:rFonts w:asciiTheme="minorHAnsi" w:eastAsiaTheme="minorHAnsi" w:hAnsiTheme="minorHAnsi"/>
          <w:w w:val="108"/>
          <w:sz w:val="18"/>
          <w:szCs w:val="18"/>
          <w:lang w:val="en-US" w:eastAsia="en-US"/>
        </w:rPr>
        <w:t>There are no conflicts to declare.</w:t>
      </w:r>
      <w:r w:rsidRPr="001603CF">
        <w:rPr>
          <w:rFonts w:asciiTheme="minorHAnsi" w:eastAsiaTheme="minorHAnsi" w:hAnsiTheme="minorHAnsi" w:cstheme="minorBidi"/>
          <w:sz w:val="18"/>
          <w:szCs w:val="18"/>
          <w:lang w:val="en-US" w:eastAsia="en-US"/>
        </w:rPr>
        <w:t xml:space="preserve"> </w:t>
      </w:r>
    </w:p>
    <w:p w14:paraId="2B7CDDB1" w14:textId="22A5C954" w:rsidR="00FA2DA2" w:rsidRPr="001603CF" w:rsidRDefault="00FA2DA2">
      <w:pPr>
        <w:pStyle w:val="RSCB04AHeadingSection"/>
        <w:rPr>
          <w:lang w:val="en-US"/>
        </w:rPr>
      </w:pPr>
      <w:r w:rsidRPr="001603CF">
        <w:rPr>
          <w:lang w:val="en-US"/>
        </w:rPr>
        <w:t>Acknowledgements</w:t>
      </w:r>
    </w:p>
    <w:p w14:paraId="38D11DD6" w14:textId="71D8365C" w:rsidR="005046C5" w:rsidRPr="001603CF" w:rsidRDefault="000915A8">
      <w:pPr>
        <w:pStyle w:val="RSCB02ArticleText"/>
        <w:rPr>
          <w:lang w:val="en-US"/>
        </w:rPr>
      </w:pPr>
      <w:r w:rsidRPr="001603CF">
        <w:rPr>
          <w:lang w:val="en-US"/>
        </w:rPr>
        <w:t xml:space="preserve">Computational resources were provided by the “Consortium des </w:t>
      </w:r>
      <w:proofErr w:type="spellStart"/>
      <w:r w:rsidRPr="001603CF">
        <w:rPr>
          <w:lang w:val="en-US"/>
        </w:rPr>
        <w:t>Équipements</w:t>
      </w:r>
      <w:proofErr w:type="spellEnd"/>
      <w:r w:rsidRPr="001603CF">
        <w:rPr>
          <w:lang w:val="en-US"/>
        </w:rPr>
        <w:t xml:space="preserve"> de </w:t>
      </w:r>
      <w:proofErr w:type="spellStart"/>
      <w:r w:rsidRPr="001603CF">
        <w:rPr>
          <w:lang w:val="en-US"/>
        </w:rPr>
        <w:t>Calcul</w:t>
      </w:r>
      <w:proofErr w:type="spellEnd"/>
      <w:r w:rsidRPr="001603CF">
        <w:rPr>
          <w:lang w:val="en-US"/>
        </w:rPr>
        <w:t xml:space="preserve"> </w:t>
      </w:r>
      <w:proofErr w:type="spellStart"/>
      <w:r w:rsidRPr="001603CF">
        <w:rPr>
          <w:lang w:val="en-US"/>
        </w:rPr>
        <w:t>Intensif</w:t>
      </w:r>
      <w:proofErr w:type="spellEnd"/>
      <w:r w:rsidRPr="001603CF">
        <w:rPr>
          <w:lang w:val="en-US"/>
        </w:rPr>
        <w:t xml:space="preserve">” (CÉCI), funded by the “Fonds de la Recherche Scientifique de </w:t>
      </w:r>
      <w:proofErr w:type="spellStart"/>
      <w:r w:rsidRPr="001603CF">
        <w:rPr>
          <w:lang w:val="en-US"/>
        </w:rPr>
        <w:t>Belgique</w:t>
      </w:r>
      <w:proofErr w:type="spellEnd"/>
      <w:r w:rsidRPr="001603CF">
        <w:rPr>
          <w:lang w:val="en-US"/>
        </w:rPr>
        <w:t>” (F.R.S.-FNRS) under Grant No. 2.5020.11a and by the Walloon Region. PB is a F.R.S.-FNRS PhD fellow (ASP PhD fellowship 1.A.054.21F). This work was supported by the University of Liège, the F.R.S.-FNRS (Incentive grant for scientific research MIS F453020F, JCMM)., and Corning SAS. The authors</w:t>
      </w:r>
      <w:r w:rsidR="005F4C74" w:rsidRPr="001603CF">
        <w:rPr>
          <w:iCs/>
          <w:lang w:val="en-US"/>
        </w:rPr>
        <w:t xml:space="preserve"> </w:t>
      </w:r>
      <w:r w:rsidR="0061458F" w:rsidRPr="001603CF">
        <w:rPr>
          <w:iCs/>
          <w:lang w:val="en-US"/>
        </w:rPr>
        <w:t xml:space="preserve">also </w:t>
      </w:r>
      <w:r w:rsidR="005F4C74" w:rsidRPr="001603CF">
        <w:rPr>
          <w:iCs/>
          <w:lang w:val="en-US"/>
        </w:rPr>
        <w:t xml:space="preserve">thank </w:t>
      </w:r>
      <w:proofErr w:type="spellStart"/>
      <w:r w:rsidR="00CD5E8B" w:rsidRPr="001603CF">
        <w:rPr>
          <w:iCs/>
          <w:lang w:val="en-US"/>
        </w:rPr>
        <w:t>Labex</w:t>
      </w:r>
      <w:proofErr w:type="spellEnd"/>
      <w:r w:rsidR="00CD5E8B" w:rsidRPr="001603CF">
        <w:rPr>
          <w:iCs/>
          <w:lang w:val="en-US"/>
        </w:rPr>
        <w:t xml:space="preserve"> </w:t>
      </w:r>
      <w:proofErr w:type="spellStart"/>
      <w:r w:rsidR="00CD5E8B" w:rsidRPr="001603CF">
        <w:rPr>
          <w:iCs/>
          <w:lang w:val="en-US"/>
        </w:rPr>
        <w:t>SynOrg</w:t>
      </w:r>
      <w:proofErr w:type="spellEnd"/>
      <w:r w:rsidR="00CD5E8B" w:rsidRPr="001603CF">
        <w:rPr>
          <w:iCs/>
          <w:lang w:val="en-US"/>
        </w:rPr>
        <w:t xml:space="preserve"> (ANR-11-LABX-0029), Carnot Institute I2C, the graduate school for research XL-Chem (ANR-18-EURE-0020 XL CHEM) and </w:t>
      </w:r>
      <w:r w:rsidR="005F4C74" w:rsidRPr="001603CF">
        <w:rPr>
          <w:iCs/>
          <w:lang w:val="en-US"/>
        </w:rPr>
        <w:t>the</w:t>
      </w:r>
      <w:r w:rsidR="00CD5E8B" w:rsidRPr="001603CF">
        <w:rPr>
          <w:iCs/>
          <w:lang w:val="en-US"/>
        </w:rPr>
        <w:t xml:space="preserve"> </w:t>
      </w:r>
      <w:proofErr w:type="spellStart"/>
      <w:r w:rsidR="00CD5E8B" w:rsidRPr="001603CF">
        <w:rPr>
          <w:iCs/>
          <w:lang w:val="en-US"/>
        </w:rPr>
        <w:t>Région</w:t>
      </w:r>
      <w:proofErr w:type="spellEnd"/>
      <w:r w:rsidR="00CD5E8B" w:rsidRPr="001603CF">
        <w:rPr>
          <w:iCs/>
          <w:lang w:val="en-US"/>
        </w:rPr>
        <w:t xml:space="preserve"> Normandie.</w:t>
      </w:r>
      <w:r w:rsidR="006E2D3C" w:rsidRPr="001603CF">
        <w:rPr>
          <w:iCs/>
          <w:lang w:val="en-US"/>
        </w:rPr>
        <w:t xml:space="preserve"> </w:t>
      </w:r>
      <w:r w:rsidR="006B6BE6" w:rsidRPr="001603CF">
        <w:rPr>
          <w:iCs/>
          <w:lang w:val="en-US"/>
        </w:rPr>
        <w:t xml:space="preserve">The authors acknowledge Audrey </w:t>
      </w:r>
      <w:proofErr w:type="spellStart"/>
      <w:r w:rsidR="006B6BE6" w:rsidRPr="001603CF">
        <w:rPr>
          <w:iCs/>
          <w:lang w:val="en-US"/>
        </w:rPr>
        <w:t>Courbo</w:t>
      </w:r>
      <w:r w:rsidR="003C60F3" w:rsidRPr="001603CF">
        <w:rPr>
          <w:iCs/>
          <w:lang w:val="en-US"/>
        </w:rPr>
        <w:t>in</w:t>
      </w:r>
      <w:proofErr w:type="spellEnd"/>
      <w:r w:rsidR="003C60F3" w:rsidRPr="001603CF">
        <w:rPr>
          <w:iCs/>
          <w:lang w:val="en-US"/>
        </w:rPr>
        <w:t xml:space="preserve"> (Corning SAS) for her technical support.</w:t>
      </w:r>
    </w:p>
    <w:p w14:paraId="1892B867" w14:textId="0E6D4245" w:rsidR="006C1082" w:rsidRPr="001603CF" w:rsidRDefault="00E61949">
      <w:pPr>
        <w:pStyle w:val="RSCB04AHeadingSection"/>
        <w:rPr>
          <w:lang w:val="en-US"/>
        </w:rPr>
      </w:pPr>
      <w:r w:rsidRPr="001603CF">
        <w:rPr>
          <w:lang w:val="en-US"/>
        </w:rPr>
        <w:t>Notes and references</w:t>
      </w:r>
    </w:p>
    <w:p w14:paraId="7699D198" w14:textId="79F1EAF0" w:rsidR="00864EF1" w:rsidRPr="001603CF" w:rsidRDefault="0065052C"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lang w:val="en-US"/>
        </w:rPr>
        <w:fldChar w:fldCharType="begin" w:fldLock="1"/>
      </w:r>
      <w:r w:rsidRPr="001603CF">
        <w:rPr>
          <w:lang w:val="en-US"/>
        </w:rPr>
        <w:instrText xml:space="preserve">ADDIN Mendeley Bibliography CSL_BIBLIOGRAPHY </w:instrText>
      </w:r>
      <w:r w:rsidRPr="001603CF">
        <w:rPr>
          <w:lang w:val="en-US"/>
        </w:rPr>
        <w:fldChar w:fldCharType="separate"/>
      </w:r>
      <w:r w:rsidR="00864EF1" w:rsidRPr="001603CF">
        <w:rPr>
          <w:rFonts w:ascii="Calibri" w:hAnsi="Calibri" w:cs="Calibri"/>
          <w:noProof/>
          <w:sz w:val="18"/>
          <w:lang w:val="en-US"/>
        </w:rPr>
        <w:t>1</w:t>
      </w:r>
      <w:r w:rsidR="00864EF1" w:rsidRPr="001603CF">
        <w:rPr>
          <w:rFonts w:ascii="Calibri" w:hAnsi="Calibri" w:cs="Calibri"/>
          <w:noProof/>
          <w:sz w:val="18"/>
          <w:lang w:val="en-US"/>
        </w:rPr>
        <w:tab/>
        <w:t xml:space="preserve">F. Guthrie, </w:t>
      </w:r>
      <w:r w:rsidR="00864EF1" w:rsidRPr="001603CF">
        <w:rPr>
          <w:rFonts w:ascii="Calibri" w:hAnsi="Calibri" w:cs="Calibri"/>
          <w:i/>
          <w:iCs/>
          <w:noProof/>
          <w:sz w:val="18"/>
          <w:lang w:val="en-US"/>
        </w:rPr>
        <w:t>Q. J. Chem. Soc. London</w:t>
      </w:r>
      <w:r w:rsidR="00864EF1" w:rsidRPr="001603CF">
        <w:rPr>
          <w:rFonts w:ascii="Calibri" w:hAnsi="Calibri" w:cs="Calibri"/>
          <w:noProof/>
          <w:sz w:val="18"/>
          <w:lang w:val="en-US"/>
        </w:rPr>
        <w:t xml:space="preserve">, 1860, </w:t>
      </w:r>
      <w:r w:rsidR="00864EF1" w:rsidRPr="001603CF">
        <w:rPr>
          <w:rFonts w:ascii="Calibri" w:hAnsi="Calibri" w:cs="Calibri"/>
          <w:b/>
          <w:bCs/>
          <w:noProof/>
          <w:sz w:val="18"/>
          <w:lang w:val="en-US"/>
        </w:rPr>
        <w:t>12</w:t>
      </w:r>
      <w:r w:rsidR="00864EF1" w:rsidRPr="001603CF">
        <w:rPr>
          <w:rFonts w:ascii="Calibri" w:hAnsi="Calibri" w:cs="Calibri"/>
          <w:noProof/>
          <w:sz w:val="18"/>
          <w:lang w:val="en-US"/>
        </w:rPr>
        <w:t>, 109–126.</w:t>
      </w:r>
    </w:p>
    <w:p w14:paraId="060A9C73"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w:t>
      </w:r>
      <w:r w:rsidRPr="001603CF">
        <w:rPr>
          <w:rFonts w:ascii="Calibri" w:hAnsi="Calibri" w:cs="Calibri"/>
          <w:noProof/>
          <w:sz w:val="18"/>
          <w:lang w:val="en-US"/>
        </w:rPr>
        <w:tab/>
        <w:t xml:space="preserve">A. Niemann, </w:t>
      </w:r>
      <w:r w:rsidRPr="001603CF">
        <w:rPr>
          <w:rFonts w:ascii="Calibri" w:hAnsi="Calibri" w:cs="Calibri"/>
          <w:i/>
          <w:iCs/>
          <w:noProof/>
          <w:sz w:val="18"/>
          <w:lang w:val="en-US"/>
        </w:rPr>
        <w:t>Justus Liebigs Ann. Chem.</w:t>
      </w:r>
      <w:r w:rsidRPr="001603CF">
        <w:rPr>
          <w:rFonts w:ascii="Calibri" w:hAnsi="Calibri" w:cs="Calibri"/>
          <w:noProof/>
          <w:sz w:val="18"/>
          <w:lang w:val="en-US"/>
        </w:rPr>
        <w:t xml:space="preserve">, 1860, </w:t>
      </w:r>
      <w:r w:rsidRPr="001603CF">
        <w:rPr>
          <w:rFonts w:ascii="Calibri" w:hAnsi="Calibri" w:cs="Calibri"/>
          <w:b/>
          <w:bCs/>
          <w:noProof/>
          <w:sz w:val="18"/>
          <w:lang w:val="en-US"/>
        </w:rPr>
        <w:t>113</w:t>
      </w:r>
      <w:r w:rsidRPr="001603CF">
        <w:rPr>
          <w:rFonts w:ascii="Calibri" w:hAnsi="Calibri" w:cs="Calibri"/>
          <w:noProof/>
          <w:sz w:val="18"/>
          <w:lang w:val="en-US"/>
        </w:rPr>
        <w:t>, 288–292.</w:t>
      </w:r>
    </w:p>
    <w:p w14:paraId="60208E5D"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lastRenderedPageBreak/>
        <w:t>3</w:t>
      </w:r>
      <w:r w:rsidRPr="001603CF">
        <w:rPr>
          <w:rFonts w:ascii="Calibri" w:hAnsi="Calibri" w:cs="Calibri"/>
          <w:noProof/>
          <w:sz w:val="18"/>
          <w:lang w:val="en-US"/>
        </w:rPr>
        <w:tab/>
        <w:t>UNODA, Chemical Weapons, https://disarmament.unoda.org/wmd/chemical/, (accessed 20 August 2023).</w:t>
      </w:r>
    </w:p>
    <w:p w14:paraId="5C027487"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w:t>
      </w:r>
      <w:r w:rsidRPr="001603CF">
        <w:rPr>
          <w:rFonts w:ascii="Calibri" w:hAnsi="Calibri" w:cs="Calibri"/>
          <w:noProof/>
          <w:sz w:val="18"/>
          <w:lang w:val="en-US"/>
        </w:rPr>
        <w:tab/>
        <w:t>OPCW, What is a Chemical Weapon?, https://www.opcw.org/our-work/what-chemical-weapon, (accessed 20 August 2023).</w:t>
      </w:r>
    </w:p>
    <w:p w14:paraId="653D4AB7"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5</w:t>
      </w:r>
      <w:r w:rsidRPr="001603CF">
        <w:rPr>
          <w:rFonts w:ascii="Calibri" w:hAnsi="Calibri" w:cs="Calibri"/>
          <w:noProof/>
          <w:sz w:val="18"/>
          <w:lang w:val="en-US"/>
        </w:rPr>
        <w:tab/>
        <w:t>United States Government, US Completes Chemical Weapons Stockpile Destruction Operations, https://www.defense.gov/News/Releases/Release/Article/3451920/us-completes-chemical-weapons-stockpile-destruction-operations/, (accessed 20 August 2023).</w:t>
      </w:r>
    </w:p>
    <w:p w14:paraId="7B6828FE"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6</w:t>
      </w:r>
      <w:r w:rsidRPr="001603CF">
        <w:rPr>
          <w:rFonts w:ascii="Calibri" w:hAnsi="Calibri" w:cs="Calibri"/>
          <w:noProof/>
          <w:sz w:val="18"/>
          <w:lang w:val="en-US"/>
        </w:rPr>
        <w:tab/>
        <w:t>I. Wilkinson, Chemical Weapon Munitions Dumped at Sea: An Interactive Map | James Martin Center for Nonproliferation Studies, https://nonproliferation.org/chemical-weapon-munitions-dumped-at-sea/, (accessed 20 August 2023).</w:t>
      </w:r>
    </w:p>
    <w:p w14:paraId="65F9824C"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7</w:t>
      </w:r>
      <w:r w:rsidRPr="001603CF">
        <w:rPr>
          <w:rFonts w:ascii="Calibri" w:hAnsi="Calibri" w:cs="Calibri"/>
          <w:noProof/>
          <w:sz w:val="18"/>
          <w:lang w:val="en-US"/>
        </w:rPr>
        <w:tab/>
        <w:t xml:space="preserve">H. Sanderson, P. Fauser, M. Thomsen, P. Vanninen, M. Soderstrom, Y. Savin, I. Khalikov, A. Hirvonen, S. Niiranen, T. Missiaen, A. Gress, P. Borodin, N. Medvedeva, Y. Polyak, V. Paka, V. Zhurbas and P. Feller, </w:t>
      </w:r>
      <w:r w:rsidRPr="001603CF">
        <w:rPr>
          <w:rFonts w:ascii="Calibri" w:hAnsi="Calibri" w:cs="Calibri"/>
          <w:i/>
          <w:iCs/>
          <w:noProof/>
          <w:sz w:val="18"/>
          <w:lang w:val="en-US"/>
        </w:rPr>
        <w:t>Environ. Sci. Technol.</w:t>
      </w:r>
      <w:r w:rsidRPr="001603CF">
        <w:rPr>
          <w:rFonts w:ascii="Calibri" w:hAnsi="Calibri" w:cs="Calibri"/>
          <w:noProof/>
          <w:sz w:val="18"/>
          <w:lang w:val="en-US"/>
        </w:rPr>
        <w:t xml:space="preserve">, 2010, </w:t>
      </w:r>
      <w:r w:rsidRPr="001603CF">
        <w:rPr>
          <w:rFonts w:ascii="Calibri" w:hAnsi="Calibri" w:cs="Calibri"/>
          <w:b/>
          <w:bCs/>
          <w:noProof/>
          <w:sz w:val="18"/>
          <w:lang w:val="en-US"/>
        </w:rPr>
        <w:t>44</w:t>
      </w:r>
      <w:r w:rsidRPr="001603CF">
        <w:rPr>
          <w:rFonts w:ascii="Calibri" w:hAnsi="Calibri" w:cs="Calibri"/>
          <w:noProof/>
          <w:sz w:val="18"/>
          <w:lang w:val="en-US"/>
        </w:rPr>
        <w:t>, 4389–4394.</w:t>
      </w:r>
    </w:p>
    <w:p w14:paraId="30087859"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8</w:t>
      </w:r>
      <w:r w:rsidRPr="001603CF">
        <w:rPr>
          <w:rFonts w:ascii="Calibri" w:hAnsi="Calibri" w:cs="Calibri"/>
          <w:noProof/>
          <w:sz w:val="18"/>
          <w:lang w:val="en-US"/>
        </w:rPr>
        <w:tab/>
        <w:t xml:space="preserve">P. Kalita, R. Paul, A. Boruah, D. Q. Dao, A. Bhaumik and J. Mondal,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2023, </w:t>
      </w:r>
      <w:r w:rsidRPr="001603CF">
        <w:rPr>
          <w:rFonts w:ascii="Calibri" w:hAnsi="Calibri" w:cs="Calibri"/>
          <w:b/>
          <w:bCs/>
          <w:noProof/>
          <w:sz w:val="18"/>
          <w:lang w:val="en-US"/>
        </w:rPr>
        <w:t>25</w:t>
      </w:r>
      <w:r w:rsidRPr="001603CF">
        <w:rPr>
          <w:rFonts w:ascii="Calibri" w:hAnsi="Calibri" w:cs="Calibri"/>
          <w:noProof/>
          <w:sz w:val="18"/>
          <w:lang w:val="en-US"/>
        </w:rPr>
        <w:t>, 5789–5812.</w:t>
      </w:r>
    </w:p>
    <w:p w14:paraId="4FFDC6E6"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9</w:t>
      </w:r>
      <w:r w:rsidRPr="001603CF">
        <w:rPr>
          <w:rFonts w:ascii="Calibri" w:hAnsi="Calibri" w:cs="Calibri"/>
          <w:noProof/>
          <w:sz w:val="18"/>
          <w:lang w:val="en-US"/>
        </w:rPr>
        <w:tab/>
        <w:t xml:space="preserve">C. R. Jabbour, L. A. Parker, E. M. Hutter and B. M. Weckhuysen, </w:t>
      </w:r>
      <w:r w:rsidRPr="001603CF">
        <w:rPr>
          <w:rFonts w:ascii="Calibri" w:hAnsi="Calibri" w:cs="Calibri"/>
          <w:i/>
          <w:iCs/>
          <w:noProof/>
          <w:sz w:val="18"/>
          <w:lang w:val="en-US"/>
        </w:rPr>
        <w:t>Nat. Rev. Chem.</w:t>
      </w:r>
      <w:r w:rsidRPr="001603CF">
        <w:rPr>
          <w:rFonts w:ascii="Calibri" w:hAnsi="Calibri" w:cs="Calibri"/>
          <w:noProof/>
          <w:sz w:val="18"/>
          <w:lang w:val="en-US"/>
        </w:rPr>
        <w:t xml:space="preserve">, 2021, </w:t>
      </w:r>
      <w:r w:rsidRPr="001603CF">
        <w:rPr>
          <w:rFonts w:ascii="Calibri" w:hAnsi="Calibri" w:cs="Calibri"/>
          <w:b/>
          <w:bCs/>
          <w:noProof/>
          <w:sz w:val="18"/>
          <w:lang w:val="en-US"/>
        </w:rPr>
        <w:t>5</w:t>
      </w:r>
      <w:r w:rsidRPr="001603CF">
        <w:rPr>
          <w:rFonts w:ascii="Calibri" w:hAnsi="Calibri" w:cs="Calibri"/>
          <w:noProof/>
          <w:sz w:val="18"/>
          <w:lang w:val="en-US"/>
        </w:rPr>
        <w:t>, 370–387.</w:t>
      </w:r>
    </w:p>
    <w:p w14:paraId="55C433DB"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10</w:t>
      </w:r>
      <w:r w:rsidRPr="001603CF">
        <w:rPr>
          <w:rFonts w:ascii="Calibri" w:hAnsi="Calibri" w:cs="Calibri"/>
          <w:noProof/>
          <w:sz w:val="18"/>
          <w:lang w:val="en-US"/>
        </w:rPr>
        <w:tab/>
        <w:t xml:space="preserve">E. Oheix, E. Gravel and E. Doris, </w:t>
      </w:r>
      <w:r w:rsidRPr="001603CF">
        <w:rPr>
          <w:rFonts w:ascii="Calibri" w:hAnsi="Calibri" w:cs="Calibri"/>
          <w:i/>
          <w:iCs/>
          <w:noProof/>
          <w:sz w:val="18"/>
          <w:lang w:val="en-US"/>
        </w:rPr>
        <w:t>Chem. - A Eur. J.</w:t>
      </w:r>
      <w:r w:rsidRPr="001603CF">
        <w:rPr>
          <w:rFonts w:ascii="Calibri" w:hAnsi="Calibri" w:cs="Calibri"/>
          <w:noProof/>
          <w:sz w:val="18"/>
          <w:lang w:val="en-US"/>
        </w:rPr>
        <w:t xml:space="preserve">, 2021, </w:t>
      </w:r>
      <w:r w:rsidRPr="001603CF">
        <w:rPr>
          <w:rFonts w:ascii="Calibri" w:hAnsi="Calibri" w:cs="Calibri"/>
          <w:b/>
          <w:bCs/>
          <w:noProof/>
          <w:sz w:val="18"/>
          <w:lang w:val="en-US"/>
        </w:rPr>
        <w:t>27</w:t>
      </w:r>
      <w:r w:rsidRPr="001603CF">
        <w:rPr>
          <w:rFonts w:ascii="Calibri" w:hAnsi="Calibri" w:cs="Calibri"/>
          <w:noProof/>
          <w:sz w:val="18"/>
          <w:lang w:val="en-US"/>
        </w:rPr>
        <w:t>, 54–68.</w:t>
      </w:r>
    </w:p>
    <w:p w14:paraId="63062B47"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11</w:t>
      </w:r>
      <w:r w:rsidRPr="001603CF">
        <w:rPr>
          <w:rFonts w:ascii="Calibri" w:hAnsi="Calibri" w:cs="Calibri"/>
          <w:noProof/>
          <w:sz w:val="18"/>
          <w:lang w:val="en-US"/>
        </w:rPr>
        <w:tab/>
        <w:t xml:space="preserve">B. Picard, I. Chataigner, J. Maddaluno and J. Legros, </w:t>
      </w:r>
      <w:r w:rsidRPr="001603CF">
        <w:rPr>
          <w:rFonts w:ascii="Calibri" w:hAnsi="Calibri" w:cs="Calibri"/>
          <w:i/>
          <w:iCs/>
          <w:noProof/>
          <w:sz w:val="18"/>
          <w:lang w:val="en-US"/>
        </w:rPr>
        <w:t>Org. Biomol. Chem.</w:t>
      </w:r>
      <w:r w:rsidRPr="001603CF">
        <w:rPr>
          <w:rFonts w:ascii="Calibri" w:hAnsi="Calibri" w:cs="Calibri"/>
          <w:noProof/>
          <w:sz w:val="18"/>
          <w:lang w:val="en-US"/>
        </w:rPr>
        <w:t xml:space="preserve">, 2019, </w:t>
      </w:r>
      <w:r w:rsidRPr="001603CF">
        <w:rPr>
          <w:rFonts w:ascii="Calibri" w:hAnsi="Calibri" w:cs="Calibri"/>
          <w:b/>
          <w:bCs/>
          <w:noProof/>
          <w:sz w:val="18"/>
          <w:lang w:val="en-US"/>
        </w:rPr>
        <w:t>17</w:t>
      </w:r>
      <w:r w:rsidRPr="001603CF">
        <w:rPr>
          <w:rFonts w:ascii="Calibri" w:hAnsi="Calibri" w:cs="Calibri"/>
          <w:noProof/>
          <w:sz w:val="18"/>
          <w:lang w:val="en-US"/>
        </w:rPr>
        <w:t>, 6528–6537.</w:t>
      </w:r>
    </w:p>
    <w:p w14:paraId="7EB73102"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12</w:t>
      </w:r>
      <w:r w:rsidRPr="001603CF">
        <w:rPr>
          <w:rFonts w:ascii="Calibri" w:hAnsi="Calibri" w:cs="Calibri"/>
          <w:noProof/>
          <w:sz w:val="18"/>
          <w:lang w:val="en-US"/>
        </w:rPr>
        <w:tab/>
        <w:t xml:space="preserve">P. Kalita, R. Paul, C. W. Pao, R. Chatterjee, A. Bhaumik and J. Mondal, </w:t>
      </w:r>
      <w:r w:rsidRPr="001603CF">
        <w:rPr>
          <w:rFonts w:ascii="Calibri" w:hAnsi="Calibri" w:cs="Calibri"/>
          <w:i/>
          <w:iCs/>
          <w:noProof/>
          <w:sz w:val="18"/>
          <w:lang w:val="en-US"/>
        </w:rPr>
        <w:t>Chem. Commun.</w:t>
      </w:r>
      <w:r w:rsidRPr="001603CF">
        <w:rPr>
          <w:rFonts w:ascii="Calibri" w:hAnsi="Calibri" w:cs="Calibri"/>
          <w:noProof/>
          <w:sz w:val="18"/>
          <w:lang w:val="en-US"/>
        </w:rPr>
        <w:t xml:space="preserve">, 2023, </w:t>
      </w:r>
      <w:r w:rsidRPr="001603CF">
        <w:rPr>
          <w:rFonts w:ascii="Calibri" w:hAnsi="Calibri" w:cs="Calibri"/>
          <w:b/>
          <w:bCs/>
          <w:noProof/>
          <w:sz w:val="18"/>
          <w:lang w:val="en-US"/>
        </w:rPr>
        <w:t>59</w:t>
      </w:r>
      <w:r w:rsidRPr="001603CF">
        <w:rPr>
          <w:rFonts w:ascii="Calibri" w:hAnsi="Calibri" w:cs="Calibri"/>
          <w:noProof/>
          <w:sz w:val="18"/>
          <w:lang w:val="en-US"/>
        </w:rPr>
        <w:t>, 5067–5070.</w:t>
      </w:r>
    </w:p>
    <w:p w14:paraId="54E02159" w14:textId="52EB01C5"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13</w:t>
      </w:r>
      <w:r w:rsidRPr="001603CF">
        <w:rPr>
          <w:rFonts w:ascii="Calibri" w:hAnsi="Calibri" w:cs="Calibri"/>
          <w:noProof/>
          <w:sz w:val="18"/>
          <w:lang w:val="en-US"/>
        </w:rPr>
        <w:tab/>
        <w:t xml:space="preserve">M. Yu, J. Liu, F. Liu, F. Zou, L. Zhang, Q. Gao, X.-Y. Ren, Q. Zhang, S.-Z. Liu, C.-P. Dong, T.-T. Guo, T.-F. Ma and W.-Y. Pei, </w:t>
      </w:r>
      <w:r w:rsidRPr="001603CF">
        <w:rPr>
          <w:rFonts w:ascii="Calibri" w:hAnsi="Calibri" w:cs="Calibri"/>
          <w:i/>
          <w:iCs/>
          <w:noProof/>
          <w:sz w:val="18"/>
          <w:lang w:val="en-US"/>
        </w:rPr>
        <w:t>Eur. J. Inorg. Chem.</w:t>
      </w:r>
      <w:r w:rsidRPr="001603CF">
        <w:rPr>
          <w:rFonts w:ascii="Calibri" w:hAnsi="Calibri" w:cs="Calibri"/>
          <w:noProof/>
          <w:sz w:val="18"/>
          <w:lang w:val="en-US"/>
        </w:rPr>
        <w:t xml:space="preserve">, 2023, </w:t>
      </w:r>
      <w:r w:rsidR="0058620F" w:rsidRPr="001603CF">
        <w:rPr>
          <w:rFonts w:ascii="Calibri" w:hAnsi="Calibri" w:cs="Calibri"/>
          <w:b/>
          <w:bCs/>
          <w:noProof/>
          <w:sz w:val="18"/>
          <w:lang w:val="en-US"/>
        </w:rPr>
        <w:t>26</w:t>
      </w:r>
      <w:r w:rsidRPr="001603CF">
        <w:rPr>
          <w:rFonts w:ascii="Calibri" w:hAnsi="Calibri" w:cs="Calibri"/>
          <w:noProof/>
          <w:sz w:val="18"/>
          <w:lang w:val="en-US"/>
        </w:rPr>
        <w:t xml:space="preserve">, </w:t>
      </w:r>
      <w:r w:rsidR="0058620F" w:rsidRPr="001603CF">
        <w:rPr>
          <w:rFonts w:ascii="Calibri" w:hAnsi="Calibri" w:cs="Calibri"/>
          <w:noProof/>
          <w:sz w:val="18"/>
          <w:lang w:val="en-US"/>
        </w:rPr>
        <w:t>e202300221</w:t>
      </w:r>
      <w:r w:rsidRPr="001603CF">
        <w:rPr>
          <w:rFonts w:ascii="Calibri" w:hAnsi="Calibri" w:cs="Calibri"/>
          <w:noProof/>
          <w:sz w:val="18"/>
          <w:lang w:val="en-US"/>
        </w:rPr>
        <w:t>.</w:t>
      </w:r>
    </w:p>
    <w:p w14:paraId="356C247B"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14</w:t>
      </w:r>
      <w:r w:rsidRPr="001603CF">
        <w:rPr>
          <w:rFonts w:ascii="Calibri" w:hAnsi="Calibri" w:cs="Calibri"/>
          <w:noProof/>
          <w:sz w:val="18"/>
          <w:lang w:val="en-US"/>
        </w:rPr>
        <w:tab/>
        <w:t>A. C. W. Alternatives, Program Executive Office, https://www.peoacwa.army.mil/, (accessed 20 August 2023).</w:t>
      </w:r>
    </w:p>
    <w:p w14:paraId="10C051A9"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15</w:t>
      </w:r>
      <w:r w:rsidRPr="001603CF">
        <w:rPr>
          <w:rFonts w:ascii="Calibri" w:hAnsi="Calibri" w:cs="Calibri"/>
          <w:noProof/>
          <w:sz w:val="18"/>
          <w:lang w:val="en-US"/>
        </w:rPr>
        <w:tab/>
        <w:t xml:space="preserve">S. Mansour, V. B. Silva, E. S. Orth and J. Legros, </w:t>
      </w:r>
      <w:r w:rsidRPr="001603CF">
        <w:rPr>
          <w:rFonts w:ascii="Calibri" w:hAnsi="Calibri" w:cs="Calibri"/>
          <w:i/>
          <w:iCs/>
          <w:noProof/>
          <w:sz w:val="18"/>
          <w:lang w:val="en-US"/>
        </w:rPr>
        <w:t>Org. Biomol. Chem.</w:t>
      </w:r>
      <w:r w:rsidRPr="001603CF">
        <w:rPr>
          <w:rFonts w:ascii="Calibri" w:hAnsi="Calibri" w:cs="Calibri"/>
          <w:noProof/>
          <w:sz w:val="18"/>
          <w:lang w:val="en-US"/>
        </w:rPr>
        <w:t xml:space="preserve">, 2022, </w:t>
      </w:r>
      <w:r w:rsidRPr="001603CF">
        <w:rPr>
          <w:rFonts w:ascii="Calibri" w:hAnsi="Calibri" w:cs="Calibri"/>
          <w:b/>
          <w:bCs/>
          <w:noProof/>
          <w:sz w:val="18"/>
          <w:lang w:val="en-US"/>
        </w:rPr>
        <w:t>20</w:t>
      </w:r>
      <w:r w:rsidRPr="001603CF">
        <w:rPr>
          <w:rFonts w:ascii="Calibri" w:hAnsi="Calibri" w:cs="Calibri"/>
          <w:noProof/>
          <w:sz w:val="18"/>
          <w:lang w:val="en-US"/>
        </w:rPr>
        <w:t>, 7604–7608.</w:t>
      </w:r>
    </w:p>
    <w:p w14:paraId="3D09851B" w14:textId="125D2723"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16</w:t>
      </w:r>
      <w:r w:rsidRPr="001603CF">
        <w:rPr>
          <w:rFonts w:ascii="Calibri" w:hAnsi="Calibri" w:cs="Calibri"/>
          <w:noProof/>
          <w:sz w:val="18"/>
          <w:lang w:val="en-US"/>
        </w:rPr>
        <w:tab/>
        <w:t xml:space="preserve">V. B. Silva, S. Mansour, A. Delaune, F.-X. Felpin and J. Legros, </w:t>
      </w:r>
      <w:r w:rsidRPr="001603CF">
        <w:rPr>
          <w:rFonts w:ascii="Calibri" w:hAnsi="Calibri" w:cs="Calibri"/>
          <w:i/>
          <w:iCs/>
          <w:noProof/>
          <w:sz w:val="18"/>
          <w:lang w:val="en-US"/>
        </w:rPr>
        <w:t>React. Chem. Eng.</w:t>
      </w:r>
      <w:r w:rsidRPr="001603CF">
        <w:rPr>
          <w:rFonts w:ascii="Calibri" w:hAnsi="Calibri" w:cs="Calibri"/>
          <w:noProof/>
          <w:sz w:val="18"/>
          <w:lang w:val="en-US"/>
        </w:rPr>
        <w:t xml:space="preserve">, </w:t>
      </w:r>
      <w:r w:rsidR="0058620F" w:rsidRPr="001603CF">
        <w:rPr>
          <w:rFonts w:ascii="Calibri" w:hAnsi="Calibri" w:cs="Calibri"/>
          <w:noProof/>
          <w:sz w:val="18"/>
          <w:lang w:val="en-US"/>
        </w:rPr>
        <w:t>2023</w:t>
      </w:r>
      <w:r w:rsidRPr="001603CF">
        <w:rPr>
          <w:rFonts w:ascii="Calibri" w:hAnsi="Calibri" w:cs="Calibri"/>
          <w:noProof/>
          <w:sz w:val="18"/>
          <w:lang w:val="en-US"/>
        </w:rPr>
        <w:t>,</w:t>
      </w:r>
      <w:r w:rsidRPr="001603CF">
        <w:rPr>
          <w:rFonts w:ascii="Calibri" w:hAnsi="Calibri" w:cs="Calibri"/>
          <w:b/>
          <w:noProof/>
          <w:sz w:val="18"/>
          <w:lang w:val="en-US"/>
        </w:rPr>
        <w:t xml:space="preserve"> </w:t>
      </w:r>
      <w:r w:rsidR="0058620F" w:rsidRPr="001603CF">
        <w:rPr>
          <w:rFonts w:ascii="Calibri" w:hAnsi="Calibri" w:cs="Calibri"/>
          <w:b/>
          <w:noProof/>
          <w:sz w:val="18"/>
          <w:lang w:val="en-US"/>
        </w:rPr>
        <w:t>8</w:t>
      </w:r>
      <w:r w:rsidR="0058620F" w:rsidRPr="001603CF">
        <w:rPr>
          <w:rFonts w:ascii="Calibri" w:hAnsi="Calibri" w:cs="Calibri"/>
          <w:noProof/>
          <w:sz w:val="18"/>
          <w:lang w:val="en-US"/>
        </w:rPr>
        <w:t>, 2658-2663</w:t>
      </w:r>
    </w:p>
    <w:p w14:paraId="314425F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17</w:t>
      </w:r>
      <w:r w:rsidRPr="001603CF">
        <w:rPr>
          <w:rFonts w:ascii="Calibri" w:hAnsi="Calibri" w:cs="Calibri"/>
          <w:noProof/>
          <w:sz w:val="18"/>
          <w:lang w:val="en-US"/>
        </w:rPr>
        <w:tab/>
        <w:t xml:space="preserve">G. W. Wagner, P. W. Bartram, O. Koper and K. J. Klabunde, </w:t>
      </w:r>
      <w:r w:rsidRPr="001603CF">
        <w:rPr>
          <w:rFonts w:ascii="Calibri" w:hAnsi="Calibri" w:cs="Calibri"/>
          <w:i/>
          <w:iCs/>
          <w:noProof/>
          <w:sz w:val="18"/>
          <w:lang w:val="en-US"/>
        </w:rPr>
        <w:t>J. Phys. Chem. B</w:t>
      </w:r>
      <w:r w:rsidRPr="001603CF">
        <w:rPr>
          <w:rFonts w:ascii="Calibri" w:hAnsi="Calibri" w:cs="Calibri"/>
          <w:noProof/>
          <w:sz w:val="18"/>
          <w:lang w:val="en-US"/>
        </w:rPr>
        <w:t xml:space="preserve">, 1999, </w:t>
      </w:r>
      <w:r w:rsidRPr="001603CF">
        <w:rPr>
          <w:rFonts w:ascii="Calibri" w:hAnsi="Calibri" w:cs="Calibri"/>
          <w:b/>
          <w:bCs/>
          <w:noProof/>
          <w:sz w:val="18"/>
          <w:lang w:val="en-US"/>
        </w:rPr>
        <w:t>103</w:t>
      </w:r>
      <w:r w:rsidRPr="001603CF">
        <w:rPr>
          <w:rFonts w:ascii="Calibri" w:hAnsi="Calibri" w:cs="Calibri"/>
          <w:noProof/>
          <w:sz w:val="18"/>
          <w:lang w:val="en-US"/>
        </w:rPr>
        <w:t>, 3225–3228.</w:t>
      </w:r>
    </w:p>
    <w:p w14:paraId="1E704CD2"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18</w:t>
      </w:r>
      <w:r w:rsidRPr="001603CF">
        <w:rPr>
          <w:rFonts w:ascii="Calibri" w:hAnsi="Calibri" w:cs="Calibri"/>
          <w:noProof/>
          <w:sz w:val="18"/>
          <w:lang w:val="en-US"/>
        </w:rPr>
        <w:tab/>
        <w:t xml:space="preserve">J. C. Boursnell, G. E. Francis and A. Wormall, </w:t>
      </w:r>
      <w:r w:rsidRPr="001603CF">
        <w:rPr>
          <w:rFonts w:ascii="Calibri" w:hAnsi="Calibri" w:cs="Calibri"/>
          <w:i/>
          <w:iCs/>
          <w:noProof/>
          <w:sz w:val="18"/>
          <w:lang w:val="en-US"/>
        </w:rPr>
        <w:t>Biochem. J.</w:t>
      </w:r>
      <w:r w:rsidRPr="001603CF">
        <w:rPr>
          <w:rFonts w:ascii="Calibri" w:hAnsi="Calibri" w:cs="Calibri"/>
          <w:noProof/>
          <w:sz w:val="18"/>
          <w:lang w:val="en-US"/>
        </w:rPr>
        <w:t xml:space="preserve">, 1946, </w:t>
      </w:r>
      <w:r w:rsidRPr="001603CF">
        <w:rPr>
          <w:rFonts w:ascii="Calibri" w:hAnsi="Calibri" w:cs="Calibri"/>
          <w:b/>
          <w:bCs/>
          <w:noProof/>
          <w:sz w:val="18"/>
          <w:lang w:val="en-US"/>
        </w:rPr>
        <w:t>40</w:t>
      </w:r>
      <w:r w:rsidRPr="001603CF">
        <w:rPr>
          <w:rFonts w:ascii="Calibri" w:hAnsi="Calibri" w:cs="Calibri"/>
          <w:noProof/>
          <w:sz w:val="18"/>
          <w:lang w:val="en-US"/>
        </w:rPr>
        <w:t>, 737–742.</w:t>
      </w:r>
    </w:p>
    <w:p w14:paraId="553FC597"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19</w:t>
      </w:r>
      <w:r w:rsidRPr="001603CF">
        <w:rPr>
          <w:rFonts w:ascii="Calibri" w:hAnsi="Calibri" w:cs="Calibri"/>
          <w:noProof/>
          <w:sz w:val="18"/>
          <w:lang w:val="en-US"/>
        </w:rPr>
        <w:tab/>
        <w:t xml:space="preserve">N. Emmanuel, P. Bianchi, J. Legros and J.-C. M. Monbaliu,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2020, </w:t>
      </w:r>
      <w:r w:rsidRPr="001603CF">
        <w:rPr>
          <w:rFonts w:ascii="Calibri" w:hAnsi="Calibri" w:cs="Calibri"/>
          <w:b/>
          <w:bCs/>
          <w:noProof/>
          <w:sz w:val="18"/>
          <w:lang w:val="en-US"/>
        </w:rPr>
        <w:t>22</w:t>
      </w:r>
      <w:r w:rsidRPr="001603CF">
        <w:rPr>
          <w:rFonts w:ascii="Calibri" w:hAnsi="Calibri" w:cs="Calibri"/>
          <w:noProof/>
          <w:sz w:val="18"/>
          <w:lang w:val="en-US"/>
        </w:rPr>
        <w:t>, 4105–4115.</w:t>
      </w:r>
    </w:p>
    <w:p w14:paraId="0A8C1FA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20</w:t>
      </w:r>
      <w:r w:rsidRPr="001603CF">
        <w:rPr>
          <w:rFonts w:ascii="Calibri" w:hAnsi="Calibri" w:cs="Calibri"/>
          <w:noProof/>
          <w:sz w:val="18"/>
          <w:lang w:val="en-US"/>
        </w:rPr>
        <w:tab/>
        <w:t xml:space="preserve">B. Picard, B. Gouilleux, T. Lebleu, J. Maddaluno, I. Chataigner, M. Penhoat, F. X. Felpin, P. Giraudeau and J. Legros, </w:t>
      </w:r>
      <w:r w:rsidRPr="001603CF">
        <w:rPr>
          <w:rFonts w:ascii="Calibri" w:hAnsi="Calibri" w:cs="Calibri"/>
          <w:i/>
          <w:iCs/>
          <w:noProof/>
          <w:sz w:val="18"/>
          <w:lang w:val="en-US"/>
        </w:rPr>
        <w:t>Angew. Chemie - Int. Ed.</w:t>
      </w:r>
      <w:r w:rsidRPr="001603CF">
        <w:rPr>
          <w:rFonts w:ascii="Calibri" w:hAnsi="Calibri" w:cs="Calibri"/>
          <w:noProof/>
          <w:sz w:val="18"/>
          <w:lang w:val="en-US"/>
        </w:rPr>
        <w:t xml:space="preserve">, 2017, </w:t>
      </w:r>
      <w:r w:rsidRPr="001603CF">
        <w:rPr>
          <w:rFonts w:ascii="Calibri" w:hAnsi="Calibri" w:cs="Calibri"/>
          <w:b/>
          <w:bCs/>
          <w:noProof/>
          <w:sz w:val="18"/>
          <w:lang w:val="en-US"/>
        </w:rPr>
        <w:t>56</w:t>
      </w:r>
      <w:r w:rsidRPr="001603CF">
        <w:rPr>
          <w:rFonts w:ascii="Calibri" w:hAnsi="Calibri" w:cs="Calibri"/>
          <w:noProof/>
          <w:sz w:val="18"/>
          <w:lang w:val="en-US"/>
        </w:rPr>
        <w:t>, 7568–7572.</w:t>
      </w:r>
    </w:p>
    <w:p w14:paraId="3CA61AF0"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21</w:t>
      </w:r>
      <w:r w:rsidRPr="001603CF">
        <w:rPr>
          <w:rFonts w:ascii="Calibri" w:hAnsi="Calibri" w:cs="Calibri"/>
          <w:noProof/>
          <w:sz w:val="18"/>
          <w:lang w:val="en-US"/>
        </w:rPr>
        <w:tab/>
        <w:t xml:space="preserve">A. Delaune, S. Mansour, B. Picard, P. Carrasqueira, I. Chataigner, L. Jean, P. Y. Renard, J. C. M. Monbaliu and J. Legros,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2021, </w:t>
      </w:r>
      <w:r w:rsidRPr="001603CF">
        <w:rPr>
          <w:rFonts w:ascii="Calibri" w:hAnsi="Calibri" w:cs="Calibri"/>
          <w:b/>
          <w:bCs/>
          <w:noProof/>
          <w:sz w:val="18"/>
          <w:lang w:val="en-US"/>
        </w:rPr>
        <w:t>23</w:t>
      </w:r>
      <w:r w:rsidRPr="001603CF">
        <w:rPr>
          <w:rFonts w:ascii="Calibri" w:hAnsi="Calibri" w:cs="Calibri"/>
          <w:noProof/>
          <w:sz w:val="18"/>
          <w:lang w:val="en-US"/>
        </w:rPr>
        <w:t>, 2925–2930.</w:t>
      </w:r>
    </w:p>
    <w:p w14:paraId="4B642C8C"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22</w:t>
      </w:r>
      <w:r w:rsidRPr="001603CF">
        <w:rPr>
          <w:rFonts w:ascii="Calibri" w:hAnsi="Calibri" w:cs="Calibri"/>
          <w:noProof/>
          <w:sz w:val="18"/>
          <w:lang w:val="en-US"/>
        </w:rPr>
        <w:tab/>
        <w:t xml:space="preserve">V. E. H. Kassin, D. V. Silva-Brenes, T. Bernard, J. Legros and J. C. M. Monbaliu,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2022, </w:t>
      </w:r>
      <w:r w:rsidRPr="001603CF">
        <w:rPr>
          <w:rFonts w:ascii="Calibri" w:hAnsi="Calibri" w:cs="Calibri"/>
          <w:b/>
          <w:bCs/>
          <w:noProof/>
          <w:sz w:val="18"/>
          <w:lang w:val="en-US"/>
        </w:rPr>
        <w:t>24</w:t>
      </w:r>
      <w:r w:rsidRPr="001603CF">
        <w:rPr>
          <w:rFonts w:ascii="Calibri" w:hAnsi="Calibri" w:cs="Calibri"/>
          <w:noProof/>
          <w:sz w:val="18"/>
          <w:lang w:val="en-US"/>
        </w:rPr>
        <w:t>, 3167–3179.</w:t>
      </w:r>
    </w:p>
    <w:p w14:paraId="5D0DDC03"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23</w:t>
      </w:r>
      <w:r w:rsidRPr="001603CF">
        <w:rPr>
          <w:rFonts w:ascii="Calibri" w:hAnsi="Calibri" w:cs="Calibri"/>
          <w:noProof/>
          <w:sz w:val="18"/>
          <w:lang w:val="en-US"/>
        </w:rPr>
        <w:tab/>
        <w:t xml:space="preserve">J. Lavoie, S. Srinivasan and R. Nagarajan, </w:t>
      </w:r>
      <w:r w:rsidRPr="001603CF">
        <w:rPr>
          <w:rFonts w:ascii="Calibri" w:hAnsi="Calibri" w:cs="Calibri"/>
          <w:i/>
          <w:iCs/>
          <w:noProof/>
          <w:sz w:val="18"/>
          <w:lang w:val="en-US"/>
        </w:rPr>
        <w:t>J. Hazard. Mater.</w:t>
      </w:r>
      <w:r w:rsidRPr="001603CF">
        <w:rPr>
          <w:rFonts w:ascii="Calibri" w:hAnsi="Calibri" w:cs="Calibri"/>
          <w:noProof/>
          <w:sz w:val="18"/>
          <w:lang w:val="en-US"/>
        </w:rPr>
        <w:t xml:space="preserve">, 2011, </w:t>
      </w:r>
      <w:r w:rsidRPr="001603CF">
        <w:rPr>
          <w:rFonts w:ascii="Calibri" w:hAnsi="Calibri" w:cs="Calibri"/>
          <w:b/>
          <w:bCs/>
          <w:noProof/>
          <w:sz w:val="18"/>
          <w:lang w:val="en-US"/>
        </w:rPr>
        <w:t>194</w:t>
      </w:r>
      <w:r w:rsidRPr="001603CF">
        <w:rPr>
          <w:rFonts w:ascii="Calibri" w:hAnsi="Calibri" w:cs="Calibri"/>
          <w:noProof/>
          <w:sz w:val="18"/>
          <w:lang w:val="en-US"/>
        </w:rPr>
        <w:t>, 85–91.</w:t>
      </w:r>
    </w:p>
    <w:p w14:paraId="77BE412B"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24</w:t>
      </w:r>
      <w:r w:rsidRPr="001603CF">
        <w:rPr>
          <w:rFonts w:ascii="Calibri" w:hAnsi="Calibri" w:cs="Calibri"/>
          <w:noProof/>
          <w:sz w:val="18"/>
          <w:lang w:val="en-US"/>
        </w:rPr>
        <w:tab/>
        <w:t xml:space="preserve">J. Singh, T. P. Kissick and R. H. Mueller, </w:t>
      </w:r>
      <w:r w:rsidRPr="001603CF">
        <w:rPr>
          <w:rFonts w:ascii="Calibri" w:hAnsi="Calibri" w:cs="Calibri"/>
          <w:i/>
          <w:iCs/>
          <w:noProof/>
          <w:sz w:val="18"/>
          <w:lang w:val="en-US"/>
        </w:rPr>
        <w:t>Org. Prep. Proced. Inc</w:t>
      </w:r>
      <w:r w:rsidRPr="001603CF">
        <w:rPr>
          <w:rFonts w:ascii="Calibri" w:hAnsi="Calibri" w:cs="Calibri"/>
          <w:noProof/>
          <w:sz w:val="18"/>
          <w:lang w:val="en-US"/>
        </w:rPr>
        <w:t xml:space="preserve">, 1989, </w:t>
      </w:r>
      <w:r w:rsidRPr="001603CF">
        <w:rPr>
          <w:rFonts w:ascii="Calibri" w:hAnsi="Calibri" w:cs="Calibri"/>
          <w:b/>
          <w:bCs/>
          <w:noProof/>
          <w:sz w:val="18"/>
          <w:lang w:val="en-US"/>
        </w:rPr>
        <w:t>21</w:t>
      </w:r>
      <w:r w:rsidRPr="001603CF">
        <w:rPr>
          <w:rFonts w:ascii="Calibri" w:hAnsi="Calibri" w:cs="Calibri"/>
          <w:noProof/>
          <w:sz w:val="18"/>
          <w:lang w:val="en-US"/>
        </w:rPr>
        <w:t>, 501–504.</w:t>
      </w:r>
    </w:p>
    <w:p w14:paraId="58D705E8" w14:textId="43780FA5"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25</w:t>
      </w:r>
      <w:r w:rsidRPr="001603CF">
        <w:rPr>
          <w:rFonts w:ascii="Calibri" w:hAnsi="Calibri" w:cs="Calibri"/>
          <w:noProof/>
          <w:sz w:val="18"/>
          <w:lang w:val="en-US"/>
        </w:rPr>
        <w:tab/>
        <w:t xml:space="preserve">Y. Yuan, X. Shi and W. Liu, </w:t>
      </w:r>
      <w:r w:rsidRPr="001603CF">
        <w:rPr>
          <w:rFonts w:ascii="Calibri" w:hAnsi="Calibri" w:cs="Calibri"/>
          <w:i/>
          <w:iCs/>
          <w:noProof/>
          <w:sz w:val="18"/>
          <w:lang w:val="en-US"/>
        </w:rPr>
        <w:t>Synlett</w:t>
      </w:r>
      <w:r w:rsidRPr="001603CF">
        <w:rPr>
          <w:rFonts w:ascii="Calibri" w:hAnsi="Calibri" w:cs="Calibri"/>
          <w:noProof/>
          <w:sz w:val="18"/>
          <w:lang w:val="en-US"/>
        </w:rPr>
        <w:t>, 2011,</w:t>
      </w:r>
      <w:r w:rsidR="0058620F" w:rsidRPr="001603CF">
        <w:rPr>
          <w:rFonts w:ascii="Calibri" w:hAnsi="Calibri" w:cs="Calibri"/>
          <w:b/>
          <w:noProof/>
          <w:sz w:val="18"/>
          <w:lang w:val="en-US"/>
        </w:rPr>
        <w:t xml:space="preserve"> 4</w:t>
      </w:r>
      <w:r w:rsidR="0058620F" w:rsidRPr="001603CF">
        <w:rPr>
          <w:rFonts w:ascii="Calibri" w:hAnsi="Calibri" w:cs="Calibri"/>
          <w:noProof/>
          <w:sz w:val="18"/>
          <w:lang w:val="en-US"/>
        </w:rPr>
        <w:t>,</w:t>
      </w:r>
      <w:r w:rsidRPr="001603CF">
        <w:rPr>
          <w:rFonts w:ascii="Calibri" w:hAnsi="Calibri" w:cs="Calibri"/>
          <w:noProof/>
          <w:sz w:val="18"/>
          <w:lang w:val="en-US"/>
        </w:rPr>
        <w:t xml:space="preserve"> 559–564.</w:t>
      </w:r>
    </w:p>
    <w:p w14:paraId="4C0A75B7" w14:textId="580BD62B" w:rsidR="00864EF1" w:rsidRPr="001603CF" w:rsidRDefault="00864EF1" w:rsidP="0058620F">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26</w:t>
      </w:r>
      <w:r w:rsidRPr="001603CF">
        <w:rPr>
          <w:rFonts w:ascii="Calibri" w:hAnsi="Calibri" w:cs="Calibri"/>
          <w:noProof/>
          <w:sz w:val="18"/>
          <w:lang w:val="en-US"/>
        </w:rPr>
        <w:tab/>
      </w:r>
      <w:r w:rsidR="0058620F" w:rsidRPr="001603CF">
        <w:rPr>
          <w:rStyle w:val="RSCB02ArticleTextChar"/>
          <w:rFonts w:asciiTheme="minorHAnsi" w:hAnsiTheme="minorHAnsi" w:cstheme="minorHAnsi"/>
          <w:lang w:val="en-US"/>
        </w:rPr>
        <w:t xml:space="preserve">Gaussian 16, Revision C.01, M. J. Frisch, G. W. Trucks, H. B. Schlegel, G. E. Scuseria, M. A. Robb, J. R. Cheeseman, G. Scalmani, V. Barone, G. A. Petersson, H. Nakatsuji, X. Li, M. Caricato, A. V. Marenich, J. Bloino, B. G. Janesko, R. Gomperts, B. </w:t>
      </w:r>
      <w:proofErr w:type="spellStart"/>
      <w:r w:rsidR="0058620F" w:rsidRPr="001603CF">
        <w:rPr>
          <w:rStyle w:val="RSCB02ArticleTextChar"/>
          <w:rFonts w:asciiTheme="minorHAnsi" w:hAnsiTheme="minorHAnsi" w:cstheme="minorHAnsi"/>
          <w:lang w:val="en-US"/>
        </w:rPr>
        <w:t>Men</w:t>
      </w:r>
      <w:r w:rsidR="00E63990">
        <w:rPr>
          <w:rStyle w:val="RSCB02ArticleTextChar"/>
          <w:rFonts w:asciiTheme="minorHAnsi" w:hAnsiTheme="minorHAnsi" w:cstheme="minorHAnsi"/>
          <w:lang w:val="en-US"/>
        </w:rPr>
        <w:t>'r</w:t>
      </w:r>
      <w:proofErr w:type="spellEnd"/>
      <w:r w:rsidR="00E63990">
        <w:rPr>
          <w:rStyle w:val="RSCB02ArticleTextChar"/>
          <w:rFonts w:asciiTheme="minorHAnsi" w:hAnsiTheme="minorHAnsi" w:cstheme="minorHAnsi"/>
          <w:lang w:val="en-US"/>
        </w:rPr>
        <w:t>(</w:t>
      </w:r>
      <w:proofErr w:type="spellStart"/>
      <w:r w:rsidR="00E63990">
        <w:rPr>
          <w:rStyle w:val="RSCB02ArticleTextChar"/>
          <w:rFonts w:asciiTheme="minorHAnsi" w:hAnsiTheme="minorHAnsi" w:cstheme="minorHAnsi"/>
          <w:lang w:val="en-US"/>
        </w:rPr>
        <w:t>ecv</w:t>
      </w:r>
      <w:proofErr w:type="spellEnd"/>
      <w:r w:rsidR="00E63990">
        <w:rPr>
          <w:rStyle w:val="RSCB02ArticleTextChar"/>
          <w:rFonts w:asciiTheme="minorHAnsi" w:hAnsiTheme="minorHAnsi" w:cstheme="minorHAnsi"/>
          <w:lang w:val="en-US"/>
        </w:rPr>
        <w:t xml:space="preserve"> zs</w:t>
      </w:r>
      <w:r w:rsidR="0025438F">
        <w:rPr>
          <w:rStyle w:val="RSCB02ArticleTextChar"/>
          <w:rFonts w:asciiTheme="minorHAnsi" w:hAnsiTheme="minorHAnsi" w:cstheme="minorHAnsi"/>
          <w:lang w:val="en-US"/>
        </w:rPr>
        <w:t>CPOV</w:t>
      </w:r>
      <w:r w:rsidR="00085823">
        <w:rPr>
          <w:rStyle w:val="RSCB02ArticleTextChar"/>
          <w:rFonts w:asciiTheme="minorHAnsi" w:hAnsiTheme="minorHAnsi" w:cstheme="minorHAnsi"/>
          <w:lang w:val="en-US"/>
        </w:rPr>
        <w:t>+6HJNUY£tu</w:t>
      </w:r>
      <w:bookmarkStart w:id="7" w:name="_GoBack"/>
      <w:bookmarkEnd w:id="7"/>
      <w:r w:rsidR="0058620F" w:rsidRPr="001603CF">
        <w:rPr>
          <w:rStyle w:val="RSCB02ArticleTextChar"/>
          <w:rFonts w:asciiTheme="minorHAnsi" w:hAnsiTheme="minorHAnsi" w:cstheme="minorHAnsi"/>
          <w:lang w:val="en-US"/>
        </w:rPr>
        <w:t>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Kudin,V. N. Staroverov, T. A. Keith, R. Kobayashi, J. Normand, K. Raghavachari, A. P. Rendell, J. C. Burant, S. S. Iyengar, J. Tomasi, M. Cossi, J. M. Millam, M. Klene, C. Adamo, R. Cammi, J. W. Ochterski, R. L. Martin, K. Morokuma, O. Farkas, J. B. Foresman, and D. J. Fox, Gaussian, Inc., Wallingford CT, 2019.</w:t>
      </w:r>
    </w:p>
    <w:p w14:paraId="4852BE8D" w14:textId="109E96FD"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27</w:t>
      </w:r>
      <w:r w:rsidRPr="001603CF">
        <w:rPr>
          <w:rFonts w:ascii="Calibri" w:hAnsi="Calibri" w:cs="Calibri"/>
          <w:noProof/>
          <w:sz w:val="18"/>
          <w:lang w:val="en-US"/>
        </w:rPr>
        <w:tab/>
      </w:r>
      <w:r w:rsidR="0058620F" w:rsidRPr="001603CF">
        <w:rPr>
          <w:rFonts w:ascii="Calibri" w:hAnsi="Calibri" w:cs="Calibri"/>
          <w:noProof/>
          <w:sz w:val="18"/>
          <w:lang w:val="en-US"/>
        </w:rPr>
        <w:t>I. Funes-Ardoiz and R. S. Paton, GoodVibes (v3.0.0), Zenodo, 2019, https://doi.org/10.5281/zenodo.33461662018.</w:t>
      </w:r>
    </w:p>
    <w:p w14:paraId="29651598" w14:textId="13FE3B91"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28</w:t>
      </w:r>
      <w:r w:rsidRPr="001603CF">
        <w:rPr>
          <w:rFonts w:ascii="Calibri" w:hAnsi="Calibri" w:cs="Calibri"/>
          <w:noProof/>
          <w:sz w:val="18"/>
          <w:lang w:val="en-US"/>
        </w:rPr>
        <w:tab/>
      </w:r>
      <w:r w:rsidR="0058620F" w:rsidRPr="001603CF">
        <w:rPr>
          <w:rFonts w:ascii="Calibri" w:hAnsi="Calibri" w:cs="Calibri"/>
          <w:noProof/>
          <w:sz w:val="18"/>
          <w:lang w:val="en-US"/>
        </w:rPr>
        <w:t>J. C. M. Monbaliu and P. Bianchi, SnapPy (v1.0.0), Zenodo, 2023, https://doi.org/10.5281/zenodo.8116089</w:t>
      </w:r>
    </w:p>
    <w:p w14:paraId="25FA310D" w14:textId="57FCDAB3" w:rsidR="00864EF1" w:rsidRPr="00E63990" w:rsidRDefault="00864EF1" w:rsidP="00864EF1">
      <w:pPr>
        <w:widowControl w:val="0"/>
        <w:autoSpaceDE w:val="0"/>
        <w:autoSpaceDN w:val="0"/>
        <w:adjustRightInd w:val="0"/>
        <w:spacing w:line="240" w:lineRule="exact"/>
        <w:ind w:left="640" w:hanging="640"/>
        <w:rPr>
          <w:rFonts w:ascii="Calibri" w:hAnsi="Calibri" w:cs="Calibri"/>
          <w:noProof/>
          <w:sz w:val="18"/>
          <w:lang w:val="fr-BE"/>
        </w:rPr>
      </w:pPr>
      <w:r w:rsidRPr="00E63990">
        <w:rPr>
          <w:rFonts w:ascii="Calibri" w:hAnsi="Calibri" w:cs="Calibri"/>
          <w:noProof/>
          <w:sz w:val="18"/>
          <w:lang w:val="fr-BE"/>
        </w:rPr>
        <w:t>29</w:t>
      </w:r>
      <w:r w:rsidRPr="00E63990">
        <w:rPr>
          <w:rFonts w:ascii="Calibri" w:hAnsi="Calibri" w:cs="Calibri"/>
          <w:noProof/>
          <w:sz w:val="18"/>
          <w:lang w:val="fr-BE"/>
        </w:rPr>
        <w:tab/>
      </w:r>
      <w:r w:rsidR="0058620F" w:rsidRPr="00E63990">
        <w:rPr>
          <w:rFonts w:ascii="Calibri" w:hAnsi="Calibri" w:cs="Calibri"/>
          <w:noProof/>
          <w:sz w:val="18"/>
          <w:lang w:val="fr-BE"/>
        </w:rPr>
        <w:t xml:space="preserve">L. R. Domingo, M. Ríos-Gutiérrez and P. Pérez, </w:t>
      </w:r>
      <w:r w:rsidR="0058620F" w:rsidRPr="00E63990">
        <w:rPr>
          <w:rFonts w:ascii="Calibri" w:hAnsi="Calibri" w:cs="Calibri"/>
          <w:i/>
          <w:iCs/>
          <w:noProof/>
          <w:sz w:val="18"/>
          <w:lang w:val="fr-BE"/>
        </w:rPr>
        <w:t>Molecules</w:t>
      </w:r>
      <w:r w:rsidR="0058620F" w:rsidRPr="00E63990">
        <w:rPr>
          <w:rFonts w:ascii="Calibri" w:hAnsi="Calibri" w:cs="Calibri"/>
          <w:noProof/>
          <w:sz w:val="18"/>
          <w:lang w:val="fr-BE"/>
        </w:rPr>
        <w:t xml:space="preserve">, 2016, </w:t>
      </w:r>
      <w:r w:rsidR="0058620F" w:rsidRPr="00E63990">
        <w:rPr>
          <w:rFonts w:ascii="Calibri" w:hAnsi="Calibri" w:cs="Calibri"/>
          <w:b/>
          <w:noProof/>
          <w:sz w:val="18"/>
          <w:lang w:val="fr-BE"/>
        </w:rPr>
        <w:t>21</w:t>
      </w:r>
      <w:r w:rsidR="0058620F" w:rsidRPr="00E63990">
        <w:rPr>
          <w:rFonts w:ascii="Calibri" w:hAnsi="Calibri" w:cs="Calibri"/>
          <w:noProof/>
          <w:sz w:val="18"/>
          <w:lang w:val="fr-BE"/>
        </w:rPr>
        <w:t>, 748.</w:t>
      </w:r>
    </w:p>
    <w:p w14:paraId="0A38887B"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30</w:t>
      </w:r>
      <w:r w:rsidRPr="001603CF">
        <w:rPr>
          <w:rFonts w:ascii="Calibri" w:hAnsi="Calibri" w:cs="Calibri"/>
          <w:noProof/>
          <w:sz w:val="18"/>
          <w:lang w:val="en-US"/>
        </w:rPr>
        <w:tab/>
        <w:t xml:space="preserve">P. Geerlings, F. De Proft and W. Langenaeker, </w:t>
      </w:r>
      <w:r w:rsidRPr="001603CF">
        <w:rPr>
          <w:rFonts w:ascii="Calibri" w:hAnsi="Calibri" w:cs="Calibri"/>
          <w:i/>
          <w:iCs/>
          <w:noProof/>
          <w:sz w:val="18"/>
          <w:lang w:val="en-US"/>
        </w:rPr>
        <w:t>Chem. Rev.</w:t>
      </w:r>
      <w:r w:rsidRPr="001603CF">
        <w:rPr>
          <w:rFonts w:ascii="Calibri" w:hAnsi="Calibri" w:cs="Calibri"/>
          <w:noProof/>
          <w:sz w:val="18"/>
          <w:lang w:val="en-US"/>
        </w:rPr>
        <w:t xml:space="preserve">, 2003, </w:t>
      </w:r>
      <w:r w:rsidRPr="001603CF">
        <w:rPr>
          <w:rFonts w:ascii="Calibri" w:hAnsi="Calibri" w:cs="Calibri"/>
          <w:b/>
          <w:bCs/>
          <w:noProof/>
          <w:sz w:val="18"/>
          <w:lang w:val="en-US"/>
        </w:rPr>
        <w:t>103</w:t>
      </w:r>
      <w:r w:rsidRPr="001603CF">
        <w:rPr>
          <w:rFonts w:ascii="Calibri" w:hAnsi="Calibri" w:cs="Calibri"/>
          <w:noProof/>
          <w:sz w:val="18"/>
          <w:lang w:val="en-US"/>
        </w:rPr>
        <w:t>, 1793–1873.</w:t>
      </w:r>
    </w:p>
    <w:p w14:paraId="35D89879"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31</w:t>
      </w:r>
      <w:r w:rsidRPr="001603CF">
        <w:rPr>
          <w:rFonts w:ascii="Calibri" w:hAnsi="Calibri" w:cs="Calibri"/>
          <w:noProof/>
          <w:sz w:val="18"/>
          <w:lang w:val="en-US"/>
        </w:rPr>
        <w:tab/>
        <w:t xml:space="preserve">T. Klöffel, D. Gordon, S. Popiel, J. Nawala, B. Meyer and P. Rodziewicz, </w:t>
      </w:r>
      <w:r w:rsidRPr="001603CF">
        <w:rPr>
          <w:rFonts w:ascii="Calibri" w:hAnsi="Calibri" w:cs="Calibri"/>
          <w:i/>
          <w:iCs/>
          <w:noProof/>
          <w:sz w:val="18"/>
          <w:lang w:val="en-US"/>
        </w:rPr>
        <w:t>Process Saf. Environ. Prot.</w:t>
      </w:r>
      <w:r w:rsidRPr="001603CF">
        <w:rPr>
          <w:rFonts w:ascii="Calibri" w:hAnsi="Calibri" w:cs="Calibri"/>
          <w:noProof/>
          <w:sz w:val="18"/>
          <w:lang w:val="en-US"/>
        </w:rPr>
        <w:t xml:space="preserve">, 2023, </w:t>
      </w:r>
      <w:r w:rsidRPr="001603CF">
        <w:rPr>
          <w:rFonts w:ascii="Calibri" w:hAnsi="Calibri" w:cs="Calibri"/>
          <w:b/>
          <w:bCs/>
          <w:noProof/>
          <w:sz w:val="18"/>
          <w:lang w:val="en-US"/>
        </w:rPr>
        <w:t>172</w:t>
      </w:r>
      <w:r w:rsidRPr="001603CF">
        <w:rPr>
          <w:rFonts w:ascii="Calibri" w:hAnsi="Calibri" w:cs="Calibri"/>
          <w:noProof/>
          <w:sz w:val="18"/>
          <w:lang w:val="en-US"/>
        </w:rPr>
        <w:t>, 105–112.</w:t>
      </w:r>
    </w:p>
    <w:p w14:paraId="515E1FDD"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32</w:t>
      </w:r>
      <w:r w:rsidRPr="001603CF">
        <w:rPr>
          <w:rFonts w:ascii="Calibri" w:hAnsi="Calibri" w:cs="Calibri"/>
          <w:noProof/>
          <w:sz w:val="18"/>
          <w:lang w:val="en-US"/>
        </w:rPr>
        <w:tab/>
        <w:t xml:space="preserve">Q. E. Thompson, </w:t>
      </w:r>
      <w:r w:rsidRPr="001603CF">
        <w:rPr>
          <w:rFonts w:ascii="Calibri" w:hAnsi="Calibri" w:cs="Calibri"/>
          <w:i/>
          <w:iCs/>
          <w:noProof/>
          <w:sz w:val="18"/>
          <w:lang w:val="en-US"/>
        </w:rPr>
        <w:t>J. Am. Chem. Soc.</w:t>
      </w:r>
      <w:r w:rsidRPr="001603CF">
        <w:rPr>
          <w:rFonts w:ascii="Calibri" w:hAnsi="Calibri" w:cs="Calibri"/>
          <w:noProof/>
          <w:sz w:val="18"/>
          <w:lang w:val="en-US"/>
        </w:rPr>
        <w:t xml:space="preserve">, 1961, </w:t>
      </w:r>
      <w:r w:rsidRPr="001603CF">
        <w:rPr>
          <w:rFonts w:ascii="Calibri" w:hAnsi="Calibri" w:cs="Calibri"/>
          <w:b/>
          <w:bCs/>
          <w:noProof/>
          <w:sz w:val="18"/>
          <w:lang w:val="en-US"/>
        </w:rPr>
        <w:t>845</w:t>
      </w:r>
      <w:r w:rsidRPr="001603CF">
        <w:rPr>
          <w:rFonts w:ascii="Calibri" w:hAnsi="Calibri" w:cs="Calibri"/>
          <w:noProof/>
          <w:sz w:val="18"/>
          <w:lang w:val="en-US"/>
        </w:rPr>
        <w:t>, 845–851.</w:t>
      </w:r>
    </w:p>
    <w:p w14:paraId="22F94D2F"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33</w:t>
      </w:r>
      <w:r w:rsidRPr="001603CF">
        <w:rPr>
          <w:rFonts w:ascii="Calibri" w:hAnsi="Calibri" w:cs="Calibri"/>
          <w:noProof/>
          <w:sz w:val="18"/>
          <w:lang w:val="en-US"/>
        </w:rPr>
        <w:tab/>
        <w:t xml:space="preserve">K. D. Nagy, B. Shen, T. F. Jamison and K. F. Jensen, </w:t>
      </w:r>
      <w:r w:rsidRPr="001603CF">
        <w:rPr>
          <w:rFonts w:ascii="Calibri" w:hAnsi="Calibri" w:cs="Calibri"/>
          <w:i/>
          <w:iCs/>
          <w:noProof/>
          <w:sz w:val="18"/>
          <w:lang w:val="en-US"/>
        </w:rPr>
        <w:t>Org. Process Res. Dev.</w:t>
      </w:r>
      <w:r w:rsidRPr="001603CF">
        <w:rPr>
          <w:rFonts w:ascii="Calibri" w:hAnsi="Calibri" w:cs="Calibri"/>
          <w:noProof/>
          <w:sz w:val="18"/>
          <w:lang w:val="en-US"/>
        </w:rPr>
        <w:t xml:space="preserve">, 2012, </w:t>
      </w:r>
      <w:r w:rsidRPr="001603CF">
        <w:rPr>
          <w:rFonts w:ascii="Calibri" w:hAnsi="Calibri" w:cs="Calibri"/>
          <w:b/>
          <w:bCs/>
          <w:noProof/>
          <w:sz w:val="18"/>
          <w:lang w:val="en-US"/>
        </w:rPr>
        <w:t>16</w:t>
      </w:r>
      <w:r w:rsidRPr="001603CF">
        <w:rPr>
          <w:rFonts w:ascii="Calibri" w:hAnsi="Calibri" w:cs="Calibri"/>
          <w:noProof/>
          <w:sz w:val="18"/>
          <w:lang w:val="en-US"/>
        </w:rPr>
        <w:t>, 976–981.</w:t>
      </w:r>
    </w:p>
    <w:p w14:paraId="5112CD2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34</w:t>
      </w:r>
      <w:r w:rsidRPr="001603CF">
        <w:rPr>
          <w:rFonts w:ascii="Calibri" w:hAnsi="Calibri" w:cs="Calibri"/>
          <w:noProof/>
          <w:sz w:val="18"/>
          <w:lang w:val="en-US"/>
        </w:rPr>
        <w:tab/>
        <w:t xml:space="preserve">L. Wan, M. Jiang, D. Cheng, M. Liu and F. Chen, </w:t>
      </w:r>
      <w:r w:rsidRPr="001603CF">
        <w:rPr>
          <w:rFonts w:ascii="Calibri" w:hAnsi="Calibri" w:cs="Calibri"/>
          <w:i/>
          <w:iCs/>
          <w:noProof/>
          <w:sz w:val="18"/>
          <w:lang w:val="en-US"/>
        </w:rPr>
        <w:t>React. Chem. Eng.</w:t>
      </w:r>
      <w:r w:rsidRPr="001603CF">
        <w:rPr>
          <w:rFonts w:ascii="Calibri" w:hAnsi="Calibri" w:cs="Calibri"/>
          <w:noProof/>
          <w:sz w:val="18"/>
          <w:lang w:val="en-US"/>
        </w:rPr>
        <w:t xml:space="preserve">, 2022, </w:t>
      </w:r>
      <w:r w:rsidRPr="001603CF">
        <w:rPr>
          <w:rFonts w:ascii="Calibri" w:hAnsi="Calibri" w:cs="Calibri"/>
          <w:b/>
          <w:bCs/>
          <w:noProof/>
          <w:sz w:val="18"/>
          <w:lang w:val="en-US"/>
        </w:rPr>
        <w:t>7</w:t>
      </w:r>
      <w:r w:rsidRPr="001603CF">
        <w:rPr>
          <w:rFonts w:ascii="Calibri" w:hAnsi="Calibri" w:cs="Calibri"/>
          <w:noProof/>
          <w:sz w:val="18"/>
          <w:lang w:val="en-US"/>
        </w:rPr>
        <w:t>, 490–550.</w:t>
      </w:r>
    </w:p>
    <w:p w14:paraId="595448A6"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35</w:t>
      </w:r>
      <w:r w:rsidRPr="001603CF">
        <w:rPr>
          <w:rFonts w:ascii="Calibri" w:hAnsi="Calibri" w:cs="Calibri"/>
          <w:noProof/>
          <w:sz w:val="18"/>
          <w:lang w:val="en-US"/>
        </w:rPr>
        <w:tab/>
        <w:t xml:space="preserve">M. Vaz, D. Courboin, M. Winter and P. M. C. Roth, </w:t>
      </w:r>
      <w:r w:rsidRPr="001603CF">
        <w:rPr>
          <w:rFonts w:ascii="Calibri" w:hAnsi="Calibri" w:cs="Calibri"/>
          <w:i/>
          <w:iCs/>
          <w:noProof/>
          <w:sz w:val="18"/>
          <w:lang w:val="en-US"/>
        </w:rPr>
        <w:t>Org. Process Res. Dev.</w:t>
      </w:r>
      <w:r w:rsidRPr="001603CF">
        <w:rPr>
          <w:rFonts w:ascii="Calibri" w:hAnsi="Calibri" w:cs="Calibri"/>
          <w:noProof/>
          <w:sz w:val="18"/>
          <w:lang w:val="en-US"/>
        </w:rPr>
        <w:t xml:space="preserve">, 2021, </w:t>
      </w:r>
      <w:r w:rsidRPr="001603CF">
        <w:rPr>
          <w:rFonts w:ascii="Calibri" w:hAnsi="Calibri" w:cs="Calibri"/>
          <w:b/>
          <w:bCs/>
          <w:noProof/>
          <w:sz w:val="18"/>
          <w:lang w:val="en-US"/>
        </w:rPr>
        <w:t>25</w:t>
      </w:r>
      <w:r w:rsidRPr="001603CF">
        <w:rPr>
          <w:rFonts w:ascii="Calibri" w:hAnsi="Calibri" w:cs="Calibri"/>
          <w:noProof/>
          <w:sz w:val="18"/>
          <w:lang w:val="en-US"/>
        </w:rPr>
        <w:t>, 1589–1597.</w:t>
      </w:r>
    </w:p>
    <w:p w14:paraId="1173E418"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36</w:t>
      </w:r>
      <w:r w:rsidRPr="001603CF">
        <w:rPr>
          <w:rFonts w:ascii="Calibri" w:hAnsi="Calibri" w:cs="Calibri"/>
          <w:noProof/>
          <w:sz w:val="18"/>
          <w:lang w:val="en-US"/>
        </w:rPr>
        <w:tab/>
        <w:t xml:space="preserve">D. Polterauer, D. M. Roberge, P. Hanselmann, P. Elsner, C. A. Hone and C. O. Kappe, </w:t>
      </w:r>
      <w:r w:rsidRPr="001603CF">
        <w:rPr>
          <w:rFonts w:ascii="Calibri" w:hAnsi="Calibri" w:cs="Calibri"/>
          <w:i/>
          <w:iCs/>
          <w:noProof/>
          <w:sz w:val="18"/>
          <w:lang w:val="en-US"/>
        </w:rPr>
        <w:t>React. Chem. Eng.</w:t>
      </w:r>
      <w:r w:rsidRPr="001603CF">
        <w:rPr>
          <w:rFonts w:ascii="Calibri" w:hAnsi="Calibri" w:cs="Calibri"/>
          <w:noProof/>
          <w:sz w:val="18"/>
          <w:lang w:val="en-US"/>
        </w:rPr>
        <w:t xml:space="preserve">, 2021, </w:t>
      </w:r>
      <w:r w:rsidRPr="001603CF">
        <w:rPr>
          <w:rFonts w:ascii="Calibri" w:hAnsi="Calibri" w:cs="Calibri"/>
          <w:b/>
          <w:bCs/>
          <w:noProof/>
          <w:sz w:val="18"/>
          <w:lang w:val="en-US"/>
        </w:rPr>
        <w:t>6</w:t>
      </w:r>
      <w:r w:rsidRPr="001603CF">
        <w:rPr>
          <w:rFonts w:ascii="Calibri" w:hAnsi="Calibri" w:cs="Calibri"/>
          <w:noProof/>
          <w:sz w:val="18"/>
          <w:lang w:val="en-US"/>
        </w:rPr>
        <w:t>, 2253–2258.</w:t>
      </w:r>
    </w:p>
    <w:p w14:paraId="260233C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37</w:t>
      </w:r>
      <w:r w:rsidRPr="001603CF">
        <w:rPr>
          <w:rFonts w:ascii="Calibri" w:hAnsi="Calibri" w:cs="Calibri"/>
          <w:noProof/>
          <w:sz w:val="18"/>
          <w:lang w:val="en-US"/>
        </w:rPr>
        <w:tab/>
        <w:t xml:space="preserve">F. Lou, Q. Cao, C. Zhang, N. Ai, Q. Wang and J. Zhang, </w:t>
      </w:r>
      <w:r w:rsidRPr="001603CF">
        <w:rPr>
          <w:rFonts w:ascii="Calibri" w:hAnsi="Calibri" w:cs="Calibri"/>
          <w:i/>
          <w:iCs/>
          <w:noProof/>
          <w:sz w:val="18"/>
          <w:lang w:val="en-US"/>
        </w:rPr>
        <w:t>J. Flow Chem.</w:t>
      </w:r>
      <w:r w:rsidRPr="001603CF">
        <w:rPr>
          <w:rFonts w:ascii="Calibri" w:hAnsi="Calibri" w:cs="Calibri"/>
          <w:noProof/>
          <w:sz w:val="18"/>
          <w:lang w:val="en-US"/>
        </w:rPr>
        <w:t xml:space="preserve">, 2022, </w:t>
      </w:r>
      <w:r w:rsidRPr="001603CF">
        <w:rPr>
          <w:rFonts w:ascii="Calibri" w:hAnsi="Calibri" w:cs="Calibri"/>
          <w:b/>
          <w:bCs/>
          <w:noProof/>
          <w:sz w:val="18"/>
          <w:lang w:val="en-US"/>
        </w:rPr>
        <w:t>12</w:t>
      </w:r>
      <w:r w:rsidRPr="001603CF">
        <w:rPr>
          <w:rFonts w:ascii="Calibri" w:hAnsi="Calibri" w:cs="Calibri"/>
          <w:noProof/>
          <w:sz w:val="18"/>
          <w:lang w:val="en-US"/>
        </w:rPr>
        <w:t>, 307–315.</w:t>
      </w:r>
    </w:p>
    <w:p w14:paraId="3D882E15"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38</w:t>
      </w:r>
      <w:r w:rsidRPr="001603CF">
        <w:rPr>
          <w:rFonts w:ascii="Calibri" w:hAnsi="Calibri" w:cs="Calibri"/>
          <w:noProof/>
          <w:sz w:val="18"/>
          <w:lang w:val="en-US"/>
        </w:rPr>
        <w:tab/>
        <w:t xml:space="preserve">K. Lee, H. Lin and K. F. Jensen, </w:t>
      </w:r>
      <w:r w:rsidRPr="001603CF">
        <w:rPr>
          <w:rFonts w:ascii="Calibri" w:hAnsi="Calibri" w:cs="Calibri"/>
          <w:i/>
          <w:iCs/>
          <w:noProof/>
          <w:sz w:val="18"/>
          <w:lang w:val="en-US"/>
        </w:rPr>
        <w:t>React. Chem. Eng.</w:t>
      </w:r>
      <w:r w:rsidRPr="001603CF">
        <w:rPr>
          <w:rFonts w:ascii="Calibri" w:hAnsi="Calibri" w:cs="Calibri"/>
          <w:noProof/>
          <w:sz w:val="18"/>
          <w:lang w:val="en-US"/>
        </w:rPr>
        <w:t xml:space="preserve">, 2017, </w:t>
      </w:r>
      <w:r w:rsidRPr="001603CF">
        <w:rPr>
          <w:rFonts w:ascii="Calibri" w:hAnsi="Calibri" w:cs="Calibri"/>
          <w:b/>
          <w:bCs/>
          <w:noProof/>
          <w:sz w:val="18"/>
          <w:lang w:val="en-US"/>
        </w:rPr>
        <w:t>2</w:t>
      </w:r>
      <w:r w:rsidRPr="001603CF">
        <w:rPr>
          <w:rFonts w:ascii="Calibri" w:hAnsi="Calibri" w:cs="Calibri"/>
          <w:noProof/>
          <w:sz w:val="18"/>
          <w:lang w:val="en-US"/>
        </w:rPr>
        <w:t>, 696–702.</w:t>
      </w:r>
    </w:p>
    <w:p w14:paraId="2C5CB399"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39</w:t>
      </w:r>
      <w:r w:rsidRPr="001603CF">
        <w:rPr>
          <w:rFonts w:ascii="Calibri" w:hAnsi="Calibri" w:cs="Calibri"/>
          <w:noProof/>
          <w:sz w:val="18"/>
          <w:lang w:val="en-US"/>
        </w:rPr>
        <w:tab/>
        <w:t xml:space="preserve">M. Irfan, T. N. Glasnov and C. O. Kappe, </w:t>
      </w:r>
      <w:r w:rsidRPr="001603CF">
        <w:rPr>
          <w:rFonts w:ascii="Calibri" w:hAnsi="Calibri" w:cs="Calibri"/>
          <w:i/>
          <w:iCs/>
          <w:noProof/>
          <w:sz w:val="18"/>
          <w:lang w:val="en-US"/>
        </w:rPr>
        <w:t>Org. Lett.</w:t>
      </w:r>
      <w:r w:rsidRPr="001603CF">
        <w:rPr>
          <w:rFonts w:ascii="Calibri" w:hAnsi="Calibri" w:cs="Calibri"/>
          <w:noProof/>
          <w:sz w:val="18"/>
          <w:lang w:val="en-US"/>
        </w:rPr>
        <w:t xml:space="preserve">, 2011, </w:t>
      </w:r>
      <w:r w:rsidRPr="001603CF">
        <w:rPr>
          <w:rFonts w:ascii="Calibri" w:hAnsi="Calibri" w:cs="Calibri"/>
          <w:b/>
          <w:bCs/>
          <w:noProof/>
          <w:sz w:val="18"/>
          <w:lang w:val="en-US"/>
        </w:rPr>
        <w:t>13</w:t>
      </w:r>
      <w:r w:rsidRPr="001603CF">
        <w:rPr>
          <w:rFonts w:ascii="Calibri" w:hAnsi="Calibri" w:cs="Calibri"/>
          <w:noProof/>
          <w:sz w:val="18"/>
          <w:lang w:val="en-US"/>
        </w:rPr>
        <w:t>, 984–987.</w:t>
      </w:r>
    </w:p>
    <w:p w14:paraId="7B62B17F"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40</w:t>
      </w:r>
      <w:r w:rsidRPr="001603CF">
        <w:rPr>
          <w:rFonts w:ascii="Calibri" w:hAnsi="Calibri" w:cs="Calibri"/>
          <w:noProof/>
          <w:sz w:val="18"/>
          <w:lang w:val="en-US"/>
        </w:rPr>
        <w:tab/>
        <w:t xml:space="preserve">M. J. Nieves-Remacha and K. F. Jensen, </w:t>
      </w:r>
      <w:r w:rsidRPr="001603CF">
        <w:rPr>
          <w:rFonts w:ascii="Calibri" w:hAnsi="Calibri" w:cs="Calibri"/>
          <w:i/>
          <w:iCs/>
          <w:noProof/>
          <w:sz w:val="18"/>
          <w:lang w:val="en-US"/>
        </w:rPr>
        <w:t>J. Flow Chem.</w:t>
      </w:r>
      <w:r w:rsidRPr="001603CF">
        <w:rPr>
          <w:rFonts w:ascii="Calibri" w:hAnsi="Calibri" w:cs="Calibri"/>
          <w:noProof/>
          <w:sz w:val="18"/>
          <w:lang w:val="en-US"/>
        </w:rPr>
        <w:t xml:space="preserve">, 2015, </w:t>
      </w:r>
      <w:r w:rsidRPr="001603CF">
        <w:rPr>
          <w:rFonts w:ascii="Calibri" w:hAnsi="Calibri" w:cs="Calibri"/>
          <w:b/>
          <w:bCs/>
          <w:noProof/>
          <w:sz w:val="18"/>
          <w:lang w:val="en-US"/>
        </w:rPr>
        <w:t>5</w:t>
      </w:r>
      <w:r w:rsidRPr="001603CF">
        <w:rPr>
          <w:rFonts w:ascii="Calibri" w:hAnsi="Calibri" w:cs="Calibri"/>
          <w:noProof/>
          <w:sz w:val="18"/>
          <w:lang w:val="en-US"/>
        </w:rPr>
        <w:t>, 160–165.</w:t>
      </w:r>
    </w:p>
    <w:p w14:paraId="144048D4"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41</w:t>
      </w:r>
      <w:r w:rsidRPr="001603CF">
        <w:rPr>
          <w:rFonts w:ascii="Calibri" w:hAnsi="Calibri" w:cs="Calibri"/>
          <w:noProof/>
          <w:sz w:val="18"/>
          <w:lang w:val="en-US"/>
        </w:rPr>
        <w:tab/>
        <w:t xml:space="preserve">M. O’Brien, I. R. Baxendale and S. V. Ley, </w:t>
      </w:r>
      <w:r w:rsidRPr="001603CF">
        <w:rPr>
          <w:rFonts w:ascii="Calibri" w:hAnsi="Calibri" w:cs="Calibri"/>
          <w:i/>
          <w:iCs/>
          <w:noProof/>
          <w:sz w:val="18"/>
          <w:lang w:val="en-US"/>
        </w:rPr>
        <w:t>Org. Lett.</w:t>
      </w:r>
      <w:r w:rsidRPr="001603CF">
        <w:rPr>
          <w:rFonts w:ascii="Calibri" w:hAnsi="Calibri" w:cs="Calibri"/>
          <w:noProof/>
          <w:sz w:val="18"/>
          <w:lang w:val="en-US"/>
        </w:rPr>
        <w:t xml:space="preserve">, 2010, </w:t>
      </w:r>
      <w:r w:rsidRPr="001603CF">
        <w:rPr>
          <w:rFonts w:ascii="Calibri" w:hAnsi="Calibri" w:cs="Calibri"/>
          <w:b/>
          <w:bCs/>
          <w:noProof/>
          <w:sz w:val="18"/>
          <w:lang w:val="en-US"/>
        </w:rPr>
        <w:t>12</w:t>
      </w:r>
      <w:r w:rsidRPr="001603CF">
        <w:rPr>
          <w:rFonts w:ascii="Calibri" w:hAnsi="Calibri" w:cs="Calibri"/>
          <w:noProof/>
          <w:sz w:val="18"/>
          <w:lang w:val="en-US"/>
        </w:rPr>
        <w:t>, 1596–1598.</w:t>
      </w:r>
    </w:p>
    <w:p w14:paraId="0136B1E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42</w:t>
      </w:r>
      <w:r w:rsidRPr="001603CF">
        <w:rPr>
          <w:rFonts w:ascii="Calibri" w:hAnsi="Calibri" w:cs="Calibri"/>
          <w:noProof/>
          <w:sz w:val="18"/>
          <w:lang w:val="en-US"/>
        </w:rPr>
        <w:tab/>
        <w:t xml:space="preserve">Q. Q. Wang, R. A. Begum, V. W. Day and K. Bowman-James, </w:t>
      </w:r>
      <w:r w:rsidRPr="001603CF">
        <w:rPr>
          <w:rFonts w:ascii="Calibri" w:hAnsi="Calibri" w:cs="Calibri"/>
          <w:i/>
          <w:iCs/>
          <w:noProof/>
          <w:sz w:val="18"/>
          <w:lang w:val="en-US"/>
        </w:rPr>
        <w:t>Org. Biomol. Chem.</w:t>
      </w:r>
      <w:r w:rsidRPr="001603CF">
        <w:rPr>
          <w:rFonts w:ascii="Calibri" w:hAnsi="Calibri" w:cs="Calibri"/>
          <w:noProof/>
          <w:sz w:val="18"/>
          <w:lang w:val="en-US"/>
        </w:rPr>
        <w:t xml:space="preserve">, 2012, </w:t>
      </w:r>
      <w:r w:rsidRPr="001603CF">
        <w:rPr>
          <w:rFonts w:ascii="Calibri" w:hAnsi="Calibri" w:cs="Calibri"/>
          <w:b/>
          <w:bCs/>
          <w:noProof/>
          <w:sz w:val="18"/>
          <w:lang w:val="en-US"/>
        </w:rPr>
        <w:t>10</w:t>
      </w:r>
      <w:r w:rsidRPr="001603CF">
        <w:rPr>
          <w:rFonts w:ascii="Calibri" w:hAnsi="Calibri" w:cs="Calibri"/>
          <w:noProof/>
          <w:sz w:val="18"/>
          <w:lang w:val="en-US"/>
        </w:rPr>
        <w:t>, 8786–8793.</w:t>
      </w:r>
    </w:p>
    <w:p w14:paraId="2A52B57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lastRenderedPageBreak/>
        <w:t>43</w:t>
      </w:r>
      <w:r w:rsidRPr="001603CF">
        <w:rPr>
          <w:rFonts w:ascii="Calibri" w:hAnsi="Calibri" w:cs="Calibri"/>
          <w:noProof/>
          <w:sz w:val="18"/>
          <w:lang w:val="en-US"/>
        </w:rPr>
        <w:tab/>
        <w:t xml:space="preserve">F. Aricò, M. Chiurato, J. Peltier and P. Tundo, </w:t>
      </w:r>
      <w:r w:rsidRPr="001603CF">
        <w:rPr>
          <w:rFonts w:ascii="Calibri" w:hAnsi="Calibri" w:cs="Calibri"/>
          <w:i/>
          <w:iCs/>
          <w:noProof/>
          <w:sz w:val="18"/>
          <w:lang w:val="en-US"/>
        </w:rPr>
        <w:t>European J. Org. Chem.</w:t>
      </w:r>
      <w:r w:rsidRPr="001603CF">
        <w:rPr>
          <w:rFonts w:ascii="Calibri" w:hAnsi="Calibri" w:cs="Calibri"/>
          <w:noProof/>
          <w:sz w:val="18"/>
          <w:lang w:val="en-US"/>
        </w:rPr>
        <w:t>, 2012, 3223–3228.</w:t>
      </w:r>
    </w:p>
    <w:p w14:paraId="42078C70"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44</w:t>
      </w:r>
      <w:r w:rsidRPr="001603CF">
        <w:rPr>
          <w:rFonts w:ascii="Calibri" w:hAnsi="Calibri" w:cs="Calibri"/>
          <w:noProof/>
          <w:sz w:val="18"/>
          <w:lang w:val="en-US"/>
        </w:rPr>
        <w:tab/>
        <w:t xml:space="preserve">F. Aricò, S. Evaristo and P. Tundo, </w:t>
      </w:r>
      <w:r w:rsidRPr="001603CF">
        <w:rPr>
          <w:rFonts w:ascii="Calibri" w:hAnsi="Calibri" w:cs="Calibri"/>
          <w:i/>
          <w:iCs/>
          <w:noProof/>
          <w:sz w:val="18"/>
          <w:lang w:val="en-US"/>
        </w:rPr>
        <w:t>ACS Sustain. Chem. Eng.</w:t>
      </w:r>
      <w:r w:rsidRPr="001603CF">
        <w:rPr>
          <w:rFonts w:ascii="Calibri" w:hAnsi="Calibri" w:cs="Calibri"/>
          <w:noProof/>
          <w:sz w:val="18"/>
          <w:lang w:val="en-US"/>
        </w:rPr>
        <w:t xml:space="preserve">, 2013, </w:t>
      </w:r>
      <w:r w:rsidRPr="001603CF">
        <w:rPr>
          <w:rFonts w:ascii="Calibri" w:hAnsi="Calibri" w:cs="Calibri"/>
          <w:b/>
          <w:bCs/>
          <w:noProof/>
          <w:sz w:val="18"/>
          <w:lang w:val="en-US"/>
        </w:rPr>
        <w:t>1</w:t>
      </w:r>
      <w:r w:rsidRPr="001603CF">
        <w:rPr>
          <w:rFonts w:ascii="Calibri" w:hAnsi="Calibri" w:cs="Calibri"/>
          <w:noProof/>
          <w:sz w:val="18"/>
          <w:lang w:val="en-US"/>
        </w:rPr>
        <w:t>, 1319–1325.</w:t>
      </w:r>
    </w:p>
    <w:p w14:paraId="36A3889B"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45</w:t>
      </w:r>
      <w:r w:rsidRPr="001603CF">
        <w:rPr>
          <w:rFonts w:ascii="Calibri" w:hAnsi="Calibri" w:cs="Calibri"/>
          <w:noProof/>
          <w:sz w:val="18"/>
          <w:lang w:val="en-US"/>
        </w:rPr>
        <w:tab/>
        <w:t xml:space="preserve">D. V. Silva-Brenes, N. Emmanuel, V. López Mejías, J. Duconge, C. Vlaar, T. Stelzer and J. C. M. Monbaliu,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2022, </w:t>
      </w:r>
      <w:r w:rsidRPr="001603CF">
        <w:rPr>
          <w:rFonts w:ascii="Calibri" w:hAnsi="Calibri" w:cs="Calibri"/>
          <w:b/>
          <w:bCs/>
          <w:noProof/>
          <w:sz w:val="18"/>
          <w:lang w:val="en-US"/>
        </w:rPr>
        <w:t>24</w:t>
      </w:r>
      <w:r w:rsidRPr="001603CF">
        <w:rPr>
          <w:rFonts w:ascii="Calibri" w:hAnsi="Calibri" w:cs="Calibri"/>
          <w:noProof/>
          <w:sz w:val="18"/>
          <w:lang w:val="en-US"/>
        </w:rPr>
        <w:t>, 2094–2103.</w:t>
      </w:r>
    </w:p>
    <w:p w14:paraId="3ABC7149"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46</w:t>
      </w:r>
      <w:r w:rsidRPr="001603CF">
        <w:rPr>
          <w:rFonts w:ascii="Calibri" w:hAnsi="Calibri" w:cs="Calibri"/>
          <w:noProof/>
          <w:sz w:val="18"/>
          <w:lang w:val="en-US"/>
        </w:rPr>
        <w:tab/>
        <w:t xml:space="preserve">V. E. H. Kassin, R. Morodo, T. Toupy, I. Jacquemin, K. Van Hecke, R. Robiette and J. C. M. Monbaliu, </w:t>
      </w:r>
      <w:r w:rsidRPr="001603CF">
        <w:rPr>
          <w:rFonts w:ascii="Calibri" w:hAnsi="Calibri" w:cs="Calibri"/>
          <w:i/>
          <w:iCs/>
          <w:noProof/>
          <w:sz w:val="18"/>
          <w:lang w:val="en-US"/>
        </w:rPr>
        <w:t>Green Chem.</w:t>
      </w:r>
      <w:r w:rsidRPr="001603CF">
        <w:rPr>
          <w:rFonts w:ascii="Calibri" w:hAnsi="Calibri" w:cs="Calibri"/>
          <w:noProof/>
          <w:sz w:val="18"/>
          <w:lang w:val="en-US"/>
        </w:rPr>
        <w:t xml:space="preserve">, 2021, </w:t>
      </w:r>
      <w:r w:rsidRPr="001603CF">
        <w:rPr>
          <w:rFonts w:ascii="Calibri" w:hAnsi="Calibri" w:cs="Calibri"/>
          <w:b/>
          <w:bCs/>
          <w:noProof/>
          <w:sz w:val="18"/>
          <w:lang w:val="en-US"/>
        </w:rPr>
        <w:t>23</w:t>
      </w:r>
      <w:r w:rsidRPr="001603CF">
        <w:rPr>
          <w:rFonts w:ascii="Calibri" w:hAnsi="Calibri" w:cs="Calibri"/>
          <w:noProof/>
          <w:sz w:val="18"/>
          <w:lang w:val="en-US"/>
        </w:rPr>
        <w:t>, 2336–2351.</w:t>
      </w:r>
    </w:p>
    <w:p w14:paraId="6A52C23A"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47</w:t>
      </w:r>
      <w:r w:rsidRPr="001603CF">
        <w:rPr>
          <w:rFonts w:ascii="Calibri" w:hAnsi="Calibri" w:cs="Calibri"/>
          <w:noProof/>
          <w:sz w:val="18"/>
          <w:lang w:val="en-US"/>
        </w:rPr>
        <w:tab/>
        <w:t xml:space="preserve">R. Morodo, R. Gérardy, G. Petit and J. C. M. Monbaliu, </w:t>
      </w:r>
      <w:r w:rsidRPr="001603CF">
        <w:rPr>
          <w:rFonts w:ascii="Calibri" w:hAnsi="Calibri" w:cs="Calibri"/>
          <w:i/>
          <w:iCs/>
          <w:noProof/>
          <w:sz w:val="18"/>
          <w:lang w:val="en-US"/>
        </w:rPr>
        <w:t>Green Chem.</w:t>
      </w:r>
      <w:r w:rsidRPr="001603CF">
        <w:rPr>
          <w:rFonts w:ascii="Calibri" w:hAnsi="Calibri" w:cs="Calibri"/>
          <w:noProof/>
          <w:sz w:val="18"/>
          <w:lang w:val="en-US"/>
        </w:rPr>
        <w:t xml:space="preserve">, 2019, </w:t>
      </w:r>
      <w:r w:rsidRPr="001603CF">
        <w:rPr>
          <w:rFonts w:ascii="Calibri" w:hAnsi="Calibri" w:cs="Calibri"/>
          <w:b/>
          <w:bCs/>
          <w:noProof/>
          <w:sz w:val="18"/>
          <w:lang w:val="en-US"/>
        </w:rPr>
        <w:t>21</w:t>
      </w:r>
      <w:r w:rsidRPr="001603CF">
        <w:rPr>
          <w:rFonts w:ascii="Calibri" w:hAnsi="Calibri" w:cs="Calibri"/>
          <w:noProof/>
          <w:sz w:val="18"/>
          <w:lang w:val="en-US"/>
        </w:rPr>
        <w:t>, 4422–4433.</w:t>
      </w:r>
    </w:p>
    <w:p w14:paraId="03F21A91" w14:textId="77777777" w:rsidR="00864EF1" w:rsidRPr="001603CF" w:rsidRDefault="00864EF1" w:rsidP="00864EF1">
      <w:pPr>
        <w:widowControl w:val="0"/>
        <w:autoSpaceDE w:val="0"/>
        <w:autoSpaceDN w:val="0"/>
        <w:adjustRightInd w:val="0"/>
        <w:spacing w:line="240" w:lineRule="exact"/>
        <w:ind w:left="640" w:hanging="640"/>
        <w:rPr>
          <w:rFonts w:ascii="Calibri" w:hAnsi="Calibri" w:cs="Calibri"/>
          <w:noProof/>
          <w:sz w:val="18"/>
          <w:lang w:val="en-US"/>
        </w:rPr>
      </w:pPr>
      <w:r w:rsidRPr="001603CF">
        <w:rPr>
          <w:rFonts w:ascii="Calibri" w:hAnsi="Calibri" w:cs="Calibri"/>
          <w:noProof/>
          <w:sz w:val="18"/>
          <w:lang w:val="en-US"/>
        </w:rPr>
        <w:t>48</w:t>
      </w:r>
      <w:r w:rsidRPr="001603CF">
        <w:rPr>
          <w:rFonts w:ascii="Calibri" w:hAnsi="Calibri" w:cs="Calibri"/>
          <w:noProof/>
          <w:sz w:val="18"/>
          <w:lang w:val="en-US"/>
        </w:rPr>
        <w:tab/>
        <w:t xml:space="preserve">N. Emmanuel, C. Mendoza, M. Winter, C. R. Horn, A. Vizza, L. Dreesen and J. M. Monbaliu, </w:t>
      </w:r>
      <w:r w:rsidRPr="001603CF">
        <w:rPr>
          <w:rFonts w:ascii="Calibri" w:hAnsi="Calibri" w:cs="Calibri"/>
          <w:i/>
          <w:iCs/>
          <w:noProof/>
          <w:sz w:val="18"/>
          <w:lang w:val="en-US"/>
        </w:rPr>
        <w:t>Org. Process Res. Dev.</w:t>
      </w:r>
      <w:r w:rsidRPr="001603CF">
        <w:rPr>
          <w:rFonts w:ascii="Calibri" w:hAnsi="Calibri" w:cs="Calibri"/>
          <w:noProof/>
          <w:sz w:val="18"/>
          <w:lang w:val="en-US"/>
        </w:rPr>
        <w:t xml:space="preserve">, 2017, </w:t>
      </w:r>
      <w:r w:rsidRPr="001603CF">
        <w:rPr>
          <w:rFonts w:ascii="Calibri" w:hAnsi="Calibri" w:cs="Calibri"/>
          <w:b/>
          <w:bCs/>
          <w:noProof/>
          <w:sz w:val="18"/>
          <w:lang w:val="en-US"/>
        </w:rPr>
        <w:t>21</w:t>
      </w:r>
      <w:r w:rsidRPr="001603CF">
        <w:rPr>
          <w:rFonts w:ascii="Calibri" w:hAnsi="Calibri" w:cs="Calibri"/>
          <w:noProof/>
          <w:sz w:val="18"/>
          <w:lang w:val="en-US"/>
        </w:rPr>
        <w:t>, 1435–1438.</w:t>
      </w:r>
    </w:p>
    <w:p w14:paraId="25F94EBA" w14:textId="3B6ED318" w:rsidR="009B299F" w:rsidRPr="001603CF" w:rsidRDefault="0065052C" w:rsidP="009B299F">
      <w:pPr>
        <w:pStyle w:val="RSCB02ArticleText"/>
        <w:ind w:left="568" w:hanging="568"/>
        <w:rPr>
          <w:lang w:val="en-US"/>
        </w:rPr>
      </w:pPr>
      <w:r w:rsidRPr="001603CF">
        <w:rPr>
          <w:lang w:val="en-US"/>
        </w:rPr>
        <w:fldChar w:fldCharType="end"/>
      </w:r>
    </w:p>
    <w:p w14:paraId="3CAC5CBF" w14:textId="16514FD9" w:rsidR="00983A42" w:rsidRPr="001603CF" w:rsidRDefault="009B299F" w:rsidP="009B299F">
      <w:pPr>
        <w:spacing w:after="200" w:line="276" w:lineRule="auto"/>
        <w:rPr>
          <w:rFonts w:asciiTheme="minorHAnsi" w:eastAsiaTheme="minorHAnsi" w:hAnsiTheme="minorHAnsi"/>
          <w:w w:val="108"/>
          <w:sz w:val="18"/>
          <w:szCs w:val="18"/>
          <w:lang w:val="en-US" w:eastAsia="en-US"/>
        </w:rPr>
      </w:pPr>
      <w:r w:rsidRPr="001603CF">
        <w:rPr>
          <w:lang w:val="en-US"/>
        </w:rPr>
        <w:br w:type="page"/>
      </w:r>
    </w:p>
    <w:p w14:paraId="4607A5A8" w14:textId="77777777" w:rsidR="006C1082" w:rsidRPr="001603CF" w:rsidRDefault="006C1082">
      <w:pPr>
        <w:pStyle w:val="RSCB02ArticleText"/>
        <w:rPr>
          <w:b/>
          <w:lang w:val="en-US"/>
        </w:rPr>
      </w:pPr>
      <w:r w:rsidRPr="001603CF">
        <w:rPr>
          <w:b/>
          <w:lang w:val="en-US"/>
        </w:rPr>
        <w:lastRenderedPageBreak/>
        <w:t>Table of Content</w:t>
      </w:r>
    </w:p>
    <w:p w14:paraId="5F228589" w14:textId="7FE92A1C" w:rsidR="007D27C8" w:rsidRPr="001603CF" w:rsidRDefault="007D27C8">
      <w:pPr>
        <w:pStyle w:val="RSCI03FigureSchemeChartUncaptioned"/>
        <w:ind w:right="169"/>
        <w:jc w:val="left"/>
        <w:rPr>
          <w:noProof/>
          <w:lang w:val="en-US"/>
        </w:rPr>
      </w:pPr>
    </w:p>
    <w:p w14:paraId="2E2530BC" w14:textId="7269328D" w:rsidR="0058620F" w:rsidRPr="001603CF" w:rsidRDefault="0058620F">
      <w:pPr>
        <w:pStyle w:val="RSCI03FigureSchemeChartUncaptioned"/>
        <w:ind w:right="169"/>
        <w:jc w:val="left"/>
        <w:rPr>
          <w:noProof/>
          <w:lang w:val="en-US"/>
        </w:rPr>
      </w:pPr>
      <w:r w:rsidRPr="001603CF">
        <w:rPr>
          <w:noProof/>
          <w:lang w:val="en-US"/>
        </w:rPr>
        <w:drawing>
          <wp:inline distT="0" distB="0" distL="0" distR="0" wp14:anchorId="2AE02CC7" wp14:editId="77D24A0E">
            <wp:extent cx="3168015" cy="14147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015" cy="1414776"/>
                    </a:xfrm>
                    <a:prstGeom prst="rect">
                      <a:avLst/>
                    </a:prstGeom>
                    <a:noFill/>
                    <a:ln>
                      <a:noFill/>
                    </a:ln>
                  </pic:spPr>
                </pic:pic>
              </a:graphicData>
            </a:graphic>
          </wp:inline>
        </w:drawing>
      </w:r>
    </w:p>
    <w:p w14:paraId="563014A7" w14:textId="1437D7F9" w:rsidR="006C1082" w:rsidRPr="001603CF" w:rsidRDefault="007D27C8">
      <w:pPr>
        <w:pStyle w:val="RSCI03FigureSchemeChartUncaptioned"/>
        <w:jc w:val="both"/>
        <w:rPr>
          <w:sz w:val="18"/>
          <w:lang w:val="en-US"/>
        </w:rPr>
      </w:pPr>
      <w:r w:rsidRPr="001603CF">
        <w:rPr>
          <w:sz w:val="18"/>
          <w:lang w:val="en-US"/>
        </w:rPr>
        <w:t xml:space="preserve">DFT-guided development of a </w:t>
      </w:r>
      <w:r w:rsidR="006C1082" w:rsidRPr="001603CF">
        <w:rPr>
          <w:sz w:val="18"/>
          <w:lang w:val="en-US"/>
        </w:rPr>
        <w:t xml:space="preserve">compact flow ozone platform for the neutralization of </w:t>
      </w:r>
      <w:r w:rsidRPr="001603CF">
        <w:rPr>
          <w:sz w:val="18"/>
          <w:lang w:val="en-US"/>
        </w:rPr>
        <w:t xml:space="preserve">sulfur mustard simulants </w:t>
      </w:r>
    </w:p>
    <w:p w14:paraId="31E57C90" w14:textId="77777777" w:rsidR="00D010E8" w:rsidRPr="001603CF" w:rsidRDefault="00D010E8">
      <w:pPr>
        <w:pStyle w:val="RSCB04AHeadingSection"/>
        <w:rPr>
          <w:lang w:val="en-US"/>
        </w:rPr>
      </w:pPr>
    </w:p>
    <w:p w14:paraId="53EF4D5B" w14:textId="79AE127B" w:rsidR="003C445A" w:rsidRPr="001603CF" w:rsidRDefault="003C445A">
      <w:pPr>
        <w:pStyle w:val="RSCB04AHeadingSection"/>
        <w:rPr>
          <w:sz w:val="18"/>
          <w:szCs w:val="18"/>
          <w:lang w:val="en-US"/>
        </w:rPr>
      </w:pPr>
    </w:p>
    <w:sectPr w:rsidR="003C445A" w:rsidRPr="001603CF" w:rsidSect="009B299F">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00D9D" w14:textId="77777777" w:rsidR="00337C26" w:rsidRDefault="00337C26" w:rsidP="00E547DB">
      <w:r>
        <w:separator/>
      </w:r>
    </w:p>
    <w:p w14:paraId="71B6EECA" w14:textId="77777777" w:rsidR="00337C26" w:rsidRDefault="00337C26"/>
    <w:p w14:paraId="11F3A26A" w14:textId="77777777" w:rsidR="00337C26" w:rsidRDefault="00337C26"/>
    <w:p w14:paraId="4AAA66B1" w14:textId="77777777" w:rsidR="00337C26" w:rsidRDefault="00337C26"/>
    <w:p w14:paraId="06327842" w14:textId="77777777" w:rsidR="00337C26" w:rsidRDefault="00337C26"/>
    <w:p w14:paraId="593C3B4A" w14:textId="77777777" w:rsidR="00337C26" w:rsidRDefault="00337C26"/>
  </w:endnote>
  <w:endnote w:type="continuationSeparator" w:id="0">
    <w:p w14:paraId="101FCDAE" w14:textId="77777777" w:rsidR="00337C26" w:rsidRDefault="00337C26" w:rsidP="00E547DB">
      <w:r>
        <w:continuationSeparator/>
      </w:r>
    </w:p>
    <w:p w14:paraId="2F2248FB" w14:textId="77777777" w:rsidR="00337C26" w:rsidRDefault="00337C26"/>
    <w:p w14:paraId="51568492" w14:textId="77777777" w:rsidR="00337C26" w:rsidRDefault="00337C26"/>
    <w:p w14:paraId="7F28C880" w14:textId="77777777" w:rsidR="00337C26" w:rsidRDefault="00337C26"/>
    <w:p w14:paraId="5AA0D32E" w14:textId="77777777" w:rsidR="00337C26" w:rsidRDefault="00337C26"/>
    <w:p w14:paraId="66D26F24" w14:textId="77777777" w:rsidR="00337C26" w:rsidRDefault="00337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96E9D1-6500-4867-8AC0-83BA0874BE5F}"/>
    <w:embedBold r:id="rId2" w:fontKey="{933D3919-CB6A-413E-A18A-73BBFB294501}"/>
    <w:embedItalic r:id="rId3" w:fontKey="{52CC3FE1-EB19-41E5-9C40-5AB6606AEFBB}"/>
    <w:embedBoldItalic r:id="rId4" w:fontKey="{53E1505F-2FF9-41B8-864A-D6E0726541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94B4BD23-327A-4E14-864F-C43B43BE63E5}"/>
    <w:embedItalic r:id="rId6" w:fontKey="{BA0ED15A-8BF0-4A42-A501-AE76A2617120}"/>
  </w:font>
  <w:font w:name="Tahoma">
    <w:panose1 w:val="020B0604030504040204"/>
    <w:charset w:val="00"/>
    <w:family w:val="swiss"/>
    <w:pitch w:val="variable"/>
    <w:sig w:usb0="E1002EFF" w:usb1="C000605B" w:usb2="00000029" w:usb3="00000000" w:csb0="000101FF" w:csb1="00000000"/>
    <w:embedRegular r:id="rId7" w:fontKey="{4C99FD22-6F1D-4FE8-9EA6-1AA3729B80D8}"/>
  </w:font>
  <w:font w:name="Cambria Math">
    <w:panose1 w:val="02040503050406030204"/>
    <w:charset w:val="00"/>
    <w:family w:val="roman"/>
    <w:pitch w:val="variable"/>
    <w:sig w:usb0="E00006FF" w:usb1="420024FF" w:usb2="02000000" w:usb3="00000000" w:csb0="0000019F" w:csb1="00000000"/>
    <w:embedRegular r:id="rId8" w:fontKey="{253D8347-2098-49F8-AAC5-0FBC4E6EE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C395" w14:textId="077B84D3" w:rsidR="009B5C6C" w:rsidRPr="006602F1" w:rsidRDefault="009B5C6C" w:rsidP="00D45ADF">
    <w:pPr>
      <w:pStyle w:val="Pieddepage"/>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148E" w14:textId="77777777" w:rsidR="009B5C6C" w:rsidRPr="006602F1" w:rsidRDefault="009B5C6C" w:rsidP="00D45ADF">
    <w:pPr>
      <w:pStyle w:val="Pieddepage"/>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C4DD8" w14:textId="77777777" w:rsidR="009B5C6C" w:rsidRPr="006602F1" w:rsidRDefault="009B5C6C" w:rsidP="00D45ADF">
    <w:pPr>
      <w:pStyle w:val="Pieddepage"/>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9B5C6C" w:rsidRPr="00F20A7C" w:rsidRDefault="009B5C6C" w:rsidP="00514CBA">
                          <w:pPr>
                            <w:jc w:val="center"/>
                            <w:rPr>
                              <w:color w:val="FFFFFF" w:themeColor="background1"/>
                            </w:rPr>
                          </w:pPr>
                          <w:proofErr w:type="spellStart"/>
                          <w:r w:rsidRPr="00514CBA">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9B5C6C" w:rsidRPr="00F20A7C" w:rsidRDefault="009B5C6C" w:rsidP="00514CBA">
                    <w:pPr>
                      <w:jc w:val="center"/>
                      <w:rPr>
                        <w:color w:val="FFFFFF" w:themeColor="background1"/>
                      </w:rPr>
                    </w:pPr>
                    <w:proofErr w:type="spellStart"/>
                    <w:r w:rsidRPr="00514CBA">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616A5" w14:textId="77777777" w:rsidR="00337C26" w:rsidRDefault="00337C26" w:rsidP="00E547DB">
      <w:r>
        <w:separator/>
      </w:r>
    </w:p>
    <w:p w14:paraId="66FF5922" w14:textId="77777777" w:rsidR="00337C26" w:rsidRDefault="00337C26"/>
    <w:p w14:paraId="6D0B5919" w14:textId="77777777" w:rsidR="00337C26" w:rsidRDefault="00337C26"/>
    <w:p w14:paraId="6765F590" w14:textId="77777777" w:rsidR="00337C26" w:rsidRDefault="00337C26"/>
    <w:p w14:paraId="4D8A7B4A" w14:textId="77777777" w:rsidR="00337C26" w:rsidRDefault="00337C26"/>
    <w:p w14:paraId="54A8A7E3" w14:textId="77777777" w:rsidR="00337C26" w:rsidRDefault="00337C26"/>
  </w:footnote>
  <w:footnote w:type="continuationSeparator" w:id="0">
    <w:p w14:paraId="0827A037" w14:textId="77777777" w:rsidR="00337C26" w:rsidRDefault="00337C26" w:rsidP="00E547DB">
      <w:r>
        <w:continuationSeparator/>
      </w:r>
    </w:p>
    <w:p w14:paraId="733A0850" w14:textId="77777777" w:rsidR="00337C26" w:rsidRDefault="00337C26"/>
    <w:p w14:paraId="145DD6F5" w14:textId="77777777" w:rsidR="00337C26" w:rsidRDefault="00337C26"/>
    <w:p w14:paraId="6F0C2C13" w14:textId="77777777" w:rsidR="00337C26" w:rsidRDefault="00337C26"/>
    <w:p w14:paraId="4103C226" w14:textId="77777777" w:rsidR="00337C26" w:rsidRDefault="00337C26"/>
    <w:p w14:paraId="483BFF59" w14:textId="77777777" w:rsidR="00337C26" w:rsidRDefault="00337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D6BB" w14:textId="77777777" w:rsidR="009B5C6C" w:rsidRPr="00E70DCE" w:rsidRDefault="009B5C6C" w:rsidP="00D45ADF">
    <w:pPr>
      <w:pStyle w:val="En-tte"/>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EC0D" w14:textId="77777777" w:rsidR="009B5C6C" w:rsidRPr="009316A6" w:rsidRDefault="009B5C6C" w:rsidP="00D45ADF">
    <w:pPr>
      <w:pStyle w:val="En-tte"/>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CF2" w14:textId="77777777" w:rsidR="009B5C6C" w:rsidRDefault="009B5C6C" w:rsidP="00180ABE">
    <w:pPr>
      <w:pStyle w:val="En-tte"/>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9B5C6C" w:rsidRPr="00F20A7C" w:rsidRDefault="009B5C6C" w:rsidP="00514CBA">
                    <w:pPr>
                      <w:jc w:val="center"/>
                      <w:rPr>
                        <w:color w:val="FFFFFF" w:themeColor="background1"/>
                      </w:rPr>
                    </w:pPr>
                    <w:proofErr w:type="spellStart"/>
                    <w:r w:rsidRPr="00F20A7C">
                      <w:rPr>
                        <w:color w:val="FFFFFF" w:themeColor="background1"/>
                      </w:rPr>
                      <w:t>Please</w:t>
                    </w:r>
                    <w:proofErr w:type="spellEnd"/>
                    <w:r w:rsidRPr="00F20A7C">
                      <w:rPr>
                        <w:color w:val="FFFFFF" w:themeColor="background1"/>
                      </w:rPr>
                      <w:t xml:space="preserve"> do not </w:t>
                    </w:r>
                    <w:proofErr w:type="spellStart"/>
                    <w:r w:rsidRPr="00F20A7C">
                      <w:rPr>
                        <w:color w:val="FFFFFF" w:themeColor="background1"/>
                      </w:rPr>
                      <w:t>adjust</w:t>
                    </w:r>
                    <w:proofErr w:type="spellEnd"/>
                    <w:r w:rsidRPr="00F20A7C">
                      <w:rPr>
                        <w:color w:val="FFFFFF" w:themeColor="background1"/>
                      </w:rPr>
                      <w:t xml:space="preserve"> margins</w:t>
                    </w:r>
                  </w:p>
                </w:txbxContent>
              </v:textbox>
              <w10:wrap anchory="page"/>
            </v:shape>
          </w:pict>
        </mc:Fallback>
      </mc:AlternateContent>
    </w:r>
    <w:r>
      <w:rPr>
        <w:b/>
        <w:sz w:val="32"/>
        <w:szCs w:val="32"/>
      </w:rPr>
      <w:tab/>
    </w:r>
  </w:p>
  <w:p w14:paraId="25301B85" w14:textId="77777777" w:rsidR="009B5C6C" w:rsidRDefault="009B5C6C" w:rsidP="00180ABE">
    <w:pPr>
      <w:pStyle w:val="En-tte"/>
      <w:shd w:val="clear" w:color="auto" w:fill="FFFFFF" w:themeFill="background1"/>
      <w:tabs>
        <w:tab w:val="clear" w:pos="4513"/>
        <w:tab w:val="clear" w:pos="9026"/>
        <w:tab w:val="right" w:pos="10205"/>
      </w:tabs>
      <w:spacing w:after="240"/>
      <w:rPr>
        <w:b/>
        <w:sz w:val="32"/>
        <w:szCs w:val="32"/>
      </w:rPr>
    </w:pPr>
  </w:p>
  <w:p w14:paraId="419C7B5B" w14:textId="553A9BEE" w:rsidR="009B5C6C" w:rsidRPr="00180ABE" w:rsidRDefault="009B5C6C" w:rsidP="00180ABE">
    <w:pPr>
      <w:pStyle w:val="En-tt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47E44"/>
    <w:multiLevelType w:val="hybridMultilevel"/>
    <w:tmpl w:val="BB6A4558"/>
    <w:lvl w:ilvl="0" w:tplc="3216DFDC">
      <w:start w:val="191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CC3D1E"/>
    <w:multiLevelType w:val="hybridMultilevel"/>
    <w:tmpl w:val="6F242D06"/>
    <w:lvl w:ilvl="0" w:tplc="1A32608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9"/>
  </w:num>
  <w:num w:numId="6">
    <w:abstractNumId w:val="4"/>
  </w:num>
  <w:num w:numId="7">
    <w:abstractNumId w:val="8"/>
  </w:num>
  <w:num w:numId="8">
    <w:abstractNumId w:val="5"/>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xNLI0tLCwNDa3sDRR0lEKTi0uzszPAykwNK0FAEGnQg0tAAAA"/>
  </w:docVars>
  <w:rsids>
    <w:rsidRoot w:val="008125A0"/>
    <w:rsid w:val="00000514"/>
    <w:rsid w:val="00005B8A"/>
    <w:rsid w:val="00011B11"/>
    <w:rsid w:val="0001241E"/>
    <w:rsid w:val="000125AD"/>
    <w:rsid w:val="00013C11"/>
    <w:rsid w:val="000171B0"/>
    <w:rsid w:val="000212F8"/>
    <w:rsid w:val="00022D8A"/>
    <w:rsid w:val="0002519F"/>
    <w:rsid w:val="00026948"/>
    <w:rsid w:val="00027943"/>
    <w:rsid w:val="000309F9"/>
    <w:rsid w:val="00031768"/>
    <w:rsid w:val="000338EF"/>
    <w:rsid w:val="000358CC"/>
    <w:rsid w:val="00035FF6"/>
    <w:rsid w:val="0003744F"/>
    <w:rsid w:val="00044FCE"/>
    <w:rsid w:val="00046DD1"/>
    <w:rsid w:val="00050780"/>
    <w:rsid w:val="00053B1A"/>
    <w:rsid w:val="000558C6"/>
    <w:rsid w:val="000565CD"/>
    <w:rsid w:val="0006027A"/>
    <w:rsid w:val="000617D8"/>
    <w:rsid w:val="00061B2D"/>
    <w:rsid w:val="000622D1"/>
    <w:rsid w:val="00067011"/>
    <w:rsid w:val="000704A8"/>
    <w:rsid w:val="0007133B"/>
    <w:rsid w:val="00071E41"/>
    <w:rsid w:val="00073639"/>
    <w:rsid w:val="000802D6"/>
    <w:rsid w:val="0008038A"/>
    <w:rsid w:val="00080896"/>
    <w:rsid w:val="00082A79"/>
    <w:rsid w:val="00085823"/>
    <w:rsid w:val="00090863"/>
    <w:rsid w:val="00090DB0"/>
    <w:rsid w:val="000915A8"/>
    <w:rsid w:val="00092493"/>
    <w:rsid w:val="000945F2"/>
    <w:rsid w:val="00094C03"/>
    <w:rsid w:val="00095055"/>
    <w:rsid w:val="00097CEF"/>
    <w:rsid w:val="000A1B51"/>
    <w:rsid w:val="000A2670"/>
    <w:rsid w:val="000A7070"/>
    <w:rsid w:val="000B2DB9"/>
    <w:rsid w:val="000B5060"/>
    <w:rsid w:val="000B6723"/>
    <w:rsid w:val="000B6AC9"/>
    <w:rsid w:val="000B7A82"/>
    <w:rsid w:val="000C0A9D"/>
    <w:rsid w:val="000C10CA"/>
    <w:rsid w:val="000C19F9"/>
    <w:rsid w:val="000C647D"/>
    <w:rsid w:val="000C6E54"/>
    <w:rsid w:val="000D0318"/>
    <w:rsid w:val="000D0C07"/>
    <w:rsid w:val="000D0C39"/>
    <w:rsid w:val="000D0C7E"/>
    <w:rsid w:val="000D0FF5"/>
    <w:rsid w:val="000D1630"/>
    <w:rsid w:val="000D26CA"/>
    <w:rsid w:val="000D2FAC"/>
    <w:rsid w:val="000D4C37"/>
    <w:rsid w:val="000D5891"/>
    <w:rsid w:val="000D6963"/>
    <w:rsid w:val="000D6D23"/>
    <w:rsid w:val="000D6F85"/>
    <w:rsid w:val="000E0F2C"/>
    <w:rsid w:val="000E2EF3"/>
    <w:rsid w:val="000E6C9A"/>
    <w:rsid w:val="000E7A32"/>
    <w:rsid w:val="000F0959"/>
    <w:rsid w:val="000F1240"/>
    <w:rsid w:val="000F3A41"/>
    <w:rsid w:val="000F5B29"/>
    <w:rsid w:val="00104AC6"/>
    <w:rsid w:val="0011014A"/>
    <w:rsid w:val="00117AF9"/>
    <w:rsid w:val="00120227"/>
    <w:rsid w:val="00123FFF"/>
    <w:rsid w:val="00126027"/>
    <w:rsid w:val="001266B2"/>
    <w:rsid w:val="00130ECA"/>
    <w:rsid w:val="00136A7F"/>
    <w:rsid w:val="00140557"/>
    <w:rsid w:val="00142B4F"/>
    <w:rsid w:val="00144BCD"/>
    <w:rsid w:val="00147E1E"/>
    <w:rsid w:val="00150893"/>
    <w:rsid w:val="001508E9"/>
    <w:rsid w:val="001603CF"/>
    <w:rsid w:val="001633D9"/>
    <w:rsid w:val="00166C21"/>
    <w:rsid w:val="00166D01"/>
    <w:rsid w:val="00172C01"/>
    <w:rsid w:val="00177F17"/>
    <w:rsid w:val="0018041D"/>
    <w:rsid w:val="00180ABE"/>
    <w:rsid w:val="00180EE2"/>
    <w:rsid w:val="00182CE7"/>
    <w:rsid w:val="00182D44"/>
    <w:rsid w:val="00183A47"/>
    <w:rsid w:val="0018524A"/>
    <w:rsid w:val="00185F99"/>
    <w:rsid w:val="00190135"/>
    <w:rsid w:val="00191627"/>
    <w:rsid w:val="00191F25"/>
    <w:rsid w:val="001923AB"/>
    <w:rsid w:val="001925B0"/>
    <w:rsid w:val="00193284"/>
    <w:rsid w:val="00195817"/>
    <w:rsid w:val="0019588A"/>
    <w:rsid w:val="001A1F2A"/>
    <w:rsid w:val="001A3D04"/>
    <w:rsid w:val="001A5682"/>
    <w:rsid w:val="001A7044"/>
    <w:rsid w:val="001B277D"/>
    <w:rsid w:val="001B2A54"/>
    <w:rsid w:val="001B4072"/>
    <w:rsid w:val="001B40AA"/>
    <w:rsid w:val="001B5770"/>
    <w:rsid w:val="001C1EB8"/>
    <w:rsid w:val="001C1FF7"/>
    <w:rsid w:val="001C3092"/>
    <w:rsid w:val="001C45B1"/>
    <w:rsid w:val="001C566E"/>
    <w:rsid w:val="001C65CF"/>
    <w:rsid w:val="001C7002"/>
    <w:rsid w:val="001C7E41"/>
    <w:rsid w:val="001D1892"/>
    <w:rsid w:val="001D26BF"/>
    <w:rsid w:val="001D27B7"/>
    <w:rsid w:val="001D2A23"/>
    <w:rsid w:val="001D75C3"/>
    <w:rsid w:val="001E01F9"/>
    <w:rsid w:val="001E0972"/>
    <w:rsid w:val="001E0C06"/>
    <w:rsid w:val="001E1A78"/>
    <w:rsid w:val="001E2809"/>
    <w:rsid w:val="001E2AD8"/>
    <w:rsid w:val="001E55BB"/>
    <w:rsid w:val="001E56EE"/>
    <w:rsid w:val="001E668E"/>
    <w:rsid w:val="001E6713"/>
    <w:rsid w:val="001E6840"/>
    <w:rsid w:val="001F2A40"/>
    <w:rsid w:val="001F5BA8"/>
    <w:rsid w:val="001F6743"/>
    <w:rsid w:val="001F6AFF"/>
    <w:rsid w:val="0020005F"/>
    <w:rsid w:val="00206A82"/>
    <w:rsid w:val="00214A5A"/>
    <w:rsid w:val="00214BEC"/>
    <w:rsid w:val="00215917"/>
    <w:rsid w:val="00215B41"/>
    <w:rsid w:val="00216555"/>
    <w:rsid w:val="002202EB"/>
    <w:rsid w:val="00220C8F"/>
    <w:rsid w:val="00221101"/>
    <w:rsid w:val="002226A6"/>
    <w:rsid w:val="00222B58"/>
    <w:rsid w:val="00223D94"/>
    <w:rsid w:val="002277C3"/>
    <w:rsid w:val="002319B9"/>
    <w:rsid w:val="00236B9E"/>
    <w:rsid w:val="0023708A"/>
    <w:rsid w:val="002375A7"/>
    <w:rsid w:val="00237C8A"/>
    <w:rsid w:val="0024022C"/>
    <w:rsid w:val="00240353"/>
    <w:rsid w:val="00240419"/>
    <w:rsid w:val="00241ACD"/>
    <w:rsid w:val="00241E23"/>
    <w:rsid w:val="00242220"/>
    <w:rsid w:val="002432FD"/>
    <w:rsid w:val="00245708"/>
    <w:rsid w:val="00251043"/>
    <w:rsid w:val="00253551"/>
    <w:rsid w:val="0025438F"/>
    <w:rsid w:val="002547CB"/>
    <w:rsid w:val="0025542A"/>
    <w:rsid w:val="00257892"/>
    <w:rsid w:val="00260089"/>
    <w:rsid w:val="00264CA4"/>
    <w:rsid w:val="0026523B"/>
    <w:rsid w:val="002702BD"/>
    <w:rsid w:val="00270DD5"/>
    <w:rsid w:val="00271235"/>
    <w:rsid w:val="00272D6F"/>
    <w:rsid w:val="00272DEE"/>
    <w:rsid w:val="00273B16"/>
    <w:rsid w:val="002770AB"/>
    <w:rsid w:val="0028071E"/>
    <w:rsid w:val="00290125"/>
    <w:rsid w:val="00290847"/>
    <w:rsid w:val="00290907"/>
    <w:rsid w:val="00290C0B"/>
    <w:rsid w:val="002961BC"/>
    <w:rsid w:val="00296EC0"/>
    <w:rsid w:val="002A0657"/>
    <w:rsid w:val="002A1EA6"/>
    <w:rsid w:val="002A5421"/>
    <w:rsid w:val="002A795E"/>
    <w:rsid w:val="002B0D1E"/>
    <w:rsid w:val="002B106E"/>
    <w:rsid w:val="002B2F17"/>
    <w:rsid w:val="002B3B4C"/>
    <w:rsid w:val="002B418D"/>
    <w:rsid w:val="002C0803"/>
    <w:rsid w:val="002C0CC4"/>
    <w:rsid w:val="002C246D"/>
    <w:rsid w:val="002C251C"/>
    <w:rsid w:val="002C3D7C"/>
    <w:rsid w:val="002C3E40"/>
    <w:rsid w:val="002C5273"/>
    <w:rsid w:val="002C63C7"/>
    <w:rsid w:val="002C6704"/>
    <w:rsid w:val="002C6F35"/>
    <w:rsid w:val="002C75FB"/>
    <w:rsid w:val="002C7CC9"/>
    <w:rsid w:val="002D0596"/>
    <w:rsid w:val="002D1984"/>
    <w:rsid w:val="002D1E72"/>
    <w:rsid w:val="002D69DF"/>
    <w:rsid w:val="002D7864"/>
    <w:rsid w:val="002E0228"/>
    <w:rsid w:val="002E0810"/>
    <w:rsid w:val="002E0913"/>
    <w:rsid w:val="002E121F"/>
    <w:rsid w:val="002E14BA"/>
    <w:rsid w:val="002E3DAB"/>
    <w:rsid w:val="002E4501"/>
    <w:rsid w:val="002E5B1D"/>
    <w:rsid w:val="002E6A40"/>
    <w:rsid w:val="002F0856"/>
    <w:rsid w:val="002F205C"/>
    <w:rsid w:val="002F337F"/>
    <w:rsid w:val="002F3DDD"/>
    <w:rsid w:val="002F52C3"/>
    <w:rsid w:val="002F659D"/>
    <w:rsid w:val="0030006C"/>
    <w:rsid w:val="00302C7A"/>
    <w:rsid w:val="0030482D"/>
    <w:rsid w:val="00305F8F"/>
    <w:rsid w:val="00306956"/>
    <w:rsid w:val="003077C0"/>
    <w:rsid w:val="00310465"/>
    <w:rsid w:val="00310C77"/>
    <w:rsid w:val="003166BF"/>
    <w:rsid w:val="003166FA"/>
    <w:rsid w:val="0032006C"/>
    <w:rsid w:val="00320290"/>
    <w:rsid w:val="00325E5D"/>
    <w:rsid w:val="00332AB8"/>
    <w:rsid w:val="00333C78"/>
    <w:rsid w:val="00336D02"/>
    <w:rsid w:val="00337C26"/>
    <w:rsid w:val="00350E7A"/>
    <w:rsid w:val="00351F1E"/>
    <w:rsid w:val="00352029"/>
    <w:rsid w:val="00352AA4"/>
    <w:rsid w:val="00352EDE"/>
    <w:rsid w:val="00354579"/>
    <w:rsid w:val="00356881"/>
    <w:rsid w:val="00356F00"/>
    <w:rsid w:val="0036223D"/>
    <w:rsid w:val="00363AE5"/>
    <w:rsid w:val="003641D5"/>
    <w:rsid w:val="00364D51"/>
    <w:rsid w:val="00366414"/>
    <w:rsid w:val="0036739D"/>
    <w:rsid w:val="00367F7D"/>
    <w:rsid w:val="00370FA0"/>
    <w:rsid w:val="003729D5"/>
    <w:rsid w:val="003736CB"/>
    <w:rsid w:val="003757E3"/>
    <w:rsid w:val="00377481"/>
    <w:rsid w:val="00380564"/>
    <w:rsid w:val="00384D42"/>
    <w:rsid w:val="00385965"/>
    <w:rsid w:val="0039098B"/>
    <w:rsid w:val="00396A04"/>
    <w:rsid w:val="003A0CD2"/>
    <w:rsid w:val="003A2342"/>
    <w:rsid w:val="003A2FF3"/>
    <w:rsid w:val="003A7E95"/>
    <w:rsid w:val="003B681C"/>
    <w:rsid w:val="003B739C"/>
    <w:rsid w:val="003C099D"/>
    <w:rsid w:val="003C445A"/>
    <w:rsid w:val="003C54A9"/>
    <w:rsid w:val="003C60F3"/>
    <w:rsid w:val="003C6313"/>
    <w:rsid w:val="003C6EDC"/>
    <w:rsid w:val="003D13D6"/>
    <w:rsid w:val="003D28B1"/>
    <w:rsid w:val="003D29DA"/>
    <w:rsid w:val="003D406C"/>
    <w:rsid w:val="003D4ECA"/>
    <w:rsid w:val="003D6715"/>
    <w:rsid w:val="003D6CD3"/>
    <w:rsid w:val="003E14C9"/>
    <w:rsid w:val="003E55B2"/>
    <w:rsid w:val="003E7E09"/>
    <w:rsid w:val="003F0A5A"/>
    <w:rsid w:val="003F4506"/>
    <w:rsid w:val="003F6D8D"/>
    <w:rsid w:val="004008E8"/>
    <w:rsid w:val="00402DE1"/>
    <w:rsid w:val="00403718"/>
    <w:rsid w:val="00403BB1"/>
    <w:rsid w:val="004040A7"/>
    <w:rsid w:val="00405468"/>
    <w:rsid w:val="0040590D"/>
    <w:rsid w:val="004061E3"/>
    <w:rsid w:val="00406350"/>
    <w:rsid w:val="0040636B"/>
    <w:rsid w:val="00407D69"/>
    <w:rsid w:val="004176F4"/>
    <w:rsid w:val="0042079A"/>
    <w:rsid w:val="004209E9"/>
    <w:rsid w:val="0042581F"/>
    <w:rsid w:val="004264BF"/>
    <w:rsid w:val="00426823"/>
    <w:rsid w:val="00430BF8"/>
    <w:rsid w:val="0043180D"/>
    <w:rsid w:val="00431AAC"/>
    <w:rsid w:val="00434AB5"/>
    <w:rsid w:val="00434AD6"/>
    <w:rsid w:val="004414A5"/>
    <w:rsid w:val="00442AC7"/>
    <w:rsid w:val="00442B26"/>
    <w:rsid w:val="00443476"/>
    <w:rsid w:val="00443700"/>
    <w:rsid w:val="0044700B"/>
    <w:rsid w:val="0045009B"/>
    <w:rsid w:val="00450680"/>
    <w:rsid w:val="00450E3B"/>
    <w:rsid w:val="00451343"/>
    <w:rsid w:val="004535A1"/>
    <w:rsid w:val="0045402D"/>
    <w:rsid w:val="004567DC"/>
    <w:rsid w:val="004612A9"/>
    <w:rsid w:val="00464D45"/>
    <w:rsid w:val="00465129"/>
    <w:rsid w:val="0046611D"/>
    <w:rsid w:val="004667B5"/>
    <w:rsid w:val="00467171"/>
    <w:rsid w:val="00467C80"/>
    <w:rsid w:val="00471B6A"/>
    <w:rsid w:val="00473608"/>
    <w:rsid w:val="00473B9E"/>
    <w:rsid w:val="00473F11"/>
    <w:rsid w:val="00474052"/>
    <w:rsid w:val="0047645B"/>
    <w:rsid w:val="00476FDA"/>
    <w:rsid w:val="0048506A"/>
    <w:rsid w:val="00485364"/>
    <w:rsid w:val="00485A80"/>
    <w:rsid w:val="004877C8"/>
    <w:rsid w:val="00487A25"/>
    <w:rsid w:val="004901D3"/>
    <w:rsid w:val="00490FEF"/>
    <w:rsid w:val="00491D4B"/>
    <w:rsid w:val="00493F9B"/>
    <w:rsid w:val="00497937"/>
    <w:rsid w:val="00497A4B"/>
    <w:rsid w:val="004A045B"/>
    <w:rsid w:val="004A0586"/>
    <w:rsid w:val="004A1924"/>
    <w:rsid w:val="004A2F25"/>
    <w:rsid w:val="004A3C07"/>
    <w:rsid w:val="004A4D87"/>
    <w:rsid w:val="004B5EA4"/>
    <w:rsid w:val="004B6C63"/>
    <w:rsid w:val="004C0E9C"/>
    <w:rsid w:val="004C0F81"/>
    <w:rsid w:val="004C3DFC"/>
    <w:rsid w:val="004C531E"/>
    <w:rsid w:val="004C61E0"/>
    <w:rsid w:val="004C6A88"/>
    <w:rsid w:val="004C6C90"/>
    <w:rsid w:val="004D24C1"/>
    <w:rsid w:val="004D4CFA"/>
    <w:rsid w:val="004D521B"/>
    <w:rsid w:val="004D525D"/>
    <w:rsid w:val="004D5CB6"/>
    <w:rsid w:val="004D6C45"/>
    <w:rsid w:val="004D7760"/>
    <w:rsid w:val="004D7949"/>
    <w:rsid w:val="004E353F"/>
    <w:rsid w:val="004E430C"/>
    <w:rsid w:val="004E55EB"/>
    <w:rsid w:val="004E68AC"/>
    <w:rsid w:val="004E6934"/>
    <w:rsid w:val="004E6A1A"/>
    <w:rsid w:val="004E77F2"/>
    <w:rsid w:val="004F02DF"/>
    <w:rsid w:val="004F05D0"/>
    <w:rsid w:val="004F0DBC"/>
    <w:rsid w:val="004F29C6"/>
    <w:rsid w:val="004F39D0"/>
    <w:rsid w:val="004F410F"/>
    <w:rsid w:val="004F60F5"/>
    <w:rsid w:val="00500CBE"/>
    <w:rsid w:val="00501D03"/>
    <w:rsid w:val="00503460"/>
    <w:rsid w:val="005037BA"/>
    <w:rsid w:val="005037CD"/>
    <w:rsid w:val="005046C5"/>
    <w:rsid w:val="00504795"/>
    <w:rsid w:val="00504A66"/>
    <w:rsid w:val="00507238"/>
    <w:rsid w:val="00507252"/>
    <w:rsid w:val="005077B9"/>
    <w:rsid w:val="00507E72"/>
    <w:rsid w:val="0051158A"/>
    <w:rsid w:val="00511AD6"/>
    <w:rsid w:val="00513362"/>
    <w:rsid w:val="005148A4"/>
    <w:rsid w:val="00514CBA"/>
    <w:rsid w:val="005158DF"/>
    <w:rsid w:val="00516330"/>
    <w:rsid w:val="00516D4B"/>
    <w:rsid w:val="005210DA"/>
    <w:rsid w:val="005213BF"/>
    <w:rsid w:val="00521582"/>
    <w:rsid w:val="00521FFF"/>
    <w:rsid w:val="005220F6"/>
    <w:rsid w:val="00522C35"/>
    <w:rsid w:val="00523BAE"/>
    <w:rsid w:val="0052507B"/>
    <w:rsid w:val="00525976"/>
    <w:rsid w:val="0052630A"/>
    <w:rsid w:val="005311D8"/>
    <w:rsid w:val="0053177A"/>
    <w:rsid w:val="00533EA1"/>
    <w:rsid w:val="00534D58"/>
    <w:rsid w:val="00535A3C"/>
    <w:rsid w:val="00537305"/>
    <w:rsid w:val="00537925"/>
    <w:rsid w:val="00543D4A"/>
    <w:rsid w:val="00543F66"/>
    <w:rsid w:val="00544C3D"/>
    <w:rsid w:val="00557E3E"/>
    <w:rsid w:val="005612F0"/>
    <w:rsid w:val="00562051"/>
    <w:rsid w:val="00562CE8"/>
    <w:rsid w:val="00564B2D"/>
    <w:rsid w:val="00566733"/>
    <w:rsid w:val="005667CD"/>
    <w:rsid w:val="00567778"/>
    <w:rsid w:val="00567811"/>
    <w:rsid w:val="00571B80"/>
    <w:rsid w:val="0057463A"/>
    <w:rsid w:val="005771C3"/>
    <w:rsid w:val="00577B54"/>
    <w:rsid w:val="0058009E"/>
    <w:rsid w:val="005825A7"/>
    <w:rsid w:val="00583E5A"/>
    <w:rsid w:val="00584B39"/>
    <w:rsid w:val="005857DD"/>
    <w:rsid w:val="0058620F"/>
    <w:rsid w:val="005869DE"/>
    <w:rsid w:val="00587209"/>
    <w:rsid w:val="00587849"/>
    <w:rsid w:val="00587876"/>
    <w:rsid w:val="00590F6D"/>
    <w:rsid w:val="00592AD6"/>
    <w:rsid w:val="005934C0"/>
    <w:rsid w:val="00594111"/>
    <w:rsid w:val="005964ED"/>
    <w:rsid w:val="0059746B"/>
    <w:rsid w:val="005A26DF"/>
    <w:rsid w:val="005A3192"/>
    <w:rsid w:val="005A46DC"/>
    <w:rsid w:val="005A4A6F"/>
    <w:rsid w:val="005A4D19"/>
    <w:rsid w:val="005A5A6D"/>
    <w:rsid w:val="005A5ED7"/>
    <w:rsid w:val="005A67B8"/>
    <w:rsid w:val="005A6FDC"/>
    <w:rsid w:val="005B404A"/>
    <w:rsid w:val="005B41C2"/>
    <w:rsid w:val="005B488D"/>
    <w:rsid w:val="005C1A41"/>
    <w:rsid w:val="005C375A"/>
    <w:rsid w:val="005C4565"/>
    <w:rsid w:val="005D39FC"/>
    <w:rsid w:val="005D405A"/>
    <w:rsid w:val="005D6628"/>
    <w:rsid w:val="005E05CD"/>
    <w:rsid w:val="005E0842"/>
    <w:rsid w:val="005E0E10"/>
    <w:rsid w:val="005E12DB"/>
    <w:rsid w:val="005E2FAB"/>
    <w:rsid w:val="005E34A5"/>
    <w:rsid w:val="005E35DC"/>
    <w:rsid w:val="005E4FC6"/>
    <w:rsid w:val="005E56A9"/>
    <w:rsid w:val="005E7C00"/>
    <w:rsid w:val="005F3C36"/>
    <w:rsid w:val="005F47C1"/>
    <w:rsid w:val="005F4C74"/>
    <w:rsid w:val="005F5C31"/>
    <w:rsid w:val="005F73FA"/>
    <w:rsid w:val="005F7AC4"/>
    <w:rsid w:val="006007E3"/>
    <w:rsid w:val="00602600"/>
    <w:rsid w:val="00602FD8"/>
    <w:rsid w:val="00604FC5"/>
    <w:rsid w:val="0060627E"/>
    <w:rsid w:val="006118F3"/>
    <w:rsid w:val="006123DD"/>
    <w:rsid w:val="0061458F"/>
    <w:rsid w:val="006149CC"/>
    <w:rsid w:val="0061572F"/>
    <w:rsid w:val="006160DA"/>
    <w:rsid w:val="00616D34"/>
    <w:rsid w:val="00616DD9"/>
    <w:rsid w:val="00622C31"/>
    <w:rsid w:val="00623EC7"/>
    <w:rsid w:val="006267E8"/>
    <w:rsid w:val="00631441"/>
    <w:rsid w:val="00636415"/>
    <w:rsid w:val="006364DA"/>
    <w:rsid w:val="00636EE5"/>
    <w:rsid w:val="006406D5"/>
    <w:rsid w:val="00641030"/>
    <w:rsid w:val="00642B80"/>
    <w:rsid w:val="0064461B"/>
    <w:rsid w:val="00645D52"/>
    <w:rsid w:val="0065052C"/>
    <w:rsid w:val="0065133B"/>
    <w:rsid w:val="006539D1"/>
    <w:rsid w:val="006556AC"/>
    <w:rsid w:val="00655B10"/>
    <w:rsid w:val="006602F1"/>
    <w:rsid w:val="00661CB6"/>
    <w:rsid w:val="00663265"/>
    <w:rsid w:val="0066340D"/>
    <w:rsid w:val="00667B11"/>
    <w:rsid w:val="0067038F"/>
    <w:rsid w:val="006704CC"/>
    <w:rsid w:val="00670ED4"/>
    <w:rsid w:val="00670F74"/>
    <w:rsid w:val="00672928"/>
    <w:rsid w:val="00673A00"/>
    <w:rsid w:val="00674A0A"/>
    <w:rsid w:val="00674A86"/>
    <w:rsid w:val="00674F9B"/>
    <w:rsid w:val="006829E9"/>
    <w:rsid w:val="00682E43"/>
    <w:rsid w:val="00683AB6"/>
    <w:rsid w:val="00683BB6"/>
    <w:rsid w:val="00687C0D"/>
    <w:rsid w:val="00696F97"/>
    <w:rsid w:val="006A2FD1"/>
    <w:rsid w:val="006A2FE4"/>
    <w:rsid w:val="006A649B"/>
    <w:rsid w:val="006A69C8"/>
    <w:rsid w:val="006B0BE6"/>
    <w:rsid w:val="006B218D"/>
    <w:rsid w:val="006B2417"/>
    <w:rsid w:val="006B2F55"/>
    <w:rsid w:val="006B35E5"/>
    <w:rsid w:val="006B6BE6"/>
    <w:rsid w:val="006C1082"/>
    <w:rsid w:val="006C48D7"/>
    <w:rsid w:val="006C7DA6"/>
    <w:rsid w:val="006D1268"/>
    <w:rsid w:val="006D313B"/>
    <w:rsid w:val="006D3866"/>
    <w:rsid w:val="006D5720"/>
    <w:rsid w:val="006D6163"/>
    <w:rsid w:val="006D70A5"/>
    <w:rsid w:val="006E280C"/>
    <w:rsid w:val="006E2D3C"/>
    <w:rsid w:val="006E3216"/>
    <w:rsid w:val="006E58B1"/>
    <w:rsid w:val="006E5E0D"/>
    <w:rsid w:val="006E7D61"/>
    <w:rsid w:val="006F01C4"/>
    <w:rsid w:val="006F01E7"/>
    <w:rsid w:val="006F20E2"/>
    <w:rsid w:val="006F3AB2"/>
    <w:rsid w:val="006F487B"/>
    <w:rsid w:val="006F61AF"/>
    <w:rsid w:val="006F740B"/>
    <w:rsid w:val="007075E8"/>
    <w:rsid w:val="00707F7F"/>
    <w:rsid w:val="00711933"/>
    <w:rsid w:val="00711E3A"/>
    <w:rsid w:val="0071253F"/>
    <w:rsid w:val="007129D1"/>
    <w:rsid w:val="007138BF"/>
    <w:rsid w:val="00713D16"/>
    <w:rsid w:val="007172D4"/>
    <w:rsid w:val="0072027A"/>
    <w:rsid w:val="007211BB"/>
    <w:rsid w:val="00722159"/>
    <w:rsid w:val="0072283D"/>
    <w:rsid w:val="007233AA"/>
    <w:rsid w:val="00724544"/>
    <w:rsid w:val="0072524A"/>
    <w:rsid w:val="00725BFB"/>
    <w:rsid w:val="00726BDF"/>
    <w:rsid w:val="00727FA0"/>
    <w:rsid w:val="0073113D"/>
    <w:rsid w:val="00731EE5"/>
    <w:rsid w:val="00735915"/>
    <w:rsid w:val="00737220"/>
    <w:rsid w:val="00744A41"/>
    <w:rsid w:val="00751A64"/>
    <w:rsid w:val="0075201F"/>
    <w:rsid w:val="007525E3"/>
    <w:rsid w:val="007615FB"/>
    <w:rsid w:val="007641C3"/>
    <w:rsid w:val="007670C7"/>
    <w:rsid w:val="00770773"/>
    <w:rsid w:val="00770FD4"/>
    <w:rsid w:val="00773654"/>
    <w:rsid w:val="0077464D"/>
    <w:rsid w:val="007763EF"/>
    <w:rsid w:val="0077723F"/>
    <w:rsid w:val="007808EB"/>
    <w:rsid w:val="00780A41"/>
    <w:rsid w:val="00783FCE"/>
    <w:rsid w:val="00784C4F"/>
    <w:rsid w:val="00784EE1"/>
    <w:rsid w:val="00786522"/>
    <w:rsid w:val="0078747F"/>
    <w:rsid w:val="00792497"/>
    <w:rsid w:val="0079424C"/>
    <w:rsid w:val="00794787"/>
    <w:rsid w:val="00795D7D"/>
    <w:rsid w:val="007963CD"/>
    <w:rsid w:val="00797E70"/>
    <w:rsid w:val="007A0BE1"/>
    <w:rsid w:val="007A37D8"/>
    <w:rsid w:val="007A3EF3"/>
    <w:rsid w:val="007A7C13"/>
    <w:rsid w:val="007B1977"/>
    <w:rsid w:val="007B3B48"/>
    <w:rsid w:val="007B6F13"/>
    <w:rsid w:val="007B73E8"/>
    <w:rsid w:val="007B7993"/>
    <w:rsid w:val="007C1564"/>
    <w:rsid w:val="007C3D03"/>
    <w:rsid w:val="007C4C28"/>
    <w:rsid w:val="007C624A"/>
    <w:rsid w:val="007C7E72"/>
    <w:rsid w:val="007D1EFA"/>
    <w:rsid w:val="007D27C8"/>
    <w:rsid w:val="007D3397"/>
    <w:rsid w:val="007D42BD"/>
    <w:rsid w:val="007D528D"/>
    <w:rsid w:val="007D5966"/>
    <w:rsid w:val="007D5FE4"/>
    <w:rsid w:val="007F0C6F"/>
    <w:rsid w:val="007F3E4E"/>
    <w:rsid w:val="007F45EA"/>
    <w:rsid w:val="007F58B7"/>
    <w:rsid w:val="007F5A9C"/>
    <w:rsid w:val="00801451"/>
    <w:rsid w:val="00801A4A"/>
    <w:rsid w:val="00804892"/>
    <w:rsid w:val="00806ECA"/>
    <w:rsid w:val="0080752E"/>
    <w:rsid w:val="008104F3"/>
    <w:rsid w:val="008125A0"/>
    <w:rsid w:val="00813B2F"/>
    <w:rsid w:val="00814316"/>
    <w:rsid w:val="00820484"/>
    <w:rsid w:val="00820DAD"/>
    <w:rsid w:val="008214D6"/>
    <w:rsid w:val="008229EA"/>
    <w:rsid w:val="00822CD4"/>
    <w:rsid w:val="00824C29"/>
    <w:rsid w:val="008251D0"/>
    <w:rsid w:val="008265CD"/>
    <w:rsid w:val="008274DF"/>
    <w:rsid w:val="00832068"/>
    <w:rsid w:val="00832838"/>
    <w:rsid w:val="00836C2A"/>
    <w:rsid w:val="008420FC"/>
    <w:rsid w:val="008421FC"/>
    <w:rsid w:val="00847921"/>
    <w:rsid w:val="00854719"/>
    <w:rsid w:val="008558F4"/>
    <w:rsid w:val="008560DE"/>
    <w:rsid w:val="00857D68"/>
    <w:rsid w:val="0086066F"/>
    <w:rsid w:val="00860CC1"/>
    <w:rsid w:val="0086119E"/>
    <w:rsid w:val="0086341D"/>
    <w:rsid w:val="00864EDF"/>
    <w:rsid w:val="00864EF1"/>
    <w:rsid w:val="00866B4C"/>
    <w:rsid w:val="00874362"/>
    <w:rsid w:val="0087482D"/>
    <w:rsid w:val="00875F7D"/>
    <w:rsid w:val="00876E89"/>
    <w:rsid w:val="00883D95"/>
    <w:rsid w:val="00885183"/>
    <w:rsid w:val="0088525A"/>
    <w:rsid w:val="00886449"/>
    <w:rsid w:val="0088777B"/>
    <w:rsid w:val="0089352F"/>
    <w:rsid w:val="00895129"/>
    <w:rsid w:val="008974BB"/>
    <w:rsid w:val="008A0D60"/>
    <w:rsid w:val="008A5532"/>
    <w:rsid w:val="008A5D88"/>
    <w:rsid w:val="008A71E1"/>
    <w:rsid w:val="008A7870"/>
    <w:rsid w:val="008B0475"/>
    <w:rsid w:val="008B1BF3"/>
    <w:rsid w:val="008B449F"/>
    <w:rsid w:val="008B623B"/>
    <w:rsid w:val="008C1387"/>
    <w:rsid w:val="008C3B25"/>
    <w:rsid w:val="008C3C3E"/>
    <w:rsid w:val="008C51E4"/>
    <w:rsid w:val="008C682F"/>
    <w:rsid w:val="008C72E7"/>
    <w:rsid w:val="008D6B93"/>
    <w:rsid w:val="008E1ADC"/>
    <w:rsid w:val="008E509B"/>
    <w:rsid w:val="008E7CD7"/>
    <w:rsid w:val="008E7D82"/>
    <w:rsid w:val="008E7FA0"/>
    <w:rsid w:val="008F1B34"/>
    <w:rsid w:val="008F1C36"/>
    <w:rsid w:val="008F4811"/>
    <w:rsid w:val="008F525A"/>
    <w:rsid w:val="008F7A1A"/>
    <w:rsid w:val="00901747"/>
    <w:rsid w:val="009026D4"/>
    <w:rsid w:val="009063EA"/>
    <w:rsid w:val="00906722"/>
    <w:rsid w:val="00906917"/>
    <w:rsid w:val="0091073C"/>
    <w:rsid w:val="00911D14"/>
    <w:rsid w:val="00913D5B"/>
    <w:rsid w:val="00916F9F"/>
    <w:rsid w:val="00924DA9"/>
    <w:rsid w:val="009250AC"/>
    <w:rsid w:val="009254D2"/>
    <w:rsid w:val="009271E6"/>
    <w:rsid w:val="0092728F"/>
    <w:rsid w:val="0092763E"/>
    <w:rsid w:val="009316A6"/>
    <w:rsid w:val="009317BD"/>
    <w:rsid w:val="009331F0"/>
    <w:rsid w:val="00933E3A"/>
    <w:rsid w:val="00935298"/>
    <w:rsid w:val="00936114"/>
    <w:rsid w:val="00937B73"/>
    <w:rsid w:val="009400E9"/>
    <w:rsid w:val="00941BC7"/>
    <w:rsid w:val="00941D14"/>
    <w:rsid w:val="00946830"/>
    <w:rsid w:val="00946C6B"/>
    <w:rsid w:val="00947D9E"/>
    <w:rsid w:val="00951514"/>
    <w:rsid w:val="00951C6E"/>
    <w:rsid w:val="00951C73"/>
    <w:rsid w:val="00952AB4"/>
    <w:rsid w:val="00957BCD"/>
    <w:rsid w:val="00960A29"/>
    <w:rsid w:val="00962779"/>
    <w:rsid w:val="00962FC3"/>
    <w:rsid w:val="009645CC"/>
    <w:rsid w:val="009654EC"/>
    <w:rsid w:val="00966362"/>
    <w:rsid w:val="00967699"/>
    <w:rsid w:val="009703FF"/>
    <w:rsid w:val="00970420"/>
    <w:rsid w:val="00975464"/>
    <w:rsid w:val="00982750"/>
    <w:rsid w:val="00983A42"/>
    <w:rsid w:val="00985B96"/>
    <w:rsid w:val="00986583"/>
    <w:rsid w:val="00986920"/>
    <w:rsid w:val="00986D4E"/>
    <w:rsid w:val="009908D3"/>
    <w:rsid w:val="00990B9E"/>
    <w:rsid w:val="009918D9"/>
    <w:rsid w:val="00991DF4"/>
    <w:rsid w:val="00991F4F"/>
    <w:rsid w:val="00992B62"/>
    <w:rsid w:val="009930F2"/>
    <w:rsid w:val="00994690"/>
    <w:rsid w:val="00995B0E"/>
    <w:rsid w:val="009A088F"/>
    <w:rsid w:val="009A0FA5"/>
    <w:rsid w:val="009A2918"/>
    <w:rsid w:val="009A386D"/>
    <w:rsid w:val="009A392D"/>
    <w:rsid w:val="009A3D65"/>
    <w:rsid w:val="009A41C0"/>
    <w:rsid w:val="009A4B52"/>
    <w:rsid w:val="009A60F7"/>
    <w:rsid w:val="009A796D"/>
    <w:rsid w:val="009A7B4F"/>
    <w:rsid w:val="009B01A9"/>
    <w:rsid w:val="009B0261"/>
    <w:rsid w:val="009B0BC9"/>
    <w:rsid w:val="009B295E"/>
    <w:rsid w:val="009B299F"/>
    <w:rsid w:val="009B4136"/>
    <w:rsid w:val="009B4BFB"/>
    <w:rsid w:val="009B5C6C"/>
    <w:rsid w:val="009C0688"/>
    <w:rsid w:val="009C13DD"/>
    <w:rsid w:val="009C22A9"/>
    <w:rsid w:val="009C4E33"/>
    <w:rsid w:val="009C4FDC"/>
    <w:rsid w:val="009C619E"/>
    <w:rsid w:val="009C6588"/>
    <w:rsid w:val="009C6E7B"/>
    <w:rsid w:val="009C7505"/>
    <w:rsid w:val="009D0250"/>
    <w:rsid w:val="009D1627"/>
    <w:rsid w:val="009D17C3"/>
    <w:rsid w:val="009D3257"/>
    <w:rsid w:val="009D3BA0"/>
    <w:rsid w:val="009D47C2"/>
    <w:rsid w:val="009E2B74"/>
    <w:rsid w:val="009E2DB5"/>
    <w:rsid w:val="009E374E"/>
    <w:rsid w:val="009E46EC"/>
    <w:rsid w:val="009E51F8"/>
    <w:rsid w:val="009E73B8"/>
    <w:rsid w:val="009F0A4B"/>
    <w:rsid w:val="009F1F09"/>
    <w:rsid w:val="009F2649"/>
    <w:rsid w:val="009F4698"/>
    <w:rsid w:val="009F535B"/>
    <w:rsid w:val="009F605E"/>
    <w:rsid w:val="00A0006C"/>
    <w:rsid w:val="00A0237B"/>
    <w:rsid w:val="00A05099"/>
    <w:rsid w:val="00A05364"/>
    <w:rsid w:val="00A074D7"/>
    <w:rsid w:val="00A13254"/>
    <w:rsid w:val="00A164E4"/>
    <w:rsid w:val="00A17D23"/>
    <w:rsid w:val="00A208E1"/>
    <w:rsid w:val="00A2345D"/>
    <w:rsid w:val="00A27FE2"/>
    <w:rsid w:val="00A30F0D"/>
    <w:rsid w:val="00A32350"/>
    <w:rsid w:val="00A3586E"/>
    <w:rsid w:val="00A3632D"/>
    <w:rsid w:val="00A3703E"/>
    <w:rsid w:val="00A40372"/>
    <w:rsid w:val="00A41100"/>
    <w:rsid w:val="00A417F8"/>
    <w:rsid w:val="00A425A3"/>
    <w:rsid w:val="00A42D03"/>
    <w:rsid w:val="00A50AF9"/>
    <w:rsid w:val="00A521AB"/>
    <w:rsid w:val="00A525EB"/>
    <w:rsid w:val="00A54855"/>
    <w:rsid w:val="00A5699A"/>
    <w:rsid w:val="00A56A8C"/>
    <w:rsid w:val="00A56CD0"/>
    <w:rsid w:val="00A5729E"/>
    <w:rsid w:val="00A61D3E"/>
    <w:rsid w:val="00A635F2"/>
    <w:rsid w:val="00A66FC8"/>
    <w:rsid w:val="00A74F1C"/>
    <w:rsid w:val="00A75B6B"/>
    <w:rsid w:val="00A7643E"/>
    <w:rsid w:val="00A776D4"/>
    <w:rsid w:val="00A84C34"/>
    <w:rsid w:val="00A85F40"/>
    <w:rsid w:val="00A8627D"/>
    <w:rsid w:val="00A90730"/>
    <w:rsid w:val="00A91F83"/>
    <w:rsid w:val="00A92A15"/>
    <w:rsid w:val="00A945C5"/>
    <w:rsid w:val="00A9649E"/>
    <w:rsid w:val="00AA1341"/>
    <w:rsid w:val="00AA4046"/>
    <w:rsid w:val="00AA4AE9"/>
    <w:rsid w:val="00AB0F5C"/>
    <w:rsid w:val="00AB16D0"/>
    <w:rsid w:val="00AB2C1B"/>
    <w:rsid w:val="00AB6F63"/>
    <w:rsid w:val="00AB7C9C"/>
    <w:rsid w:val="00AB7EE3"/>
    <w:rsid w:val="00AC2724"/>
    <w:rsid w:val="00AC3BF2"/>
    <w:rsid w:val="00AD2584"/>
    <w:rsid w:val="00AD2BC8"/>
    <w:rsid w:val="00AD2DDE"/>
    <w:rsid w:val="00AD4003"/>
    <w:rsid w:val="00AD43E9"/>
    <w:rsid w:val="00AD5483"/>
    <w:rsid w:val="00AD7669"/>
    <w:rsid w:val="00AE05D1"/>
    <w:rsid w:val="00AE1958"/>
    <w:rsid w:val="00AE2539"/>
    <w:rsid w:val="00AE2ABD"/>
    <w:rsid w:val="00AE4B3C"/>
    <w:rsid w:val="00AE6021"/>
    <w:rsid w:val="00AE6E47"/>
    <w:rsid w:val="00AF0249"/>
    <w:rsid w:val="00AF150F"/>
    <w:rsid w:val="00AF2577"/>
    <w:rsid w:val="00AF4737"/>
    <w:rsid w:val="00AF5080"/>
    <w:rsid w:val="00AF58C9"/>
    <w:rsid w:val="00AF6549"/>
    <w:rsid w:val="00B01D35"/>
    <w:rsid w:val="00B0380A"/>
    <w:rsid w:val="00B04182"/>
    <w:rsid w:val="00B0418C"/>
    <w:rsid w:val="00B0470A"/>
    <w:rsid w:val="00B05367"/>
    <w:rsid w:val="00B107D3"/>
    <w:rsid w:val="00B10F32"/>
    <w:rsid w:val="00B133F9"/>
    <w:rsid w:val="00B135A7"/>
    <w:rsid w:val="00B17FC7"/>
    <w:rsid w:val="00B20D22"/>
    <w:rsid w:val="00B2364D"/>
    <w:rsid w:val="00B24CA9"/>
    <w:rsid w:val="00B24DEB"/>
    <w:rsid w:val="00B253B5"/>
    <w:rsid w:val="00B255D5"/>
    <w:rsid w:val="00B260D9"/>
    <w:rsid w:val="00B26297"/>
    <w:rsid w:val="00B27CA1"/>
    <w:rsid w:val="00B315FE"/>
    <w:rsid w:val="00B35E4E"/>
    <w:rsid w:val="00B36692"/>
    <w:rsid w:val="00B42740"/>
    <w:rsid w:val="00B429F5"/>
    <w:rsid w:val="00B45CA2"/>
    <w:rsid w:val="00B463D5"/>
    <w:rsid w:val="00B46A48"/>
    <w:rsid w:val="00B474F5"/>
    <w:rsid w:val="00B518A1"/>
    <w:rsid w:val="00B52B20"/>
    <w:rsid w:val="00B53582"/>
    <w:rsid w:val="00B54B6B"/>
    <w:rsid w:val="00B60E26"/>
    <w:rsid w:val="00B6239D"/>
    <w:rsid w:val="00B634AE"/>
    <w:rsid w:val="00B643A3"/>
    <w:rsid w:val="00B67630"/>
    <w:rsid w:val="00B70B18"/>
    <w:rsid w:val="00B722DE"/>
    <w:rsid w:val="00B73090"/>
    <w:rsid w:val="00B73503"/>
    <w:rsid w:val="00B74CA8"/>
    <w:rsid w:val="00B764FF"/>
    <w:rsid w:val="00B77515"/>
    <w:rsid w:val="00B775CA"/>
    <w:rsid w:val="00B8066C"/>
    <w:rsid w:val="00B80DDB"/>
    <w:rsid w:val="00B81067"/>
    <w:rsid w:val="00B81EE1"/>
    <w:rsid w:val="00B82088"/>
    <w:rsid w:val="00B84D39"/>
    <w:rsid w:val="00B8509E"/>
    <w:rsid w:val="00B851D7"/>
    <w:rsid w:val="00B860F0"/>
    <w:rsid w:val="00B907B4"/>
    <w:rsid w:val="00B90876"/>
    <w:rsid w:val="00B91F8F"/>
    <w:rsid w:val="00B92B9E"/>
    <w:rsid w:val="00B935A3"/>
    <w:rsid w:val="00B9392D"/>
    <w:rsid w:val="00B9442C"/>
    <w:rsid w:val="00B9555D"/>
    <w:rsid w:val="00B96B15"/>
    <w:rsid w:val="00B97BAA"/>
    <w:rsid w:val="00BA1C5E"/>
    <w:rsid w:val="00BA42DD"/>
    <w:rsid w:val="00BA5C9E"/>
    <w:rsid w:val="00BA6103"/>
    <w:rsid w:val="00BA6C07"/>
    <w:rsid w:val="00BA761E"/>
    <w:rsid w:val="00BA7E24"/>
    <w:rsid w:val="00BB3FBE"/>
    <w:rsid w:val="00BC2190"/>
    <w:rsid w:val="00BC44C6"/>
    <w:rsid w:val="00BC603D"/>
    <w:rsid w:val="00BD12B3"/>
    <w:rsid w:val="00BD33E3"/>
    <w:rsid w:val="00BD4700"/>
    <w:rsid w:val="00BD522F"/>
    <w:rsid w:val="00BD551C"/>
    <w:rsid w:val="00BE0E02"/>
    <w:rsid w:val="00BE12C7"/>
    <w:rsid w:val="00BE3BED"/>
    <w:rsid w:val="00BF29D5"/>
    <w:rsid w:val="00C022FD"/>
    <w:rsid w:val="00C03CE1"/>
    <w:rsid w:val="00C07425"/>
    <w:rsid w:val="00C077C4"/>
    <w:rsid w:val="00C129BC"/>
    <w:rsid w:val="00C13B66"/>
    <w:rsid w:val="00C140C5"/>
    <w:rsid w:val="00C15763"/>
    <w:rsid w:val="00C17266"/>
    <w:rsid w:val="00C21BB0"/>
    <w:rsid w:val="00C22320"/>
    <w:rsid w:val="00C22420"/>
    <w:rsid w:val="00C24730"/>
    <w:rsid w:val="00C27187"/>
    <w:rsid w:val="00C3016F"/>
    <w:rsid w:val="00C31922"/>
    <w:rsid w:val="00C32EDF"/>
    <w:rsid w:val="00C3387C"/>
    <w:rsid w:val="00C34423"/>
    <w:rsid w:val="00C35B23"/>
    <w:rsid w:val="00C3662E"/>
    <w:rsid w:val="00C37811"/>
    <w:rsid w:val="00C405FD"/>
    <w:rsid w:val="00C42573"/>
    <w:rsid w:val="00C42CED"/>
    <w:rsid w:val="00C4312D"/>
    <w:rsid w:val="00C450DA"/>
    <w:rsid w:val="00C5024A"/>
    <w:rsid w:val="00C56DAC"/>
    <w:rsid w:val="00C57107"/>
    <w:rsid w:val="00C62978"/>
    <w:rsid w:val="00C62C2D"/>
    <w:rsid w:val="00C63E78"/>
    <w:rsid w:val="00C6505E"/>
    <w:rsid w:val="00C70400"/>
    <w:rsid w:val="00C707DE"/>
    <w:rsid w:val="00C712B2"/>
    <w:rsid w:val="00C82E8A"/>
    <w:rsid w:val="00C82F84"/>
    <w:rsid w:val="00C855E8"/>
    <w:rsid w:val="00C8747A"/>
    <w:rsid w:val="00C90CAA"/>
    <w:rsid w:val="00C9227C"/>
    <w:rsid w:val="00C94C15"/>
    <w:rsid w:val="00C9557D"/>
    <w:rsid w:val="00C955FD"/>
    <w:rsid w:val="00CA2740"/>
    <w:rsid w:val="00CA5571"/>
    <w:rsid w:val="00CB059E"/>
    <w:rsid w:val="00CB5B80"/>
    <w:rsid w:val="00CB5F4A"/>
    <w:rsid w:val="00CC0B22"/>
    <w:rsid w:val="00CC12E6"/>
    <w:rsid w:val="00CC2E25"/>
    <w:rsid w:val="00CC4D27"/>
    <w:rsid w:val="00CC4E2C"/>
    <w:rsid w:val="00CC7C64"/>
    <w:rsid w:val="00CD0B47"/>
    <w:rsid w:val="00CD2017"/>
    <w:rsid w:val="00CD5503"/>
    <w:rsid w:val="00CD5E8B"/>
    <w:rsid w:val="00CD7DBF"/>
    <w:rsid w:val="00CE23DC"/>
    <w:rsid w:val="00CE4BE0"/>
    <w:rsid w:val="00CE656F"/>
    <w:rsid w:val="00CE671E"/>
    <w:rsid w:val="00CF1DCB"/>
    <w:rsid w:val="00CF2C0E"/>
    <w:rsid w:val="00CF3DC9"/>
    <w:rsid w:val="00CF406F"/>
    <w:rsid w:val="00CF5E2A"/>
    <w:rsid w:val="00CF5F1A"/>
    <w:rsid w:val="00CF6B6F"/>
    <w:rsid w:val="00CF6F65"/>
    <w:rsid w:val="00D0010D"/>
    <w:rsid w:val="00D010E8"/>
    <w:rsid w:val="00D02C04"/>
    <w:rsid w:val="00D03CFA"/>
    <w:rsid w:val="00D04468"/>
    <w:rsid w:val="00D05DC9"/>
    <w:rsid w:val="00D10F41"/>
    <w:rsid w:val="00D133B2"/>
    <w:rsid w:val="00D138E8"/>
    <w:rsid w:val="00D13BDF"/>
    <w:rsid w:val="00D142DF"/>
    <w:rsid w:val="00D20259"/>
    <w:rsid w:val="00D208BA"/>
    <w:rsid w:val="00D21668"/>
    <w:rsid w:val="00D216BC"/>
    <w:rsid w:val="00D22741"/>
    <w:rsid w:val="00D23411"/>
    <w:rsid w:val="00D2789F"/>
    <w:rsid w:val="00D3221E"/>
    <w:rsid w:val="00D37965"/>
    <w:rsid w:val="00D37E33"/>
    <w:rsid w:val="00D40945"/>
    <w:rsid w:val="00D42B1B"/>
    <w:rsid w:val="00D42F8F"/>
    <w:rsid w:val="00D430D8"/>
    <w:rsid w:val="00D43B49"/>
    <w:rsid w:val="00D455B9"/>
    <w:rsid w:val="00D45ADF"/>
    <w:rsid w:val="00D46520"/>
    <w:rsid w:val="00D5116E"/>
    <w:rsid w:val="00D5161E"/>
    <w:rsid w:val="00D52B44"/>
    <w:rsid w:val="00D5489D"/>
    <w:rsid w:val="00D55B62"/>
    <w:rsid w:val="00D56C61"/>
    <w:rsid w:val="00D61EB4"/>
    <w:rsid w:val="00D62D92"/>
    <w:rsid w:val="00D631BF"/>
    <w:rsid w:val="00D63FA4"/>
    <w:rsid w:val="00D702D9"/>
    <w:rsid w:val="00D70AF1"/>
    <w:rsid w:val="00D70D80"/>
    <w:rsid w:val="00D7219C"/>
    <w:rsid w:val="00D779C6"/>
    <w:rsid w:val="00D82267"/>
    <w:rsid w:val="00D857AA"/>
    <w:rsid w:val="00D866F3"/>
    <w:rsid w:val="00D90813"/>
    <w:rsid w:val="00D90FF1"/>
    <w:rsid w:val="00D91198"/>
    <w:rsid w:val="00D922BA"/>
    <w:rsid w:val="00D92406"/>
    <w:rsid w:val="00D92495"/>
    <w:rsid w:val="00D9407C"/>
    <w:rsid w:val="00D948EA"/>
    <w:rsid w:val="00D97C17"/>
    <w:rsid w:val="00DA0695"/>
    <w:rsid w:val="00DA07F1"/>
    <w:rsid w:val="00DA098C"/>
    <w:rsid w:val="00DA2AB8"/>
    <w:rsid w:val="00DA38BF"/>
    <w:rsid w:val="00DA7C24"/>
    <w:rsid w:val="00DB0228"/>
    <w:rsid w:val="00DB2CAC"/>
    <w:rsid w:val="00DB62F8"/>
    <w:rsid w:val="00DB77A4"/>
    <w:rsid w:val="00DB7F83"/>
    <w:rsid w:val="00DC01B8"/>
    <w:rsid w:val="00DC184B"/>
    <w:rsid w:val="00DC22AD"/>
    <w:rsid w:val="00DC3E9E"/>
    <w:rsid w:val="00DC45C3"/>
    <w:rsid w:val="00DC54CD"/>
    <w:rsid w:val="00DC6EF6"/>
    <w:rsid w:val="00DC79A2"/>
    <w:rsid w:val="00DD06F4"/>
    <w:rsid w:val="00DD500F"/>
    <w:rsid w:val="00DD6174"/>
    <w:rsid w:val="00DD72DF"/>
    <w:rsid w:val="00DD7F67"/>
    <w:rsid w:val="00DE1E3A"/>
    <w:rsid w:val="00DE236D"/>
    <w:rsid w:val="00DE29E4"/>
    <w:rsid w:val="00DE51BB"/>
    <w:rsid w:val="00DF3705"/>
    <w:rsid w:val="00DF3A0F"/>
    <w:rsid w:val="00DF53E4"/>
    <w:rsid w:val="00DF5650"/>
    <w:rsid w:val="00E01DF7"/>
    <w:rsid w:val="00E03F1E"/>
    <w:rsid w:val="00E06600"/>
    <w:rsid w:val="00E133BC"/>
    <w:rsid w:val="00E15837"/>
    <w:rsid w:val="00E15E8A"/>
    <w:rsid w:val="00E15F9A"/>
    <w:rsid w:val="00E16099"/>
    <w:rsid w:val="00E162F2"/>
    <w:rsid w:val="00E20DA0"/>
    <w:rsid w:val="00E2136E"/>
    <w:rsid w:val="00E2160B"/>
    <w:rsid w:val="00E22926"/>
    <w:rsid w:val="00E25AF8"/>
    <w:rsid w:val="00E26A8C"/>
    <w:rsid w:val="00E26D40"/>
    <w:rsid w:val="00E27660"/>
    <w:rsid w:val="00E279AC"/>
    <w:rsid w:val="00E30A40"/>
    <w:rsid w:val="00E31A6A"/>
    <w:rsid w:val="00E325E1"/>
    <w:rsid w:val="00E349F1"/>
    <w:rsid w:val="00E36C27"/>
    <w:rsid w:val="00E37D8D"/>
    <w:rsid w:val="00E434D6"/>
    <w:rsid w:val="00E44ED8"/>
    <w:rsid w:val="00E45131"/>
    <w:rsid w:val="00E4638D"/>
    <w:rsid w:val="00E46822"/>
    <w:rsid w:val="00E46BDF"/>
    <w:rsid w:val="00E547DB"/>
    <w:rsid w:val="00E555BF"/>
    <w:rsid w:val="00E61949"/>
    <w:rsid w:val="00E63990"/>
    <w:rsid w:val="00E6586A"/>
    <w:rsid w:val="00E670C7"/>
    <w:rsid w:val="00E70DCE"/>
    <w:rsid w:val="00E70E14"/>
    <w:rsid w:val="00E71219"/>
    <w:rsid w:val="00E726E9"/>
    <w:rsid w:val="00E75654"/>
    <w:rsid w:val="00E75DD1"/>
    <w:rsid w:val="00E80950"/>
    <w:rsid w:val="00E82142"/>
    <w:rsid w:val="00E82E7A"/>
    <w:rsid w:val="00E83393"/>
    <w:rsid w:val="00E84D1B"/>
    <w:rsid w:val="00E87276"/>
    <w:rsid w:val="00E94538"/>
    <w:rsid w:val="00E97023"/>
    <w:rsid w:val="00EA446A"/>
    <w:rsid w:val="00EA52B8"/>
    <w:rsid w:val="00EA576C"/>
    <w:rsid w:val="00EA7273"/>
    <w:rsid w:val="00EA7DC1"/>
    <w:rsid w:val="00EB494A"/>
    <w:rsid w:val="00EB5BA2"/>
    <w:rsid w:val="00EB5C28"/>
    <w:rsid w:val="00EB6CAB"/>
    <w:rsid w:val="00EB7846"/>
    <w:rsid w:val="00EB7B23"/>
    <w:rsid w:val="00EC00B1"/>
    <w:rsid w:val="00EC00C7"/>
    <w:rsid w:val="00EC0DC3"/>
    <w:rsid w:val="00EC0FA7"/>
    <w:rsid w:val="00EC193C"/>
    <w:rsid w:val="00EC20E1"/>
    <w:rsid w:val="00EC50AB"/>
    <w:rsid w:val="00EC6884"/>
    <w:rsid w:val="00EC7B43"/>
    <w:rsid w:val="00ED05B9"/>
    <w:rsid w:val="00ED1D7C"/>
    <w:rsid w:val="00ED6A1C"/>
    <w:rsid w:val="00ED7A4C"/>
    <w:rsid w:val="00EE3AFB"/>
    <w:rsid w:val="00EE3EF1"/>
    <w:rsid w:val="00EE4374"/>
    <w:rsid w:val="00EE6022"/>
    <w:rsid w:val="00EF092C"/>
    <w:rsid w:val="00EF0B65"/>
    <w:rsid w:val="00EF0D19"/>
    <w:rsid w:val="00EF1577"/>
    <w:rsid w:val="00EF2413"/>
    <w:rsid w:val="00EF4F7A"/>
    <w:rsid w:val="00EF5F6A"/>
    <w:rsid w:val="00EF6BD4"/>
    <w:rsid w:val="00F02A47"/>
    <w:rsid w:val="00F02F20"/>
    <w:rsid w:val="00F046AE"/>
    <w:rsid w:val="00F05BCF"/>
    <w:rsid w:val="00F05C18"/>
    <w:rsid w:val="00F10B10"/>
    <w:rsid w:val="00F121B0"/>
    <w:rsid w:val="00F13BDD"/>
    <w:rsid w:val="00F157DD"/>
    <w:rsid w:val="00F15F90"/>
    <w:rsid w:val="00F175DA"/>
    <w:rsid w:val="00F2078F"/>
    <w:rsid w:val="00F21465"/>
    <w:rsid w:val="00F22999"/>
    <w:rsid w:val="00F26D0F"/>
    <w:rsid w:val="00F31299"/>
    <w:rsid w:val="00F32746"/>
    <w:rsid w:val="00F33E1D"/>
    <w:rsid w:val="00F364F5"/>
    <w:rsid w:val="00F37282"/>
    <w:rsid w:val="00F376E9"/>
    <w:rsid w:val="00F37D92"/>
    <w:rsid w:val="00F40526"/>
    <w:rsid w:val="00F41AE4"/>
    <w:rsid w:val="00F45BBF"/>
    <w:rsid w:val="00F45ED7"/>
    <w:rsid w:val="00F463FD"/>
    <w:rsid w:val="00F50214"/>
    <w:rsid w:val="00F507DC"/>
    <w:rsid w:val="00F52470"/>
    <w:rsid w:val="00F5437B"/>
    <w:rsid w:val="00F545C4"/>
    <w:rsid w:val="00F55C8C"/>
    <w:rsid w:val="00F564CE"/>
    <w:rsid w:val="00F6065C"/>
    <w:rsid w:val="00F61EB1"/>
    <w:rsid w:val="00F61F61"/>
    <w:rsid w:val="00F62098"/>
    <w:rsid w:val="00F62C8B"/>
    <w:rsid w:val="00F63F31"/>
    <w:rsid w:val="00F645C4"/>
    <w:rsid w:val="00F67336"/>
    <w:rsid w:val="00F72574"/>
    <w:rsid w:val="00F73E1A"/>
    <w:rsid w:val="00F74489"/>
    <w:rsid w:val="00F756B4"/>
    <w:rsid w:val="00F802D4"/>
    <w:rsid w:val="00F82255"/>
    <w:rsid w:val="00F82C93"/>
    <w:rsid w:val="00F844F8"/>
    <w:rsid w:val="00F8688A"/>
    <w:rsid w:val="00F868A5"/>
    <w:rsid w:val="00F90F21"/>
    <w:rsid w:val="00F91982"/>
    <w:rsid w:val="00F92D30"/>
    <w:rsid w:val="00F92E47"/>
    <w:rsid w:val="00F93BA9"/>
    <w:rsid w:val="00F95F34"/>
    <w:rsid w:val="00F96DE1"/>
    <w:rsid w:val="00F97779"/>
    <w:rsid w:val="00FA1458"/>
    <w:rsid w:val="00FA2DA2"/>
    <w:rsid w:val="00FA2E62"/>
    <w:rsid w:val="00FA311A"/>
    <w:rsid w:val="00FB0D7F"/>
    <w:rsid w:val="00FB16A8"/>
    <w:rsid w:val="00FB4CED"/>
    <w:rsid w:val="00FC0149"/>
    <w:rsid w:val="00FC0F86"/>
    <w:rsid w:val="00FC11B6"/>
    <w:rsid w:val="00FC122A"/>
    <w:rsid w:val="00FC1AAD"/>
    <w:rsid w:val="00FC3437"/>
    <w:rsid w:val="00FC4C1F"/>
    <w:rsid w:val="00FC5EE8"/>
    <w:rsid w:val="00FD3EB1"/>
    <w:rsid w:val="00FE0FE8"/>
    <w:rsid w:val="00FE7379"/>
    <w:rsid w:val="00FF059B"/>
    <w:rsid w:val="00FF0B1A"/>
    <w:rsid w:val="00FF3102"/>
    <w:rsid w:val="00FF362E"/>
    <w:rsid w:val="00FF53DC"/>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BC9"/>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rsid w:val="00144BCD"/>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fr-BE" w:eastAsia="fr-BE"/>
    </w:rPr>
  </w:style>
  <w:style w:type="paragraph" w:styleId="Titre2">
    <w:name w:val="heading 2"/>
    <w:basedOn w:val="Normal"/>
    <w:next w:val="Normal"/>
    <w:link w:val="Titre2Car"/>
    <w:uiPriority w:val="9"/>
    <w:semiHidden/>
    <w:unhideWhenUsed/>
    <w:rsid w:val="00144BCD"/>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fr-BE" w:eastAsia="fr-BE"/>
    </w:rPr>
  </w:style>
  <w:style w:type="paragraph" w:styleId="Titre3">
    <w:name w:val="heading 3"/>
    <w:basedOn w:val="Normal"/>
    <w:next w:val="Normal"/>
    <w:link w:val="Titre3Car"/>
    <w:uiPriority w:val="9"/>
    <w:semiHidden/>
    <w:unhideWhenUsed/>
    <w:qFormat/>
    <w:rsid w:val="00144BCD"/>
    <w:pPr>
      <w:keepNext/>
      <w:keepLines/>
      <w:spacing w:before="40" w:line="276" w:lineRule="auto"/>
      <w:outlineLvl w:val="2"/>
    </w:pPr>
    <w:rPr>
      <w:rFonts w:asciiTheme="majorHAnsi" w:eastAsiaTheme="majorEastAsia" w:hAnsiTheme="majorHAnsi" w:cstheme="majorBidi"/>
      <w:color w:val="243F60" w:themeColor="accent1" w:themeShade="7F"/>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47DB"/>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En-tteCar">
    <w:name w:val="En-tête Car"/>
    <w:basedOn w:val="Policepardfaut"/>
    <w:link w:val="En-tte"/>
    <w:uiPriority w:val="99"/>
    <w:rsid w:val="00E547DB"/>
  </w:style>
  <w:style w:type="paragraph" w:styleId="Pieddepage">
    <w:name w:val="footer"/>
    <w:basedOn w:val="Normal"/>
    <w:link w:val="PieddepageCar"/>
    <w:uiPriority w:val="99"/>
    <w:unhideWhenUsed/>
    <w:rsid w:val="00E547DB"/>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PieddepageCar">
    <w:name w:val="Pied de page Car"/>
    <w:basedOn w:val="Policepardfaut"/>
    <w:link w:val="Pieddepage"/>
    <w:uiPriority w:val="99"/>
    <w:rsid w:val="00E547DB"/>
  </w:style>
  <w:style w:type="paragraph" w:styleId="Textedebulles">
    <w:name w:val="Balloon Text"/>
    <w:basedOn w:val="Normal"/>
    <w:link w:val="TextedebullesCar"/>
    <w:uiPriority w:val="99"/>
    <w:semiHidden/>
    <w:unhideWhenUsed/>
    <w:rsid w:val="00E547DB"/>
    <w:rPr>
      <w:rFonts w:ascii="Tahoma" w:eastAsiaTheme="minorHAnsi" w:hAnsi="Tahoma" w:cs="Tahoma"/>
      <w:sz w:val="16"/>
      <w:szCs w:val="16"/>
      <w:lang w:val="en-GB" w:eastAsia="en-US"/>
    </w:rPr>
  </w:style>
  <w:style w:type="character" w:customStyle="1" w:styleId="TextedebullesCar">
    <w:name w:val="Texte de bulles Car"/>
    <w:basedOn w:val="Policepardfaut"/>
    <w:link w:val="Textedebulle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pPr>
    <w:rPr>
      <w:rFonts w:asciiTheme="minorHAnsi" w:eastAsiaTheme="minorHAnsi" w:hAnsiTheme="minorHAnsi"/>
      <w:b/>
      <w:sz w:val="29"/>
      <w:szCs w:val="32"/>
      <w:lang w:val="en-GB" w:eastAsia="en-US"/>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asciiTheme="minorHAnsi" w:eastAsiaTheme="minorHAnsi" w:hAnsiTheme="minorHAnsi"/>
      <w:sz w:val="20"/>
      <w:szCs w:val="22"/>
      <w:lang w:val="en-GB" w:eastAsia="en-US"/>
    </w:rPr>
  </w:style>
  <w:style w:type="paragraph" w:customStyle="1" w:styleId="RSCB01ARTAbstract">
    <w:name w:val="RSC B01 ART Abstract"/>
    <w:basedOn w:val="Normal"/>
    <w:link w:val="RSCB01ARTAbstractChar"/>
    <w:qFormat/>
    <w:rsid w:val="00FA2DA2"/>
    <w:pPr>
      <w:spacing w:after="200" w:line="240" w:lineRule="exact"/>
      <w:jc w:val="both"/>
    </w:pPr>
    <w:rPr>
      <w:rFonts w:asciiTheme="minorHAnsi" w:eastAsiaTheme="minorHAnsi" w:hAnsiTheme="minorHAnsi" w:cstheme="minorBidi"/>
      <w:noProof/>
      <w:sz w:val="16"/>
      <w:szCs w:val="22"/>
      <w:lang w:val="en-GB" w:eastAsia="en-GB"/>
    </w:rPr>
  </w:style>
  <w:style w:type="table" w:styleId="Grilledutableau">
    <w:name w:val="Table Grid"/>
    <w:basedOn w:val="Tableau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line="240" w:lineRule="exact"/>
      <w:jc w:val="both"/>
    </w:pPr>
    <w:rPr>
      <w:rFonts w:asciiTheme="minorHAnsi" w:eastAsiaTheme="minorHAnsi" w:hAnsiTheme="minorHAnsi"/>
      <w:w w:val="108"/>
      <w:sz w:val="18"/>
      <w:szCs w:val="18"/>
      <w:lang w:val="en-GB" w:eastAsia="en-US"/>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Policepardfau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jc w:val="both"/>
    </w:pPr>
    <w:rPr>
      <w:rFonts w:asciiTheme="minorHAnsi" w:eastAsiaTheme="minorHAnsi" w:hAnsiTheme="minorHAnsi"/>
      <w:w w:val="108"/>
      <w:sz w:val="14"/>
      <w:szCs w:val="18"/>
      <w:lang w:val="en-GB" w:eastAsia="en-US"/>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asciiTheme="minorHAnsi" w:eastAsiaTheme="minorHAnsi" w:hAnsiTheme="minorHAnsi" w:cstheme="minorHAnsi"/>
      <w:w w:val="108"/>
      <w:sz w:val="14"/>
      <w:szCs w:val="14"/>
      <w:lang w:val="en-GB" w:eastAsia="en-US"/>
    </w:rPr>
  </w:style>
  <w:style w:type="paragraph" w:customStyle="1" w:styleId="RSCI03FigureSchemeChartUncaptioned">
    <w:name w:val="RSC I03 Figure/Scheme/Chart Uncaptioned"/>
    <w:basedOn w:val="Normal"/>
    <w:link w:val="RSCI03FigureSchemeChartUncaptionedChar"/>
    <w:qFormat/>
    <w:rsid w:val="006556AC"/>
    <w:pPr>
      <w:spacing w:before="160" w:after="160"/>
      <w:jc w:val="center"/>
    </w:pPr>
    <w:rPr>
      <w:rFonts w:asciiTheme="minorHAnsi" w:eastAsiaTheme="minorHAnsi" w:hAnsiTheme="minorHAnsi"/>
      <w:sz w:val="16"/>
      <w:szCs w:val="16"/>
      <w:lang w:val="en-GB" w:eastAsia="en-US"/>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pPr>
    <w:rPr>
      <w:rFonts w:eastAsiaTheme="minorHAnsi" w:cstheme="minorBidi"/>
      <w:sz w:val="18"/>
      <w:szCs w:val="22"/>
      <w:lang w:val="en-GB" w:eastAsia="en-US"/>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uppressOverlap/>
      <w:jc w:val="both"/>
    </w:pPr>
    <w:rPr>
      <w:rFonts w:asciiTheme="minorHAnsi" w:eastAsiaTheme="minorHAnsi" w:hAnsiTheme="minorHAnsi"/>
      <w:w w:val="105"/>
      <w:sz w:val="14"/>
      <w:szCs w:val="14"/>
      <w:lang w:val="en-GB" w:eastAsia="en-US"/>
    </w:rPr>
  </w:style>
  <w:style w:type="character" w:customStyle="1" w:styleId="RSCF01FootnoteAuthorAddressChar">
    <w:name w:val="RSC F01 Footnote Author Address Char"/>
    <w:basedOn w:val="Policepardfau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Policepardfaut"/>
    <w:link w:val="RSCF02FootnotestoTitleAuthors"/>
    <w:rsid w:val="006556AC"/>
    <w:rPr>
      <w:rFonts w:cs="Times New Roman"/>
      <w:w w:val="105"/>
      <w:sz w:val="14"/>
      <w:szCs w:val="14"/>
    </w:rPr>
  </w:style>
  <w:style w:type="paragraph" w:styleId="Sansinterligne">
    <w:name w:val="No Spacing"/>
    <w:uiPriority w:val="1"/>
    <w:rsid w:val="00272D6F"/>
    <w:pPr>
      <w:spacing w:after="0" w:line="240" w:lineRule="auto"/>
    </w:pPr>
  </w:style>
  <w:style w:type="character" w:customStyle="1" w:styleId="RSCR02ReferencesChar">
    <w:name w:val="RSC R02 References Char"/>
    <w:basedOn w:val="Policepardfau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pPr>
    <w:rPr>
      <w:rFonts w:asciiTheme="minorHAnsi" w:eastAsiaTheme="minorHAnsi" w:hAnsiTheme="minorHAnsi" w:cstheme="minorBidi"/>
      <w:b/>
      <w:szCs w:val="22"/>
      <w:lang w:val="en-GB" w:eastAsia="en-US"/>
    </w:rPr>
  </w:style>
  <w:style w:type="character" w:customStyle="1" w:styleId="RSCH01PaperTitleChar">
    <w:name w:val="RSC H01 Paper Title Char"/>
    <w:basedOn w:val="Policepardfaut"/>
    <w:link w:val="RSCH01PaperTitle"/>
    <w:rsid w:val="00C32EDF"/>
    <w:rPr>
      <w:rFonts w:cs="Times New Roman"/>
      <w:b/>
      <w:sz w:val="29"/>
      <w:szCs w:val="32"/>
    </w:rPr>
  </w:style>
  <w:style w:type="character" w:customStyle="1" w:styleId="RSCH02PaperAuthorsandBylineChar">
    <w:name w:val="RSC H02 Paper Authors and Byline Char"/>
    <w:basedOn w:val="Policepardfaut"/>
    <w:link w:val="RSCH02PaperAuthorsandByline"/>
    <w:rsid w:val="001633D9"/>
    <w:rPr>
      <w:rFonts w:cs="Times New Roman"/>
      <w:sz w:val="20"/>
    </w:rPr>
  </w:style>
  <w:style w:type="character" w:customStyle="1" w:styleId="RSCB01ARTAbstractChar">
    <w:name w:val="RSC B01 ART Abstract Char"/>
    <w:basedOn w:val="Policepardfau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Policepardfau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asciiTheme="minorHAnsi" w:hAnsiTheme="minorHAnsi"/>
      <w:sz w:val="14"/>
      <w:szCs w:val="20"/>
      <w:lang w:val="en-GB" w:eastAsia="en-GB"/>
    </w:rPr>
  </w:style>
  <w:style w:type="character" w:customStyle="1" w:styleId="RSCI02FigureSchemeChartwithtopbarChar">
    <w:name w:val="RSC I02 Figure/Scheme/Chart with top bar Char"/>
    <w:basedOn w:val="Policepardfau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Policepardfau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Policepardfaut"/>
    <w:link w:val="RSCI03FigureSchemeChartUncaptioned"/>
    <w:rsid w:val="006556AC"/>
    <w:rPr>
      <w:rFonts w:cs="Times New Roman"/>
      <w:sz w:val="16"/>
      <w:szCs w:val="16"/>
    </w:rPr>
  </w:style>
  <w:style w:type="character" w:customStyle="1" w:styleId="RSCB03MathematicsGreeketcChar">
    <w:name w:val="RSC B03 Mathematics/Greek etc Char"/>
    <w:basedOn w:val="Policepardfau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line="220" w:lineRule="exact"/>
      <w:jc w:val="center"/>
    </w:pPr>
    <w:rPr>
      <w:rFonts w:asciiTheme="minorHAnsi" w:hAnsiTheme="minorHAnsi"/>
      <w:sz w:val="16"/>
      <w:szCs w:val="16"/>
      <w:lang w:val="en-GB" w:eastAsia="en-GB"/>
    </w:rPr>
  </w:style>
  <w:style w:type="character" w:customStyle="1" w:styleId="RSCT01TableTitlewithtopbarChar">
    <w:name w:val="RSC T01 Table Title with top bar Char"/>
    <w:basedOn w:val="Policepardfau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asciiTheme="minorHAnsi" w:hAnsiTheme="minorHAnsi"/>
      <w:sz w:val="15"/>
      <w:szCs w:val="20"/>
      <w:lang w:val="en-GB" w:eastAsia="en-GB"/>
    </w:rPr>
  </w:style>
  <w:style w:type="character" w:customStyle="1" w:styleId="RSCT03TableBodyChar">
    <w:name w:val="RSC T03 Table Body Char"/>
    <w:basedOn w:val="Policepardfau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Policepardfaut"/>
    <w:link w:val="RSCT04TableFootnotewithbottombar"/>
    <w:rsid w:val="006556AC"/>
    <w:rPr>
      <w:rFonts w:eastAsia="Times New Roman" w:cs="Times New Roman"/>
      <w:sz w:val="15"/>
      <w:szCs w:val="20"/>
      <w:lang w:eastAsia="en-GB"/>
    </w:rPr>
  </w:style>
  <w:style w:type="character" w:styleId="Lienhypertexte">
    <w:name w:val="Hyperlink"/>
    <w:basedOn w:val="Policepardfaut"/>
    <w:uiPriority w:val="99"/>
    <w:unhideWhenUsed/>
    <w:rsid w:val="005037CD"/>
    <w:rPr>
      <w:color w:val="0000FF" w:themeColor="hyperlink"/>
      <w:u w:val="single"/>
    </w:rPr>
  </w:style>
  <w:style w:type="paragraph" w:styleId="Paragraphedeliste">
    <w:name w:val="List Paragraph"/>
    <w:basedOn w:val="Normal"/>
    <w:uiPriority w:val="34"/>
    <w:qFormat/>
    <w:rsid w:val="00F15F90"/>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Rvision">
    <w:name w:val="Revision"/>
    <w:hidden/>
    <w:uiPriority w:val="99"/>
    <w:semiHidden/>
    <w:rsid w:val="000D5891"/>
    <w:pPr>
      <w:spacing w:after="0" w:line="240" w:lineRule="auto"/>
    </w:pPr>
  </w:style>
  <w:style w:type="paragraph" w:styleId="Notedebasdepage">
    <w:name w:val="footnote text"/>
    <w:basedOn w:val="Normal"/>
    <w:link w:val="NotedebasdepageCar"/>
    <w:uiPriority w:val="99"/>
    <w:semiHidden/>
    <w:unhideWhenUsed/>
    <w:rsid w:val="00CA2740"/>
    <w:rPr>
      <w:rFonts w:asciiTheme="minorHAnsi" w:eastAsiaTheme="minorHAnsi" w:hAnsiTheme="minorHAnsi" w:cstheme="minorBidi"/>
      <w:sz w:val="20"/>
      <w:szCs w:val="20"/>
      <w:lang w:val="en-GB" w:eastAsia="en-US"/>
    </w:rPr>
  </w:style>
  <w:style w:type="character" w:customStyle="1" w:styleId="NotedebasdepageCar">
    <w:name w:val="Note de bas de page Car"/>
    <w:basedOn w:val="Policepardfaut"/>
    <w:link w:val="Notedebasdepage"/>
    <w:uiPriority w:val="99"/>
    <w:semiHidden/>
    <w:rsid w:val="00CA2740"/>
    <w:rPr>
      <w:sz w:val="20"/>
      <w:szCs w:val="20"/>
    </w:rPr>
  </w:style>
  <w:style w:type="character" w:styleId="Appelnotedebasdep">
    <w:name w:val="footnote reference"/>
    <w:basedOn w:val="Policepardfau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pPr>
    <w:rPr>
      <w:lang w:val="en-GB" w:eastAsia="en-GB"/>
    </w:rPr>
  </w:style>
  <w:style w:type="paragraph" w:styleId="Lgende">
    <w:name w:val="caption"/>
    <w:basedOn w:val="Normal"/>
    <w:next w:val="Normal"/>
    <w:uiPriority w:val="35"/>
    <w:unhideWhenUsed/>
    <w:rsid w:val="00B0470A"/>
    <w:pPr>
      <w:spacing w:after="200" w:line="200" w:lineRule="exact"/>
    </w:pPr>
    <w:rPr>
      <w:rFonts w:asciiTheme="minorHAnsi" w:eastAsiaTheme="minorHAnsi" w:hAnsiTheme="minorHAnsi" w:cstheme="minorBidi"/>
      <w:bCs/>
      <w:sz w:val="14"/>
      <w:szCs w:val="18"/>
      <w:lang w:val="en-GB" w:eastAsia="en-US"/>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Policepardfau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line="180" w:lineRule="exact"/>
      <w:contextualSpacing/>
    </w:pPr>
    <w:rPr>
      <w:rFonts w:asciiTheme="minorHAnsi" w:eastAsiaTheme="minorEastAsia" w:hAnsiTheme="minorHAnsi" w:cstheme="minorBid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line="180" w:lineRule="exact"/>
    </w:pPr>
    <w:rPr>
      <w:rFonts w:asciiTheme="minorHAnsi" w:eastAsiaTheme="minorHAnsi" w:hAnsiTheme="minorHAnsi" w:cstheme="minorBidi"/>
      <w:sz w:val="14"/>
      <w:szCs w:val="14"/>
      <w:lang w:val="en-GB" w:eastAsia="en-US"/>
    </w:rPr>
  </w:style>
  <w:style w:type="character" w:customStyle="1" w:styleId="RSCM01ReceivedAcceptedChar">
    <w:name w:val="RSC M01 Received/Accepted Char"/>
    <w:basedOn w:val="Policepardfau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after="200" w:line="400" w:lineRule="exact"/>
    </w:pPr>
    <w:rPr>
      <w:rFonts w:asciiTheme="minorHAnsi" w:eastAsiaTheme="minorHAnsi" w:hAnsiTheme="minorHAnsi" w:cstheme="minorBidi"/>
      <w:b/>
      <w:sz w:val="14"/>
      <w:szCs w:val="14"/>
      <w:lang w:val="en-GB" w:eastAsia="en-US"/>
    </w:rPr>
  </w:style>
  <w:style w:type="character" w:customStyle="1" w:styleId="RSCM02DOIChar">
    <w:name w:val="RSC M02 DOI Char"/>
    <w:basedOn w:val="Policepardfau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Policepardfau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Policepardfau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Policepardfaut"/>
    <w:link w:val="RSCB07BHeadingSub-Section-standalone"/>
    <w:rsid w:val="00EF6BD4"/>
    <w:rPr>
      <w:b/>
      <w:sz w:val="18"/>
    </w:rPr>
  </w:style>
  <w:style w:type="character" w:customStyle="1" w:styleId="RSCB08CHeadingIn-lineChar">
    <w:name w:val="RSC B08 C Heading (In-line) Char"/>
    <w:basedOn w:val="Policepardfau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pPr>
    <w:rPr>
      <w:rFonts w:ascii="Calibri" w:eastAsia="Calibri" w:hAnsi="Calibri"/>
      <w:b/>
      <w:sz w:val="22"/>
      <w:szCs w:val="22"/>
      <w:lang w:val="en-GB" w:eastAsia="en-US"/>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line="240" w:lineRule="exact"/>
      <w:jc w:val="both"/>
    </w:pPr>
    <w:rPr>
      <w:rFonts w:eastAsia="Calibri"/>
      <w:w w:val="108"/>
      <w:sz w:val="18"/>
      <w:szCs w:val="18"/>
      <w:lang w:val="en-GB" w:eastAsia="en-US"/>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Lienhypertextesuivivisit">
    <w:name w:val="FollowedHyperlink"/>
    <w:basedOn w:val="Policepardfaut"/>
    <w:uiPriority w:val="99"/>
    <w:semiHidden/>
    <w:unhideWhenUsed/>
    <w:rsid w:val="0024022C"/>
    <w:rPr>
      <w:color w:val="800080" w:themeColor="followedHyperlink"/>
      <w:u w:val="single"/>
    </w:rPr>
  </w:style>
  <w:style w:type="character" w:styleId="Marquedecommentaire">
    <w:name w:val="annotation reference"/>
    <w:basedOn w:val="Policepardfaut"/>
    <w:uiPriority w:val="99"/>
    <w:semiHidden/>
    <w:unhideWhenUsed/>
    <w:rsid w:val="0060627E"/>
    <w:rPr>
      <w:sz w:val="16"/>
      <w:szCs w:val="16"/>
    </w:rPr>
  </w:style>
  <w:style w:type="paragraph" w:styleId="Commentaire">
    <w:name w:val="annotation text"/>
    <w:basedOn w:val="Normal"/>
    <w:link w:val="CommentaireCar"/>
    <w:uiPriority w:val="99"/>
    <w:unhideWhenUsed/>
    <w:rsid w:val="0060627E"/>
    <w:pPr>
      <w:spacing w:after="200"/>
    </w:pPr>
    <w:rPr>
      <w:rFonts w:asciiTheme="minorHAnsi" w:eastAsiaTheme="minorHAnsi" w:hAnsiTheme="minorHAnsi" w:cstheme="minorBidi"/>
      <w:sz w:val="20"/>
      <w:szCs w:val="20"/>
      <w:lang w:val="en-GB" w:eastAsia="en-US"/>
    </w:rPr>
  </w:style>
  <w:style w:type="character" w:customStyle="1" w:styleId="CommentaireCar">
    <w:name w:val="Commentaire Car"/>
    <w:basedOn w:val="Policepardfaut"/>
    <w:link w:val="Commentaire"/>
    <w:uiPriority w:val="99"/>
    <w:rsid w:val="0060627E"/>
    <w:rPr>
      <w:sz w:val="20"/>
      <w:szCs w:val="20"/>
    </w:rPr>
  </w:style>
  <w:style w:type="paragraph" w:styleId="Objetducommentaire">
    <w:name w:val="annotation subject"/>
    <w:basedOn w:val="Commentaire"/>
    <w:next w:val="Commentaire"/>
    <w:link w:val="ObjetducommentaireCar"/>
    <w:uiPriority w:val="99"/>
    <w:semiHidden/>
    <w:unhideWhenUsed/>
    <w:rsid w:val="0060627E"/>
    <w:rPr>
      <w:b/>
      <w:bCs/>
    </w:rPr>
  </w:style>
  <w:style w:type="character" w:customStyle="1" w:styleId="ObjetducommentaireCar">
    <w:name w:val="Objet du commentaire Car"/>
    <w:basedOn w:val="CommentaireCar"/>
    <w:link w:val="Objetducommentaire"/>
    <w:uiPriority w:val="99"/>
    <w:semiHidden/>
    <w:rsid w:val="0060627E"/>
    <w:rPr>
      <w:b/>
      <w:bCs/>
      <w:sz w:val="20"/>
      <w:szCs w:val="20"/>
    </w:rPr>
  </w:style>
  <w:style w:type="character" w:styleId="Mentionnonrsolue">
    <w:name w:val="Unresolved Mention"/>
    <w:basedOn w:val="Policepardfaut"/>
    <w:uiPriority w:val="99"/>
    <w:semiHidden/>
    <w:unhideWhenUsed/>
    <w:rsid w:val="00BA7E24"/>
    <w:rPr>
      <w:color w:val="605E5C"/>
      <w:shd w:val="clear" w:color="auto" w:fill="E1DFDD"/>
    </w:rPr>
  </w:style>
  <w:style w:type="character" w:customStyle="1" w:styleId="Titre1Car">
    <w:name w:val="Titre 1 Car"/>
    <w:basedOn w:val="Policepardfaut"/>
    <w:link w:val="Titre1"/>
    <w:uiPriority w:val="9"/>
    <w:rsid w:val="00144BCD"/>
    <w:rPr>
      <w:rFonts w:asciiTheme="majorHAnsi" w:eastAsiaTheme="majorEastAsia" w:hAnsiTheme="majorHAnsi" w:cstheme="majorBidi"/>
      <w:color w:val="365F91" w:themeColor="accent1" w:themeShade="BF"/>
      <w:sz w:val="32"/>
      <w:szCs w:val="32"/>
      <w:lang w:val="fr-BE" w:eastAsia="fr-BE"/>
    </w:rPr>
  </w:style>
  <w:style w:type="character" w:customStyle="1" w:styleId="Titre2Car">
    <w:name w:val="Titre 2 Car"/>
    <w:basedOn w:val="Policepardfaut"/>
    <w:link w:val="Titre2"/>
    <w:uiPriority w:val="9"/>
    <w:semiHidden/>
    <w:rsid w:val="00144BCD"/>
    <w:rPr>
      <w:rFonts w:asciiTheme="majorHAnsi" w:eastAsiaTheme="majorEastAsia" w:hAnsiTheme="majorHAnsi" w:cstheme="majorBidi"/>
      <w:color w:val="365F91" w:themeColor="accent1" w:themeShade="BF"/>
      <w:sz w:val="26"/>
      <w:szCs w:val="26"/>
      <w:lang w:val="fr-BE" w:eastAsia="fr-BE"/>
    </w:rPr>
  </w:style>
  <w:style w:type="character" w:customStyle="1" w:styleId="Titre3Car">
    <w:name w:val="Titre 3 Car"/>
    <w:basedOn w:val="Policepardfaut"/>
    <w:link w:val="Titre3"/>
    <w:uiPriority w:val="9"/>
    <w:semiHidden/>
    <w:rsid w:val="00144BCD"/>
    <w:rPr>
      <w:rFonts w:asciiTheme="majorHAnsi" w:eastAsiaTheme="majorEastAsia" w:hAnsiTheme="majorHAnsi" w:cstheme="majorBidi"/>
      <w:color w:val="243F60" w:themeColor="accent1" w:themeShade="7F"/>
      <w:sz w:val="24"/>
      <w:szCs w:val="24"/>
      <w:lang w:val="fr-BE" w:eastAsia="fr-BE"/>
    </w:rPr>
  </w:style>
  <w:style w:type="character" w:styleId="lev">
    <w:name w:val="Strong"/>
    <w:basedOn w:val="Policepardfaut"/>
    <w:uiPriority w:val="22"/>
    <w:qFormat/>
    <w:rsid w:val="00144BCD"/>
    <w:rPr>
      <w:b/>
      <w:bCs/>
    </w:rPr>
  </w:style>
  <w:style w:type="character" w:customStyle="1" w:styleId="sr-only">
    <w:name w:val="sr-only"/>
    <w:basedOn w:val="Policepardfaut"/>
    <w:rsid w:val="00144BCD"/>
  </w:style>
  <w:style w:type="character" w:customStyle="1" w:styleId="inline">
    <w:name w:val="inline"/>
    <w:basedOn w:val="Policepardfaut"/>
    <w:rsid w:val="00144BCD"/>
  </w:style>
  <w:style w:type="paragraph" w:customStyle="1" w:styleId="Bibliographie1">
    <w:name w:val="Bibliographie1"/>
    <w:basedOn w:val="Normal"/>
    <w:link w:val="BibliographyCar"/>
    <w:rsid w:val="00B35E4E"/>
    <w:pPr>
      <w:tabs>
        <w:tab w:val="left" w:pos="260"/>
      </w:tabs>
      <w:ind w:left="264" w:hanging="264"/>
    </w:pPr>
    <w:rPr>
      <w:rFonts w:asciiTheme="minorHAnsi" w:eastAsiaTheme="minorHAnsi" w:hAnsiTheme="minorHAnsi"/>
      <w:w w:val="105"/>
      <w:sz w:val="18"/>
      <w:szCs w:val="18"/>
      <w:lang w:val="en-GB" w:eastAsia="en-US"/>
    </w:rPr>
  </w:style>
  <w:style w:type="character" w:customStyle="1" w:styleId="BibliographyCar">
    <w:name w:val="Bibliography Car"/>
    <w:basedOn w:val="RSCR02ReferencesChar"/>
    <w:link w:val="Bibliographie1"/>
    <w:rsid w:val="00B35E4E"/>
    <w:rPr>
      <w:rFonts w:cs="Times New Roman"/>
      <w:w w:val="105"/>
      <w:sz w:val="18"/>
      <w:szCs w:val="18"/>
    </w:rPr>
  </w:style>
  <w:style w:type="table" w:styleId="Tableausimple5">
    <w:name w:val="Plain Table 5"/>
    <w:basedOn w:val="TableauNormal"/>
    <w:uiPriority w:val="45"/>
    <w:rsid w:val="00473B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rsid w:val="00D702D9"/>
    <w:pPr>
      <w:spacing w:after="200"/>
      <w:jc w:val="both"/>
    </w:pPr>
    <w:rPr>
      <w:rFonts w:ascii="Calibri" w:eastAsiaTheme="minorEastAsia" w:hAnsi="Calibri" w:cs="Calibri"/>
      <w:w w:val="108"/>
      <w:sz w:val="18"/>
      <w:szCs w:val="18"/>
      <w:lang w:val="fr-BE" w:eastAsia="fr-BE"/>
    </w:rPr>
  </w:style>
  <w:style w:type="character" w:customStyle="1" w:styleId="EndNoteBibliographyChar">
    <w:name w:val="EndNote Bibliography Char"/>
    <w:basedOn w:val="RSCB02ArticleTextChar"/>
    <w:link w:val="EndNoteBibliography"/>
    <w:rsid w:val="00D702D9"/>
    <w:rPr>
      <w:rFonts w:ascii="Calibri" w:eastAsiaTheme="minorEastAsia" w:hAnsi="Calibri" w:cs="Calibri"/>
      <w:w w:val="108"/>
      <w:sz w:val="18"/>
      <w:szCs w:val="18"/>
      <w:lang w:val="fr-BE" w:eastAsia="fr-BE"/>
    </w:rPr>
  </w:style>
  <w:style w:type="character" w:styleId="Numrodeligne">
    <w:name w:val="line number"/>
    <w:basedOn w:val="Policepardfaut"/>
    <w:uiPriority w:val="99"/>
    <w:semiHidden/>
    <w:unhideWhenUsed/>
    <w:rsid w:val="00FF5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452">
      <w:bodyDiv w:val="1"/>
      <w:marLeft w:val="0"/>
      <w:marRight w:val="0"/>
      <w:marTop w:val="0"/>
      <w:marBottom w:val="0"/>
      <w:divBdr>
        <w:top w:val="none" w:sz="0" w:space="0" w:color="auto"/>
        <w:left w:val="none" w:sz="0" w:space="0" w:color="auto"/>
        <w:bottom w:val="none" w:sz="0" w:space="0" w:color="auto"/>
        <w:right w:val="none" w:sz="0" w:space="0" w:color="auto"/>
      </w:divBdr>
    </w:div>
    <w:div w:id="35735815">
      <w:bodyDiv w:val="1"/>
      <w:marLeft w:val="0"/>
      <w:marRight w:val="0"/>
      <w:marTop w:val="0"/>
      <w:marBottom w:val="0"/>
      <w:divBdr>
        <w:top w:val="none" w:sz="0" w:space="0" w:color="auto"/>
        <w:left w:val="none" w:sz="0" w:space="0" w:color="auto"/>
        <w:bottom w:val="none" w:sz="0" w:space="0" w:color="auto"/>
        <w:right w:val="none" w:sz="0" w:space="0" w:color="auto"/>
      </w:divBdr>
    </w:div>
    <w:div w:id="67968602">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58431087">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46186612">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78536907">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7336202">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55917452">
      <w:bodyDiv w:val="1"/>
      <w:marLeft w:val="0"/>
      <w:marRight w:val="0"/>
      <w:marTop w:val="0"/>
      <w:marBottom w:val="0"/>
      <w:divBdr>
        <w:top w:val="none" w:sz="0" w:space="0" w:color="auto"/>
        <w:left w:val="none" w:sz="0" w:space="0" w:color="auto"/>
        <w:bottom w:val="none" w:sz="0" w:space="0" w:color="auto"/>
        <w:right w:val="none" w:sz="0" w:space="0" w:color="auto"/>
      </w:divBdr>
    </w:div>
    <w:div w:id="1897156229">
      <w:bodyDiv w:val="1"/>
      <w:marLeft w:val="0"/>
      <w:marRight w:val="0"/>
      <w:marTop w:val="0"/>
      <w:marBottom w:val="0"/>
      <w:divBdr>
        <w:top w:val="none" w:sz="0" w:space="0" w:color="auto"/>
        <w:left w:val="none" w:sz="0" w:space="0" w:color="auto"/>
        <w:bottom w:val="none" w:sz="0" w:space="0" w:color="auto"/>
        <w:right w:val="none" w:sz="0" w:space="0" w:color="auto"/>
      </w:divBdr>
    </w:div>
    <w:div w:id="2093818075">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monbaliu@uliege.be" TargetMode="Externa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os.uliege.b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jc.monbaliu@uliege.b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itos.uliege.be"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362E4-F0BD-4894-96E3-EA2B0CEA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9</Pages>
  <Words>19110</Words>
  <Characters>120393</Characters>
  <Application>Microsoft Office Word</Application>
  <DocSecurity>0</DocSecurity>
  <Lines>2149</Lines>
  <Paragraphs>1172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138331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Monbaliu Jean-Christophe</cp:lastModifiedBy>
  <cp:revision>8</cp:revision>
  <cp:lastPrinted>2023-09-11T18:39:00Z</cp:lastPrinted>
  <dcterms:created xsi:type="dcterms:W3CDTF">2023-10-07T11:14:00Z</dcterms:created>
  <dcterms:modified xsi:type="dcterms:W3CDTF">2023-10-29T12:12:00Z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id="HZFFrFiD"/&gt;&lt;style id="http://www.zotero.org/styles/royal-society-of-chemistry"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http://www.zotero.org/styles/angewandte-chemie</vt:lpwstr>
  </property>
  <property fmtid="{D5CDD505-2E9C-101B-9397-08002B2CF9AE}" pid="11" name="Mendeley Recent Style Name 3_1">
    <vt:lpwstr>Angewandte Chemie International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http://www.zotero.org/styles/green-chemistry</vt:lpwstr>
  </property>
  <property fmtid="{D5CDD505-2E9C-101B-9397-08002B2CF9AE}" pid="17" name="Mendeley Recent Style Name 6_1">
    <vt:lpwstr>Green Chemistry</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Document_1">
    <vt:lpwstr>True</vt:lpwstr>
  </property>
  <property fmtid="{D5CDD505-2E9C-101B-9397-08002B2CF9AE}" pid="25" name="Mendeley Unique User Id_1">
    <vt:lpwstr>6a8a68f8-a979-36dd-bed0-8f12c6c01bfc</vt:lpwstr>
  </property>
  <property fmtid="{D5CDD505-2E9C-101B-9397-08002B2CF9AE}" pid="26" name="Mendeley Citation Style_1">
    <vt:lpwstr>http://www.zotero.org/styles/green-chemistry</vt:lpwstr>
  </property>
</Properties>
</file>