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823" w:rsidRPr="00C3039D" w:rsidRDefault="00D911B5" w:rsidP="00C3039D">
      <w:pPr>
        <w:pStyle w:val="Titre"/>
        <w:jc w:val="both"/>
        <w:rPr>
          <w:b w:val="0"/>
          <w:sz w:val="36"/>
          <w:szCs w:val="36"/>
        </w:rPr>
      </w:pPr>
      <w:bookmarkStart w:id="0" w:name="_heading=h.gjdgxs" w:colFirst="0" w:colLast="0"/>
      <w:bookmarkEnd w:id="0"/>
      <w:r>
        <w:rPr>
          <w:b w:val="0"/>
          <w:sz w:val="36"/>
          <w:szCs w:val="36"/>
        </w:rPr>
        <w:t xml:space="preserve">Appendix 4 - </w:t>
      </w:r>
      <w:proofErr w:type="gramStart"/>
      <w:r>
        <w:rPr>
          <w:b w:val="0"/>
          <w:sz w:val="36"/>
          <w:szCs w:val="36"/>
        </w:rPr>
        <w:t>Impacts</w:t>
      </w:r>
      <w:proofErr w:type="gramEnd"/>
      <w:r>
        <w:rPr>
          <w:b w:val="0"/>
          <w:sz w:val="36"/>
          <w:szCs w:val="36"/>
        </w:rPr>
        <w:t xml:space="preserve"> of phenotypic variation in vigor on the predicted tree growth in Luberon2.</w:t>
      </w:r>
    </w:p>
    <w:p w:rsidR="00EB2823" w:rsidRDefault="00EB2823">
      <w:pPr>
        <w:jc w:val="both"/>
      </w:pPr>
    </w:p>
    <w:p w:rsidR="00EB2823" w:rsidRDefault="00D911B5">
      <w:pPr>
        <w:jc w:val="both"/>
      </w:pPr>
      <w:r>
        <w:t xml:space="preserve">Luberon2 builds upon a distance-independent tree growth model that provides a baseline prediction of the annual individual diameter increment of each tree depending on environmental condition (positively), initial tree diameter (positively), age (non linearly), and  competition intensity (negatively). </w:t>
      </w:r>
    </w:p>
    <w:p w:rsidR="00EB2823" w:rsidRDefault="00D911B5">
      <w:pPr>
        <w:jc w:val="both"/>
      </w:pPr>
      <w:r>
        <w:t>Here, we analyze how the addition of inter-individual phenotypic variation in a growth-related trait, vigor, changes the baseline prediction of annual tree growth and tree diameter during stand development within a generation, and across generations. To summarize the general trend:</w:t>
      </w:r>
    </w:p>
    <w:p w:rsidR="00EB2823" w:rsidRDefault="00D911B5">
      <w:pPr>
        <w:numPr>
          <w:ilvl w:val="0"/>
          <w:numId w:val="6"/>
        </w:numPr>
        <w:pBdr>
          <w:top w:val="nil"/>
          <w:left w:val="nil"/>
          <w:bottom w:val="nil"/>
          <w:right w:val="nil"/>
          <w:between w:val="nil"/>
        </w:pBdr>
        <w:spacing w:after="0"/>
        <w:jc w:val="both"/>
        <w:rPr>
          <w:color w:val="000000"/>
        </w:rPr>
      </w:pPr>
      <w:r>
        <w:rPr>
          <w:color w:val="000000"/>
        </w:rPr>
        <w:t>adding individual variation in vigor does not change the predicted mean annual growth and mean diameter until selective self-thinning occurs, and it increases these predicted means when self-thinning occurs;</w:t>
      </w:r>
    </w:p>
    <w:p w:rsidR="00EB2823" w:rsidRDefault="00D911B5">
      <w:pPr>
        <w:numPr>
          <w:ilvl w:val="0"/>
          <w:numId w:val="6"/>
        </w:numPr>
        <w:pBdr>
          <w:top w:val="nil"/>
          <w:left w:val="nil"/>
          <w:bottom w:val="nil"/>
          <w:right w:val="nil"/>
          <w:between w:val="nil"/>
        </w:pBdr>
        <w:spacing w:after="0"/>
        <w:jc w:val="both"/>
        <w:rPr>
          <w:color w:val="000000"/>
        </w:rPr>
      </w:pPr>
      <w:r>
        <w:rPr>
          <w:color w:val="000000"/>
        </w:rPr>
        <w:t>adding individual variation in vigor globally increases the predicted variance of annual growth and diameter, competition without mortality increases these variances but selective mortality reduces them;</w:t>
      </w:r>
    </w:p>
    <w:p w:rsidR="00EB2823" w:rsidRDefault="00D911B5">
      <w:pPr>
        <w:numPr>
          <w:ilvl w:val="0"/>
          <w:numId w:val="6"/>
        </w:numPr>
        <w:pBdr>
          <w:top w:val="nil"/>
          <w:left w:val="nil"/>
          <w:bottom w:val="nil"/>
          <w:right w:val="nil"/>
          <w:between w:val="nil"/>
        </w:pBdr>
        <w:jc w:val="both"/>
        <w:rPr>
          <w:color w:val="000000"/>
        </w:rPr>
      </w:pPr>
      <w:proofErr w:type="gramStart"/>
      <w:r>
        <w:rPr>
          <w:color w:val="000000"/>
        </w:rPr>
        <w:t>the</w:t>
      </w:r>
      <w:proofErr w:type="gramEnd"/>
      <w:r>
        <w:rPr>
          <w:color w:val="000000"/>
        </w:rPr>
        <w:t xml:space="preserve"> evolutionary rate of growth traits is higher when the environmental component of phenotypic variation has a higher proportion of fixed (vs variable) effects.</w:t>
      </w:r>
    </w:p>
    <w:p w:rsidR="00EB2823" w:rsidRDefault="00D911B5">
      <w:pPr>
        <w:jc w:val="both"/>
      </w:pPr>
      <w:r>
        <w:t>The consequences of adding individual variation in the model depend on the environmental and genetic components of the phenotypic variance and on the population dynamics, as described below.</w:t>
      </w:r>
    </w:p>
    <w:p w:rsidR="00EB2823" w:rsidRDefault="00EB2823">
      <w:pPr>
        <w:jc w:val="both"/>
      </w:pPr>
    </w:p>
    <w:p w:rsidR="00EB2823" w:rsidRPr="00C3039D" w:rsidRDefault="00D911B5">
      <w:pPr>
        <w:pStyle w:val="Titre1"/>
        <w:spacing w:after="120"/>
        <w:rPr>
          <w:rFonts w:asciiTheme="minorHAnsi" w:hAnsiTheme="minorHAnsi" w:cstheme="minorHAnsi"/>
        </w:rPr>
      </w:pPr>
      <w:bookmarkStart w:id="1" w:name="_heading=h.it5d9ushucv6" w:colFirst="0" w:colLast="0"/>
      <w:bookmarkEnd w:id="1"/>
      <w:r w:rsidRPr="00C3039D">
        <w:rPr>
          <w:rFonts w:asciiTheme="minorHAnsi" w:hAnsiTheme="minorHAnsi" w:cstheme="minorHAnsi"/>
        </w:rPr>
        <w:t>Different types of inter-individual variation and expected impacts on growth prediction</w:t>
      </w:r>
    </w:p>
    <w:p w:rsidR="00EB2823" w:rsidRDefault="00D911B5">
      <w:pPr>
        <w:jc w:val="both"/>
      </w:pPr>
      <w:r>
        <w:t xml:space="preserve">In the demo-genetic model Luberon2, we define a variable growth-related trait, vigor, as the deviation of the annual diameter increment of a tree to the baseline prediction by the original growth model. To account for genetic, micro-geographic and temporal variation in individual tree vigor, the predicted annual diameter growth of a tree </w:t>
      </w:r>
      <w:proofErr w:type="spellStart"/>
      <w:r>
        <w:rPr>
          <w:i/>
        </w:rPr>
        <w:t>i</w:t>
      </w:r>
      <w:proofErr w:type="spellEnd"/>
      <w:r>
        <w:t xml:space="preserve"> at year </w:t>
      </w:r>
      <w:r>
        <w:rPr>
          <w:i/>
        </w:rPr>
        <w:t>t</w:t>
      </w:r>
      <w:r>
        <w:t xml:space="preserve">, </w:t>
      </w:r>
      <w:proofErr w:type="spellStart"/>
      <w:r>
        <w:rPr>
          <w:i/>
        </w:rPr>
        <w:t>dD</w:t>
      </w:r>
      <w:r>
        <w:rPr>
          <w:i/>
          <w:vertAlign w:val="subscript"/>
        </w:rPr>
        <w:t>it</w:t>
      </w:r>
      <w:proofErr w:type="spellEnd"/>
      <w:r>
        <w:t xml:space="preserve">, </w:t>
      </w:r>
      <w:proofErr w:type="gramStart"/>
      <w:r>
        <w:t>is obtained</w:t>
      </w:r>
      <w:proofErr w:type="gramEnd"/>
      <w:r>
        <w:t xml:space="preserve"> by adding a phenotypic value to the baseline prediction of the original growth model:</w:t>
      </w:r>
    </w:p>
    <w:p w:rsidR="00EB2823" w:rsidRDefault="00D911B5">
      <w:pPr>
        <w:jc w:val="center"/>
        <w:rPr>
          <w:b/>
        </w:rPr>
      </w:pPr>
      <w:proofErr w:type="spellStart"/>
      <w:proofErr w:type="gramStart"/>
      <w:r>
        <w:rPr>
          <w:b/>
          <w:i/>
        </w:rPr>
        <w:t>dD</w:t>
      </w:r>
      <w:r>
        <w:rPr>
          <w:b/>
          <w:i/>
          <w:vertAlign w:val="subscript"/>
        </w:rPr>
        <w:t>it</w:t>
      </w:r>
      <w:proofErr w:type="spellEnd"/>
      <w:proofErr w:type="gramEnd"/>
      <w:r>
        <w:rPr>
          <w:b/>
        </w:rPr>
        <w:t xml:space="preserve"> = </w:t>
      </w:r>
      <w:r>
        <w:rPr>
          <w:b/>
          <w:i/>
        </w:rPr>
        <w:t>dD</w:t>
      </w:r>
      <w:r>
        <w:rPr>
          <w:b/>
          <w:i/>
          <w:vertAlign w:val="subscript"/>
        </w:rPr>
        <w:t>0it</w:t>
      </w:r>
      <w:r>
        <w:rPr>
          <w:b/>
        </w:rPr>
        <w:t xml:space="preserve"> + </w:t>
      </w:r>
      <w:r>
        <w:rPr>
          <w:b/>
          <w:i/>
        </w:rPr>
        <w:t>P</w:t>
      </w:r>
      <w:r>
        <w:rPr>
          <w:b/>
          <w:i/>
          <w:vertAlign w:val="subscript"/>
        </w:rPr>
        <w:t>it</w:t>
      </w:r>
      <w:r>
        <w:rPr>
          <w:b/>
        </w:rPr>
        <w:t xml:space="preserve">  =  </w:t>
      </w:r>
      <w:r>
        <w:rPr>
          <w:b/>
          <w:i/>
        </w:rPr>
        <w:t>dD</w:t>
      </w:r>
      <w:r>
        <w:rPr>
          <w:b/>
          <w:i/>
          <w:vertAlign w:val="subscript"/>
        </w:rPr>
        <w:t>0it</w:t>
      </w:r>
      <w:r>
        <w:rPr>
          <w:b/>
        </w:rPr>
        <w:t xml:space="preserve"> + </w:t>
      </w:r>
      <w:proofErr w:type="spellStart"/>
      <w:r>
        <w:rPr>
          <w:b/>
          <w:i/>
        </w:rPr>
        <w:t>G</w:t>
      </w:r>
      <w:r>
        <w:rPr>
          <w:b/>
          <w:i/>
          <w:vertAlign w:val="subscript"/>
        </w:rPr>
        <w:t>i</w:t>
      </w:r>
      <w:proofErr w:type="spellEnd"/>
      <w:r>
        <w:rPr>
          <w:b/>
        </w:rPr>
        <w:t xml:space="preserve"> + </w:t>
      </w:r>
      <w:proofErr w:type="spellStart"/>
      <w:r>
        <w:rPr>
          <w:b/>
          <w:i/>
        </w:rPr>
        <w:t>E</w:t>
      </w:r>
      <w:r>
        <w:rPr>
          <w:b/>
          <w:i/>
          <w:vertAlign w:val="subscript"/>
        </w:rPr>
        <w:t>Fi</w:t>
      </w:r>
      <w:proofErr w:type="spellEnd"/>
      <w:r>
        <w:rPr>
          <w:b/>
        </w:rPr>
        <w:t xml:space="preserve"> + </w:t>
      </w:r>
      <w:proofErr w:type="spellStart"/>
      <w:r>
        <w:rPr>
          <w:b/>
          <w:i/>
        </w:rPr>
        <w:t>E</w:t>
      </w:r>
      <w:r>
        <w:rPr>
          <w:b/>
          <w:i/>
          <w:vertAlign w:val="subscript"/>
        </w:rPr>
        <w:t>Vit</w:t>
      </w:r>
      <w:proofErr w:type="spellEnd"/>
    </w:p>
    <w:p w:rsidR="00EB2823" w:rsidRDefault="00D911B5" w:rsidP="00C3039D">
      <w:pPr>
        <w:jc w:val="both"/>
      </w:pPr>
      <w:proofErr w:type="gramStart"/>
      <w:r>
        <w:t>where</w:t>
      </w:r>
      <w:proofErr w:type="gramEnd"/>
      <w:r>
        <w:t xml:space="preserve"> </w:t>
      </w:r>
      <w:r>
        <w:rPr>
          <w:i/>
        </w:rPr>
        <w:t>dD</w:t>
      </w:r>
      <w:r>
        <w:rPr>
          <w:i/>
          <w:vertAlign w:val="subscript"/>
        </w:rPr>
        <w:t>0it</w:t>
      </w:r>
      <w:r>
        <w:t xml:space="preserve"> is the baseline prediction of the growth model and </w:t>
      </w:r>
      <w:r>
        <w:rPr>
          <w:i/>
        </w:rPr>
        <w:t>P</w:t>
      </w:r>
      <w:r>
        <w:rPr>
          <w:i/>
          <w:vertAlign w:val="subscript"/>
        </w:rPr>
        <w:t>it</w:t>
      </w:r>
      <w:r>
        <w:t xml:space="preserve"> is the phenotypic value of vigor. The phenotypic value of vigor has three components: the genetic value, </w:t>
      </w:r>
      <w:proofErr w:type="spellStart"/>
      <w:r>
        <w:rPr>
          <w:i/>
        </w:rPr>
        <w:t>G</w:t>
      </w:r>
      <w:r>
        <w:rPr>
          <w:i/>
          <w:vertAlign w:val="subscript"/>
        </w:rPr>
        <w:t>i</w:t>
      </w:r>
      <w:proofErr w:type="spellEnd"/>
      <w:r>
        <w:t xml:space="preserve">, a fixed environmental individual effect, </w:t>
      </w:r>
      <w:proofErr w:type="spellStart"/>
      <w:r>
        <w:rPr>
          <w:i/>
        </w:rPr>
        <w:t>E</w:t>
      </w:r>
      <w:r>
        <w:rPr>
          <w:i/>
          <w:vertAlign w:val="subscript"/>
        </w:rPr>
        <w:t>Fi</w:t>
      </w:r>
      <w:proofErr w:type="spellEnd"/>
      <w:r>
        <w:t xml:space="preserve">, and a variable environmental individual effect, the “inter-step” component of the environmental variance, </w:t>
      </w:r>
      <w:proofErr w:type="spellStart"/>
      <w:r>
        <w:rPr>
          <w:i/>
        </w:rPr>
        <w:t>E</w:t>
      </w:r>
      <w:r>
        <w:rPr>
          <w:i/>
          <w:vertAlign w:val="subscript"/>
        </w:rPr>
        <w:t>Vit</w:t>
      </w:r>
      <w:proofErr w:type="spellEnd"/>
      <w:r>
        <w:t xml:space="preserve">. The genetic value of an individual </w:t>
      </w:r>
      <w:proofErr w:type="gramStart"/>
      <w:r>
        <w:t>is determined</w:t>
      </w:r>
      <w:proofErr w:type="gramEnd"/>
      <w:r>
        <w:t xml:space="preserve"> by its genotype; it is unique and remains constant through time. The fixed environmental individual effect accounts for tree-level micro-geographic heterogeneity that confers to an individual a growth advantage, or disadvantage, compared to the local environment shared with its neighbors, it is also a unique and constant value. The variable environmental individual effect accounts for tree-level annual stochastic events that may affect individual tree growth independently of its neighbors (beyond the local competition effect that is already integrated in the baseline prediction of the growth model)</w:t>
      </w:r>
      <w:proofErr w:type="gramStart"/>
      <w:r>
        <w:t>,</w:t>
      </w:r>
      <w:proofErr w:type="gramEnd"/>
      <w:r>
        <w:t xml:space="preserve"> it varies annually for each individual. </w:t>
      </w:r>
      <w:r>
        <w:br w:type="page"/>
      </w:r>
    </w:p>
    <w:p w:rsidR="00EB2823" w:rsidRDefault="00D911B5">
      <w:pPr>
        <w:jc w:val="both"/>
      </w:pPr>
      <w:r>
        <w:lastRenderedPageBreak/>
        <w:t xml:space="preserve">Therefore, the individual tree growth model consists of four terms: </w:t>
      </w:r>
    </w:p>
    <w:p w:rsidR="00EB2823" w:rsidRDefault="00D911B5">
      <w:pPr>
        <w:numPr>
          <w:ilvl w:val="0"/>
          <w:numId w:val="4"/>
        </w:numPr>
        <w:pBdr>
          <w:top w:val="nil"/>
          <w:left w:val="nil"/>
          <w:bottom w:val="nil"/>
          <w:right w:val="nil"/>
          <w:between w:val="nil"/>
        </w:pBdr>
        <w:spacing w:after="0"/>
        <w:jc w:val="both"/>
        <w:rPr>
          <w:color w:val="000000"/>
        </w:rPr>
      </w:pPr>
      <w:r>
        <w:rPr>
          <w:i/>
          <w:color w:val="000000"/>
        </w:rPr>
        <w:t>dD</w:t>
      </w:r>
      <w:r>
        <w:rPr>
          <w:i/>
          <w:color w:val="000000"/>
          <w:vertAlign w:val="subscript"/>
        </w:rPr>
        <w:t xml:space="preserve">0i </w:t>
      </w:r>
      <w:r>
        <w:rPr>
          <w:color w:val="000000"/>
        </w:rPr>
        <w:t>, the deterministic baseline prediction of the growth model;</w:t>
      </w:r>
    </w:p>
    <w:p w:rsidR="00EB2823" w:rsidRDefault="00D911B5">
      <w:pPr>
        <w:numPr>
          <w:ilvl w:val="0"/>
          <w:numId w:val="4"/>
        </w:numPr>
        <w:pBdr>
          <w:top w:val="nil"/>
          <w:left w:val="nil"/>
          <w:bottom w:val="nil"/>
          <w:right w:val="nil"/>
          <w:between w:val="nil"/>
        </w:pBdr>
        <w:spacing w:after="0"/>
        <w:jc w:val="both"/>
        <w:rPr>
          <w:color w:val="000000"/>
        </w:rPr>
      </w:pPr>
      <w:proofErr w:type="spellStart"/>
      <w:r>
        <w:rPr>
          <w:i/>
          <w:color w:val="000000"/>
        </w:rPr>
        <w:t>G</w:t>
      </w:r>
      <w:r>
        <w:rPr>
          <w:i/>
          <w:color w:val="000000"/>
          <w:vertAlign w:val="subscript"/>
        </w:rPr>
        <w:t>i</w:t>
      </w:r>
      <w:proofErr w:type="spellEnd"/>
      <w:r>
        <w:rPr>
          <w:i/>
          <w:color w:val="000000"/>
          <w:vertAlign w:val="subscript"/>
        </w:rPr>
        <w:t xml:space="preserve"> </w:t>
      </w:r>
      <w:r>
        <w:rPr>
          <w:color w:val="000000"/>
        </w:rPr>
        <w:t>, an individual-level random term, constant through time, partly transmitted to the progeny;</w:t>
      </w:r>
    </w:p>
    <w:p w:rsidR="00EB2823" w:rsidRDefault="00D911B5">
      <w:pPr>
        <w:numPr>
          <w:ilvl w:val="0"/>
          <w:numId w:val="4"/>
        </w:numPr>
        <w:pBdr>
          <w:top w:val="nil"/>
          <w:left w:val="nil"/>
          <w:bottom w:val="nil"/>
          <w:right w:val="nil"/>
          <w:between w:val="nil"/>
        </w:pBdr>
        <w:spacing w:after="0"/>
        <w:jc w:val="both"/>
        <w:rPr>
          <w:color w:val="000000"/>
        </w:rPr>
      </w:pPr>
      <w:proofErr w:type="spellStart"/>
      <w:r>
        <w:rPr>
          <w:i/>
          <w:color w:val="000000"/>
        </w:rPr>
        <w:t>E</w:t>
      </w:r>
      <w:r>
        <w:rPr>
          <w:i/>
          <w:color w:val="000000"/>
          <w:vertAlign w:val="subscript"/>
        </w:rPr>
        <w:t>Fi</w:t>
      </w:r>
      <w:proofErr w:type="spellEnd"/>
      <w:r>
        <w:rPr>
          <w:i/>
          <w:color w:val="000000"/>
          <w:vertAlign w:val="subscript"/>
        </w:rPr>
        <w:t xml:space="preserve"> </w:t>
      </w:r>
      <w:r>
        <w:rPr>
          <w:color w:val="000000"/>
        </w:rPr>
        <w:t>, an individual-level random term, constant through time, not transmitted;</w:t>
      </w:r>
    </w:p>
    <w:p w:rsidR="00EB2823" w:rsidRDefault="00D911B5">
      <w:pPr>
        <w:numPr>
          <w:ilvl w:val="0"/>
          <w:numId w:val="4"/>
        </w:numPr>
        <w:pBdr>
          <w:top w:val="nil"/>
          <w:left w:val="nil"/>
          <w:bottom w:val="nil"/>
          <w:right w:val="nil"/>
          <w:between w:val="nil"/>
        </w:pBdr>
        <w:jc w:val="both"/>
        <w:rPr>
          <w:color w:val="000000"/>
        </w:rPr>
      </w:pPr>
      <w:proofErr w:type="spellStart"/>
      <w:proofErr w:type="gramStart"/>
      <w:r>
        <w:rPr>
          <w:i/>
          <w:color w:val="000000"/>
        </w:rPr>
        <w:t>E</w:t>
      </w:r>
      <w:r>
        <w:rPr>
          <w:i/>
          <w:color w:val="000000"/>
          <w:vertAlign w:val="subscript"/>
        </w:rPr>
        <w:t>Vit</w:t>
      </w:r>
      <w:proofErr w:type="spellEnd"/>
      <w:r>
        <w:rPr>
          <w:i/>
          <w:color w:val="000000"/>
          <w:vertAlign w:val="subscript"/>
        </w:rPr>
        <w:t xml:space="preserve"> </w:t>
      </w:r>
      <w:r>
        <w:rPr>
          <w:color w:val="000000"/>
        </w:rPr>
        <w:t>,</w:t>
      </w:r>
      <w:proofErr w:type="gramEnd"/>
      <w:r>
        <w:rPr>
          <w:color w:val="000000"/>
        </w:rPr>
        <w:t xml:space="preserve"> an individual-level random term drawn annually.</w:t>
      </w:r>
    </w:p>
    <w:p w:rsidR="00EB2823" w:rsidRDefault="00D911B5">
      <w:pPr>
        <w:jc w:val="both"/>
      </w:pPr>
      <w:r>
        <w:t xml:space="preserve">We expect different impacts of the three individual-level random terms on population-level growth predictions, in particular on the population means and variances of tree diameter and annual tree diameter increment. </w:t>
      </w:r>
    </w:p>
    <w:p w:rsidR="00EB2823" w:rsidRDefault="00D911B5">
      <w:pPr>
        <w:jc w:val="both"/>
      </w:pPr>
      <w:r>
        <w:t xml:space="preserve">For instance, in the absence of competition, we expect that constant individual variation in vigor, both </w:t>
      </w:r>
      <w:r>
        <w:rPr>
          <w:i/>
        </w:rPr>
        <w:t>G</w:t>
      </w:r>
      <w:r>
        <w:rPr>
          <w:i/>
          <w:vertAlign w:val="subscript"/>
        </w:rPr>
        <w:t>I</w:t>
      </w:r>
      <w:r>
        <w:t xml:space="preserve"> and </w:t>
      </w:r>
      <w:r>
        <w:rPr>
          <w:i/>
        </w:rPr>
        <w:t>E</w:t>
      </w:r>
      <w:r>
        <w:rPr>
          <w:i/>
          <w:vertAlign w:val="subscript"/>
        </w:rPr>
        <w:t>FI</w:t>
      </w:r>
      <w:r>
        <w:t xml:space="preserve">, increases the variance of tree diameter because of cumulative impacts of diameter increments through years, while annual fluctuation of individual performance, i.e. </w:t>
      </w:r>
      <w:proofErr w:type="spellStart"/>
      <w:r>
        <w:rPr>
          <w:i/>
        </w:rPr>
        <w:t>E</w:t>
      </w:r>
      <w:r>
        <w:rPr>
          <w:i/>
          <w:vertAlign w:val="subscript"/>
        </w:rPr>
        <w:t>Vi</w:t>
      </w:r>
      <w:proofErr w:type="spellEnd"/>
      <w:r>
        <w:t xml:space="preserve">, has no such effect. </w:t>
      </w:r>
    </w:p>
    <w:p w:rsidR="00EB2823" w:rsidRDefault="00D911B5">
      <w:pPr>
        <w:jc w:val="both"/>
      </w:pPr>
      <w:r>
        <w:t>When competition occurs without mortality, we expect on the one hand that constant individual variation in vigor inflate the asymmetry of competition between neighbors, leading to an increase of the inter-individual coefficient of variation and, on the other hand, that competition globally decrease mean growth, resulting in a balanced effect on the mean and variance of tree diameter. When selective mortality by competition occurs, the consequences of constant individual variation in vigor become hardly predictable because competition intensity tends to increase the relative divergence between trees but the elimination of the weakest trees tends to homogenize the population and increase mean growth.</w:t>
      </w:r>
    </w:p>
    <w:p w:rsidR="00EB2823" w:rsidRDefault="00EB2823">
      <w:pPr>
        <w:jc w:val="both"/>
      </w:pPr>
    </w:p>
    <w:p w:rsidR="00EB2823" w:rsidRPr="00C3039D" w:rsidRDefault="00D911B5">
      <w:pPr>
        <w:pStyle w:val="Titre1"/>
        <w:spacing w:after="120"/>
        <w:rPr>
          <w:rFonts w:asciiTheme="minorHAnsi" w:hAnsiTheme="minorHAnsi" w:cstheme="minorHAnsi"/>
        </w:rPr>
      </w:pPr>
      <w:bookmarkStart w:id="2" w:name="_heading=h.agy8rowxuqmp" w:colFirst="0" w:colLast="0"/>
      <w:bookmarkEnd w:id="2"/>
      <w:r w:rsidRPr="00C3039D">
        <w:rPr>
          <w:rFonts w:asciiTheme="minorHAnsi" w:hAnsiTheme="minorHAnsi" w:cstheme="minorHAnsi"/>
        </w:rPr>
        <w:t>Simulation plan</w:t>
      </w:r>
    </w:p>
    <w:p w:rsidR="00EB2823" w:rsidRDefault="00D911B5">
      <w:pPr>
        <w:jc w:val="both"/>
      </w:pPr>
      <w:proofErr w:type="gramStart"/>
      <w:r>
        <w:t>To better understand</w:t>
      </w:r>
      <w:proofErr w:type="gramEnd"/>
      <w:r>
        <w:t xml:space="preserve"> the multiple consequences of inter-individual variation in vigor on growth predictions, we simulated two stands of 2500 trees: one stand without competition (25 trees/ha) and one stand with competition (2500 trees/ha) where selective mortality started at age 43. For each stand, we simulated six different patterns of inter-individual variation in vigor characterized by the environmental and genetic variance terms as follows, with the same total phenotypic variance in all cases:</w:t>
      </w:r>
    </w:p>
    <w:p w:rsidR="00EB2823" w:rsidRDefault="00D911B5">
      <w:pPr>
        <w:numPr>
          <w:ilvl w:val="0"/>
          <w:numId w:val="5"/>
        </w:numPr>
        <w:pBdr>
          <w:top w:val="nil"/>
          <w:left w:val="nil"/>
          <w:bottom w:val="nil"/>
          <w:right w:val="nil"/>
          <w:between w:val="nil"/>
        </w:pBdr>
        <w:spacing w:after="0"/>
        <w:jc w:val="both"/>
        <w:rPr>
          <w:color w:val="000000"/>
        </w:rPr>
      </w:pPr>
      <w:proofErr w:type="spellStart"/>
      <w:r>
        <w:rPr>
          <w:i/>
          <w:color w:val="000000"/>
        </w:rPr>
        <w:t>VE</w:t>
      </w:r>
      <w:r>
        <w:rPr>
          <w:i/>
          <w:color w:val="000000"/>
          <w:vertAlign w:val="subscript"/>
        </w:rPr>
        <w:t>v</w:t>
      </w:r>
      <w:proofErr w:type="spellEnd"/>
      <w:r>
        <w:rPr>
          <w:i/>
          <w:color w:val="000000"/>
          <w:vertAlign w:val="subscript"/>
        </w:rPr>
        <w:t xml:space="preserve"> </w:t>
      </w:r>
      <w:r>
        <w:rPr>
          <w:color w:val="000000"/>
        </w:rPr>
        <w:t xml:space="preserve">= </w:t>
      </w:r>
      <w:proofErr w:type="spellStart"/>
      <w:r>
        <w:rPr>
          <w:i/>
          <w:color w:val="000000"/>
        </w:rPr>
        <w:t>VE</w:t>
      </w:r>
      <w:r>
        <w:rPr>
          <w:i/>
          <w:color w:val="000000"/>
          <w:vertAlign w:val="subscript"/>
        </w:rPr>
        <w:t>f</w:t>
      </w:r>
      <w:proofErr w:type="spellEnd"/>
      <w:r>
        <w:rPr>
          <w:i/>
          <w:color w:val="000000"/>
          <w:vertAlign w:val="subscript"/>
        </w:rPr>
        <w:t xml:space="preserve"> </w:t>
      </w:r>
      <w:r>
        <w:rPr>
          <w:color w:val="000000"/>
        </w:rPr>
        <w:t xml:space="preserve">= </w:t>
      </w:r>
      <w:r>
        <w:rPr>
          <w:i/>
          <w:color w:val="000000"/>
        </w:rPr>
        <w:t xml:space="preserve">VG </w:t>
      </w:r>
      <w:r>
        <w:rPr>
          <w:color w:val="000000"/>
        </w:rPr>
        <w:t>= 0: no inter-individual variation, i.e. the original deterministic growth model;</w:t>
      </w:r>
    </w:p>
    <w:p w:rsidR="00EB2823" w:rsidRDefault="00D911B5">
      <w:pPr>
        <w:numPr>
          <w:ilvl w:val="0"/>
          <w:numId w:val="5"/>
        </w:numPr>
        <w:pBdr>
          <w:top w:val="nil"/>
          <w:left w:val="nil"/>
          <w:bottom w:val="nil"/>
          <w:right w:val="nil"/>
          <w:between w:val="nil"/>
        </w:pBdr>
        <w:spacing w:after="0"/>
        <w:jc w:val="both"/>
        <w:rPr>
          <w:color w:val="000000"/>
        </w:rPr>
      </w:pPr>
      <w:proofErr w:type="spellStart"/>
      <w:r>
        <w:rPr>
          <w:b/>
          <w:i/>
          <w:color w:val="000000"/>
        </w:rPr>
        <w:t>VE</w:t>
      </w:r>
      <w:r>
        <w:rPr>
          <w:b/>
          <w:i/>
          <w:color w:val="000000"/>
          <w:vertAlign w:val="subscript"/>
        </w:rPr>
        <w:t>v</w:t>
      </w:r>
      <w:proofErr w:type="spellEnd"/>
      <w:r>
        <w:rPr>
          <w:b/>
          <w:color w:val="000000"/>
        </w:rPr>
        <w:t xml:space="preserve"> &gt; 0</w:t>
      </w:r>
      <w:r>
        <w:rPr>
          <w:color w:val="000000"/>
        </w:rPr>
        <w:t xml:space="preserve">; </w:t>
      </w:r>
      <w:proofErr w:type="spellStart"/>
      <w:r>
        <w:rPr>
          <w:i/>
          <w:color w:val="000000"/>
        </w:rPr>
        <w:t>VE</w:t>
      </w:r>
      <w:r>
        <w:rPr>
          <w:i/>
          <w:color w:val="000000"/>
          <w:vertAlign w:val="subscript"/>
        </w:rPr>
        <w:t>f</w:t>
      </w:r>
      <w:proofErr w:type="spellEnd"/>
      <w:r>
        <w:rPr>
          <w:color w:val="000000"/>
        </w:rPr>
        <w:t xml:space="preserve"> = </w:t>
      </w:r>
      <w:r>
        <w:rPr>
          <w:i/>
          <w:color w:val="000000"/>
        </w:rPr>
        <w:t xml:space="preserve">VG </w:t>
      </w:r>
      <w:r>
        <w:rPr>
          <w:color w:val="000000"/>
        </w:rPr>
        <w:t>= 0: only variable environmental effect, no constant individual effect;</w:t>
      </w:r>
    </w:p>
    <w:p w:rsidR="00EB2823" w:rsidRDefault="00D911B5">
      <w:pPr>
        <w:numPr>
          <w:ilvl w:val="0"/>
          <w:numId w:val="5"/>
        </w:numPr>
        <w:pBdr>
          <w:top w:val="nil"/>
          <w:left w:val="nil"/>
          <w:bottom w:val="nil"/>
          <w:right w:val="nil"/>
          <w:between w:val="nil"/>
        </w:pBdr>
        <w:spacing w:after="0"/>
        <w:jc w:val="both"/>
        <w:rPr>
          <w:color w:val="000000"/>
        </w:rPr>
      </w:pPr>
      <w:proofErr w:type="spellStart"/>
      <w:r>
        <w:rPr>
          <w:b/>
          <w:i/>
          <w:color w:val="000000"/>
        </w:rPr>
        <w:t>VE</w:t>
      </w:r>
      <w:r>
        <w:rPr>
          <w:b/>
          <w:i/>
          <w:color w:val="000000"/>
          <w:vertAlign w:val="subscript"/>
        </w:rPr>
        <w:t>v</w:t>
      </w:r>
      <w:proofErr w:type="spellEnd"/>
      <w:r>
        <w:rPr>
          <w:b/>
          <w:color w:val="000000"/>
        </w:rPr>
        <w:t xml:space="preserve"> &gt; 0</w:t>
      </w:r>
      <w:r>
        <w:rPr>
          <w:color w:val="000000"/>
        </w:rPr>
        <w:t xml:space="preserve">; </w:t>
      </w:r>
      <w:proofErr w:type="spellStart"/>
      <w:r>
        <w:rPr>
          <w:b/>
          <w:i/>
          <w:color w:val="000000"/>
        </w:rPr>
        <w:t>VE</w:t>
      </w:r>
      <w:r>
        <w:rPr>
          <w:b/>
          <w:i/>
          <w:color w:val="000000"/>
          <w:vertAlign w:val="subscript"/>
        </w:rPr>
        <w:t>f</w:t>
      </w:r>
      <w:proofErr w:type="spellEnd"/>
      <w:r>
        <w:rPr>
          <w:b/>
          <w:color w:val="000000"/>
        </w:rPr>
        <w:t xml:space="preserve"> &gt; 0</w:t>
      </w:r>
      <w:r>
        <w:rPr>
          <w:color w:val="000000"/>
        </w:rPr>
        <w:t xml:space="preserve">; </w:t>
      </w:r>
      <w:r>
        <w:rPr>
          <w:i/>
          <w:color w:val="000000"/>
        </w:rPr>
        <w:t xml:space="preserve">VG </w:t>
      </w:r>
      <w:r>
        <w:rPr>
          <w:color w:val="000000"/>
        </w:rPr>
        <w:t>= 0: environmental effect, 20% variable and 80% fixed;</w:t>
      </w:r>
    </w:p>
    <w:p w:rsidR="00EB2823" w:rsidRDefault="00D911B5">
      <w:pPr>
        <w:numPr>
          <w:ilvl w:val="0"/>
          <w:numId w:val="5"/>
        </w:numPr>
        <w:pBdr>
          <w:top w:val="nil"/>
          <w:left w:val="nil"/>
          <w:bottom w:val="nil"/>
          <w:right w:val="nil"/>
          <w:between w:val="nil"/>
        </w:pBdr>
        <w:spacing w:after="0"/>
        <w:jc w:val="both"/>
        <w:rPr>
          <w:color w:val="000000"/>
        </w:rPr>
      </w:pPr>
      <w:proofErr w:type="spellStart"/>
      <w:r>
        <w:rPr>
          <w:i/>
          <w:color w:val="000000"/>
        </w:rPr>
        <w:t>VE</w:t>
      </w:r>
      <w:r>
        <w:rPr>
          <w:i/>
          <w:color w:val="000000"/>
          <w:vertAlign w:val="subscript"/>
        </w:rPr>
        <w:t>v</w:t>
      </w:r>
      <w:proofErr w:type="spellEnd"/>
      <w:r>
        <w:rPr>
          <w:color w:val="000000"/>
        </w:rPr>
        <w:t xml:space="preserve"> = 0; </w:t>
      </w:r>
      <w:proofErr w:type="spellStart"/>
      <w:r>
        <w:rPr>
          <w:b/>
          <w:i/>
          <w:color w:val="000000"/>
        </w:rPr>
        <w:t>VE</w:t>
      </w:r>
      <w:r>
        <w:rPr>
          <w:b/>
          <w:i/>
          <w:color w:val="000000"/>
          <w:vertAlign w:val="subscript"/>
        </w:rPr>
        <w:t>f</w:t>
      </w:r>
      <w:proofErr w:type="spellEnd"/>
      <w:r>
        <w:rPr>
          <w:b/>
          <w:color w:val="000000"/>
        </w:rPr>
        <w:t xml:space="preserve"> &gt; 0</w:t>
      </w:r>
      <w:r>
        <w:rPr>
          <w:color w:val="000000"/>
        </w:rPr>
        <w:t xml:space="preserve">; </w:t>
      </w:r>
      <w:r>
        <w:rPr>
          <w:i/>
          <w:color w:val="000000"/>
        </w:rPr>
        <w:t xml:space="preserve">VG </w:t>
      </w:r>
      <w:r>
        <w:rPr>
          <w:color w:val="000000"/>
        </w:rPr>
        <w:t>= 0: only constant effect, purely environmental;</w:t>
      </w:r>
    </w:p>
    <w:p w:rsidR="00EB2823" w:rsidRDefault="00D911B5">
      <w:pPr>
        <w:numPr>
          <w:ilvl w:val="0"/>
          <w:numId w:val="5"/>
        </w:numPr>
        <w:pBdr>
          <w:top w:val="nil"/>
          <w:left w:val="nil"/>
          <w:bottom w:val="nil"/>
          <w:right w:val="nil"/>
          <w:between w:val="nil"/>
        </w:pBdr>
        <w:spacing w:after="0"/>
        <w:jc w:val="both"/>
        <w:rPr>
          <w:color w:val="000000"/>
        </w:rPr>
      </w:pPr>
      <w:proofErr w:type="spellStart"/>
      <w:r>
        <w:rPr>
          <w:b/>
          <w:i/>
          <w:color w:val="000000"/>
        </w:rPr>
        <w:t>VE</w:t>
      </w:r>
      <w:r>
        <w:rPr>
          <w:b/>
          <w:i/>
          <w:color w:val="000000"/>
          <w:vertAlign w:val="subscript"/>
        </w:rPr>
        <w:t>v</w:t>
      </w:r>
      <w:proofErr w:type="spellEnd"/>
      <w:r>
        <w:rPr>
          <w:b/>
          <w:color w:val="000000"/>
        </w:rPr>
        <w:t xml:space="preserve"> &gt; 0</w:t>
      </w:r>
      <w:r>
        <w:rPr>
          <w:color w:val="000000"/>
        </w:rPr>
        <w:t xml:space="preserve">; </w:t>
      </w:r>
      <w:proofErr w:type="spellStart"/>
      <w:r>
        <w:rPr>
          <w:b/>
          <w:i/>
          <w:color w:val="000000"/>
        </w:rPr>
        <w:t>VE</w:t>
      </w:r>
      <w:r>
        <w:rPr>
          <w:b/>
          <w:i/>
          <w:color w:val="000000"/>
          <w:vertAlign w:val="subscript"/>
        </w:rPr>
        <w:t>f</w:t>
      </w:r>
      <w:proofErr w:type="spellEnd"/>
      <w:r>
        <w:rPr>
          <w:b/>
          <w:color w:val="000000"/>
        </w:rPr>
        <w:t xml:space="preserve"> &gt; 0</w:t>
      </w:r>
      <w:r>
        <w:rPr>
          <w:color w:val="000000"/>
        </w:rPr>
        <w:t xml:space="preserve">; </w:t>
      </w:r>
      <w:r>
        <w:rPr>
          <w:b/>
          <w:i/>
          <w:color w:val="000000"/>
        </w:rPr>
        <w:t xml:space="preserve">VG </w:t>
      </w:r>
      <w:r>
        <w:rPr>
          <w:b/>
          <w:color w:val="000000"/>
        </w:rPr>
        <w:t>&gt; 0</w:t>
      </w:r>
      <w:r>
        <w:rPr>
          <w:color w:val="000000"/>
        </w:rPr>
        <w:t>: environmental effect, 20% variable and 80% fixed, and genetic effect;</w:t>
      </w:r>
    </w:p>
    <w:p w:rsidR="00EB2823" w:rsidRDefault="00D911B5">
      <w:pPr>
        <w:numPr>
          <w:ilvl w:val="0"/>
          <w:numId w:val="5"/>
        </w:numPr>
        <w:pBdr>
          <w:top w:val="nil"/>
          <w:left w:val="nil"/>
          <w:bottom w:val="nil"/>
          <w:right w:val="nil"/>
          <w:between w:val="nil"/>
        </w:pBdr>
        <w:jc w:val="both"/>
        <w:rPr>
          <w:color w:val="000000"/>
        </w:rPr>
      </w:pPr>
      <w:proofErr w:type="spellStart"/>
      <w:r>
        <w:rPr>
          <w:i/>
          <w:color w:val="000000"/>
        </w:rPr>
        <w:t>VE</w:t>
      </w:r>
      <w:r>
        <w:rPr>
          <w:i/>
          <w:color w:val="000000"/>
          <w:vertAlign w:val="subscript"/>
        </w:rPr>
        <w:t>v</w:t>
      </w:r>
      <w:proofErr w:type="spellEnd"/>
      <w:r>
        <w:rPr>
          <w:color w:val="000000"/>
        </w:rPr>
        <w:t xml:space="preserve"> = </w:t>
      </w:r>
      <w:proofErr w:type="gramStart"/>
      <w:r>
        <w:rPr>
          <w:color w:val="000000"/>
        </w:rPr>
        <w:t>0</w:t>
      </w:r>
      <w:proofErr w:type="gramEnd"/>
      <w:r>
        <w:rPr>
          <w:color w:val="000000"/>
        </w:rPr>
        <w:t xml:space="preserve">; </w:t>
      </w:r>
      <w:proofErr w:type="spellStart"/>
      <w:r>
        <w:rPr>
          <w:b/>
          <w:i/>
          <w:color w:val="000000"/>
        </w:rPr>
        <w:t>VE</w:t>
      </w:r>
      <w:r>
        <w:rPr>
          <w:b/>
          <w:i/>
          <w:color w:val="000000"/>
          <w:vertAlign w:val="subscript"/>
        </w:rPr>
        <w:t>f</w:t>
      </w:r>
      <w:proofErr w:type="spellEnd"/>
      <w:r>
        <w:rPr>
          <w:b/>
          <w:color w:val="000000"/>
        </w:rPr>
        <w:t xml:space="preserve"> &gt; 0</w:t>
      </w:r>
      <w:r>
        <w:rPr>
          <w:color w:val="000000"/>
        </w:rPr>
        <w:t xml:space="preserve">; </w:t>
      </w:r>
      <w:r>
        <w:rPr>
          <w:b/>
          <w:i/>
          <w:color w:val="000000"/>
        </w:rPr>
        <w:t xml:space="preserve">VG </w:t>
      </w:r>
      <w:r>
        <w:rPr>
          <w:b/>
          <w:color w:val="000000"/>
        </w:rPr>
        <w:t>&gt; 0</w:t>
      </w:r>
      <w:r>
        <w:rPr>
          <w:color w:val="000000"/>
        </w:rPr>
        <w:t>: only constant effects, environmental and genetic.</w:t>
      </w:r>
    </w:p>
    <w:p w:rsidR="00EB2823" w:rsidRDefault="00D911B5">
      <w:pPr>
        <w:jc w:val="both"/>
      </w:pPr>
      <w:r>
        <w:t xml:space="preserve">First, we examined the evolution of individual diameters and individual diameter increments during 100 years within a generation. Within a generation, the variation patterns (4) and (6) are strictly equivalent because they only have constant individual effects, while (3) and (5) are slightly different because the total environmental variance is lower in (5). Then, we simulated a regeneration phase and examined the values at the end of the second (non-overlapping) generation. </w:t>
      </w:r>
    </w:p>
    <w:p w:rsidR="00EB2823" w:rsidRDefault="00D911B5">
      <w:pPr>
        <w:jc w:val="both"/>
      </w:pPr>
      <w:r>
        <w:t>Note: the simulations below only represent one run of each case, replicated runs may result in slightly different mean and variance values without changing the main tendencies described here.</w:t>
      </w:r>
    </w:p>
    <w:p w:rsidR="00EB2823" w:rsidRPr="00C3039D" w:rsidRDefault="00D911B5">
      <w:pPr>
        <w:pStyle w:val="Titre1"/>
        <w:spacing w:after="120"/>
        <w:rPr>
          <w:rFonts w:asciiTheme="minorHAnsi" w:hAnsiTheme="minorHAnsi" w:cstheme="minorHAnsi"/>
        </w:rPr>
      </w:pPr>
      <w:bookmarkStart w:id="3" w:name="_heading=h.6f1mfa744rki" w:colFirst="0" w:colLast="0"/>
      <w:bookmarkEnd w:id="3"/>
      <w:r w:rsidRPr="00C3039D">
        <w:rPr>
          <w:rFonts w:asciiTheme="minorHAnsi" w:hAnsiTheme="minorHAnsi" w:cstheme="minorHAnsi"/>
        </w:rPr>
        <w:lastRenderedPageBreak/>
        <w:t xml:space="preserve">1. </w:t>
      </w:r>
      <w:proofErr w:type="gramStart"/>
      <w:r w:rsidRPr="00C3039D">
        <w:rPr>
          <w:rFonts w:asciiTheme="minorHAnsi" w:hAnsiTheme="minorHAnsi" w:cstheme="minorHAnsi"/>
        </w:rPr>
        <w:t>Without</w:t>
      </w:r>
      <w:proofErr w:type="gramEnd"/>
      <w:r w:rsidRPr="00C3039D">
        <w:rPr>
          <w:rFonts w:asciiTheme="minorHAnsi" w:hAnsiTheme="minorHAnsi" w:cstheme="minorHAnsi"/>
        </w:rPr>
        <w:t xml:space="preserve"> competition, within-generation</w:t>
      </w:r>
    </w:p>
    <w:p w:rsidR="00EB2823" w:rsidRDefault="00EB2823">
      <w:pPr>
        <w:spacing w:after="0"/>
      </w:pPr>
    </w:p>
    <w:p w:rsidR="00EB2823" w:rsidRDefault="00D911B5">
      <w:pPr>
        <w:spacing w:after="0"/>
        <w:jc w:val="center"/>
      </w:pPr>
      <w:r>
        <w:rPr>
          <w:noProof/>
          <w:lang w:val="fr-FR"/>
        </w:rPr>
        <w:drawing>
          <wp:inline distT="0" distB="0" distL="0" distR="0">
            <wp:extent cx="5400000" cy="2530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400000" cy="2530800"/>
                    </a:xfrm>
                    <a:prstGeom prst="rect">
                      <a:avLst/>
                    </a:prstGeom>
                    <a:ln/>
                  </pic:spPr>
                </pic:pic>
              </a:graphicData>
            </a:graphic>
          </wp:inline>
        </w:drawing>
      </w:r>
    </w:p>
    <w:p w:rsidR="00EB2823" w:rsidRDefault="00D911B5">
      <w:pPr>
        <w:jc w:val="center"/>
        <w:rPr>
          <w:i/>
        </w:rPr>
      </w:pPr>
      <w:r>
        <w:rPr>
          <w:i/>
        </w:rPr>
        <w:t xml:space="preserve">Figure 1a: within-generation evolution of individual tree diameters (D) without competition. </w:t>
      </w:r>
      <w:proofErr w:type="gramStart"/>
      <w:r>
        <w:rPr>
          <w:i/>
        </w:rPr>
        <w:t>the</w:t>
      </w:r>
      <w:proofErr w:type="gramEnd"/>
      <w:r>
        <w:rPr>
          <w:i/>
        </w:rPr>
        <w:t xml:space="preserve"> black marks are the individual tree identifiers.</w:t>
      </w:r>
    </w:p>
    <w:p w:rsidR="00EB2823" w:rsidRDefault="00EB2823">
      <w:pPr>
        <w:jc w:val="center"/>
        <w:rPr>
          <w:i/>
        </w:rPr>
      </w:pPr>
    </w:p>
    <w:p w:rsidR="00EB2823" w:rsidRDefault="00D911B5">
      <w:pPr>
        <w:spacing w:after="0"/>
        <w:jc w:val="center"/>
      </w:pPr>
      <w:r>
        <w:rPr>
          <w:noProof/>
          <w:lang w:val="fr-FR"/>
        </w:rPr>
        <w:drawing>
          <wp:inline distT="0" distB="0" distL="0" distR="0">
            <wp:extent cx="5400000" cy="25272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00000" cy="2527200"/>
                    </a:xfrm>
                    <a:prstGeom prst="rect">
                      <a:avLst/>
                    </a:prstGeom>
                    <a:ln/>
                  </pic:spPr>
                </pic:pic>
              </a:graphicData>
            </a:graphic>
          </wp:inline>
        </w:drawing>
      </w:r>
    </w:p>
    <w:p w:rsidR="00EB2823" w:rsidRDefault="00D911B5">
      <w:pPr>
        <w:jc w:val="center"/>
        <w:rPr>
          <w:i/>
        </w:rPr>
      </w:pPr>
      <w:r>
        <w:rPr>
          <w:i/>
        </w:rPr>
        <w:t>Figure 1b: within-generation evolution of individual tree diameter increments (</w:t>
      </w:r>
      <w:proofErr w:type="spellStart"/>
      <w:r>
        <w:rPr>
          <w:i/>
        </w:rPr>
        <w:t>dD</w:t>
      </w:r>
      <w:proofErr w:type="spellEnd"/>
      <w:r>
        <w:rPr>
          <w:i/>
        </w:rPr>
        <w:t>) without competition. The black marks are the individual tree identifiers.</w:t>
      </w:r>
    </w:p>
    <w:p w:rsidR="00EB2823" w:rsidRDefault="00EB2823">
      <w:pPr>
        <w:jc w:val="center"/>
        <w:rPr>
          <w:i/>
        </w:rPr>
      </w:pPr>
    </w:p>
    <w:p w:rsidR="00EB2823" w:rsidRDefault="00D911B5">
      <w:pPr>
        <w:spacing w:after="0"/>
        <w:jc w:val="both"/>
        <w:rPr>
          <w:i/>
        </w:rPr>
      </w:pPr>
      <w:r>
        <w:rPr>
          <w:i/>
        </w:rPr>
        <w:t>Table 1: means and variances of individual tree diameters (D) and annual tree diameter increments (</w:t>
      </w:r>
      <w:proofErr w:type="spellStart"/>
      <w:r>
        <w:rPr>
          <w:i/>
        </w:rPr>
        <w:t>dD</w:t>
      </w:r>
      <w:proofErr w:type="spellEnd"/>
      <w:r>
        <w:rPr>
          <w:i/>
        </w:rPr>
        <w:t>) at age 100 without competition.</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8"/>
        <w:gridCol w:w="1038"/>
        <w:gridCol w:w="1487"/>
        <w:gridCol w:w="1487"/>
        <w:gridCol w:w="1487"/>
        <w:gridCol w:w="1487"/>
      </w:tblGrid>
      <w:tr w:rsidR="00EB2823">
        <w:tc>
          <w:tcPr>
            <w:tcW w:w="1038" w:type="dxa"/>
            <w:shd w:val="clear" w:color="auto" w:fill="F2F2F2"/>
          </w:tcPr>
          <w:p w:rsidR="00EB2823" w:rsidRDefault="00D911B5">
            <w:pPr>
              <w:jc w:val="center"/>
              <w:rPr>
                <w:b/>
                <w:i/>
              </w:rPr>
            </w:pPr>
            <w:proofErr w:type="spellStart"/>
            <w:r>
              <w:rPr>
                <w:b/>
                <w:i/>
              </w:rPr>
              <w:t>VE</w:t>
            </w:r>
            <w:r>
              <w:rPr>
                <w:b/>
                <w:i/>
                <w:vertAlign w:val="subscript"/>
              </w:rPr>
              <w:t>v</w:t>
            </w:r>
            <w:proofErr w:type="spellEnd"/>
          </w:p>
        </w:tc>
        <w:tc>
          <w:tcPr>
            <w:tcW w:w="1038" w:type="dxa"/>
            <w:shd w:val="clear" w:color="auto" w:fill="F2F2F2"/>
          </w:tcPr>
          <w:p w:rsidR="00EB2823" w:rsidRDefault="00D911B5">
            <w:pPr>
              <w:jc w:val="center"/>
              <w:rPr>
                <w:b/>
                <w:i/>
              </w:rPr>
            </w:pPr>
            <w:proofErr w:type="spellStart"/>
            <w:r>
              <w:rPr>
                <w:b/>
                <w:i/>
              </w:rPr>
              <w:t>VE</w:t>
            </w:r>
            <w:r>
              <w:rPr>
                <w:b/>
                <w:i/>
                <w:vertAlign w:val="subscript"/>
              </w:rPr>
              <w:t>f</w:t>
            </w:r>
            <w:proofErr w:type="spellEnd"/>
          </w:p>
        </w:tc>
        <w:tc>
          <w:tcPr>
            <w:tcW w:w="1038" w:type="dxa"/>
            <w:shd w:val="clear" w:color="auto" w:fill="F2F2F2"/>
          </w:tcPr>
          <w:p w:rsidR="00EB2823" w:rsidRDefault="00D911B5">
            <w:pPr>
              <w:jc w:val="center"/>
              <w:rPr>
                <w:b/>
                <w:i/>
              </w:rPr>
            </w:pPr>
            <w:r>
              <w:rPr>
                <w:b/>
                <w:i/>
              </w:rPr>
              <w:t>VG</w:t>
            </w:r>
          </w:p>
        </w:tc>
        <w:tc>
          <w:tcPr>
            <w:tcW w:w="1487" w:type="dxa"/>
            <w:shd w:val="clear" w:color="auto" w:fill="D9D9D9"/>
          </w:tcPr>
          <w:p w:rsidR="00EB2823" w:rsidRDefault="00D911B5">
            <w:pPr>
              <w:jc w:val="center"/>
              <w:rPr>
                <w:b/>
                <w:i/>
              </w:rPr>
            </w:pPr>
            <w:r>
              <w:rPr>
                <w:b/>
                <w:i/>
              </w:rPr>
              <w:t>Mean(D)</w:t>
            </w:r>
          </w:p>
        </w:tc>
        <w:tc>
          <w:tcPr>
            <w:tcW w:w="1487" w:type="dxa"/>
            <w:shd w:val="clear" w:color="auto" w:fill="D9D9D9"/>
          </w:tcPr>
          <w:p w:rsidR="00EB2823" w:rsidRDefault="00D911B5">
            <w:pPr>
              <w:jc w:val="center"/>
              <w:rPr>
                <w:b/>
                <w:i/>
              </w:rPr>
            </w:pPr>
            <w:proofErr w:type="spellStart"/>
            <w:r>
              <w:rPr>
                <w:b/>
                <w:i/>
              </w:rPr>
              <w:t>Var</w:t>
            </w:r>
            <w:proofErr w:type="spellEnd"/>
            <w:r>
              <w:rPr>
                <w:b/>
                <w:i/>
              </w:rPr>
              <w:t>(D)</w:t>
            </w:r>
          </w:p>
        </w:tc>
        <w:tc>
          <w:tcPr>
            <w:tcW w:w="1487" w:type="dxa"/>
            <w:shd w:val="clear" w:color="auto" w:fill="D9D9D9"/>
          </w:tcPr>
          <w:p w:rsidR="00EB2823" w:rsidRDefault="00D911B5">
            <w:pPr>
              <w:jc w:val="center"/>
              <w:rPr>
                <w:b/>
                <w:i/>
              </w:rPr>
            </w:pPr>
            <w:r>
              <w:rPr>
                <w:b/>
                <w:i/>
              </w:rPr>
              <w:t>Mean(</w:t>
            </w:r>
            <w:proofErr w:type="spellStart"/>
            <w:r>
              <w:rPr>
                <w:b/>
                <w:i/>
              </w:rPr>
              <w:t>dD</w:t>
            </w:r>
            <w:proofErr w:type="spellEnd"/>
            <w:r>
              <w:rPr>
                <w:b/>
                <w:i/>
              </w:rPr>
              <w:t>)</w:t>
            </w:r>
          </w:p>
        </w:tc>
        <w:tc>
          <w:tcPr>
            <w:tcW w:w="1487" w:type="dxa"/>
            <w:shd w:val="clear" w:color="auto" w:fill="D9D9D9"/>
          </w:tcPr>
          <w:p w:rsidR="00EB2823" w:rsidRDefault="00D911B5">
            <w:pPr>
              <w:jc w:val="center"/>
              <w:rPr>
                <w:b/>
                <w:i/>
              </w:rPr>
            </w:pPr>
            <w:proofErr w:type="spellStart"/>
            <w:r>
              <w:rPr>
                <w:b/>
                <w:i/>
              </w:rPr>
              <w:t>Var</w:t>
            </w:r>
            <w:proofErr w:type="spellEnd"/>
            <w:r>
              <w:rPr>
                <w:b/>
                <w:i/>
              </w:rPr>
              <w:t>(</w:t>
            </w:r>
            <w:proofErr w:type="spellStart"/>
            <w:r>
              <w:rPr>
                <w:b/>
                <w:i/>
              </w:rPr>
              <w:t>dD</w:t>
            </w:r>
            <w:proofErr w:type="spellEnd"/>
            <w:r>
              <w:rPr>
                <w:b/>
                <w:i/>
              </w:rPr>
              <w:t>)</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112</w:t>
            </w:r>
          </w:p>
        </w:tc>
        <w:tc>
          <w:tcPr>
            <w:tcW w:w="1487" w:type="dxa"/>
          </w:tcPr>
          <w:p w:rsidR="00EB2823" w:rsidRDefault="00D911B5">
            <w:pPr>
              <w:jc w:val="center"/>
            </w:pPr>
            <w:r>
              <w:t>5</w:t>
            </w:r>
          </w:p>
        </w:tc>
        <w:tc>
          <w:tcPr>
            <w:tcW w:w="1487" w:type="dxa"/>
          </w:tcPr>
          <w:p w:rsidR="00EB2823" w:rsidRDefault="00D911B5">
            <w:pPr>
              <w:jc w:val="center"/>
            </w:pPr>
            <w:r>
              <w:t>0.86</w:t>
            </w:r>
          </w:p>
        </w:tc>
        <w:tc>
          <w:tcPr>
            <w:tcW w:w="1487" w:type="dxa"/>
          </w:tcPr>
          <w:p w:rsidR="00EB2823" w:rsidRDefault="00D911B5">
            <w:pPr>
              <w:jc w:val="center"/>
            </w:pPr>
            <w:r>
              <w:t>0</w:t>
            </w:r>
          </w:p>
        </w:tc>
      </w:tr>
      <w:tr w:rsidR="00EB2823">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112</w:t>
            </w:r>
          </w:p>
        </w:tc>
        <w:tc>
          <w:tcPr>
            <w:tcW w:w="1487" w:type="dxa"/>
          </w:tcPr>
          <w:p w:rsidR="00EB2823" w:rsidRDefault="00D911B5">
            <w:pPr>
              <w:jc w:val="center"/>
            </w:pPr>
            <w:r>
              <w:t>6</w:t>
            </w:r>
          </w:p>
        </w:tc>
        <w:tc>
          <w:tcPr>
            <w:tcW w:w="1487" w:type="dxa"/>
          </w:tcPr>
          <w:p w:rsidR="00EB2823" w:rsidRDefault="00D911B5">
            <w:pPr>
              <w:jc w:val="center"/>
            </w:pPr>
            <w:r>
              <w:t>0.86</w:t>
            </w:r>
          </w:p>
        </w:tc>
        <w:tc>
          <w:tcPr>
            <w:tcW w:w="1487" w:type="dxa"/>
          </w:tcPr>
          <w:p w:rsidR="00EB2823" w:rsidRDefault="00D911B5">
            <w:pPr>
              <w:jc w:val="center"/>
            </w:pPr>
            <w:r>
              <w:t>0.014</w:t>
            </w:r>
          </w:p>
        </w:tc>
      </w:tr>
      <w:tr w:rsidR="00EB2823">
        <w:tc>
          <w:tcPr>
            <w:tcW w:w="1038" w:type="dxa"/>
            <w:shd w:val="clear" w:color="auto" w:fill="F2F2F2"/>
          </w:tcPr>
          <w:p w:rsidR="00EB2823" w:rsidRDefault="00D911B5">
            <w:pPr>
              <w:jc w:val="center"/>
            </w:pPr>
            <w:r>
              <w:t>0.0028</w:t>
            </w:r>
          </w:p>
        </w:tc>
        <w:tc>
          <w:tcPr>
            <w:tcW w:w="1038" w:type="dxa"/>
            <w:shd w:val="clear" w:color="auto" w:fill="F2F2F2"/>
          </w:tcPr>
          <w:p w:rsidR="00EB2823" w:rsidRDefault="00D911B5">
            <w:pPr>
              <w:jc w:val="center"/>
            </w:pPr>
            <w:r>
              <w:t>0.0112</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112</w:t>
            </w:r>
          </w:p>
        </w:tc>
        <w:tc>
          <w:tcPr>
            <w:tcW w:w="1487" w:type="dxa"/>
          </w:tcPr>
          <w:p w:rsidR="00EB2823" w:rsidRDefault="00D911B5">
            <w:pPr>
              <w:jc w:val="center"/>
            </w:pPr>
            <w:r>
              <w:t>76</w:t>
            </w:r>
          </w:p>
        </w:tc>
        <w:tc>
          <w:tcPr>
            <w:tcW w:w="1487" w:type="dxa"/>
          </w:tcPr>
          <w:p w:rsidR="00EB2823" w:rsidRDefault="00D911B5">
            <w:pPr>
              <w:jc w:val="center"/>
            </w:pPr>
            <w:r>
              <w:t>0.86</w:t>
            </w:r>
          </w:p>
        </w:tc>
        <w:tc>
          <w:tcPr>
            <w:tcW w:w="1487" w:type="dxa"/>
          </w:tcPr>
          <w:p w:rsidR="00EB2823" w:rsidRDefault="00D911B5">
            <w:pPr>
              <w:jc w:val="center"/>
            </w:pPr>
            <w:r>
              <w:t>0.015</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112</w:t>
            </w:r>
          </w:p>
        </w:tc>
        <w:tc>
          <w:tcPr>
            <w:tcW w:w="1487" w:type="dxa"/>
          </w:tcPr>
          <w:p w:rsidR="00EB2823" w:rsidRDefault="00D911B5">
            <w:pPr>
              <w:jc w:val="center"/>
            </w:pPr>
            <w:r>
              <w:t>97</w:t>
            </w:r>
          </w:p>
        </w:tc>
        <w:tc>
          <w:tcPr>
            <w:tcW w:w="1487" w:type="dxa"/>
          </w:tcPr>
          <w:p w:rsidR="00EB2823" w:rsidRDefault="00D911B5">
            <w:pPr>
              <w:jc w:val="center"/>
            </w:pPr>
            <w:r>
              <w:t>0.86</w:t>
            </w:r>
          </w:p>
        </w:tc>
        <w:tc>
          <w:tcPr>
            <w:tcW w:w="1487" w:type="dxa"/>
          </w:tcPr>
          <w:p w:rsidR="00EB2823" w:rsidRDefault="00D911B5">
            <w:pPr>
              <w:jc w:val="center"/>
            </w:pPr>
            <w:r>
              <w:t>0.017</w:t>
            </w:r>
          </w:p>
        </w:tc>
      </w:tr>
      <w:tr w:rsidR="00EB2823">
        <w:tc>
          <w:tcPr>
            <w:tcW w:w="1038" w:type="dxa"/>
            <w:shd w:val="clear" w:color="auto" w:fill="F2F2F2"/>
          </w:tcPr>
          <w:p w:rsidR="00EB2823" w:rsidRDefault="00D911B5">
            <w:pPr>
              <w:jc w:val="center"/>
            </w:pPr>
            <w:r>
              <w:t>0.00196</w:t>
            </w:r>
          </w:p>
        </w:tc>
        <w:tc>
          <w:tcPr>
            <w:tcW w:w="1038" w:type="dxa"/>
            <w:shd w:val="clear" w:color="auto" w:fill="F2F2F2"/>
          </w:tcPr>
          <w:p w:rsidR="00EB2823" w:rsidRDefault="00D911B5">
            <w:pPr>
              <w:jc w:val="center"/>
            </w:pPr>
            <w:r>
              <w:t>0.00784</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112</w:t>
            </w:r>
          </w:p>
        </w:tc>
        <w:tc>
          <w:tcPr>
            <w:tcW w:w="1487" w:type="dxa"/>
          </w:tcPr>
          <w:p w:rsidR="00EB2823" w:rsidRDefault="00D911B5">
            <w:pPr>
              <w:jc w:val="center"/>
            </w:pPr>
            <w:r>
              <w:t>78</w:t>
            </w:r>
          </w:p>
        </w:tc>
        <w:tc>
          <w:tcPr>
            <w:tcW w:w="1487" w:type="dxa"/>
          </w:tcPr>
          <w:p w:rsidR="00EB2823" w:rsidRDefault="00D911B5">
            <w:pPr>
              <w:jc w:val="center"/>
            </w:pPr>
            <w:r>
              <w:t>0.86</w:t>
            </w:r>
          </w:p>
        </w:tc>
        <w:tc>
          <w:tcPr>
            <w:tcW w:w="1487" w:type="dxa"/>
          </w:tcPr>
          <w:p w:rsidR="00EB2823" w:rsidRDefault="00D911B5">
            <w:pPr>
              <w:jc w:val="center"/>
            </w:pPr>
            <w:r>
              <w:t>0.015</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0.0098</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112</w:t>
            </w:r>
          </w:p>
        </w:tc>
        <w:tc>
          <w:tcPr>
            <w:tcW w:w="1487" w:type="dxa"/>
          </w:tcPr>
          <w:p w:rsidR="00EB2823" w:rsidRDefault="00D911B5">
            <w:pPr>
              <w:jc w:val="center"/>
            </w:pPr>
            <w:r>
              <w:t>90</w:t>
            </w:r>
          </w:p>
        </w:tc>
        <w:tc>
          <w:tcPr>
            <w:tcW w:w="1487" w:type="dxa"/>
          </w:tcPr>
          <w:p w:rsidR="00EB2823" w:rsidRDefault="00D911B5">
            <w:pPr>
              <w:jc w:val="center"/>
            </w:pPr>
            <w:r>
              <w:t>0.86</w:t>
            </w:r>
          </w:p>
        </w:tc>
        <w:tc>
          <w:tcPr>
            <w:tcW w:w="1487" w:type="dxa"/>
          </w:tcPr>
          <w:p w:rsidR="00EB2823" w:rsidRDefault="00D911B5">
            <w:pPr>
              <w:jc w:val="center"/>
            </w:pPr>
            <w:r>
              <w:t>0.016</w:t>
            </w:r>
          </w:p>
        </w:tc>
      </w:tr>
    </w:tbl>
    <w:p w:rsidR="00EB2823" w:rsidRDefault="00EB2823"/>
    <w:p w:rsidR="00EB2823" w:rsidRDefault="00D911B5">
      <w:pPr>
        <w:numPr>
          <w:ilvl w:val="0"/>
          <w:numId w:val="7"/>
        </w:numPr>
        <w:pBdr>
          <w:top w:val="nil"/>
          <w:left w:val="nil"/>
          <w:bottom w:val="nil"/>
          <w:right w:val="nil"/>
          <w:between w:val="nil"/>
        </w:pBdr>
        <w:spacing w:after="0"/>
        <w:jc w:val="both"/>
        <w:rPr>
          <w:color w:val="000000"/>
        </w:rPr>
      </w:pPr>
      <w:r>
        <w:rPr>
          <w:color w:val="000000"/>
        </w:rPr>
        <w:t xml:space="preserve">In the absence of competition, adding inter-individual variation in vigor in the model neither changes the predicted population mean diameter nor mean diameter increment. </w:t>
      </w:r>
    </w:p>
    <w:p w:rsidR="00EB2823" w:rsidRDefault="00D911B5">
      <w:pPr>
        <w:numPr>
          <w:ilvl w:val="0"/>
          <w:numId w:val="7"/>
        </w:numPr>
        <w:pBdr>
          <w:top w:val="nil"/>
          <w:left w:val="nil"/>
          <w:bottom w:val="nil"/>
          <w:right w:val="nil"/>
          <w:between w:val="nil"/>
        </w:pBdr>
        <w:spacing w:after="0"/>
        <w:jc w:val="both"/>
        <w:rPr>
          <w:color w:val="000000"/>
        </w:rPr>
      </w:pPr>
      <w:r>
        <w:rPr>
          <w:color w:val="000000"/>
        </w:rPr>
        <w:t>In the baseline deterministic growth model, the variance of annual increment becomes negligible at age 100 and the variance of tree diameter is only due to the initial stand variance before the simulation start.</w:t>
      </w:r>
    </w:p>
    <w:p w:rsidR="00EB2823" w:rsidRDefault="00D911B5">
      <w:pPr>
        <w:numPr>
          <w:ilvl w:val="0"/>
          <w:numId w:val="7"/>
        </w:numPr>
        <w:pBdr>
          <w:top w:val="nil"/>
          <w:left w:val="nil"/>
          <w:bottom w:val="nil"/>
          <w:right w:val="nil"/>
          <w:between w:val="nil"/>
        </w:pBdr>
        <w:spacing w:after="0"/>
        <w:jc w:val="both"/>
        <w:rPr>
          <w:color w:val="000000"/>
        </w:rPr>
      </w:pPr>
      <w:r>
        <w:rPr>
          <w:color w:val="000000"/>
        </w:rPr>
        <w:t>The variable environmental effects generate a variance of annual diameter increment that does not increase the population variance of tree diameter.</w:t>
      </w:r>
    </w:p>
    <w:p w:rsidR="00EB2823" w:rsidRDefault="00D911B5">
      <w:pPr>
        <w:numPr>
          <w:ilvl w:val="0"/>
          <w:numId w:val="7"/>
        </w:numPr>
        <w:pBdr>
          <w:top w:val="nil"/>
          <w:left w:val="nil"/>
          <w:bottom w:val="nil"/>
          <w:right w:val="nil"/>
          <w:between w:val="nil"/>
        </w:pBdr>
        <w:jc w:val="both"/>
        <w:rPr>
          <w:color w:val="000000"/>
        </w:rPr>
      </w:pPr>
      <w:r>
        <w:rPr>
          <w:color w:val="000000"/>
        </w:rPr>
        <w:t xml:space="preserve">Only the constant individual effects, fixed environmental and genetic effects, have an impact on the population variance of tree diameter. </w:t>
      </w:r>
    </w:p>
    <w:p w:rsidR="00EB2823" w:rsidRDefault="00EB2823">
      <w:pPr>
        <w:jc w:val="both"/>
      </w:pPr>
    </w:p>
    <w:p w:rsidR="00EB2823" w:rsidRPr="00C3039D" w:rsidRDefault="00D911B5">
      <w:pPr>
        <w:pStyle w:val="Titre1"/>
        <w:spacing w:after="120"/>
        <w:rPr>
          <w:rFonts w:asciiTheme="minorHAnsi" w:hAnsiTheme="minorHAnsi" w:cstheme="minorHAnsi"/>
        </w:rPr>
      </w:pPr>
      <w:bookmarkStart w:id="4" w:name="_heading=h.k3v9szkhlvas" w:colFirst="0" w:colLast="0"/>
      <w:bookmarkEnd w:id="4"/>
      <w:r w:rsidRPr="00C3039D">
        <w:rPr>
          <w:rFonts w:asciiTheme="minorHAnsi" w:hAnsiTheme="minorHAnsi" w:cstheme="minorHAnsi"/>
        </w:rPr>
        <w:t xml:space="preserve">2. </w:t>
      </w:r>
      <w:proofErr w:type="gramStart"/>
      <w:r w:rsidRPr="00C3039D">
        <w:rPr>
          <w:rFonts w:asciiTheme="minorHAnsi" w:hAnsiTheme="minorHAnsi" w:cstheme="minorHAnsi"/>
        </w:rPr>
        <w:t>With</w:t>
      </w:r>
      <w:proofErr w:type="gramEnd"/>
      <w:r w:rsidRPr="00C3039D">
        <w:rPr>
          <w:rFonts w:asciiTheme="minorHAnsi" w:hAnsiTheme="minorHAnsi" w:cstheme="minorHAnsi"/>
        </w:rPr>
        <w:t xml:space="preserve"> competition, within generation</w:t>
      </w:r>
    </w:p>
    <w:p w:rsidR="00EB2823" w:rsidRDefault="00EB2823">
      <w:pPr>
        <w:spacing w:after="0"/>
      </w:pPr>
    </w:p>
    <w:p w:rsidR="00EB2823" w:rsidRDefault="00D911B5">
      <w:pPr>
        <w:spacing w:after="0"/>
        <w:jc w:val="center"/>
      </w:pPr>
      <w:r>
        <w:rPr>
          <w:noProof/>
          <w:lang w:val="fr-FR"/>
        </w:rPr>
        <w:drawing>
          <wp:inline distT="0" distB="0" distL="0" distR="0">
            <wp:extent cx="5400000" cy="25272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00000" cy="2527200"/>
                    </a:xfrm>
                    <a:prstGeom prst="rect">
                      <a:avLst/>
                    </a:prstGeom>
                    <a:ln/>
                  </pic:spPr>
                </pic:pic>
              </a:graphicData>
            </a:graphic>
          </wp:inline>
        </w:drawing>
      </w:r>
    </w:p>
    <w:p w:rsidR="00EB2823" w:rsidRDefault="00D911B5">
      <w:pPr>
        <w:jc w:val="center"/>
        <w:rPr>
          <w:i/>
        </w:rPr>
      </w:pPr>
      <w:r>
        <w:rPr>
          <w:i/>
        </w:rPr>
        <w:t>Figure 2a: within-generation evolution of individual tree diameters (D) with competition. The arrows indicate the start of selective mortality; the black marks are the individual tree identifiers.</w:t>
      </w:r>
      <w:bookmarkStart w:id="5" w:name="_GoBack"/>
      <w:bookmarkEnd w:id="5"/>
    </w:p>
    <w:p w:rsidR="00EB2823" w:rsidRDefault="00D911B5">
      <w:pPr>
        <w:spacing w:after="0"/>
        <w:jc w:val="center"/>
      </w:pPr>
      <w:r>
        <w:rPr>
          <w:noProof/>
          <w:lang w:val="fr-FR"/>
        </w:rPr>
        <w:drawing>
          <wp:inline distT="0" distB="0" distL="0" distR="0">
            <wp:extent cx="5400000" cy="2523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00000" cy="2523600"/>
                    </a:xfrm>
                    <a:prstGeom prst="rect">
                      <a:avLst/>
                    </a:prstGeom>
                    <a:ln/>
                  </pic:spPr>
                </pic:pic>
              </a:graphicData>
            </a:graphic>
          </wp:inline>
        </w:drawing>
      </w:r>
    </w:p>
    <w:p w:rsidR="00EB2823" w:rsidRDefault="00D911B5">
      <w:pPr>
        <w:jc w:val="center"/>
        <w:rPr>
          <w:i/>
        </w:rPr>
      </w:pPr>
      <w:r>
        <w:rPr>
          <w:i/>
        </w:rPr>
        <w:t>Figure 2b: within-generation evolution of individual tree diameter increments (</w:t>
      </w:r>
      <w:proofErr w:type="spellStart"/>
      <w:r>
        <w:rPr>
          <w:i/>
        </w:rPr>
        <w:t>dD</w:t>
      </w:r>
      <w:proofErr w:type="spellEnd"/>
      <w:r>
        <w:rPr>
          <w:i/>
        </w:rPr>
        <w:t>) with competition. The arrows indicate the start of selective mortality; the black marks are the individual tree identifiers.</w:t>
      </w:r>
    </w:p>
    <w:p w:rsidR="00EB2823" w:rsidRDefault="00D911B5">
      <w:pPr>
        <w:spacing w:after="0"/>
        <w:jc w:val="both"/>
        <w:rPr>
          <w:i/>
        </w:rPr>
      </w:pPr>
      <w:r>
        <w:rPr>
          <w:i/>
        </w:rPr>
        <w:lastRenderedPageBreak/>
        <w:t>Table 2a: means and variances of individual tree diameters (D) and annual tree diameter increments (</w:t>
      </w:r>
      <w:proofErr w:type="spellStart"/>
      <w:r>
        <w:rPr>
          <w:i/>
        </w:rPr>
        <w:t>dD</w:t>
      </w:r>
      <w:proofErr w:type="spellEnd"/>
      <w:r>
        <w:rPr>
          <w:i/>
        </w:rPr>
        <w:t>) at age 43 with competition before mortality occurs)</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8"/>
        <w:gridCol w:w="1038"/>
        <w:gridCol w:w="1487"/>
        <w:gridCol w:w="1487"/>
        <w:gridCol w:w="1487"/>
        <w:gridCol w:w="1487"/>
      </w:tblGrid>
      <w:tr w:rsidR="00EB2823">
        <w:tc>
          <w:tcPr>
            <w:tcW w:w="1038" w:type="dxa"/>
            <w:shd w:val="clear" w:color="auto" w:fill="F2F2F2"/>
          </w:tcPr>
          <w:p w:rsidR="00EB2823" w:rsidRDefault="00D911B5">
            <w:pPr>
              <w:jc w:val="center"/>
              <w:rPr>
                <w:b/>
              </w:rPr>
            </w:pPr>
            <w:proofErr w:type="spellStart"/>
            <w:r>
              <w:rPr>
                <w:b/>
                <w:i/>
              </w:rPr>
              <w:t>VE</w:t>
            </w:r>
            <w:r>
              <w:rPr>
                <w:b/>
                <w:i/>
                <w:vertAlign w:val="subscript"/>
              </w:rPr>
              <w:t>v</w:t>
            </w:r>
            <w:proofErr w:type="spellEnd"/>
          </w:p>
        </w:tc>
        <w:tc>
          <w:tcPr>
            <w:tcW w:w="1038" w:type="dxa"/>
            <w:shd w:val="clear" w:color="auto" w:fill="F2F2F2"/>
          </w:tcPr>
          <w:p w:rsidR="00EB2823" w:rsidRDefault="00D911B5">
            <w:pPr>
              <w:jc w:val="center"/>
              <w:rPr>
                <w:b/>
              </w:rPr>
            </w:pPr>
            <w:proofErr w:type="spellStart"/>
            <w:r>
              <w:rPr>
                <w:b/>
                <w:i/>
              </w:rPr>
              <w:t>VE</w:t>
            </w:r>
            <w:r>
              <w:rPr>
                <w:b/>
                <w:i/>
                <w:vertAlign w:val="subscript"/>
              </w:rPr>
              <w:t>f</w:t>
            </w:r>
            <w:proofErr w:type="spellEnd"/>
          </w:p>
        </w:tc>
        <w:tc>
          <w:tcPr>
            <w:tcW w:w="1038" w:type="dxa"/>
            <w:shd w:val="clear" w:color="auto" w:fill="F2F2F2"/>
          </w:tcPr>
          <w:p w:rsidR="00EB2823" w:rsidRDefault="00D911B5">
            <w:pPr>
              <w:jc w:val="center"/>
              <w:rPr>
                <w:b/>
              </w:rPr>
            </w:pPr>
            <w:r>
              <w:rPr>
                <w:b/>
                <w:i/>
              </w:rPr>
              <w:t>VG</w:t>
            </w:r>
          </w:p>
        </w:tc>
        <w:tc>
          <w:tcPr>
            <w:tcW w:w="1487" w:type="dxa"/>
            <w:shd w:val="clear" w:color="auto" w:fill="D9D9D9"/>
          </w:tcPr>
          <w:p w:rsidR="00EB2823" w:rsidRDefault="00D911B5">
            <w:pPr>
              <w:jc w:val="center"/>
              <w:rPr>
                <w:b/>
              </w:rPr>
            </w:pPr>
            <w:r>
              <w:rPr>
                <w:b/>
                <w:i/>
              </w:rPr>
              <w:t>Mean(D)</w:t>
            </w:r>
          </w:p>
        </w:tc>
        <w:tc>
          <w:tcPr>
            <w:tcW w:w="1487" w:type="dxa"/>
            <w:shd w:val="clear" w:color="auto" w:fill="D9D9D9"/>
          </w:tcPr>
          <w:p w:rsidR="00EB2823" w:rsidRDefault="00D911B5">
            <w:pPr>
              <w:jc w:val="center"/>
              <w:rPr>
                <w:b/>
              </w:rPr>
            </w:pPr>
            <w:proofErr w:type="spellStart"/>
            <w:r>
              <w:rPr>
                <w:b/>
                <w:i/>
              </w:rPr>
              <w:t>Var</w:t>
            </w:r>
            <w:proofErr w:type="spellEnd"/>
            <w:r>
              <w:rPr>
                <w:b/>
                <w:i/>
              </w:rPr>
              <w:t>(D)</w:t>
            </w:r>
          </w:p>
        </w:tc>
        <w:tc>
          <w:tcPr>
            <w:tcW w:w="1487" w:type="dxa"/>
            <w:shd w:val="clear" w:color="auto" w:fill="D9D9D9"/>
          </w:tcPr>
          <w:p w:rsidR="00EB2823" w:rsidRDefault="00D911B5">
            <w:pPr>
              <w:jc w:val="center"/>
              <w:rPr>
                <w:b/>
              </w:rPr>
            </w:pPr>
            <w:r>
              <w:rPr>
                <w:b/>
                <w:i/>
              </w:rPr>
              <w:t>Mean(</w:t>
            </w:r>
            <w:proofErr w:type="spellStart"/>
            <w:r>
              <w:rPr>
                <w:b/>
                <w:i/>
              </w:rPr>
              <w:t>dD</w:t>
            </w:r>
            <w:proofErr w:type="spellEnd"/>
            <w:r>
              <w:rPr>
                <w:b/>
                <w:i/>
              </w:rPr>
              <w:t>)</w:t>
            </w:r>
          </w:p>
        </w:tc>
        <w:tc>
          <w:tcPr>
            <w:tcW w:w="1487" w:type="dxa"/>
            <w:shd w:val="clear" w:color="auto" w:fill="D9D9D9"/>
          </w:tcPr>
          <w:p w:rsidR="00EB2823" w:rsidRDefault="00D911B5">
            <w:pPr>
              <w:jc w:val="center"/>
              <w:rPr>
                <w:b/>
              </w:rPr>
            </w:pPr>
            <w:proofErr w:type="spellStart"/>
            <w:r>
              <w:rPr>
                <w:b/>
                <w:i/>
              </w:rPr>
              <w:t>Var</w:t>
            </w:r>
            <w:proofErr w:type="spellEnd"/>
            <w:r>
              <w:rPr>
                <w:b/>
                <w:i/>
              </w:rPr>
              <w:t>(</w:t>
            </w:r>
            <w:proofErr w:type="spellStart"/>
            <w:r>
              <w:rPr>
                <w:b/>
                <w:i/>
              </w:rPr>
              <w:t>dD</w:t>
            </w:r>
            <w:proofErr w:type="spellEnd"/>
            <w:r>
              <w:rPr>
                <w:b/>
                <w:i/>
              </w:rPr>
              <w:t>)</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14</w:t>
            </w:r>
          </w:p>
        </w:tc>
        <w:tc>
          <w:tcPr>
            <w:tcW w:w="1487" w:type="dxa"/>
          </w:tcPr>
          <w:p w:rsidR="00EB2823" w:rsidRDefault="00D911B5">
            <w:pPr>
              <w:jc w:val="center"/>
            </w:pPr>
            <w:r>
              <w:t>9</w:t>
            </w:r>
          </w:p>
        </w:tc>
        <w:tc>
          <w:tcPr>
            <w:tcW w:w="1487" w:type="dxa"/>
          </w:tcPr>
          <w:p w:rsidR="00EB2823" w:rsidRDefault="00D911B5">
            <w:pPr>
              <w:jc w:val="center"/>
            </w:pPr>
            <w:r>
              <w:t>0.27</w:t>
            </w:r>
          </w:p>
        </w:tc>
        <w:tc>
          <w:tcPr>
            <w:tcW w:w="1487" w:type="dxa"/>
          </w:tcPr>
          <w:p w:rsidR="00EB2823" w:rsidRDefault="00D911B5">
            <w:pPr>
              <w:jc w:val="center"/>
            </w:pPr>
            <w:r>
              <w:t>0.003</w:t>
            </w:r>
          </w:p>
        </w:tc>
      </w:tr>
      <w:tr w:rsidR="00EB2823">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14</w:t>
            </w:r>
          </w:p>
        </w:tc>
        <w:tc>
          <w:tcPr>
            <w:tcW w:w="1487" w:type="dxa"/>
          </w:tcPr>
          <w:p w:rsidR="00EB2823" w:rsidRDefault="00D911B5">
            <w:pPr>
              <w:jc w:val="center"/>
            </w:pPr>
            <w:r>
              <w:t>9</w:t>
            </w:r>
          </w:p>
        </w:tc>
        <w:tc>
          <w:tcPr>
            <w:tcW w:w="1487" w:type="dxa"/>
          </w:tcPr>
          <w:p w:rsidR="00EB2823" w:rsidRDefault="00D911B5">
            <w:pPr>
              <w:jc w:val="center"/>
            </w:pPr>
            <w:r>
              <w:t>0.27</w:t>
            </w:r>
          </w:p>
        </w:tc>
        <w:tc>
          <w:tcPr>
            <w:tcW w:w="1487" w:type="dxa"/>
          </w:tcPr>
          <w:p w:rsidR="00EB2823" w:rsidRDefault="00D911B5">
            <w:pPr>
              <w:jc w:val="center"/>
            </w:pPr>
            <w:r>
              <w:t>0.016</w:t>
            </w:r>
          </w:p>
        </w:tc>
      </w:tr>
      <w:tr w:rsidR="00EB2823">
        <w:tc>
          <w:tcPr>
            <w:tcW w:w="1038" w:type="dxa"/>
            <w:shd w:val="clear" w:color="auto" w:fill="F2F2F2"/>
          </w:tcPr>
          <w:p w:rsidR="00EB2823" w:rsidRDefault="00D911B5">
            <w:pPr>
              <w:jc w:val="center"/>
            </w:pPr>
            <w:r>
              <w:t>0.0028</w:t>
            </w:r>
          </w:p>
        </w:tc>
        <w:tc>
          <w:tcPr>
            <w:tcW w:w="1038" w:type="dxa"/>
            <w:shd w:val="clear" w:color="auto" w:fill="F2F2F2"/>
          </w:tcPr>
          <w:p w:rsidR="00EB2823" w:rsidRDefault="00D911B5">
            <w:pPr>
              <w:jc w:val="center"/>
            </w:pPr>
            <w:r>
              <w:t>0.0112</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14</w:t>
            </w:r>
          </w:p>
        </w:tc>
        <w:tc>
          <w:tcPr>
            <w:tcW w:w="1487" w:type="dxa"/>
          </w:tcPr>
          <w:p w:rsidR="00EB2823" w:rsidRDefault="00D911B5">
            <w:pPr>
              <w:jc w:val="center"/>
            </w:pPr>
            <w:r>
              <w:t>14</w:t>
            </w:r>
          </w:p>
        </w:tc>
        <w:tc>
          <w:tcPr>
            <w:tcW w:w="1487" w:type="dxa"/>
          </w:tcPr>
          <w:p w:rsidR="00EB2823" w:rsidRDefault="00D911B5">
            <w:pPr>
              <w:jc w:val="center"/>
            </w:pPr>
            <w:r>
              <w:t>0.27</w:t>
            </w:r>
          </w:p>
        </w:tc>
        <w:tc>
          <w:tcPr>
            <w:tcW w:w="1487" w:type="dxa"/>
          </w:tcPr>
          <w:p w:rsidR="00EB2823" w:rsidRDefault="00D911B5">
            <w:pPr>
              <w:jc w:val="center"/>
            </w:pPr>
            <w:r>
              <w:t>0.022</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487" w:type="dxa"/>
          </w:tcPr>
          <w:p w:rsidR="00EB2823" w:rsidRDefault="00D911B5">
            <w:pPr>
              <w:jc w:val="center"/>
            </w:pPr>
            <w:r>
              <w:t>14</w:t>
            </w:r>
          </w:p>
        </w:tc>
        <w:tc>
          <w:tcPr>
            <w:tcW w:w="1487" w:type="dxa"/>
          </w:tcPr>
          <w:p w:rsidR="00EB2823" w:rsidRDefault="00D911B5">
            <w:pPr>
              <w:jc w:val="center"/>
            </w:pPr>
            <w:r>
              <w:t>15</w:t>
            </w:r>
          </w:p>
        </w:tc>
        <w:tc>
          <w:tcPr>
            <w:tcW w:w="1487" w:type="dxa"/>
          </w:tcPr>
          <w:p w:rsidR="00EB2823" w:rsidRDefault="00D911B5">
            <w:pPr>
              <w:jc w:val="center"/>
            </w:pPr>
            <w:r>
              <w:t>0.27</w:t>
            </w:r>
          </w:p>
        </w:tc>
        <w:tc>
          <w:tcPr>
            <w:tcW w:w="1487" w:type="dxa"/>
          </w:tcPr>
          <w:p w:rsidR="00EB2823" w:rsidRDefault="00D911B5">
            <w:pPr>
              <w:jc w:val="center"/>
            </w:pPr>
            <w:r>
              <w:t>0.022</w:t>
            </w:r>
          </w:p>
        </w:tc>
      </w:tr>
      <w:tr w:rsidR="00EB2823">
        <w:tc>
          <w:tcPr>
            <w:tcW w:w="1038" w:type="dxa"/>
            <w:shd w:val="clear" w:color="auto" w:fill="F2F2F2"/>
          </w:tcPr>
          <w:p w:rsidR="00EB2823" w:rsidRDefault="00D911B5">
            <w:pPr>
              <w:jc w:val="center"/>
            </w:pPr>
            <w:r>
              <w:t>0.00196</w:t>
            </w:r>
          </w:p>
        </w:tc>
        <w:tc>
          <w:tcPr>
            <w:tcW w:w="1038" w:type="dxa"/>
            <w:shd w:val="clear" w:color="auto" w:fill="F2F2F2"/>
          </w:tcPr>
          <w:p w:rsidR="00EB2823" w:rsidRDefault="00D911B5">
            <w:pPr>
              <w:jc w:val="center"/>
            </w:pPr>
            <w:r>
              <w:t>0.00784</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14</w:t>
            </w:r>
          </w:p>
        </w:tc>
        <w:tc>
          <w:tcPr>
            <w:tcW w:w="1487" w:type="dxa"/>
          </w:tcPr>
          <w:p w:rsidR="00EB2823" w:rsidRDefault="00D911B5">
            <w:pPr>
              <w:jc w:val="center"/>
            </w:pPr>
            <w:r>
              <w:t>14</w:t>
            </w:r>
          </w:p>
        </w:tc>
        <w:tc>
          <w:tcPr>
            <w:tcW w:w="1487" w:type="dxa"/>
          </w:tcPr>
          <w:p w:rsidR="00EB2823" w:rsidRDefault="00D911B5">
            <w:pPr>
              <w:jc w:val="center"/>
            </w:pPr>
            <w:r>
              <w:t>0.27</w:t>
            </w:r>
          </w:p>
        </w:tc>
        <w:tc>
          <w:tcPr>
            <w:tcW w:w="1487" w:type="dxa"/>
          </w:tcPr>
          <w:p w:rsidR="00EB2823" w:rsidRDefault="00D911B5">
            <w:pPr>
              <w:jc w:val="center"/>
            </w:pPr>
            <w:r>
              <w:t>0.022</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0.0098</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14</w:t>
            </w:r>
          </w:p>
        </w:tc>
        <w:tc>
          <w:tcPr>
            <w:tcW w:w="1487" w:type="dxa"/>
          </w:tcPr>
          <w:p w:rsidR="00EB2823" w:rsidRDefault="00D911B5">
            <w:pPr>
              <w:jc w:val="center"/>
            </w:pPr>
            <w:r>
              <w:t>14</w:t>
            </w:r>
          </w:p>
        </w:tc>
        <w:tc>
          <w:tcPr>
            <w:tcW w:w="1487" w:type="dxa"/>
          </w:tcPr>
          <w:p w:rsidR="00EB2823" w:rsidRDefault="00D911B5">
            <w:pPr>
              <w:jc w:val="center"/>
            </w:pPr>
            <w:r>
              <w:t>0.27</w:t>
            </w:r>
          </w:p>
        </w:tc>
        <w:tc>
          <w:tcPr>
            <w:tcW w:w="1487" w:type="dxa"/>
          </w:tcPr>
          <w:p w:rsidR="00EB2823" w:rsidRDefault="00D911B5">
            <w:pPr>
              <w:jc w:val="center"/>
            </w:pPr>
            <w:r>
              <w:t>0.022</w:t>
            </w:r>
          </w:p>
        </w:tc>
      </w:tr>
    </w:tbl>
    <w:p w:rsidR="00EB2823" w:rsidRDefault="00EB2823"/>
    <w:p w:rsidR="00EB2823" w:rsidRDefault="00D911B5">
      <w:r>
        <w:t>Before selective mortality (self-thinning) occurs, at age 43:</w:t>
      </w:r>
    </w:p>
    <w:p w:rsidR="00EB2823" w:rsidRDefault="00D911B5">
      <w:pPr>
        <w:numPr>
          <w:ilvl w:val="0"/>
          <w:numId w:val="1"/>
        </w:numPr>
        <w:pBdr>
          <w:top w:val="nil"/>
          <w:left w:val="nil"/>
          <w:bottom w:val="nil"/>
          <w:right w:val="nil"/>
          <w:between w:val="nil"/>
        </w:pBdr>
        <w:spacing w:after="0"/>
        <w:jc w:val="both"/>
        <w:rPr>
          <w:color w:val="000000"/>
        </w:rPr>
      </w:pPr>
      <w:r>
        <w:rPr>
          <w:color w:val="000000"/>
        </w:rPr>
        <w:t>With competition before self-thinning, adding inter-individual variation in vigor in the model neither changes the predicted population mean diameter nor mean diameter increment.</w:t>
      </w:r>
    </w:p>
    <w:p w:rsidR="00EB2823" w:rsidRDefault="00D911B5">
      <w:pPr>
        <w:numPr>
          <w:ilvl w:val="0"/>
          <w:numId w:val="1"/>
        </w:numPr>
        <w:pBdr>
          <w:top w:val="nil"/>
          <w:left w:val="nil"/>
          <w:bottom w:val="nil"/>
          <w:right w:val="nil"/>
          <w:between w:val="nil"/>
        </w:pBdr>
        <w:spacing w:after="0"/>
        <w:jc w:val="both"/>
        <w:rPr>
          <w:color w:val="000000"/>
        </w:rPr>
      </w:pPr>
      <w:r>
        <w:rPr>
          <w:color w:val="000000"/>
        </w:rPr>
        <w:t xml:space="preserve">In the baseline deterministic growth model, the asymmetric interference between dominant and suppressed trees generates a variance of annual diameter increment (here, </w:t>
      </w:r>
      <w:proofErr w:type="spellStart"/>
      <w:proofErr w:type="gramStart"/>
      <w:r>
        <w:rPr>
          <w:i/>
          <w:color w:val="000000"/>
        </w:rPr>
        <w:t>Var</w:t>
      </w:r>
      <w:proofErr w:type="spellEnd"/>
      <w:r>
        <w:rPr>
          <w:i/>
          <w:color w:val="000000"/>
        </w:rPr>
        <w:t>(</w:t>
      </w:r>
      <w:proofErr w:type="spellStart"/>
      <w:proofErr w:type="gramEnd"/>
      <w:r>
        <w:rPr>
          <w:i/>
          <w:color w:val="000000"/>
        </w:rPr>
        <w:t>dD</w:t>
      </w:r>
      <w:proofErr w:type="spellEnd"/>
      <w:r>
        <w:rPr>
          <w:i/>
          <w:color w:val="000000"/>
        </w:rPr>
        <w:t>)</w:t>
      </w:r>
      <w:r>
        <w:rPr>
          <w:color w:val="000000"/>
        </w:rPr>
        <w:t xml:space="preserve">=0.003 at age 43), which progressively increases the variance of tree diameter. </w:t>
      </w:r>
    </w:p>
    <w:p w:rsidR="00EB2823" w:rsidRDefault="00D911B5">
      <w:pPr>
        <w:numPr>
          <w:ilvl w:val="0"/>
          <w:numId w:val="1"/>
        </w:numPr>
        <w:pBdr>
          <w:top w:val="nil"/>
          <w:left w:val="nil"/>
          <w:bottom w:val="nil"/>
          <w:right w:val="nil"/>
          <w:between w:val="nil"/>
        </w:pBdr>
        <w:spacing w:after="0"/>
        <w:jc w:val="both"/>
        <w:rPr>
          <w:color w:val="000000"/>
        </w:rPr>
      </w:pPr>
      <w:r>
        <w:rPr>
          <w:color w:val="000000"/>
        </w:rPr>
        <w:t xml:space="preserve">The variable environmental effects generate a variance of annual diameter increment that comes in addition to the competition-induced variation but does not inflate the population variance of tree diameter. </w:t>
      </w:r>
    </w:p>
    <w:p w:rsidR="00EB2823" w:rsidRDefault="00D911B5">
      <w:pPr>
        <w:numPr>
          <w:ilvl w:val="0"/>
          <w:numId w:val="1"/>
        </w:numPr>
        <w:pBdr>
          <w:top w:val="nil"/>
          <w:left w:val="nil"/>
          <w:bottom w:val="nil"/>
          <w:right w:val="nil"/>
          <w:between w:val="nil"/>
        </w:pBdr>
        <w:spacing w:after="0"/>
        <w:jc w:val="both"/>
        <w:rPr>
          <w:color w:val="000000"/>
        </w:rPr>
      </w:pPr>
      <w:r>
        <w:rPr>
          <w:color w:val="000000"/>
        </w:rPr>
        <w:t xml:space="preserve">There is a synergic effect between vigor and competitive advantage, which inflates the impact of constant individual effects on the variance of tree diameter and annual diameter increment. </w:t>
      </w:r>
    </w:p>
    <w:p w:rsidR="00EB2823" w:rsidRDefault="00EB2823">
      <w:pPr>
        <w:pBdr>
          <w:top w:val="nil"/>
          <w:left w:val="nil"/>
          <w:bottom w:val="nil"/>
          <w:right w:val="nil"/>
          <w:between w:val="nil"/>
        </w:pBdr>
        <w:ind w:left="720"/>
        <w:jc w:val="both"/>
        <w:rPr>
          <w:color w:val="000000"/>
        </w:rPr>
      </w:pPr>
    </w:p>
    <w:p w:rsidR="00EB2823" w:rsidRDefault="00D911B5">
      <w:pPr>
        <w:spacing w:after="0"/>
        <w:jc w:val="both"/>
        <w:rPr>
          <w:i/>
        </w:rPr>
      </w:pPr>
      <w:r>
        <w:rPr>
          <w:i/>
        </w:rPr>
        <w:t>Table 2b: means and variances of individual tree diameters (D) and annual tree diameter increments (</w:t>
      </w:r>
      <w:proofErr w:type="spellStart"/>
      <w:r>
        <w:rPr>
          <w:i/>
        </w:rPr>
        <w:t>dD</w:t>
      </w:r>
      <w:proofErr w:type="spellEnd"/>
      <w:r>
        <w:rPr>
          <w:i/>
        </w:rPr>
        <w:t>) at age 100 with competition after selective mortality</w:t>
      </w: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8"/>
        <w:gridCol w:w="1038"/>
        <w:gridCol w:w="1487"/>
        <w:gridCol w:w="1487"/>
        <w:gridCol w:w="1487"/>
        <w:gridCol w:w="1487"/>
      </w:tblGrid>
      <w:tr w:rsidR="00EB2823">
        <w:tc>
          <w:tcPr>
            <w:tcW w:w="1038" w:type="dxa"/>
            <w:shd w:val="clear" w:color="auto" w:fill="F2F2F2"/>
          </w:tcPr>
          <w:p w:rsidR="00EB2823" w:rsidRDefault="00D911B5">
            <w:pPr>
              <w:jc w:val="center"/>
              <w:rPr>
                <w:b/>
              </w:rPr>
            </w:pPr>
            <w:proofErr w:type="spellStart"/>
            <w:r>
              <w:rPr>
                <w:b/>
                <w:i/>
              </w:rPr>
              <w:t>VE</w:t>
            </w:r>
            <w:r>
              <w:rPr>
                <w:b/>
                <w:i/>
                <w:vertAlign w:val="subscript"/>
              </w:rPr>
              <w:t>v</w:t>
            </w:r>
            <w:proofErr w:type="spellEnd"/>
          </w:p>
        </w:tc>
        <w:tc>
          <w:tcPr>
            <w:tcW w:w="1038" w:type="dxa"/>
            <w:shd w:val="clear" w:color="auto" w:fill="F2F2F2"/>
          </w:tcPr>
          <w:p w:rsidR="00EB2823" w:rsidRDefault="00D911B5">
            <w:pPr>
              <w:jc w:val="center"/>
              <w:rPr>
                <w:b/>
              </w:rPr>
            </w:pPr>
            <w:proofErr w:type="spellStart"/>
            <w:r>
              <w:rPr>
                <w:b/>
                <w:i/>
              </w:rPr>
              <w:t>VE</w:t>
            </w:r>
            <w:r>
              <w:rPr>
                <w:b/>
                <w:i/>
                <w:vertAlign w:val="subscript"/>
              </w:rPr>
              <w:t>f</w:t>
            </w:r>
            <w:proofErr w:type="spellEnd"/>
          </w:p>
        </w:tc>
        <w:tc>
          <w:tcPr>
            <w:tcW w:w="1038" w:type="dxa"/>
            <w:shd w:val="clear" w:color="auto" w:fill="F2F2F2"/>
          </w:tcPr>
          <w:p w:rsidR="00EB2823" w:rsidRDefault="00D911B5">
            <w:pPr>
              <w:jc w:val="center"/>
              <w:rPr>
                <w:b/>
              </w:rPr>
            </w:pPr>
            <w:r>
              <w:rPr>
                <w:b/>
                <w:i/>
              </w:rPr>
              <w:t>VG</w:t>
            </w:r>
          </w:p>
        </w:tc>
        <w:tc>
          <w:tcPr>
            <w:tcW w:w="1487" w:type="dxa"/>
            <w:shd w:val="clear" w:color="auto" w:fill="D9D9D9"/>
          </w:tcPr>
          <w:p w:rsidR="00EB2823" w:rsidRDefault="00D911B5">
            <w:pPr>
              <w:jc w:val="center"/>
              <w:rPr>
                <w:b/>
              </w:rPr>
            </w:pPr>
            <w:r>
              <w:rPr>
                <w:b/>
                <w:i/>
              </w:rPr>
              <w:t>Mean(D)</w:t>
            </w:r>
          </w:p>
        </w:tc>
        <w:tc>
          <w:tcPr>
            <w:tcW w:w="1487" w:type="dxa"/>
            <w:shd w:val="clear" w:color="auto" w:fill="D9D9D9"/>
          </w:tcPr>
          <w:p w:rsidR="00EB2823" w:rsidRDefault="00D911B5">
            <w:pPr>
              <w:jc w:val="center"/>
              <w:rPr>
                <w:b/>
              </w:rPr>
            </w:pPr>
            <w:proofErr w:type="spellStart"/>
            <w:r>
              <w:rPr>
                <w:b/>
                <w:i/>
              </w:rPr>
              <w:t>Var</w:t>
            </w:r>
            <w:proofErr w:type="spellEnd"/>
            <w:r>
              <w:rPr>
                <w:b/>
                <w:i/>
              </w:rPr>
              <w:t>(D)</w:t>
            </w:r>
          </w:p>
        </w:tc>
        <w:tc>
          <w:tcPr>
            <w:tcW w:w="1487" w:type="dxa"/>
            <w:shd w:val="clear" w:color="auto" w:fill="D9D9D9"/>
          </w:tcPr>
          <w:p w:rsidR="00EB2823" w:rsidRDefault="00D911B5">
            <w:pPr>
              <w:jc w:val="center"/>
              <w:rPr>
                <w:b/>
              </w:rPr>
            </w:pPr>
            <w:r>
              <w:rPr>
                <w:b/>
                <w:i/>
              </w:rPr>
              <w:t>Mean(</w:t>
            </w:r>
            <w:proofErr w:type="spellStart"/>
            <w:r>
              <w:rPr>
                <w:b/>
                <w:i/>
              </w:rPr>
              <w:t>dD</w:t>
            </w:r>
            <w:proofErr w:type="spellEnd"/>
            <w:r>
              <w:rPr>
                <w:b/>
                <w:i/>
              </w:rPr>
              <w:t>)</w:t>
            </w:r>
          </w:p>
        </w:tc>
        <w:tc>
          <w:tcPr>
            <w:tcW w:w="1487" w:type="dxa"/>
            <w:shd w:val="clear" w:color="auto" w:fill="D9D9D9"/>
          </w:tcPr>
          <w:p w:rsidR="00EB2823" w:rsidRDefault="00D911B5">
            <w:pPr>
              <w:jc w:val="center"/>
              <w:rPr>
                <w:b/>
              </w:rPr>
            </w:pPr>
            <w:proofErr w:type="spellStart"/>
            <w:r>
              <w:rPr>
                <w:b/>
                <w:i/>
              </w:rPr>
              <w:t>Var</w:t>
            </w:r>
            <w:proofErr w:type="spellEnd"/>
            <w:r>
              <w:rPr>
                <w:b/>
                <w:i/>
              </w:rPr>
              <w:t>(</w:t>
            </w:r>
            <w:proofErr w:type="spellStart"/>
            <w:r>
              <w:rPr>
                <w:b/>
                <w:i/>
              </w:rPr>
              <w:t>dD</w:t>
            </w:r>
            <w:proofErr w:type="spellEnd"/>
            <w:r>
              <w:rPr>
                <w:b/>
                <w:i/>
              </w:rPr>
              <w:t>)</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34</w:t>
            </w:r>
          </w:p>
        </w:tc>
        <w:tc>
          <w:tcPr>
            <w:tcW w:w="1487" w:type="dxa"/>
          </w:tcPr>
          <w:p w:rsidR="00EB2823" w:rsidRDefault="00D911B5">
            <w:pPr>
              <w:jc w:val="center"/>
            </w:pPr>
            <w:r>
              <w:t>1</w:t>
            </w:r>
          </w:p>
        </w:tc>
        <w:tc>
          <w:tcPr>
            <w:tcW w:w="1487" w:type="dxa"/>
          </w:tcPr>
          <w:p w:rsidR="00EB2823" w:rsidRDefault="00D911B5">
            <w:pPr>
              <w:jc w:val="center"/>
            </w:pPr>
            <w:r>
              <w:t>0.26</w:t>
            </w:r>
          </w:p>
        </w:tc>
        <w:tc>
          <w:tcPr>
            <w:tcW w:w="1487" w:type="dxa"/>
          </w:tcPr>
          <w:p w:rsidR="00EB2823" w:rsidRDefault="00D911B5">
            <w:pPr>
              <w:jc w:val="center"/>
            </w:pPr>
            <w:r>
              <w:t>0</w:t>
            </w:r>
          </w:p>
        </w:tc>
      </w:tr>
      <w:tr w:rsidR="00EB2823">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tcPr>
          <w:p w:rsidR="00EB2823" w:rsidRDefault="00D911B5">
            <w:pPr>
              <w:jc w:val="center"/>
            </w:pPr>
            <w:r>
              <w:t>35</w:t>
            </w:r>
          </w:p>
        </w:tc>
        <w:tc>
          <w:tcPr>
            <w:tcW w:w="1487" w:type="dxa"/>
          </w:tcPr>
          <w:p w:rsidR="00EB2823" w:rsidRDefault="00D911B5">
            <w:pPr>
              <w:jc w:val="center"/>
            </w:pPr>
            <w:r>
              <w:t>2</w:t>
            </w:r>
          </w:p>
        </w:tc>
        <w:tc>
          <w:tcPr>
            <w:tcW w:w="1487" w:type="dxa"/>
          </w:tcPr>
          <w:p w:rsidR="00EB2823" w:rsidRDefault="00D911B5">
            <w:pPr>
              <w:jc w:val="center"/>
            </w:pPr>
            <w:r>
              <w:t>0.26</w:t>
            </w:r>
          </w:p>
        </w:tc>
        <w:tc>
          <w:tcPr>
            <w:tcW w:w="1487" w:type="dxa"/>
          </w:tcPr>
          <w:p w:rsidR="00EB2823" w:rsidRDefault="00D911B5">
            <w:pPr>
              <w:jc w:val="center"/>
            </w:pPr>
            <w:r>
              <w:t>0.014</w:t>
            </w:r>
          </w:p>
        </w:tc>
      </w:tr>
      <w:tr w:rsidR="00EB2823">
        <w:tc>
          <w:tcPr>
            <w:tcW w:w="1038" w:type="dxa"/>
            <w:shd w:val="clear" w:color="auto" w:fill="F2F2F2"/>
          </w:tcPr>
          <w:p w:rsidR="00EB2823" w:rsidRDefault="00D911B5">
            <w:pPr>
              <w:jc w:val="center"/>
            </w:pPr>
            <w:r>
              <w:t>0.0028</w:t>
            </w:r>
          </w:p>
        </w:tc>
        <w:tc>
          <w:tcPr>
            <w:tcW w:w="1038" w:type="dxa"/>
            <w:shd w:val="clear" w:color="auto" w:fill="F2F2F2"/>
          </w:tcPr>
          <w:p w:rsidR="00EB2823" w:rsidRDefault="00D911B5">
            <w:pPr>
              <w:jc w:val="center"/>
            </w:pPr>
            <w:r>
              <w:t>0.0112</w:t>
            </w:r>
          </w:p>
        </w:tc>
        <w:tc>
          <w:tcPr>
            <w:tcW w:w="1038" w:type="dxa"/>
            <w:shd w:val="clear" w:color="auto" w:fill="F2F2F2"/>
          </w:tcPr>
          <w:p w:rsidR="00EB2823" w:rsidRDefault="00D911B5">
            <w:pPr>
              <w:jc w:val="center"/>
            </w:pPr>
            <w:r>
              <w:t>0</w:t>
            </w:r>
          </w:p>
        </w:tc>
        <w:tc>
          <w:tcPr>
            <w:tcW w:w="1487" w:type="dxa"/>
          </w:tcPr>
          <w:p w:rsidR="00EB2823" w:rsidRDefault="00D911B5">
            <w:pPr>
              <w:jc w:val="center"/>
            </w:pPr>
            <w:r>
              <w:t>47</w:t>
            </w:r>
          </w:p>
        </w:tc>
        <w:tc>
          <w:tcPr>
            <w:tcW w:w="1487" w:type="dxa"/>
          </w:tcPr>
          <w:p w:rsidR="00EB2823" w:rsidRDefault="00D911B5">
            <w:pPr>
              <w:jc w:val="center"/>
            </w:pPr>
            <w:r>
              <w:t>18</w:t>
            </w:r>
          </w:p>
        </w:tc>
        <w:tc>
          <w:tcPr>
            <w:tcW w:w="1487" w:type="dxa"/>
          </w:tcPr>
          <w:p w:rsidR="00EB2823" w:rsidRDefault="00D911B5">
            <w:pPr>
              <w:jc w:val="center"/>
            </w:pPr>
            <w:r>
              <w:t>0.48</w:t>
            </w:r>
          </w:p>
        </w:tc>
        <w:tc>
          <w:tcPr>
            <w:tcW w:w="1487" w:type="dxa"/>
          </w:tcPr>
          <w:p w:rsidR="00EB2823" w:rsidRDefault="00D911B5">
            <w:pPr>
              <w:jc w:val="center"/>
            </w:pPr>
            <w:r>
              <w:t>0.007</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0.014</w:t>
            </w:r>
          </w:p>
        </w:tc>
        <w:tc>
          <w:tcPr>
            <w:tcW w:w="1038" w:type="dxa"/>
            <w:shd w:val="clear" w:color="auto" w:fill="F2F2F2"/>
          </w:tcPr>
          <w:p w:rsidR="00EB2823" w:rsidRDefault="00D911B5">
            <w:pPr>
              <w:jc w:val="center"/>
            </w:pPr>
            <w:r>
              <w:t>0</w:t>
            </w:r>
          </w:p>
        </w:tc>
        <w:tc>
          <w:tcPr>
            <w:tcW w:w="1487" w:type="dxa"/>
          </w:tcPr>
          <w:p w:rsidR="00EB2823" w:rsidRDefault="00D911B5">
            <w:pPr>
              <w:jc w:val="center"/>
            </w:pPr>
            <w:r>
              <w:t>49</w:t>
            </w:r>
          </w:p>
        </w:tc>
        <w:tc>
          <w:tcPr>
            <w:tcW w:w="1487" w:type="dxa"/>
          </w:tcPr>
          <w:p w:rsidR="00EB2823" w:rsidRDefault="00D911B5">
            <w:pPr>
              <w:jc w:val="center"/>
            </w:pPr>
            <w:r>
              <w:t>26</w:t>
            </w:r>
          </w:p>
        </w:tc>
        <w:tc>
          <w:tcPr>
            <w:tcW w:w="1487" w:type="dxa"/>
          </w:tcPr>
          <w:p w:rsidR="00EB2823" w:rsidRDefault="00D911B5">
            <w:pPr>
              <w:jc w:val="center"/>
            </w:pPr>
            <w:r>
              <w:t>0.50</w:t>
            </w:r>
          </w:p>
        </w:tc>
        <w:tc>
          <w:tcPr>
            <w:tcW w:w="1487" w:type="dxa"/>
          </w:tcPr>
          <w:p w:rsidR="00EB2823" w:rsidRDefault="00D911B5">
            <w:pPr>
              <w:jc w:val="center"/>
            </w:pPr>
            <w:r>
              <w:t>0.006</w:t>
            </w:r>
          </w:p>
        </w:tc>
      </w:tr>
      <w:tr w:rsidR="00EB2823">
        <w:tc>
          <w:tcPr>
            <w:tcW w:w="1038" w:type="dxa"/>
            <w:shd w:val="clear" w:color="auto" w:fill="F2F2F2"/>
          </w:tcPr>
          <w:p w:rsidR="00EB2823" w:rsidRDefault="00D911B5">
            <w:pPr>
              <w:jc w:val="center"/>
            </w:pPr>
            <w:r>
              <w:t>0.00196</w:t>
            </w:r>
          </w:p>
        </w:tc>
        <w:tc>
          <w:tcPr>
            <w:tcW w:w="1038" w:type="dxa"/>
            <w:shd w:val="clear" w:color="auto" w:fill="F2F2F2"/>
          </w:tcPr>
          <w:p w:rsidR="00EB2823" w:rsidRDefault="00D911B5">
            <w:pPr>
              <w:jc w:val="center"/>
            </w:pPr>
            <w:r>
              <w:t>0.00784</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49</w:t>
            </w:r>
          </w:p>
        </w:tc>
        <w:tc>
          <w:tcPr>
            <w:tcW w:w="1487" w:type="dxa"/>
          </w:tcPr>
          <w:p w:rsidR="00EB2823" w:rsidRDefault="00D911B5">
            <w:pPr>
              <w:jc w:val="center"/>
            </w:pPr>
            <w:r>
              <w:t>23</w:t>
            </w:r>
          </w:p>
        </w:tc>
        <w:tc>
          <w:tcPr>
            <w:tcW w:w="1487" w:type="dxa"/>
          </w:tcPr>
          <w:p w:rsidR="00EB2823" w:rsidRDefault="00D911B5">
            <w:pPr>
              <w:jc w:val="center"/>
            </w:pPr>
            <w:r>
              <w:t>0.50</w:t>
            </w:r>
          </w:p>
        </w:tc>
        <w:tc>
          <w:tcPr>
            <w:tcW w:w="1487" w:type="dxa"/>
          </w:tcPr>
          <w:p w:rsidR="00EB2823" w:rsidRDefault="00D911B5">
            <w:pPr>
              <w:jc w:val="center"/>
            </w:pPr>
            <w:r>
              <w:t>0.008</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0.0098</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49</w:t>
            </w:r>
          </w:p>
        </w:tc>
        <w:tc>
          <w:tcPr>
            <w:tcW w:w="1487" w:type="dxa"/>
          </w:tcPr>
          <w:p w:rsidR="00EB2823" w:rsidRDefault="00D911B5">
            <w:pPr>
              <w:jc w:val="center"/>
            </w:pPr>
            <w:r>
              <w:t>24</w:t>
            </w:r>
          </w:p>
        </w:tc>
        <w:tc>
          <w:tcPr>
            <w:tcW w:w="1487" w:type="dxa"/>
          </w:tcPr>
          <w:p w:rsidR="00EB2823" w:rsidRDefault="00D911B5">
            <w:pPr>
              <w:jc w:val="center"/>
            </w:pPr>
            <w:r>
              <w:t>0.51</w:t>
            </w:r>
          </w:p>
        </w:tc>
        <w:tc>
          <w:tcPr>
            <w:tcW w:w="1487" w:type="dxa"/>
          </w:tcPr>
          <w:p w:rsidR="00EB2823" w:rsidRDefault="00D911B5">
            <w:pPr>
              <w:jc w:val="center"/>
            </w:pPr>
            <w:r>
              <w:t>0.006</w:t>
            </w:r>
          </w:p>
        </w:tc>
      </w:tr>
    </w:tbl>
    <w:p w:rsidR="00EB2823" w:rsidRDefault="00EB2823"/>
    <w:p w:rsidR="00EB2823" w:rsidRDefault="00D911B5">
      <w:r>
        <w:t>After selective mortality (self-thinning) has occurred, at age 100:</w:t>
      </w:r>
    </w:p>
    <w:p w:rsidR="00EB2823" w:rsidRDefault="00D911B5">
      <w:pPr>
        <w:numPr>
          <w:ilvl w:val="0"/>
          <w:numId w:val="2"/>
        </w:numPr>
        <w:pBdr>
          <w:top w:val="nil"/>
          <w:left w:val="nil"/>
          <w:bottom w:val="nil"/>
          <w:right w:val="nil"/>
          <w:between w:val="nil"/>
        </w:pBdr>
        <w:spacing w:after="0"/>
        <w:jc w:val="both"/>
        <w:rPr>
          <w:color w:val="000000"/>
        </w:rPr>
      </w:pPr>
      <w:r>
        <w:rPr>
          <w:color w:val="000000"/>
        </w:rPr>
        <w:t>Once selective mortality occurs, adding constant individual effects on vigor in the model increases both the predicted population mean diameter and mean diameter increment, while adding variable environmental effects has no such impact.</w:t>
      </w:r>
    </w:p>
    <w:p w:rsidR="00EB2823" w:rsidRDefault="00D911B5">
      <w:pPr>
        <w:numPr>
          <w:ilvl w:val="0"/>
          <w:numId w:val="2"/>
        </w:numPr>
        <w:pBdr>
          <w:top w:val="nil"/>
          <w:left w:val="nil"/>
          <w:bottom w:val="nil"/>
          <w:right w:val="nil"/>
          <w:between w:val="nil"/>
        </w:pBdr>
        <w:spacing w:after="0"/>
        <w:jc w:val="both"/>
        <w:rPr>
          <w:color w:val="000000"/>
        </w:rPr>
      </w:pPr>
      <w:r>
        <w:rPr>
          <w:color w:val="000000"/>
        </w:rPr>
        <w:t xml:space="preserve">In the baseline deterministic growth model, selective mortality progressively removes the suppressed trees, which reduces the competition-induced variation in annual diameter increment among surviving trees (here, </w:t>
      </w:r>
      <w:proofErr w:type="spellStart"/>
      <w:proofErr w:type="gramStart"/>
      <w:r>
        <w:rPr>
          <w:i/>
          <w:color w:val="000000"/>
        </w:rPr>
        <w:t>Var</w:t>
      </w:r>
      <w:proofErr w:type="spellEnd"/>
      <w:r>
        <w:rPr>
          <w:i/>
          <w:color w:val="000000"/>
        </w:rPr>
        <w:t>(</w:t>
      </w:r>
      <w:proofErr w:type="spellStart"/>
      <w:proofErr w:type="gramEnd"/>
      <w:r>
        <w:rPr>
          <w:i/>
          <w:color w:val="000000"/>
        </w:rPr>
        <w:t>dD</w:t>
      </w:r>
      <w:proofErr w:type="spellEnd"/>
      <w:r>
        <w:rPr>
          <w:i/>
          <w:color w:val="000000"/>
        </w:rPr>
        <w:t>)</w:t>
      </w:r>
      <w:r>
        <w:rPr>
          <w:color w:val="000000"/>
        </w:rPr>
        <w:t>=0) and reduces the variance of diameter.</w:t>
      </w:r>
    </w:p>
    <w:p w:rsidR="00EB2823" w:rsidRDefault="00D911B5">
      <w:pPr>
        <w:numPr>
          <w:ilvl w:val="0"/>
          <w:numId w:val="2"/>
        </w:numPr>
        <w:pBdr>
          <w:top w:val="nil"/>
          <w:left w:val="nil"/>
          <w:bottom w:val="nil"/>
          <w:right w:val="nil"/>
          <w:between w:val="nil"/>
        </w:pBdr>
        <w:spacing w:after="0"/>
        <w:jc w:val="both"/>
        <w:rPr>
          <w:color w:val="000000"/>
        </w:rPr>
      </w:pPr>
      <w:r>
        <w:rPr>
          <w:color w:val="000000"/>
        </w:rPr>
        <w:t xml:space="preserve">The variable environmental effects </w:t>
      </w:r>
      <w:proofErr w:type="gramStart"/>
      <w:r>
        <w:rPr>
          <w:color w:val="000000"/>
        </w:rPr>
        <w:t>are not impacted</w:t>
      </w:r>
      <w:proofErr w:type="gramEnd"/>
      <w:r>
        <w:rPr>
          <w:color w:val="000000"/>
        </w:rPr>
        <w:t xml:space="preserve"> by selective mortality and thus maintain a variance of annual diameter increment, with almost no impact on the variance of diameter.</w:t>
      </w:r>
    </w:p>
    <w:p w:rsidR="00EB2823" w:rsidRDefault="00D911B5">
      <w:pPr>
        <w:numPr>
          <w:ilvl w:val="0"/>
          <w:numId w:val="2"/>
        </w:numPr>
        <w:pBdr>
          <w:top w:val="nil"/>
          <w:left w:val="nil"/>
          <w:bottom w:val="nil"/>
          <w:right w:val="nil"/>
          <w:between w:val="nil"/>
        </w:pBdr>
        <w:jc w:val="both"/>
        <w:rPr>
          <w:color w:val="000000"/>
        </w:rPr>
      </w:pPr>
      <w:r>
        <w:rPr>
          <w:color w:val="000000"/>
        </w:rPr>
        <w:t>By contrast, the constant individual effects are impacted by selective mortality and cannot maintain the variance of annual diameter increment, but still they increase the variance of tree diameter because mean diameter is higher and asymmetric competition more intense than in the baseline.</w:t>
      </w:r>
    </w:p>
    <w:p w:rsidR="00EB2823" w:rsidRPr="00C3039D" w:rsidRDefault="00D911B5">
      <w:pPr>
        <w:pStyle w:val="Titre1"/>
        <w:rPr>
          <w:rFonts w:asciiTheme="minorHAnsi" w:hAnsiTheme="minorHAnsi" w:cstheme="minorHAnsi"/>
        </w:rPr>
      </w:pPr>
      <w:bookmarkStart w:id="6" w:name="_heading=h.x4zvyqws7rha" w:colFirst="0" w:colLast="0"/>
      <w:bookmarkEnd w:id="6"/>
      <w:r w:rsidRPr="00C3039D">
        <w:rPr>
          <w:rFonts w:asciiTheme="minorHAnsi" w:hAnsiTheme="minorHAnsi" w:cstheme="minorHAnsi"/>
        </w:rPr>
        <w:lastRenderedPageBreak/>
        <w:t xml:space="preserve">3. </w:t>
      </w:r>
      <w:proofErr w:type="gramStart"/>
      <w:r w:rsidRPr="00C3039D">
        <w:rPr>
          <w:rFonts w:asciiTheme="minorHAnsi" w:hAnsiTheme="minorHAnsi" w:cstheme="minorHAnsi"/>
        </w:rPr>
        <w:t>Across</w:t>
      </w:r>
      <w:proofErr w:type="gramEnd"/>
      <w:r w:rsidRPr="00C3039D">
        <w:rPr>
          <w:rFonts w:asciiTheme="minorHAnsi" w:hAnsiTheme="minorHAnsi" w:cstheme="minorHAnsi"/>
        </w:rPr>
        <w:t xml:space="preserve"> generations</w:t>
      </w:r>
    </w:p>
    <w:p w:rsidR="00EB2823" w:rsidRDefault="00EB2823">
      <w:pPr>
        <w:pStyle w:val="Titre2"/>
      </w:pPr>
    </w:p>
    <w:p w:rsidR="00EB2823" w:rsidRDefault="00D911B5">
      <w:pPr>
        <w:spacing w:after="0"/>
        <w:jc w:val="both"/>
      </w:pPr>
      <w:r>
        <w:rPr>
          <w:i/>
        </w:rPr>
        <w:t>Table 3: means and variances of individual tree diameters (D) and annual tree diameter increments (</w:t>
      </w:r>
      <w:proofErr w:type="spellStart"/>
      <w:r>
        <w:rPr>
          <w:i/>
        </w:rPr>
        <w:t>dD</w:t>
      </w:r>
      <w:proofErr w:type="spellEnd"/>
      <w:r>
        <w:rPr>
          <w:i/>
        </w:rPr>
        <w:t>) at the end of the 1</w:t>
      </w:r>
      <w:r>
        <w:rPr>
          <w:i/>
          <w:vertAlign w:val="superscript"/>
        </w:rPr>
        <w:t>st</w:t>
      </w:r>
      <w:r>
        <w:rPr>
          <w:i/>
        </w:rPr>
        <w:t xml:space="preserve"> and the 2</w:t>
      </w:r>
      <w:r>
        <w:rPr>
          <w:i/>
          <w:vertAlign w:val="superscript"/>
        </w:rPr>
        <w:t>nd</w:t>
      </w:r>
      <w:r>
        <w:rPr>
          <w:i/>
        </w:rPr>
        <w:t xml:space="preserve"> generation (age 100), with competition and selective mortality, in the baseline growth model with no individual variation and the two models with the same genetic and environmental variances but different proportions of constant environmental variance.</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8"/>
        <w:gridCol w:w="1038"/>
        <w:gridCol w:w="1487"/>
        <w:gridCol w:w="1487"/>
        <w:gridCol w:w="1487"/>
        <w:gridCol w:w="1487"/>
      </w:tblGrid>
      <w:tr w:rsidR="00EB2823">
        <w:tc>
          <w:tcPr>
            <w:tcW w:w="1038" w:type="dxa"/>
            <w:shd w:val="clear" w:color="auto" w:fill="F2F2F2"/>
          </w:tcPr>
          <w:p w:rsidR="00EB2823" w:rsidRDefault="00D911B5">
            <w:pPr>
              <w:jc w:val="center"/>
              <w:rPr>
                <w:b/>
              </w:rPr>
            </w:pPr>
            <w:proofErr w:type="spellStart"/>
            <w:r>
              <w:rPr>
                <w:b/>
                <w:i/>
              </w:rPr>
              <w:t>VE</w:t>
            </w:r>
            <w:r>
              <w:rPr>
                <w:b/>
                <w:i/>
                <w:vertAlign w:val="subscript"/>
              </w:rPr>
              <w:t>v</w:t>
            </w:r>
            <w:proofErr w:type="spellEnd"/>
          </w:p>
        </w:tc>
        <w:tc>
          <w:tcPr>
            <w:tcW w:w="1038" w:type="dxa"/>
            <w:shd w:val="clear" w:color="auto" w:fill="F2F2F2"/>
          </w:tcPr>
          <w:p w:rsidR="00EB2823" w:rsidRDefault="00D911B5">
            <w:pPr>
              <w:jc w:val="center"/>
              <w:rPr>
                <w:b/>
              </w:rPr>
            </w:pPr>
            <w:proofErr w:type="spellStart"/>
            <w:r>
              <w:rPr>
                <w:b/>
                <w:i/>
              </w:rPr>
              <w:t>VE</w:t>
            </w:r>
            <w:r>
              <w:rPr>
                <w:b/>
                <w:i/>
                <w:vertAlign w:val="subscript"/>
              </w:rPr>
              <w:t>f</w:t>
            </w:r>
            <w:proofErr w:type="spellEnd"/>
          </w:p>
        </w:tc>
        <w:tc>
          <w:tcPr>
            <w:tcW w:w="1038" w:type="dxa"/>
            <w:shd w:val="clear" w:color="auto" w:fill="F2F2F2"/>
          </w:tcPr>
          <w:p w:rsidR="00EB2823" w:rsidRDefault="00D911B5">
            <w:pPr>
              <w:jc w:val="center"/>
              <w:rPr>
                <w:b/>
              </w:rPr>
            </w:pPr>
            <w:r>
              <w:rPr>
                <w:b/>
                <w:i/>
              </w:rPr>
              <w:t>VG</w:t>
            </w:r>
          </w:p>
        </w:tc>
        <w:tc>
          <w:tcPr>
            <w:tcW w:w="1487" w:type="dxa"/>
            <w:shd w:val="clear" w:color="auto" w:fill="D9D9D9"/>
          </w:tcPr>
          <w:p w:rsidR="00EB2823" w:rsidRDefault="00D911B5">
            <w:pPr>
              <w:jc w:val="center"/>
              <w:rPr>
                <w:b/>
              </w:rPr>
            </w:pPr>
            <w:r>
              <w:rPr>
                <w:b/>
                <w:i/>
              </w:rPr>
              <w:t>Mean(D)</w:t>
            </w:r>
          </w:p>
        </w:tc>
        <w:tc>
          <w:tcPr>
            <w:tcW w:w="1487" w:type="dxa"/>
            <w:shd w:val="clear" w:color="auto" w:fill="D9D9D9"/>
          </w:tcPr>
          <w:p w:rsidR="00EB2823" w:rsidRDefault="00D911B5">
            <w:pPr>
              <w:jc w:val="center"/>
              <w:rPr>
                <w:b/>
              </w:rPr>
            </w:pPr>
            <w:proofErr w:type="spellStart"/>
            <w:r>
              <w:rPr>
                <w:b/>
                <w:i/>
              </w:rPr>
              <w:t>Var</w:t>
            </w:r>
            <w:proofErr w:type="spellEnd"/>
            <w:r>
              <w:rPr>
                <w:b/>
                <w:i/>
              </w:rPr>
              <w:t>(D)</w:t>
            </w:r>
          </w:p>
        </w:tc>
        <w:tc>
          <w:tcPr>
            <w:tcW w:w="1487" w:type="dxa"/>
            <w:shd w:val="clear" w:color="auto" w:fill="D9D9D9"/>
          </w:tcPr>
          <w:p w:rsidR="00EB2823" w:rsidRDefault="00D911B5">
            <w:pPr>
              <w:jc w:val="center"/>
              <w:rPr>
                <w:b/>
              </w:rPr>
            </w:pPr>
            <w:r>
              <w:rPr>
                <w:b/>
                <w:i/>
              </w:rPr>
              <w:t>Mean(</w:t>
            </w:r>
            <w:proofErr w:type="spellStart"/>
            <w:r>
              <w:rPr>
                <w:b/>
                <w:i/>
              </w:rPr>
              <w:t>dD</w:t>
            </w:r>
            <w:proofErr w:type="spellEnd"/>
            <w:r>
              <w:rPr>
                <w:b/>
                <w:i/>
              </w:rPr>
              <w:t>)</w:t>
            </w:r>
          </w:p>
        </w:tc>
        <w:tc>
          <w:tcPr>
            <w:tcW w:w="1487" w:type="dxa"/>
            <w:shd w:val="clear" w:color="auto" w:fill="D9D9D9"/>
          </w:tcPr>
          <w:p w:rsidR="00EB2823" w:rsidRDefault="00D911B5">
            <w:pPr>
              <w:jc w:val="center"/>
              <w:rPr>
                <w:b/>
              </w:rPr>
            </w:pPr>
            <w:proofErr w:type="spellStart"/>
            <w:r>
              <w:rPr>
                <w:b/>
                <w:i/>
              </w:rPr>
              <w:t>Var</w:t>
            </w:r>
            <w:proofErr w:type="spellEnd"/>
            <w:r>
              <w:rPr>
                <w:b/>
                <w:i/>
              </w:rPr>
              <w:t>(</w:t>
            </w:r>
            <w:proofErr w:type="spellStart"/>
            <w:r>
              <w:rPr>
                <w:b/>
                <w:i/>
              </w:rPr>
              <w:t>dD</w:t>
            </w:r>
            <w:proofErr w:type="spellEnd"/>
            <w:r>
              <w:rPr>
                <w:b/>
                <w:i/>
              </w:rPr>
              <w:t>)</w:t>
            </w:r>
          </w:p>
        </w:tc>
      </w:tr>
      <w:tr w:rsidR="00EB2823">
        <w:tc>
          <w:tcPr>
            <w:tcW w:w="3114" w:type="dxa"/>
            <w:gridSpan w:val="3"/>
            <w:shd w:val="clear" w:color="auto" w:fill="F2F2F2"/>
          </w:tcPr>
          <w:p w:rsidR="00EB2823" w:rsidRDefault="00D911B5">
            <w:pPr>
              <w:jc w:val="center"/>
              <w:rPr>
                <w:i/>
              </w:rPr>
            </w:pPr>
            <w:r>
              <w:rPr>
                <w:i/>
              </w:rPr>
              <w:t>No individual variation, age 100</w:t>
            </w:r>
          </w:p>
        </w:tc>
        <w:tc>
          <w:tcPr>
            <w:tcW w:w="1487" w:type="dxa"/>
            <w:shd w:val="clear" w:color="auto" w:fill="FFFFFF"/>
          </w:tcPr>
          <w:p w:rsidR="00EB2823" w:rsidRDefault="00EB2823">
            <w:pPr>
              <w:jc w:val="center"/>
            </w:pPr>
          </w:p>
        </w:tc>
        <w:tc>
          <w:tcPr>
            <w:tcW w:w="1487" w:type="dxa"/>
            <w:shd w:val="clear" w:color="auto" w:fill="FFFFFF"/>
          </w:tcPr>
          <w:p w:rsidR="00EB2823" w:rsidRDefault="00EB2823">
            <w:pPr>
              <w:jc w:val="center"/>
            </w:pPr>
          </w:p>
        </w:tc>
        <w:tc>
          <w:tcPr>
            <w:tcW w:w="1487" w:type="dxa"/>
            <w:shd w:val="clear" w:color="auto" w:fill="FFFFFF"/>
          </w:tcPr>
          <w:p w:rsidR="00EB2823" w:rsidRDefault="00EB2823">
            <w:pPr>
              <w:jc w:val="center"/>
            </w:pPr>
          </w:p>
        </w:tc>
        <w:tc>
          <w:tcPr>
            <w:tcW w:w="1487" w:type="dxa"/>
            <w:shd w:val="clear" w:color="auto" w:fill="FFFFFF"/>
          </w:tcPr>
          <w:p w:rsidR="00EB2823" w:rsidRDefault="00EB2823">
            <w:pPr>
              <w:jc w:val="center"/>
            </w:pP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w:t>
            </w:r>
          </w:p>
        </w:tc>
        <w:tc>
          <w:tcPr>
            <w:tcW w:w="1487" w:type="dxa"/>
            <w:shd w:val="clear" w:color="auto" w:fill="FFFFFF"/>
          </w:tcPr>
          <w:p w:rsidR="00EB2823" w:rsidRDefault="00D911B5">
            <w:pPr>
              <w:jc w:val="center"/>
            </w:pPr>
            <w:r>
              <w:t>34</w:t>
            </w:r>
          </w:p>
        </w:tc>
        <w:tc>
          <w:tcPr>
            <w:tcW w:w="1487" w:type="dxa"/>
            <w:shd w:val="clear" w:color="auto" w:fill="FFFFFF"/>
          </w:tcPr>
          <w:p w:rsidR="00EB2823" w:rsidRDefault="00D911B5">
            <w:pPr>
              <w:jc w:val="center"/>
            </w:pPr>
            <w:r>
              <w:t>1</w:t>
            </w:r>
          </w:p>
        </w:tc>
        <w:tc>
          <w:tcPr>
            <w:tcW w:w="1487" w:type="dxa"/>
            <w:shd w:val="clear" w:color="auto" w:fill="FFFFFF"/>
          </w:tcPr>
          <w:p w:rsidR="00EB2823" w:rsidRDefault="00D911B5">
            <w:pPr>
              <w:jc w:val="center"/>
            </w:pPr>
            <w:r>
              <w:t>0.26</w:t>
            </w:r>
          </w:p>
        </w:tc>
        <w:tc>
          <w:tcPr>
            <w:tcW w:w="1487" w:type="dxa"/>
            <w:shd w:val="clear" w:color="auto" w:fill="FFFFFF"/>
          </w:tcPr>
          <w:p w:rsidR="00EB2823" w:rsidRDefault="00D911B5">
            <w:pPr>
              <w:jc w:val="center"/>
            </w:pPr>
            <w:r>
              <w:t>0</w:t>
            </w:r>
          </w:p>
        </w:tc>
      </w:tr>
      <w:tr w:rsidR="00EB2823">
        <w:tc>
          <w:tcPr>
            <w:tcW w:w="3114" w:type="dxa"/>
            <w:gridSpan w:val="3"/>
            <w:shd w:val="clear" w:color="auto" w:fill="F2F2F2"/>
          </w:tcPr>
          <w:p w:rsidR="00EB2823" w:rsidRDefault="00D911B5">
            <w:pPr>
              <w:jc w:val="center"/>
              <w:rPr>
                <w:i/>
              </w:rPr>
            </w:pPr>
            <w:r>
              <w:rPr>
                <w:i/>
              </w:rPr>
              <w:t>1st generation, age 100</w:t>
            </w:r>
          </w:p>
        </w:tc>
        <w:tc>
          <w:tcPr>
            <w:tcW w:w="1487" w:type="dxa"/>
          </w:tcPr>
          <w:p w:rsidR="00EB2823" w:rsidRDefault="00EB2823">
            <w:pPr>
              <w:jc w:val="center"/>
            </w:pPr>
          </w:p>
        </w:tc>
        <w:tc>
          <w:tcPr>
            <w:tcW w:w="1487" w:type="dxa"/>
          </w:tcPr>
          <w:p w:rsidR="00EB2823" w:rsidRDefault="00EB2823">
            <w:pPr>
              <w:jc w:val="center"/>
            </w:pPr>
          </w:p>
        </w:tc>
        <w:tc>
          <w:tcPr>
            <w:tcW w:w="1487" w:type="dxa"/>
          </w:tcPr>
          <w:p w:rsidR="00EB2823" w:rsidRDefault="00EB2823">
            <w:pPr>
              <w:jc w:val="center"/>
            </w:pPr>
          </w:p>
        </w:tc>
        <w:tc>
          <w:tcPr>
            <w:tcW w:w="1487" w:type="dxa"/>
          </w:tcPr>
          <w:p w:rsidR="00EB2823" w:rsidRDefault="00EB2823">
            <w:pPr>
              <w:jc w:val="center"/>
            </w:pPr>
          </w:p>
        </w:tc>
      </w:tr>
      <w:tr w:rsidR="00EB2823">
        <w:tc>
          <w:tcPr>
            <w:tcW w:w="1038" w:type="dxa"/>
            <w:shd w:val="clear" w:color="auto" w:fill="F2F2F2"/>
          </w:tcPr>
          <w:p w:rsidR="00EB2823" w:rsidRDefault="00D911B5">
            <w:pPr>
              <w:jc w:val="center"/>
            </w:pPr>
            <w:r>
              <w:t>0.00196</w:t>
            </w:r>
          </w:p>
        </w:tc>
        <w:tc>
          <w:tcPr>
            <w:tcW w:w="1038" w:type="dxa"/>
            <w:shd w:val="clear" w:color="auto" w:fill="F2F2F2"/>
          </w:tcPr>
          <w:p w:rsidR="00EB2823" w:rsidRDefault="00D911B5">
            <w:pPr>
              <w:jc w:val="center"/>
            </w:pPr>
            <w:r>
              <w:t>0.00784</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49</w:t>
            </w:r>
          </w:p>
        </w:tc>
        <w:tc>
          <w:tcPr>
            <w:tcW w:w="1487" w:type="dxa"/>
          </w:tcPr>
          <w:p w:rsidR="00EB2823" w:rsidRDefault="00D911B5">
            <w:pPr>
              <w:jc w:val="center"/>
            </w:pPr>
            <w:r>
              <w:t>23</w:t>
            </w:r>
          </w:p>
        </w:tc>
        <w:tc>
          <w:tcPr>
            <w:tcW w:w="1487" w:type="dxa"/>
          </w:tcPr>
          <w:p w:rsidR="00EB2823" w:rsidRDefault="00D911B5">
            <w:pPr>
              <w:jc w:val="center"/>
            </w:pPr>
            <w:r>
              <w:t>0.50</w:t>
            </w:r>
          </w:p>
        </w:tc>
        <w:tc>
          <w:tcPr>
            <w:tcW w:w="1487" w:type="dxa"/>
          </w:tcPr>
          <w:p w:rsidR="00EB2823" w:rsidRDefault="00D911B5">
            <w:pPr>
              <w:jc w:val="center"/>
            </w:pPr>
            <w:r>
              <w:t>0.008</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0.0098</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49</w:t>
            </w:r>
          </w:p>
        </w:tc>
        <w:tc>
          <w:tcPr>
            <w:tcW w:w="1487" w:type="dxa"/>
          </w:tcPr>
          <w:p w:rsidR="00EB2823" w:rsidRDefault="00D911B5">
            <w:pPr>
              <w:jc w:val="center"/>
            </w:pPr>
            <w:r>
              <w:t>24</w:t>
            </w:r>
          </w:p>
        </w:tc>
        <w:tc>
          <w:tcPr>
            <w:tcW w:w="1487" w:type="dxa"/>
          </w:tcPr>
          <w:p w:rsidR="00EB2823" w:rsidRDefault="00D911B5">
            <w:pPr>
              <w:jc w:val="center"/>
            </w:pPr>
            <w:r>
              <w:t>0.51</w:t>
            </w:r>
          </w:p>
        </w:tc>
        <w:tc>
          <w:tcPr>
            <w:tcW w:w="1487" w:type="dxa"/>
          </w:tcPr>
          <w:p w:rsidR="00EB2823" w:rsidRDefault="00D911B5">
            <w:pPr>
              <w:jc w:val="center"/>
            </w:pPr>
            <w:r>
              <w:t>0.006</w:t>
            </w:r>
          </w:p>
        </w:tc>
      </w:tr>
      <w:tr w:rsidR="00EB2823">
        <w:tc>
          <w:tcPr>
            <w:tcW w:w="3114" w:type="dxa"/>
            <w:gridSpan w:val="3"/>
            <w:shd w:val="clear" w:color="auto" w:fill="F2F2F2"/>
          </w:tcPr>
          <w:p w:rsidR="00EB2823" w:rsidRDefault="00D911B5">
            <w:pPr>
              <w:jc w:val="center"/>
              <w:rPr>
                <w:i/>
              </w:rPr>
            </w:pPr>
            <w:r>
              <w:rPr>
                <w:i/>
              </w:rPr>
              <w:t>2</w:t>
            </w:r>
            <w:r>
              <w:rPr>
                <w:i/>
                <w:vertAlign w:val="superscript"/>
              </w:rPr>
              <w:t>nd</w:t>
            </w:r>
            <w:r>
              <w:rPr>
                <w:i/>
              </w:rPr>
              <w:t xml:space="preserve"> generation, age 100</w:t>
            </w:r>
          </w:p>
        </w:tc>
        <w:tc>
          <w:tcPr>
            <w:tcW w:w="1487" w:type="dxa"/>
          </w:tcPr>
          <w:p w:rsidR="00EB2823" w:rsidRDefault="00EB2823">
            <w:pPr>
              <w:jc w:val="center"/>
            </w:pPr>
          </w:p>
        </w:tc>
        <w:tc>
          <w:tcPr>
            <w:tcW w:w="1487" w:type="dxa"/>
          </w:tcPr>
          <w:p w:rsidR="00EB2823" w:rsidRDefault="00EB2823">
            <w:pPr>
              <w:jc w:val="center"/>
            </w:pPr>
          </w:p>
        </w:tc>
        <w:tc>
          <w:tcPr>
            <w:tcW w:w="1487" w:type="dxa"/>
          </w:tcPr>
          <w:p w:rsidR="00EB2823" w:rsidRDefault="00EB2823">
            <w:pPr>
              <w:jc w:val="center"/>
            </w:pPr>
          </w:p>
        </w:tc>
        <w:tc>
          <w:tcPr>
            <w:tcW w:w="1487" w:type="dxa"/>
          </w:tcPr>
          <w:p w:rsidR="00EB2823" w:rsidRDefault="00EB2823">
            <w:pPr>
              <w:jc w:val="center"/>
            </w:pPr>
          </w:p>
        </w:tc>
      </w:tr>
      <w:tr w:rsidR="00EB2823">
        <w:tc>
          <w:tcPr>
            <w:tcW w:w="1038" w:type="dxa"/>
            <w:shd w:val="clear" w:color="auto" w:fill="F2F2F2"/>
          </w:tcPr>
          <w:p w:rsidR="00EB2823" w:rsidRDefault="00D911B5">
            <w:pPr>
              <w:jc w:val="center"/>
            </w:pPr>
            <w:r>
              <w:t>0.00196</w:t>
            </w:r>
          </w:p>
        </w:tc>
        <w:tc>
          <w:tcPr>
            <w:tcW w:w="1038" w:type="dxa"/>
            <w:shd w:val="clear" w:color="auto" w:fill="F2F2F2"/>
          </w:tcPr>
          <w:p w:rsidR="00EB2823" w:rsidRDefault="00D911B5">
            <w:pPr>
              <w:jc w:val="center"/>
            </w:pPr>
            <w:r>
              <w:t>0.00784</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54</w:t>
            </w:r>
          </w:p>
        </w:tc>
        <w:tc>
          <w:tcPr>
            <w:tcW w:w="1487" w:type="dxa"/>
          </w:tcPr>
          <w:p w:rsidR="00EB2823" w:rsidRDefault="00D911B5">
            <w:pPr>
              <w:jc w:val="center"/>
            </w:pPr>
            <w:r>
              <w:t>22</w:t>
            </w:r>
          </w:p>
        </w:tc>
        <w:tc>
          <w:tcPr>
            <w:tcW w:w="1487" w:type="dxa"/>
          </w:tcPr>
          <w:p w:rsidR="00EB2823" w:rsidRDefault="00D911B5">
            <w:pPr>
              <w:jc w:val="center"/>
            </w:pPr>
            <w:r>
              <w:t>0.58</w:t>
            </w:r>
          </w:p>
        </w:tc>
        <w:tc>
          <w:tcPr>
            <w:tcW w:w="1487" w:type="dxa"/>
          </w:tcPr>
          <w:p w:rsidR="00EB2823" w:rsidRDefault="00D911B5">
            <w:pPr>
              <w:jc w:val="center"/>
            </w:pPr>
            <w:r>
              <w:t>0.007</w:t>
            </w:r>
          </w:p>
        </w:tc>
      </w:tr>
      <w:tr w:rsidR="00EB2823">
        <w:tc>
          <w:tcPr>
            <w:tcW w:w="1038" w:type="dxa"/>
            <w:shd w:val="clear" w:color="auto" w:fill="F2F2F2"/>
          </w:tcPr>
          <w:p w:rsidR="00EB2823" w:rsidRDefault="00D911B5">
            <w:pPr>
              <w:jc w:val="center"/>
            </w:pPr>
            <w:r>
              <w:t>0</w:t>
            </w:r>
          </w:p>
        </w:tc>
        <w:tc>
          <w:tcPr>
            <w:tcW w:w="1038" w:type="dxa"/>
            <w:shd w:val="clear" w:color="auto" w:fill="F2F2F2"/>
          </w:tcPr>
          <w:p w:rsidR="00EB2823" w:rsidRDefault="00D911B5">
            <w:pPr>
              <w:jc w:val="center"/>
            </w:pPr>
            <w:r>
              <w:t>0.0098</w:t>
            </w:r>
          </w:p>
        </w:tc>
        <w:tc>
          <w:tcPr>
            <w:tcW w:w="1038" w:type="dxa"/>
            <w:shd w:val="clear" w:color="auto" w:fill="F2F2F2"/>
          </w:tcPr>
          <w:p w:rsidR="00EB2823" w:rsidRDefault="00D911B5">
            <w:pPr>
              <w:jc w:val="center"/>
            </w:pPr>
            <w:r>
              <w:t>0.0042</w:t>
            </w:r>
          </w:p>
        </w:tc>
        <w:tc>
          <w:tcPr>
            <w:tcW w:w="1487" w:type="dxa"/>
          </w:tcPr>
          <w:p w:rsidR="00EB2823" w:rsidRDefault="00D911B5">
            <w:pPr>
              <w:jc w:val="center"/>
            </w:pPr>
            <w:r>
              <w:t>56</w:t>
            </w:r>
          </w:p>
        </w:tc>
        <w:tc>
          <w:tcPr>
            <w:tcW w:w="1487" w:type="dxa"/>
          </w:tcPr>
          <w:p w:rsidR="00EB2823" w:rsidRDefault="00D911B5">
            <w:pPr>
              <w:jc w:val="center"/>
            </w:pPr>
            <w:r>
              <w:t>24</w:t>
            </w:r>
          </w:p>
        </w:tc>
        <w:tc>
          <w:tcPr>
            <w:tcW w:w="1487" w:type="dxa"/>
          </w:tcPr>
          <w:p w:rsidR="00EB2823" w:rsidRDefault="00D911B5">
            <w:pPr>
              <w:jc w:val="center"/>
            </w:pPr>
            <w:r>
              <w:t>0.60</w:t>
            </w:r>
          </w:p>
        </w:tc>
        <w:tc>
          <w:tcPr>
            <w:tcW w:w="1487" w:type="dxa"/>
          </w:tcPr>
          <w:p w:rsidR="00EB2823" w:rsidRDefault="00D911B5">
            <w:pPr>
              <w:jc w:val="center"/>
            </w:pPr>
            <w:r>
              <w:t>0.005</w:t>
            </w:r>
          </w:p>
        </w:tc>
      </w:tr>
    </w:tbl>
    <w:p w:rsidR="00EB2823" w:rsidRDefault="00EB2823">
      <w:pPr>
        <w:jc w:val="both"/>
      </w:pPr>
    </w:p>
    <w:p w:rsidR="00EB2823" w:rsidRDefault="00D911B5">
      <w:pPr>
        <w:numPr>
          <w:ilvl w:val="0"/>
          <w:numId w:val="3"/>
        </w:numPr>
        <w:pBdr>
          <w:top w:val="nil"/>
          <w:left w:val="nil"/>
          <w:bottom w:val="nil"/>
          <w:right w:val="nil"/>
          <w:between w:val="nil"/>
        </w:pBdr>
        <w:spacing w:after="0"/>
        <w:jc w:val="both"/>
        <w:rPr>
          <w:color w:val="000000"/>
        </w:rPr>
      </w:pPr>
      <w:proofErr w:type="gramStart"/>
      <w:r>
        <w:rPr>
          <w:color w:val="000000"/>
        </w:rPr>
        <w:t xml:space="preserve">For a given level of heritability (here, </w:t>
      </w:r>
      <w:r>
        <w:rPr>
          <w:i/>
          <w:color w:val="000000"/>
        </w:rPr>
        <w:t>h²</w:t>
      </w:r>
      <w:r>
        <w:rPr>
          <w:color w:val="000000"/>
        </w:rPr>
        <w:t>=0.3), the mean annual diameter increment and the mean diameter at the end of the 2</w:t>
      </w:r>
      <w:r>
        <w:rPr>
          <w:color w:val="000000"/>
          <w:vertAlign w:val="superscript"/>
        </w:rPr>
        <w:t>nd</w:t>
      </w:r>
      <w:r>
        <w:rPr>
          <w:color w:val="000000"/>
        </w:rPr>
        <w:t xml:space="preserve"> generation are higher with 100% constant environmental variance than 80% (</w:t>
      </w:r>
      <w:r>
        <w:rPr>
          <w:i/>
          <w:color w:val="000000"/>
        </w:rPr>
        <w:t>Mean(</w:t>
      </w:r>
      <w:proofErr w:type="spellStart"/>
      <w:r>
        <w:rPr>
          <w:i/>
          <w:color w:val="000000"/>
        </w:rPr>
        <w:t>dD</w:t>
      </w:r>
      <w:proofErr w:type="spellEnd"/>
      <w:r>
        <w:rPr>
          <w:i/>
          <w:color w:val="000000"/>
        </w:rPr>
        <w:t>)</w:t>
      </w:r>
      <w:r>
        <w:rPr>
          <w:color w:val="000000"/>
        </w:rPr>
        <w:t xml:space="preserve">=0.60 vs 0.58, and </w:t>
      </w:r>
      <w:r>
        <w:rPr>
          <w:i/>
          <w:color w:val="000000"/>
        </w:rPr>
        <w:t>Mean(D)</w:t>
      </w:r>
      <w:r>
        <w:rPr>
          <w:color w:val="000000"/>
        </w:rPr>
        <w:t>=56 vs 54, respectively), which reveals a higher evolutionary rate of growth traits with 100% constant environmental variance than 80%.</w:t>
      </w:r>
      <w:proofErr w:type="gramEnd"/>
      <w:r>
        <w:rPr>
          <w:color w:val="000000"/>
        </w:rPr>
        <w:t xml:space="preserve"> </w:t>
      </w:r>
    </w:p>
    <w:p w:rsidR="00EB2823" w:rsidRDefault="00D911B5">
      <w:pPr>
        <w:numPr>
          <w:ilvl w:val="0"/>
          <w:numId w:val="3"/>
        </w:numPr>
        <w:pBdr>
          <w:top w:val="nil"/>
          <w:left w:val="nil"/>
          <w:bottom w:val="nil"/>
          <w:right w:val="nil"/>
          <w:between w:val="nil"/>
        </w:pBdr>
        <w:spacing w:after="0"/>
        <w:jc w:val="both"/>
        <w:rPr>
          <w:color w:val="000000"/>
        </w:rPr>
      </w:pPr>
      <w:r>
        <w:rPr>
          <w:color w:val="000000"/>
        </w:rPr>
        <w:t>This can be explained considering the slightly higher selection differential on vigor at the end of the first generation with 100% constant environmental variance than 80% (</w:t>
      </w:r>
      <w:r>
        <w:rPr>
          <w:i/>
          <w:color w:val="000000"/>
        </w:rPr>
        <w:t>Mean(</w:t>
      </w:r>
      <w:proofErr w:type="spellStart"/>
      <w:r>
        <w:rPr>
          <w:i/>
          <w:color w:val="000000"/>
        </w:rPr>
        <w:t>dD</w:t>
      </w:r>
      <w:proofErr w:type="spellEnd"/>
      <w:r>
        <w:rPr>
          <w:i/>
          <w:color w:val="000000"/>
        </w:rPr>
        <w:t>)</w:t>
      </w:r>
      <w:r>
        <w:rPr>
          <w:color w:val="000000"/>
        </w:rPr>
        <w:t xml:space="preserve">=0.51 vs 0.50); this higher selection differential relates to higher competition intensity and higher contribution of the constant individual effects on the phenotype. </w:t>
      </w:r>
      <w:proofErr w:type="gramStart"/>
      <w:r>
        <w:rPr>
          <w:color w:val="000000"/>
        </w:rPr>
        <w:t>As a consequence</w:t>
      </w:r>
      <w:proofErr w:type="gramEnd"/>
      <w:r>
        <w:rPr>
          <w:color w:val="000000"/>
        </w:rPr>
        <w:t xml:space="preserve"> of higher selection differential on vigor, trees in the next generation have an increased growth, which intensifies selective mortality by competition during the 2</w:t>
      </w:r>
      <w:r>
        <w:rPr>
          <w:color w:val="000000"/>
          <w:vertAlign w:val="superscript"/>
        </w:rPr>
        <w:t>nd</w:t>
      </w:r>
      <w:r>
        <w:rPr>
          <w:color w:val="000000"/>
        </w:rPr>
        <w:t xml:space="preserve"> generation.</w:t>
      </w:r>
    </w:p>
    <w:p w:rsidR="00EB2823" w:rsidRDefault="00D911B5">
      <w:pPr>
        <w:numPr>
          <w:ilvl w:val="0"/>
          <w:numId w:val="3"/>
        </w:numPr>
        <w:pBdr>
          <w:top w:val="nil"/>
          <w:left w:val="nil"/>
          <w:bottom w:val="nil"/>
          <w:right w:val="nil"/>
          <w:between w:val="nil"/>
        </w:pBdr>
        <w:spacing w:after="0"/>
        <w:jc w:val="both"/>
        <w:rPr>
          <w:color w:val="000000"/>
        </w:rPr>
      </w:pPr>
      <w:r>
        <w:rPr>
          <w:color w:val="000000"/>
        </w:rPr>
        <w:t>The slight difference in the variance of annual diameter increment at the end of each generation (</w:t>
      </w:r>
      <w:proofErr w:type="spellStart"/>
      <w:proofErr w:type="gramStart"/>
      <w:r>
        <w:rPr>
          <w:i/>
          <w:color w:val="000000"/>
        </w:rPr>
        <w:t>Var</w:t>
      </w:r>
      <w:proofErr w:type="spellEnd"/>
      <w:r>
        <w:rPr>
          <w:i/>
          <w:color w:val="000000"/>
        </w:rPr>
        <w:t>(</w:t>
      </w:r>
      <w:proofErr w:type="spellStart"/>
      <w:proofErr w:type="gramEnd"/>
      <w:r>
        <w:rPr>
          <w:i/>
          <w:color w:val="000000"/>
        </w:rPr>
        <w:t>dD</w:t>
      </w:r>
      <w:proofErr w:type="spellEnd"/>
      <w:r>
        <w:rPr>
          <w:i/>
          <w:color w:val="000000"/>
        </w:rPr>
        <w:t>)</w:t>
      </w:r>
      <w:r>
        <w:rPr>
          <w:color w:val="000000"/>
        </w:rPr>
        <w:t>) between 100% constant environmental variance and 80% is simply the contribution of the variable environmental effects (</w:t>
      </w:r>
      <w:proofErr w:type="spellStart"/>
      <w:r>
        <w:rPr>
          <w:i/>
          <w:color w:val="000000"/>
        </w:rPr>
        <w:t>VE</w:t>
      </w:r>
      <w:r>
        <w:rPr>
          <w:i/>
          <w:color w:val="000000"/>
          <w:vertAlign w:val="subscript"/>
        </w:rPr>
        <w:t>v</w:t>
      </w:r>
      <w:proofErr w:type="spellEnd"/>
      <w:r>
        <w:rPr>
          <w:color w:val="000000"/>
        </w:rPr>
        <w:t>).</w:t>
      </w:r>
    </w:p>
    <w:p w:rsidR="00EB2823" w:rsidRDefault="00EB2823">
      <w:pPr>
        <w:pBdr>
          <w:top w:val="nil"/>
          <w:left w:val="nil"/>
          <w:bottom w:val="nil"/>
          <w:right w:val="nil"/>
          <w:between w:val="nil"/>
        </w:pBdr>
        <w:ind w:left="720"/>
        <w:jc w:val="both"/>
        <w:rPr>
          <w:color w:val="000000"/>
        </w:rPr>
      </w:pPr>
    </w:p>
    <w:sectPr w:rsidR="00EB282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535B"/>
    <w:multiLevelType w:val="multilevel"/>
    <w:tmpl w:val="FE629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DE21BF"/>
    <w:multiLevelType w:val="multilevel"/>
    <w:tmpl w:val="C6FAD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9F661E"/>
    <w:multiLevelType w:val="multilevel"/>
    <w:tmpl w:val="A19EA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BC4B59"/>
    <w:multiLevelType w:val="multilevel"/>
    <w:tmpl w:val="BA9C8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E96E69"/>
    <w:multiLevelType w:val="multilevel"/>
    <w:tmpl w:val="FFF64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D82796"/>
    <w:multiLevelType w:val="multilevel"/>
    <w:tmpl w:val="CC3EF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885E9B"/>
    <w:multiLevelType w:val="multilevel"/>
    <w:tmpl w:val="4EA800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2"/>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23"/>
    <w:rsid w:val="00C3039D"/>
    <w:rsid w:val="00D911B5"/>
    <w:rsid w:val="00EB2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AF542"/>
  <w15:docId w15:val="{F8CE217C-9B53-46C3-A4F0-3D81C1B2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A50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A50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A50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Paragraphedeliste">
    <w:name w:val="List Paragraph"/>
    <w:basedOn w:val="Normal"/>
    <w:uiPriority w:val="34"/>
    <w:qFormat/>
    <w:rsid w:val="00B2017D"/>
    <w:pPr>
      <w:ind w:left="720"/>
      <w:contextualSpacing/>
    </w:pPr>
  </w:style>
  <w:style w:type="character" w:customStyle="1" w:styleId="Titre1Car">
    <w:name w:val="Titre 1 Car"/>
    <w:basedOn w:val="Policepardfaut"/>
    <w:link w:val="Titre1"/>
    <w:uiPriority w:val="9"/>
    <w:rsid w:val="00EA505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EA505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A5057"/>
    <w:rPr>
      <w:rFonts w:asciiTheme="majorHAnsi" w:eastAsiaTheme="majorEastAsia" w:hAnsiTheme="majorHAnsi" w:cstheme="majorBidi"/>
      <w:color w:val="1F4D78" w:themeColor="accent1" w:themeShade="7F"/>
      <w:sz w:val="24"/>
      <w:szCs w:val="24"/>
    </w:rPr>
  </w:style>
  <w:style w:type="character" w:styleId="Textedelespacerserv">
    <w:name w:val="Placeholder Text"/>
    <w:basedOn w:val="Policepardfaut"/>
    <w:uiPriority w:val="99"/>
    <w:semiHidden/>
    <w:rsid w:val="0083400A"/>
    <w:rPr>
      <w:color w:val="808080"/>
    </w:rPr>
  </w:style>
  <w:style w:type="table" w:styleId="Grilledutableau">
    <w:name w:val="Table Grid"/>
    <w:basedOn w:val="TableauNormal"/>
    <w:uiPriority w:val="39"/>
    <w:rsid w:val="000E5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651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51F7"/>
    <w:rPr>
      <w:rFonts w:ascii="Segoe UI" w:hAnsi="Segoe UI" w:cs="Segoe UI"/>
      <w:sz w:val="18"/>
      <w:szCs w:val="18"/>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r76/c6wGHsYj/o+ytYN9qSfHSQ==">AMUW2mULaSIFWGICdN0rFuX+vk4drKRSvcxNx9mX2JV8cpE+2wl81QlBfozue0k77UxJyAuavIYhhvQ+BGMsblXxREFl3gLuNRKMXDJwNF8Xy1vMyTqUJSAmHx+I0plmm1R7P68n1FvnvzguCRacUcJPpEpGjf9VRuKp+8pLXYAXZ8KS+7dil6rWHeP110FJFJFbcM4SqSGZcX9FHB30bwWmwdXD4lLljp5FRlG41xkYjzmHILzZlMQ=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1969</Words>
  <Characters>10833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Lefevre (PACA)</dc:creator>
  <cp:lastModifiedBy>Francois Lefevre (PACA)</cp:lastModifiedBy>
  <cp:revision>3</cp:revision>
  <dcterms:created xsi:type="dcterms:W3CDTF">2023-03-24T16:44:00Z</dcterms:created>
  <dcterms:modified xsi:type="dcterms:W3CDTF">2023-03-27T07:20:00Z</dcterms:modified>
</cp:coreProperties>
</file>