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79E" w:rsidRDefault="00A8061E">
      <w:pPr>
        <w:pStyle w:val="Titre"/>
        <w:spacing w:before="240" w:after="0"/>
        <w:jc w:val="center"/>
        <w:rPr>
          <w:b w:val="0"/>
          <w:sz w:val="36"/>
          <w:szCs w:val="36"/>
        </w:rPr>
      </w:pPr>
      <w:bookmarkStart w:id="0" w:name="_heading=h.kd6ey8x0vwqt" w:colFirst="0" w:colLast="0"/>
      <w:bookmarkStart w:id="1" w:name="_GoBack"/>
      <w:bookmarkEnd w:id="0"/>
      <w:bookmarkEnd w:id="1"/>
      <w:r>
        <w:rPr>
          <w:b w:val="0"/>
          <w:sz w:val="36"/>
          <w:szCs w:val="36"/>
        </w:rPr>
        <w:t>Appendix 1 - Spatial and temporal scales in Luberon2</w:t>
      </w:r>
    </w:p>
    <w:p w:rsidR="00D4079E" w:rsidRDefault="00D4079E"/>
    <w:p w:rsidR="00D4079E" w:rsidRDefault="00A8061E">
      <w:pPr>
        <w:spacing w:after="20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val="fr-FR"/>
        </w:rPr>
        <w:drawing>
          <wp:inline distT="114300" distB="114300" distL="114300" distR="114300">
            <wp:extent cx="4510185" cy="445873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0185" cy="4458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79E" w:rsidRDefault="00A8061E">
      <w:pPr>
        <w:spacing w:after="200"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Figure 1</w:t>
      </w:r>
      <w:r>
        <w:rPr>
          <w:sz w:val="20"/>
          <w:szCs w:val="20"/>
        </w:rPr>
        <w:t>: Relationship between space, environment, and demography: the simulated stand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  <w:t xml:space="preserve">for this study consists of four parcels (P1 to P4, all with the same site index) split in regular pixels </w:t>
      </w:r>
      <w:r>
        <w:rPr>
          <w:sz w:val="20"/>
          <w:szCs w:val="20"/>
        </w:rPr>
        <w:t>15mx15m (background grid), starting with 12000 trees in the initial stage (green dots with a size proportional to the diameter of each tree).</w:t>
      </w:r>
    </w:p>
    <w:p w:rsidR="00D4079E" w:rsidRDefault="00A8061E">
      <w:pPr>
        <w:spacing w:after="200" w:line="360" w:lineRule="auto"/>
        <w:jc w:val="both"/>
        <w:rPr>
          <w:sz w:val="20"/>
          <w:szCs w:val="20"/>
        </w:rPr>
      </w:pPr>
      <w:r>
        <w:br w:type="page"/>
      </w:r>
    </w:p>
    <w:p w:rsidR="00D4079E" w:rsidRDefault="00D4079E">
      <w:pPr>
        <w:spacing w:after="200" w:line="360" w:lineRule="auto"/>
        <w:jc w:val="both"/>
        <w:rPr>
          <w:sz w:val="20"/>
          <w:szCs w:val="20"/>
        </w:rPr>
      </w:pPr>
    </w:p>
    <w:p w:rsidR="00D4079E" w:rsidRDefault="00A8061E">
      <w:pPr>
        <w:spacing w:after="200" w:line="360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  <w:lang w:val="fr-FR"/>
        </w:rPr>
        <w:drawing>
          <wp:inline distT="0" distB="0" distL="0" distR="0">
            <wp:extent cx="4657840" cy="3696836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840" cy="36968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79E" w:rsidRDefault="00A8061E">
      <w:pPr>
        <w:spacing w:after="200" w:line="360" w:lineRule="auto"/>
        <w:jc w:val="both"/>
      </w:pPr>
      <w:r>
        <w:rPr>
          <w:b/>
          <w:sz w:val="20"/>
          <w:szCs w:val="20"/>
        </w:rPr>
        <w:t>Figure 2</w:t>
      </w:r>
      <w:r>
        <w:rPr>
          <w:sz w:val="20"/>
          <w:szCs w:val="20"/>
        </w:rPr>
        <w:t>: Synthetic view of the execution loop of forest dynamic processes in Luberon2. Yellow boxes represen</w:t>
      </w:r>
      <w:r>
        <w:rPr>
          <w:sz w:val="20"/>
          <w:szCs w:val="20"/>
        </w:rPr>
        <w:t xml:space="preserve">t the user’s </w:t>
      </w:r>
      <w:proofErr w:type="gramStart"/>
      <w:r>
        <w:rPr>
          <w:sz w:val="20"/>
          <w:szCs w:val="20"/>
        </w:rPr>
        <w:t>choices,</w:t>
      </w:r>
      <w:proofErr w:type="gramEnd"/>
      <w:r>
        <w:rPr>
          <w:sz w:val="20"/>
          <w:szCs w:val="20"/>
        </w:rPr>
        <w:t xml:space="preserve"> other colors are for dynamic processes (growth in blue, mortality in orange, and regeneration in green). Regeneration and disturbance (in italics) are optional depending on the user's choices.</w:t>
      </w:r>
    </w:p>
    <w:p w:rsidR="00D4079E" w:rsidRDefault="00D4079E">
      <w:bookmarkStart w:id="2" w:name="_heading=h.qrtrx8ghepb0" w:colFirst="0" w:colLast="0"/>
      <w:bookmarkEnd w:id="2"/>
    </w:p>
    <w:p w:rsidR="00D4079E" w:rsidRDefault="00A8061E">
      <w:bookmarkStart w:id="3" w:name="_heading=h.a516fq6mvsci" w:colFirst="0" w:colLast="0"/>
      <w:bookmarkEnd w:id="3"/>
      <w:r>
        <w:br w:type="page"/>
      </w:r>
    </w:p>
    <w:p w:rsidR="00D4079E" w:rsidRDefault="00A8061E">
      <w:pPr>
        <w:spacing w:after="200" w:line="360" w:lineRule="auto"/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fr-FR"/>
        </w:rPr>
        <w:lastRenderedPageBreak/>
        <w:drawing>
          <wp:inline distT="114300" distB="114300" distL="114300" distR="114300">
            <wp:extent cx="5760410" cy="245110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4079E" w:rsidRDefault="00A8061E">
      <w:pPr>
        <w:spacing w:after="200" w:line="360" w:lineRule="auto"/>
        <w:jc w:val="both"/>
        <w:rPr>
          <w:b/>
          <w:sz w:val="20"/>
          <w:szCs w:val="20"/>
        </w:rPr>
      </w:pPr>
      <w:bookmarkStart w:id="4" w:name="_heading=h.gjdgxs" w:colFirst="0" w:colLast="0"/>
      <w:bookmarkEnd w:id="4"/>
      <w:r>
        <w:rPr>
          <w:b/>
          <w:sz w:val="20"/>
          <w:szCs w:val="20"/>
        </w:rPr>
        <w:t>Figure 3</w:t>
      </w:r>
      <w:r>
        <w:rPr>
          <w:sz w:val="20"/>
          <w:szCs w:val="20"/>
        </w:rPr>
        <w:t>. Chronology of the simulati</w:t>
      </w:r>
      <w:r>
        <w:rPr>
          <w:sz w:val="20"/>
          <w:szCs w:val="20"/>
        </w:rPr>
        <w:t xml:space="preserve">ons. Growth and competition processes start at recruitment age (25 years for cedar). Then the diagram reads clockwise. During stand development (in </w:t>
      </w:r>
      <w:proofErr w:type="gramStart"/>
      <w:r>
        <w:rPr>
          <w:sz w:val="20"/>
          <w:szCs w:val="20"/>
        </w:rPr>
        <w:t>blue)</w:t>
      </w:r>
      <w:proofErr w:type="gramEnd"/>
      <w:r>
        <w:rPr>
          <w:sz w:val="20"/>
          <w:szCs w:val="20"/>
        </w:rPr>
        <w:t xml:space="preserve"> several </w:t>
      </w:r>
      <w:proofErr w:type="spellStart"/>
      <w:r>
        <w:rPr>
          <w:sz w:val="20"/>
          <w:szCs w:val="20"/>
        </w:rPr>
        <w:t>thinnings</w:t>
      </w:r>
      <w:proofErr w:type="spellEnd"/>
      <w:r>
        <w:rPr>
          <w:sz w:val="20"/>
          <w:szCs w:val="20"/>
        </w:rPr>
        <w:t xml:space="preserve"> are potentially carried out depending on the </w:t>
      </w:r>
      <w:proofErr w:type="spellStart"/>
      <w:r>
        <w:rPr>
          <w:sz w:val="20"/>
          <w:szCs w:val="20"/>
        </w:rPr>
        <w:t>silvicultural</w:t>
      </w:r>
      <w:proofErr w:type="spellEnd"/>
      <w:r>
        <w:rPr>
          <w:sz w:val="20"/>
          <w:szCs w:val="20"/>
        </w:rPr>
        <w:t xml:space="preserve"> scenario. When the stand </w:t>
      </w:r>
      <w:r>
        <w:rPr>
          <w:sz w:val="20"/>
          <w:szCs w:val="20"/>
        </w:rPr>
        <w:t xml:space="preserve">is mature, at age 60 for short cycles or 100 for long cycles, a regeneration cut is carried out, and the seedlings establish over a period of three years (in green). The final harvest of the seed trees leaves only the seedlings. Before seedlings reach the </w:t>
      </w:r>
      <w:r>
        <w:rPr>
          <w:sz w:val="20"/>
          <w:szCs w:val="20"/>
        </w:rPr>
        <w:t>recruitment age, i.e. during the pre-recruitment period (in gray), no self-thinning nor interventions take place. Each simulation run consists of four successive cycles.</w:t>
      </w:r>
    </w:p>
    <w:sectPr w:rsidR="00D4079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79E"/>
    <w:rsid w:val="00A8061E"/>
    <w:rsid w:val="00D4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8767DC-81FF-4B79-886D-C1463B43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prK9Ju07z9RswcqHdVXbaHVP1w==">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Lefevre (PACA)</dc:creator>
  <cp:lastModifiedBy>Francois Lefevre (PACA)</cp:lastModifiedBy>
  <cp:revision>2</cp:revision>
  <dcterms:created xsi:type="dcterms:W3CDTF">2023-07-27T16:18:00Z</dcterms:created>
  <dcterms:modified xsi:type="dcterms:W3CDTF">2023-07-27T16:18:00Z</dcterms:modified>
</cp:coreProperties>
</file>