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1E05" w14:textId="77777777" w:rsidR="00F905CA" w:rsidRPr="00F905CA" w:rsidRDefault="00F905CA" w:rsidP="00F905CA">
      <w:r w:rsidRPr="00F905CA">
        <w:rPr>
          <w:i/>
          <w:iCs/>
        </w:rPr>
        <w:t>«La Cité de Dieu» de saint Augustin traduite par Raoul de Presles (1371-1375). Livres vi à x</w:t>
      </w:r>
      <w:r w:rsidRPr="00F905CA">
        <w:t>,</w:t>
      </w:r>
      <w:r w:rsidRPr="00F905CA">
        <w:rPr>
          <w:i/>
          <w:iCs/>
        </w:rPr>
        <w:t xml:space="preserve"> </w:t>
      </w:r>
      <w:r w:rsidRPr="00F905CA">
        <w:t>Édition du manuscrit BnF, fr. 22912 par Béatrice Stumpf, Olivier Bertrand, Silvère Menegaldo et Marta Andronache, vol. ii, Paris, Champion, 2021, pp. 755 («Linguistique: traduction et terminologie», 6).</w:t>
      </w:r>
    </w:p>
    <w:p w14:paraId="58BE9575" w14:textId="77777777" w:rsidR="00F905CA" w:rsidRPr="00F905CA" w:rsidRDefault="00F905CA" w:rsidP="00F905CA">
      <w:r w:rsidRPr="00F905CA">
        <w:t xml:space="preserve">Le volume recensé dans ces pages présente l’édition des livres vi à x de la première traduction de </w:t>
      </w:r>
      <w:r w:rsidRPr="00F905CA">
        <w:rPr>
          <w:i/>
          <w:iCs/>
        </w:rPr>
        <w:t xml:space="preserve">La Cité de Dieu </w:t>
      </w:r>
      <w:r w:rsidRPr="00F905CA">
        <w:t xml:space="preserve">de saint Augustin effectuée par le juriste Raoul de Presles entre 1371 et 1375. Il s’agit du deuxième volume issu du projet financé par le Conseil européen de la recherche et intitulé «Histoire du lexique politique français», auquel collaborent de nombreux chercheurs (la liste en est donnée au début du vol. i, t. i, pp. </w:t>
      </w:r>
      <w:r w:rsidRPr="00F905CA">
        <w:rPr>
          <w:iCs/>
        </w:rPr>
        <w:t>15-17)</w:t>
      </w:r>
      <w:r w:rsidRPr="00F905CA">
        <w:t xml:space="preserve">. Le premier volume, publié en 2013 en deux tomes, a déjà fait l’objet de plusieurs comptes rendus mentionnés au début du vol. ii (p. 31). Avec la parution de ce deuxième volume, le lecteur dispose donc des dix premiers livres de la traduction française de </w:t>
      </w:r>
      <w:r w:rsidRPr="00F905CA">
        <w:rPr>
          <w:i/>
          <w:iCs/>
        </w:rPr>
        <w:t>La Cité de Dieu</w:t>
      </w:r>
      <w:r w:rsidRPr="00F905CA">
        <w:t>,</w:t>
      </w:r>
      <w:r w:rsidRPr="00F905CA">
        <w:rPr>
          <w:i/>
          <w:iCs/>
        </w:rPr>
        <w:t xml:space="preserve"> </w:t>
      </w:r>
      <w:r w:rsidRPr="00F905CA">
        <w:t>selon un découpage de la matière prôné par saint Augustin lui-même (cf. vol. i, t. i, pp. 12-13). Le projet d’édition prévoit, en outre, un index des dix premiers livres et un glossaire général (vol. iii), ainsi qu’un volume d’études (iv); le travail d’édition pourrait se poursuivre avec les livres xi à xxii (</w:t>
      </w:r>
      <w:r w:rsidRPr="00F905CA">
        <w:rPr>
          <w:i/>
          <w:iCs/>
        </w:rPr>
        <w:t>ibid.</w:t>
      </w:r>
      <w:r w:rsidRPr="00F905CA">
        <w:t>,</w:t>
      </w:r>
      <w:r w:rsidRPr="00F905CA">
        <w:rPr>
          <w:iCs/>
        </w:rPr>
        <w:t xml:space="preserve"> p. 12)</w:t>
      </w:r>
      <w:r w:rsidRPr="00F905CA">
        <w:t xml:space="preserve">. </w:t>
      </w:r>
    </w:p>
    <w:p w14:paraId="22789C12" w14:textId="77777777" w:rsidR="00F905CA" w:rsidRPr="00F905CA" w:rsidRDefault="00F905CA" w:rsidP="00F905CA">
      <w:r w:rsidRPr="00F905CA">
        <w:t xml:space="preserve">Nous ne revenons pas dans ce compte rendu sur le contenu de l’introduction du vol. i, si ce n’est pour y faire ponctuellement référence au besoin. Rappelons au moins que le texte, conservé dans 58 témoins manuscrits et par deux imprimés, est édité d’après le ms. de base Paris, BnF, fr. 22912 (Paris, vers 1376). L’apparat de l’édition comprend trois étages: 1) les interventions sur le ms. de base et d’éventuelles notes de lecture (dans le cas d’échanges de graphies dans le ms.); 2) l’apparat des variantes; 3) l’identification des sources citées. </w:t>
      </w:r>
    </w:p>
    <w:p w14:paraId="08082DF7" w14:textId="77777777" w:rsidR="00F905CA" w:rsidRPr="00F905CA" w:rsidRDefault="00F905CA" w:rsidP="00F905CA">
      <w:r w:rsidRPr="00F905CA">
        <w:t xml:space="preserve">L’introduction du vol. ii est précédée d’un </w:t>
      </w:r>
      <w:r w:rsidRPr="00F905CA">
        <w:rPr>
          <w:i/>
          <w:iCs/>
        </w:rPr>
        <w:t xml:space="preserve">errata </w:t>
      </w:r>
      <w:r w:rsidRPr="00F905CA">
        <w:t xml:space="preserve">du vol. i, t. i (pp. 19-21); celui-ci reprend les corrections déjà signalées dans le vol. i, t. ii, p. 23, et regroupe, en les discutant, les corrections suggérées par les comptes rendus respectifs de S. Marcotte dans </w:t>
      </w:r>
      <w:r w:rsidRPr="00F905CA">
        <w:rPr>
          <w:i/>
          <w:iCs/>
        </w:rPr>
        <w:t xml:space="preserve">Perspectives </w:t>
      </w:r>
      <w:r w:rsidRPr="00F905CA">
        <w:t xml:space="preserve">médiévales, 36 (2015), et de M. Cavagna dans </w:t>
      </w:r>
      <w:r w:rsidRPr="00F905CA">
        <w:rPr>
          <w:i/>
          <w:iCs/>
        </w:rPr>
        <w:t>Revue de linguistique romane</w:t>
      </w:r>
      <w:r w:rsidRPr="00F905CA">
        <w:t xml:space="preserve">, 79 (2015), pp. 615-22 . Le texte est précédé d’une courte introduction (pp. 25-33) qui s’attache à: 1) décrire le contenu des livres vi à x; 2) dresser la liste complémentaire des sources citées dans les livres vi à x et non signalés dans le vol. i; 3) réviser certains principes d’édition d’après les suggestions et remarques des comptes rendus du vol. i (usage du tréma, conventions de correction et sélection des variantes); 4) fournir une bibliographie complémentaire. Dans l’attente des compléments critiques comme la note linguistique ou le glossaire, l’objet de la recension sera ici le texte édité (pp. 37-707). </w:t>
      </w:r>
    </w:p>
    <w:p w14:paraId="3CD824E3" w14:textId="7C010C7B" w:rsidR="00F905CA" w:rsidRPr="00F905CA" w:rsidRDefault="00F905CA" w:rsidP="00F905CA">
      <w:r w:rsidRPr="00F905CA">
        <w:t xml:space="preserve">Venons-en à quelques observations sur l’édition, établie avec beaucoup de soin. Nos remarques, essentiellement de détail, se basent sur un échantillon comprenant 3000 lignes choisies au début, au milieu et à la fin du texte, ou, quand cela est explicité, sur un relevé exhaustif d’après la première strate d’apparat pour l’échantillon spécifié. </w:t>
      </w:r>
    </w:p>
    <w:p w14:paraId="4B0BEF3B" w14:textId="77777777" w:rsidR="00F905CA" w:rsidRPr="00F905CA" w:rsidRDefault="00F905CA" w:rsidP="00F905CA">
      <w:pPr>
        <w:rPr>
          <w:iCs/>
        </w:rPr>
      </w:pPr>
      <w:r w:rsidRPr="00F905CA">
        <w:t xml:space="preserve">Séparation des mots. Pour se conformer aux critères exposés dans l’introduction du vol. i, t. i, p. 127, il faudrait transcrire </w:t>
      </w:r>
      <w:r w:rsidRPr="00F905CA">
        <w:rPr>
          <w:i/>
          <w:iCs/>
        </w:rPr>
        <w:t>pource que</w:t>
      </w:r>
      <w:r w:rsidRPr="00F905CA">
        <w:t xml:space="preserve"> /</w:t>
      </w:r>
      <w:r w:rsidRPr="00F905CA">
        <w:rPr>
          <w:i/>
          <w:iCs/>
        </w:rPr>
        <w:t xml:space="preserve"> parce que </w:t>
      </w:r>
      <w:r w:rsidRPr="00F905CA">
        <w:t xml:space="preserve">(‘car’) et non </w:t>
      </w:r>
      <w:r w:rsidRPr="00F905CA">
        <w:rPr>
          <w:i/>
          <w:iCs/>
        </w:rPr>
        <w:t xml:space="preserve">pour ce que </w:t>
      </w:r>
      <w:r w:rsidRPr="00F905CA">
        <w:t xml:space="preserve">/ </w:t>
      </w:r>
      <w:r w:rsidRPr="00F905CA">
        <w:rPr>
          <w:i/>
          <w:iCs/>
        </w:rPr>
        <w:t>par ce que</w:t>
      </w:r>
      <w:r w:rsidRPr="00F905CA">
        <w:t xml:space="preserve"> p. 42 l. 6, p. 45 l. 2, p. 47 ll. 1, 22-3 et 25, p. 48 ll. 18-9, p. 49 l. 15, p. 50 ll. 3 et 8, p. 51 l. 22, et ailleurs. </w:t>
      </w:r>
      <w:r w:rsidRPr="00F905CA">
        <w:rPr>
          <w:iCs/>
        </w:rPr>
        <w:t xml:space="preserve">Par analogie avec le choix de désunir </w:t>
      </w:r>
      <w:r w:rsidRPr="00F905CA">
        <w:rPr>
          <w:i/>
        </w:rPr>
        <w:t xml:space="preserve">à ppart </w:t>
      </w:r>
      <w:r w:rsidRPr="00F905CA">
        <w:rPr>
          <w:iCs/>
        </w:rPr>
        <w:t xml:space="preserve">p. 47 l. 25, la leçon du ms. de base </w:t>
      </w:r>
      <w:r w:rsidRPr="00F905CA">
        <w:rPr>
          <w:i/>
        </w:rPr>
        <w:t>accroire</w:t>
      </w:r>
      <w:r w:rsidRPr="00F905CA">
        <w:rPr>
          <w:iCs/>
        </w:rPr>
        <w:t>,</w:t>
      </w:r>
      <w:r w:rsidRPr="00F905CA">
        <w:rPr>
          <w:i/>
        </w:rPr>
        <w:t xml:space="preserve"> </w:t>
      </w:r>
      <w:r w:rsidRPr="00F905CA">
        <w:rPr>
          <w:iCs/>
        </w:rPr>
        <w:t xml:space="preserve">corrigée en </w:t>
      </w:r>
      <w:r w:rsidRPr="00F905CA">
        <w:rPr>
          <w:i/>
        </w:rPr>
        <w:t xml:space="preserve">à croire </w:t>
      </w:r>
      <w:r w:rsidRPr="00F905CA">
        <w:rPr>
          <w:iCs/>
        </w:rPr>
        <w:t>p. 137 l. 18, p. 141 l. 1, p. 215 l. 1, aurait peut-être pu être conservée.</w:t>
      </w:r>
    </w:p>
    <w:p w14:paraId="23E59150" w14:textId="77777777" w:rsidR="00F905CA" w:rsidRPr="00F905CA" w:rsidRDefault="00F905CA" w:rsidP="00F905CA">
      <w:pPr>
        <w:rPr>
          <w:b/>
          <w:bCs/>
          <w:iCs/>
        </w:rPr>
      </w:pPr>
      <w:r w:rsidRPr="00F905CA">
        <w:lastRenderedPageBreak/>
        <w:t xml:space="preserve">Usage des diacritiques. Les formes du féminin </w:t>
      </w:r>
      <w:r w:rsidRPr="00F905CA">
        <w:rPr>
          <w:i/>
        </w:rPr>
        <w:t xml:space="preserve">aproprié </w:t>
      </w:r>
      <w:r w:rsidRPr="00F905CA">
        <w:rPr>
          <w:iCs/>
        </w:rPr>
        <w:t xml:space="preserve">p. 69 l. 21, </w:t>
      </w:r>
      <w:r w:rsidRPr="00F905CA">
        <w:rPr>
          <w:i/>
        </w:rPr>
        <w:t xml:space="preserve">ordoie </w:t>
      </w:r>
      <w:r w:rsidRPr="00F905CA">
        <w:rPr>
          <w:iCs/>
        </w:rPr>
        <w:t xml:space="preserve">(corrigée en </w:t>
      </w:r>
      <w:r w:rsidRPr="00F905CA">
        <w:rPr>
          <w:i/>
        </w:rPr>
        <w:t>ordoie</w:t>
      </w:r>
      <w:r w:rsidRPr="00F905CA">
        <w:rPr>
          <w:iCs/>
        </w:rPr>
        <w:t>[</w:t>
      </w:r>
      <w:r w:rsidRPr="00F905CA">
        <w:rPr>
          <w:i/>
        </w:rPr>
        <w:t>e</w:t>
      </w:r>
      <w:r w:rsidRPr="00F905CA">
        <w:rPr>
          <w:iCs/>
        </w:rPr>
        <w:t xml:space="preserve">]) p. 238 l. 4 et </w:t>
      </w:r>
      <w:r w:rsidRPr="00F905CA">
        <w:rPr>
          <w:i/>
        </w:rPr>
        <w:t xml:space="preserve">monteploie </w:t>
      </w:r>
      <w:r w:rsidRPr="00F905CA">
        <w:rPr>
          <w:iCs/>
        </w:rPr>
        <w:t xml:space="preserve">(corrigée en </w:t>
      </w:r>
      <w:r w:rsidRPr="00F905CA">
        <w:rPr>
          <w:i/>
        </w:rPr>
        <w:t>monteploie</w:t>
      </w:r>
      <w:r w:rsidRPr="00F905CA">
        <w:rPr>
          <w:iCs/>
        </w:rPr>
        <w:t>[</w:t>
      </w:r>
      <w:r w:rsidRPr="00F905CA">
        <w:rPr>
          <w:i/>
        </w:rPr>
        <w:t>e</w:t>
      </w:r>
      <w:r w:rsidRPr="00F905CA">
        <w:rPr>
          <w:iCs/>
        </w:rPr>
        <w:t xml:space="preserve">]) p. 241 l. 6 font l’objet d’un traitement distinct. </w:t>
      </w:r>
      <w:r w:rsidRPr="00F905CA">
        <w:t xml:space="preserve">La note linguistique nous renseignera certainement sur la possibilité ou non de reconduire ces formes </w:t>
      </w:r>
      <w:r w:rsidRPr="00F905CA">
        <w:rPr>
          <w:iCs/>
        </w:rPr>
        <w:t>à une réduction picarde -</w:t>
      </w:r>
      <w:r w:rsidRPr="00F905CA">
        <w:rPr>
          <w:i/>
        </w:rPr>
        <w:t xml:space="preserve">iee </w:t>
      </w:r>
      <w:r w:rsidRPr="00F905CA">
        <w:rPr>
          <w:iCs/>
        </w:rPr>
        <w:t>&gt; -</w:t>
      </w:r>
      <w:r w:rsidRPr="00F905CA">
        <w:rPr>
          <w:i/>
        </w:rPr>
        <w:t>ie</w:t>
      </w:r>
      <w:r w:rsidRPr="00F905CA">
        <w:rPr>
          <w:iCs/>
        </w:rPr>
        <w:t xml:space="preserve">. </w:t>
      </w:r>
    </w:p>
    <w:p w14:paraId="39046C99" w14:textId="36F450EB" w:rsidR="00F905CA" w:rsidRPr="00F905CA" w:rsidRDefault="00F905CA" w:rsidP="00F905CA">
      <w:r w:rsidRPr="00F905CA">
        <w:t>Ponctuation. Signalons d’emblée que la ponctuation introduite par les éditeurs, qui suit l’usage moderne, facilite grandement la lecture d’un texte qui illustre bien la syntaxe tortueuse du moyen français.</w:t>
      </w:r>
      <w:r w:rsidRPr="00F905CA">
        <w:rPr>
          <w:b/>
          <w:bCs/>
        </w:rPr>
        <w:t xml:space="preserve"> </w:t>
      </w:r>
      <w:r w:rsidRPr="00F905CA">
        <w:t xml:space="preserve">Nous ne partageons cependant pas toujours les choix des éditeurs, comme dans les passages suivants: p. 353 ll. 13-15, </w:t>
      </w:r>
      <w:r w:rsidRPr="00F905CA">
        <w:rPr>
          <w:i/>
          <w:iCs/>
        </w:rPr>
        <w:t>Aprés il y fait mencion de Castor et Pollux qui furent freres de Tindaris lesquiex furent enffans de Leeda et de Jupiter, selonc une maniere de fable</w:t>
      </w:r>
      <w:r>
        <w:t>,</w:t>
      </w:r>
      <w:r w:rsidRPr="00F905CA">
        <w:rPr>
          <w:i/>
          <w:iCs/>
        </w:rPr>
        <w:t xml:space="preserve"> </w:t>
      </w:r>
      <w:r w:rsidRPr="00F905CA">
        <w:t xml:space="preserve">mais plutôt </w:t>
      </w:r>
      <w:r w:rsidRPr="00F905CA">
        <w:rPr>
          <w:i/>
          <w:iCs/>
        </w:rPr>
        <w:t xml:space="preserve">Aprés, il y fait mencion de Castor et Pollux, qui furent freres de Tindaris, lesquiex furent enffans de Leeda et de Jupiter </w:t>
      </w:r>
      <w:r w:rsidRPr="00F905CA">
        <w:t>etc</w:t>
      </w:r>
      <w:r w:rsidRPr="00F905CA">
        <w:rPr>
          <w:i/>
          <w:iCs/>
        </w:rPr>
        <w:t>.</w:t>
      </w:r>
      <w:r w:rsidRPr="00F905CA">
        <w:t xml:space="preserve"> Le sujet est répété après une proposition temporelle incidente p. 353 ll. 20-1: une virgule après </w:t>
      </w:r>
      <w:r w:rsidRPr="00F905CA">
        <w:rPr>
          <w:i/>
          <w:iCs/>
        </w:rPr>
        <w:t xml:space="preserve">lesquiex </w:t>
      </w:r>
      <w:r w:rsidRPr="00F905CA">
        <w:t xml:space="preserve">serait la bienvenue pour isoler la temporelle introduite par </w:t>
      </w:r>
      <w:r w:rsidRPr="00F905CA">
        <w:rPr>
          <w:i/>
          <w:iCs/>
        </w:rPr>
        <w:t>quant</w:t>
      </w:r>
      <w:r w:rsidRPr="00F905CA">
        <w:t xml:space="preserve">. Plus généralement, l’ajout de quelques virgules permettrait, en plus de faciliter la lecture, de ne pas séparer la conjonction du verbe qu’elle introduit lorsqu’ils sont séparés par une proposition incidente: p. 41 l. 22 après </w:t>
      </w:r>
      <w:r w:rsidRPr="00F905CA">
        <w:rPr>
          <w:i/>
          <w:iCs/>
        </w:rPr>
        <w:t xml:space="preserve">que </w:t>
      </w:r>
      <w:r w:rsidRPr="00F905CA">
        <w:t xml:space="preserve">dans </w:t>
      </w:r>
      <w:r w:rsidRPr="00F905CA">
        <w:rPr>
          <w:i/>
          <w:iCs/>
        </w:rPr>
        <w:t>jugeront plus legierement que, ..., nous avons determiné</w:t>
      </w:r>
      <w:r w:rsidRPr="00F905CA">
        <w:t xml:space="preserve">...; p. 43 l. 16 après </w:t>
      </w:r>
      <w:r w:rsidRPr="00F905CA">
        <w:rPr>
          <w:i/>
          <w:iCs/>
        </w:rPr>
        <w:t>telement que</w:t>
      </w:r>
      <w:r w:rsidRPr="00F905CA">
        <w:t xml:space="preserve">; p. 54 l. 6 après </w:t>
      </w:r>
      <w:r w:rsidRPr="00F905CA">
        <w:rPr>
          <w:i/>
          <w:iCs/>
        </w:rPr>
        <w:t>et que</w:t>
      </w:r>
      <w:r w:rsidRPr="00F905CA">
        <w:t xml:space="preserve">; p. 60 l. 12 après </w:t>
      </w:r>
      <w:r>
        <w:rPr>
          <w:i/>
          <w:iCs/>
        </w:rPr>
        <w:t>D</w:t>
      </w:r>
      <w:r w:rsidRPr="00F905CA">
        <w:rPr>
          <w:i/>
          <w:iCs/>
        </w:rPr>
        <w:t>e noctibus Atticis que</w:t>
      </w:r>
      <w:r w:rsidRPr="00F905CA">
        <w:t xml:space="preserve">; p. 73 l. 19 après </w:t>
      </w:r>
      <w:r w:rsidRPr="00F905CA">
        <w:rPr>
          <w:i/>
          <w:iCs/>
        </w:rPr>
        <w:t xml:space="preserve">il </w:t>
      </w:r>
      <w:r>
        <w:rPr>
          <w:i/>
          <w:iCs/>
        </w:rPr>
        <w:t>demonstre</w:t>
      </w:r>
      <w:r w:rsidRPr="00F905CA">
        <w:rPr>
          <w:i/>
          <w:iCs/>
        </w:rPr>
        <w:t xml:space="preserve"> que</w:t>
      </w:r>
      <w:r w:rsidRPr="00F905CA">
        <w:t xml:space="preserve">; etc. Il aurait été préférable de ne pas introduire de ponctuation forte isolant le pronom relatif de son antécédent, a fortiori dans de courtes phrases comme p. 353 ll. 16-8 </w:t>
      </w:r>
      <w:r w:rsidRPr="00F905CA">
        <w:rPr>
          <w:i/>
          <w:iCs/>
        </w:rPr>
        <w:t>Et Castor fu filz de Leeda et de Tindaris et fu mortel. La mort duquel son frere racheta par sa mort</w:t>
      </w:r>
      <w:r w:rsidRPr="00F905CA">
        <w:t xml:space="preserve">, mais plutôt </w:t>
      </w:r>
      <w:r w:rsidRPr="00F905CA">
        <w:rPr>
          <w:i/>
          <w:iCs/>
        </w:rPr>
        <w:t xml:space="preserve">Et Castor fu filz de Leeda et de Tindaris et fu mortel, la mort duquel son frere </w:t>
      </w:r>
      <w:r w:rsidRPr="00F905CA">
        <w:t xml:space="preserve">etc. Ainsi p. 47 l. 12, p. 48 l. 27, p. 54 l. 11, p. 59 ll. 5 et 28, et ailleurs. Afin de ne pas séparer sujet et verbe, il faudrait ajouter une virgule p. 53 l. 1 après </w:t>
      </w:r>
      <w:r w:rsidRPr="00F905CA">
        <w:rPr>
          <w:i/>
          <w:iCs/>
        </w:rPr>
        <w:t>doctrine</w:t>
      </w:r>
      <w:r w:rsidRPr="00F905CA">
        <w:t xml:space="preserve">, p. 349 l. 10 après </w:t>
      </w:r>
      <w:r w:rsidRPr="00F905CA">
        <w:rPr>
          <w:i/>
          <w:iCs/>
        </w:rPr>
        <w:t>qui</w:t>
      </w:r>
      <w:r w:rsidRPr="00F905CA">
        <w:t xml:space="preserve">, et ailleurs. Certaines relatives qualificatives requièrent l’ajout d’une virgule: p. 54 l. 5 après </w:t>
      </w:r>
      <w:r w:rsidRPr="00F905CA">
        <w:rPr>
          <w:i/>
          <w:iCs/>
        </w:rPr>
        <w:t>Rommains</w:t>
      </w:r>
      <w:r>
        <w:t>,</w:t>
      </w:r>
      <w:r w:rsidRPr="00F905CA">
        <w:t xml:space="preserve"> p. 72 ll. 5 après </w:t>
      </w:r>
      <w:r w:rsidRPr="00F905CA">
        <w:rPr>
          <w:i/>
          <w:iCs/>
        </w:rPr>
        <w:t xml:space="preserve">Mercure </w:t>
      </w:r>
      <w:r w:rsidRPr="00F905CA">
        <w:t xml:space="preserve">et 16 après </w:t>
      </w:r>
      <w:r w:rsidRPr="00F905CA">
        <w:rPr>
          <w:i/>
          <w:iCs/>
        </w:rPr>
        <w:t>Jupiter</w:t>
      </w:r>
      <w:r>
        <w:t>,</w:t>
      </w:r>
      <w:r w:rsidRPr="00F905CA">
        <w:t xml:space="preserve"> p. 349 l. 15 après </w:t>
      </w:r>
      <w:r w:rsidRPr="00F905CA">
        <w:rPr>
          <w:i/>
          <w:iCs/>
        </w:rPr>
        <w:t>Tales</w:t>
      </w:r>
      <w:r>
        <w:t>,</w:t>
      </w:r>
      <w:r w:rsidRPr="00F905CA">
        <w:t xml:space="preserve"> p. 349 ll. 26-7 après </w:t>
      </w:r>
      <w:r w:rsidRPr="00F905CA">
        <w:rPr>
          <w:i/>
          <w:iCs/>
        </w:rPr>
        <w:t xml:space="preserve">feu </w:t>
      </w:r>
      <w:r w:rsidRPr="00F905CA">
        <w:t xml:space="preserve">et avant </w:t>
      </w:r>
      <w:r w:rsidRPr="00F905CA">
        <w:rPr>
          <w:i/>
          <w:iCs/>
        </w:rPr>
        <w:t xml:space="preserve">eust </w:t>
      </w:r>
      <w:r w:rsidRPr="00F905CA">
        <w:t>pour isoler la relative; p. 6</w:t>
      </w:r>
      <w:r>
        <w:t>3</w:t>
      </w:r>
      <w:r w:rsidRPr="00F905CA">
        <w:t xml:space="preserve">1 l. 20 après </w:t>
      </w:r>
      <w:r w:rsidRPr="00F905CA">
        <w:rPr>
          <w:i/>
          <w:iCs/>
        </w:rPr>
        <w:t xml:space="preserve">Picus et Faunus </w:t>
      </w:r>
      <w:r w:rsidRPr="00F905CA">
        <w:t xml:space="preserve">; p. 352 l. 1 après </w:t>
      </w:r>
      <w:r w:rsidRPr="00F905CA">
        <w:rPr>
          <w:i/>
          <w:iCs/>
        </w:rPr>
        <w:t>Romulus</w:t>
      </w:r>
      <w:r>
        <w:t>,</w:t>
      </w:r>
      <w:r w:rsidRPr="00F905CA">
        <w:rPr>
          <w:i/>
          <w:iCs/>
        </w:rPr>
        <w:t xml:space="preserve"> </w:t>
      </w:r>
      <w:r w:rsidRPr="00F905CA">
        <w:t xml:space="preserve">etc. Dans le but de proposer des respirations dans de longues phrases, l’on attendrait une virgule après </w:t>
      </w:r>
      <w:r w:rsidRPr="00F905CA">
        <w:rPr>
          <w:i/>
          <w:iCs/>
        </w:rPr>
        <w:t>Certes</w:t>
      </w:r>
      <w:r w:rsidRPr="00F905CA">
        <w:t xml:space="preserve"> p. 69 ll. 3 et 12, et ailleurs (idem pour </w:t>
      </w:r>
      <w:r w:rsidRPr="00F905CA">
        <w:rPr>
          <w:i/>
          <w:iCs/>
        </w:rPr>
        <w:t xml:space="preserve">Certainement </w:t>
      </w:r>
      <w:r w:rsidRPr="00F905CA">
        <w:t xml:space="preserve">et </w:t>
      </w:r>
      <w:r w:rsidRPr="00F905CA">
        <w:rPr>
          <w:i/>
          <w:iCs/>
        </w:rPr>
        <w:t>Toutesvoies</w:t>
      </w:r>
      <w:r w:rsidRPr="00F905CA">
        <w:t xml:space="preserve">, par ex.); p. 44 l. 6 placer </w:t>
      </w:r>
      <w:r w:rsidRPr="00F905CA">
        <w:rPr>
          <w:i/>
          <w:iCs/>
        </w:rPr>
        <w:t xml:space="preserve">et à bon droit </w:t>
      </w:r>
      <w:r w:rsidRPr="00F905CA">
        <w:t xml:space="preserve">entre virgules, comme c’est le cas ailleurs (ex. p. 45 l. 7). </w:t>
      </w:r>
    </w:p>
    <w:p w14:paraId="79C70ECF" w14:textId="77777777" w:rsidR="00F905CA" w:rsidRPr="00F905CA" w:rsidRDefault="00F905CA" w:rsidP="00F905CA">
      <w:r w:rsidRPr="00F905CA">
        <w:t xml:space="preserve">Sélection des variantes. Les auteurs précisent (p. 30) que, dans ce deuxième volume, ils ont étendu la sélection à d’autres variantes à caractère «récurrent» ou «systématique», notamment à </w:t>
      </w:r>
      <w:r w:rsidRPr="00F905CA">
        <w:rPr>
          <w:i/>
          <w:iCs/>
        </w:rPr>
        <w:t xml:space="preserve">adourer </w:t>
      </w:r>
      <w:r w:rsidRPr="00F905CA">
        <w:t xml:space="preserve">pour </w:t>
      </w:r>
      <w:r w:rsidRPr="00F905CA">
        <w:rPr>
          <w:i/>
          <w:iCs/>
        </w:rPr>
        <w:t>ao</w:t>
      </w:r>
      <w:r w:rsidRPr="00F905CA">
        <w:t>(</w:t>
      </w:r>
      <w:r w:rsidRPr="00F905CA">
        <w:rPr>
          <w:i/>
          <w:iCs/>
        </w:rPr>
        <w:t>u</w:t>
      </w:r>
      <w:r w:rsidRPr="00F905CA">
        <w:t>)</w:t>
      </w:r>
      <w:r w:rsidRPr="00F905CA">
        <w:rPr>
          <w:i/>
          <w:iCs/>
        </w:rPr>
        <w:t>rer</w:t>
      </w:r>
      <w:r w:rsidRPr="00F905CA">
        <w:t xml:space="preserve"> dans l’imprimé de 1486. La sélection aurait également pu s’étendre au substantif </w:t>
      </w:r>
      <w:r w:rsidRPr="00F905CA">
        <w:rPr>
          <w:i/>
          <w:iCs/>
        </w:rPr>
        <w:t>adournement</w:t>
      </w:r>
      <w:r w:rsidRPr="00F905CA">
        <w:t xml:space="preserve"> pour </w:t>
      </w:r>
      <w:r w:rsidRPr="00F905CA">
        <w:rPr>
          <w:i/>
          <w:iCs/>
        </w:rPr>
        <w:t>aournement</w:t>
      </w:r>
      <w:r w:rsidRPr="00F905CA">
        <w:t xml:space="preserve">, dont la deuxième strate d’apparat offre de nombreux exemples (ex. quatre occurrences aux pp. 42 et 46). Ne pas enregistrer la variante </w:t>
      </w:r>
      <w:r w:rsidRPr="00F905CA">
        <w:rPr>
          <w:i/>
          <w:iCs/>
        </w:rPr>
        <w:t xml:space="preserve">intencion </w:t>
      </w:r>
      <w:r w:rsidRPr="00F905CA">
        <w:t xml:space="preserve">pour </w:t>
      </w:r>
      <w:r w:rsidRPr="00F905CA">
        <w:rPr>
          <w:i/>
          <w:iCs/>
        </w:rPr>
        <w:t xml:space="preserve">entencion </w:t>
      </w:r>
      <w:r w:rsidRPr="00F905CA">
        <w:t>dans l’imprimé de 1486, qui</w:t>
      </w:r>
      <w:r w:rsidRPr="00F905CA">
        <w:rPr>
          <w:i/>
          <w:iCs/>
        </w:rPr>
        <w:t xml:space="preserve"> </w:t>
      </w:r>
      <w:r w:rsidRPr="00F905CA">
        <w:t xml:space="preserve">semble elle aussi revêtir un caractère récurrent (ex. pp. 48, 55 et 65), pourrait répondre à la même logique de sélection.   </w:t>
      </w:r>
    </w:p>
    <w:p w14:paraId="6490043F" w14:textId="1160F8FF" w:rsidR="00F905CA" w:rsidRPr="00F905CA" w:rsidRDefault="00F905CA" w:rsidP="00F905CA">
      <w:pPr>
        <w:rPr>
          <w:iCs/>
        </w:rPr>
      </w:pPr>
      <w:r w:rsidRPr="00F905CA">
        <w:t>Corrections. Les éditeurs n’interviennent sur leur ms. de base qu’en cas de lacune ou de faute manifeste de copie, principe qui est généralement respecté. Entre le vol. i et le vol. ii, certains principes ont été revus: les éditeurs signalent ainsi qu’il renoncent à corriger «les manquements en nombre entre le déterminant et le déterminé (</w:t>
      </w:r>
      <w:r>
        <w:t>p.</w:t>
      </w:r>
      <w:r w:rsidRPr="00F905CA">
        <w:t xml:space="preserve"> ex. dans </w:t>
      </w:r>
      <w:r w:rsidRPr="00F905CA">
        <w:rPr>
          <w:i/>
          <w:iCs/>
        </w:rPr>
        <w:t xml:space="preserve">autre </w:t>
      </w:r>
      <w:r w:rsidRPr="00F905CA">
        <w:t>[sic]</w:t>
      </w:r>
      <w:r w:rsidRPr="00F905CA">
        <w:rPr>
          <w:i/>
          <w:iCs/>
        </w:rPr>
        <w:t xml:space="preserve"> choses</w:t>
      </w:r>
      <w:r w:rsidRPr="00F905CA">
        <w:t xml:space="preserve">, lorsque le pluriel s’impose d’après les autres manuscrits) et dans les accords (ou absence d’accord) que notre cohérence moderne considère comme fautifs alors qu’ils sont fréquents en moyen français, notamment pour les participes passés» (p. 30). Au vu de la mise à jour de ces critères et de ceux exposés dans le vol. </w:t>
      </w:r>
      <w:r w:rsidRPr="00F905CA">
        <w:rPr>
          <w:iCs/>
        </w:rPr>
        <w:t>i, t. i, pp. 129-31</w:t>
      </w:r>
      <w:r w:rsidRPr="00F905CA">
        <w:t xml:space="preserve">, plusieurs interventions sur le ms. de </w:t>
      </w:r>
      <w:r w:rsidRPr="00F905CA">
        <w:lastRenderedPageBreak/>
        <w:t>base ne s’imposent pas. Ainsi, pour les pp. 37-460</w:t>
      </w:r>
      <w:r w:rsidRPr="00F905CA">
        <w:rPr>
          <w:iCs/>
        </w:rPr>
        <w:t>: p. 58 l. 17 </w:t>
      </w:r>
      <w:r w:rsidRPr="00F905CA">
        <w:rPr>
          <w:i/>
        </w:rPr>
        <w:t>au</w:t>
      </w:r>
      <w:r w:rsidRPr="00F905CA">
        <w:rPr>
          <w:iCs/>
        </w:rPr>
        <w:t>[</w:t>
      </w:r>
      <w:r w:rsidRPr="00F905CA">
        <w:rPr>
          <w:i/>
        </w:rPr>
        <w:t>s</w:t>
      </w:r>
      <w:r w:rsidRPr="00F905CA">
        <w:rPr>
          <w:iCs/>
        </w:rPr>
        <w:t xml:space="preserve">] </w:t>
      </w:r>
      <w:r w:rsidRPr="00F905CA">
        <w:rPr>
          <w:i/>
        </w:rPr>
        <w:t>jours</w:t>
      </w:r>
      <w:r w:rsidRPr="00F905CA">
        <w:rPr>
          <w:iCs/>
        </w:rPr>
        <w:t>; p. 68 l. 16 </w:t>
      </w:r>
      <w:r w:rsidRPr="00F905CA">
        <w:rPr>
          <w:i/>
        </w:rPr>
        <w:t>au</w:t>
      </w:r>
      <w:r w:rsidRPr="00F905CA">
        <w:rPr>
          <w:iCs/>
        </w:rPr>
        <w:t>[</w:t>
      </w:r>
      <w:r w:rsidRPr="00F905CA">
        <w:rPr>
          <w:i/>
        </w:rPr>
        <w:t>s</w:t>
      </w:r>
      <w:r w:rsidRPr="00F905CA">
        <w:rPr>
          <w:iCs/>
        </w:rPr>
        <w:t xml:space="preserve">] </w:t>
      </w:r>
      <w:r w:rsidRPr="00F905CA">
        <w:rPr>
          <w:i/>
        </w:rPr>
        <w:t>philosophes</w:t>
      </w:r>
      <w:r w:rsidRPr="00F905CA">
        <w:rPr>
          <w:iCs/>
        </w:rPr>
        <w:t>; p. 100 l. 23 </w:t>
      </w:r>
      <w:r w:rsidRPr="00F905CA">
        <w:rPr>
          <w:i/>
        </w:rPr>
        <w:t>aucune</w:t>
      </w:r>
      <w:r w:rsidRPr="00F905CA">
        <w:rPr>
          <w:iCs/>
        </w:rPr>
        <w:t>[</w:t>
      </w:r>
      <w:r w:rsidRPr="00F905CA">
        <w:rPr>
          <w:i/>
        </w:rPr>
        <w:t>s</w:t>
      </w:r>
      <w:r w:rsidRPr="00F905CA">
        <w:rPr>
          <w:iCs/>
        </w:rPr>
        <w:t xml:space="preserve">] </w:t>
      </w:r>
      <w:r w:rsidRPr="00F905CA">
        <w:rPr>
          <w:i/>
        </w:rPr>
        <w:t>couvertures</w:t>
      </w:r>
      <w:r w:rsidRPr="00F905CA">
        <w:rPr>
          <w:iCs/>
        </w:rPr>
        <w:t>; p. 322 l. 4 </w:t>
      </w:r>
      <w:r w:rsidRPr="00F905CA">
        <w:rPr>
          <w:i/>
        </w:rPr>
        <w:t>toute</w:t>
      </w:r>
      <w:r w:rsidRPr="00F905CA">
        <w:rPr>
          <w:iCs/>
        </w:rPr>
        <w:t>[</w:t>
      </w:r>
      <w:r w:rsidRPr="00F905CA">
        <w:rPr>
          <w:i/>
        </w:rPr>
        <w:t>s</w:t>
      </w:r>
      <w:r w:rsidRPr="00F905CA">
        <w:rPr>
          <w:iCs/>
        </w:rPr>
        <w:t xml:space="preserve">] </w:t>
      </w:r>
      <w:r w:rsidRPr="00F905CA">
        <w:rPr>
          <w:i/>
        </w:rPr>
        <w:t>superfluitéz</w:t>
      </w:r>
      <w:r w:rsidRPr="00F905CA">
        <w:rPr>
          <w:iCs/>
        </w:rPr>
        <w:t>; p. 393 ll. 11-12 </w:t>
      </w:r>
      <w:r w:rsidRPr="00F905CA">
        <w:rPr>
          <w:i/>
        </w:rPr>
        <w:t>diverses dignité</w:t>
      </w:r>
      <w:r w:rsidRPr="00F905CA">
        <w:rPr>
          <w:iCs/>
        </w:rPr>
        <w:t>[</w:t>
      </w:r>
      <w:r w:rsidRPr="00F905CA">
        <w:rPr>
          <w:i/>
        </w:rPr>
        <w:t>s</w:t>
      </w:r>
      <w:r w:rsidRPr="00F905CA">
        <w:rPr>
          <w:iCs/>
        </w:rPr>
        <w:t>]; p. 420 l. 2 </w:t>
      </w:r>
      <w:r w:rsidRPr="00F905CA">
        <w:rPr>
          <w:i/>
        </w:rPr>
        <w:t>les volenté</w:t>
      </w:r>
      <w:r w:rsidRPr="00F905CA">
        <w:rPr>
          <w:iCs/>
        </w:rPr>
        <w:t>[</w:t>
      </w:r>
      <w:r w:rsidRPr="00F905CA">
        <w:rPr>
          <w:i/>
        </w:rPr>
        <w:t>s</w:t>
      </w:r>
      <w:r w:rsidRPr="00F905CA">
        <w:rPr>
          <w:iCs/>
        </w:rPr>
        <w:t>]; p. 456 l. 17</w:t>
      </w:r>
      <w:r w:rsidRPr="00F905CA">
        <w:rPr>
          <w:i/>
        </w:rPr>
        <w:t xml:space="preserve"> au</w:t>
      </w:r>
      <w:r w:rsidRPr="00F905CA">
        <w:rPr>
          <w:iCs/>
        </w:rPr>
        <w:t>[</w:t>
      </w:r>
      <w:r w:rsidRPr="00F905CA">
        <w:rPr>
          <w:i/>
        </w:rPr>
        <w:t>s</w:t>
      </w:r>
      <w:r w:rsidRPr="00F905CA">
        <w:rPr>
          <w:iCs/>
        </w:rPr>
        <w:t xml:space="preserve">] </w:t>
      </w:r>
      <w:r w:rsidRPr="00F905CA">
        <w:rPr>
          <w:i/>
        </w:rPr>
        <w:t>diex</w:t>
      </w:r>
      <w:r w:rsidRPr="00F905CA">
        <w:rPr>
          <w:iCs/>
        </w:rPr>
        <w:t xml:space="preserve">; etc. La fréquence relative des graphies </w:t>
      </w:r>
      <w:r w:rsidRPr="00F905CA">
        <w:rPr>
          <w:i/>
        </w:rPr>
        <w:t xml:space="preserve">le </w:t>
      </w:r>
      <w:r w:rsidRPr="00F905CA">
        <w:rPr>
          <w:iCs/>
        </w:rPr>
        <w:t xml:space="preserve">pour </w:t>
      </w:r>
      <w:r w:rsidRPr="00F905CA">
        <w:rPr>
          <w:i/>
        </w:rPr>
        <w:t xml:space="preserve">les </w:t>
      </w:r>
      <w:r w:rsidRPr="00F905CA">
        <w:rPr>
          <w:iCs/>
        </w:rPr>
        <w:t xml:space="preserve">et </w:t>
      </w:r>
      <w:r w:rsidRPr="00F905CA">
        <w:rPr>
          <w:i/>
        </w:rPr>
        <w:t xml:space="preserve">de </w:t>
      </w:r>
      <w:r w:rsidRPr="00F905CA">
        <w:rPr>
          <w:iCs/>
        </w:rPr>
        <w:t xml:space="preserve">pour </w:t>
      </w:r>
      <w:r w:rsidRPr="00F905CA">
        <w:rPr>
          <w:i/>
        </w:rPr>
        <w:t xml:space="preserve">des </w:t>
      </w:r>
      <w:r w:rsidRPr="00F905CA">
        <w:rPr>
          <w:iCs/>
        </w:rPr>
        <w:t xml:space="preserve">aurait peut-être mérité une note dans la première strate d’apparat à l’attention du lecteur (comme c’est le cas, par ex., pour les échanges </w:t>
      </w:r>
      <w:r w:rsidRPr="00F905CA">
        <w:rPr>
          <w:i/>
        </w:rPr>
        <w:t xml:space="preserve">s- </w:t>
      </w:r>
      <w:r w:rsidRPr="00F905CA">
        <w:rPr>
          <w:iCs/>
        </w:rPr>
        <w:t xml:space="preserve">et </w:t>
      </w:r>
      <w:r w:rsidRPr="00F905CA">
        <w:rPr>
          <w:i/>
        </w:rPr>
        <w:t>c-</w:t>
      </w:r>
      <w:r w:rsidRPr="00F905CA">
        <w:rPr>
          <w:iCs/>
        </w:rPr>
        <w:t xml:space="preserve">, signalés pour lever les ambiguïtés), ce qui aurait permis d’éviter une correction systématique de ces formes (avec la possibilité d’éditer </w:t>
      </w:r>
      <w:r w:rsidRPr="00F905CA">
        <w:rPr>
          <w:i/>
        </w:rPr>
        <w:t xml:space="preserve">lé </w:t>
      </w:r>
      <w:r w:rsidRPr="00F905CA">
        <w:rPr>
          <w:iCs/>
        </w:rPr>
        <w:t xml:space="preserve">et </w:t>
      </w:r>
      <w:r w:rsidRPr="00F905CA">
        <w:rPr>
          <w:i/>
        </w:rPr>
        <w:t xml:space="preserve">dé </w:t>
      </w:r>
      <w:r w:rsidRPr="00F905CA">
        <w:rPr>
          <w:iCs/>
        </w:rPr>
        <w:t xml:space="preserve">pour signaler la chute de la consonne finale?); pour les pp. 37-460, nous relevons: </w:t>
      </w:r>
      <w:r w:rsidRPr="00F905CA">
        <w:rPr>
          <w:i/>
        </w:rPr>
        <w:t>le</w:t>
      </w:r>
      <w:r w:rsidRPr="00F905CA">
        <w:rPr>
          <w:iCs/>
        </w:rPr>
        <w:t>[</w:t>
      </w:r>
      <w:r w:rsidRPr="00F905CA">
        <w:rPr>
          <w:i/>
        </w:rPr>
        <w:t>s</w:t>
      </w:r>
      <w:r w:rsidRPr="00F905CA">
        <w:rPr>
          <w:iCs/>
        </w:rPr>
        <w:t xml:space="preserve">] p. 61 l. 24, p. 82 l. 25, p. 222 l. 25, p. 301 l. 10, p. 403 l. 18; </w:t>
      </w:r>
      <w:r w:rsidRPr="00F905CA">
        <w:rPr>
          <w:i/>
        </w:rPr>
        <w:t>de</w:t>
      </w:r>
      <w:r w:rsidRPr="00F905CA">
        <w:rPr>
          <w:iCs/>
        </w:rPr>
        <w:t>[</w:t>
      </w:r>
      <w:r w:rsidRPr="00F905CA">
        <w:rPr>
          <w:i/>
        </w:rPr>
        <w:t>s</w:t>
      </w:r>
      <w:r w:rsidRPr="00F905CA">
        <w:rPr>
          <w:iCs/>
        </w:rPr>
        <w:t xml:space="preserve">] p. 63 l. 25, p. 83 l. 24, p. 97 l. 13, p. 142 l. 7, p. 262 l. 11, p. 396 l. 25, p. 405 l. 29, p. 434 l. 10. Le ms. de base offre, en outre, de nombreux exemples de graphies inverses (par hypercorrection?) tout au long du texte; pour les pp. 37-460: p. 38 l. 20, p. 138 l. 21, p. 162 l. 6, p. 174 l. 9, p. 182 l. 13, p. 189 l. 23, p. 260 l. 23, p. 277 l. 7, p. 279 l. 16, p. 314 l. 4, p. 373 l. 29, p. 394 l. 25, p. 400 l. 9, p. 403 l. 16, p. 437 l. 26. La leçon </w:t>
      </w:r>
      <w:r w:rsidRPr="00F905CA">
        <w:rPr>
          <w:i/>
        </w:rPr>
        <w:t>cuide tu</w:t>
      </w:r>
      <w:r w:rsidRPr="00F905CA">
        <w:rPr>
          <w:iCs/>
        </w:rPr>
        <w:t xml:space="preserve"> p. 43 l. 25, corrigée en </w:t>
      </w:r>
      <w:r w:rsidRPr="00F905CA">
        <w:rPr>
          <w:i/>
        </w:rPr>
        <w:t>cuide</w:t>
      </w:r>
      <w:r w:rsidRPr="00F905CA">
        <w:rPr>
          <w:iCs/>
        </w:rPr>
        <w:t>[</w:t>
      </w:r>
      <w:r w:rsidRPr="00F905CA">
        <w:rPr>
          <w:i/>
        </w:rPr>
        <w:t>s</w:t>
      </w:r>
      <w:r w:rsidRPr="00F905CA">
        <w:rPr>
          <w:iCs/>
        </w:rPr>
        <w:t xml:space="preserve">] </w:t>
      </w:r>
      <w:r w:rsidRPr="00F905CA">
        <w:rPr>
          <w:i/>
        </w:rPr>
        <w:t>tu</w:t>
      </w:r>
      <w:r w:rsidRPr="00F905CA">
        <w:rPr>
          <w:iCs/>
        </w:rPr>
        <w:t xml:space="preserve">, ne crée pas d’ambiguïté et aurait pu être conservée. Aux pp. 87 l. 12 et p. 176 l. 16, la leçon </w:t>
      </w:r>
      <w:r w:rsidRPr="00F905CA">
        <w:rPr>
          <w:i/>
        </w:rPr>
        <w:t xml:space="preserve">aucunes fois </w:t>
      </w:r>
      <w:r w:rsidRPr="00F905CA">
        <w:rPr>
          <w:iCs/>
        </w:rPr>
        <w:t xml:space="preserve">pour l’adverbe </w:t>
      </w:r>
      <w:r w:rsidRPr="00F905CA">
        <w:rPr>
          <w:i/>
        </w:rPr>
        <w:t xml:space="preserve">aucune fois </w:t>
      </w:r>
      <w:r w:rsidRPr="00F905CA">
        <w:rPr>
          <w:iCs/>
        </w:rPr>
        <w:t>‘quelquefois’ ne nécessitait pas de correction (cf. FEW,</w:t>
      </w:r>
      <w:r w:rsidRPr="00F905CA">
        <w:rPr>
          <w:i/>
        </w:rPr>
        <w:t xml:space="preserve"> </w:t>
      </w:r>
      <w:r w:rsidRPr="00F905CA">
        <w:rPr>
          <w:iCs/>
        </w:rPr>
        <w:t>xxiv 323a, s.v.</w:t>
      </w:r>
      <w:r w:rsidRPr="00F905CA">
        <w:rPr>
          <w:i/>
        </w:rPr>
        <w:t xml:space="preserve"> aliquis</w:t>
      </w:r>
      <w:r w:rsidRPr="00F905CA">
        <w:rPr>
          <w:iCs/>
        </w:rPr>
        <w:t xml:space="preserve">; </w:t>
      </w:r>
      <w:r w:rsidRPr="00F905CA">
        <w:rPr>
          <w:i/>
        </w:rPr>
        <w:t>DMF</w:t>
      </w:r>
      <w:r w:rsidRPr="00F905CA">
        <w:rPr>
          <w:iCs/>
        </w:rPr>
        <w:t>, s.v.</w:t>
      </w:r>
      <w:r w:rsidRPr="00F905CA">
        <w:rPr>
          <w:i/>
        </w:rPr>
        <w:t xml:space="preserve"> aucunefois</w:t>
      </w:r>
      <w:r w:rsidRPr="00F905CA">
        <w:rPr>
          <w:iCs/>
        </w:rPr>
        <w:t xml:space="preserve">). Dans l’attente de l’étude linguistique, il est malaisé d’évaluer le choix des éditeurs d’effectuer certaines corrections. Il en est ainsi des restitutions systématiques des consonnes finales (par ex. </w:t>
      </w:r>
      <w:r w:rsidRPr="00F905CA">
        <w:rPr>
          <w:i/>
        </w:rPr>
        <w:t>assé</w:t>
      </w:r>
      <w:r w:rsidRPr="00F905CA">
        <w:rPr>
          <w:iCs/>
        </w:rPr>
        <w:t>[</w:t>
      </w:r>
      <w:r w:rsidRPr="00F905CA">
        <w:rPr>
          <w:i/>
        </w:rPr>
        <w:t>s</w:t>
      </w:r>
      <w:r w:rsidRPr="00F905CA">
        <w:rPr>
          <w:iCs/>
        </w:rPr>
        <w:t>]</w:t>
      </w:r>
      <w:r w:rsidRPr="00F905CA">
        <w:rPr>
          <w:i/>
        </w:rPr>
        <w:t xml:space="preserve"> </w:t>
      </w:r>
      <w:r w:rsidRPr="00F905CA">
        <w:rPr>
          <w:iCs/>
        </w:rPr>
        <w:t xml:space="preserve">p. 194 l. 19 ou </w:t>
      </w:r>
      <w:r w:rsidRPr="00F905CA">
        <w:rPr>
          <w:i/>
        </w:rPr>
        <w:t>auque</w:t>
      </w:r>
      <w:r w:rsidRPr="00F905CA">
        <w:rPr>
          <w:iCs/>
        </w:rPr>
        <w:t>[</w:t>
      </w:r>
      <w:r w:rsidRPr="00F905CA">
        <w:rPr>
          <w:i/>
        </w:rPr>
        <w:t>l</w:t>
      </w:r>
      <w:r w:rsidRPr="00F905CA">
        <w:rPr>
          <w:iCs/>
        </w:rPr>
        <w:t>] p. 223 l. 3); les chutes de consonnes ne sont en effet pas rares dans le texte, surtout de -</w:t>
      </w:r>
      <w:r w:rsidRPr="00F905CA">
        <w:rPr>
          <w:i/>
        </w:rPr>
        <w:t>t </w:t>
      </w:r>
      <w:r w:rsidRPr="00F905CA">
        <w:rPr>
          <w:iCs/>
        </w:rPr>
        <w:t>(p. 43 l. 23, p. 57 l. 8, p. 116 l. 28, p. 290 l. 13, p. 449 l. 1, etc.), mais aussi de -</w:t>
      </w:r>
      <w:r w:rsidRPr="00F905CA">
        <w:rPr>
          <w:i/>
        </w:rPr>
        <w:t xml:space="preserve">s </w:t>
      </w:r>
      <w:r w:rsidRPr="00F905CA">
        <w:rPr>
          <w:iCs/>
        </w:rPr>
        <w:t>(p. 194 l. 19, p. 217 l. 11, p. 226 l. 15, p. 234 l. 9, p. 251 l. 3), de -</w:t>
      </w:r>
      <w:r w:rsidRPr="00F905CA">
        <w:rPr>
          <w:i/>
        </w:rPr>
        <w:t xml:space="preserve">l </w:t>
      </w:r>
      <w:r w:rsidRPr="00F905CA">
        <w:rPr>
          <w:iCs/>
        </w:rPr>
        <w:t>ou</w:t>
      </w:r>
      <w:r w:rsidRPr="00F905CA">
        <w:rPr>
          <w:i/>
        </w:rPr>
        <w:t xml:space="preserve"> </w:t>
      </w:r>
      <w:r w:rsidRPr="00F905CA">
        <w:rPr>
          <w:iCs/>
        </w:rPr>
        <w:t xml:space="preserve">de </w:t>
      </w:r>
      <w:r w:rsidRPr="00F905CA">
        <w:rPr>
          <w:i/>
        </w:rPr>
        <w:t>-r</w:t>
      </w:r>
      <w:r w:rsidRPr="00F905CA">
        <w:rPr>
          <w:iCs/>
        </w:rPr>
        <w:t xml:space="preserve">. Il serait souhaitable que l’étude linguistique, à paraître dans le vol. iv, dresse une liste de tous ces cas et évalue leur caractère systémique. Nous relevons, en outre, quelques cas où les formes de P3 et P6 sont employées l’une pour l’autre; pour les pp. 37-460: p. 169 l. 8; p. 209 l. 5, mais la proximité de </w:t>
      </w:r>
      <w:r w:rsidRPr="00F905CA">
        <w:rPr>
          <w:i/>
        </w:rPr>
        <w:t xml:space="preserve">dient </w:t>
      </w:r>
      <w:r w:rsidRPr="00F905CA">
        <w:rPr>
          <w:iCs/>
        </w:rPr>
        <w:t xml:space="preserve">précédemment est peut-être en cause; p. 235 l. 8; p. 254 l. 11; p. 433 l. 4, </w:t>
      </w:r>
      <w:r w:rsidRPr="00F905CA">
        <w:rPr>
          <w:i/>
        </w:rPr>
        <w:t xml:space="preserve">disoiet </w:t>
      </w:r>
      <w:r w:rsidRPr="00F905CA">
        <w:rPr>
          <w:iCs/>
        </w:rPr>
        <w:t xml:space="preserve">pour </w:t>
      </w:r>
      <w:r w:rsidRPr="00F905CA">
        <w:rPr>
          <w:i/>
        </w:rPr>
        <w:t>disoient</w:t>
      </w:r>
      <w:r w:rsidRPr="00F905CA">
        <w:rPr>
          <w:iCs/>
        </w:rPr>
        <w:t xml:space="preserve"> (oubli du tilde?; mais voir Buridant, </w:t>
      </w:r>
      <w:r w:rsidRPr="00F905CA">
        <w:rPr>
          <w:i/>
        </w:rPr>
        <w:t>Grammaire du français médiéval</w:t>
      </w:r>
      <w:r w:rsidRPr="00F905CA">
        <w:rPr>
          <w:iCs/>
        </w:rPr>
        <w:t xml:space="preserve">, Strasbourg, ELiPhi, 2019, § 225 n. 3). Nous ne remettons pas en question le choix des éditeurs d’intervenir pour rétablir la désinence attendue (ces formes, sporadiques, ont en effet été corrigées), mais il serait bon de renseigner </w:t>
      </w:r>
      <w:r>
        <w:rPr>
          <w:iCs/>
        </w:rPr>
        <w:t xml:space="preserve">le phénomène </w:t>
      </w:r>
      <w:r w:rsidRPr="00F905CA">
        <w:rPr>
          <w:iCs/>
        </w:rPr>
        <w:t>dans l’étude de langue.</w:t>
      </w:r>
    </w:p>
    <w:p w14:paraId="03FFD835" w14:textId="503D0AA7" w:rsidR="00F905CA" w:rsidRPr="00F905CA" w:rsidRDefault="00F905CA" w:rsidP="00F905CA">
      <w:r w:rsidRPr="00F905CA">
        <w:t>Le texte est suivi de ses index, qui fournissent de précieux et abondants repères: des noms de personnages historiques ou mythiques (pp. 713-30), des œuvres citées (pp. 731-35), des toponymes et noms de peuples (pp. 736-39).</w:t>
      </w:r>
    </w:p>
    <w:p w14:paraId="09160B46" w14:textId="77777777" w:rsidR="00F905CA" w:rsidRPr="00F905CA" w:rsidRDefault="00F905CA" w:rsidP="00F905CA">
      <w:r w:rsidRPr="00F905CA">
        <w:t xml:space="preserve">Il faut se réjouir que ce projet de grande ampleur ait déjà porté à la publication de près de la moitié de la traduction française effectuée par Raoul de Presles du monument qu’est </w:t>
      </w:r>
      <w:r w:rsidRPr="00F905CA">
        <w:rPr>
          <w:i/>
          <w:iCs/>
        </w:rPr>
        <w:t>La Cité de Dieu</w:t>
      </w:r>
      <w:r w:rsidRPr="00F905CA">
        <w:t>; cette traduction est, en effet, d’une importance considérable pour appréhender la réception du texte dans la deuxième moitié du XIV</w:t>
      </w:r>
      <w:r w:rsidRPr="00F905CA">
        <w:rPr>
          <w:vertAlign w:val="superscript"/>
        </w:rPr>
        <w:t>e</w:t>
      </w:r>
      <w:r w:rsidRPr="00F905CA">
        <w:t xml:space="preserve"> siècle. L’on ne peut qu’espérer que les vol. iii et iv, qui prévoient notamment la publication d’un glossaire et une étude de la langue de Raoul de Presles dans les dix premiers livres, continueront bientôt à révéler toute la richesse et l’intérêt de cette traduction.  </w:t>
      </w:r>
    </w:p>
    <w:p w14:paraId="4C3FFC8F" w14:textId="77777777" w:rsidR="00554664" w:rsidRDefault="00554664"/>
    <w:sectPr w:rsidR="00554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CA"/>
    <w:rsid w:val="001A73DE"/>
    <w:rsid w:val="001A7468"/>
    <w:rsid w:val="002860F0"/>
    <w:rsid w:val="003116FD"/>
    <w:rsid w:val="004D3CB4"/>
    <w:rsid w:val="00554664"/>
    <w:rsid w:val="005C6E39"/>
    <w:rsid w:val="0064290D"/>
    <w:rsid w:val="00A57333"/>
    <w:rsid w:val="00B2636B"/>
    <w:rsid w:val="00C5003D"/>
    <w:rsid w:val="00D72567"/>
    <w:rsid w:val="00DE39F4"/>
    <w:rsid w:val="00ED2188"/>
    <w:rsid w:val="00F730A9"/>
    <w:rsid w:val="00F905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233B"/>
  <w15:chartTrackingRefBased/>
  <w15:docId w15:val="{C740C4B2-B5BD-4298-BF13-6EC2B245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FD"/>
    <w:rPr>
      <w:rFonts w:ascii="Times New Roman" w:hAnsi="Times New Roman"/>
      <w:kern w:val="0"/>
      <w:sz w:val="24"/>
      <w14:ligatures w14:val="none"/>
    </w:rPr>
  </w:style>
  <w:style w:type="paragraph" w:styleId="Titre1">
    <w:name w:val="heading 1"/>
    <w:basedOn w:val="Normal"/>
    <w:next w:val="Normal"/>
    <w:link w:val="Titre1Car"/>
    <w:uiPriority w:val="9"/>
    <w:qFormat/>
    <w:rsid w:val="00F9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05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05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905C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905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905C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905C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905C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vcitationnel">
    <w:name w:val="Pavé citationnel"/>
    <w:basedOn w:val="Normal"/>
    <w:link w:val="PavcitationnelCar"/>
    <w:qFormat/>
    <w:rsid w:val="00ED2188"/>
    <w:pPr>
      <w:ind w:left="708" w:firstLine="360"/>
      <w:jc w:val="both"/>
    </w:pPr>
    <w:rPr>
      <w:sz w:val="18"/>
    </w:rPr>
  </w:style>
  <w:style w:type="character" w:customStyle="1" w:styleId="PavcitationnelCar">
    <w:name w:val="Pavé citationnel Car"/>
    <w:basedOn w:val="Policepardfaut"/>
    <w:link w:val="Pavcitationnel"/>
    <w:rsid w:val="00ED2188"/>
    <w:rPr>
      <w:sz w:val="18"/>
    </w:rPr>
  </w:style>
  <w:style w:type="paragraph" w:styleId="Citation">
    <w:name w:val="Quote"/>
    <w:basedOn w:val="Normal"/>
    <w:next w:val="Normal"/>
    <w:link w:val="CitationCar"/>
    <w:autoRedefine/>
    <w:uiPriority w:val="29"/>
    <w:qFormat/>
    <w:rsid w:val="003116FD"/>
    <w:pPr>
      <w:jc w:val="both"/>
    </w:pPr>
    <w:rPr>
      <w:rFonts w:cs="Times New Roman"/>
      <w:kern w:val="2"/>
      <w:sz w:val="20"/>
      <w:szCs w:val="24"/>
      <w14:ligatures w14:val="standardContextual"/>
    </w:rPr>
  </w:style>
  <w:style w:type="character" w:customStyle="1" w:styleId="CitationCar">
    <w:name w:val="Citation Car"/>
    <w:basedOn w:val="Policepardfaut"/>
    <w:link w:val="Citation"/>
    <w:uiPriority w:val="29"/>
    <w:rsid w:val="003116FD"/>
    <w:rPr>
      <w:rFonts w:ascii="Times New Roman" w:hAnsi="Times New Roman" w:cs="Times New Roman"/>
      <w:sz w:val="20"/>
      <w:szCs w:val="24"/>
    </w:rPr>
  </w:style>
  <w:style w:type="character" w:customStyle="1" w:styleId="Titre1Car">
    <w:name w:val="Titre 1 Car"/>
    <w:basedOn w:val="Policepardfaut"/>
    <w:link w:val="Titre1"/>
    <w:uiPriority w:val="9"/>
    <w:rsid w:val="00F905CA"/>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F905CA"/>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F905CA"/>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F905CA"/>
    <w:rPr>
      <w:rFonts w:eastAsiaTheme="majorEastAsia" w:cstheme="majorBidi"/>
      <w:i/>
      <w:iCs/>
      <w:color w:val="0F4761" w:themeColor="accent1" w:themeShade="BF"/>
      <w:kern w:val="0"/>
      <w:sz w:val="24"/>
      <w14:ligatures w14:val="none"/>
    </w:rPr>
  </w:style>
  <w:style w:type="character" w:customStyle="1" w:styleId="Titre5Car">
    <w:name w:val="Titre 5 Car"/>
    <w:basedOn w:val="Policepardfaut"/>
    <w:link w:val="Titre5"/>
    <w:uiPriority w:val="9"/>
    <w:semiHidden/>
    <w:rsid w:val="00F905CA"/>
    <w:rPr>
      <w:rFonts w:eastAsiaTheme="majorEastAsia" w:cstheme="majorBidi"/>
      <w:color w:val="0F4761" w:themeColor="accent1" w:themeShade="BF"/>
      <w:kern w:val="0"/>
      <w:sz w:val="24"/>
      <w14:ligatures w14:val="none"/>
    </w:rPr>
  </w:style>
  <w:style w:type="character" w:customStyle="1" w:styleId="Titre6Car">
    <w:name w:val="Titre 6 Car"/>
    <w:basedOn w:val="Policepardfaut"/>
    <w:link w:val="Titre6"/>
    <w:uiPriority w:val="9"/>
    <w:semiHidden/>
    <w:rsid w:val="00F905CA"/>
    <w:rPr>
      <w:rFonts w:eastAsiaTheme="majorEastAsia" w:cstheme="majorBidi"/>
      <w:i/>
      <w:iCs/>
      <w:color w:val="595959" w:themeColor="text1" w:themeTint="A6"/>
      <w:kern w:val="0"/>
      <w:sz w:val="24"/>
      <w14:ligatures w14:val="none"/>
    </w:rPr>
  </w:style>
  <w:style w:type="character" w:customStyle="1" w:styleId="Titre7Car">
    <w:name w:val="Titre 7 Car"/>
    <w:basedOn w:val="Policepardfaut"/>
    <w:link w:val="Titre7"/>
    <w:uiPriority w:val="9"/>
    <w:semiHidden/>
    <w:rsid w:val="00F905CA"/>
    <w:rPr>
      <w:rFonts w:eastAsiaTheme="majorEastAsia" w:cstheme="majorBidi"/>
      <w:color w:val="595959" w:themeColor="text1" w:themeTint="A6"/>
      <w:kern w:val="0"/>
      <w:sz w:val="24"/>
      <w14:ligatures w14:val="none"/>
    </w:rPr>
  </w:style>
  <w:style w:type="character" w:customStyle="1" w:styleId="Titre8Car">
    <w:name w:val="Titre 8 Car"/>
    <w:basedOn w:val="Policepardfaut"/>
    <w:link w:val="Titre8"/>
    <w:uiPriority w:val="9"/>
    <w:semiHidden/>
    <w:rsid w:val="00F905CA"/>
    <w:rPr>
      <w:rFonts w:eastAsiaTheme="majorEastAsia" w:cstheme="majorBidi"/>
      <w:i/>
      <w:iCs/>
      <w:color w:val="272727" w:themeColor="text1" w:themeTint="D8"/>
      <w:kern w:val="0"/>
      <w:sz w:val="24"/>
      <w14:ligatures w14:val="none"/>
    </w:rPr>
  </w:style>
  <w:style w:type="character" w:customStyle="1" w:styleId="Titre9Car">
    <w:name w:val="Titre 9 Car"/>
    <w:basedOn w:val="Policepardfaut"/>
    <w:link w:val="Titre9"/>
    <w:uiPriority w:val="9"/>
    <w:semiHidden/>
    <w:rsid w:val="00F905CA"/>
    <w:rPr>
      <w:rFonts w:eastAsiaTheme="majorEastAsia" w:cstheme="majorBidi"/>
      <w:color w:val="272727" w:themeColor="text1" w:themeTint="D8"/>
      <w:kern w:val="0"/>
      <w:sz w:val="24"/>
      <w14:ligatures w14:val="none"/>
    </w:rPr>
  </w:style>
  <w:style w:type="paragraph" w:styleId="Titre">
    <w:name w:val="Title"/>
    <w:basedOn w:val="Normal"/>
    <w:next w:val="Normal"/>
    <w:link w:val="TitreCar"/>
    <w:uiPriority w:val="10"/>
    <w:qFormat/>
    <w:rsid w:val="00F9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05CA"/>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F905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05CA"/>
    <w:rPr>
      <w:rFonts w:eastAsiaTheme="majorEastAsia" w:cstheme="majorBidi"/>
      <w:color w:val="595959" w:themeColor="text1" w:themeTint="A6"/>
      <w:spacing w:val="15"/>
      <w:kern w:val="0"/>
      <w:sz w:val="28"/>
      <w:szCs w:val="28"/>
      <w14:ligatures w14:val="none"/>
    </w:rPr>
  </w:style>
  <w:style w:type="paragraph" w:styleId="Paragraphedeliste">
    <w:name w:val="List Paragraph"/>
    <w:basedOn w:val="Normal"/>
    <w:uiPriority w:val="34"/>
    <w:qFormat/>
    <w:rsid w:val="00F905CA"/>
    <w:pPr>
      <w:ind w:left="720"/>
      <w:contextualSpacing/>
    </w:pPr>
  </w:style>
  <w:style w:type="character" w:styleId="Accentuationintense">
    <w:name w:val="Intense Emphasis"/>
    <w:basedOn w:val="Policepardfaut"/>
    <w:uiPriority w:val="21"/>
    <w:qFormat/>
    <w:rsid w:val="00F905CA"/>
    <w:rPr>
      <w:i/>
      <w:iCs/>
      <w:color w:val="0F4761" w:themeColor="accent1" w:themeShade="BF"/>
    </w:rPr>
  </w:style>
  <w:style w:type="paragraph" w:styleId="Citationintense">
    <w:name w:val="Intense Quote"/>
    <w:basedOn w:val="Normal"/>
    <w:next w:val="Normal"/>
    <w:link w:val="CitationintenseCar"/>
    <w:uiPriority w:val="30"/>
    <w:qFormat/>
    <w:rsid w:val="00F9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05CA"/>
    <w:rPr>
      <w:rFonts w:ascii="Times New Roman" w:hAnsi="Times New Roman"/>
      <w:i/>
      <w:iCs/>
      <w:color w:val="0F4761" w:themeColor="accent1" w:themeShade="BF"/>
      <w:kern w:val="0"/>
      <w:sz w:val="24"/>
      <w14:ligatures w14:val="none"/>
    </w:rPr>
  </w:style>
  <w:style w:type="character" w:styleId="Rfrenceintense">
    <w:name w:val="Intense Reference"/>
    <w:basedOn w:val="Policepardfaut"/>
    <w:uiPriority w:val="32"/>
    <w:qFormat/>
    <w:rsid w:val="00F905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9718</Characters>
  <Application>Microsoft Office Word</Application>
  <DocSecurity>0</DocSecurity>
  <Lines>80</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Réviseur</dc:creator>
  <cp:keywords/>
  <dc:description/>
  <cp:lastModifiedBy>Réviseur</cp:lastModifiedBy>
  <cp:revision>1</cp:revision>
  <dcterms:created xsi:type="dcterms:W3CDTF">2025-11-19T10:24:00Z</dcterms:created>
  <dcterms:modified xsi:type="dcterms:W3CDTF">2025-11-19T10:29:00Z</dcterms:modified>
</cp:coreProperties>
</file>