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160B9" w14:textId="77777777" w:rsidR="00002F7B" w:rsidRPr="00002F7B" w:rsidRDefault="00002F7B" w:rsidP="00002F7B">
      <w:pPr>
        <w:jc w:val="both"/>
      </w:pPr>
    </w:p>
    <w:p w14:paraId="5488566C" w14:textId="77777777" w:rsidR="00002F7B" w:rsidRPr="00002F7B" w:rsidRDefault="00002F7B" w:rsidP="00002F7B">
      <w:pPr>
        <w:jc w:val="both"/>
      </w:pPr>
      <w:r w:rsidRPr="00002F7B">
        <w:rPr>
          <w:b/>
          <w:bCs/>
        </w:rPr>
        <w:t>Arthur en Europe à la fin du Moyen Âge. Approches comparées (1270–1530)</w:t>
      </w:r>
      <w:r w:rsidRPr="00002F7B">
        <w:t>, éd. Christine Ferlampin-Acher, Paris, Classiques Garnier, 2020 ; 1 vol., 293 p. (</w:t>
      </w:r>
      <w:r w:rsidRPr="00002F7B">
        <w:rPr>
          <w:i/>
          <w:iCs/>
        </w:rPr>
        <w:t>Rencontres</w:t>
      </w:r>
      <w:r w:rsidRPr="00002F7B">
        <w:t xml:space="preserve">, 442 ; </w:t>
      </w:r>
      <w:r w:rsidRPr="00002F7B">
        <w:rPr>
          <w:i/>
          <w:iCs/>
        </w:rPr>
        <w:t>Civilisation médiévale</w:t>
      </w:r>
      <w:r w:rsidRPr="00002F7B">
        <w:t>, 37). ISBN : 978-2-406-09869-0. Prix : € 23,00.</w:t>
      </w:r>
    </w:p>
    <w:p w14:paraId="069A4FEF" w14:textId="77777777" w:rsidR="00002F7B" w:rsidRPr="00002F7B" w:rsidRDefault="00002F7B" w:rsidP="00002F7B">
      <w:pPr>
        <w:jc w:val="both"/>
      </w:pPr>
      <w:r w:rsidRPr="00002F7B">
        <w:t>Cette publication s’inscrit dans le sillage du projet LATE (« Littérature arthurienne tardive en Europe » / « Late Arthurian Tradition in Europe »), dirigé par C.F.A. et qui avait pour objectif de dresser le bilan de la production arthurienne en Europe entre 1270 et 1530. Tandis que le vaste vol. issu du projet abordait la matière arthurienne tardive en Europe par aire géolinguistique</w:t>
      </w:r>
      <w:r>
        <w:rPr>
          <w:rStyle w:val="Appelnotedebasdep"/>
        </w:rPr>
        <w:footnoteReference w:id="1"/>
      </w:r>
      <w:r w:rsidRPr="00002F7B">
        <w:t xml:space="preserve">, le présent ouvrage met en oeuvre, de manière à la fois complémentaire et plus ciblée, des approches comparées variées. Il regroupe les actes du colloque de clôture de LATE qui s’est </w:t>
      </w:r>
    </w:p>
    <w:p w14:paraId="68F936EC" w14:textId="77777777" w:rsidR="00002F7B" w:rsidRPr="00002F7B" w:rsidRDefault="00002F7B" w:rsidP="00002F7B">
      <w:pPr>
        <w:jc w:val="both"/>
      </w:pPr>
      <w:r w:rsidRPr="00002F7B">
        <w:t>tenu à Rennes 2 en février 2018, auxquels se sont ajoutés quelques textes nouveaux.</w:t>
      </w:r>
    </w:p>
    <w:p w14:paraId="181CE5CA" w14:textId="77777777" w:rsidR="00002F7B" w:rsidRPr="00002F7B" w:rsidRDefault="00002F7B" w:rsidP="00002F7B">
      <w:pPr>
        <w:jc w:val="both"/>
      </w:pPr>
      <w:r w:rsidRPr="00002F7B">
        <w:t>Après une introduction de C.F.A. situant le projet LATE dans le pano</w:t>
      </w:r>
      <w:r w:rsidRPr="00002F7B">
        <w:softHyphen/>
        <w:t>rama des études arthuriennes relevant du comparatisme dans le monde (</w:t>
      </w:r>
      <w:r w:rsidRPr="00002F7B">
        <w:rPr>
          <w:i/>
          <w:iCs/>
        </w:rPr>
        <w:t>Introduction. Arthur est sans pair, et la matière arthurienne peu comparatiste en France</w:t>
      </w:r>
      <w:r w:rsidRPr="00002F7B">
        <w:t>), c’est tout naturellement par le personnage d’Arthur que s’ouvre la première section, consacrée aux personnages et aux oeuvres : à partir d’un corpus de romans en vers tardifs des aires francophone et germanophone, G. Toniutti et B. Wahlen étudient la manière dont évo</w:t>
      </w:r>
      <w:r w:rsidRPr="00002F7B">
        <w:softHyphen/>
        <w:t xml:space="preserve">lue la figure du roi en envisageant successivement son rôle de garant de l’aventure, celui de combattant et la manière dont lui et sa cour sont progressivement marginalisés </w:t>
      </w:r>
      <w:r w:rsidRPr="00002F7B">
        <w:rPr>
          <w:i/>
          <w:iCs/>
        </w:rPr>
        <w:t>(La figure d’Arthur dans quelques romans en vers tardifs allemands et français</w:t>
      </w:r>
      <w:r w:rsidRPr="00002F7B">
        <w:t>). C. Lloyd-Morgan se penche ensuite sur un dialogue en vers gallois entre Melwas et Gwenhwyfar, conservé par deux fragments des xvie et xviie siècles. En convoquant d’autres textes témoins relatifs à l’enlèvement de Guenièvre par Méléagant, l’A. cherche à interpréter certains éléments du dialogue, notamment le rôle de la reine et son assurance dans sa prise de parole (</w:t>
      </w:r>
      <w:r w:rsidRPr="00002F7B">
        <w:rPr>
          <w:i/>
          <w:iCs/>
        </w:rPr>
        <w:t>L’enlèvement de Guenièvre dans les littératures galloise et française</w:t>
      </w:r>
      <w:r w:rsidRPr="00002F7B">
        <w:t>). Tandis qu’E. Arioli retrace la fortune européenne du personnage de Ségurant entre la fin du xiiie et la fin du xvie siècle dans divers textes français, italiens, espagnols et anglais (</w:t>
      </w:r>
      <w:r w:rsidRPr="00002F7B">
        <w:rPr>
          <w:i/>
          <w:iCs/>
        </w:rPr>
        <w:t>Un héros aux mille visages. Ségurant le Brun, Sicurano lo Bruno, Segurades el Brun, Severause le Brewse</w:t>
      </w:r>
      <w:r w:rsidRPr="00002F7B">
        <w:t>), A. Berthelot envisage la curieuse recrudescence du personnage de Merlin de part et d’autre de la Manche entre la fin du xiiie siècle et les années 1440 (</w:t>
      </w:r>
      <w:r w:rsidRPr="00002F7B">
        <w:rPr>
          <w:i/>
          <w:iCs/>
        </w:rPr>
        <w:t>Le retour de Merlin en français (</w:t>
      </w:r>
      <w:r w:rsidRPr="00002F7B">
        <w:t xml:space="preserve">Roman des fils du roi Constant </w:t>
      </w:r>
      <w:r w:rsidRPr="00002F7B">
        <w:rPr>
          <w:i/>
          <w:iCs/>
        </w:rPr>
        <w:t xml:space="preserve">et </w:t>
      </w:r>
      <w:r w:rsidRPr="00002F7B">
        <w:t>Prophesies de Merlin</w:t>
      </w:r>
      <w:r w:rsidRPr="00002F7B">
        <w:rPr>
          <w:i/>
          <w:iCs/>
        </w:rPr>
        <w:t>) et en anglais (</w:t>
      </w:r>
      <w:r w:rsidRPr="00002F7B">
        <w:t xml:space="preserve">Of Arthour and of Merlin, Prose Merlin et Merlin </w:t>
      </w:r>
      <w:r w:rsidRPr="00002F7B">
        <w:rPr>
          <w:i/>
          <w:iCs/>
        </w:rPr>
        <w:t>d’Harry Lovelich)</w:t>
      </w:r>
      <w:r w:rsidRPr="00002F7B">
        <w:t>). A.R. Magnúsdóttir et H. Tétrel (</w:t>
      </w:r>
      <w:r w:rsidRPr="00002F7B">
        <w:rPr>
          <w:i/>
          <w:iCs/>
        </w:rPr>
        <w:t xml:space="preserve">La </w:t>
      </w:r>
      <w:r w:rsidRPr="00002F7B">
        <w:t xml:space="preserve">Saga de Samson le Beau </w:t>
      </w:r>
      <w:r w:rsidRPr="00002F7B">
        <w:rPr>
          <w:i/>
          <w:iCs/>
        </w:rPr>
        <w:t xml:space="preserve">et les réécritures islandaises du </w:t>
      </w:r>
      <w:r w:rsidRPr="00002F7B">
        <w:t>Mantel mal taillé</w:t>
      </w:r>
      <w:r w:rsidRPr="00002F7B">
        <w:rPr>
          <w:i/>
          <w:iCs/>
        </w:rPr>
        <w:t>. Une brève présentation du corpus</w:t>
      </w:r>
      <w:r w:rsidRPr="00002F7B">
        <w:t>) examinent ensuite le processus de réécriture du conte du manteau mal taillé dans la littérature islandaise et mettent en évidence que « [l]a transmission et l’exploitation du conte du manteau est emblématique du développement de la littérature de chevalerie en Scandinavie médiévale » (p. 124). La</w:t>
      </w:r>
      <w:r>
        <w:t xml:space="preserve"> </w:t>
      </w:r>
      <w:r w:rsidRPr="00002F7B">
        <w:t>première section se clôture avec la contribution de C.F.A. (La diffusion de Perceforest et Artus de Bretagne en Europe (France, Italie, Espagne, Angleterre, Islande). Une enquête au long cours ?), qui mène une étude de la réception de deux romans « néo-arthuriens », Perceforest et Artus de Bretagne, et montre la diversité de diffusion de ces textes dans d’autres langues que le français.</w:t>
      </w:r>
    </w:p>
    <w:p w14:paraId="2A6972AD" w14:textId="77777777" w:rsidR="00002F7B" w:rsidRPr="00002F7B" w:rsidRDefault="00002F7B" w:rsidP="00002F7B">
      <w:pPr>
        <w:jc w:val="both"/>
      </w:pPr>
      <w:r w:rsidRPr="00002F7B">
        <w:lastRenderedPageBreak/>
        <w:t>Le lien s’établit ainsi avec la deuxième section, qui s’intéresse précisément à la question de la réception, en particulier aux implications des transferts idéologiques et poétiques. Deux oeuvres tchèques sont</w:t>
      </w:r>
      <w:r>
        <w:t xml:space="preserve"> </w:t>
      </w:r>
    </w:p>
    <w:p w14:paraId="2A611A6F" w14:textId="77777777" w:rsidR="00002F7B" w:rsidRPr="00002F7B" w:rsidRDefault="00002F7B" w:rsidP="00002F7B">
      <w:pPr>
        <w:jc w:val="both"/>
      </w:pPr>
      <w:r w:rsidRPr="00002F7B">
        <w:t xml:space="preserve">d’abord envisagées : </w:t>
      </w:r>
      <w:r w:rsidRPr="00002F7B">
        <w:rPr>
          <w:i/>
          <w:iCs/>
        </w:rPr>
        <w:t>Tandariáš</w:t>
      </w:r>
      <w:r w:rsidRPr="00002F7B">
        <w:t xml:space="preserve">, adaptation du xive siècle de </w:t>
      </w:r>
      <w:r w:rsidRPr="00002F7B">
        <w:rPr>
          <w:i/>
          <w:iCs/>
        </w:rPr>
        <w:t xml:space="preserve">Tandareis </w:t>
      </w:r>
      <w:r w:rsidRPr="00002F7B">
        <w:t xml:space="preserve">du Pleier, et en particulier les trois mss qui le conservent (M. Šorm, </w:t>
      </w:r>
      <w:r w:rsidRPr="00002F7B">
        <w:rPr>
          <w:i/>
          <w:iCs/>
        </w:rPr>
        <w:t xml:space="preserve">The Fragile Masculinity of Adolescents. </w:t>
      </w:r>
      <w:r w:rsidRPr="00002F7B">
        <w:rPr>
          <w:lang w:val="en-US"/>
        </w:rPr>
        <w:t xml:space="preserve">Tandariáš </w:t>
      </w:r>
      <w:r w:rsidRPr="00002F7B">
        <w:rPr>
          <w:i/>
          <w:iCs/>
          <w:lang w:val="en-US"/>
        </w:rPr>
        <w:t>in the Manuscripts</w:t>
      </w:r>
      <w:r w:rsidRPr="00002F7B">
        <w:rPr>
          <w:lang w:val="en-US"/>
        </w:rPr>
        <w:t xml:space="preserve">) et le roman arthurien en ancien tchèque </w:t>
      </w:r>
      <w:r w:rsidRPr="00002F7B">
        <w:rPr>
          <w:i/>
          <w:iCs/>
          <w:lang w:val="en-US"/>
        </w:rPr>
        <w:t xml:space="preserve">Tristram </w:t>
      </w:r>
      <w:r w:rsidRPr="00002F7B">
        <w:rPr>
          <w:lang w:val="en-US"/>
        </w:rPr>
        <w:t xml:space="preserve">(M. Jaluška, </w:t>
      </w:r>
      <w:r w:rsidRPr="00002F7B">
        <w:rPr>
          <w:i/>
          <w:iCs/>
          <w:lang w:val="en-US"/>
        </w:rPr>
        <w:t xml:space="preserve">You Can Tell a Lord by His Servitors. </w:t>
      </w:r>
      <w:r w:rsidRPr="00002F7B">
        <w:rPr>
          <w:i/>
          <w:iCs/>
        </w:rPr>
        <w:t xml:space="preserve">An Attempt at Reading the Old Czech </w:t>
      </w:r>
      <w:r w:rsidRPr="00002F7B">
        <w:t>Tristram). F. Coste (</w:t>
      </w:r>
      <w:r w:rsidRPr="00002F7B">
        <w:rPr>
          <w:i/>
          <w:iCs/>
        </w:rPr>
        <w:t>La littéra</w:t>
      </w:r>
      <w:r w:rsidRPr="00002F7B">
        <w:rPr>
          <w:i/>
          <w:iCs/>
        </w:rPr>
        <w:softHyphen/>
        <w:t xml:space="preserve">ture arthurienne face à la question sociale de la </w:t>
      </w:r>
      <w:r w:rsidRPr="00002F7B">
        <w:t xml:space="preserve">militia </w:t>
      </w:r>
      <w:r w:rsidRPr="00002F7B">
        <w:rPr>
          <w:i/>
          <w:iCs/>
        </w:rPr>
        <w:t>(Pise, fin du xiiie siècle)</w:t>
      </w:r>
      <w:r w:rsidRPr="00002F7B">
        <w:t xml:space="preserve">) s’intéresse ensuite à la production géno-pisane et défend l’hypothèse que ses deux sous-groupes littéraires – romans arthuriens en prose et textes de type historiographique, moral et didactique – s’inscrivent dans un même projet culturel et « tentent de répondre aux questions d’une même classe sociale, à la fois chevaleresque et citadine, qu’on appelle la </w:t>
      </w:r>
      <w:r w:rsidRPr="00002F7B">
        <w:rPr>
          <w:i/>
          <w:iCs/>
        </w:rPr>
        <w:t xml:space="preserve">militia </w:t>
      </w:r>
      <w:r w:rsidRPr="00002F7B">
        <w:t xml:space="preserve">» (p. 190). Dans son étude comparée de la version </w:t>
      </w:r>
      <w:r w:rsidRPr="00002F7B">
        <w:rPr>
          <w:i/>
          <w:iCs/>
        </w:rPr>
        <w:t xml:space="preserve">Post-Vulgate </w:t>
      </w:r>
      <w:r w:rsidRPr="00002F7B">
        <w:t xml:space="preserve">de la </w:t>
      </w:r>
      <w:r w:rsidRPr="00002F7B">
        <w:rPr>
          <w:i/>
          <w:iCs/>
        </w:rPr>
        <w:t xml:space="preserve">Queste du Saint Graal </w:t>
      </w:r>
      <w:r w:rsidRPr="00002F7B">
        <w:t xml:space="preserve">et de sa traduction en castillan au début du xvie siècle (la </w:t>
      </w:r>
      <w:r w:rsidRPr="00002F7B">
        <w:rPr>
          <w:i/>
          <w:iCs/>
        </w:rPr>
        <w:t>Demanda del sancto Grial</w:t>
      </w:r>
      <w:r w:rsidRPr="00002F7B">
        <w:t>), A. Palumu examine les transferts des structures narratives et idéologiques entre le début du xiiie siècle et le contexte historique et culturel de l’Espagne des Rois catholiques et de Charles Quint (</w:t>
      </w:r>
      <w:r w:rsidRPr="00002F7B">
        <w:rPr>
          <w:i/>
          <w:iCs/>
        </w:rPr>
        <w:t xml:space="preserve">L’idéologie de l’Histoire de la </w:t>
      </w:r>
      <w:r w:rsidRPr="00002F7B">
        <w:t xml:space="preserve">Queste del Saint Graal </w:t>
      </w:r>
      <w:r w:rsidRPr="00002F7B">
        <w:rPr>
          <w:i/>
          <w:iCs/>
        </w:rPr>
        <w:t xml:space="preserve">et sa réception dans la </w:t>
      </w:r>
      <w:r w:rsidRPr="00002F7B">
        <w:t>Demanda del Sancto Grial), après quoi R.H. Chinchilla montre l’importance de la tradition arthurienne, et en particulier de la courtoisie, pour les monarchies ibériques à la fin du xve siècle (</w:t>
      </w:r>
      <w:r w:rsidRPr="00002F7B">
        <w:rPr>
          <w:i/>
          <w:iCs/>
        </w:rPr>
        <w:t>Novels of Chivalry and Courtly Feasts in Castile, England, Portugal and the Low Countries (1370–1506)</w:t>
      </w:r>
      <w:r w:rsidRPr="00002F7B">
        <w:t>). La deuxième section se clôture par la contribution de M. Szkilnik (</w:t>
      </w:r>
      <w:r w:rsidRPr="00002F7B">
        <w:rPr>
          <w:i/>
          <w:iCs/>
        </w:rPr>
        <w:t>Arthur parle en vers anglais mais en prose française</w:t>
      </w:r>
      <w:r w:rsidRPr="00002F7B">
        <w:t xml:space="preserve">), qui met en question le « sentiment d’une avancée inexorable de la forme prose » (p. 234) à la fin du Moyen Âge et, en envisageant la littérature arthurienne à la fois sous l’angle de la forme (vers/prose) et de la langue (anglais/français), propose des pistes permettant de mieux appréhender les choix des écrivains. </w:t>
      </w:r>
    </w:p>
    <w:p w14:paraId="3DCC6C8D" w14:textId="77777777" w:rsidR="00002F7B" w:rsidRPr="00002F7B" w:rsidRDefault="00002F7B" w:rsidP="00002F7B">
      <w:pPr>
        <w:jc w:val="both"/>
      </w:pPr>
      <w:r w:rsidRPr="00002F7B">
        <w:t>Dans les conclusions de ce bel ouvrage, C.F.A. rappelle non seulement tout l’intérêt et la pluridisciplinarité des approches comparées qui auront permis au lecteur de voyager à travers le temps (de la fin du xiiie au début du xvie siècle, et parfois même jusqu’à nos jours), l’espace (France,</w:t>
      </w:r>
      <w:r>
        <w:t xml:space="preserve"> </w:t>
      </w:r>
    </w:p>
    <w:p w14:paraId="666D2D3E" w14:textId="77777777" w:rsidR="00002F7B" w:rsidRPr="00002F7B" w:rsidRDefault="00002F7B" w:rsidP="00002F7B">
      <w:pPr>
        <w:jc w:val="both"/>
      </w:pPr>
      <w:r w:rsidRPr="00002F7B">
        <w:t>Allemagne, Angleterre, Italie, péninsule Ibérique, Islande, Scandinavie, Pays-Bas actuels, Bohême) et les langues (d’oïl, germaniques, ibériques, italiennes, latine, tchèque, galloise), mais aussi la légitimité d’une approche européenne du mythe arthurien à la fin du Moyen Âge et la vigueur qui est encore la sienne aujourd’hui (</w:t>
      </w:r>
      <w:r w:rsidRPr="00002F7B">
        <w:rPr>
          <w:i/>
          <w:iCs/>
        </w:rPr>
        <w:t>Conclusions. La matière arthurienne à la fin du Moyen Âge, un mythe européen en devenir ?</w:t>
      </w:r>
      <w:r w:rsidRPr="00002F7B">
        <w:t>).</w:t>
      </w:r>
    </w:p>
    <w:p w14:paraId="0D685670" w14:textId="056DA36E" w:rsidR="00002F7B" w:rsidRPr="00002F7B" w:rsidRDefault="00002F7B" w:rsidP="00002F7B">
      <w:pPr>
        <w:jc w:val="both"/>
      </w:pPr>
      <w:r w:rsidRPr="00002F7B">
        <w:t>Sophie Lecomte</w:t>
      </w:r>
    </w:p>
    <w:sectPr w:rsidR="00002F7B" w:rsidRPr="00002F7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34199" w14:textId="77777777" w:rsidR="00002F7B" w:rsidRDefault="00002F7B" w:rsidP="00002F7B">
      <w:pPr>
        <w:spacing w:after="0" w:line="240" w:lineRule="auto"/>
      </w:pPr>
      <w:r>
        <w:separator/>
      </w:r>
    </w:p>
  </w:endnote>
  <w:endnote w:type="continuationSeparator" w:id="0">
    <w:p w14:paraId="5A43CE98" w14:textId="77777777" w:rsidR="00002F7B" w:rsidRDefault="00002F7B" w:rsidP="00002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8C02" w14:textId="77777777" w:rsidR="00002F7B" w:rsidRDefault="00002F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2D59" w14:textId="77777777" w:rsidR="00002F7B" w:rsidRDefault="00002F7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559C" w14:textId="77777777" w:rsidR="00002F7B" w:rsidRDefault="00002F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3A1D" w14:textId="77777777" w:rsidR="00002F7B" w:rsidRDefault="00002F7B" w:rsidP="00002F7B">
      <w:pPr>
        <w:spacing w:after="0" w:line="240" w:lineRule="auto"/>
      </w:pPr>
      <w:r>
        <w:separator/>
      </w:r>
    </w:p>
  </w:footnote>
  <w:footnote w:type="continuationSeparator" w:id="0">
    <w:p w14:paraId="5C26F184" w14:textId="77777777" w:rsidR="00002F7B" w:rsidRDefault="00002F7B" w:rsidP="00002F7B">
      <w:pPr>
        <w:spacing w:after="0" w:line="240" w:lineRule="auto"/>
      </w:pPr>
      <w:r>
        <w:continuationSeparator/>
      </w:r>
    </w:p>
  </w:footnote>
  <w:footnote w:id="1">
    <w:p w14:paraId="73BFA9CF" w14:textId="75BF159D" w:rsidR="00002F7B" w:rsidRDefault="00002F7B" w:rsidP="00002F7B">
      <w:r>
        <w:rPr>
          <w:rStyle w:val="Appelnotedebasdep"/>
        </w:rPr>
        <w:footnoteRef/>
      </w:r>
      <w:r>
        <w:t xml:space="preserve"> </w:t>
      </w:r>
      <w:r w:rsidRPr="00002F7B">
        <w:t xml:space="preserve">Voir le c.r. précédent dans cette même livraison du </w:t>
      </w:r>
      <w:r w:rsidRPr="00002F7B">
        <w:rPr>
          <w:i/>
          <w:iCs/>
        </w:rPr>
        <w:t>Moyen Âge</w:t>
      </w:r>
      <w:r w:rsidRPr="00002F7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1DA1" w14:textId="77777777" w:rsidR="00002F7B" w:rsidRDefault="00002F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553A" w14:textId="2B4B3C99" w:rsidR="00002F7B" w:rsidRDefault="00002F7B">
    <w:pPr>
      <w:pStyle w:val="En-tte"/>
    </w:pPr>
    <w:r>
      <w:t>Postprint Auteur</w:t>
    </w:r>
  </w:p>
  <w:p w14:paraId="126C3A46" w14:textId="77777777" w:rsidR="00002F7B" w:rsidRDefault="00002F7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911D" w14:textId="77777777" w:rsidR="00002F7B" w:rsidRDefault="00002F7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F7B"/>
    <w:rsid w:val="00002F7B"/>
    <w:rsid w:val="001A7468"/>
    <w:rsid w:val="002860F0"/>
    <w:rsid w:val="003116FD"/>
    <w:rsid w:val="004D3CB4"/>
    <w:rsid w:val="00550896"/>
    <w:rsid w:val="00554664"/>
    <w:rsid w:val="005C6E39"/>
    <w:rsid w:val="0064290D"/>
    <w:rsid w:val="00A57333"/>
    <w:rsid w:val="00B2636B"/>
    <w:rsid w:val="00C5003D"/>
    <w:rsid w:val="00D72567"/>
    <w:rsid w:val="00DE39F4"/>
    <w:rsid w:val="00ED2188"/>
    <w:rsid w:val="00F730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1FE3AC7A"/>
  <w15:chartTrackingRefBased/>
  <w15:docId w15:val="{B3EBC59B-D83A-46B5-92F9-97402A18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6FD"/>
    <w:rPr>
      <w:rFonts w:ascii="Times New Roman" w:hAnsi="Times New Roman"/>
      <w:kern w:val="0"/>
      <w:sz w:val="24"/>
      <w14:ligatures w14:val="none"/>
    </w:rPr>
  </w:style>
  <w:style w:type="paragraph" w:styleId="Titre1">
    <w:name w:val="heading 1"/>
    <w:basedOn w:val="Normal"/>
    <w:next w:val="Normal"/>
    <w:link w:val="Titre1Car"/>
    <w:uiPriority w:val="9"/>
    <w:qFormat/>
    <w:rsid w:val="00002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02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02F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02F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002F7B"/>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002F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02F7B"/>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02F7B"/>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02F7B"/>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vcitationnel">
    <w:name w:val="Pavé citationnel"/>
    <w:basedOn w:val="Normal"/>
    <w:link w:val="PavcitationnelCar"/>
    <w:qFormat/>
    <w:rsid w:val="00ED2188"/>
    <w:pPr>
      <w:ind w:left="708" w:firstLine="360"/>
      <w:jc w:val="both"/>
    </w:pPr>
    <w:rPr>
      <w:sz w:val="18"/>
    </w:rPr>
  </w:style>
  <w:style w:type="character" w:customStyle="1" w:styleId="PavcitationnelCar">
    <w:name w:val="Pavé citationnel Car"/>
    <w:basedOn w:val="Policepardfaut"/>
    <w:link w:val="Pavcitationnel"/>
    <w:rsid w:val="00ED2188"/>
    <w:rPr>
      <w:sz w:val="18"/>
    </w:rPr>
  </w:style>
  <w:style w:type="paragraph" w:styleId="Citation">
    <w:name w:val="Quote"/>
    <w:basedOn w:val="Normal"/>
    <w:next w:val="Normal"/>
    <w:link w:val="CitationCar"/>
    <w:autoRedefine/>
    <w:uiPriority w:val="29"/>
    <w:qFormat/>
    <w:rsid w:val="003116FD"/>
    <w:pPr>
      <w:jc w:val="both"/>
    </w:pPr>
    <w:rPr>
      <w:rFonts w:cs="Times New Roman"/>
      <w:kern w:val="2"/>
      <w:sz w:val="20"/>
      <w:szCs w:val="24"/>
      <w14:ligatures w14:val="standardContextual"/>
    </w:rPr>
  </w:style>
  <w:style w:type="character" w:customStyle="1" w:styleId="CitationCar">
    <w:name w:val="Citation Car"/>
    <w:basedOn w:val="Policepardfaut"/>
    <w:link w:val="Citation"/>
    <w:uiPriority w:val="29"/>
    <w:rsid w:val="003116FD"/>
    <w:rPr>
      <w:rFonts w:ascii="Times New Roman" w:hAnsi="Times New Roman" w:cs="Times New Roman"/>
      <w:sz w:val="20"/>
      <w:szCs w:val="24"/>
    </w:rPr>
  </w:style>
  <w:style w:type="character" w:customStyle="1" w:styleId="Titre1Car">
    <w:name w:val="Titre 1 Car"/>
    <w:basedOn w:val="Policepardfaut"/>
    <w:link w:val="Titre1"/>
    <w:uiPriority w:val="9"/>
    <w:rsid w:val="00002F7B"/>
    <w:rPr>
      <w:rFonts w:asciiTheme="majorHAnsi" w:eastAsiaTheme="majorEastAsia" w:hAnsiTheme="majorHAnsi" w:cstheme="majorBidi"/>
      <w:color w:val="0F4761" w:themeColor="accent1" w:themeShade="BF"/>
      <w:kern w:val="0"/>
      <w:sz w:val="40"/>
      <w:szCs w:val="40"/>
      <w14:ligatures w14:val="none"/>
    </w:rPr>
  </w:style>
  <w:style w:type="character" w:customStyle="1" w:styleId="Titre2Car">
    <w:name w:val="Titre 2 Car"/>
    <w:basedOn w:val="Policepardfaut"/>
    <w:link w:val="Titre2"/>
    <w:uiPriority w:val="9"/>
    <w:semiHidden/>
    <w:rsid w:val="00002F7B"/>
    <w:rPr>
      <w:rFonts w:asciiTheme="majorHAnsi" w:eastAsiaTheme="majorEastAsia" w:hAnsiTheme="majorHAnsi" w:cstheme="majorBidi"/>
      <w:color w:val="0F4761" w:themeColor="accent1" w:themeShade="BF"/>
      <w:kern w:val="0"/>
      <w:sz w:val="32"/>
      <w:szCs w:val="32"/>
      <w14:ligatures w14:val="none"/>
    </w:rPr>
  </w:style>
  <w:style w:type="character" w:customStyle="1" w:styleId="Titre3Car">
    <w:name w:val="Titre 3 Car"/>
    <w:basedOn w:val="Policepardfaut"/>
    <w:link w:val="Titre3"/>
    <w:uiPriority w:val="9"/>
    <w:semiHidden/>
    <w:rsid w:val="00002F7B"/>
    <w:rPr>
      <w:rFonts w:eastAsiaTheme="majorEastAsia" w:cstheme="majorBidi"/>
      <w:color w:val="0F4761" w:themeColor="accent1" w:themeShade="BF"/>
      <w:kern w:val="0"/>
      <w:sz w:val="28"/>
      <w:szCs w:val="28"/>
      <w14:ligatures w14:val="none"/>
    </w:rPr>
  </w:style>
  <w:style w:type="character" w:customStyle="1" w:styleId="Titre4Car">
    <w:name w:val="Titre 4 Car"/>
    <w:basedOn w:val="Policepardfaut"/>
    <w:link w:val="Titre4"/>
    <w:uiPriority w:val="9"/>
    <w:semiHidden/>
    <w:rsid w:val="00002F7B"/>
    <w:rPr>
      <w:rFonts w:eastAsiaTheme="majorEastAsia" w:cstheme="majorBidi"/>
      <w:i/>
      <w:iCs/>
      <w:color w:val="0F4761" w:themeColor="accent1" w:themeShade="BF"/>
      <w:kern w:val="0"/>
      <w:sz w:val="24"/>
      <w14:ligatures w14:val="none"/>
    </w:rPr>
  </w:style>
  <w:style w:type="character" w:customStyle="1" w:styleId="Titre5Car">
    <w:name w:val="Titre 5 Car"/>
    <w:basedOn w:val="Policepardfaut"/>
    <w:link w:val="Titre5"/>
    <w:uiPriority w:val="9"/>
    <w:semiHidden/>
    <w:rsid w:val="00002F7B"/>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002F7B"/>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002F7B"/>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002F7B"/>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002F7B"/>
    <w:rPr>
      <w:rFonts w:eastAsiaTheme="majorEastAsia" w:cstheme="majorBidi"/>
      <w:color w:val="272727" w:themeColor="text1" w:themeTint="D8"/>
      <w:kern w:val="0"/>
      <w:sz w:val="24"/>
      <w14:ligatures w14:val="none"/>
    </w:rPr>
  </w:style>
  <w:style w:type="paragraph" w:styleId="Titre">
    <w:name w:val="Title"/>
    <w:basedOn w:val="Normal"/>
    <w:next w:val="Normal"/>
    <w:link w:val="TitreCar"/>
    <w:uiPriority w:val="10"/>
    <w:qFormat/>
    <w:rsid w:val="00002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2F7B"/>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002F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02F7B"/>
    <w:rPr>
      <w:rFonts w:eastAsiaTheme="majorEastAsia" w:cstheme="majorBidi"/>
      <w:color w:val="595959" w:themeColor="text1" w:themeTint="A6"/>
      <w:spacing w:val="15"/>
      <w:kern w:val="0"/>
      <w:sz w:val="28"/>
      <w:szCs w:val="28"/>
      <w14:ligatures w14:val="none"/>
    </w:rPr>
  </w:style>
  <w:style w:type="paragraph" w:styleId="Paragraphedeliste">
    <w:name w:val="List Paragraph"/>
    <w:basedOn w:val="Normal"/>
    <w:uiPriority w:val="34"/>
    <w:qFormat/>
    <w:rsid w:val="00002F7B"/>
    <w:pPr>
      <w:ind w:left="720"/>
      <w:contextualSpacing/>
    </w:pPr>
  </w:style>
  <w:style w:type="character" w:styleId="Accentuationintense">
    <w:name w:val="Intense Emphasis"/>
    <w:basedOn w:val="Policepardfaut"/>
    <w:uiPriority w:val="21"/>
    <w:qFormat/>
    <w:rsid w:val="00002F7B"/>
    <w:rPr>
      <w:i/>
      <w:iCs/>
      <w:color w:val="0F4761" w:themeColor="accent1" w:themeShade="BF"/>
    </w:rPr>
  </w:style>
  <w:style w:type="paragraph" w:styleId="Citationintense">
    <w:name w:val="Intense Quote"/>
    <w:basedOn w:val="Normal"/>
    <w:next w:val="Normal"/>
    <w:link w:val="CitationintenseCar"/>
    <w:uiPriority w:val="30"/>
    <w:qFormat/>
    <w:rsid w:val="00002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02F7B"/>
    <w:rPr>
      <w:rFonts w:ascii="Times New Roman" w:hAnsi="Times New Roman"/>
      <w:i/>
      <w:iCs/>
      <w:color w:val="0F4761" w:themeColor="accent1" w:themeShade="BF"/>
      <w:kern w:val="0"/>
      <w:sz w:val="24"/>
      <w14:ligatures w14:val="none"/>
    </w:rPr>
  </w:style>
  <w:style w:type="character" w:styleId="Rfrenceintense">
    <w:name w:val="Intense Reference"/>
    <w:basedOn w:val="Policepardfaut"/>
    <w:uiPriority w:val="32"/>
    <w:qFormat/>
    <w:rsid w:val="00002F7B"/>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002F7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02F7B"/>
    <w:rPr>
      <w:rFonts w:ascii="Times New Roman" w:hAnsi="Times New Roman"/>
      <w:kern w:val="0"/>
      <w:sz w:val="20"/>
      <w:szCs w:val="20"/>
      <w14:ligatures w14:val="none"/>
    </w:rPr>
  </w:style>
  <w:style w:type="character" w:styleId="Appelnotedebasdep">
    <w:name w:val="footnote reference"/>
    <w:basedOn w:val="Policepardfaut"/>
    <w:uiPriority w:val="99"/>
    <w:semiHidden/>
    <w:unhideWhenUsed/>
    <w:rsid w:val="00002F7B"/>
    <w:rPr>
      <w:vertAlign w:val="superscript"/>
    </w:rPr>
  </w:style>
  <w:style w:type="paragraph" w:styleId="En-tte">
    <w:name w:val="header"/>
    <w:basedOn w:val="Normal"/>
    <w:link w:val="En-tteCar"/>
    <w:uiPriority w:val="99"/>
    <w:unhideWhenUsed/>
    <w:rsid w:val="00002F7B"/>
    <w:pPr>
      <w:tabs>
        <w:tab w:val="center" w:pos="4536"/>
        <w:tab w:val="right" w:pos="9072"/>
      </w:tabs>
      <w:spacing w:after="0" w:line="240" w:lineRule="auto"/>
    </w:pPr>
  </w:style>
  <w:style w:type="character" w:customStyle="1" w:styleId="En-tteCar">
    <w:name w:val="En-tête Car"/>
    <w:basedOn w:val="Policepardfaut"/>
    <w:link w:val="En-tte"/>
    <w:uiPriority w:val="99"/>
    <w:rsid w:val="00002F7B"/>
    <w:rPr>
      <w:rFonts w:ascii="Times New Roman" w:hAnsi="Times New Roman"/>
      <w:kern w:val="0"/>
      <w:sz w:val="24"/>
      <w14:ligatures w14:val="none"/>
    </w:rPr>
  </w:style>
  <w:style w:type="paragraph" w:styleId="Pieddepage">
    <w:name w:val="footer"/>
    <w:basedOn w:val="Normal"/>
    <w:link w:val="PieddepageCar"/>
    <w:uiPriority w:val="99"/>
    <w:unhideWhenUsed/>
    <w:rsid w:val="00002F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2F7B"/>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5510</Characters>
  <Application>Microsoft Office Word</Application>
  <DocSecurity>0</DocSecurity>
  <Lines>45</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Réviseur</dc:creator>
  <cp:keywords/>
  <dc:description/>
  <cp:lastModifiedBy>Réviseur</cp:lastModifiedBy>
  <cp:revision>1</cp:revision>
  <dcterms:created xsi:type="dcterms:W3CDTF">2025-11-19T09:10:00Z</dcterms:created>
  <dcterms:modified xsi:type="dcterms:W3CDTF">2025-11-19T09:11:00Z</dcterms:modified>
</cp:coreProperties>
</file>