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063D" w14:textId="4D4A6DB8" w:rsidR="00AD428E" w:rsidRPr="00AD428E" w:rsidRDefault="00AD428E" w:rsidP="00AD428E">
      <w:pPr>
        <w:jc w:val="both"/>
      </w:pPr>
      <w:r w:rsidRPr="00AD428E">
        <w:rPr>
          <w:b/>
          <w:bCs/>
          <w:lang w:val="it-IT"/>
        </w:rPr>
        <w:t>La prosa medievale. Produzione e circolazione</w:t>
      </w:r>
      <w:r w:rsidRPr="00AD428E">
        <w:rPr>
          <w:lang w:val="it-IT"/>
        </w:rPr>
        <w:t>, éd. Massimiliano Gaggero, Filippo Pilati, Rome–Bristol, « L’Erma » di Bretschneider, 2020 ; 1 vol., 243 p. (</w:t>
      </w:r>
      <w:r w:rsidRPr="00AD428E">
        <w:rPr>
          <w:i/>
          <w:iCs/>
          <w:lang w:val="it-IT"/>
        </w:rPr>
        <w:t>Filologia classica e medievale</w:t>
      </w:r>
      <w:r w:rsidRPr="00AD428E">
        <w:rPr>
          <w:lang w:val="it-IT"/>
        </w:rPr>
        <w:t xml:space="preserve">, 4). </w:t>
      </w:r>
      <w:r w:rsidRPr="00AD428E">
        <w:t>ISBN : 978-8-89132-026-1. Prix : € 35,00.</w:t>
      </w:r>
    </w:p>
    <w:p w14:paraId="74765C66" w14:textId="77777777" w:rsidR="00AD428E" w:rsidRPr="00AD428E" w:rsidRDefault="00AD428E" w:rsidP="00AD428E">
      <w:pPr>
        <w:jc w:val="both"/>
      </w:pPr>
      <w:r w:rsidRPr="00AD428E">
        <w:t xml:space="preserve">Dans le sillon de nombreuses études s’intéressant à l’apparition de la prose dans les littératures médiévales en langue vulgaire, cet ouvrage collectif se propose de contribuer à l’histoire de la prose médiévale dans les littératures romanes, en élargissant également le champ à la production latine et aux contacts linguistiques et culturels dans les États latins, dans une perspective historico-littéraire. Après la table des matières (p. V–VI) et la préface signée par M. Gaggero (p. VII–IX), l’ouvrage présente onze contributions, en italien (neuf) et en français (deux), qui se concentrent, pour les unes, sur des genres et des textes « il cui contributo all’affermazione della prosa è stato a lungo ignorato » (p. VIII), et, pour les autres, à des genres plus étudiés, comme la prose arthurienne ou le récit bref. </w:t>
      </w:r>
    </w:p>
    <w:p w14:paraId="5AE4F226" w14:textId="7BC3BA33" w:rsidR="00554664" w:rsidRDefault="00AD428E" w:rsidP="00AD428E">
      <w:pPr>
        <w:jc w:val="both"/>
      </w:pPr>
      <w:r w:rsidRPr="00AD428E">
        <w:rPr>
          <w:lang w:val="it-IT"/>
        </w:rPr>
        <w:t>P. Chiesa (</w:t>
      </w:r>
      <w:r w:rsidRPr="00AD428E">
        <w:rPr>
          <w:i/>
          <w:iCs/>
          <w:lang w:val="it-IT"/>
        </w:rPr>
        <w:t xml:space="preserve">Una letteratura diffusa. </w:t>
      </w:r>
      <w:r w:rsidRPr="00AD428E">
        <w:rPr>
          <w:i/>
          <w:iCs/>
        </w:rPr>
        <w:t>Sulla circolazione dell’</w:t>
      </w:r>
      <w:r w:rsidRPr="00AD428E">
        <w:t xml:space="preserve">Epistola </w:t>
      </w:r>
      <w:r w:rsidRPr="00AD428E">
        <w:rPr>
          <w:i/>
          <w:iCs/>
        </w:rPr>
        <w:t>latina del Prete Gianni</w:t>
      </w:r>
      <w:r w:rsidRPr="00AD428E">
        <w:t>, p. 1–13) s’intéresse à la circulation de l’</w:t>
      </w:r>
      <w:r w:rsidRPr="00AD428E">
        <w:rPr>
          <w:i/>
          <w:iCs/>
        </w:rPr>
        <w:t xml:space="preserve">Epistola presbyteri Iohannis </w:t>
      </w:r>
      <w:r w:rsidRPr="00AD428E">
        <w:t>(xiie siècle), un texte dont le caractère bref et, de ce fait, la nécessaire association dans des mss à d’autres textes ne laissaient pas présumer de son important succès et de sa large diffusion (sont parvenus jusqu’à nous des versions dans dix-sept langues). En se fondant sur la monographie de B. Wagner (2000) sur la tradition de l’</w:t>
      </w:r>
      <w:r w:rsidRPr="00AD428E">
        <w:rPr>
          <w:i/>
          <w:iCs/>
        </w:rPr>
        <w:t xml:space="preserve">Epistola </w:t>
      </w:r>
      <w:r w:rsidRPr="00AD428E">
        <w:t xml:space="preserve">latine, l’A. étudie les modalités de diffusion du texte (une intense opération de copie surtout dans la France du Nord et dans l’Allemagne du Sud-Est ; ensuite une diffusion plus large, en Angleterre, Allemagne centrale, Suisse et Bohême, sans que zone géographique et rédaction ne se recoupent ; une présence modeste, enfin, dans les zones périphériques comme le Centre et le Sud de la France, l’Italie, l’Irlande et la péninsule Ibérique) et met en évidence les similitudes avec la circulation de la </w:t>
      </w:r>
      <w:r w:rsidRPr="00AD428E">
        <w:rPr>
          <w:i/>
          <w:iCs/>
        </w:rPr>
        <w:t>Navigatio Brendani</w:t>
      </w:r>
      <w:r w:rsidRPr="00AD428E">
        <w:t>.</w:t>
      </w:r>
    </w:p>
    <w:p w14:paraId="7A646997" w14:textId="77777777" w:rsidR="00AD428E" w:rsidRPr="00AD428E" w:rsidRDefault="00AD428E" w:rsidP="00AD428E">
      <w:pPr>
        <w:jc w:val="both"/>
      </w:pPr>
    </w:p>
    <w:p w14:paraId="7933C11C" w14:textId="77777777" w:rsidR="00AD428E" w:rsidRPr="00AD428E" w:rsidRDefault="00AD428E" w:rsidP="00AD428E">
      <w:pPr>
        <w:jc w:val="both"/>
      </w:pPr>
    </w:p>
    <w:p w14:paraId="518447BB" w14:textId="77777777" w:rsidR="00AD428E" w:rsidRPr="00AD428E" w:rsidRDefault="00AD428E" w:rsidP="00AD428E">
      <w:pPr>
        <w:jc w:val="both"/>
      </w:pPr>
      <w:r w:rsidRPr="00AD428E">
        <w:t xml:space="preserve"> F. Duval (</w:t>
      </w:r>
      <w:r w:rsidRPr="00AD428E">
        <w:rPr>
          <w:i/>
          <w:iCs/>
        </w:rPr>
        <w:t>Naissance de la prose juridique savante en français : le droit romain</w:t>
      </w:r>
      <w:r w:rsidRPr="00AD428E">
        <w:t xml:space="preserve">, p. 15–44) examine les conditions de la naissance des proses juridiques savantes de droit romain, qui visent à rester fidèles à leur texte-source latin. L’étude comprend trois volets, consacrés respectivement à la datation et à la localisation, au contexte (immédiat et plus large) et à l’asymétrie de la prose et des vers. </w:t>
      </w:r>
    </w:p>
    <w:p w14:paraId="27E628A8" w14:textId="5AC0B4D0" w:rsidR="00AD428E" w:rsidRDefault="00AD428E" w:rsidP="00AD428E">
      <w:pPr>
        <w:jc w:val="both"/>
      </w:pPr>
      <w:r w:rsidRPr="00AD428E">
        <w:t>J. Métois (</w:t>
      </w:r>
      <w:r w:rsidRPr="00AD428E">
        <w:rPr>
          <w:i/>
          <w:iCs/>
        </w:rPr>
        <w:t>L’écriture et la transmission de l’histoire du début du xive siècle au milieu du xve siècle. Étude de deux recueils</w:t>
      </w:r>
      <w:r w:rsidRPr="00AD428E">
        <w:t xml:space="preserve">, p. 45–57) étudie les recueils Copenhague, Kongelige Bibliotek, Gl. Kgl. Saml. 487, 2 (fin du xiiie siècle) et Turin, Biblioteca nazionale universitaria, 1677 (milieu du xve siècle), qui contiennent des récits historiques en commun : </w:t>
      </w:r>
      <w:r w:rsidRPr="00AD428E">
        <w:rPr>
          <w:i/>
          <w:iCs/>
        </w:rPr>
        <w:t xml:space="preserve">Récits d’un ménestrel de Reims </w:t>
      </w:r>
      <w:r w:rsidRPr="00AD428E">
        <w:t xml:space="preserve">en prose, traduction du </w:t>
      </w:r>
      <w:r w:rsidRPr="00AD428E">
        <w:rPr>
          <w:i/>
          <w:iCs/>
        </w:rPr>
        <w:t xml:space="preserve">De excidio Troiae </w:t>
      </w:r>
      <w:r w:rsidRPr="00AD428E">
        <w:t xml:space="preserve">par Jean de Flixecourt en prose, </w:t>
      </w:r>
      <w:r w:rsidRPr="00AD428E">
        <w:rPr>
          <w:i/>
          <w:iCs/>
        </w:rPr>
        <w:t xml:space="preserve">Chronique de Turpin </w:t>
      </w:r>
      <w:r w:rsidRPr="00AD428E">
        <w:t xml:space="preserve">version « Johannes » en prose. Après avoir décrit et exposé la filiation des deux mss (le ms. de Turin est un </w:t>
      </w:r>
      <w:r w:rsidRPr="00AD428E">
        <w:rPr>
          <w:i/>
          <w:iCs/>
        </w:rPr>
        <w:t xml:space="preserve">descriptus </w:t>
      </w:r>
      <w:r w:rsidRPr="00AD428E">
        <w:t>de celui de Copenhague), l’A. s’intéresse aux visions de la transmission des savoirs que ces recueils véhiculent et à leurs cohérences intellectuelles propres.</w:t>
      </w:r>
    </w:p>
    <w:p w14:paraId="41D8A994" w14:textId="77777777" w:rsidR="00AD428E" w:rsidRPr="00AD428E" w:rsidRDefault="00AD428E" w:rsidP="00AD428E">
      <w:pPr>
        <w:jc w:val="both"/>
      </w:pPr>
    </w:p>
    <w:p w14:paraId="2FEE6364" w14:textId="77777777" w:rsidR="00AD428E" w:rsidRPr="00AD428E" w:rsidRDefault="00AD428E" w:rsidP="00AD428E">
      <w:pPr>
        <w:jc w:val="both"/>
      </w:pPr>
      <w:r w:rsidRPr="00AD428E">
        <w:t>La contribution d’I. Reginato (</w:t>
      </w:r>
      <w:r w:rsidRPr="00AD428E">
        <w:rPr>
          <w:i/>
          <w:iCs/>
        </w:rPr>
        <w:t>Marino Sanudo Torsello e la Conqueste de Constantinople di Geoffroy de Villehardouin</w:t>
      </w:r>
      <w:r w:rsidRPr="00AD428E">
        <w:t xml:space="preserve">, p. 59–73) montre la réception, « più di tipo ideologico che </w:t>
      </w:r>
      <w:r w:rsidRPr="00AD428E">
        <w:lastRenderedPageBreak/>
        <w:t xml:space="preserve">linguistico-testuale » (p. 60), qu’a reçue la </w:t>
      </w:r>
      <w:r w:rsidRPr="00AD428E">
        <w:rPr>
          <w:i/>
          <w:iCs/>
        </w:rPr>
        <w:t xml:space="preserve">Conqueste de Constantinople </w:t>
      </w:r>
      <w:r w:rsidRPr="00AD428E">
        <w:t xml:space="preserve">de Geoffroy de Villehardouin de la part de Marino Sanudo « Torsello » dans son </w:t>
      </w:r>
      <w:r w:rsidRPr="00AD428E">
        <w:rPr>
          <w:i/>
          <w:iCs/>
        </w:rPr>
        <w:t>Liber secretorum fidelium Crucis</w:t>
      </w:r>
      <w:r w:rsidRPr="00AD428E">
        <w:t xml:space="preserve">. </w:t>
      </w:r>
    </w:p>
    <w:p w14:paraId="6767CEE3" w14:textId="77777777" w:rsidR="00AD428E" w:rsidRPr="00AD428E" w:rsidRDefault="00AD428E" w:rsidP="00AD428E">
      <w:pPr>
        <w:jc w:val="both"/>
      </w:pPr>
      <w:r w:rsidRPr="00AD428E">
        <w:t xml:space="preserve">Dans </w:t>
      </w:r>
      <w:r w:rsidRPr="00AD428E">
        <w:rPr>
          <w:i/>
          <w:iCs/>
        </w:rPr>
        <w:t xml:space="preserve">Fare e disfare il ciclo : riflessioni intorno al ciclo del </w:t>
      </w:r>
      <w:r w:rsidRPr="00AD428E">
        <w:t xml:space="preserve">Lancelot-Graal (p. 75–85), A. Punzi alimente l’hypothèse que le dyptique </w:t>
      </w:r>
      <w:r w:rsidRPr="00AD428E">
        <w:rPr>
          <w:i/>
          <w:iCs/>
        </w:rPr>
        <w:t>Joseph</w:t>
      </w:r>
      <w:r w:rsidRPr="00AD428E">
        <w:t>–</w:t>
      </w:r>
      <w:r w:rsidRPr="00AD428E">
        <w:rPr>
          <w:i/>
          <w:iCs/>
        </w:rPr>
        <w:t>Merlin</w:t>
      </w:r>
      <w:r w:rsidRPr="00AD428E">
        <w:t xml:space="preserve">, qui mêle la préhistoire du Graal à l’histoire arthurienne, est la prémisse essentielle à la première partie du </w:t>
      </w:r>
      <w:r w:rsidRPr="00AD428E">
        <w:rPr>
          <w:i/>
          <w:iCs/>
        </w:rPr>
        <w:t xml:space="preserve">Lancelot </w:t>
      </w:r>
      <w:r w:rsidRPr="00AD428E">
        <w:t xml:space="preserve">en en cherchant les traces dans la traduction manuscrite. À la suite de l’examen de plusieurs passages démontrant le remploi des textes préexistants, l’A. conclut qu’un autre projet cyclique pourrait être à la base du </w:t>
      </w:r>
      <w:r w:rsidRPr="00AD428E">
        <w:rPr>
          <w:i/>
          <w:iCs/>
        </w:rPr>
        <w:t>Lancelot</w:t>
      </w:r>
      <w:r w:rsidRPr="00AD428E">
        <w:t xml:space="preserve">, qui, à une étape ancienne de la tradition, semble faire partie d’une histoire qui devait « principare dalla preistoria del Graal per poi proiettarsi verso colui ce era destinato ad esserne l’indiscusso protagoniste : Perceval » (p. 85). </w:t>
      </w:r>
    </w:p>
    <w:p w14:paraId="1478D952" w14:textId="77777777" w:rsidR="00AD428E" w:rsidRPr="00AD428E" w:rsidRDefault="00AD428E" w:rsidP="00AD428E">
      <w:pPr>
        <w:jc w:val="both"/>
        <w:rPr>
          <w:lang w:val="it-IT"/>
        </w:rPr>
      </w:pPr>
      <w:r w:rsidRPr="00AD428E">
        <w:t>C. Lagomarsini (</w:t>
      </w:r>
      <w:r w:rsidRPr="00AD428E">
        <w:rPr>
          <w:i/>
          <w:iCs/>
        </w:rPr>
        <w:t>Il mestiere del compilatore : la prosa arturiana di Rustichello da Pisa</w:t>
      </w:r>
      <w:r w:rsidRPr="00AD428E">
        <w:t>, p. 87–102) s’intéresse au métier de compilateur de Rusticien de Pise à tra</w:t>
      </w:r>
      <w:r w:rsidRPr="00AD428E">
        <w:softHyphen/>
        <w:t xml:space="preserve">vers les trois niveaux que comporte, pour l’auteur de la </w:t>
      </w:r>
      <w:r w:rsidRPr="00AD428E">
        <w:rPr>
          <w:i/>
          <w:iCs/>
        </w:rPr>
        <w:t>Compilation arthurienne</w:t>
      </w:r>
      <w:r w:rsidRPr="00AD428E">
        <w:t xml:space="preserve">, le travail de compilation : la </w:t>
      </w:r>
      <w:r w:rsidRPr="00AD428E">
        <w:rPr>
          <w:i/>
          <w:iCs/>
        </w:rPr>
        <w:t>selectio</w:t>
      </w:r>
      <w:r w:rsidRPr="00AD428E">
        <w:t xml:space="preserve">, la </w:t>
      </w:r>
      <w:r w:rsidRPr="00AD428E">
        <w:rPr>
          <w:i/>
          <w:iCs/>
        </w:rPr>
        <w:t xml:space="preserve">dispositio </w:t>
      </w:r>
      <w:r w:rsidRPr="00AD428E">
        <w:t xml:space="preserve">et la </w:t>
      </w:r>
      <w:r w:rsidRPr="00AD428E">
        <w:rPr>
          <w:i/>
          <w:iCs/>
        </w:rPr>
        <w:t>translatio</w:t>
      </w:r>
      <w:r w:rsidRPr="00AD428E">
        <w:t xml:space="preserve">. </w:t>
      </w:r>
      <w:r w:rsidRPr="00AD428E">
        <w:rPr>
          <w:lang w:val="it-IT"/>
        </w:rPr>
        <w:t xml:space="preserve">L’A. montre que le travail de Rusticien offre un exemple d’« </w:t>
      </w:r>
      <w:r w:rsidRPr="00AD428E">
        <w:rPr>
          <w:i/>
          <w:iCs/>
          <w:lang w:val="it-IT"/>
        </w:rPr>
        <w:t xml:space="preserve">écriture blanche </w:t>
      </w:r>
      <w:r w:rsidRPr="00AD428E">
        <w:rPr>
          <w:lang w:val="it-IT"/>
        </w:rPr>
        <w:t xml:space="preserve">nel panorama della prosa arturiana », s’écartant ainsi « da alcune delle tendenze evolutive della prosa narrativa duecentesca » (p. 102 et 101). </w:t>
      </w:r>
    </w:p>
    <w:p w14:paraId="7B35E61E" w14:textId="77777777" w:rsidR="00AD428E" w:rsidRPr="00AD428E" w:rsidRDefault="00AD428E" w:rsidP="00AD428E">
      <w:pPr>
        <w:jc w:val="both"/>
      </w:pPr>
      <w:r w:rsidRPr="00AD428E">
        <w:t>Dans son étude (</w:t>
      </w:r>
      <w:r w:rsidRPr="00AD428E">
        <w:rPr>
          <w:i/>
          <w:iCs/>
        </w:rPr>
        <w:t xml:space="preserve">Qualche osservazione sulla prima circolazione manoscritta delle più antiche </w:t>
      </w:r>
      <w:r w:rsidRPr="00AD428E">
        <w:t xml:space="preserve">mises en prose </w:t>
      </w:r>
      <w:r w:rsidRPr="00AD428E">
        <w:rPr>
          <w:i/>
          <w:iCs/>
        </w:rPr>
        <w:t>agiografiche francesi</w:t>
      </w:r>
      <w:r w:rsidRPr="00AD428E">
        <w:t>, p. 103–113), B. Ferrari s’intéresse à la première circulation manuscrite des mises en prose hagiographiques antérieures à 1275 (</w:t>
      </w:r>
      <w:r w:rsidRPr="00AD428E">
        <w:rPr>
          <w:i/>
          <w:iCs/>
        </w:rPr>
        <w:t>Marie l’Égyptienne</w:t>
      </w:r>
      <w:r w:rsidRPr="00AD428E">
        <w:t xml:space="preserve">, </w:t>
      </w:r>
      <w:r w:rsidRPr="00AD428E">
        <w:rPr>
          <w:i/>
          <w:iCs/>
        </w:rPr>
        <w:t>Julien l’Hospitalier</w:t>
      </w:r>
      <w:r w:rsidRPr="00AD428E">
        <w:t xml:space="preserve">, </w:t>
      </w:r>
      <w:r w:rsidRPr="00AD428E">
        <w:rPr>
          <w:i/>
          <w:iCs/>
        </w:rPr>
        <w:t>Barlaam et Josaphat</w:t>
      </w:r>
      <w:r w:rsidRPr="00AD428E">
        <w:t xml:space="preserve">, </w:t>
      </w:r>
      <w:r w:rsidRPr="00AD428E">
        <w:rPr>
          <w:i/>
          <w:iCs/>
        </w:rPr>
        <w:t xml:space="preserve">Jacques le Majeur </w:t>
      </w:r>
      <w:r w:rsidRPr="00AD428E">
        <w:t xml:space="preserve">et </w:t>
      </w:r>
      <w:r w:rsidRPr="00AD428E">
        <w:rPr>
          <w:i/>
          <w:iCs/>
        </w:rPr>
        <w:t>Jean-Baptiste</w:t>
      </w:r>
      <w:r w:rsidRPr="00AD428E">
        <w:t xml:space="preserve">), toutes transmises dans des recueils composites. L’A. met en relief l’évolution des proses hagiographiques entre cette première production et les dernières mises en prose. </w:t>
      </w:r>
    </w:p>
    <w:p w14:paraId="0C086B28" w14:textId="77777777" w:rsidR="00AD428E" w:rsidRPr="00AD428E" w:rsidRDefault="00AD428E" w:rsidP="00AD428E">
      <w:pPr>
        <w:jc w:val="both"/>
      </w:pPr>
    </w:p>
    <w:p w14:paraId="75DA3112" w14:textId="3A039E6B" w:rsidR="00AD428E" w:rsidRDefault="00AD428E" w:rsidP="00AD428E">
      <w:pPr>
        <w:jc w:val="both"/>
      </w:pPr>
      <w:r w:rsidRPr="00AD428E">
        <w:rPr>
          <w:lang w:val="it-IT"/>
        </w:rPr>
        <w:t>S. Cerullo et R. Tagliani signent une contribution à quatre mains (</w:t>
      </w:r>
      <w:r w:rsidRPr="00AD428E">
        <w:rPr>
          <w:i/>
          <w:iCs/>
          <w:lang w:val="it-IT"/>
        </w:rPr>
        <w:t xml:space="preserve">Tradizione e ricezione della prosa agiografica, con un caso di studio : il volgarizzamento fiorentino della </w:t>
      </w:r>
      <w:r w:rsidRPr="00AD428E">
        <w:rPr>
          <w:lang w:val="it-IT"/>
        </w:rPr>
        <w:t xml:space="preserve">Legenda Aurea, p. 115–136). </w:t>
      </w:r>
      <w:r w:rsidRPr="00AD428E">
        <w:t xml:space="preserve">Après avoir dressé un cadre général de la prose hagiographique italienne des origines, l’article se concentre sur les proses du xive siècle et en particulier sur la tradition du </w:t>
      </w:r>
      <w:r w:rsidRPr="00AD428E">
        <w:rPr>
          <w:i/>
          <w:iCs/>
        </w:rPr>
        <w:t xml:space="preserve">volgarizzamento </w:t>
      </w:r>
      <w:r w:rsidRPr="00AD428E">
        <w:t xml:space="preserve">italien de la </w:t>
      </w:r>
      <w:r w:rsidRPr="00AD428E">
        <w:rPr>
          <w:i/>
          <w:iCs/>
        </w:rPr>
        <w:t xml:space="preserve">Legenda aurea </w:t>
      </w:r>
      <w:r w:rsidRPr="00AD428E">
        <w:t>qui « documenta in modo rappresentativo gli itinerari della prosa agiogra</w:t>
      </w:r>
      <w:r w:rsidRPr="00AD428E">
        <w:softHyphen/>
        <w:t xml:space="preserve">fica trecentesca » (p. 119). La deuxième part. expose les résultats de la </w:t>
      </w:r>
      <w:r w:rsidRPr="00AD428E">
        <w:rPr>
          <w:i/>
          <w:iCs/>
        </w:rPr>
        <w:t xml:space="preserve">recensio </w:t>
      </w:r>
      <w:r w:rsidRPr="00AD428E">
        <w:t>et de l’</w:t>
      </w:r>
      <w:r w:rsidRPr="00AD428E">
        <w:rPr>
          <w:i/>
          <w:iCs/>
        </w:rPr>
        <w:t xml:space="preserve">examinatio </w:t>
      </w:r>
      <w:r w:rsidRPr="00AD428E">
        <w:t xml:space="preserve">réalisées en vue d’une nouvelle éd. du texte dans le cadre du projet « LAI » (« </w:t>
      </w:r>
      <w:r w:rsidRPr="00AD428E">
        <w:rPr>
          <w:i/>
          <w:iCs/>
        </w:rPr>
        <w:t xml:space="preserve">Legenda Aurea </w:t>
      </w:r>
      <w:r w:rsidRPr="00AD428E">
        <w:t>in Italiano »). Deux chap., dont l’éd. critique est présentée en annexe (p. 137–148), sont examinés.</w:t>
      </w:r>
    </w:p>
    <w:p w14:paraId="15550AC6" w14:textId="77777777" w:rsidR="00AD428E" w:rsidRPr="00AD428E" w:rsidRDefault="00AD428E" w:rsidP="00AD428E">
      <w:pPr>
        <w:jc w:val="both"/>
      </w:pPr>
    </w:p>
    <w:p w14:paraId="084DAACF" w14:textId="77777777" w:rsidR="00AD428E" w:rsidRPr="00AD428E" w:rsidRDefault="00AD428E" w:rsidP="00AD428E">
      <w:pPr>
        <w:jc w:val="both"/>
      </w:pPr>
      <w:r w:rsidRPr="00AD428E">
        <w:t>B. Barbiellini Amidei (</w:t>
      </w:r>
      <w:r w:rsidRPr="00AD428E">
        <w:rPr>
          <w:i/>
          <w:iCs/>
        </w:rPr>
        <w:t xml:space="preserve">Note per il </w:t>
      </w:r>
      <w:r w:rsidRPr="00AD428E">
        <w:t xml:space="preserve">Buovo toscano, p. 149–162), à travers trois sections dédiées respectivement à l’incipit du roman et au motif de la </w:t>
      </w:r>
      <w:r w:rsidRPr="00AD428E">
        <w:rPr>
          <w:i/>
          <w:iCs/>
        </w:rPr>
        <w:t>reverdie</w:t>
      </w:r>
      <w:r w:rsidRPr="00AD428E">
        <w:t xml:space="preserve">, au thème de la vie familière et au réalisme descriptif et sociologique, cherche à montrer que </w:t>
      </w:r>
      <w:r w:rsidRPr="00AD428E">
        <w:rPr>
          <w:i/>
          <w:iCs/>
        </w:rPr>
        <w:t>Buovo toscano</w:t>
      </w:r>
      <w:r w:rsidRPr="00AD428E">
        <w:t>, un texte en prose du xive siècle transmettant frag</w:t>
      </w:r>
      <w:r w:rsidRPr="00AD428E">
        <w:softHyphen/>
        <w:t>mentairement une des versions italiennes de la légende de Beuve de Hantone (Florence, Biblioteca Riccardiana, Ricc. 1030), offre « una versione notevole […]</w:t>
      </w:r>
      <w:r>
        <w:t xml:space="preserve"> </w:t>
      </w:r>
    </w:p>
    <w:p w14:paraId="269E77AE" w14:textId="77777777" w:rsidR="00AD428E" w:rsidRPr="00AD428E" w:rsidRDefault="00AD428E" w:rsidP="00AD428E">
      <w:pPr>
        <w:jc w:val="both"/>
        <w:rPr>
          <w:lang w:val="it-IT"/>
        </w:rPr>
      </w:pPr>
      <w:r w:rsidRPr="00AD428E">
        <w:rPr>
          <w:lang w:val="it-IT"/>
        </w:rPr>
        <w:t xml:space="preserve">del fortunatissimo romanzo, stilisticamente e tematicamente certo non deteriore, e tra le più antiche nella nostra letteratura » (p. 162). </w:t>
      </w:r>
    </w:p>
    <w:p w14:paraId="286215B2" w14:textId="77777777" w:rsidR="00AD428E" w:rsidRPr="00AD428E" w:rsidRDefault="00AD428E" w:rsidP="00AD428E">
      <w:pPr>
        <w:jc w:val="both"/>
      </w:pPr>
      <w:r w:rsidRPr="00AD428E">
        <w:rPr>
          <w:lang w:val="it-IT"/>
        </w:rPr>
        <w:lastRenderedPageBreak/>
        <w:t>Dans sa contribution (</w:t>
      </w:r>
      <w:r w:rsidRPr="00AD428E">
        <w:rPr>
          <w:i/>
          <w:iCs/>
          <w:lang w:val="it-IT"/>
        </w:rPr>
        <w:t xml:space="preserve">Storia e geografia della tradizione manoscritta castigliana. </w:t>
      </w:r>
      <w:r w:rsidRPr="00AD428E">
        <w:rPr>
          <w:i/>
          <w:iCs/>
        </w:rPr>
        <w:t>Il caso delle raccolte di racconti</w:t>
      </w:r>
      <w:r w:rsidRPr="00AD428E">
        <w:t>, p. 163–177, suivi des figures, p. 178–182), G. Lalomia met en évidence l’intérêt d’analyser les textes en tenant compte de leur réception réelle, en évaluant les mss transmettant un texte selon l’époque où ils ont été copiés, parfois plusieurs décennies après l’époque de la composition de l’oeuvre. L’A. se penche en particulier sur plusieurs mss transmettant les premiers recueils de récits produits en Castille au xiiie siècle (</w:t>
      </w:r>
      <w:r w:rsidRPr="00AD428E">
        <w:rPr>
          <w:i/>
          <w:iCs/>
        </w:rPr>
        <w:t>Calila e Dimna</w:t>
      </w:r>
      <w:r w:rsidRPr="00AD428E">
        <w:t xml:space="preserve">, </w:t>
      </w:r>
      <w:r w:rsidRPr="00AD428E">
        <w:rPr>
          <w:i/>
          <w:iCs/>
        </w:rPr>
        <w:t>Sendebar</w:t>
      </w:r>
      <w:r w:rsidRPr="00AD428E">
        <w:t xml:space="preserve">, </w:t>
      </w:r>
      <w:r w:rsidRPr="00AD428E">
        <w:rPr>
          <w:i/>
          <w:iCs/>
        </w:rPr>
        <w:t>Castigos y documentos de Sancho IV</w:t>
      </w:r>
      <w:r w:rsidRPr="00AD428E">
        <w:t xml:space="preserve">, </w:t>
      </w:r>
      <w:r w:rsidRPr="00AD428E">
        <w:rPr>
          <w:i/>
          <w:iCs/>
        </w:rPr>
        <w:t xml:space="preserve">Barlaam e Josaphat </w:t>
      </w:r>
      <w:r w:rsidRPr="00AD428E">
        <w:t xml:space="preserve">et </w:t>
      </w:r>
      <w:r w:rsidRPr="00AD428E">
        <w:rPr>
          <w:i/>
          <w:iCs/>
        </w:rPr>
        <w:t>Conde Lucanor</w:t>
      </w:r>
      <w:r w:rsidRPr="00AD428E">
        <w:t xml:space="preserve">), qui témoignent du succès d’une forme littéraire postérieure à la rédaction des textes eux-mêmes. </w:t>
      </w:r>
    </w:p>
    <w:p w14:paraId="55E70C14" w14:textId="77777777" w:rsidR="00AD428E" w:rsidRPr="00AD428E" w:rsidRDefault="00AD428E" w:rsidP="00AD428E">
      <w:pPr>
        <w:jc w:val="both"/>
      </w:pPr>
      <w:r w:rsidRPr="00AD428E">
        <w:t>S. Sari (</w:t>
      </w:r>
      <w:r w:rsidRPr="00AD428E">
        <w:rPr>
          <w:i/>
          <w:iCs/>
        </w:rPr>
        <w:t>L’eccezione all’origine della prosa catalana : l’espressione letteraria lulliana e le sue strategie di diffusione</w:t>
      </w:r>
      <w:r w:rsidRPr="00AD428E">
        <w:t>, p. 183–196) se propose de dresser une synthèse concernant la prose de Raymond Lulle à partir de la littérature critique qui s’est principalement élaborée au Centre de documentatció Ramon Llull de l’Université de Barcelone ces dernières années. Les trois sections consacrées à la politique linguistique de diffusion, à la création de sélections anthologiques et à la rhéto</w:t>
      </w:r>
      <w:r w:rsidRPr="00AD428E">
        <w:softHyphen/>
        <w:t xml:space="preserve">rique visent à montrer comment Raymond Lulle a mis à profit les potentialités de la prose. </w:t>
      </w:r>
    </w:p>
    <w:p w14:paraId="1BC740DF" w14:textId="77777777" w:rsidR="00AD428E" w:rsidRPr="00AD428E" w:rsidRDefault="00AD428E" w:rsidP="00AD428E">
      <w:pPr>
        <w:jc w:val="both"/>
      </w:pPr>
      <w:r w:rsidRPr="00AD428E">
        <w:t>Dans son étude (</w:t>
      </w:r>
      <w:r w:rsidRPr="00AD428E">
        <w:rPr>
          <w:i/>
          <w:iCs/>
        </w:rPr>
        <w:t>La prosa armena medievale come testimone del francese del Levante : osservazioni sulla fonetica dei prestiti francesi in armeno di Cilicia</w:t>
      </w:r>
      <w:r w:rsidRPr="00AD428E">
        <w:t>, p. 197–207), A. Scala montre, à travers trois chap. consacrés respectivement aux traces du français du Levant dans la prose arménienne médiévale, au vocalisme et au consonantisme des emprunts français dans l’arménien de Cilicie, que la prose arménienne du Moyen Âge recèle des lexèmes et noms propres français transcrits à partir de la prononciation du Levant (p. 206).</w:t>
      </w:r>
    </w:p>
    <w:p w14:paraId="46106A2D" w14:textId="77777777" w:rsidR="00AD428E" w:rsidRPr="00AD428E" w:rsidRDefault="00AD428E" w:rsidP="00AD428E">
      <w:pPr>
        <w:jc w:val="both"/>
      </w:pPr>
      <w:r w:rsidRPr="00AD428E">
        <w:t>La bibliographie (p. 209–234), l’index des mss (p. 235–238) et celui des auteurs et des oeuvres (p. 239–243) clôturent l’ouvrage.</w:t>
      </w:r>
    </w:p>
    <w:p w14:paraId="7B026A6D" w14:textId="7EC61EE7" w:rsidR="00AD428E" w:rsidRDefault="00AD428E" w:rsidP="00AD428E">
      <w:pPr>
        <w:jc w:val="both"/>
      </w:pPr>
      <w:r w:rsidRPr="00AD428E">
        <w:t>Sophie Lecomte</w:t>
      </w:r>
    </w:p>
    <w:sectPr w:rsidR="00AD428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0CA71" w14:textId="77777777" w:rsidR="00AD428E" w:rsidRDefault="00AD428E" w:rsidP="00AD428E">
      <w:pPr>
        <w:spacing w:after="0" w:line="240" w:lineRule="auto"/>
      </w:pPr>
      <w:r>
        <w:separator/>
      </w:r>
    </w:p>
  </w:endnote>
  <w:endnote w:type="continuationSeparator" w:id="0">
    <w:p w14:paraId="7F1FDC30" w14:textId="77777777" w:rsidR="00AD428E" w:rsidRDefault="00AD428E" w:rsidP="00AD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7238" w14:textId="77777777" w:rsidR="00AD428E" w:rsidRDefault="00AD42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A8A1" w14:textId="77777777" w:rsidR="00AD428E" w:rsidRDefault="00AD428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1510" w14:textId="77777777" w:rsidR="00AD428E" w:rsidRDefault="00AD42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0E6F" w14:textId="77777777" w:rsidR="00AD428E" w:rsidRDefault="00AD428E" w:rsidP="00AD428E">
      <w:pPr>
        <w:spacing w:after="0" w:line="240" w:lineRule="auto"/>
      </w:pPr>
      <w:r>
        <w:separator/>
      </w:r>
    </w:p>
  </w:footnote>
  <w:footnote w:type="continuationSeparator" w:id="0">
    <w:p w14:paraId="16D4AC1A" w14:textId="77777777" w:rsidR="00AD428E" w:rsidRDefault="00AD428E" w:rsidP="00AD4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FF02" w14:textId="77777777" w:rsidR="00AD428E" w:rsidRDefault="00AD42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0BDD" w14:textId="59DF8778" w:rsidR="00AD428E" w:rsidRDefault="00AD428E">
    <w:pPr>
      <w:pStyle w:val="En-tte"/>
    </w:pPr>
    <w:r>
      <w:t>Postprint Auteur</w:t>
    </w:r>
  </w:p>
  <w:p w14:paraId="595FD0E4" w14:textId="77777777" w:rsidR="00AD428E" w:rsidRDefault="00AD428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D670" w14:textId="77777777" w:rsidR="00AD428E" w:rsidRDefault="00AD428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8E"/>
    <w:rsid w:val="001A7468"/>
    <w:rsid w:val="002860F0"/>
    <w:rsid w:val="003116FD"/>
    <w:rsid w:val="004D3CB4"/>
    <w:rsid w:val="00554664"/>
    <w:rsid w:val="005C6E39"/>
    <w:rsid w:val="0064290D"/>
    <w:rsid w:val="006E2CA1"/>
    <w:rsid w:val="00A57333"/>
    <w:rsid w:val="00AD428E"/>
    <w:rsid w:val="00B2636B"/>
    <w:rsid w:val="00C5003D"/>
    <w:rsid w:val="00D72567"/>
    <w:rsid w:val="00DE39F4"/>
    <w:rsid w:val="00ED2188"/>
    <w:rsid w:val="00F730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DD3A"/>
  <w15:chartTrackingRefBased/>
  <w15:docId w15:val="{6BCAB287-4D9A-4195-8790-5EF6CC69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6FD"/>
    <w:rPr>
      <w:rFonts w:ascii="Times New Roman" w:hAnsi="Times New Roman"/>
      <w:kern w:val="0"/>
      <w:sz w:val="24"/>
      <w14:ligatures w14:val="none"/>
    </w:rPr>
  </w:style>
  <w:style w:type="paragraph" w:styleId="Titre1">
    <w:name w:val="heading 1"/>
    <w:basedOn w:val="Normal"/>
    <w:next w:val="Normal"/>
    <w:link w:val="Titre1Car"/>
    <w:uiPriority w:val="9"/>
    <w:qFormat/>
    <w:rsid w:val="00AD4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D4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D42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D42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AD428E"/>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AD42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AD428E"/>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AD428E"/>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AD428E"/>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vcitationnel">
    <w:name w:val="Pavé citationnel"/>
    <w:basedOn w:val="Normal"/>
    <w:link w:val="PavcitationnelCar"/>
    <w:qFormat/>
    <w:rsid w:val="00ED2188"/>
    <w:pPr>
      <w:ind w:left="708" w:firstLine="360"/>
      <w:jc w:val="both"/>
    </w:pPr>
    <w:rPr>
      <w:sz w:val="18"/>
    </w:rPr>
  </w:style>
  <w:style w:type="character" w:customStyle="1" w:styleId="PavcitationnelCar">
    <w:name w:val="Pavé citationnel Car"/>
    <w:basedOn w:val="Policepardfaut"/>
    <w:link w:val="Pavcitationnel"/>
    <w:rsid w:val="00ED2188"/>
    <w:rPr>
      <w:sz w:val="18"/>
    </w:rPr>
  </w:style>
  <w:style w:type="paragraph" w:styleId="Citation">
    <w:name w:val="Quote"/>
    <w:basedOn w:val="Normal"/>
    <w:next w:val="Normal"/>
    <w:link w:val="CitationCar"/>
    <w:autoRedefine/>
    <w:uiPriority w:val="29"/>
    <w:qFormat/>
    <w:rsid w:val="003116FD"/>
    <w:pPr>
      <w:jc w:val="both"/>
    </w:pPr>
    <w:rPr>
      <w:rFonts w:cs="Times New Roman"/>
      <w:kern w:val="2"/>
      <w:sz w:val="20"/>
      <w:szCs w:val="24"/>
      <w14:ligatures w14:val="standardContextual"/>
    </w:rPr>
  </w:style>
  <w:style w:type="character" w:customStyle="1" w:styleId="CitationCar">
    <w:name w:val="Citation Car"/>
    <w:basedOn w:val="Policepardfaut"/>
    <w:link w:val="Citation"/>
    <w:uiPriority w:val="29"/>
    <w:rsid w:val="003116FD"/>
    <w:rPr>
      <w:rFonts w:ascii="Times New Roman" w:hAnsi="Times New Roman" w:cs="Times New Roman"/>
      <w:sz w:val="20"/>
      <w:szCs w:val="24"/>
    </w:rPr>
  </w:style>
  <w:style w:type="character" w:customStyle="1" w:styleId="Titre1Car">
    <w:name w:val="Titre 1 Car"/>
    <w:basedOn w:val="Policepardfaut"/>
    <w:link w:val="Titre1"/>
    <w:uiPriority w:val="9"/>
    <w:rsid w:val="00AD428E"/>
    <w:rPr>
      <w:rFonts w:asciiTheme="majorHAnsi" w:eastAsiaTheme="majorEastAsia" w:hAnsiTheme="majorHAnsi" w:cstheme="majorBidi"/>
      <w:color w:val="0F4761" w:themeColor="accent1" w:themeShade="BF"/>
      <w:kern w:val="0"/>
      <w:sz w:val="40"/>
      <w:szCs w:val="40"/>
      <w14:ligatures w14:val="none"/>
    </w:rPr>
  </w:style>
  <w:style w:type="character" w:customStyle="1" w:styleId="Titre2Car">
    <w:name w:val="Titre 2 Car"/>
    <w:basedOn w:val="Policepardfaut"/>
    <w:link w:val="Titre2"/>
    <w:uiPriority w:val="9"/>
    <w:semiHidden/>
    <w:rsid w:val="00AD428E"/>
    <w:rPr>
      <w:rFonts w:asciiTheme="majorHAnsi" w:eastAsiaTheme="majorEastAsia" w:hAnsiTheme="majorHAnsi" w:cstheme="majorBidi"/>
      <w:color w:val="0F4761" w:themeColor="accent1" w:themeShade="BF"/>
      <w:kern w:val="0"/>
      <w:sz w:val="32"/>
      <w:szCs w:val="32"/>
      <w14:ligatures w14:val="none"/>
    </w:rPr>
  </w:style>
  <w:style w:type="character" w:customStyle="1" w:styleId="Titre3Car">
    <w:name w:val="Titre 3 Car"/>
    <w:basedOn w:val="Policepardfaut"/>
    <w:link w:val="Titre3"/>
    <w:uiPriority w:val="9"/>
    <w:semiHidden/>
    <w:rsid w:val="00AD428E"/>
    <w:rPr>
      <w:rFonts w:eastAsiaTheme="majorEastAsia" w:cstheme="majorBidi"/>
      <w:color w:val="0F4761" w:themeColor="accent1" w:themeShade="BF"/>
      <w:kern w:val="0"/>
      <w:sz w:val="28"/>
      <w:szCs w:val="28"/>
      <w14:ligatures w14:val="none"/>
    </w:rPr>
  </w:style>
  <w:style w:type="character" w:customStyle="1" w:styleId="Titre4Car">
    <w:name w:val="Titre 4 Car"/>
    <w:basedOn w:val="Policepardfaut"/>
    <w:link w:val="Titre4"/>
    <w:uiPriority w:val="9"/>
    <w:semiHidden/>
    <w:rsid w:val="00AD428E"/>
    <w:rPr>
      <w:rFonts w:eastAsiaTheme="majorEastAsia" w:cstheme="majorBidi"/>
      <w:i/>
      <w:iCs/>
      <w:color w:val="0F4761" w:themeColor="accent1" w:themeShade="BF"/>
      <w:kern w:val="0"/>
      <w:sz w:val="24"/>
      <w14:ligatures w14:val="none"/>
    </w:rPr>
  </w:style>
  <w:style w:type="character" w:customStyle="1" w:styleId="Titre5Car">
    <w:name w:val="Titre 5 Car"/>
    <w:basedOn w:val="Policepardfaut"/>
    <w:link w:val="Titre5"/>
    <w:uiPriority w:val="9"/>
    <w:semiHidden/>
    <w:rsid w:val="00AD428E"/>
    <w:rPr>
      <w:rFonts w:eastAsiaTheme="majorEastAsia" w:cstheme="majorBidi"/>
      <w:color w:val="0F4761" w:themeColor="accent1" w:themeShade="BF"/>
      <w:kern w:val="0"/>
      <w:sz w:val="24"/>
      <w14:ligatures w14:val="none"/>
    </w:rPr>
  </w:style>
  <w:style w:type="character" w:customStyle="1" w:styleId="Titre6Car">
    <w:name w:val="Titre 6 Car"/>
    <w:basedOn w:val="Policepardfaut"/>
    <w:link w:val="Titre6"/>
    <w:uiPriority w:val="9"/>
    <w:semiHidden/>
    <w:rsid w:val="00AD428E"/>
    <w:rPr>
      <w:rFonts w:eastAsiaTheme="majorEastAsia" w:cstheme="majorBidi"/>
      <w:i/>
      <w:iCs/>
      <w:color w:val="595959" w:themeColor="text1" w:themeTint="A6"/>
      <w:kern w:val="0"/>
      <w:sz w:val="24"/>
      <w14:ligatures w14:val="none"/>
    </w:rPr>
  </w:style>
  <w:style w:type="character" w:customStyle="1" w:styleId="Titre7Car">
    <w:name w:val="Titre 7 Car"/>
    <w:basedOn w:val="Policepardfaut"/>
    <w:link w:val="Titre7"/>
    <w:uiPriority w:val="9"/>
    <w:semiHidden/>
    <w:rsid w:val="00AD428E"/>
    <w:rPr>
      <w:rFonts w:eastAsiaTheme="majorEastAsia" w:cstheme="majorBidi"/>
      <w:color w:val="595959" w:themeColor="text1" w:themeTint="A6"/>
      <w:kern w:val="0"/>
      <w:sz w:val="24"/>
      <w14:ligatures w14:val="none"/>
    </w:rPr>
  </w:style>
  <w:style w:type="character" w:customStyle="1" w:styleId="Titre8Car">
    <w:name w:val="Titre 8 Car"/>
    <w:basedOn w:val="Policepardfaut"/>
    <w:link w:val="Titre8"/>
    <w:uiPriority w:val="9"/>
    <w:semiHidden/>
    <w:rsid w:val="00AD428E"/>
    <w:rPr>
      <w:rFonts w:eastAsiaTheme="majorEastAsia" w:cstheme="majorBidi"/>
      <w:i/>
      <w:iCs/>
      <w:color w:val="272727" w:themeColor="text1" w:themeTint="D8"/>
      <w:kern w:val="0"/>
      <w:sz w:val="24"/>
      <w14:ligatures w14:val="none"/>
    </w:rPr>
  </w:style>
  <w:style w:type="character" w:customStyle="1" w:styleId="Titre9Car">
    <w:name w:val="Titre 9 Car"/>
    <w:basedOn w:val="Policepardfaut"/>
    <w:link w:val="Titre9"/>
    <w:uiPriority w:val="9"/>
    <w:semiHidden/>
    <w:rsid w:val="00AD428E"/>
    <w:rPr>
      <w:rFonts w:eastAsiaTheme="majorEastAsia" w:cstheme="majorBidi"/>
      <w:color w:val="272727" w:themeColor="text1" w:themeTint="D8"/>
      <w:kern w:val="0"/>
      <w:sz w:val="24"/>
      <w14:ligatures w14:val="none"/>
    </w:rPr>
  </w:style>
  <w:style w:type="paragraph" w:styleId="Titre">
    <w:name w:val="Title"/>
    <w:basedOn w:val="Normal"/>
    <w:next w:val="Normal"/>
    <w:link w:val="TitreCar"/>
    <w:uiPriority w:val="10"/>
    <w:qFormat/>
    <w:rsid w:val="00AD4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D428E"/>
    <w:rPr>
      <w:rFonts w:asciiTheme="majorHAnsi" w:eastAsiaTheme="majorEastAsia" w:hAnsiTheme="majorHAnsi" w:cstheme="majorBidi"/>
      <w:spacing w:val="-10"/>
      <w:kern w:val="28"/>
      <w:sz w:val="56"/>
      <w:szCs w:val="56"/>
      <w14:ligatures w14:val="none"/>
    </w:rPr>
  </w:style>
  <w:style w:type="paragraph" w:styleId="Sous-titre">
    <w:name w:val="Subtitle"/>
    <w:basedOn w:val="Normal"/>
    <w:next w:val="Normal"/>
    <w:link w:val="Sous-titreCar"/>
    <w:uiPriority w:val="11"/>
    <w:qFormat/>
    <w:rsid w:val="00AD42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D428E"/>
    <w:rPr>
      <w:rFonts w:eastAsiaTheme="majorEastAsia" w:cstheme="majorBidi"/>
      <w:color w:val="595959" w:themeColor="text1" w:themeTint="A6"/>
      <w:spacing w:val="15"/>
      <w:kern w:val="0"/>
      <w:sz w:val="28"/>
      <w:szCs w:val="28"/>
      <w14:ligatures w14:val="none"/>
    </w:rPr>
  </w:style>
  <w:style w:type="paragraph" w:styleId="Paragraphedeliste">
    <w:name w:val="List Paragraph"/>
    <w:basedOn w:val="Normal"/>
    <w:uiPriority w:val="34"/>
    <w:qFormat/>
    <w:rsid w:val="00AD428E"/>
    <w:pPr>
      <w:ind w:left="720"/>
      <w:contextualSpacing/>
    </w:pPr>
  </w:style>
  <w:style w:type="character" w:styleId="Accentuationintense">
    <w:name w:val="Intense Emphasis"/>
    <w:basedOn w:val="Policepardfaut"/>
    <w:uiPriority w:val="21"/>
    <w:qFormat/>
    <w:rsid w:val="00AD428E"/>
    <w:rPr>
      <w:i/>
      <w:iCs/>
      <w:color w:val="0F4761" w:themeColor="accent1" w:themeShade="BF"/>
    </w:rPr>
  </w:style>
  <w:style w:type="paragraph" w:styleId="Citationintense">
    <w:name w:val="Intense Quote"/>
    <w:basedOn w:val="Normal"/>
    <w:next w:val="Normal"/>
    <w:link w:val="CitationintenseCar"/>
    <w:uiPriority w:val="30"/>
    <w:qFormat/>
    <w:rsid w:val="00AD4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D428E"/>
    <w:rPr>
      <w:rFonts w:ascii="Times New Roman" w:hAnsi="Times New Roman"/>
      <w:i/>
      <w:iCs/>
      <w:color w:val="0F4761" w:themeColor="accent1" w:themeShade="BF"/>
      <w:kern w:val="0"/>
      <w:sz w:val="24"/>
      <w14:ligatures w14:val="none"/>
    </w:rPr>
  </w:style>
  <w:style w:type="character" w:styleId="Rfrenceintense">
    <w:name w:val="Intense Reference"/>
    <w:basedOn w:val="Policepardfaut"/>
    <w:uiPriority w:val="32"/>
    <w:qFormat/>
    <w:rsid w:val="00AD428E"/>
    <w:rPr>
      <w:b/>
      <w:bCs/>
      <w:smallCaps/>
      <w:color w:val="0F4761" w:themeColor="accent1" w:themeShade="BF"/>
      <w:spacing w:val="5"/>
    </w:rPr>
  </w:style>
  <w:style w:type="paragraph" w:styleId="En-tte">
    <w:name w:val="header"/>
    <w:basedOn w:val="Normal"/>
    <w:link w:val="En-tteCar"/>
    <w:uiPriority w:val="99"/>
    <w:unhideWhenUsed/>
    <w:rsid w:val="00AD428E"/>
    <w:pPr>
      <w:tabs>
        <w:tab w:val="center" w:pos="4536"/>
        <w:tab w:val="right" w:pos="9072"/>
      </w:tabs>
      <w:spacing w:after="0" w:line="240" w:lineRule="auto"/>
    </w:pPr>
  </w:style>
  <w:style w:type="character" w:customStyle="1" w:styleId="En-tteCar">
    <w:name w:val="En-tête Car"/>
    <w:basedOn w:val="Policepardfaut"/>
    <w:link w:val="En-tte"/>
    <w:uiPriority w:val="99"/>
    <w:rsid w:val="00AD428E"/>
    <w:rPr>
      <w:rFonts w:ascii="Times New Roman" w:hAnsi="Times New Roman"/>
      <w:kern w:val="0"/>
      <w:sz w:val="24"/>
      <w14:ligatures w14:val="none"/>
    </w:rPr>
  </w:style>
  <w:style w:type="paragraph" w:styleId="Pieddepage">
    <w:name w:val="footer"/>
    <w:basedOn w:val="Normal"/>
    <w:link w:val="PieddepageCar"/>
    <w:uiPriority w:val="99"/>
    <w:unhideWhenUsed/>
    <w:rsid w:val="00AD42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428E"/>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1363</Words>
  <Characters>7500</Characters>
  <Application>Microsoft Office Word</Application>
  <DocSecurity>0</DocSecurity>
  <Lines>62</Lines>
  <Paragraphs>17</Paragraphs>
  <ScaleCrop>false</ScaleCrop>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Réviseur</dc:creator>
  <cp:keywords/>
  <dc:description/>
  <cp:lastModifiedBy>Réviseur</cp:lastModifiedBy>
  <cp:revision>1</cp:revision>
  <dcterms:created xsi:type="dcterms:W3CDTF">2025-11-19T09:21:00Z</dcterms:created>
  <dcterms:modified xsi:type="dcterms:W3CDTF">2025-11-19T09:23:00Z</dcterms:modified>
</cp:coreProperties>
</file>