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A9DD" w14:textId="77777777" w:rsidR="00E4619C" w:rsidRPr="00E4619C" w:rsidRDefault="00E4619C" w:rsidP="00E4619C">
      <w:pPr>
        <w:jc w:val="both"/>
      </w:pPr>
    </w:p>
    <w:p w14:paraId="6DA07C4B" w14:textId="77777777" w:rsidR="00E4619C" w:rsidRPr="00E4619C" w:rsidRDefault="00E4619C" w:rsidP="00E4619C">
      <w:pPr>
        <w:jc w:val="both"/>
      </w:pPr>
      <w:r w:rsidRPr="00E4619C">
        <w:rPr>
          <w:b/>
          <w:bCs/>
        </w:rPr>
        <w:t>La matière arthurienne tardive en Europe (1270–1530) / Late Arthurian Tradition in Europe</w:t>
      </w:r>
      <w:r w:rsidRPr="00E4619C">
        <w:t>, éd. Christine Ferlampin-Acher, Rennes, P.U. Rennes ; 1 vol., 1 296 p. ISBN : 978-2-7535-7778-7. Prix : € 49,00.</w:t>
      </w:r>
    </w:p>
    <w:p w14:paraId="0928FA43" w14:textId="77777777" w:rsidR="00E4619C" w:rsidRPr="00E4619C" w:rsidRDefault="00E4619C" w:rsidP="00E4619C">
      <w:pPr>
        <w:jc w:val="both"/>
      </w:pPr>
      <w:r w:rsidRPr="00E4619C">
        <w:t>Cet imposant ouvrage présente les résultats du projet LATE (« Littérature arthurienne tardive en Europe » / « Late Arthurian Tradition in Europe »), dirigé par C.F.A. et mené de 2012 à 2017 dans le cadre d’un projet de l’Institut universitaire de France, qui avait pour objectif de dresser le bilan de la production arthurienne tardive en Europe, soit après l’âge d’or de la matière de Bretagne française aux xiie et xiiie siècles. Rassemblant les contributions (synthèses ou propositions originales) en français ou en anglais de 73 chercheurs de 16 nationalités</w:t>
      </w:r>
      <w:r>
        <w:t xml:space="preserve"> </w:t>
      </w:r>
    </w:p>
    <w:p w14:paraId="0415954A" w14:textId="77777777" w:rsidR="00E4619C" w:rsidRPr="00E4619C" w:rsidRDefault="00E4619C" w:rsidP="00E4619C">
      <w:pPr>
        <w:jc w:val="both"/>
      </w:pPr>
      <w:r w:rsidRPr="00E4619C">
        <w:t>différentes, l’ensemble concourt à illustrer les spécificités de la production arthurienne tardive dans différentes aires linguistiques ou géopolitiques. La constitution d’une équipe internationale, qui s’appuie sur les contacts noués dans le cadre de la Société Internationale Arthurienne, ainsi que le choix de la période considérée, « période cruciale de mutation, où la matière arthurienne cesse d’être “gallocentrée” » (p. 14a), ont permis la publication d’une véritable cartographie de la diversité géographique et médiatique de la matière arthurienne en Europe, qui questionne l’hypo</w:t>
      </w:r>
      <w:r w:rsidRPr="00E4619C">
        <w:softHyphen/>
        <w:t>thèse selon laquelle l’épuisement de la matière arthurienne française après 1270 aurait été compensé par un élargissement européen. Comme l’explique C.F.A. dans son introduction (</w:t>
      </w:r>
      <w:r w:rsidRPr="00E4619C">
        <w:rPr>
          <w:i/>
          <w:iCs/>
        </w:rPr>
        <w:t>La littérature arthurienne tardive en Europe (LATE) : approches</w:t>
      </w:r>
      <w:r w:rsidRPr="00E4619C">
        <w:t>), la problématique de l’ouvrage est d’abord « gallocentrée » pour ensuite glisser vers une perspective décentrée et aborder la spécificité de chaque aire. L’ouvrage est ainsi divisé en dix sections, qui se clôturent chacune par une riche bibliographie, dessi</w:t>
      </w:r>
      <w:r w:rsidRPr="00E4619C">
        <w:softHyphen/>
        <w:t xml:space="preserve">nant un parcours depuis l’espace roman vers les confins occidentaux et l’espace germanique occidental pour ensuite aborder les diffusions plus marginales (p. 25b). </w:t>
      </w:r>
    </w:p>
    <w:p w14:paraId="25CC4B8B" w14:textId="4B0CED28" w:rsidR="00E4619C" w:rsidRDefault="00E4619C" w:rsidP="00E4619C">
      <w:pPr>
        <w:jc w:val="both"/>
      </w:pPr>
      <w:r w:rsidRPr="00E4619C">
        <w:t>Les études de la première section, réunies par M. Aurell et C. Daniel, ont pour objectif de « contextualiser la production et la diffusion de la matière arthurienne tardive, mais aussi de montrer que l’influence d’Arthur ne se limite pas à la littérature et investit d’autres formes d’expressions artistiques » (p. 39b). À l’introduction de M.A. et C.D. (</w:t>
      </w:r>
      <w:r w:rsidRPr="00E4619C">
        <w:rPr>
          <w:i/>
          <w:iCs/>
        </w:rPr>
        <w:t>Introduction : contextes</w:t>
      </w:r>
      <w:r w:rsidRPr="00E4619C">
        <w:t>) font suite les études d’A. Chauou (</w:t>
      </w:r>
      <w:r w:rsidRPr="00E4619C">
        <w:rPr>
          <w:i/>
          <w:iCs/>
        </w:rPr>
        <w:t>Crises, temps nouveaux et reclassements : noblesse et bourgeoisie en Europe au Moyen Âge tardif</w:t>
      </w:r>
      <w:r w:rsidRPr="00E4619C">
        <w:t>), N. Morato (</w:t>
      </w:r>
      <w:r w:rsidRPr="00E4619C">
        <w:rPr>
          <w:i/>
          <w:iCs/>
        </w:rPr>
        <w:t>The Multilingual Tradition of Arthurian Texts in European Text Culture</w:t>
      </w:r>
      <w:r w:rsidRPr="00E4619C">
        <w:t xml:space="preserve">), J. Berlioz </w:t>
      </w:r>
      <w:r w:rsidRPr="00E4619C">
        <w:rPr>
          <w:i/>
          <w:iCs/>
        </w:rPr>
        <w:t>(« Il y eut une fois un roi qui s’appelait Arthur… » La littérature arthurienne dans les récits exemplaires médiévaux</w:t>
      </w:r>
      <w:r w:rsidRPr="00E4619C">
        <w:t>), D. Crouch (</w:t>
      </w:r>
      <w:r w:rsidRPr="00E4619C">
        <w:rPr>
          <w:i/>
          <w:iCs/>
        </w:rPr>
        <w:t>The Arthurian Tourney. Reflecting and Moulding Military Culture</w:t>
      </w:r>
      <w:r w:rsidRPr="00E4619C">
        <w:t>), S. Nadot (</w:t>
      </w:r>
      <w:r w:rsidRPr="00E4619C">
        <w:rPr>
          <w:i/>
          <w:iCs/>
        </w:rPr>
        <w:t>Arthur et ses chevaliers : un scénario pour le sport (1350–1550)</w:t>
      </w:r>
      <w:r w:rsidRPr="00E4619C">
        <w:t>), C. Girbea (</w:t>
      </w:r>
      <w:r w:rsidRPr="00E4619C">
        <w:rPr>
          <w:i/>
          <w:iCs/>
        </w:rPr>
        <w:t>L’héraldique arthurienne au xve siècle</w:t>
      </w:r>
      <w:r w:rsidRPr="00E4619C">
        <w:t>), C. Voyer et L. Hablot (</w:t>
      </w:r>
      <w:r w:rsidRPr="00E4619C">
        <w:rPr>
          <w:i/>
          <w:iCs/>
        </w:rPr>
        <w:t>Une figure et ses images : la représentation d’Arthur à la fin du Moyen Âge (xive–xve siècle)</w:t>
      </w:r>
      <w:r w:rsidRPr="00E4619C">
        <w:t>), I. Fabry-Tehranchi (</w:t>
      </w:r>
      <w:r w:rsidRPr="00E4619C">
        <w:rPr>
          <w:i/>
          <w:iCs/>
        </w:rPr>
        <w:t xml:space="preserve">L’iconographie des manuscrits arthuriens à la fin du Moyen Âge : le cas du </w:t>
      </w:r>
      <w:r w:rsidRPr="00E4619C">
        <w:t xml:space="preserve">Tristan </w:t>
      </w:r>
      <w:r w:rsidRPr="00E4619C">
        <w:rPr>
          <w:i/>
          <w:iCs/>
        </w:rPr>
        <w:t>en prose</w:t>
      </w:r>
      <w:r w:rsidRPr="00E4619C">
        <w:t>) et F. Montorsi (</w:t>
      </w:r>
      <w:r w:rsidRPr="00E4619C">
        <w:rPr>
          <w:i/>
          <w:iCs/>
        </w:rPr>
        <w:t>Le roman arthurien imprimé en Europe aux xve et xvie siècles</w:t>
      </w:r>
      <w:r w:rsidRPr="00E4619C">
        <w:t>).</w:t>
      </w:r>
    </w:p>
    <w:p w14:paraId="1DBCBC39" w14:textId="77777777" w:rsidR="00E4619C" w:rsidRPr="00E4619C" w:rsidRDefault="00E4619C" w:rsidP="00E4619C">
      <w:pPr>
        <w:jc w:val="both"/>
      </w:pPr>
    </w:p>
    <w:p w14:paraId="255BA2EB" w14:textId="77777777" w:rsidR="00E4619C" w:rsidRPr="00E4619C" w:rsidRDefault="00E4619C" w:rsidP="00E4619C">
      <w:pPr>
        <w:jc w:val="both"/>
        <w:rPr>
          <w:i/>
          <w:iCs/>
        </w:rPr>
      </w:pPr>
      <w:r w:rsidRPr="00E4619C">
        <w:t>La deuxième section, introduite par sa directrice C.F.A. avec la collabo</w:t>
      </w:r>
      <w:r w:rsidRPr="00E4619C">
        <w:softHyphen/>
        <w:t>ration de M.A. (</w:t>
      </w:r>
      <w:r w:rsidRPr="00E4619C">
        <w:rPr>
          <w:i/>
          <w:iCs/>
        </w:rPr>
        <w:t>Introduction. La matière arthurienne en France ou en français (1270–1530)</w:t>
      </w:r>
      <w:r w:rsidRPr="00E4619C">
        <w:t>), se propose de réévaluer la production en français et pose la question du déclin de la matière arthurienne en France et en français à travers les contributions de C. Daniel (</w:t>
      </w:r>
      <w:r w:rsidRPr="00E4619C">
        <w:rPr>
          <w:i/>
          <w:iCs/>
        </w:rPr>
        <w:t xml:space="preserve">L’imaginaire arthurien dans les </w:t>
      </w:r>
      <w:r w:rsidRPr="00E4619C">
        <w:rPr>
          <w:i/>
          <w:iCs/>
        </w:rPr>
        <w:lastRenderedPageBreak/>
        <w:t>pratiques sociales et politiques en France à la fin du Moyen Âge</w:t>
      </w:r>
      <w:r w:rsidRPr="00E4619C">
        <w:t>), G. Toniutti (</w:t>
      </w:r>
      <w:r w:rsidRPr="00E4619C">
        <w:rPr>
          <w:i/>
          <w:iCs/>
        </w:rPr>
        <w:t>La littérature arthurienne tardive en vers en français</w:t>
      </w:r>
      <w:r w:rsidRPr="00E4619C">
        <w:t>), A. Berthelot (</w:t>
      </w:r>
      <w:r w:rsidRPr="00E4619C">
        <w:rPr>
          <w:i/>
          <w:iCs/>
        </w:rPr>
        <w:t>Le roman</w:t>
      </w:r>
      <w:r>
        <w:rPr>
          <w:i/>
          <w:iCs/>
        </w:rPr>
        <w:t xml:space="preserve"> </w:t>
      </w:r>
    </w:p>
    <w:p w14:paraId="4785CA51" w14:textId="77777777" w:rsidR="00E4619C" w:rsidRPr="00E4619C" w:rsidRDefault="00E4619C" w:rsidP="00E4619C">
      <w:pPr>
        <w:jc w:val="both"/>
        <w:rPr>
          <w:i/>
          <w:iCs/>
        </w:rPr>
      </w:pPr>
      <w:r w:rsidRPr="00E4619C">
        <w:rPr>
          <w:i/>
          <w:iCs/>
        </w:rPr>
        <w:t>en prose arthurien tardif), N. Chardonnens (Les rapports entre vers et prose dans la matière arthurienne tardive), I. Fabry-Tehranchi (L’iconographie des manuscrits arthuriens à la fin du Moyen Âge : le cas du Lancelot-Graal), F. Montorsi, J.H.M. Taylor et C.F.A. (La matière arthurienne dans les impri</w:t>
      </w:r>
      <w:r w:rsidRPr="00E4619C">
        <w:rPr>
          <w:i/>
          <w:iCs/>
        </w:rPr>
        <w:softHyphen/>
        <w:t>més français), P. Victorin (Amour et chevalerie), C.F.A. (Le merveilleux dans la matière arthurienne (1270–1530) : le recyclage, entre vacuité et prolifération du sens), V. Fasseur (La matière bretonne dans la littérature d’oc), H. Le Bihan, P. Courroux et C.F.A. (Arthur en Petite Bretagne) et C.F.A. (Matière arthu</w:t>
      </w:r>
      <w:r w:rsidRPr="00E4619C">
        <w:rPr>
          <w:i/>
          <w:iCs/>
        </w:rPr>
        <w:softHyphen/>
        <w:t>rienne, matiere de Bretagne, romans de la Table ronde ou vieulx romans françoys (Du Bellay) ?, puis La matiere arthurienne tardive : une matière marginale ?, et enfin Placere et docere ? Le public de la matière arthurienne tardive).</w:t>
      </w:r>
    </w:p>
    <w:p w14:paraId="72AF610F" w14:textId="77777777" w:rsidR="00E4619C" w:rsidRPr="00E4619C" w:rsidRDefault="00E4619C" w:rsidP="00E4619C">
      <w:pPr>
        <w:jc w:val="both"/>
        <w:rPr>
          <w:i/>
          <w:iCs/>
        </w:rPr>
      </w:pPr>
      <w:r w:rsidRPr="00E4619C">
        <w:rPr>
          <w:i/>
          <w:iCs/>
        </w:rPr>
        <w:t xml:space="preserve">Le point de vue se décentre ensuite pour envisager successivement les aires italienne (dir. F. Cigni) et ibérique (dir. R.H. Chinchilla), qui subissent l’une et l’autre l’influence des textes français et voient émerger une production nouvelle en langue vernaculaire. </w:t>
      </w:r>
    </w:p>
    <w:p w14:paraId="44DDE0FA" w14:textId="4D2B8245" w:rsidR="00E4619C" w:rsidRDefault="00E4619C" w:rsidP="00E4619C">
      <w:pPr>
        <w:jc w:val="both"/>
        <w:rPr>
          <w:i/>
          <w:iCs/>
        </w:rPr>
      </w:pPr>
      <w:r w:rsidRPr="00E4619C">
        <w:rPr>
          <w:i/>
          <w:iCs/>
        </w:rPr>
        <w:t>Le mythe d’Arthur en Italie du Moyen Âge à l’humanisme est envisagé à travers les contributions de F.C. (Milieux, langues et formes de la circulation arthurienne entre volgarizzamenti et cantari : le rôle de la Toscane), A. Punzi (La tradition italienne du Lancelot en prose : de la transcription à la compi</w:t>
      </w:r>
      <w:r w:rsidRPr="00E4619C">
        <w:rPr>
          <w:i/>
          <w:iCs/>
        </w:rPr>
        <w:softHyphen/>
        <w:t>lation, vers une physionomie « italienne » du roman arthurien), R. Tagliani (Tristan et l’idéal chevaleresque en Italie à la fin du Moyen Âge), L. Cadioli (Le Lancellotto italien), G. Zagni (La Queste del Saint Graal et l’Italie : le cas de Mantoue), M. Cambi (« Come nel tempo antico si solea. » Essor et fortunes littéraires de la Tavola Vecchia en Italie), G. Lalomia (Les traductions italiennes des romans chevaleresques espagnols au xvie siècle), G. Lacerenza (Le Sefer ha-šemad ou Meleḵ Arṭuś : la version hébraïque d’une Destruction de la Table ronde perdue (1278–1279)), C. Lagomarsini (Les Trois Couronnes et les autres : le mythe arthurien dans la poésie italienne des xiiie–xve siècles), I. Molteni (Peintures et enluminures arthuriennes en Italie (xive–xve siècle)), G. Murgia (Merlin en Italie : le prophète bâtisseur) et E. Stefanelli (Guiron le Courtois et sa fortune italienne : morphologie de la tradition manuscrite et de la matière guironienne en Italie (xiiie–xxvie siècles)).</w:t>
      </w:r>
    </w:p>
    <w:p w14:paraId="2EB62B11" w14:textId="77777777" w:rsidR="00E4619C" w:rsidRPr="00E4619C" w:rsidRDefault="00E4619C" w:rsidP="00E4619C">
      <w:pPr>
        <w:jc w:val="both"/>
      </w:pPr>
    </w:p>
    <w:p w14:paraId="56D93B51" w14:textId="77777777" w:rsidR="00E4619C" w:rsidRPr="00E4619C" w:rsidRDefault="00E4619C" w:rsidP="00E4619C">
      <w:pPr>
        <w:jc w:val="both"/>
        <w:rPr>
          <w:i/>
          <w:iCs/>
        </w:rPr>
      </w:pPr>
      <w:r w:rsidRPr="00E4619C">
        <w:t>L’espace ibérique est l’objet de la quatrième section, introduite par R.H. Chinchilla (</w:t>
      </w:r>
      <w:r w:rsidRPr="00E4619C">
        <w:rPr>
          <w:i/>
          <w:iCs/>
        </w:rPr>
        <w:t>Iberian Context</w:t>
      </w:r>
      <w:r w:rsidRPr="00E4619C">
        <w:t>). Cette part. comprend les contributions de L. Soriano Robles (</w:t>
      </w:r>
      <w:r w:rsidRPr="00E4619C">
        <w:rPr>
          <w:i/>
          <w:iCs/>
        </w:rPr>
        <w:t xml:space="preserve">La littérature arthurienne tardive dans la Couronne d’Aragon. Commentaires sur la </w:t>
      </w:r>
      <w:r w:rsidRPr="00E4619C">
        <w:t xml:space="preserve">Tragèdia de Lançalot </w:t>
      </w:r>
      <w:r w:rsidRPr="00E4619C">
        <w:rPr>
          <w:i/>
          <w:iCs/>
        </w:rPr>
        <w:t xml:space="preserve">de Lluís Gras (1497) et sur les </w:t>
      </w:r>
      <w:r w:rsidRPr="00E4619C">
        <w:t xml:space="preserve">Cròniques d’Espanya </w:t>
      </w:r>
      <w:r w:rsidRPr="00E4619C">
        <w:rPr>
          <w:i/>
          <w:iCs/>
        </w:rPr>
        <w:t>de Pere Miquel Carbonell (1543)</w:t>
      </w:r>
      <w:r w:rsidRPr="00E4619C">
        <w:t>), I. Almeida (</w:t>
      </w:r>
      <w:r w:rsidRPr="00E4619C">
        <w:rPr>
          <w:i/>
          <w:iCs/>
        </w:rPr>
        <w:t>Les romans de chevalerie portugais</w:t>
      </w:r>
      <w:r w:rsidRPr="00E4619C">
        <w:t>), P. Díaz-Mas (</w:t>
      </w:r>
      <w:r w:rsidRPr="00E4619C">
        <w:rPr>
          <w:i/>
          <w:iCs/>
        </w:rPr>
        <w:t xml:space="preserve">Arthurian Themes and Chivalric Tales in the </w:t>
      </w:r>
      <w:r w:rsidRPr="00E4619C">
        <w:t>Romancero), S. Gutiérrez García (« À chaque roi nou</w:t>
      </w:r>
      <w:r w:rsidRPr="00E4619C">
        <w:softHyphen/>
        <w:t xml:space="preserve">veau, un nouveau Merlin. » </w:t>
      </w:r>
      <w:r w:rsidRPr="00E4619C">
        <w:rPr>
          <w:i/>
          <w:iCs/>
        </w:rPr>
        <w:t>Merlin, prophète politique et sage romanesque dans l’Espagne du xve siècle</w:t>
      </w:r>
      <w:r w:rsidRPr="00E4619C">
        <w:t xml:space="preserve">), R.H.C. </w:t>
      </w:r>
      <w:r w:rsidRPr="00E4619C">
        <w:rPr>
          <w:i/>
          <w:iCs/>
        </w:rPr>
        <w:t xml:space="preserve">(Magic in Late Medieval Iberia. </w:t>
      </w:r>
      <w:r w:rsidRPr="00E4619C">
        <w:rPr>
          <w:i/>
          <w:iCs/>
          <w:lang w:val="en-US"/>
        </w:rPr>
        <w:t>Rodríguez</w:t>
      </w:r>
      <w:r>
        <w:rPr>
          <w:i/>
          <w:iCs/>
          <w:lang w:val="en-US"/>
        </w:rPr>
        <w:t xml:space="preserve"> </w:t>
      </w:r>
    </w:p>
    <w:p w14:paraId="66C56585" w14:textId="77777777" w:rsidR="00E4619C" w:rsidRPr="00E4619C" w:rsidRDefault="00E4619C" w:rsidP="00E4619C">
      <w:pPr>
        <w:jc w:val="both"/>
        <w:rPr>
          <w:i/>
          <w:iCs/>
        </w:rPr>
      </w:pPr>
      <w:r w:rsidRPr="00E4619C">
        <w:rPr>
          <w:i/>
          <w:iCs/>
        </w:rPr>
        <w:t xml:space="preserve">Montalvo’s Amadis de Gaula (1508)) et J.M. Cacho Blecua (Réécritures et paratextes dans la littérature de chevalerie à la fin du xve siècle et au début du xvie siècle. Baladro del sabio Merlín et Libro del cavallero Cifar). </w:t>
      </w:r>
    </w:p>
    <w:p w14:paraId="3DD4957B" w14:textId="77777777" w:rsidR="00E4619C" w:rsidRPr="00E4619C" w:rsidRDefault="00E4619C" w:rsidP="00E4619C">
      <w:pPr>
        <w:jc w:val="both"/>
        <w:rPr>
          <w:i/>
          <w:iCs/>
        </w:rPr>
      </w:pPr>
      <w:r w:rsidRPr="00E4619C">
        <w:rPr>
          <w:i/>
          <w:iCs/>
        </w:rPr>
        <w:lastRenderedPageBreak/>
        <w:t>Le panorama de la matière arthurienne tardive en Scandinavie, introduit par ses directrices A. R. Magnúsdóttir et H. Tétrel (La matière arthurienne en Scandinavie médiévale), est confié à S. Jakobsson (Politics and Courtly Culture in Iceland, 1200–1700), G.M. Gunnlaugsson (Arthurian Materials in Icelandic Manuscripts), V. Ragnheiðardóttir (Late Medieval Icelandic Chivalric Sagas), A. Guðmundsdóttir (Arthurian Legen in Rímur and Ballads), C. Péneau (Le contexte politique et culturel des Eufemiavisor) et S. Lodén (La réception de la littérature arthurienne en Suède).</w:t>
      </w:r>
    </w:p>
    <w:p w14:paraId="00DAEDB0" w14:textId="1F775452" w:rsidR="00E4619C" w:rsidRDefault="00E4619C" w:rsidP="00E4619C">
      <w:pPr>
        <w:jc w:val="both"/>
        <w:rPr>
          <w:i/>
          <w:iCs/>
        </w:rPr>
      </w:pPr>
      <w:r w:rsidRPr="00E4619C">
        <w:rPr>
          <w:i/>
          <w:iCs/>
        </w:rPr>
        <w:t>La question de la « (ré)appropriation de la matière de Bretagne en Irlande et au Pays de Galles » est ensuite traitée par C. Lloyd-Morgan et A. Byrne (Later Arthurian Traditions in Wales and Ireland). En introduction, C.F.A justifie le choix de réunir dans une même section ces « deux aires celtiques différentes, pratiquant des langues non mutuellement compré</w:t>
      </w:r>
      <w:r w:rsidRPr="00E4619C">
        <w:rPr>
          <w:i/>
          <w:iCs/>
        </w:rPr>
        <w:softHyphen/>
        <w:t>hensibles et dont la relation historique à la matière arthurienne n’est pas comparable » : elles ont en commun « d’avoir à se situer par rapport à l’Angleterre, d’avoir eu des poétiques autochtones fortement enracinées, d’avoir continué parallèlement à reprendre tardivement la matière fran</w:t>
      </w:r>
      <w:r w:rsidRPr="00E4619C">
        <w:rPr>
          <w:i/>
          <w:iCs/>
        </w:rPr>
        <w:softHyphen/>
        <w:t>çaise […] et d’avoir connu une évolution de la matière arthurienne vers l’imprimé postérieure à l’époque » considérée (p. 25b).</w:t>
      </w:r>
    </w:p>
    <w:p w14:paraId="28018A6B" w14:textId="77777777" w:rsidR="00E4619C" w:rsidRPr="00E4619C" w:rsidRDefault="00E4619C" w:rsidP="00E4619C">
      <w:pPr>
        <w:jc w:val="both"/>
      </w:pPr>
    </w:p>
    <w:p w14:paraId="5E27F2BA" w14:textId="77777777" w:rsidR="00E4619C" w:rsidRPr="00E4619C" w:rsidRDefault="00E4619C" w:rsidP="00E4619C">
      <w:pPr>
        <w:jc w:val="both"/>
      </w:pPr>
      <w:r w:rsidRPr="00E4619C">
        <w:t>La présence d’Arthur dans la littérature germanophone des xive–xvie siècles, qui constitue la septième section (dir. C. Dietl), est envi</w:t>
      </w:r>
      <w:r w:rsidRPr="00E4619C">
        <w:softHyphen/>
        <w:t>sagée dans deux part. consacrées respectivement à la réception allemande de la littérature arthurienne et à la création arthurienne dans la littéra</w:t>
      </w:r>
      <w:r w:rsidRPr="00E4619C">
        <w:softHyphen/>
        <w:t>ture allemande aux siècles considérés. Ont contribué à la première part. J. Janota (</w:t>
      </w:r>
      <w:r w:rsidRPr="00E4619C">
        <w:rPr>
          <w:i/>
          <w:iCs/>
        </w:rPr>
        <w:t>Contextes historiques et littéraires de la littérature arthurienne durant le Moyen Âge tardif et les débuts de l’époque moderne</w:t>
      </w:r>
      <w:r w:rsidRPr="00E4619C">
        <w:t>), J. Wolf (</w:t>
      </w:r>
      <w:r w:rsidRPr="00E4619C">
        <w:rPr>
          <w:i/>
          <w:iCs/>
        </w:rPr>
        <w:t>Manuscrits et imprimés arthuriens</w:t>
      </w:r>
      <w:r w:rsidRPr="00E4619C">
        <w:t xml:space="preserve">), S. Tammen (†, </w:t>
      </w:r>
      <w:r w:rsidRPr="00E4619C">
        <w:rPr>
          <w:i/>
          <w:iCs/>
        </w:rPr>
        <w:t>Les images arthuriennes dans le domaine germanophone</w:t>
      </w:r>
      <w:r w:rsidRPr="00E4619C">
        <w:t>), C. Schanze et C.D. (</w:t>
      </w:r>
      <w:r w:rsidRPr="00E4619C">
        <w:rPr>
          <w:i/>
          <w:iCs/>
        </w:rPr>
        <w:t>L’univers arthurien dans la littérature non arthurienne tardive</w:t>
      </w:r>
      <w:r w:rsidRPr="00E4619C">
        <w:t>) ; à la deuxième part. : C.D. (</w:t>
      </w:r>
      <w:r w:rsidRPr="00E4619C">
        <w:rPr>
          <w:i/>
          <w:iCs/>
        </w:rPr>
        <w:t>Une nouvelle réception de la littérature arthurienne française</w:t>
      </w:r>
      <w:r w:rsidRPr="00E4619C">
        <w:t>), J.D. Müller (</w:t>
      </w:r>
      <w:r w:rsidRPr="00E4619C">
        <w:rPr>
          <w:i/>
          <w:iCs/>
        </w:rPr>
        <w:t>Artus dans le roman en prose</w:t>
      </w:r>
      <w:r w:rsidRPr="00E4619C">
        <w:t>), C. Fasbender (</w:t>
      </w:r>
      <w:r w:rsidRPr="00E4619C">
        <w:rPr>
          <w:i/>
          <w:iCs/>
        </w:rPr>
        <w:t xml:space="preserve">L’univers arthurien dans le </w:t>
      </w:r>
      <w:r w:rsidRPr="00E4619C">
        <w:t>liet), B. Bastert (</w:t>
      </w:r>
      <w:r w:rsidRPr="00E4619C">
        <w:rPr>
          <w:i/>
          <w:iCs/>
        </w:rPr>
        <w:t>La (der</w:t>
      </w:r>
      <w:r w:rsidRPr="00E4619C">
        <w:rPr>
          <w:i/>
          <w:iCs/>
        </w:rPr>
        <w:softHyphen/>
        <w:t>nière) somme arthurienne : un grand récit épique homogène ?</w:t>
      </w:r>
      <w:r w:rsidRPr="00E4619C">
        <w:t>) et A. Jaeger (</w:t>
      </w:r>
      <w:r w:rsidRPr="00E4619C">
        <w:rPr>
          <w:i/>
          <w:iCs/>
        </w:rPr>
        <w:t>La littérature arthurienne allemande : transferts linguistiques</w:t>
      </w:r>
      <w:r w:rsidRPr="00E4619C">
        <w:t>).</w:t>
      </w:r>
    </w:p>
    <w:p w14:paraId="3D97AAD4" w14:textId="77777777" w:rsidR="00E4619C" w:rsidRPr="00E4619C" w:rsidRDefault="00E4619C" w:rsidP="00E4619C">
      <w:pPr>
        <w:jc w:val="both"/>
      </w:pPr>
      <w:r w:rsidRPr="00E4619C">
        <w:t>Le parcours se poursuit vers les Pays-Bas avec l’étude de B. Besamusca et M. Hogenbirk (</w:t>
      </w:r>
      <w:r w:rsidRPr="00E4619C">
        <w:rPr>
          <w:i/>
          <w:iCs/>
        </w:rPr>
        <w:t>The Production and Reception of Middle Dutch Arthurian Romance after 1300</w:t>
      </w:r>
      <w:r w:rsidRPr="00E4619C">
        <w:t xml:space="preserve">). </w:t>
      </w:r>
    </w:p>
    <w:p w14:paraId="297ACD7E" w14:textId="7B1FC18F" w:rsidR="00E4619C" w:rsidRPr="00E4619C" w:rsidRDefault="00E4619C" w:rsidP="00E4619C">
      <w:pPr>
        <w:jc w:val="both"/>
        <w:rPr>
          <w:lang w:val="en-US"/>
        </w:rPr>
      </w:pPr>
      <w:r w:rsidRPr="00E4619C">
        <w:t>La tradition arthurienne tardive en Angleterre et en Écosse du Moyen Âge au début de l’époque moderne occupe la neuvième part.</w:t>
      </w:r>
      <w:r>
        <w:t xml:space="preserve"> </w:t>
      </w:r>
      <w:r w:rsidRPr="00E4619C">
        <w:rPr>
          <w:lang w:val="en-US"/>
        </w:rPr>
        <w:t>(dir. A. Putter et R. Radulescu), avec les contributions de ses directeurs (</w:t>
      </w:r>
      <w:r w:rsidRPr="00E4619C">
        <w:rPr>
          <w:i/>
          <w:iCs/>
          <w:lang w:val="en-US"/>
        </w:rPr>
        <w:t>Late Arthurian Literature : Medieval to Early Modern</w:t>
      </w:r>
      <w:r w:rsidRPr="00E4619C">
        <w:rPr>
          <w:lang w:val="en-US"/>
        </w:rPr>
        <w:t>), T. Kato (</w:t>
      </w:r>
      <w:r w:rsidRPr="00E4619C">
        <w:rPr>
          <w:i/>
          <w:iCs/>
          <w:lang w:val="en-US"/>
        </w:rPr>
        <w:t>Manuscript and Print : Discontinuity and Continuity in the Transmission of Arthurian Tales</w:t>
      </w:r>
      <w:r w:rsidRPr="00E4619C">
        <w:rPr>
          <w:lang w:val="en-US"/>
        </w:rPr>
        <w:t>), K. McClune et A.P. (</w:t>
      </w:r>
      <w:r w:rsidRPr="00E4619C">
        <w:rPr>
          <w:i/>
          <w:iCs/>
          <w:lang w:val="en-US"/>
        </w:rPr>
        <w:t>The Geographies and Languages of Later Medieval Arthurian Romances in England and Scotland</w:t>
      </w:r>
      <w:r w:rsidRPr="00E4619C">
        <w:rPr>
          <w:lang w:val="en-US"/>
        </w:rPr>
        <w:t>), R.R. et J. Rajsic (</w:t>
      </w:r>
      <w:r w:rsidRPr="00E4619C">
        <w:rPr>
          <w:i/>
          <w:iCs/>
          <w:lang w:val="en-US"/>
        </w:rPr>
        <w:t xml:space="preserve">King Arthur in Middle English </w:t>
      </w:r>
      <w:r w:rsidRPr="00E4619C">
        <w:rPr>
          <w:lang w:val="en-US"/>
        </w:rPr>
        <w:t xml:space="preserve">Brut </w:t>
      </w:r>
      <w:r w:rsidRPr="00E4619C">
        <w:rPr>
          <w:i/>
          <w:iCs/>
          <w:lang w:val="en-US"/>
        </w:rPr>
        <w:t>Chronicles and Royal Genealogies</w:t>
      </w:r>
      <w:r w:rsidRPr="00E4619C">
        <w:rPr>
          <w:lang w:val="en-US"/>
        </w:rPr>
        <w:t>), J. Bellis (</w:t>
      </w:r>
      <w:r w:rsidRPr="00E4619C">
        <w:rPr>
          <w:i/>
          <w:iCs/>
          <w:lang w:val="en-US"/>
        </w:rPr>
        <w:t>King Arthur in the Hundred Years War</w:t>
      </w:r>
      <w:r w:rsidRPr="00E4619C">
        <w:rPr>
          <w:lang w:val="en-US"/>
        </w:rPr>
        <w:t>) et S. Levelt (</w:t>
      </w:r>
      <w:r w:rsidRPr="00E4619C">
        <w:rPr>
          <w:i/>
          <w:iCs/>
          <w:lang w:val="en-US"/>
        </w:rPr>
        <w:t>The Construction of the Arthurian in the Early Seventeenth Century and its Sixteenth-Century Foundations</w:t>
      </w:r>
      <w:r w:rsidRPr="00E4619C">
        <w:rPr>
          <w:lang w:val="en-US"/>
        </w:rPr>
        <w:t xml:space="preserve">). </w:t>
      </w:r>
    </w:p>
    <w:p w14:paraId="672A24E0" w14:textId="77777777" w:rsidR="00E4619C" w:rsidRPr="00E4619C" w:rsidRDefault="00E4619C" w:rsidP="00E4619C">
      <w:pPr>
        <w:jc w:val="both"/>
      </w:pPr>
      <w:r w:rsidRPr="00E4619C">
        <w:t>La cartographie se conclut par la question des diffusions plus mar</w:t>
      </w:r>
      <w:r w:rsidRPr="00E4619C">
        <w:softHyphen/>
        <w:t>ginales « d’ouest en est, d’est en ouest, d’une matière déclinante à un mythe conquérant » à travers les contributions de M. Lecco et C.F.A. (</w:t>
      </w:r>
      <w:r w:rsidRPr="00E4619C">
        <w:rPr>
          <w:i/>
          <w:iCs/>
        </w:rPr>
        <w:t>Le roi Arthur dans la littérature latine (1270–1530)</w:t>
      </w:r>
      <w:r w:rsidRPr="00E4619C">
        <w:t>), M. Turek et M. Šorm (</w:t>
      </w:r>
      <w:r w:rsidRPr="00E4619C">
        <w:rPr>
          <w:i/>
          <w:iCs/>
        </w:rPr>
        <w:t>La matière arthurienne en langue tchèque à la fin du Moyen Âge</w:t>
      </w:r>
      <w:r w:rsidRPr="00E4619C">
        <w:t xml:space="preserve">), E. Egedi-Kovács et L. </w:t>
      </w:r>
      <w:r w:rsidRPr="00E4619C">
        <w:lastRenderedPageBreak/>
        <w:t>Horváth (</w:t>
      </w:r>
      <w:r w:rsidRPr="00E4619C">
        <w:rPr>
          <w:i/>
          <w:iCs/>
        </w:rPr>
        <w:t>Le poème grec du « Vieux Chevalier » : un roman de Tristan</w:t>
      </w:r>
      <w:r w:rsidRPr="00E4619C">
        <w:t>), N. Dolgorukova (</w:t>
      </w:r>
      <w:r w:rsidRPr="00E4619C">
        <w:rPr>
          <w:i/>
          <w:iCs/>
        </w:rPr>
        <w:t xml:space="preserve">Pour une réception de la matière bretonne slave : le </w:t>
      </w:r>
      <w:r w:rsidRPr="00E4619C">
        <w:t xml:space="preserve">Tristan </w:t>
      </w:r>
      <w:r w:rsidRPr="00E4619C">
        <w:rPr>
          <w:i/>
          <w:iCs/>
        </w:rPr>
        <w:t>biélorusse</w:t>
      </w:r>
      <w:r w:rsidRPr="00E4619C">
        <w:t>). Les conclusions de C.F.A. (</w:t>
      </w:r>
      <w:r w:rsidRPr="00E4619C">
        <w:rPr>
          <w:i/>
          <w:iCs/>
        </w:rPr>
        <w:t>La matière arthurienne à la fin du Moyen Âge en Europe : une matière commune ? Conclusions</w:t>
      </w:r>
      <w:r w:rsidRPr="00E4619C">
        <w:t>) sont suivies d’ouvertures par A. Berthelot (</w:t>
      </w:r>
      <w:r w:rsidRPr="00E4619C">
        <w:rPr>
          <w:i/>
          <w:iCs/>
        </w:rPr>
        <w:t>Héritage arthurien (ouverture 1)</w:t>
      </w:r>
      <w:r w:rsidRPr="00E4619C">
        <w:t xml:space="preserve">, puis </w:t>
      </w:r>
      <w:r w:rsidRPr="00E4619C">
        <w:rPr>
          <w:i/>
          <w:iCs/>
        </w:rPr>
        <w:t>Autres temps, autres modes (ouverture 2)</w:t>
      </w:r>
      <w:r w:rsidRPr="00E4619C">
        <w:t xml:space="preserve">). </w:t>
      </w:r>
    </w:p>
    <w:p w14:paraId="56D597DD" w14:textId="77777777" w:rsidR="00E4619C" w:rsidRPr="00E4619C" w:rsidRDefault="00E4619C" w:rsidP="00E4619C">
      <w:pPr>
        <w:jc w:val="both"/>
      </w:pPr>
      <w:r w:rsidRPr="00E4619C">
        <w:t>Les différents index (auteurs, oeuvres littéraires et auteurs, mss, ma</w:t>
      </w:r>
      <w:r w:rsidRPr="00E4619C">
        <w:softHyphen/>
        <w:t>tière arthurienne en dehors des sources littéraires) complètent l’ouvrage, ainsi qu’une table des images, en couleurs (au centre du vol.).</w:t>
      </w:r>
    </w:p>
    <w:p w14:paraId="5B2FE81A" w14:textId="77777777" w:rsidR="00E4619C" w:rsidRPr="00E4619C" w:rsidRDefault="00E4619C" w:rsidP="00E4619C">
      <w:pPr>
        <w:jc w:val="both"/>
      </w:pPr>
      <w:r w:rsidRPr="00E4619C">
        <w:t>La liste des titres dit assez toute la richesse de cette importante somme, à la progression très cohérente et rigoureusement organisée, qui guide son lecteur à travers une masse impressionnante de matériaux, synthèses, bilans ou études originales à la croisée entre différentes disciplines.</w:t>
      </w:r>
    </w:p>
    <w:p w14:paraId="7303A594" w14:textId="57E82016" w:rsidR="00554664" w:rsidRDefault="00E4619C" w:rsidP="00E4619C">
      <w:pPr>
        <w:jc w:val="both"/>
      </w:pPr>
      <w:r w:rsidRPr="00E4619C">
        <w:t>Sophie Lecomte</w:t>
      </w:r>
    </w:p>
    <w:sectPr w:rsidR="0055466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30F1" w14:textId="77777777" w:rsidR="00E4619C" w:rsidRDefault="00E4619C" w:rsidP="00E4619C">
      <w:pPr>
        <w:spacing w:after="0" w:line="240" w:lineRule="auto"/>
      </w:pPr>
      <w:r>
        <w:separator/>
      </w:r>
    </w:p>
  </w:endnote>
  <w:endnote w:type="continuationSeparator" w:id="0">
    <w:p w14:paraId="6D41ADA9" w14:textId="77777777" w:rsidR="00E4619C" w:rsidRDefault="00E4619C" w:rsidP="00E4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2F26" w14:textId="77777777" w:rsidR="00E96D41" w:rsidRDefault="00E96D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A5EB" w14:textId="77777777" w:rsidR="00E96D41" w:rsidRDefault="00E96D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F772" w14:textId="77777777" w:rsidR="00E96D41" w:rsidRDefault="00E96D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9DE9" w14:textId="77777777" w:rsidR="00E4619C" w:rsidRDefault="00E4619C" w:rsidP="00E4619C">
      <w:pPr>
        <w:spacing w:after="0" w:line="240" w:lineRule="auto"/>
      </w:pPr>
      <w:r>
        <w:separator/>
      </w:r>
    </w:p>
  </w:footnote>
  <w:footnote w:type="continuationSeparator" w:id="0">
    <w:p w14:paraId="63099652" w14:textId="77777777" w:rsidR="00E4619C" w:rsidRDefault="00E4619C" w:rsidP="00E46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3E4B" w14:textId="77777777" w:rsidR="00E96D41" w:rsidRDefault="00E96D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56E" w14:textId="73402BCA" w:rsidR="00E4619C" w:rsidRDefault="00E96D41">
    <w:pPr>
      <w:pStyle w:val="En-tte"/>
    </w:pPr>
    <w:r>
      <w:t>Post</w:t>
    </w:r>
    <w:r w:rsidR="00E4619C">
      <w:t xml:space="preserve">print Auteur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0CFD" w14:textId="77777777" w:rsidR="00E96D41" w:rsidRDefault="00E96D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C"/>
    <w:rsid w:val="001A7468"/>
    <w:rsid w:val="002860F0"/>
    <w:rsid w:val="003116FD"/>
    <w:rsid w:val="004D3CB4"/>
    <w:rsid w:val="00500D6F"/>
    <w:rsid w:val="00554664"/>
    <w:rsid w:val="005C6E39"/>
    <w:rsid w:val="0064290D"/>
    <w:rsid w:val="00A57333"/>
    <w:rsid w:val="00B2636B"/>
    <w:rsid w:val="00C5003D"/>
    <w:rsid w:val="00D72567"/>
    <w:rsid w:val="00DB030A"/>
    <w:rsid w:val="00DE39F4"/>
    <w:rsid w:val="00E4619C"/>
    <w:rsid w:val="00E96D41"/>
    <w:rsid w:val="00ED2188"/>
    <w:rsid w:val="00F730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0F23"/>
  <w15:chartTrackingRefBased/>
  <w15:docId w15:val="{5AB3B4CA-8993-45B2-87AB-53149DB4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FD"/>
    <w:rPr>
      <w:rFonts w:ascii="Times New Roman" w:hAnsi="Times New Roman"/>
      <w:kern w:val="0"/>
      <w:sz w:val="24"/>
      <w14:ligatures w14:val="none"/>
    </w:rPr>
  </w:style>
  <w:style w:type="paragraph" w:styleId="Titre1">
    <w:name w:val="heading 1"/>
    <w:basedOn w:val="Normal"/>
    <w:next w:val="Normal"/>
    <w:link w:val="Titre1Car"/>
    <w:uiPriority w:val="9"/>
    <w:qFormat/>
    <w:rsid w:val="00E46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6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6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6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4619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461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4619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4619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4619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vcitationnel">
    <w:name w:val="Pavé citationnel"/>
    <w:basedOn w:val="Normal"/>
    <w:link w:val="PavcitationnelCar"/>
    <w:qFormat/>
    <w:rsid w:val="00ED2188"/>
    <w:pPr>
      <w:ind w:left="708" w:firstLine="360"/>
      <w:jc w:val="both"/>
    </w:pPr>
    <w:rPr>
      <w:sz w:val="18"/>
    </w:rPr>
  </w:style>
  <w:style w:type="character" w:customStyle="1" w:styleId="PavcitationnelCar">
    <w:name w:val="Pavé citationnel Car"/>
    <w:basedOn w:val="Policepardfaut"/>
    <w:link w:val="Pavcitationnel"/>
    <w:rsid w:val="00ED2188"/>
    <w:rPr>
      <w:sz w:val="18"/>
    </w:rPr>
  </w:style>
  <w:style w:type="paragraph" w:styleId="Citation">
    <w:name w:val="Quote"/>
    <w:basedOn w:val="Normal"/>
    <w:next w:val="Normal"/>
    <w:link w:val="CitationCar"/>
    <w:autoRedefine/>
    <w:uiPriority w:val="29"/>
    <w:qFormat/>
    <w:rsid w:val="003116FD"/>
    <w:pPr>
      <w:jc w:val="both"/>
    </w:pPr>
    <w:rPr>
      <w:rFonts w:cs="Times New Roman"/>
      <w:kern w:val="2"/>
      <w:sz w:val="20"/>
      <w:szCs w:val="24"/>
      <w14:ligatures w14:val="standardContextual"/>
    </w:rPr>
  </w:style>
  <w:style w:type="character" w:customStyle="1" w:styleId="CitationCar">
    <w:name w:val="Citation Car"/>
    <w:basedOn w:val="Policepardfaut"/>
    <w:link w:val="Citation"/>
    <w:uiPriority w:val="29"/>
    <w:rsid w:val="003116FD"/>
    <w:rPr>
      <w:rFonts w:ascii="Times New Roman" w:hAnsi="Times New Roman" w:cs="Times New Roman"/>
      <w:sz w:val="20"/>
      <w:szCs w:val="24"/>
    </w:rPr>
  </w:style>
  <w:style w:type="character" w:customStyle="1" w:styleId="Titre1Car">
    <w:name w:val="Titre 1 Car"/>
    <w:basedOn w:val="Policepardfaut"/>
    <w:link w:val="Titre1"/>
    <w:uiPriority w:val="9"/>
    <w:rsid w:val="00E4619C"/>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E4619C"/>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E4619C"/>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E4619C"/>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E4619C"/>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E4619C"/>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E4619C"/>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E4619C"/>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E4619C"/>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E4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619C"/>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E461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619C"/>
    <w:rPr>
      <w:rFonts w:eastAsiaTheme="majorEastAsia" w:cstheme="majorBidi"/>
      <w:color w:val="595959" w:themeColor="text1" w:themeTint="A6"/>
      <w:spacing w:val="15"/>
      <w:kern w:val="0"/>
      <w:sz w:val="28"/>
      <w:szCs w:val="28"/>
      <w14:ligatures w14:val="none"/>
    </w:rPr>
  </w:style>
  <w:style w:type="paragraph" w:styleId="Paragraphedeliste">
    <w:name w:val="List Paragraph"/>
    <w:basedOn w:val="Normal"/>
    <w:uiPriority w:val="34"/>
    <w:qFormat/>
    <w:rsid w:val="00E4619C"/>
    <w:pPr>
      <w:ind w:left="720"/>
      <w:contextualSpacing/>
    </w:pPr>
  </w:style>
  <w:style w:type="character" w:styleId="Accentuationintense">
    <w:name w:val="Intense Emphasis"/>
    <w:basedOn w:val="Policepardfaut"/>
    <w:uiPriority w:val="21"/>
    <w:qFormat/>
    <w:rsid w:val="00E4619C"/>
    <w:rPr>
      <w:i/>
      <w:iCs/>
      <w:color w:val="0F4761" w:themeColor="accent1" w:themeShade="BF"/>
    </w:rPr>
  </w:style>
  <w:style w:type="paragraph" w:styleId="Citationintense">
    <w:name w:val="Intense Quote"/>
    <w:basedOn w:val="Normal"/>
    <w:next w:val="Normal"/>
    <w:link w:val="CitationintenseCar"/>
    <w:uiPriority w:val="30"/>
    <w:qFormat/>
    <w:rsid w:val="00E46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619C"/>
    <w:rPr>
      <w:rFonts w:ascii="Times New Roman" w:hAnsi="Times New Roman"/>
      <w:i/>
      <w:iCs/>
      <w:color w:val="0F4761" w:themeColor="accent1" w:themeShade="BF"/>
      <w:kern w:val="0"/>
      <w:sz w:val="24"/>
      <w14:ligatures w14:val="none"/>
    </w:rPr>
  </w:style>
  <w:style w:type="character" w:styleId="Rfrenceintense">
    <w:name w:val="Intense Reference"/>
    <w:basedOn w:val="Policepardfaut"/>
    <w:uiPriority w:val="32"/>
    <w:qFormat/>
    <w:rsid w:val="00E4619C"/>
    <w:rPr>
      <w:b/>
      <w:bCs/>
      <w:smallCaps/>
      <w:color w:val="0F4761" w:themeColor="accent1" w:themeShade="BF"/>
      <w:spacing w:val="5"/>
    </w:rPr>
  </w:style>
  <w:style w:type="paragraph" w:styleId="En-tte">
    <w:name w:val="header"/>
    <w:basedOn w:val="Normal"/>
    <w:link w:val="En-tteCar"/>
    <w:uiPriority w:val="99"/>
    <w:unhideWhenUsed/>
    <w:rsid w:val="00E4619C"/>
    <w:pPr>
      <w:tabs>
        <w:tab w:val="center" w:pos="4536"/>
        <w:tab w:val="right" w:pos="9072"/>
      </w:tabs>
      <w:spacing w:after="0" w:line="240" w:lineRule="auto"/>
    </w:pPr>
  </w:style>
  <w:style w:type="character" w:customStyle="1" w:styleId="En-tteCar">
    <w:name w:val="En-tête Car"/>
    <w:basedOn w:val="Policepardfaut"/>
    <w:link w:val="En-tte"/>
    <w:uiPriority w:val="99"/>
    <w:rsid w:val="00E4619C"/>
    <w:rPr>
      <w:rFonts w:ascii="Times New Roman" w:hAnsi="Times New Roman"/>
      <w:kern w:val="0"/>
      <w:sz w:val="24"/>
      <w14:ligatures w14:val="none"/>
    </w:rPr>
  </w:style>
  <w:style w:type="paragraph" w:styleId="Pieddepage">
    <w:name w:val="footer"/>
    <w:basedOn w:val="Normal"/>
    <w:link w:val="PieddepageCar"/>
    <w:uiPriority w:val="99"/>
    <w:unhideWhenUsed/>
    <w:rsid w:val="00E461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19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9913</Characters>
  <Application>Microsoft Office Word</Application>
  <DocSecurity>0</DocSecurity>
  <Lines>82</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3</cp:revision>
  <dcterms:created xsi:type="dcterms:W3CDTF">2025-11-19T09:02:00Z</dcterms:created>
  <dcterms:modified xsi:type="dcterms:W3CDTF">2025-11-19T09:05:00Z</dcterms:modified>
</cp:coreProperties>
</file>