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4FCC" w14:textId="35C9554A" w:rsidR="00C13F25" w:rsidRPr="00E210C9" w:rsidRDefault="003975A5" w:rsidP="00DE54F9">
      <w:pPr>
        <w:pStyle w:val="Corpsdetexte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Gut</w:t>
      </w:r>
      <w:r w:rsidR="0005781E">
        <w:rPr>
          <w:sz w:val="22"/>
          <w:szCs w:val="22"/>
          <w:lang w:val="en-US"/>
        </w:rPr>
        <w:t>-Specific</w:t>
      </w:r>
      <w:r w:rsidR="00DE54F9">
        <w:rPr>
          <w:sz w:val="22"/>
          <w:szCs w:val="22"/>
          <w:lang w:val="en-US"/>
        </w:rPr>
        <w:t xml:space="preserve"> Neprilysin</w:t>
      </w:r>
      <w:r w:rsidR="00AE6899">
        <w:rPr>
          <w:sz w:val="22"/>
          <w:szCs w:val="22"/>
          <w:lang w:val="en-US"/>
        </w:rPr>
        <w:t xml:space="preserve"> </w:t>
      </w:r>
      <w:r w:rsidR="00DE54F9">
        <w:rPr>
          <w:sz w:val="22"/>
          <w:szCs w:val="22"/>
          <w:lang w:val="en-US"/>
        </w:rPr>
        <w:t xml:space="preserve">Deletion </w:t>
      </w:r>
      <w:r w:rsidR="00802EFF" w:rsidRPr="00E210C9">
        <w:rPr>
          <w:sz w:val="22"/>
          <w:szCs w:val="22"/>
          <w:lang w:val="en-US"/>
        </w:rPr>
        <w:t>Increase</w:t>
      </w:r>
      <w:r w:rsidR="00DE54F9">
        <w:rPr>
          <w:sz w:val="22"/>
          <w:szCs w:val="22"/>
          <w:lang w:val="en-US"/>
        </w:rPr>
        <w:t>s</w:t>
      </w:r>
      <w:r w:rsidR="00802EFF" w:rsidRPr="00E210C9">
        <w:rPr>
          <w:sz w:val="22"/>
          <w:szCs w:val="22"/>
          <w:lang w:val="en-US"/>
        </w:rPr>
        <w:t xml:space="preserve"> </w:t>
      </w:r>
      <w:r w:rsidR="00D530D6" w:rsidRPr="00E210C9">
        <w:rPr>
          <w:sz w:val="22"/>
          <w:szCs w:val="22"/>
          <w:lang w:val="en-US"/>
        </w:rPr>
        <w:t>Insulin S</w:t>
      </w:r>
      <w:r w:rsidR="00F752B5" w:rsidRPr="00E210C9">
        <w:rPr>
          <w:sz w:val="22"/>
          <w:szCs w:val="22"/>
          <w:lang w:val="en-US"/>
        </w:rPr>
        <w:t>ecretion</w:t>
      </w:r>
      <w:r w:rsidR="00F92B31">
        <w:rPr>
          <w:sz w:val="22"/>
          <w:szCs w:val="22"/>
          <w:lang w:val="en-US"/>
        </w:rPr>
        <w:t xml:space="preserve"> </w:t>
      </w:r>
      <w:r w:rsidR="00DE54F9">
        <w:rPr>
          <w:sz w:val="22"/>
          <w:szCs w:val="22"/>
          <w:lang w:val="en-US"/>
        </w:rPr>
        <w:t>in High-Fat-Fed Mice</w:t>
      </w:r>
    </w:p>
    <w:p w14:paraId="3371F43E" w14:textId="4901FC35" w:rsidR="00C13F25" w:rsidRPr="00C50E7C" w:rsidRDefault="00C13F25" w:rsidP="008B13E7">
      <w:pPr>
        <w:pStyle w:val="Corpsdetexte"/>
        <w:jc w:val="center"/>
        <w:rPr>
          <w:b w:val="0"/>
          <w:bCs/>
          <w:sz w:val="22"/>
          <w:szCs w:val="22"/>
          <w:lang w:val="en-US"/>
        </w:rPr>
      </w:pPr>
    </w:p>
    <w:p w14:paraId="35B3ABAA" w14:textId="5EC9A798" w:rsidR="00C13F25" w:rsidRPr="00E210C9" w:rsidRDefault="00C13F25" w:rsidP="008B13E7">
      <w:pPr>
        <w:spacing w:line="360" w:lineRule="auto"/>
        <w:jc w:val="center"/>
        <w:rPr>
          <w:sz w:val="22"/>
          <w:szCs w:val="22"/>
          <w:lang w:val="en-US"/>
        </w:rPr>
      </w:pPr>
      <w:r w:rsidRPr="00E210C9">
        <w:rPr>
          <w:sz w:val="22"/>
          <w:szCs w:val="22"/>
          <w:lang w:val="en-US"/>
        </w:rPr>
        <w:t>Nathalie Esser</w:t>
      </w:r>
      <w:r w:rsidR="00E210C9" w:rsidRPr="00E210C9">
        <w:rPr>
          <w:sz w:val="22"/>
          <w:szCs w:val="22"/>
          <w:vertAlign w:val="superscript"/>
          <w:lang w:val="en-US"/>
        </w:rPr>
        <w:t>1,2</w:t>
      </w:r>
      <w:r w:rsidRPr="00E210C9">
        <w:rPr>
          <w:sz w:val="22"/>
          <w:szCs w:val="22"/>
          <w:lang w:val="en-US"/>
        </w:rPr>
        <w:t xml:space="preserve">, </w:t>
      </w:r>
      <w:r w:rsidR="00037D8B" w:rsidRPr="00E210C9">
        <w:rPr>
          <w:sz w:val="22"/>
          <w:szCs w:val="22"/>
          <w:lang w:val="en-US"/>
        </w:rPr>
        <w:t>Steve Mongovin</w:t>
      </w:r>
      <w:r w:rsidR="00E210C9" w:rsidRPr="00E210C9">
        <w:rPr>
          <w:sz w:val="22"/>
          <w:szCs w:val="22"/>
          <w:vertAlign w:val="superscript"/>
          <w:lang w:val="en-US"/>
        </w:rPr>
        <w:t>1</w:t>
      </w:r>
      <w:r w:rsidR="00037D8B" w:rsidRPr="00E210C9">
        <w:rPr>
          <w:sz w:val="22"/>
          <w:szCs w:val="22"/>
          <w:lang w:val="en-US"/>
        </w:rPr>
        <w:t xml:space="preserve">, </w:t>
      </w:r>
      <w:r w:rsidR="00F752B5" w:rsidRPr="00E210C9">
        <w:rPr>
          <w:sz w:val="22"/>
          <w:szCs w:val="22"/>
          <w:lang w:val="en-US"/>
        </w:rPr>
        <w:t>Breanne M. Barrow</w:t>
      </w:r>
      <w:r w:rsidR="00E210C9" w:rsidRPr="00E210C9">
        <w:rPr>
          <w:sz w:val="22"/>
          <w:szCs w:val="22"/>
          <w:vertAlign w:val="superscript"/>
          <w:lang w:val="en-US"/>
        </w:rPr>
        <w:t>1</w:t>
      </w:r>
      <w:r w:rsidR="00037D8B" w:rsidRPr="00E210C9">
        <w:rPr>
          <w:sz w:val="22"/>
          <w:szCs w:val="22"/>
          <w:lang w:val="en-US"/>
        </w:rPr>
        <w:t>,</w:t>
      </w:r>
      <w:r w:rsidR="00F752B5" w:rsidRPr="00E210C9">
        <w:rPr>
          <w:sz w:val="22"/>
          <w:szCs w:val="22"/>
          <w:lang w:val="en-US"/>
        </w:rPr>
        <w:t xml:space="preserve"> and </w:t>
      </w:r>
      <w:proofErr w:type="spellStart"/>
      <w:r w:rsidRPr="00E210C9">
        <w:rPr>
          <w:sz w:val="22"/>
          <w:szCs w:val="22"/>
          <w:lang w:val="en-US"/>
        </w:rPr>
        <w:t>Sakeneh</w:t>
      </w:r>
      <w:proofErr w:type="spellEnd"/>
      <w:r w:rsidRPr="00E210C9">
        <w:rPr>
          <w:sz w:val="22"/>
          <w:szCs w:val="22"/>
          <w:lang w:val="en-US"/>
        </w:rPr>
        <w:t xml:space="preserve"> Zraika</w:t>
      </w:r>
      <w:r w:rsidR="00E210C9" w:rsidRPr="00E210C9">
        <w:rPr>
          <w:sz w:val="22"/>
          <w:szCs w:val="22"/>
          <w:vertAlign w:val="superscript"/>
          <w:lang w:val="en-US"/>
        </w:rPr>
        <w:t>1</w:t>
      </w:r>
    </w:p>
    <w:p w14:paraId="4864E583" w14:textId="77777777" w:rsidR="00F752B5" w:rsidRPr="00E210C9" w:rsidRDefault="00F752B5" w:rsidP="008B13E7">
      <w:pPr>
        <w:spacing w:line="360" w:lineRule="auto"/>
        <w:jc w:val="center"/>
        <w:rPr>
          <w:sz w:val="22"/>
          <w:szCs w:val="22"/>
          <w:lang w:val="en-US"/>
        </w:rPr>
      </w:pPr>
    </w:p>
    <w:p w14:paraId="2E939461" w14:textId="3265D28C" w:rsidR="00E210C9" w:rsidRDefault="00E210C9" w:rsidP="00E210C9">
      <w:pPr>
        <w:spacing w:line="360" w:lineRule="auto"/>
        <w:jc w:val="center"/>
        <w:rPr>
          <w:sz w:val="20"/>
          <w:lang w:val="en-US"/>
        </w:rPr>
      </w:pPr>
      <w:r w:rsidRPr="00E210C9">
        <w:rPr>
          <w:sz w:val="20"/>
          <w:vertAlign w:val="superscript"/>
          <w:lang w:val="en-US"/>
        </w:rPr>
        <w:t>1</w:t>
      </w:r>
      <w:r w:rsidR="00C13F25" w:rsidRPr="00E210C9">
        <w:rPr>
          <w:sz w:val="20"/>
          <w:lang w:val="en-US"/>
        </w:rPr>
        <w:t>Division of Metabolism, Endocrinology and Nutrition, Department of Medicine, VA Puget Sound Health Care System and University of Washington, Seattle, WA 98108</w:t>
      </w:r>
      <w:r>
        <w:rPr>
          <w:sz w:val="20"/>
          <w:lang w:val="en-US"/>
        </w:rPr>
        <w:t>, USA</w:t>
      </w:r>
    </w:p>
    <w:p w14:paraId="751D1FED" w14:textId="29F51999" w:rsidR="00E210C9" w:rsidRPr="00E210C9" w:rsidRDefault="00E210C9" w:rsidP="00E210C9">
      <w:pPr>
        <w:spacing w:line="360" w:lineRule="auto"/>
        <w:jc w:val="center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>2</w:t>
      </w:r>
      <w:r>
        <w:rPr>
          <w:sz w:val="20"/>
          <w:lang w:val="en-US"/>
        </w:rPr>
        <w:t xml:space="preserve">Laboratory of Immunometabolism and Nutrition, GIGA-I3, </w:t>
      </w:r>
      <w:proofErr w:type="spellStart"/>
      <w:r>
        <w:rPr>
          <w:sz w:val="20"/>
          <w:lang w:val="en-US"/>
        </w:rPr>
        <w:t>ULiège</w:t>
      </w:r>
      <w:proofErr w:type="spellEnd"/>
      <w:r>
        <w:rPr>
          <w:sz w:val="20"/>
          <w:lang w:val="en-US"/>
        </w:rPr>
        <w:t>, CHU Liège, Liège, Belgium</w:t>
      </w:r>
    </w:p>
    <w:p w14:paraId="0DF41AC6" w14:textId="795EBE3B" w:rsidR="00C13F25" w:rsidRPr="00C50E7C" w:rsidRDefault="00C13F25" w:rsidP="008B13E7">
      <w:pPr>
        <w:spacing w:line="360" w:lineRule="auto"/>
        <w:jc w:val="center"/>
        <w:rPr>
          <w:sz w:val="22"/>
          <w:szCs w:val="22"/>
          <w:lang w:val="en-US"/>
        </w:rPr>
      </w:pPr>
    </w:p>
    <w:p w14:paraId="51EF380C" w14:textId="5BAA8DAD" w:rsidR="00DF256B" w:rsidRPr="00E210C9" w:rsidRDefault="00754A86" w:rsidP="001A2BB1">
      <w:pPr>
        <w:spacing w:line="360" w:lineRule="auto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</w:t>
      </w:r>
      <w:r w:rsidR="00672C7D" w:rsidRPr="00E210C9">
        <w:rPr>
          <w:sz w:val="22"/>
          <w:szCs w:val="22"/>
          <w:lang w:val="en-US"/>
        </w:rPr>
        <w:t>lobal deletion</w:t>
      </w:r>
      <w:r>
        <w:rPr>
          <w:sz w:val="22"/>
          <w:szCs w:val="22"/>
          <w:lang w:val="en-US"/>
        </w:rPr>
        <w:t xml:space="preserve"> of the </w:t>
      </w:r>
      <w:r w:rsidR="00823226">
        <w:rPr>
          <w:sz w:val="22"/>
          <w:szCs w:val="22"/>
          <w:lang w:val="en-US"/>
        </w:rPr>
        <w:t xml:space="preserve">ubiquitous </w:t>
      </w:r>
      <w:r>
        <w:rPr>
          <w:sz w:val="22"/>
          <w:szCs w:val="22"/>
          <w:lang w:val="en-US"/>
        </w:rPr>
        <w:t xml:space="preserve">peptidase </w:t>
      </w:r>
      <w:r w:rsidR="005B7D3F">
        <w:rPr>
          <w:sz w:val="22"/>
          <w:szCs w:val="22"/>
          <w:lang w:val="en-US"/>
        </w:rPr>
        <w:t>neprilysin (</w:t>
      </w:r>
      <w:r>
        <w:rPr>
          <w:sz w:val="22"/>
          <w:szCs w:val="22"/>
          <w:lang w:val="en-US"/>
        </w:rPr>
        <w:t>NEP</w:t>
      </w:r>
      <w:r w:rsidR="005B7D3F">
        <w:rPr>
          <w:sz w:val="22"/>
          <w:szCs w:val="22"/>
          <w:lang w:val="en-US"/>
        </w:rPr>
        <w:t>)</w:t>
      </w:r>
      <w:r w:rsidR="00672C7D" w:rsidRPr="00E210C9">
        <w:rPr>
          <w:sz w:val="22"/>
          <w:szCs w:val="22"/>
          <w:lang w:val="en-US"/>
        </w:rPr>
        <w:t xml:space="preserve"> </w:t>
      </w:r>
      <w:r w:rsidR="00990DA4">
        <w:rPr>
          <w:sz w:val="22"/>
          <w:szCs w:val="22"/>
          <w:lang w:val="en-US"/>
        </w:rPr>
        <w:t xml:space="preserve">protects against </w:t>
      </w:r>
      <w:r>
        <w:rPr>
          <w:sz w:val="22"/>
          <w:szCs w:val="22"/>
          <w:lang w:val="en-US"/>
        </w:rPr>
        <w:t xml:space="preserve">high </w:t>
      </w:r>
      <w:r w:rsidR="00990DA4">
        <w:rPr>
          <w:sz w:val="22"/>
          <w:szCs w:val="22"/>
          <w:lang w:val="en-US"/>
        </w:rPr>
        <w:t>fat</w:t>
      </w:r>
      <w:r>
        <w:rPr>
          <w:sz w:val="22"/>
          <w:szCs w:val="22"/>
          <w:lang w:val="en-US"/>
        </w:rPr>
        <w:t xml:space="preserve"> diet (HFD)</w:t>
      </w:r>
      <w:r w:rsidR="00990DA4">
        <w:rPr>
          <w:sz w:val="22"/>
          <w:szCs w:val="22"/>
          <w:lang w:val="en-US"/>
        </w:rPr>
        <w:t>-induced insulin secretory dysfunction</w:t>
      </w:r>
      <w:r w:rsidR="00672C7D" w:rsidRPr="00E210C9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9938E9">
        <w:rPr>
          <w:sz w:val="22"/>
          <w:szCs w:val="22"/>
          <w:lang w:val="en-US"/>
        </w:rPr>
        <w:t xml:space="preserve">Since </w:t>
      </w:r>
      <w:r>
        <w:rPr>
          <w:sz w:val="22"/>
          <w:szCs w:val="22"/>
          <w:lang w:val="en-US"/>
        </w:rPr>
        <w:t>NEP is expressed in the gut</w:t>
      </w:r>
      <w:r w:rsidR="009938E9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it can cleave locally produced insulinotropic peptides. W</w:t>
      </w:r>
      <w:r w:rsidR="00F35D16" w:rsidRPr="00E210C9">
        <w:rPr>
          <w:sz w:val="22"/>
          <w:szCs w:val="22"/>
          <w:lang w:val="en-US"/>
        </w:rPr>
        <w:t xml:space="preserve">e previously found </w:t>
      </w:r>
      <w:r w:rsidR="00201F74">
        <w:rPr>
          <w:sz w:val="22"/>
          <w:szCs w:val="22"/>
          <w:lang w:val="en-US"/>
        </w:rPr>
        <w:t xml:space="preserve">that </w:t>
      </w:r>
      <w:r w:rsidR="001435C8">
        <w:rPr>
          <w:sz w:val="22"/>
          <w:szCs w:val="22"/>
          <w:lang w:val="en-US"/>
        </w:rPr>
        <w:t xml:space="preserve">under physiological conditions, </w:t>
      </w:r>
      <w:r w:rsidR="00F35D16" w:rsidRPr="00E210C9">
        <w:rPr>
          <w:sz w:val="22"/>
          <w:szCs w:val="22"/>
          <w:lang w:val="en-US"/>
        </w:rPr>
        <w:t xml:space="preserve">acute </w:t>
      </w:r>
      <w:r w:rsidR="00201F74" w:rsidRPr="00E210C9">
        <w:rPr>
          <w:sz w:val="22"/>
          <w:szCs w:val="22"/>
          <w:lang w:val="en-US"/>
        </w:rPr>
        <w:t xml:space="preserve">inhibition </w:t>
      </w:r>
      <w:r w:rsidR="00201F74">
        <w:rPr>
          <w:sz w:val="22"/>
          <w:szCs w:val="22"/>
          <w:lang w:val="en-US"/>
        </w:rPr>
        <w:t xml:space="preserve">of </w:t>
      </w:r>
      <w:r w:rsidR="00AE6899">
        <w:rPr>
          <w:sz w:val="22"/>
          <w:szCs w:val="22"/>
          <w:lang w:val="en-US"/>
        </w:rPr>
        <w:t xml:space="preserve">gut NEP </w:t>
      </w:r>
      <w:r w:rsidR="00F35D16" w:rsidRPr="00E210C9">
        <w:rPr>
          <w:sz w:val="22"/>
          <w:szCs w:val="22"/>
          <w:lang w:val="en-US"/>
        </w:rPr>
        <w:t>enhance</w:t>
      </w:r>
      <w:r w:rsidR="00D40118">
        <w:rPr>
          <w:sz w:val="22"/>
          <w:szCs w:val="22"/>
          <w:lang w:val="en-US"/>
        </w:rPr>
        <w:t>s</w:t>
      </w:r>
      <w:r w:rsidR="00F35D16" w:rsidRPr="00E210C9">
        <w:rPr>
          <w:sz w:val="22"/>
          <w:szCs w:val="22"/>
          <w:lang w:val="en-US"/>
        </w:rPr>
        <w:t xml:space="preserve"> </w:t>
      </w:r>
      <w:r w:rsidR="0005781E">
        <w:rPr>
          <w:sz w:val="22"/>
          <w:szCs w:val="22"/>
          <w:lang w:val="en-US"/>
        </w:rPr>
        <w:t>glucose-stimulated insulin secretion (</w:t>
      </w:r>
      <w:r w:rsidR="00F35D16" w:rsidRPr="00E210C9">
        <w:rPr>
          <w:sz w:val="22"/>
          <w:szCs w:val="22"/>
          <w:lang w:val="en-US"/>
        </w:rPr>
        <w:t>GSIS</w:t>
      </w:r>
      <w:r w:rsidR="0005781E">
        <w:rPr>
          <w:sz w:val="22"/>
          <w:szCs w:val="22"/>
          <w:lang w:val="en-US"/>
        </w:rPr>
        <w:t>)</w:t>
      </w:r>
      <w:r w:rsidR="00F35D16" w:rsidRPr="00E210C9">
        <w:rPr>
          <w:sz w:val="22"/>
          <w:szCs w:val="22"/>
          <w:lang w:val="en-US"/>
        </w:rPr>
        <w:t xml:space="preserve"> in mice</w:t>
      </w:r>
      <w:r w:rsidR="00F35D16">
        <w:rPr>
          <w:sz w:val="22"/>
          <w:szCs w:val="22"/>
          <w:lang w:val="en-US"/>
        </w:rPr>
        <w:t>.</w:t>
      </w:r>
      <w:r w:rsidR="00672C7D" w:rsidRPr="00E210C9">
        <w:rPr>
          <w:sz w:val="22"/>
          <w:szCs w:val="22"/>
          <w:lang w:val="en-US"/>
        </w:rPr>
        <w:t xml:space="preserve"> </w:t>
      </w:r>
      <w:r w:rsidR="005A32CD">
        <w:rPr>
          <w:sz w:val="22"/>
          <w:szCs w:val="22"/>
          <w:lang w:val="en-US"/>
        </w:rPr>
        <w:t>Thus, w</w:t>
      </w:r>
      <w:r w:rsidR="00DF256B" w:rsidRPr="00E210C9">
        <w:rPr>
          <w:sz w:val="22"/>
          <w:szCs w:val="22"/>
          <w:lang w:val="en-US"/>
        </w:rPr>
        <w:t>e determine</w:t>
      </w:r>
      <w:r w:rsidR="00965F8C">
        <w:rPr>
          <w:sz w:val="22"/>
          <w:szCs w:val="22"/>
          <w:lang w:val="en-US"/>
        </w:rPr>
        <w:t>d</w:t>
      </w:r>
      <w:r w:rsidR="000601F4">
        <w:rPr>
          <w:sz w:val="22"/>
          <w:szCs w:val="22"/>
          <w:lang w:val="en-US"/>
        </w:rPr>
        <w:t xml:space="preserve"> </w:t>
      </w:r>
      <w:r w:rsidR="00F35D16">
        <w:rPr>
          <w:sz w:val="22"/>
          <w:szCs w:val="22"/>
          <w:lang w:val="en-US"/>
        </w:rPr>
        <w:t>whether</w:t>
      </w:r>
      <w:r w:rsidR="00F52743">
        <w:rPr>
          <w:sz w:val="22"/>
          <w:szCs w:val="22"/>
          <w:lang w:val="en-US"/>
        </w:rPr>
        <w:t xml:space="preserve"> </w:t>
      </w:r>
      <w:r w:rsidR="00201F74">
        <w:rPr>
          <w:sz w:val="22"/>
          <w:szCs w:val="22"/>
          <w:lang w:val="en-US"/>
        </w:rPr>
        <w:t>this</w:t>
      </w:r>
      <w:r w:rsidR="00F35D16">
        <w:rPr>
          <w:sz w:val="22"/>
          <w:szCs w:val="22"/>
          <w:lang w:val="en-US"/>
        </w:rPr>
        <w:t xml:space="preserve"> </w:t>
      </w:r>
      <w:r w:rsidR="00823226">
        <w:rPr>
          <w:sz w:val="22"/>
          <w:szCs w:val="22"/>
          <w:lang w:val="en-US"/>
        </w:rPr>
        <w:t xml:space="preserve">beneficial </w:t>
      </w:r>
      <w:r w:rsidR="00F35D16">
        <w:rPr>
          <w:sz w:val="22"/>
          <w:szCs w:val="22"/>
          <w:lang w:val="en-US"/>
        </w:rPr>
        <w:t xml:space="preserve">effect on GSIS </w:t>
      </w:r>
      <w:r w:rsidR="00201F74">
        <w:rPr>
          <w:sz w:val="22"/>
          <w:szCs w:val="22"/>
          <w:lang w:val="en-US"/>
        </w:rPr>
        <w:t xml:space="preserve">also </w:t>
      </w:r>
      <w:r w:rsidR="00F35D16">
        <w:rPr>
          <w:sz w:val="22"/>
          <w:szCs w:val="22"/>
          <w:lang w:val="en-US"/>
        </w:rPr>
        <w:t>occur</w:t>
      </w:r>
      <w:r w:rsidR="00BE6F14">
        <w:rPr>
          <w:sz w:val="22"/>
          <w:szCs w:val="22"/>
          <w:lang w:val="en-US"/>
        </w:rPr>
        <w:t>s</w:t>
      </w:r>
      <w:r w:rsidR="00F35D16">
        <w:rPr>
          <w:sz w:val="22"/>
          <w:szCs w:val="22"/>
          <w:lang w:val="en-US"/>
        </w:rPr>
        <w:t xml:space="preserve"> in</w:t>
      </w:r>
      <w:r w:rsidR="0020015C">
        <w:rPr>
          <w:sz w:val="22"/>
          <w:szCs w:val="22"/>
          <w:lang w:val="en-US"/>
        </w:rPr>
        <w:t xml:space="preserve"> </w:t>
      </w:r>
      <w:r w:rsidR="00F35D16">
        <w:rPr>
          <w:sz w:val="22"/>
          <w:szCs w:val="22"/>
          <w:lang w:val="en-US"/>
        </w:rPr>
        <w:t>mice with</w:t>
      </w:r>
      <w:r w:rsidR="00DF256B" w:rsidRPr="00E210C9">
        <w:rPr>
          <w:sz w:val="22"/>
          <w:szCs w:val="22"/>
          <w:lang w:val="en-US"/>
        </w:rPr>
        <w:t xml:space="preserve"> </w:t>
      </w:r>
      <w:r w:rsidR="000A5CE4">
        <w:rPr>
          <w:sz w:val="22"/>
          <w:szCs w:val="22"/>
          <w:lang w:val="en-US"/>
        </w:rPr>
        <w:t>gut</w:t>
      </w:r>
      <w:r w:rsidR="00F35D16">
        <w:rPr>
          <w:sz w:val="22"/>
          <w:szCs w:val="22"/>
          <w:lang w:val="en-US"/>
        </w:rPr>
        <w:t>-specific</w:t>
      </w:r>
      <w:r w:rsidR="00DF256B" w:rsidRPr="00E210C9">
        <w:rPr>
          <w:sz w:val="22"/>
          <w:szCs w:val="22"/>
          <w:lang w:val="en-US"/>
        </w:rPr>
        <w:t xml:space="preserve"> </w:t>
      </w:r>
      <w:r w:rsidR="00643F2E">
        <w:rPr>
          <w:sz w:val="22"/>
          <w:szCs w:val="22"/>
          <w:lang w:val="en-US"/>
        </w:rPr>
        <w:t xml:space="preserve">NEP </w:t>
      </w:r>
      <w:r w:rsidR="00F35D16" w:rsidRPr="00E210C9">
        <w:rPr>
          <w:sz w:val="22"/>
          <w:szCs w:val="22"/>
          <w:lang w:val="en-US"/>
        </w:rPr>
        <w:t>deletion</w:t>
      </w:r>
      <w:r w:rsidR="00201F74">
        <w:rPr>
          <w:sz w:val="22"/>
          <w:szCs w:val="22"/>
          <w:lang w:val="en-US"/>
        </w:rPr>
        <w:t xml:space="preserve"> </w:t>
      </w:r>
      <w:r w:rsidR="00823226">
        <w:rPr>
          <w:sz w:val="22"/>
          <w:szCs w:val="22"/>
          <w:lang w:val="en-US"/>
        </w:rPr>
        <w:t>that are fed HFD</w:t>
      </w:r>
      <w:r w:rsidR="00201F74">
        <w:rPr>
          <w:sz w:val="22"/>
          <w:szCs w:val="22"/>
          <w:lang w:val="en-US"/>
        </w:rPr>
        <w:t>.</w:t>
      </w:r>
    </w:p>
    <w:p w14:paraId="2549291B" w14:textId="09E10F23" w:rsidR="00994C0B" w:rsidRDefault="000A5CE4" w:rsidP="001A2BB1">
      <w:pPr>
        <w:spacing w:line="360" w:lineRule="auto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</w:t>
      </w:r>
      <w:r w:rsidR="00DF256B" w:rsidRPr="00935191">
        <w:rPr>
          <w:sz w:val="22"/>
          <w:szCs w:val="22"/>
          <w:lang w:val="en-US"/>
        </w:rPr>
        <w:t xml:space="preserve">ice with </w:t>
      </w:r>
      <w:r>
        <w:rPr>
          <w:sz w:val="22"/>
          <w:szCs w:val="22"/>
          <w:lang w:val="en-US"/>
        </w:rPr>
        <w:t>conditional</w:t>
      </w:r>
      <w:r w:rsidRPr="00935191">
        <w:rPr>
          <w:sz w:val="22"/>
          <w:szCs w:val="22"/>
          <w:lang w:val="en-US"/>
        </w:rPr>
        <w:t xml:space="preserve"> </w:t>
      </w:r>
      <w:r w:rsidR="0020015C">
        <w:rPr>
          <w:sz w:val="22"/>
          <w:szCs w:val="22"/>
          <w:lang w:val="en-US"/>
        </w:rPr>
        <w:t>deletion</w:t>
      </w:r>
      <w:r w:rsidR="0020015C" w:rsidRPr="00935191">
        <w:rPr>
          <w:sz w:val="22"/>
          <w:szCs w:val="22"/>
          <w:lang w:val="en-US"/>
        </w:rPr>
        <w:t xml:space="preserve"> </w:t>
      </w:r>
      <w:r w:rsidR="00DF256B" w:rsidRPr="00935191">
        <w:rPr>
          <w:sz w:val="22"/>
          <w:szCs w:val="22"/>
          <w:lang w:val="en-US"/>
        </w:rPr>
        <w:t xml:space="preserve">of NEP in enterocytes </w:t>
      </w:r>
      <w:r w:rsidR="00B61890" w:rsidRPr="00935191">
        <w:rPr>
          <w:sz w:val="22"/>
          <w:szCs w:val="22"/>
          <w:lang w:val="en-US"/>
        </w:rPr>
        <w:t>(</w:t>
      </w:r>
      <w:proofErr w:type="spellStart"/>
      <w:r w:rsidR="00B61890" w:rsidRPr="00935191">
        <w:rPr>
          <w:sz w:val="22"/>
          <w:szCs w:val="22"/>
          <w:lang w:val="en-US"/>
        </w:rPr>
        <w:t>NEP</w:t>
      </w:r>
      <w:r w:rsidR="00B61890" w:rsidRPr="00754A86">
        <w:rPr>
          <w:sz w:val="22"/>
          <w:szCs w:val="22"/>
          <w:vertAlign w:val="superscript"/>
          <w:lang w:val="en-US"/>
        </w:rPr>
        <w:t>Gut</w:t>
      </w:r>
      <w:proofErr w:type="spellEnd"/>
      <w:r w:rsidR="00B61890" w:rsidRPr="00754A86">
        <w:rPr>
          <w:sz w:val="22"/>
          <w:szCs w:val="22"/>
          <w:vertAlign w:val="superscript"/>
          <w:lang w:val="en-US"/>
        </w:rPr>
        <w:t>-/-</w:t>
      </w:r>
      <w:r w:rsidR="00B61890" w:rsidRPr="00935191">
        <w:rPr>
          <w:sz w:val="22"/>
          <w:szCs w:val="22"/>
          <w:lang w:val="en-US"/>
        </w:rPr>
        <w:t>)</w:t>
      </w:r>
      <w:r w:rsidR="00935191" w:rsidRPr="0093519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were generated </w:t>
      </w:r>
      <w:r w:rsidR="00935191">
        <w:rPr>
          <w:sz w:val="22"/>
          <w:szCs w:val="22"/>
          <w:lang w:val="en-US"/>
        </w:rPr>
        <w:t xml:space="preserve">by crossing </w:t>
      </w:r>
      <w:r w:rsidR="00935191" w:rsidRPr="00825B38">
        <w:rPr>
          <w:sz w:val="22"/>
          <w:szCs w:val="22"/>
          <w:lang w:val="en-US"/>
        </w:rPr>
        <w:t>Vil</w:t>
      </w:r>
      <w:r w:rsidR="002C1AB1">
        <w:rPr>
          <w:sz w:val="22"/>
          <w:szCs w:val="22"/>
          <w:lang w:val="en-US"/>
        </w:rPr>
        <w:t>1</w:t>
      </w:r>
      <w:r w:rsidR="00935191" w:rsidRPr="00825B38">
        <w:rPr>
          <w:sz w:val="22"/>
          <w:szCs w:val="22"/>
          <w:lang w:val="en-US"/>
        </w:rPr>
        <w:t>-</w:t>
      </w:r>
      <w:r w:rsidR="002C1AB1">
        <w:rPr>
          <w:sz w:val="22"/>
          <w:szCs w:val="22"/>
          <w:lang w:val="en-US"/>
        </w:rPr>
        <w:t>c</w:t>
      </w:r>
      <w:r w:rsidR="00935191" w:rsidRPr="00825B38">
        <w:rPr>
          <w:sz w:val="22"/>
          <w:szCs w:val="22"/>
          <w:lang w:val="en-US"/>
        </w:rPr>
        <w:t>re</w:t>
      </w:r>
      <w:r w:rsidR="00826775">
        <w:rPr>
          <w:sz w:val="22"/>
          <w:szCs w:val="22"/>
          <w:lang w:val="en-US"/>
        </w:rPr>
        <w:t xml:space="preserve"> and </w:t>
      </w:r>
      <w:proofErr w:type="spellStart"/>
      <w:r w:rsidR="002C1AB1">
        <w:rPr>
          <w:sz w:val="22"/>
          <w:szCs w:val="22"/>
          <w:lang w:val="en-US"/>
        </w:rPr>
        <w:t>floxed</w:t>
      </w:r>
      <w:proofErr w:type="spellEnd"/>
      <w:r w:rsidR="002C1AB1">
        <w:rPr>
          <w:sz w:val="22"/>
          <w:szCs w:val="22"/>
          <w:lang w:val="en-US"/>
        </w:rPr>
        <w:t xml:space="preserve"> </w:t>
      </w:r>
      <w:r w:rsidR="00826775">
        <w:rPr>
          <w:sz w:val="22"/>
          <w:szCs w:val="22"/>
          <w:lang w:val="en-US"/>
        </w:rPr>
        <w:t xml:space="preserve">NEP </w:t>
      </w:r>
      <w:r w:rsidR="00935191">
        <w:rPr>
          <w:sz w:val="22"/>
          <w:szCs w:val="22"/>
          <w:lang w:val="en-US"/>
        </w:rPr>
        <w:t>mice</w:t>
      </w:r>
      <w:r w:rsidR="00DF256B" w:rsidRPr="00935191">
        <w:rPr>
          <w:sz w:val="22"/>
          <w:szCs w:val="22"/>
          <w:lang w:val="en-US"/>
        </w:rPr>
        <w:t>.</w:t>
      </w:r>
      <w:r w:rsidR="00DC22E1">
        <w:rPr>
          <w:sz w:val="22"/>
          <w:szCs w:val="22"/>
          <w:lang w:val="en-US"/>
        </w:rPr>
        <w:t xml:space="preserve"> </w:t>
      </w:r>
      <w:r w:rsidR="00DF256B" w:rsidRPr="008F5063">
        <w:rPr>
          <w:sz w:val="22"/>
          <w:szCs w:val="22"/>
          <w:lang w:val="en-US"/>
        </w:rPr>
        <w:t>NEP activity was</w:t>
      </w:r>
      <w:r w:rsidR="003B1FFE">
        <w:rPr>
          <w:sz w:val="22"/>
          <w:szCs w:val="22"/>
          <w:lang w:val="en-US"/>
        </w:rPr>
        <w:t xml:space="preserve"> </w:t>
      </w:r>
      <w:r w:rsidR="00636B53">
        <w:rPr>
          <w:sz w:val="22"/>
          <w:szCs w:val="22"/>
          <w:lang w:val="en-US"/>
        </w:rPr>
        <w:t xml:space="preserve">almost </w:t>
      </w:r>
      <w:r w:rsidR="00201F74">
        <w:rPr>
          <w:sz w:val="22"/>
          <w:szCs w:val="22"/>
          <w:lang w:val="en-US"/>
        </w:rPr>
        <w:t>abolished</w:t>
      </w:r>
      <w:r w:rsidR="003B1FFE">
        <w:rPr>
          <w:sz w:val="22"/>
          <w:szCs w:val="22"/>
          <w:lang w:val="en-US"/>
        </w:rPr>
        <w:t xml:space="preserve"> </w:t>
      </w:r>
      <w:r w:rsidR="00636B53">
        <w:rPr>
          <w:sz w:val="22"/>
          <w:szCs w:val="22"/>
          <w:lang w:val="en-US"/>
        </w:rPr>
        <w:t xml:space="preserve">throughout </w:t>
      </w:r>
      <w:r w:rsidR="003B1FFE">
        <w:rPr>
          <w:sz w:val="22"/>
          <w:szCs w:val="22"/>
          <w:lang w:val="en-US"/>
        </w:rPr>
        <w:t xml:space="preserve">the </w:t>
      </w:r>
      <w:r w:rsidR="00F92B31">
        <w:rPr>
          <w:sz w:val="22"/>
          <w:szCs w:val="22"/>
          <w:lang w:val="en-US"/>
        </w:rPr>
        <w:t xml:space="preserve">gut </w:t>
      </w:r>
      <w:r w:rsidR="00754A86">
        <w:rPr>
          <w:sz w:val="22"/>
          <w:szCs w:val="22"/>
          <w:lang w:val="en-US"/>
        </w:rPr>
        <w:t xml:space="preserve">in </w:t>
      </w:r>
      <w:proofErr w:type="spellStart"/>
      <w:r w:rsidR="003B1FFE" w:rsidRPr="008F5063">
        <w:rPr>
          <w:sz w:val="22"/>
          <w:szCs w:val="22"/>
          <w:lang w:val="en-US"/>
        </w:rPr>
        <w:t>NEP</w:t>
      </w:r>
      <w:r w:rsidR="003B1FFE" w:rsidRPr="00754A86">
        <w:rPr>
          <w:sz w:val="22"/>
          <w:szCs w:val="22"/>
          <w:vertAlign w:val="superscript"/>
          <w:lang w:val="en-US"/>
        </w:rPr>
        <w:t>Gut</w:t>
      </w:r>
      <w:proofErr w:type="spellEnd"/>
      <w:r w:rsidR="003B1FFE" w:rsidRPr="00754A86">
        <w:rPr>
          <w:sz w:val="22"/>
          <w:szCs w:val="22"/>
          <w:vertAlign w:val="superscript"/>
          <w:lang w:val="en-US"/>
        </w:rPr>
        <w:t>-/-</w:t>
      </w:r>
      <w:r w:rsidR="003B1FFE" w:rsidRPr="00CE67C1">
        <w:rPr>
          <w:sz w:val="22"/>
          <w:szCs w:val="22"/>
          <w:vertAlign w:val="superscript"/>
          <w:lang w:val="en-US"/>
        </w:rPr>
        <w:t xml:space="preserve"> </w:t>
      </w:r>
      <w:r w:rsidR="00825B38">
        <w:rPr>
          <w:sz w:val="22"/>
          <w:szCs w:val="22"/>
          <w:lang w:val="en-US"/>
        </w:rPr>
        <w:t>v</w:t>
      </w:r>
      <w:r w:rsidR="00636B53">
        <w:rPr>
          <w:sz w:val="22"/>
          <w:szCs w:val="22"/>
          <w:lang w:val="en-US"/>
        </w:rPr>
        <w:t>s</w:t>
      </w:r>
      <w:r w:rsidR="00901534">
        <w:rPr>
          <w:sz w:val="22"/>
          <w:szCs w:val="22"/>
          <w:lang w:val="en-US"/>
        </w:rPr>
        <w:t xml:space="preserve"> </w:t>
      </w:r>
      <w:r w:rsidR="008530EB">
        <w:rPr>
          <w:sz w:val="22"/>
          <w:szCs w:val="22"/>
          <w:lang w:val="en-US"/>
        </w:rPr>
        <w:t>control</w:t>
      </w:r>
      <w:r w:rsidR="00636B53">
        <w:rPr>
          <w:sz w:val="22"/>
          <w:szCs w:val="22"/>
          <w:lang w:val="en-US"/>
        </w:rPr>
        <w:t xml:space="preserve"> mice</w:t>
      </w:r>
      <w:r w:rsidR="008530EB">
        <w:rPr>
          <w:sz w:val="22"/>
          <w:szCs w:val="22"/>
          <w:lang w:val="en-US"/>
        </w:rPr>
        <w:t xml:space="preserve"> </w:t>
      </w:r>
      <w:r w:rsidR="009D157C">
        <w:rPr>
          <w:sz w:val="22"/>
          <w:szCs w:val="22"/>
          <w:lang w:val="en-US"/>
        </w:rPr>
        <w:t>(</w:t>
      </w:r>
      <w:r w:rsidR="00636B53">
        <w:rPr>
          <w:sz w:val="22"/>
          <w:szCs w:val="22"/>
          <w:lang w:val="en-US"/>
        </w:rPr>
        <w:t>5</w:t>
      </w:r>
      <w:r w:rsidR="00636B53" w:rsidRPr="00CE67C1">
        <w:rPr>
          <w:sz w:val="22"/>
          <w:szCs w:val="22"/>
          <w:lang w:val="en-US"/>
        </w:rPr>
        <w:sym w:font="Symbol" w:char="F0B1"/>
      </w:r>
      <w:r w:rsidR="00636B53">
        <w:rPr>
          <w:sz w:val="22"/>
          <w:szCs w:val="22"/>
          <w:lang w:val="en-US"/>
        </w:rPr>
        <w:t>2</w:t>
      </w:r>
      <w:r w:rsidR="00636B53" w:rsidRPr="00E210C9">
        <w:rPr>
          <w:sz w:val="22"/>
          <w:szCs w:val="22"/>
          <w:lang w:val="en-US"/>
        </w:rPr>
        <w:t xml:space="preserve"> vs </w:t>
      </w:r>
      <w:r w:rsidR="00636B53">
        <w:rPr>
          <w:sz w:val="22"/>
          <w:szCs w:val="22"/>
          <w:lang w:val="en-US"/>
        </w:rPr>
        <w:t>164</w:t>
      </w:r>
      <w:r w:rsidR="00636B53" w:rsidRPr="00CE67C1">
        <w:rPr>
          <w:sz w:val="22"/>
          <w:szCs w:val="22"/>
          <w:lang w:val="en-US"/>
        </w:rPr>
        <w:sym w:font="Symbol" w:char="F0B1"/>
      </w:r>
      <w:r w:rsidR="00636B53">
        <w:rPr>
          <w:sz w:val="22"/>
          <w:szCs w:val="22"/>
          <w:lang w:val="en-US"/>
        </w:rPr>
        <w:t>20 vs 120</w:t>
      </w:r>
      <w:r w:rsidR="00636B53" w:rsidRPr="00CE67C1">
        <w:rPr>
          <w:sz w:val="22"/>
          <w:szCs w:val="22"/>
          <w:lang w:val="en-US"/>
        </w:rPr>
        <w:sym w:font="Symbol" w:char="F0B1"/>
      </w:r>
      <w:r w:rsidR="00636B53">
        <w:rPr>
          <w:sz w:val="22"/>
          <w:szCs w:val="22"/>
          <w:lang w:val="en-US"/>
        </w:rPr>
        <w:t xml:space="preserve">20 </w:t>
      </w:r>
      <w:proofErr w:type="spellStart"/>
      <w:r w:rsidR="00636B53" w:rsidRPr="00636B53">
        <w:rPr>
          <w:sz w:val="22"/>
          <w:szCs w:val="22"/>
          <w:lang w:val="en-US"/>
        </w:rPr>
        <w:t>pmol</w:t>
      </w:r>
      <w:proofErr w:type="spellEnd"/>
      <w:r w:rsidR="00636B53" w:rsidRPr="00636B53">
        <w:rPr>
          <w:sz w:val="22"/>
          <w:szCs w:val="22"/>
          <w:lang w:val="en-US"/>
        </w:rPr>
        <w:t xml:space="preserve"> MNA/h/</w:t>
      </w:r>
      <w:r w:rsidR="00636B53">
        <w:rPr>
          <w:sz w:val="22"/>
          <w:szCs w:val="22"/>
          <w:lang w:val="en-US"/>
        </w:rPr>
        <w:sym w:font="Symbol" w:char="F06D"/>
      </w:r>
      <w:r w:rsidR="00636B53" w:rsidRPr="00636B53">
        <w:rPr>
          <w:sz w:val="22"/>
          <w:szCs w:val="22"/>
          <w:lang w:val="en-US"/>
        </w:rPr>
        <w:t>g</w:t>
      </w:r>
      <w:r w:rsidR="00636B53">
        <w:rPr>
          <w:sz w:val="22"/>
          <w:szCs w:val="22"/>
          <w:lang w:val="en-US"/>
        </w:rPr>
        <w:t xml:space="preserve">, </w:t>
      </w:r>
      <w:r w:rsidR="00636B53" w:rsidRPr="008F5063">
        <w:rPr>
          <w:sz w:val="22"/>
          <w:szCs w:val="22"/>
          <w:lang w:val="en-US"/>
        </w:rPr>
        <w:t>NEP</w:t>
      </w:r>
      <w:r w:rsidR="00636B53" w:rsidRPr="00CE67C1">
        <w:rPr>
          <w:sz w:val="22"/>
          <w:szCs w:val="22"/>
          <w:lang w:val="en-US"/>
        </w:rPr>
        <w:t xml:space="preserve"> </w:t>
      </w:r>
      <w:r w:rsidR="00636B53" w:rsidRPr="00636B53">
        <w:rPr>
          <w:sz w:val="22"/>
          <w:szCs w:val="22"/>
          <w:vertAlign w:val="superscript"/>
          <w:lang w:val="en-US"/>
        </w:rPr>
        <w:t>Gut-/-</w:t>
      </w:r>
      <w:r w:rsidR="00636B53" w:rsidRPr="00CE67C1">
        <w:rPr>
          <w:sz w:val="22"/>
          <w:szCs w:val="22"/>
          <w:lang w:val="en-US"/>
        </w:rPr>
        <w:t xml:space="preserve"> </w:t>
      </w:r>
      <w:r w:rsidR="00636B53">
        <w:rPr>
          <w:sz w:val="22"/>
          <w:szCs w:val="22"/>
          <w:lang w:val="en-US"/>
        </w:rPr>
        <w:t>vs Vil1-</w:t>
      </w:r>
      <w:r w:rsidR="00FA3C26">
        <w:rPr>
          <w:sz w:val="22"/>
          <w:szCs w:val="22"/>
          <w:lang w:val="en-US"/>
        </w:rPr>
        <w:t>c</w:t>
      </w:r>
      <w:r w:rsidR="00636B53">
        <w:rPr>
          <w:sz w:val="22"/>
          <w:szCs w:val="22"/>
          <w:lang w:val="en-US"/>
        </w:rPr>
        <w:t xml:space="preserve">re vs </w:t>
      </w:r>
      <w:proofErr w:type="spellStart"/>
      <w:r w:rsidR="00636B53">
        <w:rPr>
          <w:sz w:val="22"/>
          <w:szCs w:val="22"/>
          <w:lang w:val="en-US"/>
        </w:rPr>
        <w:t>NEP</w:t>
      </w:r>
      <w:r w:rsidR="00636B53" w:rsidRPr="00636B53">
        <w:rPr>
          <w:sz w:val="22"/>
          <w:szCs w:val="22"/>
          <w:vertAlign w:val="superscript"/>
          <w:lang w:val="en-US"/>
        </w:rPr>
        <w:t>fl</w:t>
      </w:r>
      <w:proofErr w:type="spellEnd"/>
      <w:r w:rsidR="00636B53" w:rsidRPr="00636B53">
        <w:rPr>
          <w:sz w:val="22"/>
          <w:szCs w:val="22"/>
          <w:vertAlign w:val="superscript"/>
          <w:lang w:val="en-US"/>
        </w:rPr>
        <w:t>/</w:t>
      </w:r>
      <w:proofErr w:type="spellStart"/>
      <w:r w:rsidR="00636B53" w:rsidRPr="00636B53">
        <w:rPr>
          <w:sz w:val="22"/>
          <w:szCs w:val="22"/>
          <w:vertAlign w:val="superscript"/>
          <w:lang w:val="en-US"/>
        </w:rPr>
        <w:t>fl</w:t>
      </w:r>
      <w:proofErr w:type="spellEnd"/>
      <w:r w:rsidR="00636B53">
        <w:rPr>
          <w:sz w:val="22"/>
          <w:szCs w:val="22"/>
          <w:lang w:val="en-US"/>
        </w:rPr>
        <w:t xml:space="preserve"> mice; n=5-6/group; p&lt;0.0001)</w:t>
      </w:r>
      <w:r w:rsidR="008530EB">
        <w:rPr>
          <w:sz w:val="22"/>
          <w:szCs w:val="22"/>
          <w:lang w:val="en-US"/>
        </w:rPr>
        <w:t xml:space="preserve">, </w:t>
      </w:r>
      <w:r w:rsidR="00BE6F14">
        <w:rPr>
          <w:sz w:val="22"/>
          <w:szCs w:val="22"/>
          <w:lang w:val="en-US"/>
        </w:rPr>
        <w:t>and was</w:t>
      </w:r>
      <w:r w:rsidR="00636B53">
        <w:rPr>
          <w:sz w:val="22"/>
          <w:szCs w:val="22"/>
          <w:lang w:val="en-US"/>
        </w:rPr>
        <w:t xml:space="preserve"> </w:t>
      </w:r>
      <w:r w:rsidR="003B1FFE">
        <w:rPr>
          <w:sz w:val="22"/>
          <w:szCs w:val="22"/>
          <w:lang w:val="en-US"/>
        </w:rPr>
        <w:t>similar in plasma, pancreas and kidney</w:t>
      </w:r>
      <w:r w:rsidR="00FA3C26">
        <w:rPr>
          <w:sz w:val="22"/>
          <w:szCs w:val="22"/>
          <w:lang w:val="en-US"/>
        </w:rPr>
        <w:t xml:space="preserve"> </w:t>
      </w:r>
      <w:r w:rsidR="00680312">
        <w:rPr>
          <w:sz w:val="22"/>
          <w:szCs w:val="22"/>
          <w:lang w:val="en-US"/>
        </w:rPr>
        <w:t>among</w:t>
      </w:r>
      <w:r w:rsidR="00FA3C26">
        <w:rPr>
          <w:sz w:val="22"/>
          <w:szCs w:val="22"/>
          <w:lang w:val="en-US"/>
        </w:rPr>
        <w:t xml:space="preserve"> all mice</w:t>
      </w:r>
      <w:r w:rsidR="003B1FFE">
        <w:rPr>
          <w:sz w:val="22"/>
          <w:szCs w:val="22"/>
          <w:lang w:val="en-US"/>
        </w:rPr>
        <w:t>.</w:t>
      </w:r>
      <w:r w:rsidR="00EB74CC" w:rsidRPr="008F5063">
        <w:rPr>
          <w:sz w:val="22"/>
          <w:szCs w:val="22"/>
          <w:lang w:val="en-US"/>
        </w:rPr>
        <w:t xml:space="preserve"> </w:t>
      </w:r>
      <w:r w:rsidR="001435C8">
        <w:rPr>
          <w:sz w:val="22"/>
          <w:szCs w:val="22"/>
          <w:lang w:val="en-US"/>
        </w:rPr>
        <w:t xml:space="preserve">At </w:t>
      </w:r>
      <w:r w:rsidR="00C50C19">
        <w:rPr>
          <w:sz w:val="22"/>
          <w:szCs w:val="22"/>
          <w:lang w:val="en-US"/>
        </w:rPr>
        <w:t>11</w:t>
      </w:r>
      <w:r w:rsidR="001435C8">
        <w:rPr>
          <w:sz w:val="22"/>
          <w:szCs w:val="22"/>
          <w:lang w:val="en-US"/>
        </w:rPr>
        <w:t xml:space="preserve"> </w:t>
      </w:r>
      <w:r w:rsidR="00250B58">
        <w:rPr>
          <w:sz w:val="22"/>
          <w:szCs w:val="22"/>
          <w:lang w:val="en-US"/>
        </w:rPr>
        <w:t>week</w:t>
      </w:r>
      <w:r w:rsidR="001435C8">
        <w:rPr>
          <w:sz w:val="22"/>
          <w:szCs w:val="22"/>
          <w:lang w:val="en-US"/>
        </w:rPr>
        <w:t>s</w:t>
      </w:r>
      <w:r w:rsidR="00F52743">
        <w:rPr>
          <w:sz w:val="22"/>
          <w:szCs w:val="22"/>
          <w:lang w:val="en-US"/>
        </w:rPr>
        <w:t xml:space="preserve"> </w:t>
      </w:r>
      <w:r w:rsidR="00680312">
        <w:rPr>
          <w:sz w:val="22"/>
          <w:szCs w:val="22"/>
          <w:lang w:val="en-US"/>
        </w:rPr>
        <w:t>of age</w:t>
      </w:r>
      <w:r w:rsidR="001435C8">
        <w:rPr>
          <w:sz w:val="22"/>
          <w:szCs w:val="22"/>
          <w:lang w:val="en-US"/>
        </w:rPr>
        <w:t>,</w:t>
      </w:r>
      <w:r w:rsidR="00694F21">
        <w:rPr>
          <w:sz w:val="22"/>
          <w:szCs w:val="22"/>
          <w:lang w:val="en-US"/>
        </w:rPr>
        <w:t xml:space="preserve"> </w:t>
      </w:r>
      <w:r w:rsidR="008A340B">
        <w:rPr>
          <w:sz w:val="22"/>
          <w:szCs w:val="22"/>
          <w:lang w:val="en-US"/>
        </w:rPr>
        <w:t xml:space="preserve">mice </w:t>
      </w:r>
      <w:r w:rsidR="004C0602">
        <w:rPr>
          <w:sz w:val="22"/>
          <w:szCs w:val="22"/>
          <w:lang w:val="en-US"/>
        </w:rPr>
        <w:t>were fed</w:t>
      </w:r>
      <w:r w:rsidR="00E84E65" w:rsidRPr="00E210C9">
        <w:rPr>
          <w:sz w:val="22"/>
          <w:szCs w:val="22"/>
          <w:lang w:val="en-US"/>
        </w:rPr>
        <w:t xml:space="preserve"> </w:t>
      </w:r>
      <w:r w:rsidR="004C0602">
        <w:rPr>
          <w:sz w:val="22"/>
          <w:szCs w:val="22"/>
          <w:lang w:val="en-US"/>
        </w:rPr>
        <w:t>HFD</w:t>
      </w:r>
      <w:r w:rsidR="00E84E65" w:rsidRPr="00E210C9">
        <w:rPr>
          <w:sz w:val="22"/>
          <w:szCs w:val="22"/>
          <w:lang w:val="en-US"/>
        </w:rPr>
        <w:t xml:space="preserve"> for </w:t>
      </w:r>
      <w:r w:rsidR="00615CB1" w:rsidRPr="00E210C9">
        <w:rPr>
          <w:sz w:val="22"/>
          <w:szCs w:val="22"/>
          <w:lang w:val="en-US"/>
        </w:rPr>
        <w:t xml:space="preserve">14 weeks, </w:t>
      </w:r>
      <w:r w:rsidR="00E84E65" w:rsidRPr="00E210C9">
        <w:rPr>
          <w:sz w:val="22"/>
          <w:szCs w:val="22"/>
          <w:lang w:val="en-US"/>
        </w:rPr>
        <w:t>after which a</w:t>
      </w:r>
      <w:r w:rsidR="00754A86">
        <w:rPr>
          <w:sz w:val="22"/>
          <w:szCs w:val="22"/>
          <w:lang w:val="en-US"/>
        </w:rPr>
        <w:t>n OGTT</w:t>
      </w:r>
      <w:r w:rsidR="007D3E34">
        <w:rPr>
          <w:sz w:val="22"/>
          <w:szCs w:val="22"/>
          <w:lang w:val="en-US"/>
        </w:rPr>
        <w:t xml:space="preserve"> was performed and GSIS </w:t>
      </w:r>
      <w:r w:rsidR="00DC679D">
        <w:rPr>
          <w:sz w:val="22"/>
          <w:szCs w:val="22"/>
          <w:lang w:val="en-US"/>
        </w:rPr>
        <w:t xml:space="preserve">assessed as </w:t>
      </w:r>
      <w:r w:rsidR="009D157C">
        <w:rPr>
          <w:sz w:val="22"/>
          <w:szCs w:val="22"/>
          <w:lang w:val="en-US"/>
        </w:rPr>
        <w:t>∆</w:t>
      </w:r>
      <w:r w:rsidR="00EA4AF8">
        <w:rPr>
          <w:sz w:val="22"/>
          <w:szCs w:val="22"/>
          <w:lang w:val="en-US"/>
        </w:rPr>
        <w:t xml:space="preserve">insulin/∆glucose </w:t>
      </w:r>
      <w:r w:rsidR="00DC679D">
        <w:rPr>
          <w:sz w:val="22"/>
          <w:szCs w:val="22"/>
          <w:lang w:val="en-US"/>
        </w:rPr>
        <w:t>from 0 to 10 min.</w:t>
      </w:r>
      <w:r w:rsidR="001435C8">
        <w:rPr>
          <w:sz w:val="22"/>
          <w:szCs w:val="22"/>
          <w:lang w:val="en-US"/>
        </w:rPr>
        <w:t xml:space="preserve"> </w:t>
      </w:r>
      <w:r w:rsidR="00FA3C26">
        <w:rPr>
          <w:sz w:val="22"/>
          <w:szCs w:val="22"/>
          <w:lang w:val="en-US"/>
        </w:rPr>
        <w:t xml:space="preserve">Despite similar body weights in </w:t>
      </w:r>
      <w:r w:rsidR="00FA3C26" w:rsidRPr="00935191">
        <w:rPr>
          <w:sz w:val="22"/>
          <w:szCs w:val="22"/>
          <w:lang w:val="en-US"/>
        </w:rPr>
        <w:t>NEP</w:t>
      </w:r>
      <w:r w:rsidR="00FA3C26" w:rsidRPr="00935191">
        <w:rPr>
          <w:sz w:val="22"/>
          <w:szCs w:val="22"/>
          <w:vertAlign w:val="superscript"/>
          <w:lang w:val="en-US"/>
        </w:rPr>
        <w:t xml:space="preserve"> Gut-/-</w:t>
      </w:r>
      <w:r w:rsidR="00FA3C26">
        <w:rPr>
          <w:sz w:val="22"/>
          <w:szCs w:val="22"/>
          <w:lang w:val="en-US"/>
        </w:rPr>
        <w:t xml:space="preserve"> and control mice, </w:t>
      </w:r>
      <w:r w:rsidR="001435C8">
        <w:rPr>
          <w:sz w:val="22"/>
          <w:szCs w:val="22"/>
          <w:lang w:val="en-US"/>
        </w:rPr>
        <w:t xml:space="preserve">fasting plasma glucose </w:t>
      </w:r>
      <w:r w:rsidR="00FA3C26">
        <w:rPr>
          <w:sz w:val="22"/>
          <w:szCs w:val="22"/>
          <w:lang w:val="en-US"/>
        </w:rPr>
        <w:t xml:space="preserve">was lower </w:t>
      </w:r>
      <w:r w:rsidR="001435C8">
        <w:rPr>
          <w:sz w:val="22"/>
          <w:szCs w:val="22"/>
          <w:lang w:val="en-US"/>
        </w:rPr>
        <w:t xml:space="preserve">and </w:t>
      </w:r>
      <w:r w:rsidR="00FA3C26">
        <w:rPr>
          <w:sz w:val="22"/>
          <w:szCs w:val="22"/>
          <w:lang w:val="en-US"/>
        </w:rPr>
        <w:t xml:space="preserve">GSIS higher in </w:t>
      </w:r>
      <w:r w:rsidR="00FA3C26" w:rsidRPr="00935191">
        <w:rPr>
          <w:sz w:val="22"/>
          <w:szCs w:val="22"/>
          <w:lang w:val="en-US"/>
        </w:rPr>
        <w:t>NEP</w:t>
      </w:r>
      <w:r w:rsidR="00FA3C26" w:rsidRPr="00935191">
        <w:rPr>
          <w:sz w:val="22"/>
          <w:szCs w:val="22"/>
          <w:vertAlign w:val="superscript"/>
          <w:lang w:val="en-US"/>
        </w:rPr>
        <w:t xml:space="preserve"> Gut-/-</w:t>
      </w:r>
      <w:r w:rsidR="00FA3C26">
        <w:rPr>
          <w:sz w:val="22"/>
          <w:szCs w:val="22"/>
          <w:lang w:val="en-US"/>
        </w:rPr>
        <w:t xml:space="preserve"> </w:t>
      </w:r>
      <w:r w:rsidR="005A32CD">
        <w:rPr>
          <w:sz w:val="22"/>
          <w:szCs w:val="22"/>
          <w:lang w:val="en-US"/>
        </w:rPr>
        <w:t>vs</w:t>
      </w:r>
      <w:r w:rsidR="001435C8">
        <w:rPr>
          <w:sz w:val="22"/>
          <w:szCs w:val="22"/>
          <w:lang w:val="en-US"/>
        </w:rPr>
        <w:t xml:space="preserve"> controls </w:t>
      </w:r>
      <w:r w:rsidR="007D0F70">
        <w:rPr>
          <w:sz w:val="22"/>
          <w:szCs w:val="22"/>
          <w:lang w:val="en-US"/>
        </w:rPr>
        <w:t>(Table).</w:t>
      </w:r>
    </w:p>
    <w:p w14:paraId="28BCAC80" w14:textId="4422A47D" w:rsidR="00DC679D" w:rsidRPr="00E210C9" w:rsidRDefault="00351757" w:rsidP="001A2BB1">
      <w:pPr>
        <w:spacing w:line="360" w:lineRule="auto"/>
        <w:ind w:firstLine="360"/>
        <w:rPr>
          <w:sz w:val="22"/>
          <w:szCs w:val="22"/>
          <w:lang w:val="x-none"/>
        </w:rPr>
      </w:pPr>
      <w:r w:rsidRPr="00E210C9">
        <w:rPr>
          <w:sz w:val="22"/>
          <w:szCs w:val="22"/>
          <w:lang w:val="en-US"/>
        </w:rPr>
        <w:t xml:space="preserve">In sum, </w:t>
      </w:r>
      <w:r w:rsidR="003975A5">
        <w:rPr>
          <w:sz w:val="22"/>
          <w:szCs w:val="22"/>
          <w:lang w:val="en-US"/>
        </w:rPr>
        <w:t>gut</w:t>
      </w:r>
      <w:r w:rsidR="00EA4AF8">
        <w:rPr>
          <w:sz w:val="22"/>
          <w:szCs w:val="22"/>
          <w:lang w:val="en-US"/>
        </w:rPr>
        <w:t>-specific</w:t>
      </w:r>
      <w:r w:rsidR="00694F21">
        <w:rPr>
          <w:sz w:val="22"/>
          <w:szCs w:val="22"/>
          <w:lang w:val="en-US"/>
        </w:rPr>
        <w:t xml:space="preserve"> NEP deletion </w:t>
      </w:r>
      <w:r w:rsidR="008A340B">
        <w:rPr>
          <w:sz w:val="22"/>
          <w:szCs w:val="22"/>
          <w:lang w:val="en-US"/>
        </w:rPr>
        <w:t>decreases</w:t>
      </w:r>
      <w:r w:rsidR="0020015C">
        <w:rPr>
          <w:sz w:val="22"/>
          <w:szCs w:val="22"/>
          <w:lang w:val="en-US"/>
        </w:rPr>
        <w:t xml:space="preserve"> </w:t>
      </w:r>
      <w:r w:rsidR="001435C8">
        <w:rPr>
          <w:sz w:val="22"/>
          <w:szCs w:val="22"/>
          <w:lang w:val="en-US"/>
        </w:rPr>
        <w:t xml:space="preserve">fasting plasma </w:t>
      </w:r>
      <w:r w:rsidR="0020015C">
        <w:rPr>
          <w:sz w:val="22"/>
          <w:szCs w:val="22"/>
          <w:lang w:val="en-US"/>
        </w:rPr>
        <w:t xml:space="preserve">glucose and </w:t>
      </w:r>
      <w:r w:rsidR="008A340B">
        <w:rPr>
          <w:sz w:val="22"/>
          <w:szCs w:val="22"/>
          <w:lang w:val="en-US"/>
        </w:rPr>
        <w:t>increases</w:t>
      </w:r>
      <w:r w:rsidR="00694F21">
        <w:rPr>
          <w:sz w:val="22"/>
          <w:szCs w:val="22"/>
          <w:lang w:val="en-US"/>
        </w:rPr>
        <w:t xml:space="preserve"> GSIS in </w:t>
      </w:r>
      <w:r w:rsidR="0036348F">
        <w:rPr>
          <w:sz w:val="22"/>
          <w:szCs w:val="22"/>
          <w:lang w:val="en-US"/>
        </w:rPr>
        <w:t xml:space="preserve">HFD-fed </w:t>
      </w:r>
      <w:r w:rsidR="00694F21">
        <w:rPr>
          <w:sz w:val="22"/>
          <w:szCs w:val="22"/>
          <w:lang w:val="en-US"/>
        </w:rPr>
        <w:t>mice</w:t>
      </w:r>
      <w:r w:rsidR="00680312">
        <w:rPr>
          <w:sz w:val="22"/>
          <w:szCs w:val="22"/>
          <w:lang w:val="en-US"/>
        </w:rPr>
        <w:t>,</w:t>
      </w:r>
      <w:r w:rsidR="00990DA4">
        <w:rPr>
          <w:sz w:val="22"/>
          <w:szCs w:val="22"/>
          <w:lang w:val="en-US"/>
        </w:rPr>
        <w:t xml:space="preserve"> suggesting</w:t>
      </w:r>
      <w:r w:rsidRPr="00E210C9">
        <w:rPr>
          <w:sz w:val="22"/>
          <w:szCs w:val="22"/>
          <w:lang w:val="en-US"/>
        </w:rPr>
        <w:t xml:space="preserve"> </w:t>
      </w:r>
      <w:r w:rsidR="003975A5">
        <w:rPr>
          <w:sz w:val="22"/>
          <w:szCs w:val="22"/>
          <w:lang w:val="en-US"/>
        </w:rPr>
        <w:t>gut</w:t>
      </w:r>
      <w:r w:rsidRPr="00E210C9">
        <w:rPr>
          <w:sz w:val="22"/>
          <w:szCs w:val="22"/>
          <w:lang w:val="en-US"/>
        </w:rPr>
        <w:t xml:space="preserve"> </w:t>
      </w:r>
      <w:r w:rsidR="00EA4AF8">
        <w:rPr>
          <w:sz w:val="22"/>
          <w:szCs w:val="22"/>
          <w:lang w:val="en-US"/>
        </w:rPr>
        <w:t>NEP</w:t>
      </w:r>
      <w:r w:rsidR="00990DA4">
        <w:rPr>
          <w:sz w:val="22"/>
          <w:szCs w:val="22"/>
          <w:lang w:val="en-US"/>
        </w:rPr>
        <w:t xml:space="preserve"> </w:t>
      </w:r>
      <w:r w:rsidR="00E74D3E">
        <w:rPr>
          <w:sz w:val="22"/>
          <w:szCs w:val="22"/>
          <w:lang w:val="en-US"/>
        </w:rPr>
        <w:t>impairs</w:t>
      </w:r>
      <w:r w:rsidR="00074FD7">
        <w:rPr>
          <w:sz w:val="22"/>
          <w:szCs w:val="22"/>
          <w:lang w:val="en-US"/>
        </w:rPr>
        <w:t xml:space="preserve"> </w:t>
      </w:r>
      <w:r w:rsidRPr="00E210C9">
        <w:rPr>
          <w:sz w:val="22"/>
          <w:szCs w:val="22"/>
          <w:lang w:val="en-US"/>
        </w:rPr>
        <w:t>ß-cell function</w:t>
      </w:r>
      <w:r w:rsidR="00074FD7">
        <w:rPr>
          <w:sz w:val="22"/>
          <w:szCs w:val="22"/>
          <w:lang w:val="en-US"/>
        </w:rPr>
        <w:t xml:space="preserve"> under conditions of </w:t>
      </w:r>
      <w:r w:rsidR="007D0F70">
        <w:rPr>
          <w:sz w:val="22"/>
          <w:szCs w:val="22"/>
          <w:lang w:val="en-US"/>
        </w:rPr>
        <w:t>HFD</w:t>
      </w:r>
      <w:r w:rsidR="00990DA4">
        <w:rPr>
          <w:sz w:val="22"/>
          <w:szCs w:val="22"/>
          <w:lang w:val="en-US"/>
        </w:rPr>
        <w:t xml:space="preserve">. Thus, </w:t>
      </w:r>
      <w:r w:rsidR="00074FD7">
        <w:rPr>
          <w:sz w:val="22"/>
          <w:szCs w:val="22"/>
          <w:lang w:val="en-US"/>
        </w:rPr>
        <w:t>s</w:t>
      </w:r>
      <w:r w:rsidRPr="00E210C9">
        <w:rPr>
          <w:sz w:val="22"/>
          <w:szCs w:val="22"/>
          <w:lang w:val="en-US"/>
        </w:rPr>
        <w:t xml:space="preserve">trategies to inhibit </w:t>
      </w:r>
      <w:r w:rsidR="00074FD7">
        <w:rPr>
          <w:sz w:val="22"/>
          <w:szCs w:val="22"/>
          <w:lang w:val="en-US"/>
        </w:rPr>
        <w:t>NEP</w:t>
      </w:r>
      <w:r w:rsidR="00074FD7" w:rsidRPr="00E210C9">
        <w:rPr>
          <w:sz w:val="22"/>
          <w:szCs w:val="22"/>
          <w:lang w:val="en-US"/>
        </w:rPr>
        <w:t xml:space="preserve"> </w:t>
      </w:r>
      <w:r w:rsidRPr="00E210C9">
        <w:rPr>
          <w:sz w:val="22"/>
          <w:szCs w:val="22"/>
          <w:lang w:val="en-US"/>
        </w:rPr>
        <w:t xml:space="preserve">specifically in the </w:t>
      </w:r>
      <w:r w:rsidR="00F92B31">
        <w:rPr>
          <w:sz w:val="22"/>
          <w:szCs w:val="22"/>
          <w:lang w:val="en-US"/>
        </w:rPr>
        <w:t>gut</w:t>
      </w:r>
      <w:r w:rsidRPr="00E210C9">
        <w:rPr>
          <w:sz w:val="22"/>
          <w:szCs w:val="22"/>
          <w:lang w:val="en-US"/>
        </w:rPr>
        <w:t xml:space="preserve"> </w:t>
      </w:r>
      <w:r w:rsidR="00680312">
        <w:rPr>
          <w:sz w:val="22"/>
          <w:szCs w:val="22"/>
          <w:lang w:val="en-US"/>
        </w:rPr>
        <w:t xml:space="preserve">may </w:t>
      </w:r>
      <w:r w:rsidR="00990DA4">
        <w:rPr>
          <w:sz w:val="22"/>
          <w:szCs w:val="22"/>
          <w:lang w:val="en-US"/>
        </w:rPr>
        <w:t xml:space="preserve">protect against fat-induced </w:t>
      </w:r>
      <w:r w:rsidR="00BE0AE3" w:rsidRPr="00E210C9">
        <w:rPr>
          <w:sz w:val="22"/>
          <w:szCs w:val="22"/>
          <w:lang w:val="en-US"/>
        </w:rPr>
        <w:t>ß</w:t>
      </w:r>
      <w:r w:rsidR="00BE0AE3">
        <w:rPr>
          <w:sz w:val="22"/>
          <w:szCs w:val="22"/>
          <w:lang w:val="en-US"/>
        </w:rPr>
        <w:t>-</w:t>
      </w:r>
      <w:r w:rsidR="00BE0AE3" w:rsidRPr="00E210C9">
        <w:rPr>
          <w:sz w:val="22"/>
          <w:szCs w:val="22"/>
          <w:lang w:val="en-US"/>
        </w:rPr>
        <w:t>cell</w:t>
      </w:r>
      <w:r w:rsidRPr="00E210C9">
        <w:rPr>
          <w:sz w:val="22"/>
          <w:szCs w:val="22"/>
          <w:lang w:val="en-US"/>
        </w:rPr>
        <w:t xml:space="preserve"> dysfunction.</w:t>
      </w:r>
    </w:p>
    <w:p w14:paraId="57606E25" w14:textId="77777777" w:rsidR="00990DA4" w:rsidRPr="00E210C9" w:rsidRDefault="00990DA4" w:rsidP="00351757">
      <w:pPr>
        <w:spacing w:line="480" w:lineRule="auto"/>
        <w:outlineLvl w:val="0"/>
        <w:rPr>
          <w:sz w:val="22"/>
          <w:szCs w:val="22"/>
          <w:lang w:val="en-US"/>
        </w:rPr>
      </w:pPr>
    </w:p>
    <w:p w14:paraId="7CAE0BDB" w14:textId="5777D7B0" w:rsidR="00351757" w:rsidRPr="00E210C9" w:rsidRDefault="00351757" w:rsidP="00351757">
      <w:pPr>
        <w:spacing w:line="480" w:lineRule="auto"/>
        <w:outlineLvl w:val="0"/>
        <w:rPr>
          <w:sz w:val="22"/>
          <w:szCs w:val="22"/>
          <w:lang w:val="en-US"/>
        </w:rPr>
      </w:pPr>
      <w:r w:rsidRPr="00E210C9">
        <w:rPr>
          <w:sz w:val="22"/>
          <w:szCs w:val="22"/>
          <w:lang w:val="en-US"/>
        </w:rPr>
        <w:t xml:space="preserve">Character count (max 1800, not including </w:t>
      </w:r>
      <w:proofErr w:type="gramStart"/>
      <w:r w:rsidRPr="00E210C9">
        <w:rPr>
          <w:sz w:val="22"/>
          <w:szCs w:val="22"/>
          <w:lang w:val="en-US"/>
        </w:rPr>
        <w:t>spaces)=</w:t>
      </w:r>
      <w:proofErr w:type="gramEnd"/>
      <w:r w:rsidRPr="00E210C9">
        <w:rPr>
          <w:sz w:val="22"/>
          <w:szCs w:val="22"/>
          <w:lang w:val="en-US"/>
        </w:rPr>
        <w:t xml:space="preserve"> </w:t>
      </w:r>
      <w:r w:rsidR="00901534">
        <w:rPr>
          <w:sz w:val="22"/>
          <w:szCs w:val="22"/>
          <w:lang w:val="en-US"/>
        </w:rPr>
        <w:t>7</w:t>
      </w:r>
      <w:r w:rsidR="00680312">
        <w:rPr>
          <w:sz w:val="22"/>
          <w:szCs w:val="22"/>
          <w:lang w:val="en-US"/>
        </w:rPr>
        <w:t>3</w:t>
      </w:r>
      <w:r w:rsidR="00901534" w:rsidRPr="00E210C9">
        <w:rPr>
          <w:sz w:val="22"/>
          <w:szCs w:val="22"/>
          <w:lang w:val="en-US"/>
        </w:rPr>
        <w:t xml:space="preserve"> </w:t>
      </w:r>
      <w:r w:rsidRPr="00E210C9">
        <w:rPr>
          <w:sz w:val="22"/>
          <w:szCs w:val="22"/>
          <w:lang w:val="en-US"/>
        </w:rPr>
        <w:t xml:space="preserve">+ </w:t>
      </w:r>
      <w:r w:rsidR="004C5320">
        <w:rPr>
          <w:sz w:val="22"/>
          <w:szCs w:val="22"/>
          <w:lang w:val="en-US"/>
        </w:rPr>
        <w:t>1</w:t>
      </w:r>
      <w:r w:rsidR="00BE6F14">
        <w:rPr>
          <w:sz w:val="22"/>
          <w:szCs w:val="22"/>
          <w:lang w:val="en-US"/>
        </w:rPr>
        <w:t>2</w:t>
      </w:r>
      <w:r w:rsidR="00680312">
        <w:rPr>
          <w:sz w:val="22"/>
          <w:szCs w:val="22"/>
          <w:lang w:val="en-US"/>
        </w:rPr>
        <w:t>21</w:t>
      </w:r>
      <w:r w:rsidRPr="00E210C9">
        <w:rPr>
          <w:sz w:val="22"/>
          <w:szCs w:val="22"/>
          <w:lang w:val="en-US"/>
        </w:rPr>
        <w:t xml:space="preserve"> </w:t>
      </w:r>
      <w:r w:rsidR="00E74D3E">
        <w:rPr>
          <w:sz w:val="22"/>
          <w:szCs w:val="22"/>
          <w:lang w:val="en-US"/>
        </w:rPr>
        <w:t>+ 500</w:t>
      </w:r>
      <w:r w:rsidRPr="00E210C9">
        <w:rPr>
          <w:sz w:val="22"/>
          <w:szCs w:val="22"/>
          <w:lang w:val="en-US"/>
        </w:rPr>
        <w:t xml:space="preserve">= </w:t>
      </w:r>
      <w:r w:rsidR="00F92B31">
        <w:rPr>
          <w:sz w:val="22"/>
          <w:szCs w:val="22"/>
          <w:lang w:val="en-US"/>
        </w:rPr>
        <w:t>1</w:t>
      </w:r>
      <w:r w:rsidR="001435C8">
        <w:rPr>
          <w:sz w:val="22"/>
          <w:szCs w:val="22"/>
          <w:lang w:val="en-US"/>
        </w:rPr>
        <w:t>79</w:t>
      </w:r>
      <w:r w:rsidR="00680312">
        <w:rPr>
          <w:sz w:val="22"/>
          <w:szCs w:val="22"/>
          <w:lang w:val="en-US"/>
        </w:rPr>
        <w:t>4</w:t>
      </w:r>
    </w:p>
    <w:p w14:paraId="3C09C479" w14:textId="66C7BFD3" w:rsidR="00351757" w:rsidRPr="00E210C9" w:rsidRDefault="00351757" w:rsidP="00351757">
      <w:pPr>
        <w:spacing w:line="480" w:lineRule="auto"/>
        <w:rPr>
          <w:sz w:val="22"/>
          <w:szCs w:val="22"/>
          <w:lang w:val="en-US"/>
        </w:rPr>
      </w:pPr>
      <w:r w:rsidRPr="00E210C9">
        <w:rPr>
          <w:sz w:val="22"/>
          <w:szCs w:val="22"/>
          <w:lang w:val="en-US"/>
        </w:rPr>
        <w:t>Character limit (title + body + table [500]) = 1,800 characters</w:t>
      </w:r>
    </w:p>
    <w:p w14:paraId="6D4E2E3E" w14:textId="01F6B8E2" w:rsidR="00E24CEF" w:rsidRDefault="00A31C54" w:rsidP="00CE67C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748"/>
        <w:gridCol w:w="1748"/>
        <w:gridCol w:w="1749"/>
        <w:gridCol w:w="1122"/>
      </w:tblGrid>
      <w:tr w:rsidR="00E24CEF" w:rsidRPr="00981F3A" w14:paraId="7B997AEA" w14:textId="77777777" w:rsidTr="00CE67C1">
        <w:tc>
          <w:tcPr>
            <w:tcW w:w="8630" w:type="dxa"/>
            <w:gridSpan w:val="5"/>
            <w:tcBorders>
              <w:top w:val="nil"/>
              <w:left w:val="nil"/>
              <w:right w:val="nil"/>
            </w:tcBorders>
          </w:tcPr>
          <w:p w14:paraId="2F62C7D8" w14:textId="0FB95EDD" w:rsidR="00E24CEF" w:rsidRPr="00CE67C1" w:rsidRDefault="00E24CEF" w:rsidP="00E210C9">
            <w:pPr>
              <w:spacing w:line="360" w:lineRule="auto"/>
              <w:rPr>
                <w:b/>
                <w:bCs/>
                <w:sz w:val="22"/>
                <w:szCs w:val="22"/>
                <w:lang w:val="en-US"/>
              </w:rPr>
            </w:pPr>
            <w:r w:rsidRPr="00CE67C1">
              <w:rPr>
                <w:b/>
                <w:bCs/>
                <w:sz w:val="22"/>
                <w:szCs w:val="22"/>
                <w:lang w:val="en-US"/>
              </w:rPr>
              <w:lastRenderedPageBreak/>
              <w:t>Table</w:t>
            </w:r>
            <w:r w:rsidR="00FA3C26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 xml:space="preserve"> Body weight, fasting plasma glucose and </w:t>
            </w:r>
            <w:r w:rsidR="00D40118">
              <w:rPr>
                <w:b/>
                <w:bCs/>
                <w:sz w:val="22"/>
                <w:szCs w:val="22"/>
                <w:lang w:val="en-US"/>
              </w:rPr>
              <w:t>glucose-stimulated insulin secretion (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>GSIS</w:t>
            </w:r>
            <w:r w:rsidR="00D40118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 xml:space="preserve"> during an </w:t>
            </w:r>
            <w:r w:rsidR="00981F3A">
              <w:rPr>
                <w:b/>
                <w:bCs/>
                <w:sz w:val="22"/>
                <w:szCs w:val="22"/>
                <w:lang w:val="en-US"/>
              </w:rPr>
              <w:t>oral glucose tolerance test (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>OGTT</w:t>
            </w:r>
            <w:r w:rsidR="00981F3A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 xml:space="preserve"> in NEP</w:t>
            </w:r>
            <w:r w:rsidRPr="00CE67C1">
              <w:rPr>
                <w:b/>
                <w:bCs/>
                <w:sz w:val="22"/>
                <w:szCs w:val="22"/>
                <w:vertAlign w:val="superscript"/>
                <w:lang w:val="en-US"/>
              </w:rPr>
              <w:t xml:space="preserve"> Gut-/-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 xml:space="preserve"> mice and their littermate control Vil1-cre and </w:t>
            </w:r>
            <w:proofErr w:type="spellStart"/>
            <w:r w:rsidRPr="00CE67C1">
              <w:rPr>
                <w:b/>
                <w:bCs/>
                <w:sz w:val="22"/>
                <w:szCs w:val="22"/>
                <w:lang w:val="en-US"/>
              </w:rPr>
              <w:t>NEP</w:t>
            </w:r>
            <w:r w:rsidRPr="00CE67C1">
              <w:rPr>
                <w:b/>
                <w:bCs/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 w:rsidRPr="00CE67C1">
              <w:rPr>
                <w:b/>
                <w:bCs/>
                <w:sz w:val="22"/>
                <w:szCs w:val="22"/>
                <w:vertAlign w:val="superscript"/>
                <w:lang w:val="en-US"/>
              </w:rPr>
              <w:t>/</w:t>
            </w:r>
            <w:proofErr w:type="spellStart"/>
            <w:r w:rsidRPr="00CE67C1">
              <w:rPr>
                <w:b/>
                <w:bCs/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 w:rsidRPr="00CE67C1">
              <w:rPr>
                <w:b/>
                <w:bCs/>
                <w:sz w:val="22"/>
                <w:szCs w:val="22"/>
                <w:lang w:val="en-US"/>
              </w:rPr>
              <w:t xml:space="preserve"> mice after 14 weeks on </w:t>
            </w:r>
            <w:r w:rsidR="00D40118">
              <w:rPr>
                <w:b/>
                <w:bCs/>
                <w:sz w:val="22"/>
                <w:szCs w:val="22"/>
                <w:lang w:val="en-US"/>
              </w:rPr>
              <w:t>high fat diet (</w:t>
            </w:r>
            <w:r w:rsidR="00B40A3F">
              <w:rPr>
                <w:b/>
                <w:bCs/>
                <w:sz w:val="22"/>
                <w:szCs w:val="22"/>
                <w:lang w:val="en-US"/>
              </w:rPr>
              <w:t>HFD</w:t>
            </w:r>
            <w:r w:rsidR="00D40118">
              <w:rPr>
                <w:b/>
                <w:bCs/>
                <w:sz w:val="22"/>
                <w:szCs w:val="22"/>
                <w:lang w:val="en-US"/>
              </w:rPr>
              <w:t>)</w:t>
            </w:r>
            <w:r w:rsidRPr="00CE67C1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4708EF" w14:paraId="3184FC92" w14:textId="77777777" w:rsidTr="00392D71">
        <w:trPr>
          <w:trHeight w:val="635"/>
        </w:trPr>
        <w:tc>
          <w:tcPr>
            <w:tcW w:w="2263" w:type="dxa"/>
            <w:vAlign w:val="center"/>
          </w:tcPr>
          <w:p w14:paraId="69E71ABF" w14:textId="77777777" w:rsidR="004708EF" w:rsidRDefault="004708EF" w:rsidP="00392D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8" w:type="dxa"/>
            <w:vAlign w:val="center"/>
          </w:tcPr>
          <w:p w14:paraId="61F9F138" w14:textId="5CDE24CA" w:rsidR="004708EF" w:rsidRP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935191">
              <w:rPr>
                <w:sz w:val="22"/>
                <w:szCs w:val="22"/>
                <w:lang w:val="en-US"/>
              </w:rPr>
              <w:t>NEP</w:t>
            </w:r>
            <w:r w:rsidRPr="00935191">
              <w:rPr>
                <w:sz w:val="22"/>
                <w:szCs w:val="22"/>
                <w:vertAlign w:val="superscript"/>
                <w:lang w:val="en-US"/>
              </w:rPr>
              <w:t xml:space="preserve"> Gut-/-</w:t>
            </w:r>
            <w:r>
              <w:rPr>
                <w:sz w:val="22"/>
                <w:szCs w:val="22"/>
                <w:lang w:val="en-US"/>
              </w:rPr>
              <w:t xml:space="preserve"> mice (n=15)</w:t>
            </w:r>
          </w:p>
        </w:tc>
        <w:tc>
          <w:tcPr>
            <w:tcW w:w="1748" w:type="dxa"/>
            <w:vAlign w:val="center"/>
          </w:tcPr>
          <w:p w14:paraId="4CA7D765" w14:textId="1679846C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Vil1-cre mice (n=6)</w:t>
            </w:r>
          </w:p>
        </w:tc>
        <w:tc>
          <w:tcPr>
            <w:tcW w:w="1749" w:type="dxa"/>
            <w:vAlign w:val="center"/>
          </w:tcPr>
          <w:p w14:paraId="5DFF26AA" w14:textId="73515E78" w:rsidR="004708EF" w:rsidRP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NEP</w:t>
            </w:r>
            <w:r w:rsidRPr="00935191">
              <w:rPr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 w:rsidRPr="00935191">
              <w:rPr>
                <w:sz w:val="22"/>
                <w:szCs w:val="22"/>
                <w:vertAlign w:val="superscript"/>
                <w:lang w:val="en-US"/>
              </w:rPr>
              <w:t>/</w:t>
            </w:r>
            <w:proofErr w:type="spellStart"/>
            <w:r w:rsidRPr="00935191">
              <w:rPr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mice (n=10)</w:t>
            </w:r>
          </w:p>
        </w:tc>
        <w:tc>
          <w:tcPr>
            <w:tcW w:w="1122" w:type="dxa"/>
            <w:vAlign w:val="center"/>
          </w:tcPr>
          <w:p w14:paraId="207B33F5" w14:textId="77BE4F34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ANOVA p value</w:t>
            </w:r>
          </w:p>
        </w:tc>
      </w:tr>
      <w:tr w:rsidR="00F458CE" w14:paraId="77AAABD9" w14:textId="77777777" w:rsidTr="00392D71">
        <w:trPr>
          <w:trHeight w:val="635"/>
        </w:trPr>
        <w:tc>
          <w:tcPr>
            <w:tcW w:w="2263" w:type="dxa"/>
            <w:vAlign w:val="center"/>
          </w:tcPr>
          <w:p w14:paraId="6E1A5D33" w14:textId="77777777" w:rsidR="00427CA2" w:rsidRDefault="00427CA2" w:rsidP="00392D71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Body weight (g)</w:t>
            </w:r>
          </w:p>
        </w:tc>
        <w:tc>
          <w:tcPr>
            <w:tcW w:w="1748" w:type="dxa"/>
            <w:vAlign w:val="center"/>
          </w:tcPr>
          <w:p w14:paraId="04764F17" w14:textId="5378A425" w:rsidR="00427CA2" w:rsidRDefault="00E24C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51.0</w:t>
            </w:r>
            <w:r w:rsidRPr="00233CCD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  <w:lang w:val="en-US"/>
              </w:rPr>
              <w:t>0.6</w:t>
            </w:r>
          </w:p>
        </w:tc>
        <w:tc>
          <w:tcPr>
            <w:tcW w:w="1748" w:type="dxa"/>
            <w:vAlign w:val="center"/>
          </w:tcPr>
          <w:p w14:paraId="49C4C5A6" w14:textId="17EB1DDE" w:rsidR="00427CA2" w:rsidRDefault="00F458CE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49.7</w:t>
            </w:r>
            <w:r w:rsidRPr="00233CCD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49" w:type="dxa"/>
            <w:vAlign w:val="center"/>
          </w:tcPr>
          <w:p w14:paraId="1CDF5629" w14:textId="1FF4B2F3" w:rsidR="00427CA2" w:rsidRDefault="00F458CE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49.6</w:t>
            </w:r>
            <w:r w:rsidRPr="00233CCD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1.3</w:t>
            </w:r>
          </w:p>
        </w:tc>
        <w:tc>
          <w:tcPr>
            <w:tcW w:w="1122" w:type="dxa"/>
            <w:vAlign w:val="center"/>
          </w:tcPr>
          <w:p w14:paraId="3EF9291A" w14:textId="1553D733" w:rsidR="00427CA2" w:rsidRDefault="00E24C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E67C1">
              <w:rPr>
                <w:sz w:val="22"/>
                <w:szCs w:val="22"/>
                <w:lang w:val="en-US"/>
              </w:rPr>
              <w:t>0.7839</w:t>
            </w:r>
          </w:p>
        </w:tc>
      </w:tr>
      <w:tr w:rsidR="004708EF" w14:paraId="26E8A41E" w14:textId="77777777" w:rsidTr="00392D71">
        <w:trPr>
          <w:trHeight w:val="635"/>
        </w:trPr>
        <w:tc>
          <w:tcPr>
            <w:tcW w:w="2263" w:type="dxa"/>
            <w:vAlign w:val="center"/>
          </w:tcPr>
          <w:p w14:paraId="55DA3A37" w14:textId="238769E8" w:rsidR="004708EF" w:rsidRDefault="004708EF" w:rsidP="00392D71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Fasting plasma glucose (mmol/l)</w:t>
            </w:r>
          </w:p>
        </w:tc>
        <w:tc>
          <w:tcPr>
            <w:tcW w:w="1748" w:type="dxa"/>
            <w:vAlign w:val="center"/>
          </w:tcPr>
          <w:p w14:paraId="2FF82D44" w14:textId="0992C694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12.8</w:t>
            </w:r>
            <w:r w:rsidRPr="00233CCD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  <w:lang w:val="en-US"/>
              </w:rPr>
              <w:t>0.6</w:t>
            </w:r>
            <w:r w:rsidRPr="004708E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48" w:type="dxa"/>
            <w:vAlign w:val="center"/>
          </w:tcPr>
          <w:p w14:paraId="5EED6903" w14:textId="26F10208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</w:t>
            </w:r>
            <w:r w:rsidRPr="00233CCD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49" w:type="dxa"/>
            <w:vAlign w:val="center"/>
          </w:tcPr>
          <w:p w14:paraId="54E273BA" w14:textId="164762CD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14.2</w:t>
            </w:r>
            <w:r w:rsidRPr="008E04A4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0.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22" w:type="dxa"/>
            <w:vAlign w:val="center"/>
          </w:tcPr>
          <w:p w14:paraId="0E7E8608" w14:textId="3C8255DB" w:rsidR="004708EF" w:rsidRDefault="00F458CE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E67C1">
              <w:rPr>
                <w:sz w:val="22"/>
                <w:szCs w:val="22"/>
                <w:lang w:val="en-US"/>
              </w:rPr>
              <w:t>0.00</w:t>
            </w:r>
            <w:r w:rsidR="00AD1B34">
              <w:rPr>
                <w:sz w:val="22"/>
                <w:szCs w:val="22"/>
                <w:lang w:val="en-US"/>
              </w:rPr>
              <w:t>89</w:t>
            </w:r>
          </w:p>
        </w:tc>
      </w:tr>
      <w:tr w:rsidR="004708EF" w14:paraId="1708C641" w14:textId="77777777" w:rsidTr="00392D71">
        <w:trPr>
          <w:trHeight w:val="6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5ECEA1D" w14:textId="0741418A" w:rsidR="004708EF" w:rsidRDefault="004708EF" w:rsidP="00392D71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GSIS (</w:t>
            </w:r>
            <w:proofErr w:type="spellStart"/>
            <w:r>
              <w:rPr>
                <w:sz w:val="22"/>
                <w:szCs w:val="22"/>
                <w:lang w:val="en-US"/>
              </w:rPr>
              <w:t>pmol</w:t>
            </w:r>
            <w:proofErr w:type="spellEnd"/>
            <w:r>
              <w:rPr>
                <w:sz w:val="22"/>
                <w:szCs w:val="22"/>
                <w:lang w:val="en-US"/>
              </w:rPr>
              <w:t>/mmol)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2CDE44DC" w14:textId="3B20B86B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</w:t>
            </w:r>
            <w:r w:rsidR="00AD1B34">
              <w:rPr>
                <w:sz w:val="22"/>
                <w:szCs w:val="22"/>
                <w:lang w:val="en-US"/>
              </w:rPr>
              <w:t>.5</w:t>
            </w:r>
            <w:r w:rsidRPr="008E04A4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34</w:t>
            </w:r>
            <w:r w:rsidR="00AD1B34"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  <w:lang w:val="en-US"/>
              </w:rPr>
              <w:t>*#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66047C18" w14:textId="18EB6708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D1B34">
              <w:rPr>
                <w:sz w:val="22"/>
                <w:szCs w:val="22"/>
                <w:lang w:val="en-US"/>
              </w:rPr>
              <w:t>5.9</w:t>
            </w:r>
            <w:r w:rsidRPr="008E04A4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29</w:t>
            </w:r>
            <w:r w:rsidR="00AD1B34"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5198C32" w14:textId="594F43CC" w:rsidR="004708EF" w:rsidRDefault="004708EF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AD1B34">
              <w:rPr>
                <w:sz w:val="22"/>
                <w:szCs w:val="22"/>
                <w:lang w:val="en-US"/>
              </w:rPr>
              <w:t>.2</w:t>
            </w:r>
            <w:r w:rsidRPr="008E04A4">
              <w:rPr>
                <w:sz w:val="22"/>
                <w:szCs w:val="22"/>
              </w:rPr>
              <w:sym w:font="Symbol" w:char="F0B1"/>
            </w:r>
            <w:r w:rsidRPr="00E210C9">
              <w:rPr>
                <w:sz w:val="22"/>
                <w:szCs w:val="22"/>
                <w:lang w:val="en-US"/>
              </w:rPr>
              <w:t>1</w:t>
            </w:r>
            <w:r w:rsidR="00AD1B34">
              <w:rPr>
                <w:sz w:val="22"/>
                <w:szCs w:val="22"/>
                <w:lang w:val="en-US"/>
              </w:rPr>
              <w:t>2.6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0242E15" w14:textId="078DB6D2" w:rsidR="004708EF" w:rsidRDefault="00F458CE" w:rsidP="00392D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E67C1">
              <w:rPr>
                <w:sz w:val="22"/>
                <w:szCs w:val="22"/>
                <w:lang w:val="en-US"/>
              </w:rPr>
              <w:t>0.0206</w:t>
            </w:r>
          </w:p>
        </w:tc>
      </w:tr>
      <w:tr w:rsidR="00E24CEF" w:rsidRPr="00981F3A" w14:paraId="78A70EA8" w14:textId="77777777" w:rsidTr="00CE67C1">
        <w:tc>
          <w:tcPr>
            <w:tcW w:w="8630" w:type="dxa"/>
            <w:gridSpan w:val="5"/>
            <w:tcBorders>
              <w:left w:val="nil"/>
              <w:bottom w:val="nil"/>
              <w:right w:val="nil"/>
            </w:tcBorders>
          </w:tcPr>
          <w:p w14:paraId="6E84BA8F" w14:textId="302EAC3F" w:rsidR="00F458CE" w:rsidRDefault="00F458CE" w:rsidP="00F458CE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E67C1">
              <w:rPr>
                <w:sz w:val="22"/>
                <w:szCs w:val="22"/>
                <w:lang w:val="en-US"/>
              </w:rPr>
              <w:t>Data are mean</w:t>
            </w:r>
            <w:r w:rsidR="00AD1B34">
              <w:rPr>
                <w:sz w:val="22"/>
                <w:szCs w:val="22"/>
                <w:lang w:val="en-US"/>
              </w:rPr>
              <w:t xml:space="preserve"> </w:t>
            </w:r>
            <w:r w:rsidRPr="00CE67C1">
              <w:rPr>
                <w:sz w:val="22"/>
                <w:szCs w:val="22"/>
                <w:lang w:val="en-US"/>
              </w:rPr>
              <w:sym w:font="Symbol" w:char="F0B1"/>
            </w:r>
            <w:r w:rsidRPr="00CE67C1">
              <w:rPr>
                <w:sz w:val="22"/>
                <w:szCs w:val="22"/>
                <w:lang w:val="en-US"/>
              </w:rPr>
              <w:t xml:space="preserve"> SEM</w:t>
            </w:r>
            <w:r>
              <w:rPr>
                <w:sz w:val="22"/>
                <w:szCs w:val="22"/>
                <w:lang w:val="en-US"/>
              </w:rPr>
              <w:t>. Post-hoc</w:t>
            </w:r>
            <w:r w:rsidR="00FA3C26">
              <w:rPr>
                <w:sz w:val="22"/>
                <w:szCs w:val="22"/>
                <w:lang w:val="en-US"/>
              </w:rPr>
              <w:t xml:space="preserve"> tests: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D11E1">
              <w:rPr>
                <w:sz w:val="22"/>
                <w:szCs w:val="22"/>
                <w:lang w:val="en-US"/>
              </w:rPr>
              <w:t xml:space="preserve">*p&lt;0.05 vs Vil1-cre mice; </w:t>
            </w:r>
            <w:r w:rsidRPr="002E51DD">
              <w:rPr>
                <w:sz w:val="22"/>
                <w:szCs w:val="22"/>
                <w:lang w:val="en-US"/>
              </w:rPr>
              <w:t xml:space="preserve">#p&lt;0.05 vs </w:t>
            </w:r>
            <w:proofErr w:type="spellStart"/>
            <w:r w:rsidRPr="002D11E1">
              <w:rPr>
                <w:sz w:val="22"/>
                <w:szCs w:val="22"/>
                <w:lang w:val="en-US"/>
              </w:rPr>
              <w:t>NEP</w:t>
            </w:r>
            <w:r w:rsidRPr="00981F3A">
              <w:rPr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 w:rsidRPr="00981F3A">
              <w:rPr>
                <w:sz w:val="22"/>
                <w:szCs w:val="22"/>
                <w:vertAlign w:val="superscript"/>
                <w:lang w:val="en-US"/>
              </w:rPr>
              <w:t>/</w:t>
            </w:r>
            <w:proofErr w:type="spellStart"/>
            <w:r w:rsidRPr="00981F3A">
              <w:rPr>
                <w:sz w:val="22"/>
                <w:szCs w:val="22"/>
                <w:vertAlign w:val="superscript"/>
                <w:lang w:val="en-US"/>
              </w:rPr>
              <w:t>fl</w:t>
            </w:r>
            <w:proofErr w:type="spellEnd"/>
            <w:r w:rsidRPr="002D11E1">
              <w:rPr>
                <w:sz w:val="22"/>
                <w:szCs w:val="22"/>
                <w:lang w:val="en-US"/>
              </w:rPr>
              <w:t xml:space="preserve"> mice</w:t>
            </w:r>
          </w:p>
          <w:p w14:paraId="67D53033" w14:textId="77777777" w:rsidR="00E24CEF" w:rsidRDefault="00E24CEF" w:rsidP="00E210C9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122508C0" w14:textId="376C16EC" w:rsidR="00E24CEF" w:rsidRPr="002D11E1" w:rsidRDefault="00E24CEF" w:rsidP="00E24CEF">
      <w:pPr>
        <w:spacing w:line="360" w:lineRule="auto"/>
        <w:rPr>
          <w:sz w:val="22"/>
          <w:szCs w:val="22"/>
          <w:lang w:val="en-US"/>
        </w:rPr>
      </w:pPr>
    </w:p>
    <w:sectPr w:rsidR="00E24CEF" w:rsidRPr="002D11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A0A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3342A"/>
    <w:multiLevelType w:val="hybridMultilevel"/>
    <w:tmpl w:val="A164F45C"/>
    <w:lvl w:ilvl="0" w:tplc="C62CFDB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43B0B"/>
    <w:multiLevelType w:val="hybridMultilevel"/>
    <w:tmpl w:val="21A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418DC"/>
    <w:multiLevelType w:val="hybridMultilevel"/>
    <w:tmpl w:val="9C54F34C"/>
    <w:lvl w:ilvl="0" w:tplc="BA6E7BF4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72394">
    <w:abstractNumId w:val="0"/>
  </w:num>
  <w:num w:numId="2" w16cid:durableId="1071394040">
    <w:abstractNumId w:val="1"/>
  </w:num>
  <w:num w:numId="3" w16cid:durableId="133915089">
    <w:abstractNumId w:val="3"/>
  </w:num>
  <w:num w:numId="4" w16cid:durableId="250479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0B"/>
    <w:rsid w:val="00001397"/>
    <w:rsid w:val="000179E3"/>
    <w:rsid w:val="000228ED"/>
    <w:rsid w:val="000273DC"/>
    <w:rsid w:val="0003132D"/>
    <w:rsid w:val="00035348"/>
    <w:rsid w:val="00037D8B"/>
    <w:rsid w:val="00046684"/>
    <w:rsid w:val="0005781E"/>
    <w:rsid w:val="000601F4"/>
    <w:rsid w:val="00063135"/>
    <w:rsid w:val="00066821"/>
    <w:rsid w:val="00074FD7"/>
    <w:rsid w:val="00081017"/>
    <w:rsid w:val="000967FB"/>
    <w:rsid w:val="00096928"/>
    <w:rsid w:val="00096A19"/>
    <w:rsid w:val="000A1F9F"/>
    <w:rsid w:val="000A5CE4"/>
    <w:rsid w:val="000B24E3"/>
    <w:rsid w:val="000C2709"/>
    <w:rsid w:val="000D4151"/>
    <w:rsid w:val="000D6F8D"/>
    <w:rsid w:val="000E64EE"/>
    <w:rsid w:val="00125AEA"/>
    <w:rsid w:val="001343F7"/>
    <w:rsid w:val="00134C4C"/>
    <w:rsid w:val="0013530E"/>
    <w:rsid w:val="00143534"/>
    <w:rsid w:val="001435C8"/>
    <w:rsid w:val="00146453"/>
    <w:rsid w:val="00154B1E"/>
    <w:rsid w:val="00155AB4"/>
    <w:rsid w:val="0016030D"/>
    <w:rsid w:val="001634A5"/>
    <w:rsid w:val="00187A0F"/>
    <w:rsid w:val="00192B59"/>
    <w:rsid w:val="001A2BB1"/>
    <w:rsid w:val="001B3427"/>
    <w:rsid w:val="001B3580"/>
    <w:rsid w:val="001C3A7F"/>
    <w:rsid w:val="001E4287"/>
    <w:rsid w:val="001E535C"/>
    <w:rsid w:val="001F1F56"/>
    <w:rsid w:val="001F6636"/>
    <w:rsid w:val="0020015C"/>
    <w:rsid w:val="002010BE"/>
    <w:rsid w:val="00201F74"/>
    <w:rsid w:val="00206C3B"/>
    <w:rsid w:val="00217EB9"/>
    <w:rsid w:val="00227A5C"/>
    <w:rsid w:val="00227E70"/>
    <w:rsid w:val="00233CCD"/>
    <w:rsid w:val="00245E3C"/>
    <w:rsid w:val="00250B58"/>
    <w:rsid w:val="002643D6"/>
    <w:rsid w:val="0027085C"/>
    <w:rsid w:val="0027153E"/>
    <w:rsid w:val="00276366"/>
    <w:rsid w:val="00280762"/>
    <w:rsid w:val="00292AB7"/>
    <w:rsid w:val="002932B5"/>
    <w:rsid w:val="002947FF"/>
    <w:rsid w:val="002950AC"/>
    <w:rsid w:val="002A4130"/>
    <w:rsid w:val="002B54BB"/>
    <w:rsid w:val="002C0FE9"/>
    <w:rsid w:val="002C1AB1"/>
    <w:rsid w:val="002D0ED9"/>
    <w:rsid w:val="002D11E1"/>
    <w:rsid w:val="002D20A8"/>
    <w:rsid w:val="002E1FB7"/>
    <w:rsid w:val="002E45EB"/>
    <w:rsid w:val="002E4C65"/>
    <w:rsid w:val="002E701B"/>
    <w:rsid w:val="002F075E"/>
    <w:rsid w:val="002F0C33"/>
    <w:rsid w:val="002F2A40"/>
    <w:rsid w:val="00301693"/>
    <w:rsid w:val="0030566A"/>
    <w:rsid w:val="00325755"/>
    <w:rsid w:val="003300DB"/>
    <w:rsid w:val="003340AB"/>
    <w:rsid w:val="00336A61"/>
    <w:rsid w:val="003405BD"/>
    <w:rsid w:val="00344B81"/>
    <w:rsid w:val="00351757"/>
    <w:rsid w:val="0035520E"/>
    <w:rsid w:val="0036348F"/>
    <w:rsid w:val="003708A4"/>
    <w:rsid w:val="003725B3"/>
    <w:rsid w:val="00391A8E"/>
    <w:rsid w:val="00392B2A"/>
    <w:rsid w:val="00392D71"/>
    <w:rsid w:val="003975A5"/>
    <w:rsid w:val="003A28DB"/>
    <w:rsid w:val="003A2B06"/>
    <w:rsid w:val="003B1FFE"/>
    <w:rsid w:val="003D00F1"/>
    <w:rsid w:val="003E53DE"/>
    <w:rsid w:val="003E55D2"/>
    <w:rsid w:val="003E5BFC"/>
    <w:rsid w:val="003F0BE3"/>
    <w:rsid w:val="00411FCA"/>
    <w:rsid w:val="00415402"/>
    <w:rsid w:val="004207A9"/>
    <w:rsid w:val="00427CA2"/>
    <w:rsid w:val="00427CA4"/>
    <w:rsid w:val="004462E1"/>
    <w:rsid w:val="00454C10"/>
    <w:rsid w:val="004660E3"/>
    <w:rsid w:val="004708EF"/>
    <w:rsid w:val="0047172F"/>
    <w:rsid w:val="00481F21"/>
    <w:rsid w:val="004872CD"/>
    <w:rsid w:val="004912AE"/>
    <w:rsid w:val="004A0233"/>
    <w:rsid w:val="004B0852"/>
    <w:rsid w:val="004B086F"/>
    <w:rsid w:val="004B3215"/>
    <w:rsid w:val="004B4E6C"/>
    <w:rsid w:val="004C0602"/>
    <w:rsid w:val="004C5320"/>
    <w:rsid w:val="004D761E"/>
    <w:rsid w:val="004E1B73"/>
    <w:rsid w:val="004F760E"/>
    <w:rsid w:val="00502E4C"/>
    <w:rsid w:val="00517842"/>
    <w:rsid w:val="00525CC8"/>
    <w:rsid w:val="0052742B"/>
    <w:rsid w:val="00536B06"/>
    <w:rsid w:val="00540083"/>
    <w:rsid w:val="00543167"/>
    <w:rsid w:val="00544BFE"/>
    <w:rsid w:val="00565C2E"/>
    <w:rsid w:val="00571336"/>
    <w:rsid w:val="0057177E"/>
    <w:rsid w:val="00580407"/>
    <w:rsid w:val="00584386"/>
    <w:rsid w:val="0059036B"/>
    <w:rsid w:val="00590CBF"/>
    <w:rsid w:val="00596139"/>
    <w:rsid w:val="00596D7B"/>
    <w:rsid w:val="00597339"/>
    <w:rsid w:val="00597AFF"/>
    <w:rsid w:val="005A32CD"/>
    <w:rsid w:val="005A5315"/>
    <w:rsid w:val="005B1204"/>
    <w:rsid w:val="005B2D2F"/>
    <w:rsid w:val="005B7434"/>
    <w:rsid w:val="005B743C"/>
    <w:rsid w:val="005B7D3F"/>
    <w:rsid w:val="005C71F7"/>
    <w:rsid w:val="005D450D"/>
    <w:rsid w:val="005F7A53"/>
    <w:rsid w:val="00611839"/>
    <w:rsid w:val="006128EF"/>
    <w:rsid w:val="00615CB1"/>
    <w:rsid w:val="00617F0B"/>
    <w:rsid w:val="00621381"/>
    <w:rsid w:val="00624126"/>
    <w:rsid w:val="00624F9F"/>
    <w:rsid w:val="00627D8A"/>
    <w:rsid w:val="00636B53"/>
    <w:rsid w:val="00641228"/>
    <w:rsid w:val="0064272B"/>
    <w:rsid w:val="00643722"/>
    <w:rsid w:val="00643F2E"/>
    <w:rsid w:val="00650744"/>
    <w:rsid w:val="006524B7"/>
    <w:rsid w:val="006547EA"/>
    <w:rsid w:val="00655BA4"/>
    <w:rsid w:val="00656416"/>
    <w:rsid w:val="00664672"/>
    <w:rsid w:val="00672C7D"/>
    <w:rsid w:val="00680312"/>
    <w:rsid w:val="00694F21"/>
    <w:rsid w:val="00697AFF"/>
    <w:rsid w:val="006C01D0"/>
    <w:rsid w:val="006C42D8"/>
    <w:rsid w:val="006C4E63"/>
    <w:rsid w:val="006D120E"/>
    <w:rsid w:val="006F2239"/>
    <w:rsid w:val="007012BD"/>
    <w:rsid w:val="007123CD"/>
    <w:rsid w:val="00715198"/>
    <w:rsid w:val="00716C0B"/>
    <w:rsid w:val="00732BA9"/>
    <w:rsid w:val="007404E9"/>
    <w:rsid w:val="00740D9D"/>
    <w:rsid w:val="0074121F"/>
    <w:rsid w:val="00741B11"/>
    <w:rsid w:val="007466F0"/>
    <w:rsid w:val="00754A86"/>
    <w:rsid w:val="007762F4"/>
    <w:rsid w:val="007775D5"/>
    <w:rsid w:val="00786AC3"/>
    <w:rsid w:val="007976F0"/>
    <w:rsid w:val="007C3115"/>
    <w:rsid w:val="007C6DA1"/>
    <w:rsid w:val="007C7531"/>
    <w:rsid w:val="007D0B31"/>
    <w:rsid w:val="007D0F70"/>
    <w:rsid w:val="007D3E34"/>
    <w:rsid w:val="007E3A9E"/>
    <w:rsid w:val="007E66BD"/>
    <w:rsid w:val="007F12FD"/>
    <w:rsid w:val="0080064D"/>
    <w:rsid w:val="00802EFF"/>
    <w:rsid w:val="008045C4"/>
    <w:rsid w:val="00807277"/>
    <w:rsid w:val="00816E9B"/>
    <w:rsid w:val="008226EC"/>
    <w:rsid w:val="00822AEA"/>
    <w:rsid w:val="00823226"/>
    <w:rsid w:val="00825B38"/>
    <w:rsid w:val="00826775"/>
    <w:rsid w:val="00834E97"/>
    <w:rsid w:val="00840120"/>
    <w:rsid w:val="008530EB"/>
    <w:rsid w:val="00857A2F"/>
    <w:rsid w:val="00863B37"/>
    <w:rsid w:val="008723DB"/>
    <w:rsid w:val="0087573A"/>
    <w:rsid w:val="00896FD4"/>
    <w:rsid w:val="008A340B"/>
    <w:rsid w:val="008B13E7"/>
    <w:rsid w:val="008B5586"/>
    <w:rsid w:val="008C7B42"/>
    <w:rsid w:val="008C7E98"/>
    <w:rsid w:val="008E04A4"/>
    <w:rsid w:val="008F0B97"/>
    <w:rsid w:val="008F5063"/>
    <w:rsid w:val="00901534"/>
    <w:rsid w:val="009067E4"/>
    <w:rsid w:val="009102CB"/>
    <w:rsid w:val="00911DD9"/>
    <w:rsid w:val="00912BF6"/>
    <w:rsid w:val="00914FC0"/>
    <w:rsid w:val="00935191"/>
    <w:rsid w:val="00935E6E"/>
    <w:rsid w:val="00946528"/>
    <w:rsid w:val="00955EE0"/>
    <w:rsid w:val="0096219A"/>
    <w:rsid w:val="00965F8C"/>
    <w:rsid w:val="0096606D"/>
    <w:rsid w:val="00967E7C"/>
    <w:rsid w:val="00970655"/>
    <w:rsid w:val="0097685B"/>
    <w:rsid w:val="00981F3A"/>
    <w:rsid w:val="00984A5B"/>
    <w:rsid w:val="00990DA4"/>
    <w:rsid w:val="009938E9"/>
    <w:rsid w:val="00994A9C"/>
    <w:rsid w:val="00994C0B"/>
    <w:rsid w:val="00997410"/>
    <w:rsid w:val="00997BC6"/>
    <w:rsid w:val="009A1536"/>
    <w:rsid w:val="009A374D"/>
    <w:rsid w:val="009A6C10"/>
    <w:rsid w:val="009B51A7"/>
    <w:rsid w:val="009C374A"/>
    <w:rsid w:val="009D0092"/>
    <w:rsid w:val="009D157C"/>
    <w:rsid w:val="009D438C"/>
    <w:rsid w:val="009D559C"/>
    <w:rsid w:val="009D5B10"/>
    <w:rsid w:val="009E7F23"/>
    <w:rsid w:val="009F68AE"/>
    <w:rsid w:val="00A06093"/>
    <w:rsid w:val="00A17C63"/>
    <w:rsid w:val="00A2225C"/>
    <w:rsid w:val="00A235EC"/>
    <w:rsid w:val="00A31C54"/>
    <w:rsid w:val="00A36522"/>
    <w:rsid w:val="00A36B6F"/>
    <w:rsid w:val="00A50296"/>
    <w:rsid w:val="00A52028"/>
    <w:rsid w:val="00A62669"/>
    <w:rsid w:val="00A71766"/>
    <w:rsid w:val="00A91D92"/>
    <w:rsid w:val="00A954DD"/>
    <w:rsid w:val="00AB7C03"/>
    <w:rsid w:val="00AD143F"/>
    <w:rsid w:val="00AD1B34"/>
    <w:rsid w:val="00AD3D18"/>
    <w:rsid w:val="00AE5BF6"/>
    <w:rsid w:val="00AE6899"/>
    <w:rsid w:val="00AF0DF2"/>
    <w:rsid w:val="00AF53A6"/>
    <w:rsid w:val="00AF5777"/>
    <w:rsid w:val="00B006FF"/>
    <w:rsid w:val="00B062C0"/>
    <w:rsid w:val="00B10325"/>
    <w:rsid w:val="00B263F2"/>
    <w:rsid w:val="00B354C8"/>
    <w:rsid w:val="00B40311"/>
    <w:rsid w:val="00B40A3F"/>
    <w:rsid w:val="00B44F00"/>
    <w:rsid w:val="00B50B22"/>
    <w:rsid w:val="00B566D3"/>
    <w:rsid w:val="00B6132B"/>
    <w:rsid w:val="00B61890"/>
    <w:rsid w:val="00B82832"/>
    <w:rsid w:val="00B90F90"/>
    <w:rsid w:val="00B9731D"/>
    <w:rsid w:val="00B97DFF"/>
    <w:rsid w:val="00BA1012"/>
    <w:rsid w:val="00BA1AC3"/>
    <w:rsid w:val="00BA5728"/>
    <w:rsid w:val="00BB1FE9"/>
    <w:rsid w:val="00BB739F"/>
    <w:rsid w:val="00BC05FD"/>
    <w:rsid w:val="00BC4410"/>
    <w:rsid w:val="00BD111A"/>
    <w:rsid w:val="00BD3A8F"/>
    <w:rsid w:val="00BE0AE3"/>
    <w:rsid w:val="00BE0E20"/>
    <w:rsid w:val="00BE6F14"/>
    <w:rsid w:val="00BF0A43"/>
    <w:rsid w:val="00BF2F67"/>
    <w:rsid w:val="00BF7199"/>
    <w:rsid w:val="00C03983"/>
    <w:rsid w:val="00C07E7A"/>
    <w:rsid w:val="00C13F25"/>
    <w:rsid w:val="00C25D63"/>
    <w:rsid w:val="00C50C19"/>
    <w:rsid w:val="00C50E7C"/>
    <w:rsid w:val="00C514B7"/>
    <w:rsid w:val="00C51E34"/>
    <w:rsid w:val="00C561AE"/>
    <w:rsid w:val="00C72FDB"/>
    <w:rsid w:val="00C86DDA"/>
    <w:rsid w:val="00C87E90"/>
    <w:rsid w:val="00C94C82"/>
    <w:rsid w:val="00C94D01"/>
    <w:rsid w:val="00C9766A"/>
    <w:rsid w:val="00CA51A3"/>
    <w:rsid w:val="00CC2761"/>
    <w:rsid w:val="00CC5589"/>
    <w:rsid w:val="00CD29ED"/>
    <w:rsid w:val="00CE67C1"/>
    <w:rsid w:val="00CF582C"/>
    <w:rsid w:val="00CF6AFA"/>
    <w:rsid w:val="00D1375A"/>
    <w:rsid w:val="00D141CE"/>
    <w:rsid w:val="00D35937"/>
    <w:rsid w:val="00D40118"/>
    <w:rsid w:val="00D40A4C"/>
    <w:rsid w:val="00D4260E"/>
    <w:rsid w:val="00D45C86"/>
    <w:rsid w:val="00D45DA1"/>
    <w:rsid w:val="00D51055"/>
    <w:rsid w:val="00D530D6"/>
    <w:rsid w:val="00D6074C"/>
    <w:rsid w:val="00D62771"/>
    <w:rsid w:val="00D67B9B"/>
    <w:rsid w:val="00D775BA"/>
    <w:rsid w:val="00D77F88"/>
    <w:rsid w:val="00D96257"/>
    <w:rsid w:val="00DA4045"/>
    <w:rsid w:val="00DA54BA"/>
    <w:rsid w:val="00DA5619"/>
    <w:rsid w:val="00DA7137"/>
    <w:rsid w:val="00DB2082"/>
    <w:rsid w:val="00DC22E1"/>
    <w:rsid w:val="00DC679D"/>
    <w:rsid w:val="00DC6A62"/>
    <w:rsid w:val="00DE3CDD"/>
    <w:rsid w:val="00DE54F9"/>
    <w:rsid w:val="00DF256B"/>
    <w:rsid w:val="00DF6C13"/>
    <w:rsid w:val="00E0400A"/>
    <w:rsid w:val="00E07F18"/>
    <w:rsid w:val="00E1072C"/>
    <w:rsid w:val="00E11B38"/>
    <w:rsid w:val="00E210C9"/>
    <w:rsid w:val="00E24CEF"/>
    <w:rsid w:val="00E25885"/>
    <w:rsid w:val="00E26CBF"/>
    <w:rsid w:val="00E36E4F"/>
    <w:rsid w:val="00E52D0C"/>
    <w:rsid w:val="00E60FB6"/>
    <w:rsid w:val="00E67E96"/>
    <w:rsid w:val="00E70151"/>
    <w:rsid w:val="00E7113C"/>
    <w:rsid w:val="00E74D3E"/>
    <w:rsid w:val="00E76C9C"/>
    <w:rsid w:val="00E81B7C"/>
    <w:rsid w:val="00E84652"/>
    <w:rsid w:val="00E84E65"/>
    <w:rsid w:val="00EA4AF8"/>
    <w:rsid w:val="00EB07F9"/>
    <w:rsid w:val="00EB147B"/>
    <w:rsid w:val="00EB74CC"/>
    <w:rsid w:val="00EC3A1F"/>
    <w:rsid w:val="00ED7907"/>
    <w:rsid w:val="00EF1DBB"/>
    <w:rsid w:val="00EF27F9"/>
    <w:rsid w:val="00EF76B6"/>
    <w:rsid w:val="00F02813"/>
    <w:rsid w:val="00F05113"/>
    <w:rsid w:val="00F1060B"/>
    <w:rsid w:val="00F10AA1"/>
    <w:rsid w:val="00F1724E"/>
    <w:rsid w:val="00F2083A"/>
    <w:rsid w:val="00F35719"/>
    <w:rsid w:val="00F35D16"/>
    <w:rsid w:val="00F43132"/>
    <w:rsid w:val="00F458CE"/>
    <w:rsid w:val="00F51EE9"/>
    <w:rsid w:val="00F52743"/>
    <w:rsid w:val="00F574C7"/>
    <w:rsid w:val="00F752B5"/>
    <w:rsid w:val="00F75496"/>
    <w:rsid w:val="00F764CC"/>
    <w:rsid w:val="00F84D34"/>
    <w:rsid w:val="00F90B90"/>
    <w:rsid w:val="00F92B31"/>
    <w:rsid w:val="00F94273"/>
    <w:rsid w:val="00FA3C26"/>
    <w:rsid w:val="00FB07D9"/>
    <w:rsid w:val="00FD5147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31CC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4CEF"/>
    <w:rPr>
      <w:rFonts w:ascii="Times New Roman" w:eastAsia="Times New Roman" w:hAnsi="Times New Roman"/>
      <w:sz w:val="24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60" w:lineRule="auto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C0B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16C0B"/>
    <w:rPr>
      <w:rFonts w:ascii="Lucida Grande" w:hAnsi="Lucida Grande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716C0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6C0B"/>
    <w:rPr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716C0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6C0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16C0B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99"/>
    <w:semiHidden/>
    <w:rsid w:val="002C1971"/>
    <w:rPr>
      <w:sz w:val="24"/>
    </w:rPr>
  </w:style>
  <w:style w:type="paragraph" w:styleId="Rvision">
    <w:name w:val="Revision"/>
    <w:hidden/>
    <w:uiPriority w:val="99"/>
    <w:semiHidden/>
    <w:rsid w:val="00DE3CDD"/>
    <w:rPr>
      <w:sz w:val="24"/>
    </w:rPr>
  </w:style>
  <w:style w:type="paragraph" w:styleId="Paragraphedeliste">
    <w:name w:val="List Paragraph"/>
    <w:basedOn w:val="Normal"/>
    <w:uiPriority w:val="34"/>
    <w:qFormat/>
    <w:rsid w:val="006128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1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DA4045"/>
  </w:style>
  <w:style w:type="character" w:styleId="Accentuation">
    <w:name w:val="Emphasis"/>
    <w:basedOn w:val="Policepardfaut"/>
    <w:uiPriority w:val="20"/>
    <w:qFormat/>
    <w:rsid w:val="00E11B38"/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7685B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7685B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CC5589"/>
    <w:rPr>
      <w:rFonts w:ascii="Helvetica" w:hAnsi="Helvetica"/>
      <w:sz w:val="13"/>
      <w:szCs w:val="13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294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F6AD-ECA8-B847-8ECE-4FE436C4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2218</Characters>
  <Application>Microsoft Office Word</Application>
  <DocSecurity>0</DocSecurity>
  <Lines>71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Discovery of ARC (Apoptosis Repressor with CARD Domain) in Islets Yields a Potential New Target For Countering Amyloid-Induced</vt:lpstr>
      <vt:lpstr>Discovery of ARC (Apoptosis Repressor with CARD Domain) in Islets Yields a Potential New Target For Countering Amyloid-Induced</vt:lpstr>
    </vt:vector>
  </TitlesOfParts>
  <Company>UW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of ARC (Apoptosis Repressor with CARD Domain) in Islets Yields a Potential New Target For Countering Amyloid-Induced</dc:title>
  <dc:subject/>
  <dc:creator>Tanya</dc:creator>
  <cp:keywords/>
  <cp:lastModifiedBy>Nathalie Esser</cp:lastModifiedBy>
  <cp:revision>6</cp:revision>
  <cp:lastPrinted>2016-12-14T22:06:00Z</cp:lastPrinted>
  <dcterms:created xsi:type="dcterms:W3CDTF">2023-01-08T22:05:00Z</dcterms:created>
  <dcterms:modified xsi:type="dcterms:W3CDTF">2023-01-08T22:30:00Z</dcterms:modified>
</cp:coreProperties>
</file>