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0C" w:rsidRPr="00A96A90" w:rsidRDefault="0098310C" w:rsidP="0098310C">
      <w:pPr>
        <w:jc w:val="both"/>
        <w:rPr>
          <w:rFonts w:ascii="Times New Roman" w:hAnsi="Times New Roman" w:cs="Times New Roman"/>
          <w:sz w:val="28"/>
          <w:szCs w:val="28"/>
          <w:lang w:val="fr-BE"/>
        </w:rPr>
      </w:pPr>
      <w:r w:rsidRPr="00A96A90">
        <w:rPr>
          <w:rFonts w:ascii="Times New Roman" w:hAnsi="Times New Roman" w:cs="Times New Roman"/>
          <w:sz w:val="28"/>
          <w:szCs w:val="28"/>
          <w:lang w:val="fr-BE"/>
        </w:rPr>
        <w:t xml:space="preserve">Estelle Debouy – Isabelle Warin, </w:t>
      </w:r>
      <w:r w:rsidRPr="00A96A90">
        <w:rPr>
          <w:rFonts w:ascii="Times New Roman" w:hAnsi="Times New Roman" w:cs="Times New Roman"/>
          <w:i/>
          <w:sz w:val="28"/>
          <w:szCs w:val="28"/>
          <w:lang w:val="fr-BE"/>
        </w:rPr>
        <w:t>Apprendre le latin par l’histoire grec</w:t>
      </w:r>
      <w:r w:rsidR="00B04A71">
        <w:rPr>
          <w:rFonts w:ascii="Times New Roman" w:hAnsi="Times New Roman" w:cs="Times New Roman"/>
          <w:i/>
          <w:sz w:val="28"/>
          <w:szCs w:val="28"/>
          <w:lang w:val="fr-BE"/>
        </w:rPr>
        <w:t>que</w:t>
      </w:r>
      <w:bookmarkStart w:id="0" w:name="_GoBack"/>
      <w:bookmarkEnd w:id="0"/>
      <w:r w:rsidRPr="00A96A90">
        <w:rPr>
          <w:rFonts w:ascii="Times New Roman" w:hAnsi="Times New Roman" w:cs="Times New Roman"/>
          <w:i/>
          <w:sz w:val="28"/>
          <w:szCs w:val="28"/>
          <w:lang w:val="fr-BE"/>
        </w:rPr>
        <w:t>. Textes de l’</w:t>
      </w:r>
      <w:r w:rsidRPr="00A96A90">
        <w:rPr>
          <w:rFonts w:ascii="Times New Roman" w:hAnsi="Times New Roman" w:cs="Times New Roman"/>
          <w:sz w:val="28"/>
          <w:szCs w:val="28"/>
          <w:lang w:val="fr-BE"/>
        </w:rPr>
        <w:t xml:space="preserve">Epitome Historiae Graecae. Paris, Editions Orphys, 2023. ISBN : 978-2-7080-1657-6. 1 vol. </w:t>
      </w:r>
      <w:r w:rsidR="00425AC4" w:rsidRPr="00A96A90">
        <w:rPr>
          <w:rFonts w:ascii="Times New Roman" w:hAnsi="Times New Roman" w:cs="Times New Roman"/>
          <w:sz w:val="28"/>
          <w:szCs w:val="28"/>
          <w:lang w:val="fr-BE"/>
        </w:rPr>
        <w:t>16,5</w:t>
      </w:r>
      <w:r w:rsidRPr="00A96A90">
        <w:rPr>
          <w:rFonts w:ascii="Times New Roman" w:hAnsi="Times New Roman" w:cs="Times New Roman"/>
          <w:sz w:val="28"/>
          <w:szCs w:val="28"/>
          <w:lang w:val="fr-BE"/>
        </w:rPr>
        <w:t xml:space="preserve"> x </w:t>
      </w:r>
      <w:r w:rsidR="00425AC4" w:rsidRPr="00A96A90">
        <w:rPr>
          <w:rFonts w:ascii="Times New Roman" w:hAnsi="Times New Roman" w:cs="Times New Roman"/>
          <w:sz w:val="28"/>
          <w:szCs w:val="28"/>
          <w:lang w:val="fr-BE"/>
        </w:rPr>
        <w:t>23,5</w:t>
      </w:r>
      <w:r w:rsidRPr="00A96A90">
        <w:rPr>
          <w:rFonts w:ascii="Times New Roman" w:hAnsi="Times New Roman" w:cs="Times New Roman"/>
          <w:sz w:val="28"/>
          <w:szCs w:val="28"/>
          <w:lang w:val="fr-BE"/>
        </w:rPr>
        <w:t xml:space="preserve"> cm, 159 pages. </w:t>
      </w:r>
    </w:p>
    <w:p w:rsidR="001D49FF" w:rsidRPr="00082A2F" w:rsidRDefault="001D49FF" w:rsidP="006309AC">
      <w:pPr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:rsidR="001D49FF" w:rsidRPr="00082A2F" w:rsidRDefault="001D49FF" w:rsidP="006309AC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Plusieurs générations de jeunes latinistes </w:t>
      </w:r>
      <w:r w:rsidR="0062209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(la classe de sixième, comme on disait autrefois) 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ont </w:t>
      </w:r>
      <w:r w:rsidR="0062209B" w:rsidRPr="00082A2F">
        <w:rPr>
          <w:rFonts w:ascii="Times New Roman" w:hAnsi="Times New Roman" w:cs="Times New Roman"/>
          <w:sz w:val="24"/>
          <w:szCs w:val="24"/>
          <w:lang w:val="fr-BE"/>
        </w:rPr>
        <w:t>fait leurs premières armes dans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l’apprentissage du latin 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avec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le </w:t>
      </w:r>
      <w:r w:rsidRPr="00082A2F">
        <w:rPr>
          <w:rFonts w:ascii="Times New Roman" w:hAnsi="Times New Roman" w:cs="Times New Roman"/>
          <w:i/>
          <w:sz w:val="24"/>
          <w:szCs w:val="24"/>
          <w:lang w:val="fr-BE"/>
        </w:rPr>
        <w:t>De viris illustribus urbis Romae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de l’Abbé Lhomond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="006925F4" w:rsidRPr="00082A2F">
        <w:rPr>
          <w:rFonts w:ascii="Times New Roman" w:hAnsi="Times New Roman" w:cs="Times New Roman"/>
          <w:sz w:val="24"/>
          <w:szCs w:val="24"/>
          <w:lang w:val="fr-BE"/>
        </w:rPr>
        <w:t>1727-1794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324ABB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1"/>
      </w:r>
      <w:r w:rsidR="000A7DBE" w:rsidRPr="00082A2F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dépoussiéré par Jacques Gaillard en </w:t>
      </w:r>
      <w:r w:rsidR="00632E04">
        <w:rPr>
          <w:rFonts w:ascii="Times New Roman" w:eastAsia="Times New Roman" w:hAnsi="Times New Roman" w:cs="Times New Roman"/>
          <w:sz w:val="24"/>
          <w:szCs w:val="24"/>
          <w:lang w:val="fr-BE"/>
        </w:rPr>
        <w:t>1995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6D727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>Tout en apprenant les rud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iments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de la langue latine, </w:t>
      </w:r>
      <w:r w:rsidR="0098310C" w:rsidRPr="00082A2F">
        <w:rPr>
          <w:rFonts w:ascii="Times New Roman" w:hAnsi="Times New Roman" w:cs="Times New Roman"/>
          <w:sz w:val="24"/>
          <w:szCs w:val="24"/>
          <w:lang w:val="fr-BE"/>
        </w:rPr>
        <w:t>les élèves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voyage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aient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à travers l’histoire romaine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de Romulus à </w:t>
      </w:r>
      <w:r w:rsidR="001B7ECF" w:rsidRPr="00082A2F">
        <w:rPr>
          <w:rFonts w:ascii="Times New Roman" w:hAnsi="Times New Roman" w:cs="Times New Roman"/>
          <w:sz w:val="24"/>
          <w:szCs w:val="24"/>
          <w:lang w:val="fr-BE"/>
        </w:rPr>
        <w:t>Auguste. Ces histoires héroïques les faisaient rêver…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AE1F87" w:rsidRPr="00082A2F">
        <w:rPr>
          <w:rFonts w:ascii="Times New Roman" w:hAnsi="Times New Roman" w:cs="Times New Roman"/>
          <w:sz w:val="24"/>
          <w:szCs w:val="24"/>
          <w:lang w:val="fr-BE"/>
        </w:rPr>
        <w:t>Lhomond</w:t>
      </w:r>
      <w:r w:rsidR="00163C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compos</w:t>
      </w:r>
      <w:r w:rsidR="00AE1F87" w:rsidRPr="00082A2F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163C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aussi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63C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dans le même </w:t>
      </w:r>
      <w:r w:rsidR="003B4CB9">
        <w:rPr>
          <w:rFonts w:ascii="Times New Roman" w:hAnsi="Times New Roman" w:cs="Times New Roman"/>
          <w:sz w:val="24"/>
          <w:szCs w:val="24"/>
          <w:lang w:val="fr-BE"/>
        </w:rPr>
        <w:t>esprit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163C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un </w:t>
      </w:r>
      <w:r w:rsidR="00163C59" w:rsidRPr="00082A2F">
        <w:rPr>
          <w:rFonts w:ascii="Times New Roman" w:hAnsi="Times New Roman" w:cs="Times New Roman"/>
          <w:i/>
          <w:sz w:val="24"/>
          <w:szCs w:val="24"/>
          <w:lang w:val="fr-BE"/>
        </w:rPr>
        <w:t>Epitome historiae sacrae</w:t>
      </w:r>
      <w:r w:rsidR="00324ABB">
        <w:rPr>
          <w:rStyle w:val="Appelnotedebasdep"/>
          <w:rFonts w:ascii="Times New Roman" w:hAnsi="Times New Roman" w:cs="Times New Roman"/>
          <w:i/>
          <w:sz w:val="24"/>
          <w:szCs w:val="24"/>
          <w:lang w:val="fr-BE"/>
        </w:rPr>
        <w:footnoteReference w:id="2"/>
      </w:r>
      <w:r w:rsidR="0036799D" w:rsidRPr="00082A2F">
        <w:rPr>
          <w:rFonts w:ascii="Times New Roman" w:hAnsi="Times New Roman" w:cs="Times New Roman"/>
          <w:i/>
          <w:sz w:val="24"/>
          <w:szCs w:val="24"/>
          <w:lang w:val="fr-BE"/>
        </w:rPr>
        <w:t xml:space="preserve">, </w:t>
      </w:r>
      <w:r w:rsidR="00632E04" w:rsidRPr="00632E04">
        <w:rPr>
          <w:rFonts w:ascii="Times New Roman" w:hAnsi="Times New Roman" w:cs="Times New Roman"/>
          <w:sz w:val="24"/>
          <w:szCs w:val="24"/>
          <w:lang w:val="fr-BE"/>
        </w:rPr>
        <w:t>réédité par Gérard Bedel (2005)</w:t>
      </w:r>
      <w:r w:rsidR="00632E04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632E04" w:rsidRPr="00632E04">
        <w:rPr>
          <w:rFonts w:ascii="Times New Roman" w:hAnsi="Times New Roman" w:cs="Times New Roman"/>
          <w:sz w:val="24"/>
          <w:szCs w:val="24"/>
          <w:lang w:val="fr-BE"/>
        </w:rPr>
        <w:t xml:space="preserve"> Roberto Carfagni (2011)</w:t>
      </w:r>
      <w:r w:rsidR="00632E04">
        <w:rPr>
          <w:rFonts w:ascii="Times New Roman" w:hAnsi="Times New Roman" w:cs="Times New Roman"/>
          <w:sz w:val="24"/>
          <w:szCs w:val="24"/>
          <w:lang w:val="fr-BE"/>
        </w:rPr>
        <w:t xml:space="preserve"> et</w:t>
      </w:r>
      <w:r w:rsidR="0036799D" w:rsidRPr="00632E04">
        <w:rPr>
          <w:rFonts w:ascii="Times New Roman" w:hAnsi="Times New Roman" w:cs="Times New Roman"/>
          <w:sz w:val="24"/>
          <w:szCs w:val="24"/>
          <w:lang w:val="fr-BE"/>
        </w:rPr>
        <w:t xml:space="preserve"> Véronique Merlier-Espenel</w:t>
      </w:r>
      <w:r w:rsidR="00632E04" w:rsidRPr="00632E04">
        <w:rPr>
          <w:rFonts w:ascii="Times New Roman" w:hAnsi="Times New Roman" w:cs="Times New Roman"/>
          <w:sz w:val="24"/>
          <w:szCs w:val="24"/>
          <w:lang w:val="fr-BE"/>
        </w:rPr>
        <w:t xml:space="preserve"> (2018)</w:t>
      </w:r>
      <w:r w:rsidR="00163C59" w:rsidRPr="00632E04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163C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Conçu par Charles Joseph Christophe Siret (1760-1838), Principal du Collège de Reims et Bibliothécaire de cette même ville, l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Pr="00082A2F">
        <w:rPr>
          <w:rFonts w:ascii="Times New Roman" w:hAnsi="Times New Roman" w:cs="Times New Roman"/>
          <w:i/>
          <w:sz w:val="24"/>
          <w:szCs w:val="24"/>
          <w:lang w:val="fr-BE"/>
        </w:rPr>
        <w:t>Epitom</w:t>
      </w:r>
      <w:r w:rsidR="00B14F59" w:rsidRPr="00082A2F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Pr="00082A2F">
        <w:rPr>
          <w:rFonts w:ascii="Times New Roman" w:hAnsi="Times New Roman" w:cs="Times New Roman"/>
          <w:i/>
          <w:sz w:val="24"/>
          <w:szCs w:val="24"/>
          <w:lang w:val="fr-BE"/>
        </w:rPr>
        <w:t xml:space="preserve"> historiae Graecae</w:t>
      </w:r>
      <w:r w:rsidR="00F67FE7" w:rsidRPr="00E85328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3"/>
      </w:r>
      <w:r w:rsidR="006309AC" w:rsidRPr="00E85328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>poursuit le même but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que le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s textes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de Lhomond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mais 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cette fois c’est </w:t>
      </w:r>
      <w:r w:rsidR="009E44A9" w:rsidRPr="00082A2F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‘h</w:t>
      </w:r>
      <w:r w:rsidR="009E44A9" w:rsidRPr="00082A2F">
        <w:rPr>
          <w:rFonts w:ascii="Times New Roman" w:hAnsi="Times New Roman" w:cs="Times New Roman"/>
          <w:sz w:val="24"/>
          <w:szCs w:val="24"/>
          <w:lang w:val="fr-BE"/>
        </w:rPr>
        <w:t>istoire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grecque qui sert de fil </w:t>
      </w:r>
      <w:r w:rsidR="001B7ECF" w:rsidRPr="00082A2F">
        <w:rPr>
          <w:rFonts w:ascii="Times New Roman" w:hAnsi="Times New Roman" w:cs="Times New Roman"/>
          <w:sz w:val="24"/>
          <w:szCs w:val="24"/>
          <w:lang w:val="fr-BE"/>
        </w:rPr>
        <w:t>d’</w:t>
      </w:r>
      <w:r w:rsidR="00FD3A97" w:rsidRPr="00082A2F">
        <w:rPr>
          <w:rFonts w:ascii="Times New Roman" w:hAnsi="Times New Roman" w:cs="Times New Roman"/>
          <w:sz w:val="24"/>
          <w:szCs w:val="24"/>
          <w:lang w:val="fr-BE"/>
        </w:rPr>
        <w:t>Ariane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Croiser </w:t>
      </w:r>
      <w:r w:rsidR="00FD3A9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langue de 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Rome et </w:t>
      </w:r>
      <w:r w:rsidR="00FD3A97" w:rsidRPr="00082A2F">
        <w:rPr>
          <w:rFonts w:ascii="Times New Roman" w:hAnsi="Times New Roman" w:cs="Times New Roman"/>
          <w:sz w:val="24"/>
          <w:szCs w:val="24"/>
          <w:lang w:val="fr-BE"/>
        </w:rPr>
        <w:t>histoire de la Grèce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est une démarche originale</w:t>
      </w:r>
      <w:r w:rsidR="0062209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qui a séduit en son temps, à en croire le nombre important d’éditions de l’</w:t>
      </w:r>
      <w:r w:rsidR="0062209B" w:rsidRPr="00082A2F">
        <w:rPr>
          <w:rFonts w:ascii="Times New Roman" w:hAnsi="Times New Roman" w:cs="Times New Roman"/>
          <w:i/>
          <w:sz w:val="24"/>
          <w:szCs w:val="24"/>
          <w:lang w:val="fr-BE"/>
        </w:rPr>
        <w:t>Epitom</w:t>
      </w:r>
      <w:r w:rsidR="001B7ECF" w:rsidRPr="00082A2F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="00E85328" w:rsidRPr="0008756C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4"/>
      </w:r>
      <w:r w:rsidR="00FD3A97" w:rsidRPr="00082A2F">
        <w:rPr>
          <w:rFonts w:ascii="Times New Roman" w:hAnsi="Times New Roman" w:cs="Times New Roman"/>
          <w:i/>
          <w:sz w:val="24"/>
          <w:szCs w:val="24"/>
          <w:lang w:val="fr-BE"/>
        </w:rPr>
        <w:t xml:space="preserve">, </w:t>
      </w:r>
      <w:r w:rsidR="00FD3A9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dont Marcel Pernot donna une 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version</w:t>
      </w:r>
      <w:r w:rsidR="00FD3A9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simplifiée et graduée (1924)</w:t>
      </w:r>
      <w:r w:rsidR="00E85328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5"/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1B7ECF" w:rsidRPr="00082A2F">
        <w:rPr>
          <w:rFonts w:ascii="Times New Roman" w:hAnsi="Times New Roman" w:cs="Times New Roman"/>
          <w:sz w:val="24"/>
          <w:szCs w:val="24"/>
          <w:lang w:val="fr-BE"/>
        </w:rPr>
        <w:t>Inspiré de Cornélius Népos, Quinte-Curce et surtout Justin, le texte de Siret conduit l’élève, en 213 chapitres, des origines divines de la Grèce à la victoire définitive de Rome sur le monde grec</w:t>
      </w:r>
      <w:r w:rsidR="00FD3A9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(146)</w:t>
      </w:r>
      <w:r w:rsidR="001B7ECF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C’est cette approche 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qu’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ont 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reprise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les deux auteures de ce manuel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>, l’une historienne, l’autre linguiste</w:t>
      </w:r>
      <w:r w:rsidR="003B4CB9">
        <w:rPr>
          <w:rFonts w:ascii="Times New Roman" w:hAnsi="Times New Roman" w:cs="Times New Roman"/>
          <w:sz w:val="24"/>
          <w:szCs w:val="24"/>
          <w:lang w:val="fr-BE"/>
        </w:rPr>
        <w:t xml:space="preserve">, en </w:t>
      </w:r>
      <w:r w:rsidR="00D10FF9">
        <w:rPr>
          <w:rFonts w:ascii="Times New Roman" w:hAnsi="Times New Roman" w:cs="Times New Roman"/>
          <w:sz w:val="24"/>
          <w:szCs w:val="24"/>
          <w:lang w:val="fr-BE"/>
        </w:rPr>
        <w:t>sélectionnant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six moments clés de l’histoire grecque :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les origines légendaires, les premiers temps d’Athènes, les guerres médiques, l’hégémonie d’Athènes, l’hégémonie de Sparte, l’hégémonie de la Macédoine. Au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>tour de ces noyau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x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sont construite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15 </w:t>
      </w:r>
      <w:r w:rsidR="006D727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séquences </w:t>
      </w:r>
      <w:r w:rsidRPr="00082A2F">
        <w:rPr>
          <w:rFonts w:ascii="Times New Roman" w:hAnsi="Times New Roman" w:cs="Times New Roman"/>
          <w:sz w:val="24"/>
          <w:szCs w:val="24"/>
          <w:lang w:val="fr-BE"/>
        </w:rPr>
        <w:t>d’apprentissage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, divisées chacune en trois</w:t>
      </w:r>
      <w:r w:rsidR="006D727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rubri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q</w:t>
      </w:r>
      <w:r w:rsidR="006D7277" w:rsidRPr="00082A2F">
        <w:rPr>
          <w:rFonts w:ascii="Times New Roman" w:hAnsi="Times New Roman" w:cs="Times New Roman"/>
          <w:sz w:val="24"/>
          <w:szCs w:val="24"/>
          <w:lang w:val="fr-BE"/>
        </w:rPr>
        <w:t>ues</w:t>
      </w:r>
      <w:r w:rsidR="006309AC" w:rsidRPr="00082A2F">
        <w:rPr>
          <w:rFonts w:ascii="Times New Roman" w:hAnsi="Times New Roman" w:cs="Times New Roman"/>
          <w:sz w:val="24"/>
          <w:szCs w:val="24"/>
          <w:lang w:val="fr-BE"/>
        </w:rPr>
        <w:t> : faits de langue, un peu d’histoire, culture antique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>Après cinq séquence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un quiz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mélange</w:t>
      </w:r>
      <w:r w:rsidR="00F43458" w:rsidRPr="00082A2F">
        <w:rPr>
          <w:rFonts w:ascii="Times New Roman" w:hAnsi="Times New Roman" w:cs="Times New Roman"/>
          <w:sz w:val="24"/>
          <w:szCs w:val="24"/>
          <w:lang w:val="fr-BE"/>
        </w:rPr>
        <w:t>ant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les question</w:t>
      </w:r>
      <w:r w:rsidR="00F43458" w:rsidRPr="00082A2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de langue et de civilisation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est proposé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Très richement illustré</w:t>
      </w:r>
      <w:r w:rsidR="000A7DBE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au moyen de pièces archéologiques de nature diverse</w:t>
      </w:r>
      <w:r w:rsidR="00090907" w:rsidRPr="00082A2F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l</w:t>
      </w:r>
      <w:r w:rsidR="00F43458" w:rsidRPr="00082A2F">
        <w:rPr>
          <w:rFonts w:ascii="Times New Roman" w:hAnsi="Times New Roman" w:cs="Times New Roman"/>
          <w:sz w:val="24"/>
          <w:szCs w:val="24"/>
          <w:lang w:val="fr-BE"/>
        </w:rPr>
        <w:t>’ouvrage se termine par un g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lossaire, </w:t>
      </w:r>
      <w:r w:rsidR="00F43458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les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>corrigés des exercices</w:t>
      </w:r>
      <w:r w:rsidR="00F43458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et un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très utile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tableau des déclinaisons et des conjugaisons.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Une brève introduction 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>présente</w:t>
      </w:r>
      <w:r w:rsidR="00E328FA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00825">
        <w:rPr>
          <w:rFonts w:ascii="Times New Roman" w:hAnsi="Times New Roman" w:cs="Times New Roman"/>
          <w:sz w:val="24"/>
          <w:szCs w:val="24"/>
          <w:lang w:val="fr-BE"/>
        </w:rPr>
        <w:t xml:space="preserve">(trop ?) </w:t>
      </w:r>
      <w:r w:rsidR="00E328FA">
        <w:rPr>
          <w:rFonts w:ascii="Times New Roman" w:hAnsi="Times New Roman" w:cs="Times New Roman"/>
          <w:sz w:val="24"/>
          <w:szCs w:val="24"/>
          <w:lang w:val="fr-BE"/>
        </w:rPr>
        <w:t xml:space="preserve">succinctement 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>l’</w:t>
      </w:r>
      <w:r w:rsidR="003D1299" w:rsidRPr="003B4CB9">
        <w:rPr>
          <w:rFonts w:ascii="Times New Roman" w:hAnsi="Times New Roman" w:cs="Times New Roman"/>
          <w:i/>
          <w:sz w:val="24"/>
          <w:szCs w:val="24"/>
          <w:lang w:val="fr-BE"/>
        </w:rPr>
        <w:t>Epitom</w:t>
      </w:r>
      <w:r w:rsidR="003B4CB9" w:rsidRPr="003B4CB9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et propose une brève histoire du latin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B7ECF" w:rsidRPr="00082A2F">
        <w:rPr>
          <w:rFonts w:ascii="Times New Roman" w:hAnsi="Times New Roman" w:cs="Times New Roman"/>
          <w:sz w:val="24"/>
          <w:szCs w:val="24"/>
          <w:lang w:val="fr-BE"/>
        </w:rPr>
        <w:t>vu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comme une langue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toujours </w:t>
      </w:r>
      <w:r w:rsidR="003D1299" w:rsidRPr="00082A2F">
        <w:rPr>
          <w:rFonts w:ascii="Times New Roman" w:hAnsi="Times New Roman" w:cs="Times New Roman"/>
          <w:sz w:val="24"/>
          <w:szCs w:val="24"/>
          <w:lang w:val="fr-BE"/>
        </w:rPr>
        <w:t>vivante.</w:t>
      </w:r>
    </w:p>
    <w:p w:rsidR="006309AC" w:rsidRPr="00082A2F" w:rsidRDefault="006309AC" w:rsidP="006309AC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82A2F">
        <w:rPr>
          <w:rFonts w:ascii="Times New Roman" w:hAnsi="Times New Roman" w:cs="Times New Roman"/>
          <w:b/>
          <w:sz w:val="24"/>
          <w:szCs w:val="24"/>
          <w:lang w:val="fr-BE"/>
        </w:rPr>
        <w:t>Faits de langue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. Il s’agit d’un apprentissage progressif de la morpho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lo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gie nominale et verbale </w:t>
      </w:r>
      <w:r w:rsidR="001B7ECF" w:rsidRPr="00082A2F">
        <w:rPr>
          <w:rFonts w:ascii="Times New Roman" w:hAnsi="Times New Roman" w:cs="Times New Roman"/>
          <w:sz w:val="24"/>
          <w:szCs w:val="24"/>
          <w:lang w:val="fr-BE"/>
        </w:rPr>
        <w:t>ainsi que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des principales règles de syntaxe</w:t>
      </w:r>
      <w:r w:rsidR="00B765D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 :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(1) </w:t>
      </w:r>
      <w:r w:rsidR="00B765D7" w:rsidRPr="00082A2F">
        <w:rPr>
          <w:rFonts w:ascii="Times New Roman" w:hAnsi="Times New Roman" w:cs="Times New Roman"/>
          <w:sz w:val="24"/>
          <w:szCs w:val="24"/>
          <w:lang w:val="fr-BE"/>
        </w:rPr>
        <w:t>v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aleurs des cas, déc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inaisons, système verbal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>, (2)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première déclinaison, présent de l’indicatif, commen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t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procéder pour tra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duire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un texte latin,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(3)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deuxième déclin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ai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son, parfait,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(4)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adjectif, prop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sition infinitive,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(5)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voix passive,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pronoms personnels, pronoms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-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adjectifs démonstratifs,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(6)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tro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sième déclina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son, imparfait, expression du lieu,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(7)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gérondif, adjectif verbal, futur, </w:t>
      </w:r>
      <w:r w:rsidR="00297CF5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(8)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pronom relatif et propos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tion relative, adjectif de la seconde classe,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(9)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participe, ablatif absolu, comparatif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et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superlatif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(10)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impératif, quatrième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et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c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nquième déclina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son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(11)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subjonctif, syntaxe du s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ubjonctif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(12)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plus-que-parfait 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et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futur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lastRenderedPageBreak/>
        <w:t xml:space="preserve">antérieur, possessifs,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(13)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su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b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>j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onctif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parfait et plus-que parfait, emploi de </w:t>
      </w:r>
      <w:r w:rsidR="009D0291" w:rsidRPr="003B4CB9">
        <w:rPr>
          <w:rFonts w:ascii="Times New Roman" w:hAnsi="Times New Roman" w:cs="Times New Roman"/>
          <w:i/>
          <w:sz w:val="24"/>
          <w:szCs w:val="24"/>
          <w:lang w:val="fr-BE"/>
        </w:rPr>
        <w:t>cum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condition,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(14) </w:t>
      </w:r>
      <w:r w:rsidR="009D0291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pronoms, adjectifs et adverbes interrogatifs, interrogation directe et indirecte,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(15) </w:t>
      </w:r>
      <w:r w:rsidR="00BA7132" w:rsidRPr="00082A2F">
        <w:rPr>
          <w:rFonts w:ascii="Times New Roman" w:hAnsi="Times New Roman" w:cs="Times New Roman"/>
          <w:sz w:val="24"/>
          <w:szCs w:val="24"/>
          <w:lang w:val="fr-BE"/>
        </w:rPr>
        <w:t>supin, scan</w:t>
      </w:r>
      <w:r w:rsidR="005C790E" w:rsidRPr="00082A2F">
        <w:rPr>
          <w:rFonts w:ascii="Times New Roman" w:hAnsi="Times New Roman" w:cs="Times New Roman"/>
          <w:sz w:val="24"/>
          <w:szCs w:val="24"/>
          <w:lang w:val="fr-BE"/>
        </w:rPr>
        <w:t>sion.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>Le programme est ambitieux</w:t>
      </w:r>
      <w:r w:rsidR="001A1A18">
        <w:rPr>
          <w:rFonts w:ascii="Times New Roman" w:hAnsi="Times New Roman" w:cs="Times New Roman"/>
          <w:sz w:val="24"/>
          <w:szCs w:val="24"/>
          <w:lang w:val="fr-BE"/>
        </w:rPr>
        <w:t xml:space="preserve"> :  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>il comporte à la fois l’étude de la phrase simple et de la phrase complexe, complétée par une initiation à la scansion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>Le découpage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assez traditionnel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>, comporte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toutefois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des anomalies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Le parfait vient 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avant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l’imparfait 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>et le futur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>La distinction temps de l’</w:t>
      </w:r>
      <w:r w:rsidR="00B14F59" w:rsidRPr="00082A2F">
        <w:rPr>
          <w:rFonts w:ascii="Times New Roman" w:hAnsi="Times New Roman" w:cs="Times New Roman"/>
          <w:i/>
          <w:sz w:val="24"/>
          <w:szCs w:val="24"/>
          <w:lang w:val="fr-BE"/>
        </w:rPr>
        <w:t>infectum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vs. temps du </w:t>
      </w:r>
      <w:r w:rsidR="00B14F59" w:rsidRPr="00082A2F">
        <w:rPr>
          <w:rFonts w:ascii="Times New Roman" w:hAnsi="Times New Roman" w:cs="Times New Roman"/>
          <w:i/>
          <w:sz w:val="24"/>
          <w:szCs w:val="24"/>
          <w:lang w:val="fr-BE"/>
        </w:rPr>
        <w:t>perfectum</w:t>
      </w:r>
      <w:r w:rsidR="00B14F59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n’est pas respectée.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>La proposition infinitive vient trop tôt. Quant au gérondif et à l’adjectif verbal, il serait préférable d’en placer l’étude beaucoup plus tard.</w:t>
      </w:r>
      <w:r w:rsidR="00AE1F8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:rsidR="006309AC" w:rsidRPr="00013957" w:rsidRDefault="006309AC" w:rsidP="006309AC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13957">
        <w:rPr>
          <w:rFonts w:ascii="Times New Roman" w:hAnsi="Times New Roman" w:cs="Times New Roman"/>
          <w:b/>
          <w:sz w:val="24"/>
          <w:szCs w:val="24"/>
          <w:lang w:val="fr-BE"/>
        </w:rPr>
        <w:t>Un peu d’histoire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3B4CB9" w:rsidRPr="00013957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>ntroduction sur le sujet du texte, texte d’étude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extrait de l’</w:t>
      </w:r>
      <w:r w:rsidR="00735271" w:rsidRPr="00013957">
        <w:rPr>
          <w:rFonts w:ascii="Times New Roman" w:hAnsi="Times New Roman" w:cs="Times New Roman"/>
          <w:i/>
          <w:sz w:val="24"/>
          <w:szCs w:val="24"/>
          <w:lang w:val="fr-BE"/>
        </w:rPr>
        <w:t>Epitom</w:t>
      </w:r>
      <w:r w:rsidR="00425AC4" w:rsidRPr="00013957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="00425AC4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(pour une lecture plus facile, il eût été opportun de différencier les </w:t>
      </w:r>
      <w:r w:rsidR="00425AC4" w:rsidRPr="00013957">
        <w:rPr>
          <w:rStyle w:val="Accentuation"/>
          <w:rFonts w:ascii="Times New Roman" w:hAnsi="Times New Roman" w:cs="Times New Roman"/>
          <w:sz w:val="24"/>
          <w:szCs w:val="24"/>
          <w:lang w:val="fr-BE"/>
        </w:rPr>
        <w:t>-i</w:t>
      </w:r>
      <w:r w:rsidR="00425AC4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et les </w:t>
      </w:r>
      <w:r w:rsidR="00425AC4" w:rsidRPr="00013957">
        <w:rPr>
          <w:rStyle w:val="Accentuation"/>
          <w:rFonts w:ascii="Times New Roman" w:hAnsi="Times New Roman" w:cs="Times New Roman"/>
          <w:sz w:val="24"/>
          <w:szCs w:val="24"/>
          <w:lang w:val="fr-BE"/>
        </w:rPr>
        <w:t>-j</w:t>
      </w:r>
      <w:r w:rsidR="00425AC4" w:rsidRPr="00013957">
        <w:rPr>
          <w:rFonts w:ascii="Times New Roman" w:hAnsi="Times New Roman" w:cs="Times New Roman"/>
          <w:sz w:val="24"/>
          <w:szCs w:val="24"/>
          <w:lang w:val="fr-BE"/>
        </w:rPr>
        <w:t> ; les </w:t>
      </w:r>
      <w:r w:rsidR="00425AC4" w:rsidRPr="00013957">
        <w:rPr>
          <w:rStyle w:val="Accentuation"/>
          <w:rFonts w:ascii="Times New Roman" w:hAnsi="Times New Roman" w:cs="Times New Roman"/>
          <w:sz w:val="24"/>
          <w:szCs w:val="24"/>
          <w:lang w:val="fr-BE"/>
        </w:rPr>
        <w:t>-u</w:t>
      </w:r>
      <w:r w:rsidR="00425AC4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et les </w:t>
      </w:r>
      <w:r w:rsidR="00425AC4" w:rsidRPr="00013957">
        <w:rPr>
          <w:rStyle w:val="Accentuation"/>
          <w:rFonts w:ascii="Times New Roman" w:hAnsi="Times New Roman" w:cs="Times New Roman"/>
          <w:sz w:val="24"/>
          <w:szCs w:val="24"/>
          <w:lang w:val="fr-BE"/>
        </w:rPr>
        <w:t>-v</w:t>
      </w:r>
      <w:r w:rsidR="00425AC4" w:rsidRPr="00013957">
        <w:rPr>
          <w:rFonts w:ascii="Times New Roman" w:hAnsi="Times New Roman" w:cs="Times New Roman"/>
          <w:sz w:val="24"/>
          <w:szCs w:val="24"/>
          <w:lang w:val="fr-BE"/>
        </w:rPr>
        <w:t>)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>, expl</w:t>
      </w:r>
      <w:r w:rsidR="005C790E" w:rsidRPr="00013957">
        <w:rPr>
          <w:rFonts w:ascii="Times New Roman" w:hAnsi="Times New Roman" w:cs="Times New Roman"/>
          <w:sz w:val="24"/>
          <w:szCs w:val="24"/>
          <w:lang w:val="fr-BE"/>
        </w:rPr>
        <w:t>i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>cation</w:t>
      </w:r>
      <w:r w:rsidR="005C790E" w:rsidRPr="00013957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pour traduire pas à pas, exercices, lecture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du passage complet 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>de l’</w:t>
      </w:r>
      <w:r w:rsidR="00B765D7" w:rsidRPr="00013957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="00BA7132" w:rsidRPr="00013957">
        <w:rPr>
          <w:rFonts w:ascii="Times New Roman" w:hAnsi="Times New Roman" w:cs="Times New Roman"/>
          <w:i/>
          <w:sz w:val="24"/>
          <w:szCs w:val="24"/>
          <w:lang w:val="fr-BE"/>
        </w:rPr>
        <w:t>pitom</w:t>
      </w:r>
      <w:r w:rsidR="00166FD8" w:rsidRPr="00013957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37E1C" w:rsidRPr="00013957">
        <w:rPr>
          <w:rFonts w:ascii="Times New Roman" w:hAnsi="Times New Roman" w:cs="Times New Roman"/>
          <w:sz w:val="24"/>
          <w:szCs w:val="24"/>
          <w:lang w:val="fr-BE"/>
        </w:rPr>
        <w:t>jusqu’à l’étape 12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137E1C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90907" w:rsidRPr="00013957">
        <w:rPr>
          <w:rFonts w:ascii="Times New Roman" w:hAnsi="Times New Roman" w:cs="Times New Roman"/>
          <w:sz w:val="24"/>
          <w:szCs w:val="24"/>
          <w:lang w:val="fr-BE"/>
        </w:rPr>
        <w:t>accompagné d’un</w:t>
      </w:r>
      <w:r w:rsidR="000A7DBE" w:rsidRPr="00013957">
        <w:rPr>
          <w:rFonts w:ascii="Times New Roman" w:hAnsi="Times New Roman" w:cs="Times New Roman"/>
          <w:sz w:val="24"/>
          <w:szCs w:val="24"/>
          <w:lang w:val="fr-BE"/>
        </w:rPr>
        <w:t>e</w:t>
      </w:r>
      <w:r w:rsidR="00090907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A7132" w:rsidRPr="00013957">
        <w:rPr>
          <w:rFonts w:ascii="Times New Roman" w:hAnsi="Times New Roman" w:cs="Times New Roman"/>
          <w:sz w:val="24"/>
          <w:szCs w:val="24"/>
          <w:lang w:val="fr-BE"/>
        </w:rPr>
        <w:t>traduction</w:t>
      </w:r>
      <w:r w:rsidR="00166FD8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(celle de L. Humbert, 1891)</w:t>
      </w:r>
      <w:r w:rsidR="001B3533">
        <w:rPr>
          <w:rStyle w:val="Appelnotedebasdep"/>
          <w:rFonts w:ascii="Times New Roman" w:hAnsi="Times New Roman" w:cs="Times New Roman"/>
          <w:sz w:val="24"/>
          <w:szCs w:val="24"/>
          <w:lang w:val="fr-BE"/>
        </w:rPr>
        <w:footnoteReference w:id="6"/>
      </w:r>
      <w:r w:rsidR="005C790E" w:rsidRPr="00013957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090907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66FD8" w:rsidRPr="00013957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090907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partir du chapitre 13, texte </w:t>
      </w:r>
      <w:r w:rsidR="001B7ECF" w:rsidRPr="00013957">
        <w:rPr>
          <w:rFonts w:ascii="Times New Roman" w:hAnsi="Times New Roman" w:cs="Times New Roman"/>
          <w:sz w:val="24"/>
          <w:szCs w:val="24"/>
          <w:lang w:val="fr-BE"/>
        </w:rPr>
        <w:t>original</w:t>
      </w:r>
      <w:r w:rsidR="00090907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étudié tel quel.</w:t>
      </w:r>
    </w:p>
    <w:p w:rsidR="00BA7132" w:rsidRPr="00082A2F" w:rsidRDefault="006309AC" w:rsidP="006309AC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82A2F">
        <w:rPr>
          <w:rFonts w:ascii="Times New Roman" w:hAnsi="Times New Roman" w:cs="Times New Roman"/>
          <w:b/>
          <w:sz w:val="24"/>
          <w:szCs w:val="24"/>
          <w:lang w:val="fr-BE"/>
        </w:rPr>
        <w:t>Culture antique</w:t>
      </w:r>
      <w:r w:rsidR="00BA7132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6925F4" w:rsidRPr="00082A2F">
        <w:rPr>
          <w:rFonts w:ascii="Times New Roman" w:hAnsi="Times New Roman" w:cs="Times New Roman"/>
          <w:sz w:val="24"/>
          <w:szCs w:val="24"/>
          <w:lang w:val="fr-BE"/>
        </w:rPr>
        <w:t>Le thème du texte d</w:t>
      </w:r>
      <w:r w:rsidR="00BD3BFB" w:rsidRPr="00082A2F">
        <w:rPr>
          <w:rFonts w:ascii="Times New Roman" w:hAnsi="Times New Roman" w:cs="Times New Roman"/>
          <w:sz w:val="24"/>
          <w:szCs w:val="24"/>
          <w:lang w:val="fr-BE"/>
        </w:rPr>
        <w:t>’</w:t>
      </w:r>
      <w:r w:rsidR="006925F4" w:rsidRPr="00082A2F">
        <w:rPr>
          <w:rFonts w:ascii="Times New Roman" w:hAnsi="Times New Roman" w:cs="Times New Roman"/>
          <w:sz w:val="24"/>
          <w:szCs w:val="24"/>
          <w:lang w:val="fr-BE"/>
        </w:rPr>
        <w:t>étude est développé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(avec des exercices) : </w:t>
      </w:r>
      <w:r w:rsidR="00AE1F87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panthéon gréco-romain, dieux et hommes ;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(2)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travaux d’Héraclès, écuries d’Aug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ias,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sanctuaires et concours panhelléniques ;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(3)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qui était Homère ?, redécouverte de Troie, jugement de Pâris, Achille, heur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eux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qui comme Ulysse… ; </w:t>
      </w:r>
      <w:r w:rsidR="00665BF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(4)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éducation des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partiates, san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c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tuaire et oracle de Delphes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(5)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avant Solon, réformes de Solon, éducation athénienne : éphébie, Crésus et danger des oracles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(6)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origines des guerres médiques, réc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ep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tion de la bataille de Marathon dans l’antiquité et à l’époque moderne, phalange hoplitique à Marathon, savoir ruser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(7)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qui était Thémist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o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cle ?, Léonidas et la bataille des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T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hermopyles, réfo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r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mes de Clisthène, , acropole d’Athènes, </w:t>
      </w:r>
      <w:r w:rsidR="008B6026" w:rsidRPr="00082A2F">
        <w:rPr>
          <w:rFonts w:ascii="Times New Roman" w:hAnsi="Times New Roman" w:cs="Times New Roman"/>
          <w:sz w:val="24"/>
          <w:szCs w:val="24"/>
          <w:lang w:val="fr-BE"/>
        </w:rPr>
        <w:t>P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arthénon, autochtonie, ligue de Délos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(8) </w:t>
      </w:r>
      <w:r w:rsidR="001E56AD" w:rsidRPr="00082A2F">
        <w:rPr>
          <w:rFonts w:ascii="Times New Roman" w:hAnsi="Times New Roman" w:cs="Times New Roman"/>
          <w:sz w:val="24"/>
          <w:szCs w:val="24"/>
          <w:lang w:val="fr-BE"/>
        </w:rPr>
        <w:t>peste à Athènes, épidémie et serment d’Hippocrate, discours de Périclès sur les premiers morts athéniens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(9)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expédition de Sicile, Alcibiade, Cléon, mystères d’</w:t>
      </w:r>
      <w:r w:rsidR="003B4CB9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leusis, importance du théâtre dans la cité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(10)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première révolution oligarchique à Athènes, conséquence</w:t>
      </w:r>
      <w:r w:rsidR="00735271" w:rsidRPr="00082A2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 tragiques de la bataille des Arginuses, rites funéraires, loi d’amnistie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(12)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expédition des Dix-Mille, Xénophon et l’</w:t>
      </w:r>
      <w:r w:rsidR="003F7FDB" w:rsidRPr="003B4CB9">
        <w:rPr>
          <w:rFonts w:ascii="Times New Roman" w:hAnsi="Times New Roman" w:cs="Times New Roman"/>
          <w:i/>
          <w:sz w:val="24"/>
          <w:szCs w:val="24"/>
          <w:lang w:val="fr-BE"/>
        </w:rPr>
        <w:t>Anabase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, lieux et instruments de la démocratie à Athènes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(13)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origines de la philosophie en Grèce, procès et portrait de Socrate ;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(14)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Démosthène, Philippe II de Macédoine, </w:t>
      </w:r>
      <w:r w:rsidR="00137E1C" w:rsidRPr="00082A2F">
        <w:rPr>
          <w:rFonts w:ascii="Times New Roman" w:hAnsi="Times New Roman" w:cs="Times New Roman"/>
          <w:sz w:val="24"/>
          <w:szCs w:val="24"/>
          <w:lang w:val="fr-BE"/>
        </w:rPr>
        <w:t xml:space="preserve">(15) </w:t>
      </w:r>
      <w:r w:rsidR="003F7FDB" w:rsidRPr="00082A2F">
        <w:rPr>
          <w:rFonts w:ascii="Times New Roman" w:hAnsi="Times New Roman" w:cs="Times New Roman"/>
          <w:sz w:val="24"/>
          <w:szCs w:val="24"/>
          <w:lang w:val="fr-BE"/>
        </w:rPr>
        <w:t>Alexandre le conquérant, mythes sur Alexandre le Grand, Caligula et Incitatus.</w:t>
      </w:r>
    </w:p>
    <w:p w:rsidR="00013957" w:rsidRPr="00013957" w:rsidRDefault="003D1299" w:rsidP="00013957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13957">
        <w:rPr>
          <w:rFonts w:ascii="Times New Roman" w:hAnsi="Times New Roman" w:cs="Times New Roman"/>
          <w:sz w:val="24"/>
          <w:szCs w:val="24"/>
          <w:lang w:val="fr-BE"/>
        </w:rPr>
        <w:t>Le p</w:t>
      </w:r>
      <w:r w:rsidR="00BD3BFB" w:rsidRPr="00013957">
        <w:rPr>
          <w:rFonts w:ascii="Times New Roman" w:hAnsi="Times New Roman" w:cs="Times New Roman"/>
          <w:sz w:val="24"/>
          <w:szCs w:val="24"/>
          <w:lang w:val="fr-BE"/>
        </w:rPr>
        <w:t>ublic-cible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est mal défini. Il est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vaguement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question des « latin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iste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s qui débutent ou qui souhaitent réviser leur latin » 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(p. </w:t>
      </w:r>
      <w:r w:rsidR="00166FD8" w:rsidRPr="00013957">
        <w:rPr>
          <w:rFonts w:ascii="Times New Roman" w:hAnsi="Times New Roman" w:cs="Times New Roman"/>
          <w:sz w:val="24"/>
          <w:szCs w:val="24"/>
          <w:lang w:val="fr-BE"/>
        </w:rPr>
        <w:t>2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)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et « des élèves du se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c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ondaire ou du lecteur grand pu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blic »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(quatrième de couverture)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4A5B0D" w:rsidRPr="00013957">
        <w:rPr>
          <w:rFonts w:ascii="Times New Roman" w:hAnsi="Times New Roman" w:cs="Times New Roman"/>
          <w:sz w:val="24"/>
          <w:szCs w:val="24"/>
          <w:lang w:val="fr-BE"/>
        </w:rPr>
        <w:t>C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et ouvrage est plu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une mise à l’honneur de l’</w:t>
      </w:r>
      <w:r w:rsidR="00425AC4" w:rsidRPr="00013957">
        <w:rPr>
          <w:rFonts w:ascii="Times New Roman" w:hAnsi="Times New Roman" w:cs="Times New Roman"/>
          <w:i/>
          <w:sz w:val="24"/>
          <w:szCs w:val="24"/>
          <w:lang w:val="fr-BE"/>
        </w:rPr>
        <w:t>E</w:t>
      </w:r>
      <w:r w:rsidRPr="00013957">
        <w:rPr>
          <w:rFonts w:ascii="Times New Roman" w:hAnsi="Times New Roman" w:cs="Times New Roman"/>
          <w:i/>
          <w:sz w:val="24"/>
          <w:szCs w:val="24"/>
          <w:lang w:val="fr-BE"/>
        </w:rPr>
        <w:t>pitome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qu’un manuel visant à l’apprentissage du latin.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Plutôt qu</w:t>
      </w:r>
      <w:r w:rsidR="001A1A18">
        <w:rPr>
          <w:rFonts w:ascii="Times New Roman" w:hAnsi="Times New Roman" w:cs="Times New Roman"/>
          <w:sz w:val="24"/>
          <w:szCs w:val="24"/>
          <w:lang w:val="fr-BE"/>
        </w:rPr>
        <w:t>e de s’initier au</w:t>
      </w:r>
      <w:r w:rsidR="004A5B0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latin par l’histoire grecque, comme l’indique le titre,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il s’agit d’</w:t>
      </w:r>
      <w:r w:rsidR="004A5B0D" w:rsidRPr="00013957">
        <w:rPr>
          <w:rFonts w:ascii="Times New Roman" w:hAnsi="Times New Roman" w:cs="Times New Roman"/>
          <w:sz w:val="24"/>
          <w:szCs w:val="24"/>
          <w:lang w:val="fr-BE"/>
        </w:rPr>
        <w:t>étudier l’histoire grecque par le latin</w:t>
      </w:r>
      <w:r w:rsidR="001B7ECF" w:rsidRPr="00013957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4A5B0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Le sommaire est éclairant sur ce point</w:t>
      </w:r>
      <w:r w:rsidR="00583EE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. Il est fondé uniquement sur les faits de civilisation.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583EE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es </w:t>
      </w:r>
      <w:r w:rsidR="001B7ECF" w:rsidRPr="00013957">
        <w:rPr>
          <w:rFonts w:ascii="Times New Roman" w:hAnsi="Times New Roman" w:cs="Times New Roman"/>
          <w:sz w:val="24"/>
          <w:szCs w:val="24"/>
          <w:lang w:val="fr-BE"/>
        </w:rPr>
        <w:t>éléments linguistiques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sont absents.</w:t>
      </w:r>
      <w:r w:rsidR="00583EE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3B4CB9" w:rsidRPr="00013957">
        <w:rPr>
          <w:rFonts w:ascii="Times New Roman" w:hAnsi="Times New Roman" w:cs="Times New Roman"/>
          <w:sz w:val="24"/>
          <w:szCs w:val="24"/>
          <w:lang w:val="fr-BE"/>
        </w:rPr>
        <w:t>À</w:t>
      </w:r>
      <w:r w:rsidR="001B7EC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mon sens, c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et ouvrage pourrait convenir pour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des élèves/étudiants qui, </w:t>
      </w:r>
      <w:r w:rsidR="001A1A18">
        <w:rPr>
          <w:rFonts w:ascii="Times New Roman" w:hAnsi="Times New Roman" w:cs="Times New Roman"/>
          <w:sz w:val="24"/>
          <w:szCs w:val="24"/>
          <w:lang w:val="fr-BE"/>
        </w:rPr>
        <w:t>nantis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déjà de connaissances </w:t>
      </w:r>
      <w:r w:rsidR="001A1A18">
        <w:rPr>
          <w:rFonts w:ascii="Times New Roman" w:hAnsi="Times New Roman" w:cs="Times New Roman"/>
          <w:sz w:val="24"/>
          <w:szCs w:val="24"/>
          <w:lang w:val="fr-BE"/>
        </w:rPr>
        <w:t>en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latin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veulent les rafraichir et les perfectionner tout en s’initiant à l’histoire et à l</w:t>
      </w:r>
      <w:r w:rsidR="00013957" w:rsidRPr="00013957">
        <w:rPr>
          <w:rFonts w:ascii="Times New Roman" w:hAnsi="Times New Roman" w:cs="Times New Roman"/>
          <w:sz w:val="24"/>
          <w:szCs w:val="24"/>
          <w:lang w:val="fr-BE"/>
        </w:rPr>
        <w:t>a</w:t>
      </w:r>
      <w:r w:rsidR="00665BF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civilisation grecques</w:t>
      </w:r>
      <w:r w:rsidR="001A1A18">
        <w:rPr>
          <w:rFonts w:ascii="Times New Roman" w:hAnsi="Times New Roman" w:cs="Times New Roman"/>
          <w:sz w:val="24"/>
          <w:szCs w:val="24"/>
          <w:lang w:val="fr-BE"/>
        </w:rPr>
        <w:t>. C’est aussi une belle invitation à l’apprentissage de la traduction.</w:t>
      </w:r>
    </w:p>
    <w:p w:rsidR="00013957" w:rsidRPr="00013957" w:rsidRDefault="003D1299" w:rsidP="00013957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13957">
        <w:rPr>
          <w:rFonts w:ascii="Times New Roman" w:hAnsi="Times New Roman" w:cs="Times New Roman"/>
          <w:sz w:val="24"/>
          <w:szCs w:val="24"/>
          <w:lang w:val="fr-BE"/>
        </w:rPr>
        <w:t>Les points forts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 :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riche documentation iconographique, rep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ères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historiques très clairs, u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tilisation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de couleur</w:t>
      </w:r>
      <w:r w:rsidR="00583EE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(dans la rubrique « traduire “pas à pas” », certains mots du texte ont un code couleur, rouge pour les mots dont la traduction est donnée dans l’ordre d’apparition dans le texte, jaune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pour </w:t>
      </w:r>
      <w:r w:rsidR="00583EE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les 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lastRenderedPageBreak/>
        <w:t>vocables</w:t>
      </w:r>
      <w:r w:rsidR="00583EE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repris dans la rubrique « du latin au français »)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, volonté de rendre </w:t>
      </w:r>
      <w:r w:rsidR="001B7ECF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vivantes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les langues et les cultures antiques, références </w:t>
      </w:r>
      <w:r w:rsidR="003B4CB9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précises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des textes authentiques </w:t>
      </w:r>
      <w:r w:rsidR="00090907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(très variés)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donnés en traduction et rubrique « du latin au fran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ç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ais »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B7ECF" w:rsidRPr="00013957">
        <w:rPr>
          <w:rFonts w:ascii="Times New Roman" w:hAnsi="Times New Roman" w:cs="Times New Roman"/>
          <w:sz w:val="24"/>
          <w:szCs w:val="24"/>
          <w:lang w:val="fr-BE"/>
        </w:rPr>
        <w:t>illustr</w:t>
      </w:r>
      <w:r w:rsidR="003B4CB9" w:rsidRPr="00013957">
        <w:rPr>
          <w:rFonts w:ascii="Times New Roman" w:hAnsi="Times New Roman" w:cs="Times New Roman"/>
          <w:sz w:val="24"/>
          <w:szCs w:val="24"/>
          <w:lang w:val="fr-BE"/>
        </w:rPr>
        <w:t>ant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l’utilité du latin pour la maît</w:t>
      </w:r>
      <w:r w:rsidR="000A7DBE" w:rsidRPr="00013957">
        <w:rPr>
          <w:rFonts w:ascii="Times New Roman" w:hAnsi="Times New Roman" w:cs="Times New Roman"/>
          <w:sz w:val="24"/>
          <w:szCs w:val="24"/>
          <w:lang w:val="fr-BE"/>
        </w:rPr>
        <w:t>rise</w:t>
      </w:r>
      <w:r w:rsidR="00735271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du français</w:t>
      </w:r>
      <w:r w:rsidR="000A7DBE" w:rsidRPr="00013957">
        <w:rPr>
          <w:rFonts w:ascii="Times New Roman" w:hAnsi="Times New Roman" w:cs="Times New Roman"/>
          <w:sz w:val="24"/>
          <w:szCs w:val="24"/>
          <w:lang w:val="fr-BE"/>
        </w:rPr>
        <w:t>, mise à l’honneur de la méthode de traduction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</w:p>
    <w:p w:rsidR="00013957" w:rsidRPr="00013957" w:rsidRDefault="003D1299" w:rsidP="0036799D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Les points faibles se situent </w:t>
      </w:r>
      <w:r w:rsidR="003B4CB9" w:rsidRPr="00013957">
        <w:rPr>
          <w:rFonts w:ascii="Times New Roman" w:hAnsi="Times New Roman" w:cs="Times New Roman"/>
          <w:sz w:val="24"/>
          <w:szCs w:val="24"/>
          <w:lang w:val="fr-BE"/>
        </w:rPr>
        <w:t>sur le versant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linguistique : présentation </w:t>
      </w:r>
      <w:r w:rsidR="000A7DBE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trop compacte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des notions de base, trop peu d’exercices et trop peu de vari</w:t>
      </w:r>
      <w:r w:rsidR="00AE1F87" w:rsidRPr="00013957">
        <w:rPr>
          <w:rFonts w:ascii="Times New Roman" w:hAnsi="Times New Roman" w:cs="Times New Roman"/>
          <w:sz w:val="24"/>
          <w:szCs w:val="24"/>
          <w:lang w:val="fr-BE"/>
        </w:rPr>
        <w:t>é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té</w:t>
      </w:r>
      <w:r w:rsidR="004A5B0D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(presque uniquement repérage et analyse de formes vues dans la leçon)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, ordre de présentation des points de langue </w:t>
      </w:r>
      <w:r w:rsidR="000A7DBE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en partie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inadéquat et ambition </w:t>
      </w:r>
      <w:r w:rsidR="00C82DE8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globalement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trop </w:t>
      </w:r>
      <w:r w:rsidR="000A7DBE" w:rsidRPr="00013957">
        <w:rPr>
          <w:rFonts w:ascii="Times New Roman" w:hAnsi="Times New Roman" w:cs="Times New Roman"/>
          <w:sz w:val="24"/>
          <w:szCs w:val="24"/>
          <w:lang w:val="fr-BE"/>
        </w:rPr>
        <w:t>importante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, manque de balisage dans l’apprentissage du vocabulaire</w:t>
      </w:r>
      <w:r w:rsidR="00FB5AF2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 (les mots utilisés dans les textes de l’</w:t>
      </w:r>
      <w:r w:rsidR="00FB5AF2" w:rsidRPr="00013957">
        <w:rPr>
          <w:rFonts w:ascii="Times New Roman" w:hAnsi="Times New Roman" w:cs="Times New Roman"/>
          <w:i/>
          <w:iCs/>
          <w:sz w:val="24"/>
          <w:szCs w:val="24"/>
          <w:lang w:val="fr-BE"/>
        </w:rPr>
        <w:t xml:space="preserve">Epitome </w:t>
      </w:r>
      <w:r w:rsidR="00FB5AF2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ne font pas l’objet d’une étude progressive), </w:t>
      </w:r>
      <w:r w:rsidR="00166FD8"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pas de traduction originale, </w:t>
      </w:r>
      <w:r w:rsidRPr="00013957">
        <w:rPr>
          <w:rFonts w:ascii="Times New Roman" w:hAnsi="Times New Roman" w:cs="Times New Roman"/>
          <w:sz w:val="24"/>
          <w:szCs w:val="24"/>
          <w:lang w:val="fr-BE"/>
        </w:rPr>
        <w:t>absence d’un lexique final.</w:t>
      </w:r>
    </w:p>
    <w:p w:rsidR="008B6026" w:rsidRPr="00013957" w:rsidRDefault="0036799D" w:rsidP="0036799D">
      <w:pPr>
        <w:jc w:val="both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013957">
        <w:rPr>
          <w:rFonts w:ascii="Times New Roman" w:hAnsi="Times New Roman" w:cs="Times New Roman"/>
          <w:sz w:val="24"/>
          <w:szCs w:val="24"/>
          <w:lang w:val="fr-BE"/>
        </w:rPr>
        <w:t xml:space="preserve">Quoi qu’il en soit, </w:t>
      </w:r>
      <w:r w:rsidR="001A1A18">
        <w:rPr>
          <w:rFonts w:ascii="Times New Roman" w:hAnsi="Times New Roman" w:cs="Times New Roman"/>
          <w:sz w:val="24"/>
          <w:szCs w:val="24"/>
          <w:lang w:val="fr-BE"/>
        </w:rPr>
        <w:t xml:space="preserve">le principal mérite de cet ouvrage est, outre l’originalité, </w:t>
      </w:r>
      <w:r w:rsidR="0062209B" w:rsidRPr="00E85328">
        <w:rPr>
          <w:rFonts w:ascii="Times New Roman" w:hAnsi="Times New Roman" w:cs="Times New Roman"/>
          <w:sz w:val="24"/>
          <w:szCs w:val="24"/>
          <w:lang w:val="fr-BE"/>
        </w:rPr>
        <w:t xml:space="preserve">la </w:t>
      </w:r>
      <w:r w:rsidR="00090907" w:rsidRPr="00E85328">
        <w:rPr>
          <w:rFonts w:ascii="Times New Roman" w:hAnsi="Times New Roman" w:cs="Times New Roman"/>
          <w:sz w:val="24"/>
          <w:szCs w:val="24"/>
          <w:lang w:val="fr-BE"/>
        </w:rPr>
        <w:t>vivacité culturelle</w:t>
      </w:r>
      <w:r w:rsidR="0062209B" w:rsidRPr="00E85328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0A7DBE" w:rsidRPr="00E85328">
        <w:rPr>
          <w:rFonts w:ascii="Times New Roman" w:hAnsi="Times New Roman" w:cs="Times New Roman"/>
          <w:sz w:val="24"/>
          <w:szCs w:val="24"/>
          <w:lang w:val="fr-BE"/>
        </w:rPr>
        <w:t>Une suggestion : p</w:t>
      </w:r>
      <w:r w:rsidRPr="00E85328">
        <w:rPr>
          <w:rFonts w:ascii="Times New Roman" w:hAnsi="Times New Roman" w:cs="Times New Roman"/>
          <w:sz w:val="24"/>
          <w:szCs w:val="24"/>
          <w:lang w:val="fr-BE"/>
        </w:rPr>
        <w:t xml:space="preserve">ourquoi ne pas entreprendre le même travail avec </w:t>
      </w:r>
      <w:r w:rsidR="00F43458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le </w:t>
      </w:r>
      <w:r w:rsidR="00194C59" w:rsidRPr="00E8532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Selectae e profanis scriptor</w:t>
      </w:r>
      <w:r w:rsidR="000B0BFE" w:rsidRPr="00E8532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ibus</w:t>
      </w:r>
      <w:r w:rsidR="00194C59" w:rsidRPr="00E8532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 xml:space="preserve"> historiae</w:t>
      </w:r>
      <w:r w:rsidR="00194C59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</w:t>
      </w:r>
      <w:r w:rsidR="005C321A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e Jean </w:t>
      </w:r>
      <w:r w:rsidR="00194C59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>Heuzet (</w:t>
      </w:r>
      <w:r w:rsidR="000B0BFE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>1727</w:t>
      </w:r>
      <w:r w:rsidR="00194C59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) ou le </w:t>
      </w:r>
      <w:r w:rsidR="00C82DE8" w:rsidRPr="00E8532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D</w:t>
      </w:r>
      <w:r w:rsidR="00F43458" w:rsidRPr="00E85328">
        <w:rPr>
          <w:rFonts w:ascii="Times New Roman" w:eastAsia="Times New Roman" w:hAnsi="Times New Roman" w:cs="Times New Roman"/>
          <w:i/>
          <w:sz w:val="24"/>
          <w:szCs w:val="24"/>
          <w:lang w:val="fr-BE"/>
        </w:rPr>
        <w:t>e viris</w:t>
      </w:r>
      <w:r w:rsidR="00F43458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de Lhomond</w:t>
      </w:r>
      <w:r w:rsidR="006D6616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(1779)</w:t>
      </w:r>
      <w:r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, </w:t>
      </w:r>
      <w:r w:rsidR="000B0BFE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>q</w:t>
      </w:r>
      <w:r w:rsidR="00090907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>ui</w:t>
      </w:r>
      <w:r w:rsidR="00600825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fut le best-seller des manuels scolaires de latin jusqu’au milieu du XX</w:t>
      </w:r>
      <w:r w:rsidR="00600825" w:rsidRPr="00E85328">
        <w:rPr>
          <w:rFonts w:ascii="Times New Roman" w:eastAsia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600825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s.</w:t>
      </w:r>
      <w:r w:rsidR="003F4370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―</w:t>
      </w:r>
      <w:r w:rsidR="00324ABB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ou, mieux</w:t>
      </w:r>
      <w:r w:rsidR="003F4370">
        <w:rPr>
          <w:rFonts w:ascii="Times New Roman" w:eastAsia="Times New Roman" w:hAnsi="Times New Roman" w:cs="Times New Roman"/>
          <w:sz w:val="24"/>
          <w:szCs w:val="24"/>
          <w:lang w:val="fr-BE"/>
        </w:rPr>
        <w:t> !</w:t>
      </w:r>
      <w:r w:rsidR="00324ABB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>, le texte original du IV</w:t>
      </w:r>
      <w:r w:rsidR="00324ABB" w:rsidRPr="0008756C">
        <w:rPr>
          <w:rFonts w:ascii="Times New Roman" w:eastAsia="Times New Roman" w:hAnsi="Times New Roman" w:cs="Times New Roman"/>
          <w:sz w:val="24"/>
          <w:szCs w:val="24"/>
          <w:vertAlign w:val="superscript"/>
          <w:lang w:val="fr-BE"/>
        </w:rPr>
        <w:t>e</w:t>
      </w:r>
      <w:r w:rsidR="00324ABB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s que Lhomond a </w:t>
      </w:r>
      <w:r w:rsidR="0008756C">
        <w:rPr>
          <w:rFonts w:ascii="Times New Roman" w:eastAsia="Times New Roman" w:hAnsi="Times New Roman" w:cs="Times New Roman"/>
          <w:sz w:val="24"/>
          <w:szCs w:val="24"/>
          <w:lang w:val="fr-BE"/>
        </w:rPr>
        <w:t>« scandaleusement</w:t>
      </w:r>
      <w:r w:rsidR="00324ABB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pillé</w:t>
      </w:r>
      <w:r w:rsidR="0008756C">
        <w:rPr>
          <w:rFonts w:ascii="Times New Roman" w:eastAsia="Times New Roman" w:hAnsi="Times New Roman" w:cs="Times New Roman"/>
          <w:sz w:val="24"/>
          <w:szCs w:val="24"/>
          <w:lang w:val="fr-BE"/>
        </w:rPr>
        <w:t> »</w:t>
      </w:r>
      <w:r w:rsidR="00553584" w:rsidRPr="00E85328">
        <w:rPr>
          <w:rStyle w:val="Appelnotedebasdep"/>
          <w:rFonts w:ascii="Times New Roman" w:eastAsia="Times New Roman" w:hAnsi="Times New Roman" w:cs="Times New Roman"/>
          <w:sz w:val="24"/>
          <w:szCs w:val="24"/>
          <w:lang w:val="fr-BE"/>
        </w:rPr>
        <w:footnoteReference w:id="7"/>
      </w:r>
      <w:r w:rsidR="000A7DBE"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</w:t>
      </w:r>
      <w:r w:rsidRPr="00E85328">
        <w:rPr>
          <w:rFonts w:ascii="Times New Roman" w:eastAsia="Times New Roman" w:hAnsi="Times New Roman" w:cs="Times New Roman"/>
          <w:sz w:val="24"/>
          <w:szCs w:val="24"/>
          <w:lang w:val="fr-BE"/>
        </w:rPr>
        <w:t>?</w:t>
      </w:r>
    </w:p>
    <w:p w:rsidR="003566D4" w:rsidRPr="00013957" w:rsidRDefault="003566D4" w:rsidP="0036799D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9E44A9" w:rsidRDefault="003566D4" w:rsidP="003566D4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 w:rsidRPr="00013957">
        <w:rPr>
          <w:rFonts w:ascii="Times New Roman" w:hAnsi="Times New Roman" w:cs="Times New Roman"/>
          <w:sz w:val="24"/>
          <w:szCs w:val="24"/>
          <w:lang w:val="fr-BE"/>
        </w:rPr>
        <w:t>Bruno Rochette</w:t>
      </w:r>
    </w:p>
    <w:p w:rsidR="00E328FA" w:rsidRDefault="00E328FA" w:rsidP="003566D4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UR « Mondes anciens »</w:t>
      </w:r>
    </w:p>
    <w:p w:rsidR="00E328FA" w:rsidRPr="00013957" w:rsidRDefault="00E328FA" w:rsidP="003566D4">
      <w:pPr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Université de Liège</w:t>
      </w:r>
    </w:p>
    <w:sectPr w:rsidR="00E328FA" w:rsidRPr="000139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C0" w:rsidRDefault="00293DC0" w:rsidP="00D10FF9">
      <w:pPr>
        <w:spacing w:after="0" w:line="240" w:lineRule="auto"/>
      </w:pPr>
      <w:r>
        <w:separator/>
      </w:r>
    </w:p>
  </w:endnote>
  <w:endnote w:type="continuationSeparator" w:id="0">
    <w:p w:rsidR="00293DC0" w:rsidRDefault="00293DC0" w:rsidP="00D1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C0" w:rsidRDefault="00293DC0" w:rsidP="00D10FF9">
      <w:pPr>
        <w:spacing w:after="0" w:line="240" w:lineRule="auto"/>
      </w:pPr>
      <w:r>
        <w:separator/>
      </w:r>
    </w:p>
  </w:footnote>
  <w:footnote w:type="continuationSeparator" w:id="0">
    <w:p w:rsidR="00293DC0" w:rsidRDefault="00293DC0" w:rsidP="00D10FF9">
      <w:pPr>
        <w:spacing w:after="0" w:line="240" w:lineRule="auto"/>
      </w:pPr>
      <w:r>
        <w:continuationSeparator/>
      </w:r>
    </w:p>
  </w:footnote>
  <w:footnote w:id="1">
    <w:p w:rsidR="00324ABB" w:rsidRPr="001A1A18" w:rsidRDefault="00324ABB" w:rsidP="001A1A18">
      <w:pPr>
        <w:pStyle w:val="Notedebasdepage"/>
        <w:jc w:val="both"/>
        <w:rPr>
          <w:rFonts w:ascii="Times New Roman" w:hAnsi="Times New Roman" w:cs="Times New Roman"/>
          <w:lang w:val="fr-BE"/>
        </w:rPr>
      </w:pPr>
      <w:r w:rsidRPr="001A1A18">
        <w:rPr>
          <w:rStyle w:val="Appelnotedebasdep"/>
          <w:rFonts w:ascii="Times New Roman" w:hAnsi="Times New Roman" w:cs="Times New Roman"/>
        </w:rPr>
        <w:footnoteRef/>
      </w:r>
      <w:r w:rsidRPr="001A1A18">
        <w:rPr>
          <w:rFonts w:ascii="Times New Roman" w:hAnsi="Times New Roman" w:cs="Times New Roman"/>
          <w:lang w:val="fr-BE"/>
        </w:rPr>
        <w:t xml:space="preserve"> A. Choppin, </w:t>
      </w:r>
      <w:r w:rsidRPr="001A1A18">
        <w:rPr>
          <w:rFonts w:ascii="Times New Roman" w:hAnsi="Times New Roman" w:cs="Times New Roman"/>
          <w:i/>
          <w:lang w:val="fr-BE"/>
        </w:rPr>
        <w:t>Les manuels scolaires en France de 1789 à nos jours. 3. Les manuels de latin</w:t>
      </w:r>
      <w:r w:rsidRPr="001A1A18">
        <w:rPr>
          <w:rFonts w:ascii="Times New Roman" w:hAnsi="Times New Roman" w:cs="Times New Roman"/>
          <w:lang w:val="fr-BE"/>
        </w:rPr>
        <w:t xml:space="preserve">, Paris, 1988, </w:t>
      </w:r>
      <w:r w:rsidR="0008756C" w:rsidRPr="001A1A18">
        <w:rPr>
          <w:rFonts w:ascii="Times New Roman" w:hAnsi="Times New Roman" w:cs="Times New Roman"/>
          <w:lang w:val="fr-BE"/>
        </w:rPr>
        <w:t>n° 2.</w:t>
      </w:r>
    </w:p>
  </w:footnote>
  <w:footnote w:id="2">
    <w:p w:rsidR="00324ABB" w:rsidRPr="00B04A71" w:rsidRDefault="00324ABB" w:rsidP="001A1A18">
      <w:pPr>
        <w:pStyle w:val="Notedebasdepage"/>
        <w:jc w:val="both"/>
        <w:rPr>
          <w:rFonts w:ascii="Times New Roman" w:hAnsi="Times New Roman" w:cs="Times New Roman"/>
          <w:lang w:val="fr-BE"/>
        </w:rPr>
      </w:pPr>
      <w:r w:rsidRPr="001A1A18">
        <w:rPr>
          <w:rStyle w:val="Appelnotedebasdep"/>
          <w:rFonts w:ascii="Times New Roman" w:hAnsi="Times New Roman" w:cs="Times New Roman"/>
        </w:rPr>
        <w:footnoteRef/>
      </w:r>
      <w:r w:rsidRPr="00B04A71">
        <w:rPr>
          <w:rFonts w:ascii="Times New Roman" w:hAnsi="Times New Roman" w:cs="Times New Roman"/>
          <w:lang w:val="fr-BE"/>
        </w:rPr>
        <w:t xml:space="preserve"> Choppin, </w:t>
      </w:r>
      <w:r w:rsidRPr="00B04A71">
        <w:rPr>
          <w:rFonts w:ascii="Times New Roman" w:hAnsi="Times New Roman" w:cs="Times New Roman"/>
          <w:i/>
          <w:lang w:val="fr-BE"/>
        </w:rPr>
        <w:t>op. cit</w:t>
      </w:r>
      <w:r w:rsidRPr="00B04A71">
        <w:rPr>
          <w:rFonts w:ascii="Times New Roman" w:hAnsi="Times New Roman" w:cs="Times New Roman"/>
          <w:lang w:val="fr-BE"/>
        </w:rPr>
        <w:t xml:space="preserve">., p. </w:t>
      </w:r>
      <w:r w:rsidR="0008756C" w:rsidRPr="00B04A71">
        <w:rPr>
          <w:rFonts w:ascii="Times New Roman" w:hAnsi="Times New Roman" w:cs="Times New Roman"/>
          <w:lang w:val="fr-BE"/>
        </w:rPr>
        <w:t>n° 7.</w:t>
      </w:r>
    </w:p>
  </w:footnote>
  <w:footnote w:id="3">
    <w:p w:rsidR="001B3533" w:rsidRPr="00B04A71" w:rsidRDefault="001B3533" w:rsidP="001A1A18">
      <w:pPr>
        <w:pStyle w:val="Notedebasdepage"/>
        <w:jc w:val="both"/>
        <w:rPr>
          <w:rFonts w:ascii="Times New Roman" w:hAnsi="Times New Roman" w:cs="Times New Roman"/>
          <w:lang w:val="fr-BE"/>
        </w:rPr>
      </w:pPr>
      <w:r w:rsidRPr="001A1A18">
        <w:rPr>
          <w:rStyle w:val="Appelnotedebasdep"/>
          <w:rFonts w:ascii="Times New Roman" w:hAnsi="Times New Roman" w:cs="Times New Roman"/>
        </w:rPr>
        <w:footnoteRef/>
      </w:r>
      <w:r w:rsidRPr="00B04A71">
        <w:rPr>
          <w:rFonts w:ascii="Times New Roman" w:hAnsi="Times New Roman" w:cs="Times New Roman"/>
          <w:lang w:val="fr-BE"/>
        </w:rPr>
        <w:t xml:space="preserve"> SIRET, Charles-Joseph, </w:t>
      </w:r>
      <w:r w:rsidRPr="00B04A71">
        <w:rPr>
          <w:rFonts w:ascii="Times New Roman" w:hAnsi="Times New Roman" w:cs="Times New Roman"/>
          <w:i/>
          <w:lang w:val="fr-BE"/>
        </w:rPr>
        <w:t>Epitome historiae graecae, ab origine Graecorum ad finem usque regni Alexandri Magni</w:t>
      </w:r>
      <w:r w:rsidRPr="00B04A71">
        <w:rPr>
          <w:rFonts w:ascii="Times New Roman" w:hAnsi="Times New Roman" w:cs="Times New Roman"/>
          <w:lang w:val="fr-BE"/>
        </w:rPr>
        <w:t>, Paris, Richard, an VIII (1799), 191 p.</w:t>
      </w:r>
    </w:p>
  </w:footnote>
  <w:footnote w:id="4">
    <w:p w:rsidR="00E85328" w:rsidRPr="001A1A18" w:rsidRDefault="00E85328" w:rsidP="001A1A18">
      <w:pPr>
        <w:pStyle w:val="Notedebasdepage"/>
        <w:jc w:val="both"/>
        <w:rPr>
          <w:rFonts w:ascii="Times New Roman" w:hAnsi="Times New Roman" w:cs="Times New Roman"/>
        </w:rPr>
      </w:pPr>
      <w:r w:rsidRPr="001A1A18">
        <w:rPr>
          <w:rStyle w:val="Appelnotedebasdep"/>
          <w:rFonts w:ascii="Times New Roman" w:hAnsi="Times New Roman" w:cs="Times New Roman"/>
        </w:rPr>
        <w:footnoteRef/>
      </w:r>
      <w:r w:rsidRPr="001A1A18">
        <w:rPr>
          <w:rFonts w:ascii="Times New Roman" w:hAnsi="Times New Roman" w:cs="Times New Roman"/>
        </w:rPr>
        <w:t xml:space="preserve"> A. Choppin, </w:t>
      </w:r>
      <w:r w:rsidRPr="001A1A18">
        <w:rPr>
          <w:rFonts w:ascii="Times New Roman" w:hAnsi="Times New Roman" w:cs="Times New Roman"/>
          <w:i/>
        </w:rPr>
        <w:t>op. cit</w:t>
      </w:r>
      <w:r w:rsidRPr="001A1A18">
        <w:rPr>
          <w:rFonts w:ascii="Times New Roman" w:hAnsi="Times New Roman" w:cs="Times New Roman"/>
        </w:rPr>
        <w:t>., n° 983, 1877, 1882, 1886, 1898, 1980, 2183, 2354, 2401.</w:t>
      </w:r>
    </w:p>
  </w:footnote>
  <w:footnote w:id="5">
    <w:p w:rsidR="00E85328" w:rsidRPr="001A1A18" w:rsidRDefault="00E85328" w:rsidP="001A1A18">
      <w:pPr>
        <w:pStyle w:val="Notedebasdepage"/>
        <w:jc w:val="both"/>
        <w:rPr>
          <w:rFonts w:ascii="Times New Roman" w:hAnsi="Times New Roman" w:cs="Times New Roman"/>
        </w:rPr>
      </w:pPr>
      <w:r w:rsidRPr="001A1A18">
        <w:rPr>
          <w:rStyle w:val="Appelnotedebasdep"/>
          <w:rFonts w:ascii="Times New Roman" w:hAnsi="Times New Roman" w:cs="Times New Roman"/>
        </w:rPr>
        <w:footnoteRef/>
      </w:r>
      <w:r w:rsidRPr="001A1A18">
        <w:rPr>
          <w:rFonts w:ascii="Times New Roman" w:hAnsi="Times New Roman" w:cs="Times New Roman"/>
        </w:rPr>
        <w:t xml:space="preserve"> A. Choppin, </w:t>
      </w:r>
      <w:r w:rsidRPr="001A1A18">
        <w:rPr>
          <w:rFonts w:ascii="Times New Roman" w:hAnsi="Times New Roman" w:cs="Times New Roman"/>
          <w:i/>
        </w:rPr>
        <w:t>op. cit</w:t>
      </w:r>
      <w:r w:rsidRPr="001A1A18">
        <w:rPr>
          <w:rFonts w:ascii="Times New Roman" w:hAnsi="Times New Roman" w:cs="Times New Roman"/>
        </w:rPr>
        <w:t>., n° 2261.</w:t>
      </w:r>
    </w:p>
  </w:footnote>
  <w:footnote w:id="6">
    <w:p w:rsidR="001B3533" w:rsidRPr="00E85328" w:rsidRDefault="001B3533">
      <w:pPr>
        <w:pStyle w:val="Notedebasdepage"/>
      </w:pPr>
      <w:r>
        <w:rPr>
          <w:rStyle w:val="Appelnotedebasdep"/>
        </w:rPr>
        <w:footnoteRef/>
      </w:r>
      <w:r w:rsidRPr="00E85328">
        <w:t xml:space="preserve"> </w:t>
      </w:r>
      <w:r w:rsidR="00E85328">
        <w:t xml:space="preserve">A. Choppin, </w:t>
      </w:r>
      <w:r w:rsidR="00E85328" w:rsidRPr="00E85328">
        <w:rPr>
          <w:i/>
        </w:rPr>
        <w:t>op. cit</w:t>
      </w:r>
      <w:r w:rsidR="00E85328">
        <w:t>., n° 1898 [</w:t>
      </w:r>
      <w:r w:rsidRPr="00E85328">
        <w:t>https://gallica.bnf.fr/ark:/12148/bpt6k5821269g.texteImage</w:t>
      </w:r>
      <w:r w:rsidR="00E85328">
        <w:t>].</w:t>
      </w:r>
    </w:p>
  </w:footnote>
  <w:footnote w:id="7">
    <w:p w:rsidR="00553584" w:rsidRPr="00553584" w:rsidRDefault="0055358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324ABB">
        <w:rPr>
          <w:lang w:val="fr-BE"/>
        </w:rPr>
        <w:t xml:space="preserve"> </w:t>
      </w:r>
      <w:r>
        <w:rPr>
          <w:lang w:val="fr-BE"/>
        </w:rPr>
        <w:t>M. Bouquet</w:t>
      </w:r>
      <w:r w:rsidR="00324ABB">
        <w:rPr>
          <w:lang w:val="fr-BE"/>
        </w:rPr>
        <w:t xml:space="preserve">, </w:t>
      </w:r>
      <w:r w:rsidR="00324ABB" w:rsidRPr="00E85328">
        <w:rPr>
          <w:i/>
          <w:lang w:val="fr-BE"/>
        </w:rPr>
        <w:t xml:space="preserve">De uiris illustribus urbis Romae. </w:t>
      </w:r>
      <w:r w:rsidR="003F4370">
        <w:rPr>
          <w:i/>
          <w:lang w:val="fr-BE"/>
        </w:rPr>
        <w:t>É</w:t>
      </w:r>
      <w:r w:rsidR="00324ABB" w:rsidRPr="00E85328">
        <w:rPr>
          <w:i/>
          <w:lang w:val="fr-BE"/>
        </w:rPr>
        <w:t>dition bilingue avec cédérom</w:t>
      </w:r>
      <w:r w:rsidR="00324ABB">
        <w:rPr>
          <w:lang w:val="fr-BE"/>
        </w:rPr>
        <w:t>, Rennes, 2005</w:t>
      </w:r>
      <w:r w:rsidR="00E85328">
        <w:rPr>
          <w:lang w:val="fr-BE"/>
        </w:rPr>
        <w:t xml:space="preserve"> et l’édition de la CUF par P.M. Martin (Paris, 2021).</w:t>
      </w:r>
      <w:r w:rsidR="0008756C">
        <w:rPr>
          <w:lang w:val="fr-BE"/>
        </w:rPr>
        <w:t xml:space="preserve"> L’expression est de P.M. Martin</w:t>
      </w:r>
      <w:r w:rsidR="003F4370">
        <w:rPr>
          <w:lang w:val="fr-BE"/>
        </w:rPr>
        <w:t xml:space="preserve"> (lire la n. 1)</w:t>
      </w:r>
      <w:r w:rsidR="0008756C">
        <w:rPr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44994"/>
    <w:multiLevelType w:val="multilevel"/>
    <w:tmpl w:val="EF4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FF"/>
    <w:rsid w:val="00013957"/>
    <w:rsid w:val="000712EB"/>
    <w:rsid w:val="00082A2F"/>
    <w:rsid w:val="0008756C"/>
    <w:rsid w:val="00090907"/>
    <w:rsid w:val="000A7DBE"/>
    <w:rsid w:val="000B0BFE"/>
    <w:rsid w:val="00137E1C"/>
    <w:rsid w:val="00162D41"/>
    <w:rsid w:val="00163C59"/>
    <w:rsid w:val="00166FD8"/>
    <w:rsid w:val="00194C59"/>
    <w:rsid w:val="001A1A18"/>
    <w:rsid w:val="001B3533"/>
    <w:rsid w:val="001B3607"/>
    <w:rsid w:val="001B7ECF"/>
    <w:rsid w:val="001D49FF"/>
    <w:rsid w:val="001E56AD"/>
    <w:rsid w:val="00293DC0"/>
    <w:rsid w:val="00297CF5"/>
    <w:rsid w:val="00301C9B"/>
    <w:rsid w:val="00324ABB"/>
    <w:rsid w:val="003566D4"/>
    <w:rsid w:val="0036799D"/>
    <w:rsid w:val="003B4CB9"/>
    <w:rsid w:val="003D1299"/>
    <w:rsid w:val="003F4370"/>
    <w:rsid w:val="003F7FDB"/>
    <w:rsid w:val="00425AC4"/>
    <w:rsid w:val="004A5B0D"/>
    <w:rsid w:val="004F5C06"/>
    <w:rsid w:val="00553584"/>
    <w:rsid w:val="00583EEF"/>
    <w:rsid w:val="005C321A"/>
    <w:rsid w:val="005C790E"/>
    <w:rsid w:val="00600825"/>
    <w:rsid w:val="0062209B"/>
    <w:rsid w:val="006309AC"/>
    <w:rsid w:val="00632E04"/>
    <w:rsid w:val="00665BFD"/>
    <w:rsid w:val="006925F4"/>
    <w:rsid w:val="006D6616"/>
    <w:rsid w:val="006D7277"/>
    <w:rsid w:val="006F1D4C"/>
    <w:rsid w:val="0071123C"/>
    <w:rsid w:val="00735271"/>
    <w:rsid w:val="007D25CD"/>
    <w:rsid w:val="008006BE"/>
    <w:rsid w:val="00810CC7"/>
    <w:rsid w:val="008B6026"/>
    <w:rsid w:val="0098310C"/>
    <w:rsid w:val="009D0291"/>
    <w:rsid w:val="009E44A9"/>
    <w:rsid w:val="009F1A1B"/>
    <w:rsid w:val="00A96A90"/>
    <w:rsid w:val="00AE1F87"/>
    <w:rsid w:val="00B04A71"/>
    <w:rsid w:val="00B14F59"/>
    <w:rsid w:val="00B72746"/>
    <w:rsid w:val="00B765D7"/>
    <w:rsid w:val="00BA7132"/>
    <w:rsid w:val="00BD3BFB"/>
    <w:rsid w:val="00C82DE8"/>
    <w:rsid w:val="00D10FF9"/>
    <w:rsid w:val="00E213F3"/>
    <w:rsid w:val="00E328FA"/>
    <w:rsid w:val="00E85328"/>
    <w:rsid w:val="00EC09D7"/>
    <w:rsid w:val="00ED7404"/>
    <w:rsid w:val="00F11C36"/>
    <w:rsid w:val="00F27360"/>
    <w:rsid w:val="00F43458"/>
    <w:rsid w:val="00F67FE7"/>
    <w:rsid w:val="00FB5AF2"/>
    <w:rsid w:val="00FD3A97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2C93"/>
  <w15:chartTrackingRefBased/>
  <w15:docId w15:val="{5A5B022F-6611-4BC1-893F-25CE403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B6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B60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B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B602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10CC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10CC7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0F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0FF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0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FAB10-119E-4DDD-A1B6-B4D7F79A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Rochette</dc:creator>
  <cp:keywords/>
  <dc:description/>
  <cp:lastModifiedBy>Bruno Rochette</cp:lastModifiedBy>
  <cp:revision>69</cp:revision>
  <cp:lastPrinted>2023-07-28T12:28:00Z</cp:lastPrinted>
  <dcterms:created xsi:type="dcterms:W3CDTF">2023-07-15T10:07:00Z</dcterms:created>
  <dcterms:modified xsi:type="dcterms:W3CDTF">2023-09-12T20:01:00Z</dcterms:modified>
</cp:coreProperties>
</file>