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7ADF8" w14:textId="2A74CE86" w:rsidR="009268D9" w:rsidRPr="00DD3E1F" w:rsidRDefault="00DD3E1F" w:rsidP="009268D9">
      <w:pPr>
        <w:jc w:val="center"/>
        <w:rPr>
          <w:rFonts w:ascii="Arial" w:hAnsi="Arial" w:cs="Arial"/>
          <w:b/>
          <w:lang w:val="en-US"/>
        </w:rPr>
      </w:pPr>
      <w:r w:rsidRPr="00DD3E1F">
        <w:rPr>
          <w:rFonts w:ascii="Arial" w:hAnsi="Arial" w:cs="Arial"/>
          <w:b/>
          <w:color w:val="000000" w:themeColor="text1"/>
        </w:rPr>
        <w:t>Effect of preoperative warming on intraoperative hypothermia and postoperative functional recovery in total hip arthroplasty: a randomized clinical trial</w:t>
      </w:r>
    </w:p>
    <w:p w14:paraId="5FA9E0D4" w14:textId="6797E322" w:rsidR="00113B2F" w:rsidRPr="009F52F7" w:rsidRDefault="00B92455" w:rsidP="00BF381A">
      <w:pPr>
        <w:spacing w:after="120"/>
        <w:jc w:val="both"/>
        <w:rPr>
          <w:rFonts w:ascii="Arial" w:hAnsi="Arial" w:cs="Arial"/>
          <w:b/>
          <w:sz w:val="20"/>
          <w:szCs w:val="20"/>
          <w:lang w:val="en-US"/>
        </w:rPr>
      </w:pPr>
      <w:r w:rsidRPr="00B50A8C">
        <w:rPr>
          <w:rFonts w:ascii="Arial" w:hAnsi="Arial" w:cs="Arial"/>
          <w:b/>
          <w:sz w:val="20"/>
          <w:szCs w:val="20"/>
          <w:lang w:val="en-US"/>
        </w:rPr>
        <w:t xml:space="preserve">Author and Co-Authors: </w:t>
      </w:r>
      <w:r w:rsidRPr="00B50A8C">
        <w:rPr>
          <w:rFonts w:ascii="Arial" w:hAnsi="Arial" w:cs="Arial"/>
          <w:sz w:val="20"/>
          <w:szCs w:val="20"/>
          <w:lang w:val="en-US"/>
        </w:rPr>
        <w:t xml:space="preserve">M </w:t>
      </w:r>
      <w:r w:rsidR="001F7A58" w:rsidRPr="00B50A8C">
        <w:rPr>
          <w:rFonts w:ascii="Arial" w:hAnsi="Arial" w:cs="Arial"/>
          <w:sz w:val="20"/>
          <w:szCs w:val="20"/>
          <w:lang w:val="en-US"/>
        </w:rPr>
        <w:t>Carella</w:t>
      </w:r>
      <w:r w:rsidR="009F52F7">
        <w:rPr>
          <w:rFonts w:ascii="Arial" w:hAnsi="Arial" w:cs="Arial"/>
          <w:sz w:val="20"/>
          <w:szCs w:val="20"/>
          <w:lang w:val="en-US"/>
        </w:rPr>
        <w:t>,</w:t>
      </w:r>
      <w:r w:rsidR="001F7A58" w:rsidRPr="00B50A8C">
        <w:rPr>
          <w:rFonts w:ascii="Arial" w:hAnsi="Arial" w:cs="Arial"/>
          <w:sz w:val="20"/>
          <w:szCs w:val="20"/>
          <w:lang w:val="en-US"/>
        </w:rPr>
        <w:t xml:space="preserve"> </w:t>
      </w:r>
      <w:r w:rsidRPr="00B50A8C">
        <w:rPr>
          <w:rFonts w:ascii="Arial" w:hAnsi="Arial" w:cs="Arial"/>
          <w:sz w:val="20"/>
          <w:szCs w:val="20"/>
          <w:lang w:val="en-US"/>
        </w:rPr>
        <w:t>MD</w:t>
      </w:r>
      <w:r w:rsidR="009F52F7">
        <w:rPr>
          <w:rFonts w:ascii="Arial" w:hAnsi="Arial" w:cs="Arial"/>
          <w:sz w:val="20"/>
          <w:szCs w:val="20"/>
          <w:lang w:val="en-US"/>
        </w:rPr>
        <w:t xml:space="preserve"> </w:t>
      </w:r>
      <w:r w:rsidR="009F52F7" w:rsidRPr="00B50A8C">
        <w:rPr>
          <w:rFonts w:ascii="Arial" w:hAnsi="Arial" w:cs="Arial"/>
          <w:sz w:val="20"/>
          <w:szCs w:val="20"/>
          <w:vertAlign w:val="superscript"/>
          <w:lang w:val="en-US"/>
        </w:rPr>
        <w:t>1</w:t>
      </w:r>
      <w:r w:rsidR="00DD3E1F">
        <w:rPr>
          <w:rFonts w:ascii="Arial" w:hAnsi="Arial" w:cs="Arial"/>
          <w:sz w:val="20"/>
          <w:szCs w:val="20"/>
          <w:vertAlign w:val="superscript"/>
          <w:lang w:val="en-US"/>
        </w:rPr>
        <w:t>,2</w:t>
      </w:r>
      <w:r w:rsidR="009F52F7" w:rsidRPr="00B50A8C">
        <w:rPr>
          <w:rFonts w:ascii="Arial" w:hAnsi="Arial" w:cs="Arial"/>
          <w:sz w:val="20"/>
          <w:szCs w:val="20"/>
          <w:lang w:val="en-US"/>
        </w:rPr>
        <w:t>,</w:t>
      </w:r>
      <w:r w:rsidR="009F52F7">
        <w:rPr>
          <w:rFonts w:ascii="Arial" w:hAnsi="Arial" w:cs="Arial"/>
          <w:sz w:val="20"/>
          <w:szCs w:val="20"/>
          <w:lang w:val="en-US"/>
        </w:rPr>
        <w:t xml:space="preserve"> </w:t>
      </w:r>
      <w:r w:rsidRPr="00B50A8C">
        <w:rPr>
          <w:rFonts w:ascii="Arial" w:hAnsi="Arial" w:cs="Arial"/>
          <w:sz w:val="20"/>
          <w:szCs w:val="20"/>
          <w:lang w:val="en-US"/>
        </w:rPr>
        <w:t>F Beck</w:t>
      </w:r>
      <w:r w:rsidR="009F52F7">
        <w:rPr>
          <w:rFonts w:ascii="Arial" w:hAnsi="Arial" w:cs="Arial"/>
          <w:sz w:val="20"/>
          <w:szCs w:val="20"/>
          <w:lang w:val="en-US"/>
        </w:rPr>
        <w:t>,</w:t>
      </w:r>
      <w:r w:rsidRPr="00B50A8C">
        <w:rPr>
          <w:rFonts w:ascii="Arial" w:hAnsi="Arial" w:cs="Arial"/>
          <w:sz w:val="20"/>
          <w:szCs w:val="20"/>
          <w:lang w:val="en-US"/>
        </w:rPr>
        <w:t xml:space="preserve"> MD</w:t>
      </w:r>
      <w:r w:rsidR="009F52F7">
        <w:rPr>
          <w:rFonts w:ascii="Arial" w:hAnsi="Arial" w:cs="Arial"/>
          <w:sz w:val="20"/>
          <w:szCs w:val="20"/>
          <w:lang w:val="en-US"/>
        </w:rPr>
        <w:t xml:space="preserve"> </w:t>
      </w:r>
      <w:r w:rsidR="009F52F7" w:rsidRPr="00B50A8C">
        <w:rPr>
          <w:rFonts w:ascii="Arial" w:hAnsi="Arial" w:cs="Arial"/>
          <w:sz w:val="20"/>
          <w:szCs w:val="20"/>
          <w:vertAlign w:val="superscript"/>
          <w:lang w:val="en-US"/>
        </w:rPr>
        <w:t>1</w:t>
      </w:r>
      <w:r w:rsidR="00DD3E1F">
        <w:rPr>
          <w:rFonts w:ascii="Arial" w:hAnsi="Arial" w:cs="Arial"/>
          <w:sz w:val="20"/>
          <w:szCs w:val="20"/>
          <w:vertAlign w:val="superscript"/>
          <w:lang w:val="en-US"/>
        </w:rPr>
        <w:t>,3</w:t>
      </w:r>
      <w:r w:rsidR="009F52F7" w:rsidRPr="00B50A8C">
        <w:rPr>
          <w:rFonts w:ascii="Arial" w:hAnsi="Arial" w:cs="Arial"/>
          <w:sz w:val="20"/>
          <w:szCs w:val="20"/>
          <w:lang w:val="en-US"/>
        </w:rPr>
        <w:t>,</w:t>
      </w:r>
      <w:r w:rsidR="009F52F7">
        <w:rPr>
          <w:rFonts w:ascii="Arial" w:hAnsi="Arial" w:cs="Arial"/>
          <w:sz w:val="20"/>
          <w:szCs w:val="20"/>
          <w:lang w:val="en-US"/>
        </w:rPr>
        <w:t xml:space="preserve"> </w:t>
      </w:r>
      <w:r w:rsidR="004B4F7F" w:rsidRPr="00B50A8C">
        <w:rPr>
          <w:rFonts w:ascii="Arial" w:hAnsi="Arial" w:cs="Arial"/>
          <w:sz w:val="20"/>
          <w:szCs w:val="20"/>
          <w:lang w:val="en-US"/>
        </w:rPr>
        <w:t xml:space="preserve">N </w:t>
      </w:r>
      <w:proofErr w:type="spellStart"/>
      <w:r w:rsidR="004B4F7F" w:rsidRPr="00B50A8C">
        <w:rPr>
          <w:rFonts w:ascii="Arial" w:hAnsi="Arial" w:cs="Arial"/>
          <w:sz w:val="20"/>
          <w:szCs w:val="20"/>
          <w:lang w:val="en-US"/>
        </w:rPr>
        <w:t>Piette</w:t>
      </w:r>
      <w:proofErr w:type="spellEnd"/>
      <w:r w:rsidR="009F52F7">
        <w:rPr>
          <w:rFonts w:ascii="Arial" w:hAnsi="Arial" w:cs="Arial"/>
          <w:sz w:val="20"/>
          <w:szCs w:val="20"/>
          <w:lang w:val="en-US"/>
        </w:rPr>
        <w:t>,</w:t>
      </w:r>
      <w:r w:rsidR="004B4F7F" w:rsidRPr="00B50A8C">
        <w:rPr>
          <w:rFonts w:ascii="Arial" w:hAnsi="Arial" w:cs="Arial"/>
          <w:sz w:val="20"/>
          <w:szCs w:val="20"/>
          <w:lang w:val="en-US"/>
        </w:rPr>
        <w:t xml:space="preserve"> MD</w:t>
      </w:r>
      <w:r w:rsidR="009F52F7">
        <w:rPr>
          <w:rFonts w:ascii="Arial" w:hAnsi="Arial" w:cs="Arial"/>
          <w:sz w:val="20"/>
          <w:szCs w:val="20"/>
          <w:lang w:val="en-US"/>
        </w:rPr>
        <w:t xml:space="preserve"> </w:t>
      </w:r>
      <w:r w:rsidR="009F52F7">
        <w:rPr>
          <w:rFonts w:ascii="Arial" w:hAnsi="Arial" w:cs="Arial"/>
          <w:sz w:val="20"/>
          <w:szCs w:val="20"/>
          <w:vertAlign w:val="superscript"/>
          <w:lang w:val="en-US"/>
        </w:rPr>
        <w:t>1</w:t>
      </w:r>
      <w:r w:rsidR="00DD3E1F">
        <w:rPr>
          <w:rFonts w:ascii="Arial" w:hAnsi="Arial" w:cs="Arial"/>
          <w:sz w:val="20"/>
          <w:szCs w:val="20"/>
          <w:vertAlign w:val="superscript"/>
          <w:lang w:val="en-US"/>
        </w:rPr>
        <w:t>,2</w:t>
      </w:r>
      <w:r w:rsidR="009F52F7" w:rsidRPr="00B50A8C">
        <w:rPr>
          <w:rFonts w:ascii="Arial" w:hAnsi="Arial" w:cs="Arial"/>
          <w:sz w:val="20"/>
          <w:szCs w:val="20"/>
          <w:lang w:val="en-US"/>
        </w:rPr>
        <w:t>,</w:t>
      </w:r>
      <w:r w:rsidR="009F52F7">
        <w:rPr>
          <w:rFonts w:ascii="Arial" w:hAnsi="Arial" w:cs="Arial"/>
          <w:sz w:val="20"/>
          <w:szCs w:val="20"/>
          <w:lang w:val="en-US"/>
        </w:rPr>
        <w:t xml:space="preserve"> </w:t>
      </w:r>
      <w:r w:rsidR="00BF0DAB" w:rsidRPr="00B50A8C">
        <w:rPr>
          <w:rFonts w:ascii="Arial" w:hAnsi="Arial" w:cs="Arial"/>
          <w:sz w:val="20"/>
          <w:szCs w:val="20"/>
          <w:lang w:val="en-US"/>
        </w:rPr>
        <w:t>JP Lecoq</w:t>
      </w:r>
      <w:r w:rsidR="009F52F7">
        <w:rPr>
          <w:rFonts w:ascii="Arial" w:hAnsi="Arial" w:cs="Arial"/>
          <w:sz w:val="20"/>
          <w:szCs w:val="20"/>
          <w:lang w:val="en-US"/>
        </w:rPr>
        <w:t>,</w:t>
      </w:r>
      <w:r w:rsidR="00BF0DAB" w:rsidRPr="00B50A8C">
        <w:rPr>
          <w:rFonts w:ascii="Arial" w:hAnsi="Arial" w:cs="Arial"/>
          <w:sz w:val="20"/>
          <w:szCs w:val="20"/>
          <w:lang w:val="en-US"/>
        </w:rPr>
        <w:t xml:space="preserve"> </w:t>
      </w:r>
      <w:r w:rsidR="002B78A7">
        <w:rPr>
          <w:rFonts w:ascii="Arial" w:hAnsi="Arial" w:cs="Arial"/>
          <w:sz w:val="20"/>
          <w:szCs w:val="20"/>
          <w:lang w:val="en-US"/>
        </w:rPr>
        <w:t xml:space="preserve">MD, </w:t>
      </w:r>
      <w:r w:rsidR="00BF0DAB" w:rsidRPr="00B50A8C">
        <w:rPr>
          <w:rFonts w:ascii="Arial" w:hAnsi="Arial" w:cs="Arial"/>
          <w:sz w:val="20"/>
          <w:szCs w:val="20"/>
          <w:lang w:val="en-US"/>
        </w:rPr>
        <w:t>PhD</w:t>
      </w:r>
      <w:r w:rsidR="009F52F7">
        <w:rPr>
          <w:rFonts w:ascii="Arial" w:hAnsi="Arial" w:cs="Arial"/>
          <w:sz w:val="20"/>
          <w:szCs w:val="20"/>
          <w:lang w:val="en-US"/>
        </w:rPr>
        <w:t xml:space="preserve"> </w:t>
      </w:r>
      <w:r w:rsidR="009F52F7" w:rsidRPr="00B50A8C">
        <w:rPr>
          <w:rFonts w:ascii="Arial" w:hAnsi="Arial" w:cs="Arial"/>
          <w:sz w:val="20"/>
          <w:szCs w:val="20"/>
          <w:vertAlign w:val="superscript"/>
          <w:lang w:val="en-US"/>
        </w:rPr>
        <w:t>1</w:t>
      </w:r>
      <w:r w:rsidR="00DD3E1F">
        <w:rPr>
          <w:rFonts w:ascii="Arial" w:hAnsi="Arial" w:cs="Arial"/>
          <w:sz w:val="20"/>
          <w:szCs w:val="20"/>
          <w:vertAlign w:val="superscript"/>
          <w:lang w:val="en-US"/>
        </w:rPr>
        <w:t>,2</w:t>
      </w:r>
      <w:r w:rsidR="009F52F7" w:rsidRPr="00B50A8C">
        <w:rPr>
          <w:rFonts w:ascii="Arial" w:hAnsi="Arial" w:cs="Arial"/>
          <w:sz w:val="20"/>
          <w:szCs w:val="20"/>
          <w:lang w:val="en-US"/>
        </w:rPr>
        <w:t>,</w:t>
      </w:r>
      <w:r w:rsidR="009F52F7">
        <w:rPr>
          <w:rFonts w:ascii="Arial" w:hAnsi="Arial" w:cs="Arial"/>
          <w:sz w:val="20"/>
          <w:szCs w:val="20"/>
          <w:lang w:val="en-US"/>
        </w:rPr>
        <w:t xml:space="preserve"> </w:t>
      </w:r>
      <w:r w:rsidRPr="00B50A8C">
        <w:rPr>
          <w:rFonts w:ascii="Arial" w:hAnsi="Arial" w:cs="Arial"/>
          <w:sz w:val="20"/>
          <w:szCs w:val="20"/>
          <w:lang w:val="en-US"/>
        </w:rPr>
        <w:t>V Bonhomme</w:t>
      </w:r>
      <w:r w:rsidR="009F52F7">
        <w:rPr>
          <w:rFonts w:ascii="Arial" w:hAnsi="Arial" w:cs="Arial"/>
          <w:sz w:val="20"/>
          <w:szCs w:val="20"/>
          <w:lang w:val="en-US"/>
        </w:rPr>
        <w:t>,</w:t>
      </w:r>
      <w:r w:rsidRPr="00B50A8C">
        <w:rPr>
          <w:rFonts w:ascii="Arial" w:hAnsi="Arial" w:cs="Arial"/>
          <w:sz w:val="20"/>
          <w:szCs w:val="20"/>
          <w:lang w:val="en-US"/>
        </w:rPr>
        <w:t xml:space="preserve"> </w:t>
      </w:r>
      <w:r w:rsidR="002B78A7">
        <w:rPr>
          <w:rFonts w:ascii="Arial" w:hAnsi="Arial" w:cs="Arial"/>
          <w:sz w:val="20"/>
          <w:szCs w:val="20"/>
          <w:lang w:val="en-US"/>
        </w:rPr>
        <w:t xml:space="preserve">MD, </w:t>
      </w:r>
      <w:r w:rsidRPr="00B50A8C">
        <w:rPr>
          <w:rFonts w:ascii="Arial" w:hAnsi="Arial" w:cs="Arial"/>
          <w:sz w:val="20"/>
          <w:szCs w:val="20"/>
          <w:lang w:val="en-US"/>
        </w:rPr>
        <w:t>PhD</w:t>
      </w:r>
      <w:r w:rsidR="00B50A8C">
        <w:rPr>
          <w:rFonts w:ascii="Arial" w:hAnsi="Arial" w:cs="Arial"/>
          <w:sz w:val="20"/>
          <w:szCs w:val="20"/>
          <w:lang w:val="en-US"/>
        </w:rPr>
        <w:t xml:space="preserve"> </w:t>
      </w:r>
      <w:r w:rsidR="00B50A8C" w:rsidRPr="00B50A8C">
        <w:rPr>
          <w:rFonts w:ascii="Arial" w:hAnsi="Arial" w:cs="Arial"/>
          <w:sz w:val="20"/>
          <w:szCs w:val="20"/>
          <w:vertAlign w:val="superscript"/>
          <w:lang w:val="en-US"/>
        </w:rPr>
        <w:t xml:space="preserve">1, </w:t>
      </w:r>
      <w:r w:rsidR="009F52F7" w:rsidRPr="00B50A8C">
        <w:rPr>
          <w:rFonts w:ascii="Arial" w:hAnsi="Arial" w:cs="Arial"/>
          <w:sz w:val="20"/>
          <w:szCs w:val="20"/>
          <w:vertAlign w:val="superscript"/>
          <w:lang w:val="en-US"/>
        </w:rPr>
        <w:t>3</w:t>
      </w:r>
      <w:r w:rsidR="009F52F7">
        <w:rPr>
          <w:rFonts w:ascii="Arial" w:hAnsi="Arial" w:cs="Arial"/>
          <w:sz w:val="20"/>
          <w:szCs w:val="20"/>
          <w:lang w:val="en-US"/>
        </w:rPr>
        <w:t>.</w:t>
      </w:r>
    </w:p>
    <w:p w14:paraId="2950A3A9" w14:textId="1F254CF7" w:rsidR="00B50A8C" w:rsidRDefault="00B50A8C" w:rsidP="00BF381A">
      <w:pPr>
        <w:spacing w:after="120"/>
        <w:jc w:val="both"/>
        <w:rPr>
          <w:rFonts w:ascii="Arial" w:hAnsi="Arial" w:cs="Arial"/>
          <w:b/>
          <w:sz w:val="20"/>
          <w:szCs w:val="20"/>
          <w:lang w:val="en-US"/>
        </w:rPr>
      </w:pPr>
      <w:r>
        <w:rPr>
          <w:rFonts w:ascii="Arial" w:hAnsi="Arial" w:cs="Arial"/>
          <w:b/>
          <w:sz w:val="20"/>
          <w:szCs w:val="20"/>
          <w:lang w:val="en-US"/>
        </w:rPr>
        <w:t>Affiliation of author and co-authors:</w:t>
      </w:r>
    </w:p>
    <w:p w14:paraId="5112386E" w14:textId="1BE278C8" w:rsidR="00DD3E1F" w:rsidRPr="00DD3E1F" w:rsidRDefault="00DD3E1F" w:rsidP="00DD3E1F">
      <w:pPr>
        <w:pStyle w:val="Paragrafoelenco"/>
        <w:numPr>
          <w:ilvl w:val="0"/>
          <w:numId w:val="2"/>
        </w:numPr>
        <w:spacing w:after="120"/>
        <w:jc w:val="both"/>
        <w:rPr>
          <w:rFonts w:ascii="Arial" w:hAnsi="Arial" w:cs="Arial"/>
          <w:b/>
          <w:sz w:val="20"/>
          <w:szCs w:val="20"/>
          <w:lang w:val="en-US"/>
        </w:rPr>
      </w:pPr>
      <w:r w:rsidRPr="00DD3E1F">
        <w:rPr>
          <w:rFonts w:ascii="Arial" w:hAnsi="Arial" w:cs="Arial"/>
          <w:b/>
          <w:sz w:val="20"/>
          <w:szCs w:val="20"/>
          <w:lang w:val="en-US"/>
        </w:rPr>
        <w:t>Department of Anesthesia and Intensive Care Medicine, Liege University Hospital, Liege, Belgium</w:t>
      </w:r>
    </w:p>
    <w:p w14:paraId="338472B9" w14:textId="701ACBA8" w:rsidR="00DD3E1F" w:rsidRPr="00DD3E1F" w:rsidRDefault="00DD3E1F" w:rsidP="00DD3E1F">
      <w:pPr>
        <w:pStyle w:val="Paragrafoelenco"/>
        <w:numPr>
          <w:ilvl w:val="0"/>
          <w:numId w:val="2"/>
        </w:numPr>
        <w:spacing w:after="120"/>
        <w:jc w:val="both"/>
        <w:rPr>
          <w:rFonts w:ascii="Arial" w:hAnsi="Arial" w:cs="Arial"/>
          <w:b/>
          <w:sz w:val="20"/>
          <w:szCs w:val="20"/>
          <w:lang w:val="en-US"/>
        </w:rPr>
      </w:pPr>
      <w:r w:rsidRPr="00DD3E1F">
        <w:rPr>
          <w:rFonts w:ascii="Arial" w:hAnsi="Arial" w:cs="Arial"/>
          <w:b/>
          <w:sz w:val="20"/>
          <w:szCs w:val="20"/>
          <w:lang w:val="en-US"/>
        </w:rPr>
        <w:t>Inflammation and Enhanced Rehabilitation Laboratory (Regional Anesthesia and Analgesia), GIGA-I3 Thematic Unit, GIGA-Research, Liege University, Liege, Belgium</w:t>
      </w:r>
    </w:p>
    <w:p w14:paraId="24FF8717" w14:textId="77777777" w:rsidR="00DD3E1F" w:rsidRDefault="00DD3E1F" w:rsidP="00DD3E1F">
      <w:pPr>
        <w:pStyle w:val="Paragrafoelenco"/>
        <w:numPr>
          <w:ilvl w:val="0"/>
          <w:numId w:val="2"/>
        </w:numPr>
        <w:spacing w:after="120"/>
        <w:jc w:val="both"/>
        <w:rPr>
          <w:rFonts w:ascii="Arial" w:hAnsi="Arial" w:cs="Arial"/>
          <w:b/>
          <w:sz w:val="20"/>
          <w:szCs w:val="20"/>
          <w:lang w:val="en-US"/>
        </w:rPr>
      </w:pPr>
      <w:r w:rsidRPr="00DD3E1F">
        <w:rPr>
          <w:rFonts w:ascii="Arial" w:hAnsi="Arial" w:cs="Arial"/>
          <w:b/>
          <w:sz w:val="20"/>
          <w:szCs w:val="20"/>
          <w:lang w:val="en-US"/>
        </w:rPr>
        <w:t>Anesthesia and Perioperative Neuroscience Laboratory, GIGA-Consciousness Thematic Unit, GIGA-Research, Liege University, Liege, Belgium</w:t>
      </w:r>
    </w:p>
    <w:p w14:paraId="1BBC2E04" w14:textId="47B2E381" w:rsidR="00211EB7" w:rsidRPr="00DD3E1F" w:rsidRDefault="00030961" w:rsidP="00DD3E1F">
      <w:pPr>
        <w:spacing w:after="120"/>
        <w:jc w:val="both"/>
        <w:rPr>
          <w:rFonts w:ascii="Arial" w:hAnsi="Arial" w:cs="Arial"/>
          <w:b/>
          <w:sz w:val="20"/>
          <w:szCs w:val="20"/>
          <w:lang w:val="en-US"/>
        </w:rPr>
      </w:pPr>
      <w:r w:rsidRPr="00DD3E1F">
        <w:rPr>
          <w:rFonts w:ascii="Arial" w:hAnsi="Arial" w:cs="Arial"/>
          <w:b/>
          <w:sz w:val="20"/>
          <w:szCs w:val="20"/>
          <w:lang w:val="en-US"/>
        </w:rPr>
        <w:t>Approval form for clinical trial</w:t>
      </w:r>
      <w:r w:rsidR="00B50A8C" w:rsidRPr="00DD3E1F">
        <w:rPr>
          <w:rFonts w:ascii="Arial" w:hAnsi="Arial" w:cs="Arial"/>
          <w:b/>
          <w:sz w:val="20"/>
          <w:szCs w:val="20"/>
          <w:lang w:val="en-US"/>
        </w:rPr>
        <w:t>:</w:t>
      </w:r>
      <w:r w:rsidR="00E32850" w:rsidRPr="00DD3E1F">
        <w:rPr>
          <w:rFonts w:ascii="Arial" w:hAnsi="Arial" w:cs="Arial"/>
          <w:b/>
          <w:sz w:val="20"/>
          <w:szCs w:val="20"/>
          <w:lang w:val="en-US"/>
        </w:rPr>
        <w:t xml:space="preserve"> </w:t>
      </w:r>
      <w:r w:rsidR="00B50A8C" w:rsidRPr="00DD3E1F">
        <w:rPr>
          <w:rFonts w:ascii="Arial" w:hAnsi="Arial" w:cs="Arial"/>
          <w:bCs/>
          <w:sz w:val="20"/>
          <w:szCs w:val="20"/>
          <w:lang w:val="en-US"/>
        </w:rPr>
        <w:t>local Ethics Review Board (</w:t>
      </w:r>
      <w:proofErr w:type="spellStart"/>
      <w:r w:rsidR="00B50A8C" w:rsidRPr="00DD3E1F">
        <w:rPr>
          <w:rFonts w:ascii="Arial" w:hAnsi="Arial" w:cs="Arial"/>
          <w:bCs/>
          <w:sz w:val="20"/>
          <w:szCs w:val="20"/>
          <w:lang w:val="en-US"/>
        </w:rPr>
        <w:t>Comité</w:t>
      </w:r>
      <w:proofErr w:type="spellEnd"/>
      <w:r w:rsidR="00B50A8C" w:rsidRPr="00DD3E1F">
        <w:rPr>
          <w:rFonts w:ascii="Arial" w:hAnsi="Arial" w:cs="Arial"/>
          <w:bCs/>
          <w:sz w:val="20"/>
          <w:szCs w:val="20"/>
          <w:lang w:val="en-US"/>
        </w:rPr>
        <w:t xml:space="preserve"> </w:t>
      </w:r>
      <w:proofErr w:type="spellStart"/>
      <w:r w:rsidR="00B50A8C" w:rsidRPr="00DD3E1F">
        <w:rPr>
          <w:rFonts w:ascii="Arial" w:hAnsi="Arial" w:cs="Arial"/>
          <w:bCs/>
          <w:sz w:val="20"/>
          <w:szCs w:val="20"/>
          <w:lang w:val="en-US"/>
        </w:rPr>
        <w:t>d’Ethique</w:t>
      </w:r>
      <w:proofErr w:type="spellEnd"/>
      <w:r w:rsidR="00B50A8C" w:rsidRPr="00DD3E1F">
        <w:rPr>
          <w:rFonts w:ascii="Arial" w:hAnsi="Arial" w:cs="Arial"/>
          <w:bCs/>
          <w:sz w:val="20"/>
          <w:szCs w:val="20"/>
          <w:lang w:val="en-US"/>
        </w:rPr>
        <w:t xml:space="preserve"> </w:t>
      </w:r>
      <w:proofErr w:type="spellStart"/>
      <w:r w:rsidR="00B50A8C" w:rsidRPr="00DD3E1F">
        <w:rPr>
          <w:rFonts w:ascii="Arial" w:hAnsi="Arial" w:cs="Arial"/>
          <w:bCs/>
          <w:sz w:val="20"/>
          <w:szCs w:val="20"/>
          <w:lang w:val="en-US"/>
        </w:rPr>
        <w:t>Hospitalo-Facultaire</w:t>
      </w:r>
      <w:proofErr w:type="spellEnd"/>
      <w:r w:rsidR="00B50A8C" w:rsidRPr="00DD3E1F">
        <w:rPr>
          <w:rFonts w:ascii="Arial" w:hAnsi="Arial" w:cs="Arial"/>
          <w:bCs/>
          <w:sz w:val="20"/>
          <w:szCs w:val="20"/>
          <w:lang w:val="en-US"/>
        </w:rPr>
        <w:t xml:space="preserve"> </w:t>
      </w:r>
      <w:proofErr w:type="spellStart"/>
      <w:r w:rsidR="00B50A8C" w:rsidRPr="00DD3E1F">
        <w:rPr>
          <w:rFonts w:ascii="Arial" w:hAnsi="Arial" w:cs="Arial"/>
          <w:bCs/>
          <w:sz w:val="20"/>
          <w:szCs w:val="20"/>
          <w:lang w:val="en-US"/>
        </w:rPr>
        <w:t>Universitaire</w:t>
      </w:r>
      <w:proofErr w:type="spellEnd"/>
      <w:r w:rsidR="00B50A8C" w:rsidRPr="00DD3E1F">
        <w:rPr>
          <w:rFonts w:ascii="Arial" w:hAnsi="Arial" w:cs="Arial"/>
          <w:bCs/>
          <w:sz w:val="20"/>
          <w:szCs w:val="20"/>
          <w:lang w:val="en-US"/>
        </w:rPr>
        <w:t xml:space="preserve"> de Liège) </w:t>
      </w:r>
      <w:r w:rsidR="00E32850" w:rsidRPr="00DD3E1F">
        <w:rPr>
          <w:rFonts w:ascii="Arial" w:hAnsi="Arial" w:cs="Arial"/>
          <w:bCs/>
          <w:sz w:val="20"/>
          <w:szCs w:val="20"/>
          <w:lang w:val="en-US"/>
        </w:rPr>
        <w:t xml:space="preserve">N. </w:t>
      </w:r>
      <w:r w:rsidR="00D74E27" w:rsidRPr="00D74E27">
        <w:rPr>
          <w:rFonts w:ascii="Arial" w:hAnsi="Arial" w:cs="Arial"/>
          <w:bCs/>
          <w:sz w:val="20"/>
          <w:szCs w:val="20"/>
          <w:lang w:val="en-US"/>
        </w:rPr>
        <w:t>2021/353</w:t>
      </w:r>
      <w:r w:rsidR="00822932" w:rsidRPr="00DD3E1F">
        <w:rPr>
          <w:rFonts w:ascii="Arial" w:hAnsi="Arial" w:cs="Arial"/>
          <w:bCs/>
          <w:sz w:val="20"/>
          <w:szCs w:val="20"/>
          <w:lang w:val="en-US"/>
        </w:rPr>
        <w:t xml:space="preserve">, </w:t>
      </w:r>
      <w:r w:rsidR="00B50A8C" w:rsidRPr="00DD3E1F">
        <w:rPr>
          <w:rFonts w:ascii="Arial" w:hAnsi="Arial" w:cs="Arial"/>
          <w:sz w:val="20"/>
          <w:szCs w:val="20"/>
          <w:lang w:val="en-US"/>
        </w:rPr>
        <w:t xml:space="preserve">ICH-GCP-Clinical Trials Registry: </w:t>
      </w:r>
      <w:r w:rsidR="004B4F7F" w:rsidRPr="00DD3E1F">
        <w:rPr>
          <w:rFonts w:ascii="Arial" w:hAnsi="Arial" w:cs="Arial"/>
          <w:bCs/>
          <w:sz w:val="20"/>
          <w:szCs w:val="20"/>
          <w:lang w:val="en-US"/>
        </w:rPr>
        <w:t>NCT04574479</w:t>
      </w:r>
    </w:p>
    <w:p w14:paraId="1D3E0C39" w14:textId="5A449086" w:rsidR="00E32850" w:rsidRPr="00B50A8C" w:rsidRDefault="00030961" w:rsidP="00BF381A">
      <w:pPr>
        <w:spacing w:after="120"/>
        <w:jc w:val="both"/>
        <w:rPr>
          <w:rFonts w:ascii="Arial" w:hAnsi="Arial" w:cs="Arial"/>
          <w:sz w:val="20"/>
          <w:szCs w:val="20"/>
          <w:lang w:val="en-US"/>
        </w:rPr>
      </w:pPr>
      <w:r w:rsidRPr="00B50A8C">
        <w:rPr>
          <w:rFonts w:ascii="Arial" w:hAnsi="Arial" w:cs="Arial"/>
          <w:b/>
          <w:sz w:val="20"/>
          <w:szCs w:val="20"/>
          <w:lang w:val="en-US"/>
        </w:rPr>
        <w:t>Learning Track</w:t>
      </w:r>
      <w:r w:rsidR="00E32850" w:rsidRPr="00B50A8C">
        <w:rPr>
          <w:rFonts w:ascii="Arial" w:hAnsi="Arial" w:cs="Arial"/>
          <w:b/>
          <w:sz w:val="20"/>
          <w:szCs w:val="20"/>
          <w:lang w:val="en-US"/>
        </w:rPr>
        <w:t>:</w:t>
      </w:r>
      <w:r w:rsidR="00E32850" w:rsidRPr="00B50A8C">
        <w:rPr>
          <w:rFonts w:ascii="Arial" w:hAnsi="Arial" w:cs="Arial"/>
          <w:sz w:val="20"/>
          <w:szCs w:val="20"/>
          <w:lang w:val="en-US"/>
        </w:rPr>
        <w:t xml:space="preserve"> </w:t>
      </w:r>
      <w:r w:rsidR="00DD3E1F">
        <w:rPr>
          <w:rFonts w:ascii="Arial" w:hAnsi="Arial" w:cs="Arial"/>
          <w:sz w:val="20"/>
          <w:szCs w:val="20"/>
          <w:lang w:val="en-US"/>
        </w:rPr>
        <w:t>Perioperative medicine</w:t>
      </w:r>
    </w:p>
    <w:p w14:paraId="7067A618" w14:textId="77777777" w:rsidR="00211EB7" w:rsidRPr="00B50A8C" w:rsidRDefault="00211EB7" w:rsidP="00BF381A">
      <w:pPr>
        <w:spacing w:after="120"/>
        <w:jc w:val="both"/>
        <w:rPr>
          <w:rFonts w:ascii="Arial" w:hAnsi="Arial" w:cs="Arial"/>
          <w:sz w:val="20"/>
          <w:szCs w:val="20"/>
          <w:lang w:val="en-US"/>
        </w:rPr>
      </w:pPr>
      <w:r w:rsidRPr="00B50A8C">
        <w:rPr>
          <w:rFonts w:ascii="Arial" w:hAnsi="Arial" w:cs="Arial"/>
          <w:sz w:val="20"/>
          <w:szCs w:val="20"/>
          <w:lang w:val="en-US"/>
        </w:rPr>
        <w:t>______________</w:t>
      </w:r>
    </w:p>
    <w:p w14:paraId="6B1A55EE" w14:textId="33D6FBFD" w:rsidR="00587A4B" w:rsidRPr="00AD013A" w:rsidRDefault="00587A4B" w:rsidP="00587A4B">
      <w:pPr>
        <w:spacing w:before="240" w:after="0"/>
        <w:ind w:right="60"/>
        <w:jc w:val="both"/>
        <w:outlineLvl w:val="3"/>
        <w:rPr>
          <w:rFonts w:ascii="Arial" w:hAnsi="Arial" w:cs="Arial"/>
          <w:sz w:val="20"/>
        </w:rPr>
      </w:pPr>
      <w:r w:rsidRPr="00AD013A">
        <w:rPr>
          <w:rFonts w:ascii="Arial" w:hAnsi="Arial" w:cs="Arial"/>
          <w:b/>
          <w:bCs/>
          <w:sz w:val="20"/>
        </w:rPr>
        <w:t>Background and Goal of Study</w:t>
      </w:r>
      <w:r w:rsidRPr="00AD013A">
        <w:rPr>
          <w:rFonts w:ascii="Arial" w:eastAsia="Times New Roman" w:hAnsi="Arial" w:cs="Arial"/>
          <w:b/>
          <w:bCs/>
          <w:caps/>
          <w:color w:val="000000"/>
          <w:sz w:val="20"/>
          <w:szCs w:val="20"/>
          <w:lang w:eastAsia="fr-FR"/>
        </w:rPr>
        <w:t>:</w:t>
      </w:r>
      <w:r w:rsidRPr="00AD013A">
        <w:rPr>
          <w:rFonts w:ascii="Arial" w:eastAsia="Times New Roman" w:hAnsi="Arial" w:cs="Arial"/>
          <w:color w:val="000000"/>
          <w:sz w:val="20"/>
          <w:szCs w:val="20"/>
          <w:lang w:eastAsia="fr-FR"/>
        </w:rPr>
        <w:t xml:space="preserve"> Intraoperative hypothermia (IH) increases postoperative morbidity and impairs postoperative recovery.</w:t>
      </w:r>
      <w:r w:rsidRPr="00AD013A">
        <w:rPr>
          <w:rFonts w:ascii="Arial" w:eastAsia="Times New Roman" w:hAnsi="Arial" w:cs="Arial"/>
          <w:color w:val="000000"/>
          <w:sz w:val="20"/>
          <w:szCs w:val="20"/>
          <w:vertAlign w:val="superscript"/>
          <w:lang w:eastAsia="fr-FR"/>
        </w:rPr>
        <w:t>1</w:t>
      </w:r>
      <w:r w:rsidRPr="00AD013A">
        <w:rPr>
          <w:rFonts w:ascii="Arial" w:eastAsia="Times New Roman" w:hAnsi="Arial" w:cs="Arial"/>
          <w:color w:val="000000"/>
          <w:sz w:val="20"/>
          <w:szCs w:val="20"/>
          <w:lang w:eastAsia="fr-FR"/>
        </w:rPr>
        <w:t xml:space="preserve"> Anterior-approached total hip arthroplasty (ATHA) can be associated with significant IH, partly </w:t>
      </w:r>
      <w:r w:rsidR="00855E63">
        <w:rPr>
          <w:rFonts w:ascii="Arial" w:eastAsia="Times New Roman" w:hAnsi="Arial" w:cs="Arial"/>
          <w:color w:val="000000"/>
          <w:sz w:val="20"/>
          <w:szCs w:val="20"/>
          <w:lang w:eastAsia="fr-FR"/>
        </w:rPr>
        <w:t>due</w:t>
      </w:r>
      <w:r w:rsidRPr="00AD013A">
        <w:rPr>
          <w:rFonts w:ascii="Arial" w:eastAsia="Times New Roman" w:hAnsi="Arial" w:cs="Arial"/>
          <w:color w:val="000000"/>
          <w:sz w:val="20"/>
          <w:szCs w:val="20"/>
          <w:lang w:eastAsia="fr-FR"/>
        </w:rPr>
        <w:t xml:space="preserve"> </w:t>
      </w:r>
      <w:r w:rsidR="00855E63">
        <w:rPr>
          <w:rFonts w:ascii="Arial" w:eastAsia="Times New Roman" w:hAnsi="Arial" w:cs="Arial"/>
          <w:color w:val="000000"/>
          <w:sz w:val="20"/>
          <w:szCs w:val="20"/>
          <w:lang w:eastAsia="fr-FR"/>
        </w:rPr>
        <w:t>to</w:t>
      </w:r>
      <w:r w:rsidRPr="00AD013A">
        <w:rPr>
          <w:rFonts w:ascii="Arial" w:eastAsia="Times New Roman" w:hAnsi="Arial" w:cs="Arial"/>
          <w:color w:val="000000"/>
          <w:sz w:val="20"/>
          <w:szCs w:val="20"/>
          <w:lang w:eastAsia="fr-FR"/>
        </w:rPr>
        <w:t xml:space="preserve"> the exposed body surface area in the operative field.</w:t>
      </w:r>
      <w:r w:rsidRPr="00AD013A">
        <w:rPr>
          <w:rFonts w:ascii="Arial" w:eastAsia="Times New Roman" w:hAnsi="Arial" w:cs="Arial"/>
          <w:color w:val="000000"/>
          <w:sz w:val="20"/>
          <w:szCs w:val="20"/>
          <w:vertAlign w:val="superscript"/>
          <w:lang w:eastAsia="fr-FR"/>
        </w:rPr>
        <w:t>2,3</w:t>
      </w:r>
      <w:r w:rsidRPr="00AD013A">
        <w:rPr>
          <w:rFonts w:ascii="Arial" w:eastAsia="Times New Roman" w:hAnsi="Arial" w:cs="Arial"/>
          <w:color w:val="000000"/>
          <w:sz w:val="20"/>
          <w:szCs w:val="20"/>
          <w:lang w:eastAsia="fr-FR"/>
        </w:rPr>
        <w:t xml:space="preserve"> </w:t>
      </w:r>
      <w:r w:rsidRPr="00AD013A">
        <w:rPr>
          <w:rFonts w:ascii="Arial" w:hAnsi="Arial" w:cs="Arial"/>
          <w:sz w:val="20"/>
        </w:rPr>
        <w:t xml:space="preserve">This trial was conducted </w:t>
      </w:r>
      <w:r w:rsidRPr="00AD013A">
        <w:rPr>
          <w:rFonts w:ascii="Arial" w:eastAsia="Times New Roman" w:hAnsi="Arial" w:cs="Arial"/>
          <w:color w:val="000000"/>
          <w:sz w:val="20"/>
          <w:szCs w:val="20"/>
          <w:lang w:eastAsia="fr-FR"/>
        </w:rPr>
        <w:t>to assess the interest of preparative air-forced warming on IH and postoperative functional recovery.</w:t>
      </w:r>
      <w:r w:rsidRPr="00AD013A">
        <w:rPr>
          <w:rFonts w:ascii="Arial" w:eastAsia="Times New Roman" w:hAnsi="Arial" w:cs="Arial"/>
          <w:b/>
          <w:bCs/>
          <w:color w:val="000000"/>
          <w:sz w:val="20"/>
          <w:szCs w:val="20"/>
          <w:lang w:eastAsia="fr-FR"/>
        </w:rPr>
        <w:t xml:space="preserve"> </w:t>
      </w:r>
    </w:p>
    <w:p w14:paraId="6C5F8A9D" w14:textId="1B24F039" w:rsidR="00587A4B" w:rsidRPr="00AD013A" w:rsidRDefault="00587A4B" w:rsidP="00587A4B">
      <w:pPr>
        <w:spacing w:before="240" w:after="0"/>
        <w:ind w:right="60"/>
        <w:jc w:val="both"/>
        <w:outlineLvl w:val="3"/>
        <w:rPr>
          <w:rFonts w:ascii="Arial" w:hAnsi="Arial" w:cs="Arial"/>
          <w:sz w:val="20"/>
        </w:rPr>
      </w:pPr>
      <w:r w:rsidRPr="00AD013A">
        <w:rPr>
          <w:rFonts w:ascii="Arial" w:hAnsi="Arial" w:cs="Arial"/>
          <w:b/>
          <w:bCs/>
          <w:sz w:val="20"/>
        </w:rPr>
        <w:t>Materials and Methods</w:t>
      </w:r>
      <w:r w:rsidRPr="00AD013A">
        <w:rPr>
          <w:rFonts w:ascii="Arial" w:eastAsia="Times New Roman" w:hAnsi="Arial" w:cs="Arial"/>
          <w:b/>
          <w:bCs/>
          <w:caps/>
          <w:color w:val="000000"/>
          <w:sz w:val="20"/>
          <w:szCs w:val="20"/>
          <w:lang w:eastAsia="fr-FR"/>
        </w:rPr>
        <w:t xml:space="preserve">: </w:t>
      </w:r>
      <w:r w:rsidRPr="00AD013A">
        <w:rPr>
          <w:rFonts w:ascii="Arial" w:hAnsi="Arial" w:cs="Arial"/>
          <w:sz w:val="20"/>
        </w:rPr>
        <w:t>Between February 5</w:t>
      </w:r>
      <w:r w:rsidRPr="00AD013A">
        <w:rPr>
          <w:rFonts w:ascii="Arial" w:hAnsi="Arial" w:cs="Arial"/>
          <w:sz w:val="20"/>
          <w:vertAlign w:val="superscript"/>
        </w:rPr>
        <w:t>th</w:t>
      </w:r>
      <w:r w:rsidRPr="00AD013A">
        <w:rPr>
          <w:rFonts w:ascii="Arial" w:hAnsi="Arial" w:cs="Arial"/>
          <w:sz w:val="20"/>
        </w:rPr>
        <w:t>, 2022, and October 23</w:t>
      </w:r>
      <w:r w:rsidRPr="00AD013A">
        <w:rPr>
          <w:rFonts w:ascii="Arial" w:hAnsi="Arial" w:cs="Arial"/>
          <w:sz w:val="20"/>
          <w:vertAlign w:val="superscript"/>
        </w:rPr>
        <w:t>rd</w:t>
      </w:r>
      <w:r w:rsidRPr="00AD013A">
        <w:rPr>
          <w:rFonts w:ascii="Arial" w:hAnsi="Arial" w:cs="Arial"/>
          <w:sz w:val="20"/>
        </w:rPr>
        <w:t xml:space="preserve">, 2022, 40 patients scheduled for ATHA were enrolled for this randomized, prospective, controlled trial. Patients were randomly divided into two groups of 20 patients each and received general anaesthesia. Group W received 30 minutes 43°C air-forced warming prior to </w:t>
      </w:r>
      <w:r>
        <w:rPr>
          <w:rFonts w:ascii="Arial" w:hAnsi="Arial" w:cs="Arial"/>
          <w:sz w:val="20"/>
        </w:rPr>
        <w:t>anaesthesia</w:t>
      </w:r>
      <w:r w:rsidRPr="00AD013A">
        <w:rPr>
          <w:rFonts w:ascii="Arial" w:hAnsi="Arial" w:cs="Arial"/>
          <w:sz w:val="20"/>
        </w:rPr>
        <w:t xml:space="preserve"> induction. Group C did not receive any pre-induction warming. A blind observer noted </w:t>
      </w:r>
      <w:r>
        <w:rPr>
          <w:rFonts w:ascii="Arial" w:hAnsi="Arial" w:cs="Arial"/>
          <w:sz w:val="20"/>
        </w:rPr>
        <w:t xml:space="preserve">the </w:t>
      </w:r>
      <w:r w:rsidRPr="00AD013A">
        <w:rPr>
          <w:rFonts w:ascii="Arial" w:hAnsi="Arial" w:cs="Arial"/>
          <w:sz w:val="20"/>
        </w:rPr>
        <w:t xml:space="preserve">evolution of body temperature, measured by </w:t>
      </w:r>
      <w:r>
        <w:rPr>
          <w:rFonts w:ascii="Arial" w:hAnsi="Arial" w:cs="Arial"/>
          <w:sz w:val="20"/>
        </w:rPr>
        <w:t xml:space="preserve">an </w:t>
      </w:r>
      <w:r w:rsidRPr="00AD013A">
        <w:rPr>
          <w:rFonts w:ascii="Arial" w:hAnsi="Arial" w:cs="Arial"/>
          <w:sz w:val="20"/>
        </w:rPr>
        <w:t xml:space="preserve">oesophageal probe at the induction time and at fixed time points, i.e., every 5 minutes during the first hour. Impact on patient perceived thermal comfort and functional recovery (QoR-15) were assessed in </w:t>
      </w:r>
      <w:r>
        <w:rPr>
          <w:rFonts w:ascii="Arial" w:hAnsi="Arial" w:cs="Arial"/>
          <w:sz w:val="20"/>
        </w:rPr>
        <w:t xml:space="preserve">the </w:t>
      </w:r>
      <w:r w:rsidRPr="00AD013A">
        <w:rPr>
          <w:rFonts w:ascii="Arial" w:hAnsi="Arial" w:cs="Arial"/>
          <w:sz w:val="20"/>
        </w:rPr>
        <w:t xml:space="preserve">post-anaesthesia care unit (PACU), and 24, 48 and 72 hours after surgery. Intraoperative bleeding was also noted. </w:t>
      </w:r>
      <w:r w:rsidR="00855E63" w:rsidRPr="00855E63">
        <w:rPr>
          <w:rFonts w:ascii="Arial" w:hAnsi="Arial" w:cs="Arial"/>
          <w:sz w:val="20"/>
          <w:lang w:val="en-US"/>
        </w:rPr>
        <w:t>Data were analyzed using Mann-Whitney or generalized linear mixed model tests as appropriate.</w:t>
      </w:r>
    </w:p>
    <w:p w14:paraId="28558C51" w14:textId="534CFF4C" w:rsidR="00587A4B" w:rsidRPr="00AD013A" w:rsidRDefault="00587A4B" w:rsidP="00587A4B">
      <w:pPr>
        <w:spacing w:before="240" w:after="0"/>
        <w:ind w:right="60"/>
        <w:jc w:val="both"/>
        <w:outlineLvl w:val="3"/>
        <w:rPr>
          <w:rFonts w:ascii="Arial" w:hAnsi="Arial" w:cs="Arial"/>
          <w:sz w:val="20"/>
        </w:rPr>
      </w:pPr>
      <w:r w:rsidRPr="00AD013A">
        <w:rPr>
          <w:rFonts w:ascii="Arial" w:hAnsi="Arial" w:cs="Arial"/>
          <w:b/>
          <w:bCs/>
          <w:sz w:val="20"/>
        </w:rPr>
        <w:t>Results and Discussion</w:t>
      </w:r>
      <w:r w:rsidRPr="00AD013A">
        <w:rPr>
          <w:rFonts w:ascii="Arial" w:eastAsia="Times New Roman" w:hAnsi="Arial" w:cs="Arial"/>
          <w:b/>
          <w:bCs/>
          <w:caps/>
          <w:color w:val="000000"/>
          <w:sz w:val="20"/>
          <w:szCs w:val="20"/>
          <w:lang w:eastAsia="fr-FR"/>
        </w:rPr>
        <w:t>:</w:t>
      </w:r>
      <w:r w:rsidRPr="00AD013A">
        <w:rPr>
          <w:rFonts w:ascii="Arial" w:eastAsia="Times New Roman" w:hAnsi="Arial" w:cs="Arial"/>
          <w:color w:val="000000"/>
          <w:sz w:val="20"/>
          <w:szCs w:val="20"/>
          <w:shd w:val="clear" w:color="auto" w:fill="FFFFFF"/>
          <w:lang w:eastAsia="fr-FR"/>
        </w:rPr>
        <w:t xml:space="preserve"> Intraoperative body temperature loss</w:t>
      </w:r>
      <w:r w:rsidR="00855E63">
        <w:rPr>
          <w:rFonts w:ascii="Arial" w:eastAsia="Times New Roman" w:hAnsi="Arial" w:cs="Arial"/>
          <w:color w:val="000000"/>
          <w:sz w:val="20"/>
          <w:szCs w:val="20"/>
          <w:shd w:val="clear" w:color="auto" w:fill="FFFFFF"/>
          <w:lang w:eastAsia="fr-FR"/>
        </w:rPr>
        <w:t xml:space="preserve"> </w:t>
      </w:r>
      <w:r w:rsidR="00855E63" w:rsidRPr="00AD013A">
        <w:rPr>
          <w:rFonts w:ascii="Arial" w:eastAsia="Times New Roman" w:hAnsi="Arial" w:cs="Arial"/>
          <w:color w:val="000000"/>
          <w:sz w:val="20"/>
          <w:szCs w:val="20"/>
          <w:shd w:val="clear" w:color="auto" w:fill="FFFFFF"/>
          <w:lang w:eastAsia="fr-FR"/>
        </w:rPr>
        <w:t>(Figure 1A)</w:t>
      </w:r>
      <w:r w:rsidRPr="00AD013A">
        <w:rPr>
          <w:rFonts w:ascii="Arial" w:eastAsia="Times New Roman" w:hAnsi="Arial" w:cs="Arial"/>
          <w:color w:val="000000"/>
          <w:sz w:val="20"/>
          <w:szCs w:val="20"/>
          <w:shd w:val="clear" w:color="auto" w:fill="FFFFFF"/>
          <w:lang w:eastAsia="fr-FR"/>
        </w:rPr>
        <w:t xml:space="preserve"> was faster and greater in group C than in group W, with a significant main effect for group </w:t>
      </w:r>
      <w:r w:rsidR="00855E63">
        <w:rPr>
          <w:rFonts w:ascii="Arial" w:eastAsia="Times New Roman" w:hAnsi="Arial" w:cs="Arial"/>
          <w:color w:val="000000"/>
          <w:sz w:val="20"/>
          <w:szCs w:val="20"/>
          <w:shd w:val="clear" w:color="auto" w:fill="FFFFFF"/>
          <w:lang w:eastAsia="fr-FR"/>
        </w:rPr>
        <w:t xml:space="preserve">(p = 0.022) </w:t>
      </w:r>
      <w:r w:rsidRPr="00AD013A">
        <w:rPr>
          <w:rFonts w:ascii="Arial" w:eastAsia="Times New Roman" w:hAnsi="Arial" w:cs="Arial"/>
          <w:color w:val="000000"/>
          <w:sz w:val="20"/>
          <w:szCs w:val="20"/>
          <w:shd w:val="clear" w:color="auto" w:fill="FFFFFF"/>
          <w:lang w:eastAsia="fr-FR"/>
        </w:rPr>
        <w:t>and interaction between group and time</w:t>
      </w:r>
      <w:r w:rsidR="00855E63">
        <w:rPr>
          <w:rFonts w:ascii="Arial" w:eastAsia="Times New Roman" w:hAnsi="Arial" w:cs="Arial"/>
          <w:color w:val="000000"/>
          <w:sz w:val="20"/>
          <w:szCs w:val="20"/>
          <w:shd w:val="clear" w:color="auto" w:fill="FFFFFF"/>
          <w:lang w:eastAsia="fr-FR"/>
        </w:rPr>
        <w:t xml:space="preserve"> </w:t>
      </w:r>
      <w:r w:rsidR="00855E63">
        <w:rPr>
          <w:rFonts w:ascii="Arial" w:eastAsia="Times New Roman" w:hAnsi="Arial" w:cs="Arial"/>
          <w:color w:val="000000"/>
          <w:sz w:val="20"/>
          <w:szCs w:val="20"/>
          <w:shd w:val="clear" w:color="auto" w:fill="FFFFFF"/>
          <w:lang w:eastAsia="fr-FR"/>
        </w:rPr>
        <w:t>(p</w:t>
      </w:r>
      <w:r w:rsidR="00855E63">
        <w:rPr>
          <w:rFonts w:ascii="Arial" w:eastAsia="Times New Roman" w:hAnsi="Arial" w:cs="Arial"/>
          <w:color w:val="000000"/>
          <w:sz w:val="20"/>
          <w:szCs w:val="20"/>
          <w:shd w:val="clear" w:color="auto" w:fill="FFFFFF"/>
          <w:lang w:eastAsia="fr-FR"/>
        </w:rPr>
        <w:t xml:space="preserve"> </w:t>
      </w:r>
      <w:r w:rsidR="00855E63">
        <w:rPr>
          <w:rFonts w:ascii="Arial" w:eastAsia="Times New Roman" w:hAnsi="Arial" w:cs="Arial"/>
          <w:color w:val="000000"/>
          <w:sz w:val="20"/>
          <w:szCs w:val="20"/>
          <w:shd w:val="clear" w:color="auto" w:fill="FFFFFF"/>
          <w:lang w:eastAsia="fr-FR"/>
        </w:rPr>
        <w:t>&lt;</w:t>
      </w:r>
      <w:r w:rsidR="00855E63">
        <w:rPr>
          <w:rFonts w:ascii="Arial" w:eastAsia="Times New Roman" w:hAnsi="Arial" w:cs="Arial"/>
          <w:color w:val="000000"/>
          <w:sz w:val="20"/>
          <w:szCs w:val="20"/>
          <w:shd w:val="clear" w:color="auto" w:fill="FFFFFF"/>
          <w:lang w:eastAsia="fr-FR"/>
        </w:rPr>
        <w:t xml:space="preserve"> </w:t>
      </w:r>
      <w:r w:rsidR="00855E63">
        <w:rPr>
          <w:rFonts w:ascii="Arial" w:eastAsia="Times New Roman" w:hAnsi="Arial" w:cs="Arial"/>
          <w:color w:val="000000"/>
          <w:sz w:val="20"/>
          <w:szCs w:val="20"/>
          <w:shd w:val="clear" w:color="auto" w:fill="FFFFFF"/>
          <w:lang w:eastAsia="fr-FR"/>
        </w:rPr>
        <w:t>0.001)</w:t>
      </w:r>
      <w:r w:rsidRPr="00AD013A">
        <w:rPr>
          <w:rFonts w:ascii="Arial" w:eastAsia="Times New Roman" w:hAnsi="Arial" w:cs="Arial"/>
          <w:color w:val="000000"/>
          <w:sz w:val="20"/>
          <w:szCs w:val="20"/>
          <w:shd w:val="clear" w:color="auto" w:fill="FFFFFF"/>
          <w:lang w:eastAsia="fr-FR"/>
        </w:rPr>
        <w:t xml:space="preserve">.  The postoperative QoR-15 (Figure 1B) and TC (Figure 1C) </w:t>
      </w:r>
      <w:r>
        <w:rPr>
          <w:rFonts w:ascii="Arial" w:eastAsia="Times New Roman" w:hAnsi="Arial" w:cs="Arial"/>
          <w:color w:val="000000"/>
          <w:sz w:val="20"/>
          <w:szCs w:val="20"/>
          <w:shd w:val="clear" w:color="auto" w:fill="FFFFFF"/>
          <w:lang w:eastAsia="fr-FR"/>
        </w:rPr>
        <w:t xml:space="preserve">evolutions </w:t>
      </w:r>
      <w:r w:rsidRPr="00AD013A">
        <w:rPr>
          <w:rFonts w:ascii="Arial" w:eastAsia="Times New Roman" w:hAnsi="Arial" w:cs="Arial"/>
          <w:color w:val="000000"/>
          <w:sz w:val="20"/>
          <w:szCs w:val="20"/>
          <w:shd w:val="clear" w:color="auto" w:fill="FFFFFF"/>
          <w:lang w:eastAsia="fr-FR"/>
        </w:rPr>
        <w:t xml:space="preserve">were significantly better in the group W than in the group C, </w:t>
      </w:r>
      <w:r w:rsidR="00855E63" w:rsidRPr="00AD013A">
        <w:rPr>
          <w:rFonts w:ascii="Arial" w:eastAsia="Times New Roman" w:hAnsi="Arial" w:cs="Arial"/>
          <w:color w:val="000000"/>
          <w:sz w:val="20"/>
          <w:szCs w:val="20"/>
          <w:shd w:val="clear" w:color="auto" w:fill="FFFFFF"/>
          <w:lang w:eastAsia="fr-FR"/>
        </w:rPr>
        <w:t>with a significant main effect for interaction between group and time</w:t>
      </w:r>
      <w:r w:rsidR="00855E63">
        <w:rPr>
          <w:rFonts w:ascii="Arial" w:eastAsia="Times New Roman" w:hAnsi="Arial" w:cs="Arial"/>
          <w:color w:val="000000"/>
          <w:sz w:val="20"/>
          <w:szCs w:val="20"/>
          <w:shd w:val="clear" w:color="auto" w:fill="FFFFFF"/>
          <w:lang w:eastAsia="fr-FR"/>
        </w:rPr>
        <w:t xml:space="preserve"> (p </w:t>
      </w:r>
      <w:r w:rsidR="00855E63">
        <w:rPr>
          <w:rFonts w:ascii="Arial" w:eastAsia="Times New Roman" w:hAnsi="Arial" w:cs="Arial"/>
          <w:color w:val="000000"/>
          <w:sz w:val="20"/>
          <w:szCs w:val="20"/>
          <w:shd w:val="clear" w:color="auto" w:fill="FFFFFF"/>
          <w:lang w:eastAsia="fr-FR"/>
        </w:rPr>
        <w:t>&lt; 0.001</w:t>
      </w:r>
      <w:r w:rsidR="00855E63">
        <w:rPr>
          <w:rFonts w:ascii="Arial" w:eastAsia="Times New Roman" w:hAnsi="Arial" w:cs="Arial"/>
          <w:color w:val="000000"/>
          <w:sz w:val="20"/>
          <w:szCs w:val="20"/>
          <w:shd w:val="clear" w:color="auto" w:fill="FFFFFF"/>
          <w:lang w:eastAsia="fr-FR"/>
        </w:rPr>
        <w:t xml:space="preserve"> and p </w:t>
      </w:r>
      <w:r w:rsidR="00855E63">
        <w:rPr>
          <w:rFonts w:ascii="Arial" w:eastAsia="Times New Roman" w:hAnsi="Arial" w:cs="Arial"/>
          <w:color w:val="000000"/>
          <w:sz w:val="20"/>
          <w:szCs w:val="20"/>
          <w:shd w:val="clear" w:color="auto" w:fill="FFFFFF"/>
          <w:lang w:eastAsia="fr-FR"/>
        </w:rPr>
        <w:t>&lt; 0.001</w:t>
      </w:r>
      <w:r w:rsidR="00855E63">
        <w:rPr>
          <w:rFonts w:ascii="Arial" w:eastAsia="Times New Roman" w:hAnsi="Arial" w:cs="Arial"/>
          <w:color w:val="000000"/>
          <w:sz w:val="20"/>
          <w:szCs w:val="20"/>
          <w:shd w:val="clear" w:color="auto" w:fill="FFFFFF"/>
          <w:lang w:eastAsia="fr-FR"/>
        </w:rPr>
        <w:t xml:space="preserve"> for QoR-15 and TC, respectively)</w:t>
      </w:r>
      <w:r w:rsidR="00855E63">
        <w:rPr>
          <w:rFonts w:ascii="Arial" w:eastAsia="Times New Roman" w:hAnsi="Arial" w:cs="Arial"/>
          <w:color w:val="000000"/>
          <w:sz w:val="20"/>
          <w:szCs w:val="20"/>
          <w:shd w:val="clear" w:color="auto" w:fill="FFFFFF"/>
          <w:lang w:eastAsia="fr-FR"/>
        </w:rPr>
        <w:t xml:space="preserve"> and</w:t>
      </w:r>
      <w:r w:rsidRPr="00AD013A">
        <w:rPr>
          <w:rFonts w:ascii="Arial" w:eastAsia="Times New Roman" w:hAnsi="Arial" w:cs="Arial"/>
          <w:color w:val="000000"/>
          <w:sz w:val="20"/>
          <w:szCs w:val="20"/>
          <w:shd w:val="clear" w:color="auto" w:fill="FFFFFF"/>
          <w:lang w:eastAsia="fr-FR"/>
        </w:rPr>
        <w:t xml:space="preserve"> less intraoperative bleeding [mL; median (IQR): Group W 445 (425</w:t>
      </w:r>
      <w:r>
        <w:rPr>
          <w:rFonts w:ascii="Arial" w:eastAsia="Times New Roman" w:hAnsi="Arial" w:cs="Arial"/>
          <w:color w:val="000000"/>
          <w:sz w:val="20"/>
          <w:szCs w:val="20"/>
          <w:shd w:val="clear" w:color="auto" w:fill="FFFFFF"/>
          <w:lang w:eastAsia="fr-FR"/>
        </w:rPr>
        <w:t xml:space="preserve"> - </w:t>
      </w:r>
      <w:r w:rsidRPr="00AD013A">
        <w:rPr>
          <w:rFonts w:ascii="Arial" w:eastAsia="Times New Roman" w:hAnsi="Arial" w:cs="Arial"/>
          <w:color w:val="000000"/>
          <w:sz w:val="20"/>
          <w:szCs w:val="20"/>
          <w:shd w:val="clear" w:color="auto" w:fill="FFFFFF"/>
          <w:lang w:eastAsia="fr-FR"/>
        </w:rPr>
        <w:t>470) and Group C 615 (517.5</w:t>
      </w:r>
      <w:r>
        <w:rPr>
          <w:rFonts w:ascii="Arial" w:eastAsia="Times New Roman" w:hAnsi="Arial" w:cs="Arial"/>
          <w:color w:val="000000"/>
          <w:sz w:val="20"/>
          <w:szCs w:val="20"/>
          <w:shd w:val="clear" w:color="auto" w:fill="FFFFFF"/>
          <w:lang w:eastAsia="fr-FR"/>
        </w:rPr>
        <w:t xml:space="preserve"> - </w:t>
      </w:r>
      <w:r w:rsidRPr="00AD013A">
        <w:rPr>
          <w:rFonts w:ascii="Arial" w:eastAsia="Times New Roman" w:hAnsi="Arial" w:cs="Arial"/>
          <w:color w:val="000000"/>
          <w:sz w:val="20"/>
          <w:szCs w:val="20"/>
          <w:shd w:val="clear" w:color="auto" w:fill="FFFFFF"/>
          <w:lang w:eastAsia="fr-FR"/>
        </w:rPr>
        <w:t>695)</w:t>
      </w:r>
      <w:r>
        <w:rPr>
          <w:rFonts w:ascii="Arial" w:eastAsia="Times New Roman" w:hAnsi="Arial" w:cs="Arial"/>
          <w:color w:val="000000"/>
          <w:sz w:val="20"/>
          <w:szCs w:val="20"/>
          <w:shd w:val="clear" w:color="auto" w:fill="FFFFFF"/>
          <w:lang w:eastAsia="fr-FR"/>
        </w:rPr>
        <w:t xml:space="preserve"> mL</w:t>
      </w:r>
      <w:r w:rsidRPr="00AD013A">
        <w:rPr>
          <w:rFonts w:ascii="Arial" w:eastAsia="Times New Roman" w:hAnsi="Arial" w:cs="Arial"/>
          <w:color w:val="000000"/>
          <w:sz w:val="20"/>
          <w:szCs w:val="20"/>
          <w:shd w:val="clear" w:color="auto" w:fill="FFFFFF"/>
          <w:lang w:eastAsia="fr-FR"/>
        </w:rPr>
        <w:t>, p &lt; 0.001].</w:t>
      </w:r>
    </w:p>
    <w:p w14:paraId="74F4CCD3" w14:textId="77777777" w:rsidR="00587A4B" w:rsidRPr="00AD013A" w:rsidRDefault="00587A4B" w:rsidP="00587A4B">
      <w:pPr>
        <w:spacing w:before="240"/>
        <w:jc w:val="both"/>
        <w:rPr>
          <w:rFonts w:ascii="Arial" w:eastAsia="Times New Roman" w:hAnsi="Arial" w:cs="Arial"/>
          <w:sz w:val="20"/>
          <w:szCs w:val="20"/>
          <w:lang w:eastAsia="fr-FR"/>
        </w:rPr>
      </w:pPr>
      <w:r w:rsidRPr="00AD013A">
        <w:rPr>
          <w:rFonts w:ascii="Arial" w:eastAsia="Times New Roman" w:hAnsi="Arial" w:cs="Arial"/>
          <w:b/>
          <w:bCs/>
          <w:sz w:val="20"/>
          <w:szCs w:val="20"/>
          <w:lang w:eastAsia="fr-FR"/>
        </w:rPr>
        <w:t>Conclusion</w:t>
      </w:r>
      <w:r w:rsidRPr="00AD013A">
        <w:rPr>
          <w:rFonts w:ascii="Arial" w:eastAsia="Times New Roman" w:hAnsi="Arial" w:cs="Arial"/>
          <w:sz w:val="20"/>
          <w:szCs w:val="20"/>
          <w:lang w:eastAsia="fr-FR"/>
        </w:rPr>
        <w:t>:</w:t>
      </w:r>
      <w:r w:rsidRPr="00AD013A">
        <w:rPr>
          <w:rFonts w:ascii="Arial" w:eastAsia="Times New Roman" w:hAnsi="Arial" w:cs="Arial"/>
          <w:color w:val="000000"/>
          <w:sz w:val="20"/>
          <w:szCs w:val="20"/>
          <w:shd w:val="clear" w:color="auto" w:fill="FFFFFF"/>
          <w:lang w:eastAsia="fr-FR"/>
        </w:rPr>
        <w:t xml:space="preserve"> In ATHA, 30-minutes preoperative warming reduces intraoperative body temperature drop during </w:t>
      </w:r>
      <w:r>
        <w:rPr>
          <w:rFonts w:ascii="Arial" w:eastAsia="Times New Roman" w:hAnsi="Arial" w:cs="Arial"/>
          <w:color w:val="000000"/>
          <w:sz w:val="20"/>
          <w:szCs w:val="20"/>
          <w:shd w:val="clear" w:color="auto" w:fill="FFFFFF"/>
          <w:lang w:eastAsia="fr-FR"/>
        </w:rPr>
        <w:t xml:space="preserve">the </w:t>
      </w:r>
      <w:r w:rsidRPr="00AD013A">
        <w:rPr>
          <w:rFonts w:ascii="Arial" w:eastAsia="Times New Roman" w:hAnsi="Arial" w:cs="Arial"/>
          <w:color w:val="000000"/>
          <w:sz w:val="20"/>
          <w:szCs w:val="20"/>
          <w:shd w:val="clear" w:color="auto" w:fill="FFFFFF"/>
          <w:lang w:eastAsia="fr-FR"/>
        </w:rPr>
        <w:t xml:space="preserve">first hour of surgery, and enhances postoperative recovery and patients’ comfort during </w:t>
      </w:r>
      <w:r>
        <w:rPr>
          <w:rFonts w:ascii="Arial" w:eastAsia="Times New Roman" w:hAnsi="Arial" w:cs="Arial"/>
          <w:color w:val="000000"/>
          <w:sz w:val="20"/>
          <w:szCs w:val="20"/>
          <w:shd w:val="clear" w:color="auto" w:fill="FFFFFF"/>
          <w:lang w:eastAsia="fr-FR"/>
        </w:rPr>
        <w:t xml:space="preserve">the </w:t>
      </w:r>
      <w:r w:rsidRPr="00AD013A">
        <w:rPr>
          <w:rFonts w:ascii="Arial" w:eastAsia="Times New Roman" w:hAnsi="Arial" w:cs="Arial"/>
          <w:color w:val="000000"/>
          <w:sz w:val="20"/>
          <w:szCs w:val="20"/>
          <w:shd w:val="clear" w:color="auto" w:fill="FFFFFF"/>
          <w:lang w:eastAsia="fr-FR"/>
        </w:rPr>
        <w:t xml:space="preserve">first postoperative 3 days, with less intraoperative bleeding. </w:t>
      </w:r>
    </w:p>
    <w:p w14:paraId="6E62ACD7" w14:textId="77777777" w:rsidR="00587A4B" w:rsidRPr="00AD013A" w:rsidRDefault="00587A4B" w:rsidP="00587A4B">
      <w:pPr>
        <w:jc w:val="both"/>
        <w:rPr>
          <w:rFonts w:ascii="Arial" w:hAnsi="Arial" w:cs="Arial"/>
          <w:b/>
          <w:bCs/>
          <w:sz w:val="20"/>
          <w:szCs w:val="20"/>
        </w:rPr>
      </w:pPr>
      <w:r w:rsidRPr="00AD013A">
        <w:rPr>
          <w:rFonts w:ascii="Arial" w:hAnsi="Arial" w:cs="Arial"/>
          <w:b/>
          <w:bCs/>
          <w:sz w:val="20"/>
          <w:szCs w:val="20"/>
        </w:rPr>
        <w:t>References:</w:t>
      </w:r>
    </w:p>
    <w:p w14:paraId="5A8DAD6A" w14:textId="77777777" w:rsidR="00587A4B" w:rsidRPr="00AD013A" w:rsidRDefault="00587A4B" w:rsidP="00587A4B">
      <w:pPr>
        <w:pStyle w:val="Paragrafoelenco"/>
        <w:numPr>
          <w:ilvl w:val="0"/>
          <w:numId w:val="4"/>
        </w:numPr>
        <w:rPr>
          <w:rFonts w:ascii="Arial" w:hAnsi="Arial" w:cs="Arial"/>
          <w:sz w:val="20"/>
          <w:szCs w:val="20"/>
        </w:rPr>
      </w:pPr>
      <w:r w:rsidRPr="00AD013A">
        <w:rPr>
          <w:rFonts w:ascii="Arial" w:hAnsi="Arial" w:cs="Arial"/>
          <w:sz w:val="20"/>
          <w:szCs w:val="20"/>
        </w:rPr>
        <w:t>Sessler DI. « Perioperative thermoregulation and heat balance ». Lancet 2016; 387: 2655–64</w:t>
      </w:r>
    </w:p>
    <w:p w14:paraId="08429859" w14:textId="77777777" w:rsidR="00587A4B" w:rsidRPr="00AD013A" w:rsidRDefault="00587A4B" w:rsidP="00587A4B">
      <w:pPr>
        <w:pStyle w:val="Paragrafoelenco"/>
        <w:numPr>
          <w:ilvl w:val="0"/>
          <w:numId w:val="4"/>
        </w:numPr>
        <w:rPr>
          <w:rFonts w:ascii="Arial" w:hAnsi="Arial" w:cs="Arial"/>
          <w:sz w:val="20"/>
          <w:szCs w:val="20"/>
        </w:rPr>
      </w:pPr>
      <w:r w:rsidRPr="00AD013A">
        <w:rPr>
          <w:rFonts w:ascii="Arial" w:hAnsi="Arial" w:cs="Arial"/>
          <w:sz w:val="20"/>
          <w:szCs w:val="20"/>
        </w:rPr>
        <w:t xml:space="preserve">Simpson JB et al. « Hypothermia in Total Joint Arthroplasty: A Wake-Up Call. » The Journal of Arthroplasty </w:t>
      </w:r>
      <w:proofErr w:type="gramStart"/>
      <w:r w:rsidRPr="00AD013A">
        <w:rPr>
          <w:rFonts w:ascii="Arial" w:hAnsi="Arial" w:cs="Arial"/>
          <w:sz w:val="20"/>
          <w:szCs w:val="20"/>
        </w:rPr>
        <w:t>2018 ;</w:t>
      </w:r>
      <w:proofErr w:type="gramEnd"/>
      <w:r w:rsidRPr="00AD013A">
        <w:rPr>
          <w:rFonts w:ascii="Arial" w:hAnsi="Arial" w:cs="Arial"/>
          <w:sz w:val="20"/>
          <w:szCs w:val="20"/>
        </w:rPr>
        <w:t xml:space="preserve"> 33(4)1012-1018</w:t>
      </w:r>
    </w:p>
    <w:p w14:paraId="7DDB43D4" w14:textId="77777777" w:rsidR="00587A4B" w:rsidRPr="00AD013A" w:rsidRDefault="00587A4B" w:rsidP="00587A4B">
      <w:pPr>
        <w:pStyle w:val="Paragrafoelenco"/>
        <w:numPr>
          <w:ilvl w:val="0"/>
          <w:numId w:val="4"/>
        </w:numPr>
        <w:rPr>
          <w:rFonts w:ascii="Arial" w:hAnsi="Arial" w:cs="Arial"/>
          <w:sz w:val="20"/>
          <w:szCs w:val="20"/>
        </w:rPr>
      </w:pPr>
      <w:r w:rsidRPr="00AD013A">
        <w:rPr>
          <w:rFonts w:ascii="Arial" w:hAnsi="Arial" w:cs="Arial"/>
          <w:sz w:val="20"/>
          <w:szCs w:val="20"/>
        </w:rPr>
        <w:t xml:space="preserve">Sessler DI. « Thermal management and blood loss during hip arthroplasty » Minerva </w:t>
      </w:r>
      <w:proofErr w:type="spellStart"/>
      <w:r w:rsidRPr="00AD013A">
        <w:rPr>
          <w:rFonts w:ascii="Arial" w:hAnsi="Arial" w:cs="Arial"/>
          <w:sz w:val="20"/>
          <w:szCs w:val="20"/>
        </w:rPr>
        <w:t>Anestesiologica</w:t>
      </w:r>
      <w:proofErr w:type="spellEnd"/>
      <w:r w:rsidRPr="00AD013A">
        <w:rPr>
          <w:rFonts w:ascii="Arial" w:hAnsi="Arial" w:cs="Arial"/>
          <w:sz w:val="20"/>
          <w:szCs w:val="20"/>
        </w:rPr>
        <w:t xml:space="preserve"> 2002; 68(4):182-5</w:t>
      </w:r>
    </w:p>
    <w:p w14:paraId="02EA447E" w14:textId="7A22949E" w:rsidR="00723915" w:rsidRDefault="00723915" w:rsidP="00723915">
      <w:pPr>
        <w:rPr>
          <w:rFonts w:ascii="Arial" w:hAnsi="Arial" w:cs="Arial"/>
          <w:sz w:val="20"/>
          <w:szCs w:val="20"/>
          <w:lang w:val="en-US"/>
        </w:rPr>
      </w:pPr>
    </w:p>
    <w:p w14:paraId="1BAC6CA8" w14:textId="40D13B3A" w:rsidR="00723915" w:rsidRDefault="00723915" w:rsidP="00723915">
      <w:pPr>
        <w:rPr>
          <w:rFonts w:ascii="Arial" w:hAnsi="Arial" w:cs="Arial"/>
          <w:sz w:val="20"/>
          <w:szCs w:val="20"/>
          <w:lang w:val="en-US"/>
        </w:rPr>
      </w:pPr>
    </w:p>
    <w:p w14:paraId="35DA03E0" w14:textId="07D3801F" w:rsidR="00723915" w:rsidRDefault="00723915" w:rsidP="00723915">
      <w:pPr>
        <w:rPr>
          <w:rFonts w:ascii="Arial" w:hAnsi="Arial" w:cs="Arial"/>
          <w:sz w:val="20"/>
          <w:szCs w:val="20"/>
          <w:lang w:val="en-US"/>
        </w:rPr>
      </w:pPr>
    </w:p>
    <w:p w14:paraId="57E6CD46" w14:textId="4C5DD01E" w:rsidR="00723915" w:rsidRDefault="00723915" w:rsidP="00723915">
      <w:pPr>
        <w:rPr>
          <w:rFonts w:ascii="Arial" w:hAnsi="Arial" w:cs="Arial"/>
          <w:sz w:val="20"/>
          <w:szCs w:val="20"/>
          <w:lang w:val="en-US"/>
        </w:rPr>
      </w:pPr>
    </w:p>
    <w:p w14:paraId="7847AAE2" w14:textId="57127508" w:rsidR="00723915" w:rsidRPr="00723915" w:rsidRDefault="00723915" w:rsidP="00723915">
      <w:pPr>
        <w:rPr>
          <w:rFonts w:ascii="Arial" w:hAnsi="Arial" w:cs="Arial"/>
          <w:sz w:val="20"/>
          <w:szCs w:val="20"/>
          <w:lang w:val="en-US"/>
        </w:rPr>
      </w:pPr>
    </w:p>
    <w:p w14:paraId="32E65E70" w14:textId="675B0682" w:rsidR="002B78A7" w:rsidRPr="00DD3E1F" w:rsidRDefault="002B78A7" w:rsidP="00DD3E1F">
      <w:pPr>
        <w:jc w:val="both"/>
        <w:rPr>
          <w:rFonts w:ascii="Arial" w:hAnsi="Arial" w:cs="Arial"/>
          <w:sz w:val="20"/>
          <w:szCs w:val="20"/>
          <w:lang w:val="en-US"/>
        </w:rPr>
      </w:pPr>
    </w:p>
    <w:p w14:paraId="4ABBB792" w14:textId="46546639" w:rsidR="00EB094B" w:rsidRDefault="00EB094B" w:rsidP="00652867">
      <w:pPr>
        <w:rPr>
          <w:rFonts w:ascii="Arial" w:eastAsia="Times New Roman" w:hAnsi="Arial" w:cs="Times New Roman"/>
          <w:b/>
          <w:bCs/>
          <w:caps/>
          <w:color w:val="000000"/>
          <w:sz w:val="20"/>
          <w:szCs w:val="20"/>
          <w:lang w:val="en-US" w:eastAsia="fr-FR"/>
        </w:rPr>
      </w:pPr>
    </w:p>
    <w:p w14:paraId="64B542D2" w14:textId="479B3534" w:rsidR="00840184" w:rsidRPr="00BF0DAB" w:rsidRDefault="00840184" w:rsidP="00652867">
      <w:pPr>
        <w:rPr>
          <w:rFonts w:ascii="Arial" w:eastAsia="Times New Roman" w:hAnsi="Arial" w:cs="Times New Roman"/>
          <w:b/>
          <w:bCs/>
          <w:caps/>
          <w:color w:val="000000"/>
          <w:sz w:val="20"/>
          <w:szCs w:val="20"/>
          <w:lang w:val="en-US" w:eastAsia="fr-FR"/>
        </w:rPr>
      </w:pPr>
    </w:p>
    <w:sectPr w:rsidR="00840184" w:rsidRPr="00BF0DAB" w:rsidSect="00113B2F">
      <w:pgSz w:w="11900" w:h="16840"/>
      <w:pgMar w:top="1417"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01ECC"/>
    <w:multiLevelType w:val="hybridMultilevel"/>
    <w:tmpl w:val="9DE6FBC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4080392C"/>
    <w:multiLevelType w:val="hybridMultilevel"/>
    <w:tmpl w:val="F90A9A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D543868"/>
    <w:multiLevelType w:val="hybridMultilevel"/>
    <w:tmpl w:val="DDDCD8E6"/>
    <w:lvl w:ilvl="0" w:tplc="8F8C5A90">
      <w:start w:val="1"/>
      <w:numFmt w:val="decimal"/>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59B3E48"/>
    <w:multiLevelType w:val="hybridMultilevel"/>
    <w:tmpl w:val="320AEF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24811853">
    <w:abstractNumId w:val="1"/>
  </w:num>
  <w:num w:numId="2" w16cid:durableId="1972587082">
    <w:abstractNumId w:val="2"/>
  </w:num>
  <w:num w:numId="3" w16cid:durableId="1356536263">
    <w:abstractNumId w:val="3"/>
  </w:num>
  <w:num w:numId="4" w16cid:durableId="354306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8D9"/>
    <w:rsid w:val="0000287C"/>
    <w:rsid w:val="00030961"/>
    <w:rsid w:val="00072C95"/>
    <w:rsid w:val="00113B2F"/>
    <w:rsid w:val="00162ED9"/>
    <w:rsid w:val="001F7A58"/>
    <w:rsid w:val="00211EB7"/>
    <w:rsid w:val="00267FFA"/>
    <w:rsid w:val="002A6A72"/>
    <w:rsid w:val="002B78A7"/>
    <w:rsid w:val="002F4C24"/>
    <w:rsid w:val="00313AAC"/>
    <w:rsid w:val="00382B31"/>
    <w:rsid w:val="00387964"/>
    <w:rsid w:val="003A7282"/>
    <w:rsid w:val="003D444E"/>
    <w:rsid w:val="004B4F7F"/>
    <w:rsid w:val="00587A4B"/>
    <w:rsid w:val="005A6345"/>
    <w:rsid w:val="005C0F0F"/>
    <w:rsid w:val="00652867"/>
    <w:rsid w:val="006A45C4"/>
    <w:rsid w:val="00723915"/>
    <w:rsid w:val="007431A1"/>
    <w:rsid w:val="007602E4"/>
    <w:rsid w:val="00782038"/>
    <w:rsid w:val="00822932"/>
    <w:rsid w:val="00840184"/>
    <w:rsid w:val="00855E63"/>
    <w:rsid w:val="008B2E6F"/>
    <w:rsid w:val="008B553D"/>
    <w:rsid w:val="009268D9"/>
    <w:rsid w:val="00932285"/>
    <w:rsid w:val="00970C97"/>
    <w:rsid w:val="009828C8"/>
    <w:rsid w:val="009F0513"/>
    <w:rsid w:val="009F52F7"/>
    <w:rsid w:val="00A20371"/>
    <w:rsid w:val="00A60C1A"/>
    <w:rsid w:val="00A72D63"/>
    <w:rsid w:val="00A967F8"/>
    <w:rsid w:val="00AE46DD"/>
    <w:rsid w:val="00B50A8C"/>
    <w:rsid w:val="00B92455"/>
    <w:rsid w:val="00BF0DAB"/>
    <w:rsid w:val="00BF381A"/>
    <w:rsid w:val="00C020D0"/>
    <w:rsid w:val="00C04536"/>
    <w:rsid w:val="00C6436A"/>
    <w:rsid w:val="00C909DD"/>
    <w:rsid w:val="00D70809"/>
    <w:rsid w:val="00D74E27"/>
    <w:rsid w:val="00D8414C"/>
    <w:rsid w:val="00DD3E1F"/>
    <w:rsid w:val="00E14644"/>
    <w:rsid w:val="00E32850"/>
    <w:rsid w:val="00E5127B"/>
    <w:rsid w:val="00EB094B"/>
    <w:rsid w:val="00EE1844"/>
    <w:rsid w:val="00F067B5"/>
    <w:rsid w:val="00F90C42"/>
    <w:rsid w:val="00F95E06"/>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A55309"/>
  <w15:docId w15:val="{E19CD64C-6A49-1E47-B9BA-9A53AC00D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268D9"/>
    <w:rPr>
      <w:lang w:val="en-GB"/>
    </w:rPr>
  </w:style>
  <w:style w:type="paragraph" w:styleId="Titolo4">
    <w:name w:val="heading 4"/>
    <w:basedOn w:val="Normale"/>
    <w:link w:val="Titolo4Carattere"/>
    <w:uiPriority w:val="9"/>
    <w:qFormat/>
    <w:rsid w:val="00113B2F"/>
    <w:pPr>
      <w:spacing w:before="100" w:beforeAutospacing="1" w:after="100" w:afterAutospacing="1"/>
      <w:outlineLvl w:val="3"/>
    </w:pPr>
    <w:rPr>
      <w:rFonts w:ascii="Times" w:hAnsi="Times"/>
      <w:b/>
      <w:bCs/>
      <w:lang w:val="it-IT" w:eastAsia="fr-FR"/>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9268D9"/>
    <w:pPr>
      <w:tabs>
        <w:tab w:val="center" w:pos="4819"/>
        <w:tab w:val="right" w:pos="9638"/>
      </w:tabs>
      <w:spacing w:after="0"/>
    </w:pPr>
  </w:style>
  <w:style w:type="character" w:customStyle="1" w:styleId="IntestazioneCarattere">
    <w:name w:val="Intestazione Carattere"/>
    <w:basedOn w:val="Carpredefinitoparagrafo"/>
    <w:link w:val="Intestazione"/>
    <w:rsid w:val="009268D9"/>
    <w:rPr>
      <w:lang w:val="en-GB"/>
    </w:rPr>
  </w:style>
  <w:style w:type="paragraph" w:styleId="Pidipagina">
    <w:name w:val="footer"/>
    <w:basedOn w:val="Normale"/>
    <w:link w:val="PidipaginaCarattere"/>
    <w:rsid w:val="009268D9"/>
    <w:pPr>
      <w:tabs>
        <w:tab w:val="center" w:pos="4819"/>
        <w:tab w:val="right" w:pos="9638"/>
      </w:tabs>
      <w:spacing w:after="0"/>
    </w:pPr>
  </w:style>
  <w:style w:type="character" w:customStyle="1" w:styleId="PidipaginaCarattere">
    <w:name w:val="Piè di pagina Carattere"/>
    <w:basedOn w:val="Carpredefinitoparagrafo"/>
    <w:link w:val="Pidipagina"/>
    <w:rsid w:val="009268D9"/>
    <w:rPr>
      <w:lang w:val="en-GB"/>
    </w:rPr>
  </w:style>
  <w:style w:type="character" w:customStyle="1" w:styleId="Titolo4Carattere">
    <w:name w:val="Titolo 4 Carattere"/>
    <w:basedOn w:val="Carpredefinitoparagrafo"/>
    <w:link w:val="Titolo4"/>
    <w:uiPriority w:val="9"/>
    <w:rsid w:val="00113B2F"/>
    <w:rPr>
      <w:rFonts w:ascii="Times" w:hAnsi="Times"/>
      <w:b/>
      <w:bCs/>
      <w:lang w:eastAsia="fr-FR"/>
    </w:rPr>
  </w:style>
  <w:style w:type="paragraph" w:styleId="NormaleWeb">
    <w:name w:val="Normal (Web)"/>
    <w:basedOn w:val="Normale"/>
    <w:uiPriority w:val="99"/>
    <w:semiHidden/>
    <w:unhideWhenUsed/>
    <w:rsid w:val="00BF0DAB"/>
    <w:pPr>
      <w:spacing w:before="100" w:beforeAutospacing="1" w:after="100" w:afterAutospacing="1"/>
    </w:pPr>
    <w:rPr>
      <w:rFonts w:ascii="Times New Roman" w:eastAsia="Times New Roman" w:hAnsi="Times New Roman" w:cs="Times New Roman"/>
      <w:lang w:eastAsia="it-IT"/>
    </w:rPr>
  </w:style>
  <w:style w:type="paragraph" w:styleId="Testofumetto">
    <w:name w:val="Balloon Text"/>
    <w:basedOn w:val="Normale"/>
    <w:link w:val="TestofumettoCarattere"/>
    <w:uiPriority w:val="99"/>
    <w:semiHidden/>
    <w:unhideWhenUsed/>
    <w:rsid w:val="00F067B5"/>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067B5"/>
    <w:rPr>
      <w:rFonts w:ascii="Segoe UI" w:hAnsi="Segoe UI" w:cs="Segoe UI"/>
      <w:sz w:val="18"/>
      <w:szCs w:val="18"/>
      <w:lang w:val="en-GB"/>
    </w:rPr>
  </w:style>
  <w:style w:type="character" w:styleId="Rimandocommento">
    <w:name w:val="annotation reference"/>
    <w:basedOn w:val="Carpredefinitoparagrafo"/>
    <w:uiPriority w:val="99"/>
    <w:semiHidden/>
    <w:unhideWhenUsed/>
    <w:rsid w:val="00822932"/>
    <w:rPr>
      <w:sz w:val="16"/>
      <w:szCs w:val="16"/>
    </w:rPr>
  </w:style>
  <w:style w:type="paragraph" w:styleId="Testocommento">
    <w:name w:val="annotation text"/>
    <w:basedOn w:val="Normale"/>
    <w:link w:val="TestocommentoCarattere"/>
    <w:uiPriority w:val="99"/>
    <w:semiHidden/>
    <w:unhideWhenUsed/>
    <w:rsid w:val="00822932"/>
    <w:rPr>
      <w:sz w:val="20"/>
      <w:szCs w:val="20"/>
    </w:rPr>
  </w:style>
  <w:style w:type="character" w:customStyle="1" w:styleId="TestocommentoCarattere">
    <w:name w:val="Testo commento Carattere"/>
    <w:basedOn w:val="Carpredefinitoparagrafo"/>
    <w:link w:val="Testocommento"/>
    <w:uiPriority w:val="99"/>
    <w:semiHidden/>
    <w:rsid w:val="00822932"/>
    <w:rPr>
      <w:sz w:val="20"/>
      <w:szCs w:val="20"/>
      <w:lang w:val="en-GB"/>
    </w:rPr>
  </w:style>
  <w:style w:type="paragraph" w:styleId="Soggettocommento">
    <w:name w:val="annotation subject"/>
    <w:basedOn w:val="Testocommento"/>
    <w:next w:val="Testocommento"/>
    <w:link w:val="SoggettocommentoCarattere"/>
    <w:uiPriority w:val="99"/>
    <w:semiHidden/>
    <w:unhideWhenUsed/>
    <w:rsid w:val="00822932"/>
    <w:rPr>
      <w:b/>
      <w:bCs/>
    </w:rPr>
  </w:style>
  <w:style w:type="character" w:customStyle="1" w:styleId="SoggettocommentoCarattere">
    <w:name w:val="Soggetto commento Carattere"/>
    <w:basedOn w:val="TestocommentoCarattere"/>
    <w:link w:val="Soggettocommento"/>
    <w:uiPriority w:val="99"/>
    <w:semiHidden/>
    <w:rsid w:val="00822932"/>
    <w:rPr>
      <w:b/>
      <w:bCs/>
      <w:sz w:val="20"/>
      <w:szCs w:val="20"/>
      <w:lang w:val="en-GB"/>
    </w:rPr>
  </w:style>
  <w:style w:type="paragraph" w:styleId="Revisione">
    <w:name w:val="Revision"/>
    <w:hidden/>
    <w:uiPriority w:val="99"/>
    <w:semiHidden/>
    <w:rsid w:val="00652867"/>
    <w:pPr>
      <w:spacing w:after="0"/>
    </w:pPr>
    <w:rPr>
      <w:lang w:val="en-GB"/>
    </w:rPr>
  </w:style>
  <w:style w:type="character" w:styleId="Testosegnaposto">
    <w:name w:val="Placeholder Text"/>
    <w:basedOn w:val="Carpredefinitoparagrafo"/>
    <w:uiPriority w:val="99"/>
    <w:semiHidden/>
    <w:rsid w:val="00652867"/>
    <w:rPr>
      <w:color w:val="808080"/>
    </w:rPr>
  </w:style>
  <w:style w:type="paragraph" w:styleId="Paragrafoelenco">
    <w:name w:val="List Paragraph"/>
    <w:basedOn w:val="Normale"/>
    <w:uiPriority w:val="34"/>
    <w:qFormat/>
    <w:rsid w:val="00B50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75026">
      <w:bodyDiv w:val="1"/>
      <w:marLeft w:val="0"/>
      <w:marRight w:val="0"/>
      <w:marTop w:val="0"/>
      <w:marBottom w:val="0"/>
      <w:divBdr>
        <w:top w:val="none" w:sz="0" w:space="0" w:color="auto"/>
        <w:left w:val="none" w:sz="0" w:space="0" w:color="auto"/>
        <w:bottom w:val="none" w:sz="0" w:space="0" w:color="auto"/>
        <w:right w:val="none" w:sz="0" w:space="0" w:color="auto"/>
      </w:divBdr>
    </w:div>
    <w:div w:id="272832699">
      <w:bodyDiv w:val="1"/>
      <w:marLeft w:val="0"/>
      <w:marRight w:val="0"/>
      <w:marTop w:val="0"/>
      <w:marBottom w:val="0"/>
      <w:divBdr>
        <w:top w:val="none" w:sz="0" w:space="0" w:color="auto"/>
        <w:left w:val="none" w:sz="0" w:space="0" w:color="auto"/>
        <w:bottom w:val="none" w:sz="0" w:space="0" w:color="auto"/>
        <w:right w:val="none" w:sz="0" w:space="0" w:color="auto"/>
      </w:divBdr>
    </w:div>
    <w:div w:id="309486396">
      <w:bodyDiv w:val="1"/>
      <w:marLeft w:val="0"/>
      <w:marRight w:val="0"/>
      <w:marTop w:val="0"/>
      <w:marBottom w:val="0"/>
      <w:divBdr>
        <w:top w:val="none" w:sz="0" w:space="0" w:color="auto"/>
        <w:left w:val="none" w:sz="0" w:space="0" w:color="auto"/>
        <w:bottom w:val="none" w:sz="0" w:space="0" w:color="auto"/>
        <w:right w:val="none" w:sz="0" w:space="0" w:color="auto"/>
      </w:divBdr>
    </w:div>
    <w:div w:id="322514243">
      <w:bodyDiv w:val="1"/>
      <w:marLeft w:val="0"/>
      <w:marRight w:val="0"/>
      <w:marTop w:val="0"/>
      <w:marBottom w:val="0"/>
      <w:divBdr>
        <w:top w:val="none" w:sz="0" w:space="0" w:color="auto"/>
        <w:left w:val="none" w:sz="0" w:space="0" w:color="auto"/>
        <w:bottom w:val="none" w:sz="0" w:space="0" w:color="auto"/>
        <w:right w:val="none" w:sz="0" w:space="0" w:color="auto"/>
      </w:divBdr>
    </w:div>
    <w:div w:id="344020077">
      <w:bodyDiv w:val="1"/>
      <w:marLeft w:val="0"/>
      <w:marRight w:val="0"/>
      <w:marTop w:val="0"/>
      <w:marBottom w:val="0"/>
      <w:divBdr>
        <w:top w:val="none" w:sz="0" w:space="0" w:color="auto"/>
        <w:left w:val="none" w:sz="0" w:space="0" w:color="auto"/>
        <w:bottom w:val="none" w:sz="0" w:space="0" w:color="auto"/>
        <w:right w:val="none" w:sz="0" w:space="0" w:color="auto"/>
      </w:divBdr>
    </w:div>
    <w:div w:id="356199128">
      <w:bodyDiv w:val="1"/>
      <w:marLeft w:val="0"/>
      <w:marRight w:val="0"/>
      <w:marTop w:val="0"/>
      <w:marBottom w:val="0"/>
      <w:divBdr>
        <w:top w:val="none" w:sz="0" w:space="0" w:color="auto"/>
        <w:left w:val="none" w:sz="0" w:space="0" w:color="auto"/>
        <w:bottom w:val="none" w:sz="0" w:space="0" w:color="auto"/>
        <w:right w:val="none" w:sz="0" w:space="0" w:color="auto"/>
      </w:divBdr>
    </w:div>
    <w:div w:id="375398793">
      <w:bodyDiv w:val="1"/>
      <w:marLeft w:val="0"/>
      <w:marRight w:val="0"/>
      <w:marTop w:val="0"/>
      <w:marBottom w:val="0"/>
      <w:divBdr>
        <w:top w:val="none" w:sz="0" w:space="0" w:color="auto"/>
        <w:left w:val="none" w:sz="0" w:space="0" w:color="auto"/>
        <w:bottom w:val="none" w:sz="0" w:space="0" w:color="auto"/>
        <w:right w:val="none" w:sz="0" w:space="0" w:color="auto"/>
      </w:divBdr>
      <w:divsChild>
        <w:div w:id="1743483943">
          <w:marLeft w:val="0"/>
          <w:marRight w:val="0"/>
          <w:marTop w:val="0"/>
          <w:marBottom w:val="0"/>
          <w:divBdr>
            <w:top w:val="none" w:sz="0" w:space="0" w:color="auto"/>
            <w:left w:val="none" w:sz="0" w:space="0" w:color="auto"/>
            <w:bottom w:val="none" w:sz="0" w:space="0" w:color="auto"/>
            <w:right w:val="none" w:sz="0" w:space="0" w:color="auto"/>
          </w:divBdr>
          <w:divsChild>
            <w:div w:id="1276450640">
              <w:marLeft w:val="0"/>
              <w:marRight w:val="0"/>
              <w:marTop w:val="0"/>
              <w:marBottom w:val="0"/>
              <w:divBdr>
                <w:top w:val="none" w:sz="0" w:space="0" w:color="auto"/>
                <w:left w:val="none" w:sz="0" w:space="0" w:color="auto"/>
                <w:bottom w:val="none" w:sz="0" w:space="0" w:color="auto"/>
                <w:right w:val="none" w:sz="0" w:space="0" w:color="auto"/>
              </w:divBdr>
              <w:divsChild>
                <w:div w:id="139461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79856">
      <w:bodyDiv w:val="1"/>
      <w:marLeft w:val="0"/>
      <w:marRight w:val="0"/>
      <w:marTop w:val="0"/>
      <w:marBottom w:val="0"/>
      <w:divBdr>
        <w:top w:val="none" w:sz="0" w:space="0" w:color="auto"/>
        <w:left w:val="none" w:sz="0" w:space="0" w:color="auto"/>
        <w:bottom w:val="none" w:sz="0" w:space="0" w:color="auto"/>
        <w:right w:val="none" w:sz="0" w:space="0" w:color="auto"/>
      </w:divBdr>
    </w:div>
    <w:div w:id="833569881">
      <w:bodyDiv w:val="1"/>
      <w:marLeft w:val="0"/>
      <w:marRight w:val="0"/>
      <w:marTop w:val="0"/>
      <w:marBottom w:val="0"/>
      <w:divBdr>
        <w:top w:val="none" w:sz="0" w:space="0" w:color="auto"/>
        <w:left w:val="none" w:sz="0" w:space="0" w:color="auto"/>
        <w:bottom w:val="none" w:sz="0" w:space="0" w:color="auto"/>
        <w:right w:val="none" w:sz="0" w:space="0" w:color="auto"/>
      </w:divBdr>
      <w:divsChild>
        <w:div w:id="687485480">
          <w:marLeft w:val="0"/>
          <w:marRight w:val="0"/>
          <w:marTop w:val="0"/>
          <w:marBottom w:val="0"/>
          <w:divBdr>
            <w:top w:val="none" w:sz="0" w:space="0" w:color="auto"/>
            <w:left w:val="none" w:sz="0" w:space="0" w:color="auto"/>
            <w:bottom w:val="none" w:sz="0" w:space="0" w:color="auto"/>
            <w:right w:val="none" w:sz="0" w:space="0" w:color="auto"/>
          </w:divBdr>
          <w:divsChild>
            <w:div w:id="852499249">
              <w:marLeft w:val="0"/>
              <w:marRight w:val="0"/>
              <w:marTop w:val="0"/>
              <w:marBottom w:val="0"/>
              <w:divBdr>
                <w:top w:val="none" w:sz="0" w:space="0" w:color="auto"/>
                <w:left w:val="none" w:sz="0" w:space="0" w:color="auto"/>
                <w:bottom w:val="none" w:sz="0" w:space="0" w:color="auto"/>
                <w:right w:val="none" w:sz="0" w:space="0" w:color="auto"/>
              </w:divBdr>
              <w:divsChild>
                <w:div w:id="167683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172433">
      <w:bodyDiv w:val="1"/>
      <w:marLeft w:val="0"/>
      <w:marRight w:val="0"/>
      <w:marTop w:val="0"/>
      <w:marBottom w:val="0"/>
      <w:divBdr>
        <w:top w:val="none" w:sz="0" w:space="0" w:color="auto"/>
        <w:left w:val="none" w:sz="0" w:space="0" w:color="auto"/>
        <w:bottom w:val="none" w:sz="0" w:space="0" w:color="auto"/>
        <w:right w:val="none" w:sz="0" w:space="0" w:color="auto"/>
      </w:divBdr>
    </w:div>
    <w:div w:id="952903298">
      <w:bodyDiv w:val="1"/>
      <w:marLeft w:val="0"/>
      <w:marRight w:val="0"/>
      <w:marTop w:val="0"/>
      <w:marBottom w:val="0"/>
      <w:divBdr>
        <w:top w:val="none" w:sz="0" w:space="0" w:color="auto"/>
        <w:left w:val="none" w:sz="0" w:space="0" w:color="auto"/>
        <w:bottom w:val="none" w:sz="0" w:space="0" w:color="auto"/>
        <w:right w:val="none" w:sz="0" w:space="0" w:color="auto"/>
      </w:divBdr>
    </w:div>
    <w:div w:id="986206589">
      <w:bodyDiv w:val="1"/>
      <w:marLeft w:val="0"/>
      <w:marRight w:val="0"/>
      <w:marTop w:val="0"/>
      <w:marBottom w:val="0"/>
      <w:divBdr>
        <w:top w:val="none" w:sz="0" w:space="0" w:color="auto"/>
        <w:left w:val="none" w:sz="0" w:space="0" w:color="auto"/>
        <w:bottom w:val="none" w:sz="0" w:space="0" w:color="auto"/>
        <w:right w:val="none" w:sz="0" w:space="0" w:color="auto"/>
      </w:divBdr>
    </w:div>
    <w:div w:id="1002514384">
      <w:bodyDiv w:val="1"/>
      <w:marLeft w:val="0"/>
      <w:marRight w:val="0"/>
      <w:marTop w:val="0"/>
      <w:marBottom w:val="0"/>
      <w:divBdr>
        <w:top w:val="none" w:sz="0" w:space="0" w:color="auto"/>
        <w:left w:val="none" w:sz="0" w:space="0" w:color="auto"/>
        <w:bottom w:val="none" w:sz="0" w:space="0" w:color="auto"/>
        <w:right w:val="none" w:sz="0" w:space="0" w:color="auto"/>
      </w:divBdr>
      <w:divsChild>
        <w:div w:id="633369222">
          <w:marLeft w:val="0"/>
          <w:marRight w:val="0"/>
          <w:marTop w:val="0"/>
          <w:marBottom w:val="0"/>
          <w:divBdr>
            <w:top w:val="none" w:sz="0" w:space="0" w:color="auto"/>
            <w:left w:val="none" w:sz="0" w:space="0" w:color="auto"/>
            <w:bottom w:val="none" w:sz="0" w:space="0" w:color="auto"/>
            <w:right w:val="none" w:sz="0" w:space="0" w:color="auto"/>
          </w:divBdr>
          <w:divsChild>
            <w:div w:id="894849134">
              <w:marLeft w:val="0"/>
              <w:marRight w:val="0"/>
              <w:marTop w:val="0"/>
              <w:marBottom w:val="0"/>
              <w:divBdr>
                <w:top w:val="none" w:sz="0" w:space="0" w:color="auto"/>
                <w:left w:val="none" w:sz="0" w:space="0" w:color="auto"/>
                <w:bottom w:val="none" w:sz="0" w:space="0" w:color="auto"/>
                <w:right w:val="none" w:sz="0" w:space="0" w:color="auto"/>
              </w:divBdr>
              <w:divsChild>
                <w:div w:id="13830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027968">
      <w:bodyDiv w:val="1"/>
      <w:marLeft w:val="0"/>
      <w:marRight w:val="0"/>
      <w:marTop w:val="0"/>
      <w:marBottom w:val="0"/>
      <w:divBdr>
        <w:top w:val="none" w:sz="0" w:space="0" w:color="auto"/>
        <w:left w:val="none" w:sz="0" w:space="0" w:color="auto"/>
        <w:bottom w:val="none" w:sz="0" w:space="0" w:color="auto"/>
        <w:right w:val="none" w:sz="0" w:space="0" w:color="auto"/>
      </w:divBdr>
    </w:div>
    <w:div w:id="1344942444">
      <w:bodyDiv w:val="1"/>
      <w:marLeft w:val="0"/>
      <w:marRight w:val="0"/>
      <w:marTop w:val="0"/>
      <w:marBottom w:val="0"/>
      <w:divBdr>
        <w:top w:val="none" w:sz="0" w:space="0" w:color="auto"/>
        <w:left w:val="none" w:sz="0" w:space="0" w:color="auto"/>
        <w:bottom w:val="none" w:sz="0" w:space="0" w:color="auto"/>
        <w:right w:val="none" w:sz="0" w:space="0" w:color="auto"/>
      </w:divBdr>
      <w:divsChild>
        <w:div w:id="1813863366">
          <w:marLeft w:val="640"/>
          <w:marRight w:val="0"/>
          <w:marTop w:val="0"/>
          <w:marBottom w:val="0"/>
          <w:divBdr>
            <w:top w:val="none" w:sz="0" w:space="0" w:color="auto"/>
            <w:left w:val="none" w:sz="0" w:space="0" w:color="auto"/>
            <w:bottom w:val="none" w:sz="0" w:space="0" w:color="auto"/>
            <w:right w:val="none" w:sz="0" w:space="0" w:color="auto"/>
          </w:divBdr>
        </w:div>
      </w:divsChild>
    </w:div>
    <w:div w:id="1435981402">
      <w:bodyDiv w:val="1"/>
      <w:marLeft w:val="0"/>
      <w:marRight w:val="0"/>
      <w:marTop w:val="0"/>
      <w:marBottom w:val="0"/>
      <w:divBdr>
        <w:top w:val="none" w:sz="0" w:space="0" w:color="auto"/>
        <w:left w:val="none" w:sz="0" w:space="0" w:color="auto"/>
        <w:bottom w:val="none" w:sz="0" w:space="0" w:color="auto"/>
        <w:right w:val="none" w:sz="0" w:space="0" w:color="auto"/>
      </w:divBdr>
      <w:divsChild>
        <w:div w:id="861895934">
          <w:marLeft w:val="0"/>
          <w:marRight w:val="0"/>
          <w:marTop w:val="0"/>
          <w:marBottom w:val="0"/>
          <w:divBdr>
            <w:top w:val="none" w:sz="0" w:space="0" w:color="auto"/>
            <w:left w:val="none" w:sz="0" w:space="0" w:color="auto"/>
            <w:bottom w:val="none" w:sz="0" w:space="0" w:color="auto"/>
            <w:right w:val="none" w:sz="0" w:space="0" w:color="auto"/>
          </w:divBdr>
          <w:divsChild>
            <w:div w:id="146023224">
              <w:marLeft w:val="0"/>
              <w:marRight w:val="0"/>
              <w:marTop w:val="0"/>
              <w:marBottom w:val="0"/>
              <w:divBdr>
                <w:top w:val="none" w:sz="0" w:space="0" w:color="auto"/>
                <w:left w:val="none" w:sz="0" w:space="0" w:color="auto"/>
                <w:bottom w:val="none" w:sz="0" w:space="0" w:color="auto"/>
                <w:right w:val="none" w:sz="0" w:space="0" w:color="auto"/>
              </w:divBdr>
              <w:divsChild>
                <w:div w:id="4713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09342">
      <w:bodyDiv w:val="1"/>
      <w:marLeft w:val="0"/>
      <w:marRight w:val="0"/>
      <w:marTop w:val="0"/>
      <w:marBottom w:val="0"/>
      <w:divBdr>
        <w:top w:val="none" w:sz="0" w:space="0" w:color="auto"/>
        <w:left w:val="none" w:sz="0" w:space="0" w:color="auto"/>
        <w:bottom w:val="none" w:sz="0" w:space="0" w:color="auto"/>
        <w:right w:val="none" w:sz="0" w:space="0" w:color="auto"/>
      </w:divBdr>
    </w:div>
    <w:div w:id="1764178830">
      <w:bodyDiv w:val="1"/>
      <w:marLeft w:val="0"/>
      <w:marRight w:val="0"/>
      <w:marTop w:val="0"/>
      <w:marBottom w:val="0"/>
      <w:divBdr>
        <w:top w:val="none" w:sz="0" w:space="0" w:color="auto"/>
        <w:left w:val="none" w:sz="0" w:space="0" w:color="auto"/>
        <w:bottom w:val="none" w:sz="0" w:space="0" w:color="auto"/>
        <w:right w:val="none" w:sz="0" w:space="0" w:color="auto"/>
      </w:divBdr>
    </w:div>
    <w:div w:id="1887178588">
      <w:bodyDiv w:val="1"/>
      <w:marLeft w:val="0"/>
      <w:marRight w:val="0"/>
      <w:marTop w:val="0"/>
      <w:marBottom w:val="0"/>
      <w:divBdr>
        <w:top w:val="none" w:sz="0" w:space="0" w:color="auto"/>
        <w:left w:val="none" w:sz="0" w:space="0" w:color="auto"/>
        <w:bottom w:val="none" w:sz="0" w:space="0" w:color="auto"/>
        <w:right w:val="none" w:sz="0" w:space="0" w:color="auto"/>
      </w:divBdr>
    </w:div>
    <w:div w:id="1981953601">
      <w:bodyDiv w:val="1"/>
      <w:marLeft w:val="0"/>
      <w:marRight w:val="0"/>
      <w:marTop w:val="0"/>
      <w:marBottom w:val="0"/>
      <w:divBdr>
        <w:top w:val="none" w:sz="0" w:space="0" w:color="auto"/>
        <w:left w:val="none" w:sz="0" w:space="0" w:color="auto"/>
        <w:bottom w:val="none" w:sz="0" w:space="0" w:color="auto"/>
        <w:right w:val="none" w:sz="0" w:space="0" w:color="auto"/>
      </w:divBdr>
    </w:div>
    <w:div w:id="1989555321">
      <w:bodyDiv w:val="1"/>
      <w:marLeft w:val="0"/>
      <w:marRight w:val="0"/>
      <w:marTop w:val="0"/>
      <w:marBottom w:val="0"/>
      <w:divBdr>
        <w:top w:val="none" w:sz="0" w:space="0" w:color="auto"/>
        <w:left w:val="none" w:sz="0" w:space="0" w:color="auto"/>
        <w:bottom w:val="none" w:sz="0" w:space="0" w:color="auto"/>
        <w:right w:val="none" w:sz="0" w:space="0" w:color="auto"/>
      </w:divBdr>
    </w:div>
    <w:div w:id="1997761601">
      <w:bodyDiv w:val="1"/>
      <w:marLeft w:val="0"/>
      <w:marRight w:val="0"/>
      <w:marTop w:val="0"/>
      <w:marBottom w:val="0"/>
      <w:divBdr>
        <w:top w:val="none" w:sz="0" w:space="0" w:color="auto"/>
        <w:left w:val="none" w:sz="0" w:space="0" w:color="auto"/>
        <w:bottom w:val="none" w:sz="0" w:space="0" w:color="auto"/>
        <w:right w:val="none" w:sz="0" w:space="0" w:color="auto"/>
      </w:divBdr>
    </w:div>
    <w:div w:id="2076734607">
      <w:bodyDiv w:val="1"/>
      <w:marLeft w:val="0"/>
      <w:marRight w:val="0"/>
      <w:marTop w:val="0"/>
      <w:marBottom w:val="0"/>
      <w:divBdr>
        <w:top w:val="none" w:sz="0" w:space="0" w:color="auto"/>
        <w:left w:val="none" w:sz="0" w:space="0" w:color="auto"/>
        <w:bottom w:val="none" w:sz="0" w:space="0" w:color="auto"/>
        <w:right w:val="none" w:sz="0" w:space="0" w:color="auto"/>
      </w:divBdr>
    </w:div>
    <w:div w:id="2092774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0047587-5925-2849-94B5-8289B14ABA10}">
  <we:reference id="wa104382081" version="1.21.0.0" store="en-001" storeType="OMEX"/>
  <we:alternateReferences>
    <we:reference id="wa104382081" version="1.21.0.0" store="" storeType="OMEX"/>
  </we:alternateReferences>
  <we:properties>
    <we:property name="MENDELEY_CITATIONS" value="[{&quot;citationID&quot;:&quot;MENDELEY_CITATION_dc44883b-04dc-4395-98a8-608b3558b85d&quot;,&quot;citationItems&quot;:[{&quot;id&quot;:&quot;c332954c-a3c7-30e5-bae4-9e3c336a281f&quot;,&quot;itemData&quot;:{&quot;type&quot;:&quot;paper-conference&quot;,&quot;id&quot;:&quot;c332954c-a3c7-30e5-bae4-9e3c336a281f&quot;,&quot;title&quot;:&quot;A longitudinal supra-inguinal fascia iliaca compartment block reduces morphine consumption after total hip arthroplasty&quot;,&quot;author&quot;:[{&quot;family&quot;:&quot;Desmet&quot;,&quot;given&quot;:&quot;Matthias&quot;,&quot;parse-names&quot;:false,&quot;dropping-particle&quot;:&quot;&quot;,&quot;non-dropping-particle&quot;:&quot;&quot;},{&quot;family&quot;:&quot;Vermeylen&quot;,&quot;given&quot;:&quot;Kris&quot;,&quot;parse-names&quot;:false,&quot;dropping-particle&quot;:&quot;&quot;,&quot;non-dropping-particle&quot;:&quot;&quot;},{&quot;family&quot;:&quot;Herreweghe&quot;,&quot;given&quot;:&quot;Imré&quot;,&quot;parse-names&quot;:false,&quot;dropping-particle&quot;:&quot;van&quot;,&quot;non-dropping-particle&quot;:&quot;&quot;},{&quot;family&quot;:&quot;Carlier&quot;,&quot;given&quot;:&quot;Laurence&quot;,&quot;parse-names&quot;:false,&quot;dropping-particle&quot;:&quot;&quot;,&quot;non-dropping-particle&quot;:&quot;&quot;},{&quot;family&quot;:&quot;Soetens&quot;,&quot;given&quot;:&quot;Filiep&quot;,&quot;parse-names&quot;:false,&quot;dropping-particle&quot;:&quot;&quot;,&quot;non-dropping-particle&quot;:&quot;&quot;},{&quot;family&quot;:&quot;Lambrecht&quot;,&quot;given&quot;:&quot;Stijn&quot;,&quot;parse-names&quot;:false,&quot;dropping-particle&quot;:&quot;&quot;,&quot;non-dropping-particle&quot;:&quot;&quot;},{&quot;family&quot;:&quot;Croes&quot;,&quot;given&quot;:&quot;Kathleen&quot;,&quot;parse-names&quot;:false,&quot;dropping-particle&quot;:&quot;&quot;,&quot;non-dropping-particle&quot;:&quot;&quot;},{&quot;family&quot;:&quot;Pottel&quot;,&quot;given&quot;:&quot;Hans&quot;,&quot;parse-names&quot;:false,&quot;dropping-particle&quot;:&quot;&quot;,&quot;non-dropping-particle&quot;:&quot;&quot;},{&quot;family&quot;:&quot;Velde&quot;,&quot;given&quot;:&quot;Marc&quot;,&quot;parse-names&quot;:false,&quot;dropping-particle&quot;:&quot;&quot;,&quot;non-dropping-particle&quot;:&quot;van de&quot;}],&quot;container-title&quot;:&quot;Regional Anesthesia and Pain Medicine&quot;,&quot;accessed&quot;:{&quot;date-parts&quot;:[[2021,3,7]]},&quot;DOI&quot;:&quot;10.1097/AAP.0000000000000543&quot;,&quot;ISSN&quot;:&quot;15328651&quot;,&quot;PMID&quot;:&quot;28059869&quot;,&quot;URL&quot;:&quot;https://pubmed.ncbi.nlm.nih.gov/28059869/&quot;,&quot;issued&quot;:{&quot;date-parts&quot;:[[2017]]},&quot;page&quot;:&quot;327-333&quot;,&quot;abstract&quot;:&quot;Background and Objectives: The role of a fascia iliaca compartment block (FICB) for postoperative analgesia after total hip arthroplasty (THA) remains questionable. High-dose local anesthetics and a proximal injection site may be essential for successful analgesia. High-dose local anesthetics may pose a risk for local anesthetic systemic toxicity.We hypothesized that a high-dose longitudinal supra-inguinal FICB is safe and decreases postoperative morphine consumption after anterior approach THA. Methods: We conducted a prospective, double blind, randomized controlled trial. Patients scheduled for THA were randomized to group FICB (longitudinal supra-inguinal FICB with 40-mL ropivacaine 0.5%) or group C (control, no block). Standard hypothesis tests (t test or Mann-Whitney U test, χ2 test) were performed to analyze baseline characteristics and outcome parameters. The primary end point of the study was total morphine (mg) consumption at 24 hours postoperatively. Serial total and free ropivacaine serum levels were determined in 10 patients. Results: After obtaining ethical committee approval and written informed consent, 88 patients were included. Mean (SD) morphine consumption at 24 hours postoperatively was reduced in group FICB compared to group C: 10.25 (1.64) mg versus 19.0 (2.4) mg (P = 0.004). Using a mean dose of 2.6-mg/kg ropivacaine (range, 2-3.4mg/kg), none of the patients had total or free ropivacaine levels above the maximum tolerated serumconcentration. Conclusions: We conclude that a high-dose longitudinal suprainguinal FICB reduces postoperative morphine requirements after anterior approach THA.&quot;,&quot;publisher&quot;:&quot;Lippincott Williams and Wilkins&quot;,&quot;issue&quot;:&quot;3&quot;,&quot;volume&quot;:&quot;42&quot;},&quot;isTemporary&quot;:false}],&quot;properties&quot;:{&quot;noteIndex&quot;:0},&quot;isEdited&quot;:false,&quot;manualOverride&quot;:{&quot;isManuallyOverriden&quot;:false,&quot;citeprocText&quot;:&quot;&lt;sup&gt;1&lt;/sup&gt;&quot;,&quot;manualOverrideText&quot;:&quot;&quot;},&quot;citationTag&quot;:&quot;MENDELEY_CITATION_{\&quot;citationID\&quot;:\&quot;MENDELEY_CITATION_dc44883b-04dc-4395-98a8-608b3558b85d\&quot;,\&quot;citationItems\&quot;:[{\&quot;id\&quot;:\&quot;c332954c-a3c7-30e5-bae4-9e3c336a281f\&quot;,\&quot;itemData\&quot;:{\&quot;type\&quot;:\&quot;paper-conference\&quot;,\&quot;id\&quot;:\&quot;c332954c-a3c7-30e5-bae4-9e3c336a281f\&quot;,\&quot;title\&quot;:\&quot;A longitudinal supra-inguinal fascia iliaca compartment block reduces morphine consumption after total hip arthroplasty\&quot;,\&quot;author\&quot;:[{\&quot;family\&quot;:\&quot;Desmet\&quot;,\&quot;given\&quot;:\&quot;Matthias\&quot;,\&quot;parse-names\&quot;:false,\&quot;dropping-particle\&quot;:\&quot;\&quot;,\&quot;non-dropping-particle\&quot;:\&quot;\&quot;},{\&quot;family\&quot;:\&quot;Vermeylen\&quot;,\&quot;given\&quot;:\&quot;Kris\&quot;,\&quot;parse-names\&quot;:false,\&quot;dropping-particle\&quot;:\&quot;\&quot;,\&quot;non-dropping-particle\&quot;:\&quot;\&quot;},{\&quot;family\&quot;:\&quot;Herreweghe\&quot;,\&quot;given\&quot;:\&quot;Imré\&quot;,\&quot;parse-names\&quot;:false,\&quot;dropping-particle\&quot;:\&quot;van\&quot;,\&quot;non-dropping-particle\&quot;:\&quot;\&quot;},{\&quot;family\&quot;:\&quot;Carlier\&quot;,\&quot;given\&quot;:\&quot;Laurence\&quot;,\&quot;parse-names\&quot;:false,\&quot;dropping-particle\&quot;:\&quot;\&quot;,\&quot;non-dropping-particle\&quot;:\&quot;\&quot;},{\&quot;family\&quot;:\&quot;Soetens\&quot;,\&quot;given\&quot;:\&quot;Filiep\&quot;,\&quot;parse-names\&quot;:false,\&quot;dropping-particle\&quot;:\&quot;\&quot;,\&quot;non-dropping-particle\&quot;:\&quot;\&quot;},{\&quot;family\&quot;:\&quot;Lambrecht\&quot;,\&quot;given\&quot;:\&quot;Stijn\&quot;,\&quot;parse-names\&quot;:false,\&quot;dropping-particle\&quot;:\&quot;\&quot;,\&quot;non-dropping-particle\&quot;:\&quot;\&quot;},{\&quot;family\&quot;:\&quot;Croes\&quot;,\&quot;given\&quot;:\&quot;Kathleen\&quot;,\&quot;parse-names\&quot;:false,\&quot;dropping-particle\&quot;:\&quot;\&quot;,\&quot;non-dropping-particle\&quot;:\&quot;\&quot;},{\&quot;family\&quot;:\&quot;Pottel\&quot;,\&quot;given\&quot;:\&quot;Hans\&quot;,\&quot;parse-names\&quot;:false,\&quot;dropping-particle\&quot;:\&quot;\&quot;,\&quot;non-dropping-particle\&quot;:\&quot;\&quot;},{\&quot;family\&quot;:\&quot;Velde\&quot;,\&quot;given\&quot;:\&quot;Marc\&quot;,\&quot;parse-names\&quot;:false,\&quot;dropping-particle\&quot;:\&quot;\&quot;,\&quot;non-dropping-particle\&quot;:\&quot;van de\&quot;}],\&quot;container-title\&quot;:\&quot;Regional Anesthesia and Pain Medicine\&quot;,\&quot;accessed\&quot;:{\&quot;date-parts\&quot;:[[2021,3,7]]},\&quot;DOI\&quot;:\&quot;10.1097/AAP.0000000000000543\&quot;,\&quot;ISSN\&quot;:\&quot;15328651\&quot;,\&quot;PMID\&quot;:\&quot;28059869\&quot;,\&quot;URL\&quot;:\&quot;https://pubmed.ncbi.nlm.nih.gov/28059869/\&quot;,\&quot;issued\&quot;:{\&quot;date-parts\&quot;:[[2017]]},\&quot;page\&quot;:\&quot;327-333\&quot;,\&quot;abstract\&quot;:\&quot;Background and Objectives: The role of a fascia iliaca compartment block (FICB) for postoperative analgesia after total hip arthroplasty (THA) remains questionable. High-dose local anesthetics and a proximal injection site may be essential for successful analgesia. High-dose local anesthetics may pose a risk for local anesthetic systemic toxicity.We hypothesized that a high-dose longitudinal supra-inguinal FICB is safe and decreases postoperative morphine consumption after anterior approach THA. Methods: We conducted a prospective, double blind, randomized controlled trial. Patients scheduled for THA were randomized to group FICB (longitudinal supra-inguinal FICB with 40-mL ropivacaine 0.5%) or group C (control, no block). Standard hypothesis tests (t test or Mann-Whitney U test, χ2 test) were performed to analyze baseline characteristics and outcome parameters. The primary end point of the study was total morphine (mg) consumption at 24 hours postoperatively. Serial total and free ropivacaine serum levels were determined in 10 patients. Results: After obtaining ethical committee approval and written informed consent, 88 patients were included. Mean (SD) morphine consumption at 24 hours postoperatively was reduced in group FICB compared to group C: 10.25 (1.64) mg versus 19.0 (2.4) mg (P = 0.004). Using a mean dose of 2.6-mg/kg ropivacaine (range, 2-3.4mg/kg), none of the patients had total or free ropivacaine levels above the maximum tolerated serumconcentration. Conclusions: We conclude that a high-dose longitudinal suprainguinal FICB reduces postoperative morphine requirements after anterior approach THA.\&quot;,\&quot;publisher\&quot;:\&quot;Lippincott Williams and Wilkins\&quot;,\&quot;issue\&quot;:\&quot;3\&quot;,\&quot;volume\&quot;:\&quot;42\&quot;},\&quot;isTemporary\&quot;:false}],\&quot;properties\&quot;:{\&quot;noteIndex\&quot;:0},\&quot;isEdited\&quot;:false,\&quot;manualOverride\&quot;:{\&quot;isManuallyOverriden\&quot;:false,\&quot;citeprocText\&quot;:\&quot;&lt;sup&gt;1&lt;/sup&gt;\&quot;,\&quot;manualOverrideText\&quot;:\&quot;\&quot;}}&quot;}]"/>
    <we:property name="MENDELEY_CITATIONS_STYLE" value="&quot;https://www.zotero.org/styles/american-medical-association&quot;"/>
    <we:property name="MENDELEY_PROFILE_ID" value="&quot;58071ff4f8ee890b5255bc891d51a24561a308c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C7E84-D547-BF4B-AE1E-AD98EA9BA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521</Words>
  <Characters>2973</Characters>
  <Application>Microsoft Office Word</Application>
  <DocSecurity>0</DocSecurity>
  <Lines>24</Lines>
  <Paragraphs>6</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Carella</dc:creator>
  <cp:keywords/>
  <cp:lastModifiedBy>Michele Carella</cp:lastModifiedBy>
  <cp:revision>11</cp:revision>
  <dcterms:created xsi:type="dcterms:W3CDTF">2022-11-17T09:59:00Z</dcterms:created>
  <dcterms:modified xsi:type="dcterms:W3CDTF">2022-12-09T09:50:00Z</dcterms:modified>
</cp:coreProperties>
</file>