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B27A" w14:textId="0A845A6A" w:rsidR="0026125D" w:rsidRDefault="00C675DC" w:rsidP="00AB28BA">
      <w:pPr>
        <w:spacing w:after="0" w:line="480" w:lineRule="auto"/>
        <w:jc w:val="both"/>
        <w:rPr>
          <w:rFonts w:ascii="Times New Roman" w:hAnsi="Times New Roman" w:cs="Times New Roman"/>
          <w:b/>
          <w:bCs/>
          <w:sz w:val="24"/>
          <w:szCs w:val="24"/>
          <w:lang w:val="en-GB"/>
        </w:rPr>
      </w:pPr>
      <w:bookmarkStart w:id="0" w:name="_Hlk124450733"/>
      <w:r w:rsidRPr="00E60813">
        <w:rPr>
          <w:rFonts w:ascii="Times New Roman" w:hAnsi="Times New Roman" w:cs="Times New Roman"/>
          <w:b/>
          <w:bCs/>
          <w:sz w:val="24"/>
          <w:szCs w:val="24"/>
          <w:lang w:val="en-GB"/>
        </w:rPr>
        <w:t>Defining biological remission in Crohn’s disease</w:t>
      </w:r>
      <w:bookmarkEnd w:id="0"/>
      <w:r w:rsidRPr="00E60813">
        <w:rPr>
          <w:rFonts w:ascii="Times New Roman" w:hAnsi="Times New Roman" w:cs="Times New Roman"/>
          <w:b/>
          <w:bCs/>
          <w:sz w:val="24"/>
          <w:szCs w:val="24"/>
          <w:lang w:val="en-GB"/>
        </w:rPr>
        <w:t xml:space="preserve">: interest, </w:t>
      </w:r>
      <w:r w:rsidR="00574641">
        <w:rPr>
          <w:rFonts w:ascii="Times New Roman" w:hAnsi="Times New Roman" w:cs="Times New Roman"/>
          <w:b/>
          <w:bCs/>
          <w:sz w:val="24"/>
          <w:szCs w:val="24"/>
          <w:lang w:val="en-GB"/>
        </w:rPr>
        <w:t>challenges</w:t>
      </w:r>
      <w:r w:rsidR="00DA0807">
        <w:rPr>
          <w:rFonts w:ascii="Times New Roman" w:hAnsi="Times New Roman" w:cs="Times New Roman"/>
          <w:b/>
          <w:bCs/>
          <w:sz w:val="24"/>
          <w:szCs w:val="24"/>
          <w:lang w:val="en-GB"/>
        </w:rPr>
        <w:t xml:space="preserve"> and future directions</w:t>
      </w:r>
    </w:p>
    <w:p w14:paraId="75EB6306" w14:textId="77777777" w:rsidR="00A65838" w:rsidRDefault="00A65838" w:rsidP="00AB28BA">
      <w:pPr>
        <w:spacing w:after="0" w:line="480" w:lineRule="auto"/>
        <w:jc w:val="both"/>
        <w:rPr>
          <w:rFonts w:ascii="Times New Roman" w:hAnsi="Times New Roman" w:cs="Times New Roman"/>
          <w:b/>
          <w:bCs/>
          <w:sz w:val="24"/>
          <w:szCs w:val="24"/>
          <w:lang w:val="en-GB"/>
        </w:rPr>
      </w:pPr>
    </w:p>
    <w:p w14:paraId="74DED8D2" w14:textId="14F77FB8" w:rsidR="0026125D" w:rsidRPr="00C54D13" w:rsidRDefault="0026125D" w:rsidP="00AB28BA">
      <w:pPr>
        <w:spacing w:after="0" w:line="480" w:lineRule="auto"/>
        <w:jc w:val="both"/>
        <w:rPr>
          <w:rFonts w:ascii="Times New Roman" w:hAnsi="Times New Roman" w:cs="Times New Roman"/>
          <w:sz w:val="24"/>
          <w:szCs w:val="24"/>
        </w:rPr>
      </w:pPr>
      <w:r w:rsidRPr="00C54D13">
        <w:rPr>
          <w:rFonts w:ascii="Times New Roman" w:hAnsi="Times New Roman" w:cs="Times New Roman"/>
          <w:sz w:val="24"/>
          <w:szCs w:val="24"/>
        </w:rPr>
        <w:t>Nicolas Pierre</w:t>
      </w:r>
      <w:r w:rsidRPr="00C54D13">
        <w:rPr>
          <w:rFonts w:ascii="Times New Roman" w:hAnsi="Times New Roman" w:cs="Times New Roman"/>
          <w:sz w:val="24"/>
          <w:szCs w:val="24"/>
          <w:vertAlign w:val="superscript"/>
        </w:rPr>
        <w:t>1</w:t>
      </w:r>
      <w:r w:rsidRPr="00C54D13">
        <w:rPr>
          <w:rFonts w:ascii="Times New Roman" w:hAnsi="Times New Roman" w:cs="Times New Roman"/>
          <w:sz w:val="24"/>
          <w:szCs w:val="24"/>
        </w:rPr>
        <w:t>, Sophie Vieujean</w:t>
      </w:r>
      <w:r w:rsidRPr="00C54D13">
        <w:rPr>
          <w:rFonts w:ascii="Times New Roman" w:hAnsi="Times New Roman" w:cs="Times New Roman"/>
          <w:sz w:val="24"/>
          <w:szCs w:val="24"/>
          <w:vertAlign w:val="superscript"/>
        </w:rPr>
        <w:t>1,2</w:t>
      </w:r>
      <w:r w:rsidRPr="00C54D13">
        <w:rPr>
          <w:rFonts w:ascii="Times New Roman" w:hAnsi="Times New Roman" w:cs="Times New Roman"/>
          <w:sz w:val="24"/>
          <w:szCs w:val="24"/>
        </w:rPr>
        <w:t>, Laurent Peyrin-Biroulet</w:t>
      </w:r>
      <w:r w:rsidRPr="00C54D13">
        <w:rPr>
          <w:rFonts w:ascii="Times New Roman" w:hAnsi="Times New Roman" w:cs="Times New Roman"/>
          <w:sz w:val="24"/>
          <w:szCs w:val="24"/>
          <w:vertAlign w:val="superscript"/>
        </w:rPr>
        <w:t>3</w:t>
      </w:r>
      <w:r w:rsidRPr="00C54D13">
        <w:rPr>
          <w:rFonts w:ascii="Times New Roman" w:hAnsi="Times New Roman" w:cs="Times New Roman"/>
          <w:sz w:val="24"/>
          <w:szCs w:val="24"/>
        </w:rPr>
        <w:t>, Marie-Alice Meuwis</w:t>
      </w:r>
      <w:r w:rsidRPr="00C54D13">
        <w:rPr>
          <w:rFonts w:ascii="Times New Roman" w:hAnsi="Times New Roman" w:cs="Times New Roman"/>
          <w:sz w:val="24"/>
          <w:szCs w:val="24"/>
          <w:vertAlign w:val="superscript"/>
        </w:rPr>
        <w:t>1,2,#</w:t>
      </w:r>
      <w:r w:rsidRPr="00C54D13">
        <w:rPr>
          <w:rFonts w:ascii="Times New Roman" w:hAnsi="Times New Roman" w:cs="Times New Roman"/>
          <w:sz w:val="24"/>
          <w:szCs w:val="24"/>
        </w:rPr>
        <w:t>, Edouard Louis</w:t>
      </w:r>
      <w:r w:rsidRPr="00C54D13">
        <w:rPr>
          <w:rFonts w:ascii="Times New Roman" w:hAnsi="Times New Roman" w:cs="Times New Roman"/>
          <w:sz w:val="24"/>
          <w:szCs w:val="24"/>
          <w:vertAlign w:val="superscript"/>
        </w:rPr>
        <w:t>1,2,#</w:t>
      </w:r>
    </w:p>
    <w:p w14:paraId="2430DCB6" w14:textId="77777777" w:rsidR="0026125D" w:rsidRPr="00C54D13" w:rsidRDefault="0026125D" w:rsidP="00AB28BA">
      <w:pPr>
        <w:spacing w:after="0" w:line="480" w:lineRule="auto"/>
        <w:jc w:val="both"/>
        <w:rPr>
          <w:rFonts w:ascii="Times New Roman" w:hAnsi="Times New Roman" w:cs="Times New Roman"/>
          <w:sz w:val="24"/>
          <w:szCs w:val="24"/>
        </w:rPr>
      </w:pPr>
    </w:p>
    <w:p w14:paraId="019005AB" w14:textId="7BF66395" w:rsidR="0026125D" w:rsidRPr="00C54D13" w:rsidRDefault="0026125D" w:rsidP="00076049">
      <w:pPr>
        <w:spacing w:after="0" w:line="480" w:lineRule="auto"/>
        <w:jc w:val="both"/>
        <w:rPr>
          <w:rFonts w:ascii="Times New Roman" w:hAnsi="Times New Roman" w:cs="Times New Roman"/>
          <w:sz w:val="24"/>
          <w:szCs w:val="24"/>
          <w:lang w:val="en-GB"/>
        </w:rPr>
      </w:pPr>
      <w:r w:rsidRPr="00C54D13">
        <w:rPr>
          <w:rFonts w:ascii="Times New Roman" w:hAnsi="Times New Roman" w:cs="Times New Roman"/>
          <w:sz w:val="24"/>
          <w:szCs w:val="24"/>
          <w:vertAlign w:val="superscript"/>
          <w:lang w:val="en-GB"/>
        </w:rPr>
        <w:t>1</w:t>
      </w:r>
      <w:r w:rsidRPr="00C54D13">
        <w:rPr>
          <w:rFonts w:ascii="Times New Roman" w:hAnsi="Times New Roman" w:cs="Times New Roman"/>
          <w:sz w:val="24"/>
          <w:szCs w:val="24"/>
          <w:lang w:val="en-GB"/>
        </w:rPr>
        <w:t>Laboratory of Translational Gastroenterology, GIGA-institute, University of Li</w:t>
      </w:r>
      <w:r w:rsidR="00F23D2A" w:rsidRPr="00C54D13">
        <w:rPr>
          <w:rFonts w:ascii="Times New Roman" w:hAnsi="Times New Roman" w:cs="Times New Roman"/>
          <w:sz w:val="24"/>
          <w:szCs w:val="24"/>
          <w:lang w:val="en-GB"/>
        </w:rPr>
        <w:t>è</w:t>
      </w:r>
      <w:r w:rsidRPr="00C54D13">
        <w:rPr>
          <w:rFonts w:ascii="Times New Roman" w:hAnsi="Times New Roman" w:cs="Times New Roman"/>
          <w:sz w:val="24"/>
          <w:szCs w:val="24"/>
          <w:lang w:val="en-GB"/>
        </w:rPr>
        <w:t>ge, Li</w:t>
      </w:r>
      <w:r w:rsidR="003B6247" w:rsidRPr="00C54D13">
        <w:rPr>
          <w:rFonts w:ascii="Times New Roman" w:hAnsi="Times New Roman" w:cs="Times New Roman"/>
          <w:sz w:val="24"/>
          <w:szCs w:val="24"/>
          <w:lang w:val="en-GB"/>
        </w:rPr>
        <w:t>è</w:t>
      </w:r>
      <w:r w:rsidRPr="00C54D13">
        <w:rPr>
          <w:rFonts w:ascii="Times New Roman" w:hAnsi="Times New Roman" w:cs="Times New Roman"/>
          <w:sz w:val="24"/>
          <w:szCs w:val="24"/>
          <w:lang w:val="en-GB"/>
        </w:rPr>
        <w:t xml:space="preserve">ge, Belgium; </w:t>
      </w:r>
      <w:r w:rsidRPr="00C54D13">
        <w:rPr>
          <w:rFonts w:ascii="Times New Roman" w:hAnsi="Times New Roman" w:cs="Times New Roman"/>
          <w:sz w:val="24"/>
          <w:szCs w:val="24"/>
          <w:vertAlign w:val="superscript"/>
          <w:lang w:val="en-GB"/>
        </w:rPr>
        <w:t>2</w:t>
      </w:r>
      <w:r w:rsidRPr="00C54D13">
        <w:rPr>
          <w:rFonts w:ascii="Times New Roman" w:hAnsi="Times New Roman" w:cs="Times New Roman"/>
          <w:sz w:val="24"/>
          <w:szCs w:val="24"/>
          <w:lang w:val="en-GB"/>
        </w:rPr>
        <w:t>Departement of Hepato-Gastroenterology and Digestive Oncology, Li</w:t>
      </w:r>
      <w:r w:rsidR="003B6247" w:rsidRPr="00C54D13">
        <w:rPr>
          <w:rFonts w:ascii="Times New Roman" w:hAnsi="Times New Roman" w:cs="Times New Roman"/>
          <w:sz w:val="24"/>
          <w:szCs w:val="24"/>
          <w:lang w:val="en-GB"/>
        </w:rPr>
        <w:t>è</w:t>
      </w:r>
      <w:r w:rsidRPr="00C54D13">
        <w:rPr>
          <w:rFonts w:ascii="Times New Roman" w:hAnsi="Times New Roman" w:cs="Times New Roman"/>
          <w:sz w:val="24"/>
          <w:szCs w:val="24"/>
          <w:lang w:val="en-GB"/>
        </w:rPr>
        <w:t>ge University Hospital, Li</w:t>
      </w:r>
      <w:r w:rsidR="003B6247" w:rsidRPr="00C54D13">
        <w:rPr>
          <w:rFonts w:ascii="Times New Roman" w:hAnsi="Times New Roman" w:cs="Times New Roman"/>
          <w:sz w:val="24"/>
          <w:szCs w:val="24"/>
          <w:lang w:val="en-GB"/>
        </w:rPr>
        <w:t>è</w:t>
      </w:r>
      <w:r w:rsidRPr="00C54D13">
        <w:rPr>
          <w:rFonts w:ascii="Times New Roman" w:hAnsi="Times New Roman" w:cs="Times New Roman"/>
          <w:sz w:val="24"/>
          <w:szCs w:val="24"/>
          <w:lang w:val="en-GB"/>
        </w:rPr>
        <w:t xml:space="preserve">ge, Belgium; </w:t>
      </w:r>
      <w:r w:rsidRPr="00C54D13">
        <w:rPr>
          <w:rFonts w:ascii="Times New Roman" w:hAnsi="Times New Roman" w:cs="Times New Roman"/>
          <w:sz w:val="24"/>
          <w:szCs w:val="24"/>
          <w:vertAlign w:val="superscript"/>
          <w:lang w:val="en-GB"/>
        </w:rPr>
        <w:t>3</w:t>
      </w:r>
      <w:r w:rsidRPr="00C54D13">
        <w:rPr>
          <w:rFonts w:ascii="Times New Roman" w:hAnsi="Times New Roman" w:cs="Times New Roman"/>
          <w:sz w:val="24"/>
          <w:szCs w:val="24"/>
          <w:lang w:val="en-GB"/>
        </w:rPr>
        <w:t xml:space="preserve">Department of Gastroenterology and </w:t>
      </w:r>
      <w:proofErr w:type="spellStart"/>
      <w:r w:rsidRPr="00C54D13">
        <w:rPr>
          <w:rFonts w:ascii="Times New Roman" w:hAnsi="Times New Roman" w:cs="Times New Roman"/>
          <w:sz w:val="24"/>
          <w:szCs w:val="24"/>
          <w:lang w:val="en-GB"/>
        </w:rPr>
        <w:t>Inserm</w:t>
      </w:r>
      <w:proofErr w:type="spellEnd"/>
      <w:r w:rsidRPr="00C54D13">
        <w:rPr>
          <w:rFonts w:ascii="Times New Roman" w:hAnsi="Times New Roman" w:cs="Times New Roman"/>
          <w:sz w:val="24"/>
          <w:szCs w:val="24"/>
          <w:lang w:val="en-GB"/>
        </w:rPr>
        <w:t xml:space="preserve"> NGERE U1256, University Hospital of Nancy, University of Lorraine, </w:t>
      </w:r>
      <w:proofErr w:type="spellStart"/>
      <w:r w:rsidRPr="00C54D13">
        <w:rPr>
          <w:rFonts w:ascii="Times New Roman" w:hAnsi="Times New Roman" w:cs="Times New Roman"/>
          <w:sz w:val="24"/>
          <w:szCs w:val="24"/>
          <w:lang w:val="en-GB"/>
        </w:rPr>
        <w:t>Vandoeuvre</w:t>
      </w:r>
      <w:proofErr w:type="spellEnd"/>
      <w:r w:rsidRPr="00C54D13">
        <w:rPr>
          <w:rFonts w:ascii="Times New Roman" w:hAnsi="Times New Roman" w:cs="Times New Roman"/>
          <w:sz w:val="24"/>
          <w:szCs w:val="24"/>
          <w:lang w:val="en-GB"/>
        </w:rPr>
        <w:t>-</w:t>
      </w:r>
      <w:proofErr w:type="spellStart"/>
      <w:r w:rsidRPr="00C54D13">
        <w:rPr>
          <w:rFonts w:ascii="Times New Roman" w:hAnsi="Times New Roman" w:cs="Times New Roman"/>
          <w:sz w:val="24"/>
          <w:szCs w:val="24"/>
          <w:lang w:val="en-GB"/>
        </w:rPr>
        <w:t>lès</w:t>
      </w:r>
      <w:proofErr w:type="spellEnd"/>
      <w:r w:rsidRPr="00C54D13">
        <w:rPr>
          <w:rFonts w:ascii="Times New Roman" w:hAnsi="Times New Roman" w:cs="Times New Roman"/>
          <w:sz w:val="24"/>
          <w:szCs w:val="24"/>
          <w:lang w:val="en-GB"/>
        </w:rPr>
        <w:t xml:space="preserve">-Nancy, France. </w:t>
      </w:r>
    </w:p>
    <w:p w14:paraId="6E72126C" w14:textId="5B72182A" w:rsidR="0026125D" w:rsidRDefault="0026125D" w:rsidP="00076049">
      <w:pPr>
        <w:spacing w:after="0" w:line="480" w:lineRule="auto"/>
        <w:jc w:val="both"/>
        <w:rPr>
          <w:rFonts w:ascii="Times New Roman" w:hAnsi="Times New Roman" w:cs="Times New Roman"/>
          <w:i/>
          <w:sz w:val="24"/>
          <w:szCs w:val="24"/>
          <w:lang w:val="en-GB"/>
        </w:rPr>
      </w:pPr>
      <w:r w:rsidRPr="00C54D13">
        <w:rPr>
          <w:rFonts w:ascii="Times New Roman" w:hAnsi="Times New Roman" w:cs="Times New Roman"/>
          <w:sz w:val="24"/>
          <w:szCs w:val="24"/>
          <w:vertAlign w:val="superscript"/>
          <w:lang w:val="en-GB"/>
        </w:rPr>
        <w:t>#</w:t>
      </w:r>
      <w:r w:rsidRPr="00C54D13">
        <w:rPr>
          <w:rFonts w:ascii="Times New Roman" w:hAnsi="Times New Roman" w:cs="Times New Roman"/>
          <w:sz w:val="24"/>
          <w:szCs w:val="24"/>
          <w:lang w:val="en-GB"/>
        </w:rPr>
        <w:t xml:space="preserve"> </w:t>
      </w:r>
      <w:r w:rsidRPr="00C54D13">
        <w:rPr>
          <w:rFonts w:ascii="Times New Roman" w:hAnsi="Times New Roman" w:cs="Times New Roman"/>
          <w:i/>
          <w:sz w:val="24"/>
          <w:szCs w:val="24"/>
          <w:lang w:val="en-GB"/>
        </w:rPr>
        <w:t>Contributed equally</w:t>
      </w:r>
    </w:p>
    <w:p w14:paraId="4315DCA6" w14:textId="4CC92A97" w:rsidR="00330F69" w:rsidRDefault="00330F69" w:rsidP="00076049">
      <w:pPr>
        <w:spacing w:after="0" w:line="480" w:lineRule="auto"/>
        <w:jc w:val="both"/>
        <w:rPr>
          <w:rFonts w:ascii="Times New Roman" w:hAnsi="Times New Roman" w:cs="Times New Roman"/>
          <w:i/>
          <w:sz w:val="24"/>
          <w:szCs w:val="24"/>
          <w:lang w:val="en-GB"/>
        </w:rPr>
      </w:pPr>
    </w:p>
    <w:p w14:paraId="5C73C828" w14:textId="073FE039" w:rsidR="002D1168" w:rsidRPr="006D4064" w:rsidRDefault="002D1168" w:rsidP="00076049">
      <w:pPr>
        <w:spacing w:after="0" w:line="480" w:lineRule="auto"/>
        <w:jc w:val="both"/>
        <w:rPr>
          <w:rFonts w:ascii="Times New Roman" w:hAnsi="Times New Roman" w:cs="Times New Roman"/>
          <w:iCs/>
          <w:sz w:val="24"/>
          <w:szCs w:val="24"/>
          <w:lang w:val="en-GB"/>
        </w:rPr>
      </w:pPr>
      <w:r w:rsidRPr="002D1168">
        <w:rPr>
          <w:rFonts w:ascii="Times New Roman" w:hAnsi="Times New Roman" w:cs="Times New Roman"/>
          <w:b/>
          <w:bCs/>
          <w:iCs/>
          <w:sz w:val="24"/>
          <w:szCs w:val="24"/>
          <w:u w:val="single"/>
          <w:lang w:val="en-GB"/>
        </w:rPr>
        <w:t>Short title:</w:t>
      </w:r>
      <w:r w:rsidR="006D4064" w:rsidRPr="006D4064">
        <w:rPr>
          <w:rFonts w:ascii="Times New Roman" w:hAnsi="Times New Roman" w:cs="Times New Roman"/>
          <w:b/>
          <w:bCs/>
          <w:iCs/>
          <w:sz w:val="24"/>
          <w:szCs w:val="24"/>
          <w:lang w:val="en-GB"/>
        </w:rPr>
        <w:t xml:space="preserve"> </w:t>
      </w:r>
      <w:r w:rsidR="006D4064" w:rsidRPr="006D4064">
        <w:rPr>
          <w:rFonts w:ascii="Times New Roman" w:hAnsi="Times New Roman" w:cs="Times New Roman"/>
          <w:iCs/>
          <w:sz w:val="24"/>
          <w:szCs w:val="24"/>
          <w:lang w:val="en-GB"/>
        </w:rPr>
        <w:t>Defining biological remission in Crohn’s disease</w:t>
      </w:r>
    </w:p>
    <w:p w14:paraId="09E667E8" w14:textId="77777777" w:rsidR="002D1168" w:rsidRPr="00C54D13" w:rsidRDefault="002D1168" w:rsidP="00076049">
      <w:pPr>
        <w:spacing w:after="0" w:line="480" w:lineRule="auto"/>
        <w:jc w:val="both"/>
        <w:rPr>
          <w:rFonts w:ascii="Times New Roman" w:hAnsi="Times New Roman" w:cs="Times New Roman"/>
          <w:i/>
          <w:sz w:val="24"/>
          <w:szCs w:val="24"/>
          <w:lang w:val="en-GB"/>
        </w:rPr>
      </w:pPr>
    </w:p>
    <w:p w14:paraId="293999DB" w14:textId="77777777" w:rsidR="0026125D" w:rsidRPr="00C54D13" w:rsidRDefault="0026125D" w:rsidP="00076049">
      <w:pPr>
        <w:pStyle w:val="NormalWeb"/>
        <w:spacing w:before="0" w:beforeAutospacing="0" w:after="0" w:afterAutospacing="0" w:line="480" w:lineRule="auto"/>
        <w:jc w:val="both"/>
        <w:rPr>
          <w:rFonts w:eastAsiaTheme="minorEastAsia"/>
          <w:b/>
          <w:color w:val="000000" w:themeColor="text1"/>
          <w:kern w:val="24"/>
          <w:lang w:val="en-GB"/>
        </w:rPr>
      </w:pPr>
      <w:bookmarkStart w:id="1" w:name="OLE_LINK388"/>
      <w:bookmarkStart w:id="2" w:name="OLE_LINK389"/>
      <w:r w:rsidRPr="00C54D13">
        <w:rPr>
          <w:rFonts w:eastAsiaTheme="minorEastAsia"/>
          <w:b/>
          <w:color w:val="000000" w:themeColor="text1"/>
          <w:kern w:val="24"/>
          <w:u w:val="single"/>
          <w:lang w:val="en-GB"/>
        </w:rPr>
        <w:t>Corresponding author:</w:t>
      </w:r>
    </w:p>
    <w:p w14:paraId="21D035E9" w14:textId="77777777" w:rsidR="0026125D" w:rsidRPr="00C54D13" w:rsidRDefault="0026125D" w:rsidP="00E70ACD">
      <w:pPr>
        <w:pStyle w:val="NormalWeb"/>
        <w:spacing w:before="0" w:beforeAutospacing="0" w:after="0" w:afterAutospacing="0" w:line="480" w:lineRule="auto"/>
        <w:jc w:val="both"/>
        <w:rPr>
          <w:rFonts w:eastAsiaTheme="minorEastAsia"/>
          <w:color w:val="000000" w:themeColor="text1"/>
          <w:kern w:val="24"/>
          <w:lang w:val="en-GB"/>
        </w:rPr>
      </w:pPr>
      <w:r w:rsidRPr="00C54D13">
        <w:rPr>
          <w:rFonts w:eastAsiaTheme="minorEastAsia"/>
          <w:color w:val="000000" w:themeColor="text1"/>
          <w:kern w:val="24"/>
          <w:lang w:val="en-GB"/>
        </w:rPr>
        <w:t>Nicolas Pierre</w:t>
      </w:r>
    </w:p>
    <w:p w14:paraId="4BB0ECD5" w14:textId="6F54BB13" w:rsidR="0026125D" w:rsidRPr="00330F69" w:rsidRDefault="0026125D" w:rsidP="00E70ACD">
      <w:pPr>
        <w:pStyle w:val="NormalWeb"/>
        <w:spacing w:before="0" w:beforeAutospacing="0" w:after="0" w:afterAutospacing="0" w:line="480" w:lineRule="auto"/>
        <w:jc w:val="both"/>
        <w:rPr>
          <w:rFonts w:eastAsiaTheme="minorEastAsia"/>
          <w:color w:val="000000" w:themeColor="text1"/>
          <w:kern w:val="24"/>
        </w:rPr>
      </w:pPr>
      <w:r w:rsidRPr="00C54D13">
        <w:rPr>
          <w:rFonts w:eastAsiaTheme="minorEastAsia"/>
          <w:color w:val="000000" w:themeColor="text1"/>
          <w:kern w:val="24"/>
          <w:lang w:val="en-GB"/>
        </w:rPr>
        <w:t xml:space="preserve">Address: </w:t>
      </w:r>
      <w:bookmarkStart w:id="3" w:name="OLE_LINK353"/>
      <w:bookmarkStart w:id="4" w:name="OLE_LINK354"/>
      <w:bookmarkStart w:id="5" w:name="OLE_LINK367"/>
      <w:bookmarkStart w:id="6" w:name="OLE_LINK368"/>
      <w:r w:rsidRPr="00C54D13">
        <w:rPr>
          <w:rFonts w:eastAsiaTheme="minorEastAsia"/>
          <w:color w:val="000000" w:themeColor="text1"/>
          <w:kern w:val="24"/>
          <w:lang w:val="en-GB"/>
        </w:rPr>
        <w:t xml:space="preserve">Laboratory of Translational Gastroenterology, GIGA institute, </w:t>
      </w:r>
      <w:proofErr w:type="spellStart"/>
      <w:r w:rsidRPr="00C54D13">
        <w:rPr>
          <w:rFonts w:eastAsiaTheme="minorEastAsia"/>
          <w:color w:val="000000" w:themeColor="text1"/>
          <w:kern w:val="24"/>
          <w:lang w:val="en-GB"/>
        </w:rPr>
        <w:t>Bât</w:t>
      </w:r>
      <w:proofErr w:type="spellEnd"/>
      <w:r w:rsidRPr="00C54D13">
        <w:rPr>
          <w:rFonts w:eastAsiaTheme="minorEastAsia"/>
          <w:color w:val="000000" w:themeColor="text1"/>
          <w:kern w:val="24"/>
          <w:lang w:val="en-GB"/>
        </w:rPr>
        <w:t xml:space="preserve">. </w:t>
      </w:r>
      <w:r w:rsidRPr="00330F69">
        <w:rPr>
          <w:rFonts w:eastAsiaTheme="minorEastAsia"/>
          <w:color w:val="000000" w:themeColor="text1"/>
          <w:kern w:val="24"/>
        </w:rPr>
        <w:t>B34 Quartier Hôpital, avenue de l'Hôpital 11, 4000 Liège 1, Belgique</w:t>
      </w:r>
      <w:bookmarkEnd w:id="3"/>
      <w:bookmarkEnd w:id="4"/>
      <w:bookmarkEnd w:id="5"/>
      <w:bookmarkEnd w:id="6"/>
    </w:p>
    <w:p w14:paraId="2A53D3BC" w14:textId="77777777" w:rsidR="00585486" w:rsidRPr="00AC3474" w:rsidRDefault="0026125D" w:rsidP="00585486">
      <w:pPr>
        <w:pStyle w:val="NormalWeb"/>
        <w:spacing w:before="0" w:beforeAutospacing="0" w:after="0" w:afterAutospacing="0" w:line="480" w:lineRule="auto"/>
        <w:jc w:val="both"/>
        <w:rPr>
          <w:rFonts w:eastAsiaTheme="minorEastAsia"/>
          <w:color w:val="000000" w:themeColor="text1"/>
          <w:kern w:val="24"/>
        </w:rPr>
      </w:pPr>
      <w:r w:rsidRPr="00AC3474">
        <w:rPr>
          <w:rFonts w:eastAsiaTheme="minorEastAsia"/>
          <w:color w:val="000000" w:themeColor="text1"/>
          <w:kern w:val="24"/>
        </w:rPr>
        <w:t xml:space="preserve">Tel: +32 4 3662538; Fax: +32 4 3667889; Email: nicolas.pierre@uliege.be </w:t>
      </w:r>
      <w:bookmarkEnd w:id="1"/>
      <w:bookmarkEnd w:id="2"/>
    </w:p>
    <w:p w14:paraId="1A558D53" w14:textId="38BE9A88" w:rsidR="00585486" w:rsidRPr="00AC3474" w:rsidRDefault="00585486" w:rsidP="00585486">
      <w:pPr>
        <w:pStyle w:val="NormalWeb"/>
        <w:spacing w:before="0" w:beforeAutospacing="0" w:after="0" w:afterAutospacing="0" w:line="480" w:lineRule="auto"/>
        <w:jc w:val="both"/>
        <w:rPr>
          <w:rFonts w:eastAsiaTheme="minorEastAsia"/>
          <w:color w:val="000000" w:themeColor="text1"/>
          <w:kern w:val="24"/>
        </w:rPr>
      </w:pPr>
    </w:p>
    <w:p w14:paraId="17E07E37" w14:textId="473D3575" w:rsidR="003E414F" w:rsidRDefault="003E414F" w:rsidP="003E414F">
      <w:pPr>
        <w:pStyle w:val="NormalWeb"/>
        <w:rPr>
          <w:rStyle w:val="Accentuation"/>
          <w:lang w:val="en-GB"/>
        </w:rPr>
      </w:pPr>
      <w:r w:rsidRPr="003E414F">
        <w:rPr>
          <w:rStyle w:val="Accentuation"/>
          <w:lang w:val="en-GB"/>
        </w:rPr>
        <w:t xml:space="preserve">This article has been accepted for publication in </w:t>
      </w:r>
      <w:r w:rsidRPr="003E414F">
        <w:rPr>
          <w:i/>
          <w:iCs/>
          <w:lang w:val="en-GB"/>
        </w:rPr>
        <w:t xml:space="preserve">Journal of Crohn’s and colitis </w:t>
      </w:r>
      <w:r w:rsidRPr="003E414F">
        <w:rPr>
          <w:rStyle w:val="Accentuation"/>
          <w:lang w:val="en-GB"/>
        </w:rPr>
        <w:t>Published by Oxford University Press.</w:t>
      </w:r>
    </w:p>
    <w:p w14:paraId="002CDA53" w14:textId="1799BC85" w:rsidR="001A605A" w:rsidRPr="003E414F" w:rsidRDefault="001A605A" w:rsidP="003E414F">
      <w:pPr>
        <w:pStyle w:val="NormalWeb"/>
        <w:rPr>
          <w:lang w:val="en-GB"/>
        </w:rPr>
      </w:pPr>
      <w:hyperlink r:id="rId7" w:history="1">
        <w:r w:rsidRPr="001A605A">
          <w:rPr>
            <w:rStyle w:val="Lienhypertexte"/>
            <w:lang w:val="en-GB"/>
          </w:rPr>
          <w:t>https://doi.org/10.1093/ecco-jcc/jjad086</w:t>
        </w:r>
      </w:hyperlink>
    </w:p>
    <w:p w14:paraId="033B1F2A" w14:textId="749086B6" w:rsidR="00330F69" w:rsidRPr="003E414F" w:rsidRDefault="00330F69" w:rsidP="00585486">
      <w:pPr>
        <w:pStyle w:val="NormalWeb"/>
        <w:spacing w:before="0" w:beforeAutospacing="0" w:after="0" w:afterAutospacing="0" w:line="480" w:lineRule="auto"/>
        <w:jc w:val="both"/>
        <w:rPr>
          <w:rFonts w:eastAsiaTheme="minorEastAsia"/>
          <w:color w:val="000000" w:themeColor="text1"/>
          <w:kern w:val="24"/>
          <w:lang w:val="en-GB"/>
        </w:rPr>
      </w:pPr>
    </w:p>
    <w:p w14:paraId="678CE70E" w14:textId="2388F681" w:rsidR="00330F69" w:rsidRPr="003E414F" w:rsidRDefault="00330F69" w:rsidP="00585486">
      <w:pPr>
        <w:pStyle w:val="NormalWeb"/>
        <w:spacing w:before="0" w:beforeAutospacing="0" w:after="0" w:afterAutospacing="0" w:line="480" w:lineRule="auto"/>
        <w:jc w:val="both"/>
        <w:rPr>
          <w:rFonts w:eastAsiaTheme="minorEastAsia"/>
          <w:color w:val="000000" w:themeColor="text1"/>
          <w:kern w:val="24"/>
          <w:lang w:val="en-GB"/>
        </w:rPr>
      </w:pPr>
    </w:p>
    <w:p w14:paraId="58657459" w14:textId="472D7118" w:rsidR="00330F69" w:rsidRPr="003E414F" w:rsidRDefault="00330F69" w:rsidP="00585486">
      <w:pPr>
        <w:pStyle w:val="NormalWeb"/>
        <w:spacing w:before="0" w:beforeAutospacing="0" w:after="0" w:afterAutospacing="0" w:line="480" w:lineRule="auto"/>
        <w:jc w:val="both"/>
        <w:rPr>
          <w:rFonts w:eastAsiaTheme="minorEastAsia"/>
          <w:color w:val="000000" w:themeColor="text1"/>
          <w:kern w:val="24"/>
          <w:lang w:val="en-GB"/>
        </w:rPr>
      </w:pPr>
    </w:p>
    <w:p w14:paraId="2270F9DE" w14:textId="1353EA22" w:rsidR="009B5FC8" w:rsidRPr="00F80222" w:rsidRDefault="009B5FC8" w:rsidP="00585486">
      <w:pPr>
        <w:pStyle w:val="NormalWeb"/>
        <w:spacing w:before="0" w:beforeAutospacing="0" w:after="0" w:afterAutospacing="0" w:line="480" w:lineRule="auto"/>
        <w:jc w:val="both"/>
        <w:rPr>
          <w:b/>
          <w:bCs/>
          <w:color w:val="000000"/>
          <w:lang w:val="en-GB"/>
        </w:rPr>
      </w:pPr>
      <w:r w:rsidRPr="00F80222">
        <w:rPr>
          <w:b/>
          <w:bCs/>
          <w:color w:val="000000"/>
          <w:lang w:val="en-GB"/>
        </w:rPr>
        <w:lastRenderedPageBreak/>
        <w:t>Abstract</w:t>
      </w:r>
    </w:p>
    <w:p w14:paraId="0DA8177D" w14:textId="4A32CD2E" w:rsidR="007134B7" w:rsidRPr="0051450F" w:rsidRDefault="00544D78" w:rsidP="00644F0B">
      <w:pPr>
        <w:pStyle w:val="NormalWeb"/>
        <w:spacing w:before="0" w:beforeAutospacing="0" w:after="0" w:afterAutospacing="0" w:line="480" w:lineRule="auto"/>
        <w:jc w:val="both"/>
        <w:rPr>
          <w:color w:val="000000"/>
          <w:highlight w:val="yellow"/>
          <w:lang w:val="en-GB"/>
        </w:rPr>
      </w:pPr>
      <w:r w:rsidRPr="00544D78">
        <w:rPr>
          <w:color w:val="000000"/>
          <w:lang w:val="en-GB"/>
        </w:rPr>
        <w:t>In Crohn’s disease</w:t>
      </w:r>
      <w:r>
        <w:rPr>
          <w:color w:val="000000"/>
          <w:lang w:val="en-GB"/>
        </w:rPr>
        <w:t>,</w:t>
      </w:r>
      <w:r w:rsidR="00FA3746">
        <w:rPr>
          <w:color w:val="000000"/>
          <w:lang w:val="en-GB"/>
        </w:rPr>
        <w:t xml:space="preserve"> </w:t>
      </w:r>
      <w:r w:rsidR="00CB65C8">
        <w:rPr>
          <w:color w:val="000000"/>
          <w:lang w:val="en-GB"/>
        </w:rPr>
        <w:t xml:space="preserve">the </w:t>
      </w:r>
      <w:r w:rsidR="00FA3746">
        <w:rPr>
          <w:color w:val="000000"/>
          <w:lang w:val="en-GB"/>
        </w:rPr>
        <w:t xml:space="preserve">treat-to-target strategy </w:t>
      </w:r>
      <w:r w:rsidR="00930684">
        <w:rPr>
          <w:color w:val="000000"/>
          <w:lang w:val="en-GB"/>
        </w:rPr>
        <w:t>has been highly encouraged and became a standard of care. In this context</w:t>
      </w:r>
      <w:r w:rsidR="0065293C">
        <w:rPr>
          <w:color w:val="000000"/>
          <w:lang w:val="en-GB"/>
        </w:rPr>
        <w:t>, defining the target</w:t>
      </w:r>
      <w:r w:rsidR="00930684">
        <w:rPr>
          <w:color w:val="000000"/>
          <w:lang w:val="en-GB"/>
        </w:rPr>
        <w:t xml:space="preserve"> </w:t>
      </w:r>
      <w:r w:rsidR="0065293C">
        <w:rPr>
          <w:color w:val="000000"/>
          <w:lang w:val="en-GB"/>
        </w:rPr>
        <w:t xml:space="preserve">(remission) </w:t>
      </w:r>
      <w:r w:rsidR="000A0D27">
        <w:rPr>
          <w:color w:val="000000"/>
          <w:lang w:val="en-GB"/>
        </w:rPr>
        <w:t>constitutes</w:t>
      </w:r>
      <w:r w:rsidR="00930684">
        <w:rPr>
          <w:color w:val="000000"/>
          <w:lang w:val="en-GB"/>
        </w:rPr>
        <w:t xml:space="preserve"> a major stake which fuels </w:t>
      </w:r>
      <w:r w:rsidR="00644F0B">
        <w:rPr>
          <w:color w:val="000000"/>
          <w:lang w:val="en-GB"/>
        </w:rPr>
        <w:t>the literature</w:t>
      </w:r>
      <w:r w:rsidR="00930684">
        <w:rPr>
          <w:color w:val="000000"/>
          <w:lang w:val="en-GB"/>
        </w:rPr>
        <w:t>.</w:t>
      </w:r>
      <w:r w:rsidR="008F3F2B">
        <w:rPr>
          <w:color w:val="000000"/>
          <w:lang w:val="en-GB"/>
        </w:rPr>
        <w:t xml:space="preserve"> </w:t>
      </w:r>
      <w:r w:rsidR="0033064C">
        <w:rPr>
          <w:color w:val="000000"/>
          <w:lang w:val="en-GB"/>
        </w:rPr>
        <w:t>Current</w:t>
      </w:r>
      <w:r w:rsidR="00CB65C8">
        <w:rPr>
          <w:color w:val="000000"/>
          <w:lang w:val="en-GB"/>
        </w:rPr>
        <w:t>ly, clinical remission (symptom</w:t>
      </w:r>
      <w:r w:rsidR="009B6D39">
        <w:rPr>
          <w:color w:val="000000"/>
          <w:lang w:val="en-GB"/>
        </w:rPr>
        <w:t>s</w:t>
      </w:r>
      <w:r w:rsidR="0033064C">
        <w:rPr>
          <w:color w:val="000000"/>
          <w:lang w:val="en-GB"/>
        </w:rPr>
        <w:t xml:space="preserve"> control) is no longer the only objective of treatment</w:t>
      </w:r>
      <w:r w:rsidR="00307867">
        <w:rPr>
          <w:color w:val="000000"/>
          <w:lang w:val="en-GB"/>
        </w:rPr>
        <w:t>s</w:t>
      </w:r>
      <w:r w:rsidR="0033064C">
        <w:rPr>
          <w:color w:val="000000"/>
          <w:lang w:val="en-GB"/>
        </w:rPr>
        <w:t xml:space="preserve"> </w:t>
      </w:r>
      <w:r w:rsidR="00307867">
        <w:rPr>
          <w:color w:val="000000"/>
          <w:lang w:val="en-GB"/>
        </w:rPr>
        <w:t>since it</w:t>
      </w:r>
      <w:r w:rsidR="0033064C">
        <w:rPr>
          <w:color w:val="000000"/>
          <w:lang w:val="en-GB"/>
        </w:rPr>
        <w:t xml:space="preserve"> do</w:t>
      </w:r>
      <w:r w:rsidR="00307867">
        <w:rPr>
          <w:color w:val="000000"/>
          <w:lang w:val="en-GB"/>
        </w:rPr>
        <w:t>es</w:t>
      </w:r>
      <w:r w:rsidR="0033064C">
        <w:rPr>
          <w:color w:val="000000"/>
          <w:lang w:val="en-GB"/>
        </w:rPr>
        <w:t xml:space="preserve"> not allow to well control </w:t>
      </w:r>
      <w:r w:rsidR="0060728D">
        <w:rPr>
          <w:color w:val="000000"/>
          <w:lang w:val="en-GB"/>
        </w:rPr>
        <w:t>inflammation-induced tissue damage</w:t>
      </w:r>
      <w:r w:rsidR="0033064C">
        <w:rPr>
          <w:color w:val="000000"/>
          <w:lang w:val="en-GB"/>
        </w:rPr>
        <w:t>. The introduct</w:t>
      </w:r>
      <w:r w:rsidR="0060728D">
        <w:rPr>
          <w:color w:val="000000"/>
          <w:lang w:val="en-GB"/>
        </w:rPr>
        <w:t>ion of endoscopic remission as a</w:t>
      </w:r>
      <w:r w:rsidR="0033064C">
        <w:rPr>
          <w:color w:val="000000"/>
          <w:lang w:val="en-GB"/>
        </w:rPr>
        <w:t xml:space="preserve"> therapeutic </w:t>
      </w:r>
      <w:r w:rsidR="007E49C3">
        <w:rPr>
          <w:color w:val="000000"/>
          <w:lang w:val="en-GB"/>
        </w:rPr>
        <w:t>target was clearly a progress</w:t>
      </w:r>
      <w:r w:rsidR="0033064C">
        <w:rPr>
          <w:color w:val="000000"/>
          <w:lang w:val="en-GB"/>
        </w:rPr>
        <w:t xml:space="preserve"> but this</w:t>
      </w:r>
      <w:r w:rsidR="00AD742C">
        <w:rPr>
          <w:color w:val="000000"/>
          <w:lang w:val="en-GB"/>
        </w:rPr>
        <w:t xml:space="preserve"> examination</w:t>
      </w:r>
      <w:r w:rsidR="0033064C">
        <w:rPr>
          <w:color w:val="000000"/>
          <w:lang w:val="en-GB"/>
        </w:rPr>
        <w:t xml:space="preserve"> </w:t>
      </w:r>
      <w:r w:rsidR="00AD742C">
        <w:rPr>
          <w:color w:val="000000"/>
          <w:lang w:val="en-GB"/>
        </w:rPr>
        <w:t>remains</w:t>
      </w:r>
      <w:r w:rsidR="0033064C">
        <w:rPr>
          <w:color w:val="000000"/>
          <w:lang w:val="en-GB"/>
        </w:rPr>
        <w:t xml:space="preserve"> invasive, costly, not well accepted</w:t>
      </w:r>
      <w:r w:rsidR="001D5CF1">
        <w:rPr>
          <w:color w:val="000000"/>
          <w:lang w:val="en-GB"/>
        </w:rPr>
        <w:t xml:space="preserve"> by patients</w:t>
      </w:r>
      <w:r w:rsidR="0033064C">
        <w:rPr>
          <w:color w:val="000000"/>
          <w:lang w:val="en-GB"/>
        </w:rPr>
        <w:t xml:space="preserve"> and does not allow a tight control of disease activity. </w:t>
      </w:r>
      <w:r w:rsidR="009228A6" w:rsidRPr="00B40DB0">
        <w:rPr>
          <w:color w:val="000000"/>
          <w:lang w:val="en-GB"/>
        </w:rPr>
        <w:t>More fundamentally, morphological techniques (</w:t>
      </w:r>
      <w:proofErr w:type="spellStart"/>
      <w:r w:rsidR="009228A6" w:rsidRPr="00B40DB0">
        <w:rPr>
          <w:color w:val="000000"/>
          <w:lang w:val="en-GB"/>
        </w:rPr>
        <w:t>eg</w:t>
      </w:r>
      <w:proofErr w:type="spellEnd"/>
      <w:r w:rsidR="009228A6" w:rsidRPr="00B40DB0">
        <w:rPr>
          <w:color w:val="000000"/>
          <w:lang w:val="en-GB"/>
        </w:rPr>
        <w:t xml:space="preserve">, endoscopy, histology, ultrasonography) are limited </w:t>
      </w:r>
      <w:r w:rsidR="00070F16" w:rsidRPr="00B40DB0">
        <w:rPr>
          <w:color w:val="000000"/>
          <w:lang w:val="en-GB"/>
        </w:rPr>
        <w:t>since</w:t>
      </w:r>
      <w:r w:rsidR="009228A6" w:rsidRPr="00B40DB0">
        <w:rPr>
          <w:color w:val="000000"/>
          <w:lang w:val="en-GB"/>
        </w:rPr>
        <w:t xml:space="preserve"> they do not evaluate the biological activity of the disease but only its consequences. </w:t>
      </w:r>
      <w:r w:rsidR="00537E45" w:rsidRPr="00B40DB0">
        <w:rPr>
          <w:color w:val="000000"/>
          <w:lang w:val="en-GB"/>
        </w:rPr>
        <w:t>Bes</w:t>
      </w:r>
      <w:r w:rsidR="009228A6" w:rsidRPr="00B40DB0">
        <w:rPr>
          <w:color w:val="000000"/>
          <w:lang w:val="en-GB"/>
        </w:rPr>
        <w:t>ides, emerging evidence suggest</w:t>
      </w:r>
      <w:r w:rsidR="00537E45" w:rsidRPr="00B40DB0">
        <w:rPr>
          <w:color w:val="000000"/>
          <w:lang w:val="en-GB"/>
        </w:rPr>
        <w:t xml:space="preserve"> that </w:t>
      </w:r>
      <w:r w:rsidR="0051450F" w:rsidRPr="00B40DB0">
        <w:rPr>
          <w:color w:val="000000"/>
          <w:lang w:val="en-GB"/>
        </w:rPr>
        <w:t>biological</w:t>
      </w:r>
      <w:r w:rsidR="00537E45" w:rsidRPr="00B40DB0">
        <w:rPr>
          <w:color w:val="000000"/>
          <w:lang w:val="en-GB"/>
        </w:rPr>
        <w:t xml:space="preserve"> signs of disease activity </w:t>
      </w:r>
      <w:r w:rsidR="00E72D24" w:rsidRPr="00B40DB0">
        <w:rPr>
          <w:color w:val="000000"/>
          <w:lang w:val="en-GB"/>
        </w:rPr>
        <w:t>could</w:t>
      </w:r>
      <w:r w:rsidR="00537E45" w:rsidRPr="00B40DB0">
        <w:rPr>
          <w:color w:val="000000"/>
          <w:lang w:val="en-GB"/>
        </w:rPr>
        <w:t xml:space="preserve"> better guide treatment decisions than clinical parameters</w:t>
      </w:r>
      <w:r w:rsidR="001253D9" w:rsidRPr="00B40DB0">
        <w:rPr>
          <w:color w:val="000000"/>
          <w:lang w:val="en-GB"/>
        </w:rPr>
        <w:t xml:space="preserve">. </w:t>
      </w:r>
      <w:r w:rsidR="00537E45" w:rsidRPr="00B40DB0">
        <w:rPr>
          <w:color w:val="000000"/>
          <w:lang w:val="en-GB"/>
        </w:rPr>
        <w:t>In this context</w:t>
      </w:r>
      <w:r w:rsidR="00644F0B" w:rsidRPr="00B40DB0">
        <w:rPr>
          <w:color w:val="000000"/>
          <w:lang w:val="en-GB"/>
        </w:rPr>
        <w:t>, we stress the necessity to</w:t>
      </w:r>
      <w:r w:rsidR="001702E1" w:rsidRPr="00B40DB0">
        <w:rPr>
          <w:color w:val="000000"/>
          <w:lang w:val="en-GB"/>
        </w:rPr>
        <w:t xml:space="preserve"> define </w:t>
      </w:r>
      <w:r w:rsidR="00176683" w:rsidRPr="00B40DB0">
        <w:rPr>
          <w:color w:val="000000"/>
          <w:lang w:val="en-GB"/>
        </w:rPr>
        <w:t xml:space="preserve">a novel treatment target: biological remission. </w:t>
      </w:r>
      <w:r w:rsidR="0097535C" w:rsidRPr="00B40DB0">
        <w:rPr>
          <w:color w:val="000000"/>
          <w:lang w:val="en-GB"/>
        </w:rPr>
        <w:t xml:space="preserve">Based on our previous </w:t>
      </w:r>
      <w:r w:rsidR="008C544F" w:rsidRPr="00B40DB0">
        <w:rPr>
          <w:color w:val="000000"/>
          <w:lang w:val="en-GB"/>
        </w:rPr>
        <w:t>work</w:t>
      </w:r>
      <w:r w:rsidR="00C8062C" w:rsidRPr="00B40DB0">
        <w:rPr>
          <w:color w:val="000000"/>
          <w:lang w:val="en-GB"/>
        </w:rPr>
        <w:t>, w</w:t>
      </w:r>
      <w:r w:rsidR="00684378" w:rsidRPr="00B40DB0">
        <w:rPr>
          <w:color w:val="000000"/>
          <w:lang w:val="en-GB"/>
        </w:rPr>
        <w:t>e propose</w:t>
      </w:r>
      <w:r w:rsidR="00644F0B" w:rsidRPr="00B40DB0">
        <w:rPr>
          <w:color w:val="000000"/>
          <w:lang w:val="en-GB"/>
        </w:rPr>
        <w:t xml:space="preserve"> </w:t>
      </w:r>
      <w:r w:rsidR="00A40E30" w:rsidRPr="00B40DB0">
        <w:rPr>
          <w:color w:val="000000"/>
          <w:lang w:val="en-GB"/>
        </w:rPr>
        <w:t>a conceptual definition of</w:t>
      </w:r>
      <w:r w:rsidR="00644F0B" w:rsidRPr="00B40DB0">
        <w:rPr>
          <w:color w:val="000000"/>
          <w:lang w:val="en-GB"/>
        </w:rPr>
        <w:t xml:space="preserve"> bio</w:t>
      </w:r>
      <w:r w:rsidR="007E49C3" w:rsidRPr="00B40DB0">
        <w:rPr>
          <w:color w:val="000000"/>
          <w:lang w:val="en-GB"/>
        </w:rPr>
        <w:t>logical remission</w:t>
      </w:r>
      <w:r w:rsidR="00176683" w:rsidRPr="00B40DB0">
        <w:rPr>
          <w:color w:val="000000"/>
          <w:lang w:val="en-GB"/>
        </w:rPr>
        <w:t xml:space="preserve"> which goes</w:t>
      </w:r>
      <w:r w:rsidR="00176683" w:rsidRPr="00B40DB0">
        <w:rPr>
          <w:lang w:val="en-GB"/>
        </w:rPr>
        <w:t xml:space="preserve"> </w:t>
      </w:r>
      <w:r w:rsidR="00176683" w:rsidRPr="00B40DB0">
        <w:rPr>
          <w:color w:val="000000"/>
          <w:lang w:val="en-GB"/>
        </w:rPr>
        <w:t>beyond the classical normalisation of inflammatory markers (</w:t>
      </w:r>
      <w:r w:rsidR="00E7416C" w:rsidRPr="00B40DB0">
        <w:rPr>
          <w:color w:val="000000"/>
          <w:lang w:val="en-GB"/>
        </w:rPr>
        <w:t>C-reactive protein</w:t>
      </w:r>
      <w:r w:rsidR="00176683" w:rsidRPr="00B40DB0">
        <w:rPr>
          <w:color w:val="000000"/>
          <w:lang w:val="en-GB"/>
        </w:rPr>
        <w:t xml:space="preserve"> and faecal calprotectin)</w:t>
      </w:r>
      <w:r w:rsidR="00511D1F" w:rsidRPr="00B40DB0">
        <w:rPr>
          <w:color w:val="000000"/>
          <w:lang w:val="en-GB"/>
        </w:rPr>
        <w:t>:</w:t>
      </w:r>
      <w:r w:rsidR="007E49C3" w:rsidRPr="00B40DB0">
        <w:rPr>
          <w:color w:val="000000"/>
          <w:lang w:val="en-GB"/>
        </w:rPr>
        <w:t xml:space="preserve"> </w:t>
      </w:r>
      <w:r w:rsidR="00A1347D" w:rsidRPr="00B40DB0">
        <w:rPr>
          <w:color w:val="000000"/>
          <w:lang w:val="en-GB"/>
        </w:rPr>
        <w:t>absence</w:t>
      </w:r>
      <w:r w:rsidR="00A1347D" w:rsidRPr="00A1347D">
        <w:rPr>
          <w:color w:val="000000"/>
          <w:lang w:val="en-GB"/>
        </w:rPr>
        <w:t xml:space="preserve"> of biological signs associated with the risk of short-term relapse and mid/long-term relapse</w:t>
      </w:r>
      <w:r w:rsidR="00ED773D" w:rsidRPr="00ED773D">
        <w:rPr>
          <w:color w:val="000000"/>
          <w:lang w:val="en-GB"/>
        </w:rPr>
        <w:t>. The risk of short-term relapse seems essentially characterised by a persistent inflammatory state while the risk of mid/long-term relapse implicates a more heterogeneous biology</w:t>
      </w:r>
      <w:r w:rsidR="00ED773D">
        <w:rPr>
          <w:color w:val="000000"/>
          <w:lang w:val="en-GB"/>
        </w:rPr>
        <w:t xml:space="preserve">. </w:t>
      </w:r>
      <w:r w:rsidR="007A75CB">
        <w:rPr>
          <w:color w:val="000000"/>
          <w:lang w:val="en-GB"/>
        </w:rPr>
        <w:t xml:space="preserve">We discuss the interest </w:t>
      </w:r>
      <w:r w:rsidR="007852ED">
        <w:rPr>
          <w:color w:val="000000"/>
          <w:lang w:val="en-GB"/>
        </w:rPr>
        <w:t>of our proposal</w:t>
      </w:r>
      <w:r w:rsidR="007A75CB">
        <w:rPr>
          <w:color w:val="000000"/>
          <w:lang w:val="en-GB"/>
        </w:rPr>
        <w:t xml:space="preserve"> (guiding treatment maintenance, escalation or de-escalation) but </w:t>
      </w:r>
      <w:r w:rsidR="00582D89">
        <w:rPr>
          <w:color w:val="000000"/>
          <w:lang w:val="en-GB"/>
        </w:rPr>
        <w:t>also the fact</w:t>
      </w:r>
      <w:r w:rsidR="003770BE">
        <w:rPr>
          <w:color w:val="000000"/>
          <w:lang w:val="en-GB"/>
        </w:rPr>
        <w:t xml:space="preserve"> that</w:t>
      </w:r>
      <w:r w:rsidR="00582D89">
        <w:rPr>
          <w:color w:val="000000"/>
          <w:lang w:val="en-GB"/>
        </w:rPr>
        <w:t xml:space="preserve"> its clinical implementation would require overcom</w:t>
      </w:r>
      <w:r w:rsidR="00C417C5">
        <w:rPr>
          <w:color w:val="000000"/>
          <w:lang w:val="en-GB"/>
        </w:rPr>
        <w:t>ing</w:t>
      </w:r>
      <w:r w:rsidR="00582D89">
        <w:rPr>
          <w:color w:val="000000"/>
          <w:lang w:val="en-GB"/>
        </w:rPr>
        <w:t xml:space="preserve"> major </w:t>
      </w:r>
      <w:r w:rsidR="00574641">
        <w:rPr>
          <w:color w:val="000000"/>
          <w:lang w:val="en-GB"/>
        </w:rPr>
        <w:t>challenges</w:t>
      </w:r>
      <w:r w:rsidR="00582D89">
        <w:rPr>
          <w:color w:val="000000"/>
          <w:lang w:val="en-GB"/>
        </w:rPr>
        <w:t xml:space="preserve">. </w:t>
      </w:r>
      <w:r w:rsidR="007134B7">
        <w:rPr>
          <w:color w:val="000000"/>
          <w:lang w:val="en-GB"/>
        </w:rPr>
        <w:t>Finally, future directions are proposed to better define biological remission.</w:t>
      </w:r>
    </w:p>
    <w:p w14:paraId="204957F9" w14:textId="08FA77F3" w:rsidR="002D1168" w:rsidRDefault="002D1168" w:rsidP="00585486">
      <w:pPr>
        <w:pStyle w:val="NormalWeb"/>
        <w:spacing w:before="0" w:beforeAutospacing="0" w:after="0" w:afterAutospacing="0" w:line="480" w:lineRule="auto"/>
        <w:jc w:val="both"/>
        <w:rPr>
          <w:b/>
          <w:bCs/>
          <w:color w:val="000000"/>
          <w:lang w:val="en-GB"/>
        </w:rPr>
      </w:pPr>
    </w:p>
    <w:p w14:paraId="55D98C3B" w14:textId="1D2597F7" w:rsidR="002D1168" w:rsidRPr="00B36674" w:rsidRDefault="002D1168" w:rsidP="00585486">
      <w:pPr>
        <w:pStyle w:val="NormalWeb"/>
        <w:spacing w:before="0" w:beforeAutospacing="0" w:after="0" w:afterAutospacing="0" w:line="480" w:lineRule="auto"/>
        <w:jc w:val="both"/>
        <w:rPr>
          <w:i/>
          <w:iCs/>
          <w:color w:val="000000"/>
          <w:lang w:val="en-GB"/>
        </w:rPr>
      </w:pPr>
      <w:r w:rsidRPr="00B36674">
        <w:rPr>
          <w:rStyle w:val="Accentuation"/>
          <w:b/>
          <w:bCs/>
          <w:i w:val="0"/>
          <w:iCs w:val="0"/>
          <w:lang w:val="en-GB"/>
        </w:rPr>
        <w:t>Keywords:</w:t>
      </w:r>
      <w:r w:rsidR="00B36674" w:rsidRPr="00B36674">
        <w:rPr>
          <w:rStyle w:val="Accentuation"/>
          <w:b/>
          <w:bCs/>
          <w:i w:val="0"/>
          <w:iCs w:val="0"/>
          <w:lang w:val="en-GB"/>
        </w:rPr>
        <w:t xml:space="preserve"> </w:t>
      </w:r>
      <w:r w:rsidR="00B36674" w:rsidRPr="00B36674">
        <w:rPr>
          <w:rStyle w:val="Accentuation"/>
          <w:i w:val="0"/>
          <w:iCs w:val="0"/>
          <w:lang w:val="en-GB"/>
        </w:rPr>
        <w:t>biological remission, Crohn’s d</w:t>
      </w:r>
      <w:r w:rsidR="00B36674">
        <w:rPr>
          <w:rStyle w:val="Accentuation"/>
          <w:i w:val="0"/>
          <w:iCs w:val="0"/>
          <w:lang w:val="en-GB"/>
        </w:rPr>
        <w:t>isease</w:t>
      </w:r>
    </w:p>
    <w:p w14:paraId="3D3FB700" w14:textId="77777777" w:rsidR="009B5FC8" w:rsidRPr="009B5FC8" w:rsidRDefault="009B5FC8" w:rsidP="00585486">
      <w:pPr>
        <w:pStyle w:val="NormalWeb"/>
        <w:spacing w:before="0" w:beforeAutospacing="0" w:after="0" w:afterAutospacing="0" w:line="480" w:lineRule="auto"/>
        <w:jc w:val="both"/>
        <w:rPr>
          <w:b/>
          <w:bCs/>
          <w:color w:val="000000"/>
          <w:lang w:val="en-GB"/>
        </w:rPr>
      </w:pPr>
    </w:p>
    <w:p w14:paraId="54A2F01E" w14:textId="0FC4C414" w:rsidR="001F41BE" w:rsidRDefault="001F41BE" w:rsidP="00585486">
      <w:pPr>
        <w:pStyle w:val="NormalWeb"/>
        <w:spacing w:before="0" w:beforeAutospacing="0" w:after="0" w:afterAutospacing="0" w:line="480" w:lineRule="auto"/>
        <w:jc w:val="both"/>
        <w:rPr>
          <w:color w:val="000000"/>
          <w:lang w:val="en-GB"/>
        </w:rPr>
      </w:pPr>
    </w:p>
    <w:p w14:paraId="7F620DCB" w14:textId="068C6FA0" w:rsidR="00B15344" w:rsidRPr="00B15344" w:rsidRDefault="00B15344" w:rsidP="00585486">
      <w:pPr>
        <w:pStyle w:val="NormalWeb"/>
        <w:spacing w:before="0" w:beforeAutospacing="0" w:after="0" w:afterAutospacing="0" w:line="480" w:lineRule="auto"/>
        <w:jc w:val="both"/>
        <w:rPr>
          <w:b/>
          <w:color w:val="000000"/>
          <w:lang w:val="en-GB"/>
        </w:rPr>
      </w:pPr>
      <w:r w:rsidRPr="00B15344">
        <w:rPr>
          <w:b/>
          <w:color w:val="000000"/>
          <w:lang w:val="en-GB"/>
        </w:rPr>
        <w:lastRenderedPageBreak/>
        <w:t>1. Introduction</w:t>
      </w:r>
    </w:p>
    <w:p w14:paraId="7515DBAD" w14:textId="6B45C888" w:rsidR="0026125D" w:rsidRDefault="0026125D" w:rsidP="00585486">
      <w:pPr>
        <w:pStyle w:val="NormalWeb"/>
        <w:spacing w:before="0" w:beforeAutospacing="0" w:after="0" w:afterAutospacing="0" w:line="480" w:lineRule="auto"/>
        <w:jc w:val="both"/>
        <w:rPr>
          <w:lang w:val="en-GB"/>
        </w:rPr>
      </w:pPr>
      <w:r w:rsidRPr="00C54D13">
        <w:rPr>
          <w:color w:val="000000"/>
          <w:lang w:val="en-GB"/>
        </w:rPr>
        <w:t xml:space="preserve">Historically, treatments </w:t>
      </w:r>
      <w:r w:rsidR="00F5072A">
        <w:rPr>
          <w:color w:val="000000"/>
          <w:lang w:val="en-GB"/>
        </w:rPr>
        <w:t>for</w:t>
      </w:r>
      <w:r w:rsidRPr="00C54D13">
        <w:rPr>
          <w:color w:val="000000"/>
          <w:lang w:val="en-GB"/>
        </w:rPr>
        <w:t xml:space="preserve"> Crohn’s disease (CD) focused on the </w:t>
      </w:r>
      <w:r w:rsidR="00310C43">
        <w:rPr>
          <w:color w:val="000000"/>
          <w:lang w:val="en-GB"/>
        </w:rPr>
        <w:t>control</w:t>
      </w:r>
      <w:r w:rsidRPr="00C54D13">
        <w:rPr>
          <w:color w:val="000000"/>
          <w:lang w:val="en-GB"/>
        </w:rPr>
        <w:t xml:space="preserve"> of symptoms. Since the end of the nineties, the introduction of biologics (mainly anti-tumo</w:t>
      </w:r>
      <w:r w:rsidR="003733B1">
        <w:rPr>
          <w:color w:val="000000"/>
          <w:lang w:val="en-GB"/>
        </w:rPr>
        <w:t>u</w:t>
      </w:r>
      <w:r w:rsidRPr="00C54D13">
        <w:rPr>
          <w:color w:val="000000"/>
          <w:lang w:val="en-GB"/>
        </w:rPr>
        <w:t xml:space="preserve">r necrosis factor α, TNF-α) allowed to reach more </w:t>
      </w:r>
      <w:r w:rsidR="00473565">
        <w:rPr>
          <w:color w:val="000000"/>
          <w:lang w:val="en-GB"/>
        </w:rPr>
        <w:t>ambitious</w:t>
      </w:r>
      <w:r w:rsidRPr="00C54D13">
        <w:rPr>
          <w:color w:val="000000"/>
          <w:lang w:val="en-GB"/>
        </w:rPr>
        <w:t xml:space="preserve"> therapeutic goals than symptom</w:t>
      </w:r>
      <w:r w:rsidR="001523FB">
        <w:rPr>
          <w:color w:val="000000"/>
          <w:lang w:val="en-GB"/>
        </w:rPr>
        <w:t>s</w:t>
      </w:r>
      <w:r w:rsidRPr="00C54D13">
        <w:rPr>
          <w:color w:val="000000"/>
          <w:lang w:val="en-GB"/>
        </w:rPr>
        <w:t xml:space="preserve"> control and such a change was accompanied by the development of a treatment strategy called “treat-to-target”</w:t>
      </w:r>
      <w:r w:rsidR="00DA48B3" w:rsidRPr="00C54D13">
        <w:rPr>
          <w:color w:val="000000"/>
          <w:lang w:val="en-GB"/>
        </w:rPr>
        <w:fldChar w:fldCharType="begin" w:fldLock="1"/>
      </w:r>
      <w:r w:rsidR="00DA48B3" w:rsidRPr="00C54D13">
        <w:rPr>
          <w:color w:val="000000"/>
          <w:lang w:val="en-GB"/>
        </w:rPr>
        <w:instrText>ADDIN CSL_CITATION {"citationItems":[{"id":"ITEM-1","itemData":{"DOI":"10.1007/s11938-016-0077-z","ISSN":"1092-8472 (Print)","PMID":"26864745","abstract":"With the expanding armamentarium in IBD the current treatment targets can be  reached. By optimally using our drugs we can avoid long-term complications in IBD. For this the therapeutic strategy has to be changed from a clinically driven approach to a target-driven strategy. Currently mucosal healing, normalization of biomarkers, histological healing, and healing on abdominal imaging are proposed targets. Correct phenotyping of the patient before initiation of therapy is mandatory. Once treatment is initiated a continuous re-evaluation with consequent adaptation of the treatment when goals are not (yet) reached is needed. Both escalation and de-escalation should be considered. Drug levels can be used as a guidance to reach these targets.","author":[{"dropping-particle":"","family":"Bossuyt","given":"Peter","non-dropping-particle":"","parse-names":false,"suffix":""},{"dropping-particle":"","family":"Vermeire","given":"Séverine","non-dropping-particle":"","parse-names":false,"suffix":""}],"container-title":"Current treatment options in gastroenterology","id":"ITEM-1","issue":"1","issued":{"date-parts":[["2016","3"]]},"language":"eng","page":"61-72","publisher-place":"United States","title":"Treat to Target in Inflammatory Bowel Disease.","type":"article-journal","volume":"14"},"uris":["http://www.mendeley.com/documents/?uuid=77696c36-1b7f-46ab-a891-20577ccbab7d"]}],"mendeley":{"formattedCitation":"&lt;sup&gt;1&lt;/sup&gt;","plainTextFormattedCitation":"1","previouslyFormattedCitation":"&lt;sup&gt;1&lt;/sup&gt;"},"properties":{"noteIndex":0},"schema":"https://github.com/citation-style-language/schema/raw/master/csl-citation.json"}</w:instrText>
      </w:r>
      <w:r w:rsidR="00DA48B3" w:rsidRPr="00C54D13">
        <w:rPr>
          <w:color w:val="000000"/>
          <w:lang w:val="en-GB"/>
        </w:rPr>
        <w:fldChar w:fldCharType="separate"/>
      </w:r>
      <w:r w:rsidR="00DA48B3" w:rsidRPr="00C54D13">
        <w:rPr>
          <w:noProof/>
          <w:color w:val="000000"/>
          <w:vertAlign w:val="superscript"/>
          <w:lang w:val="en-GB"/>
        </w:rPr>
        <w:t>1</w:t>
      </w:r>
      <w:r w:rsidR="00DA48B3" w:rsidRPr="00C54D13">
        <w:rPr>
          <w:color w:val="000000"/>
          <w:lang w:val="en-GB"/>
        </w:rPr>
        <w:fldChar w:fldCharType="end"/>
      </w:r>
      <w:r w:rsidRPr="00C54D13">
        <w:rPr>
          <w:color w:val="000000"/>
          <w:lang w:val="en-GB"/>
        </w:rPr>
        <w:t>. This clinical concept consists in escalating/optimising the treatment (</w:t>
      </w:r>
      <w:proofErr w:type="spellStart"/>
      <w:r w:rsidRPr="00C54D13">
        <w:rPr>
          <w:color w:val="000000"/>
          <w:lang w:val="en-GB"/>
        </w:rPr>
        <w:t>eg</w:t>
      </w:r>
      <w:proofErr w:type="spellEnd"/>
      <w:r w:rsidRPr="00C54D13">
        <w:rPr>
          <w:color w:val="000000"/>
          <w:lang w:val="en-GB"/>
        </w:rPr>
        <w:t xml:space="preserve">, dose, frequency, </w:t>
      </w:r>
      <w:r w:rsidR="005302AE" w:rsidRPr="00C54D13">
        <w:rPr>
          <w:color w:val="000000"/>
          <w:lang w:val="en-GB"/>
        </w:rPr>
        <w:t xml:space="preserve">type of </w:t>
      </w:r>
      <w:r w:rsidRPr="00C54D13">
        <w:rPr>
          <w:color w:val="000000"/>
          <w:lang w:val="en-GB"/>
        </w:rPr>
        <w:t>drugs) until reaching a state of</w:t>
      </w:r>
      <w:r w:rsidR="0039525B">
        <w:rPr>
          <w:color w:val="000000"/>
          <w:lang w:val="en-GB"/>
        </w:rPr>
        <w:t xml:space="preserve"> remission (target)</w:t>
      </w:r>
      <w:r w:rsidRPr="00C54D13">
        <w:rPr>
          <w:color w:val="000000"/>
          <w:lang w:val="en-GB"/>
        </w:rPr>
        <w:t xml:space="preserve"> defined by objective and subjective criteria. In CD as in many areas of medicine, the treat-to-target strategy became a standard of care. Its implementation in clinical practice requires to </w:t>
      </w:r>
      <w:r w:rsidR="00F63A8B" w:rsidRPr="00C54D13">
        <w:rPr>
          <w:color w:val="000000"/>
          <w:lang w:val="en-GB"/>
        </w:rPr>
        <w:t xml:space="preserve">regularly </w:t>
      </w:r>
      <w:r w:rsidRPr="00C54D13">
        <w:rPr>
          <w:color w:val="000000"/>
          <w:lang w:val="en-GB"/>
        </w:rPr>
        <w:t>monitor disease activity (tight control) and to adop</w:t>
      </w:r>
      <w:r w:rsidR="00B54572">
        <w:rPr>
          <w:color w:val="000000"/>
          <w:lang w:val="en-GB"/>
        </w:rPr>
        <w:t>t a consensual definition of</w:t>
      </w:r>
      <w:r w:rsidRPr="00C54D13">
        <w:rPr>
          <w:color w:val="000000"/>
          <w:lang w:val="en-GB"/>
        </w:rPr>
        <w:t xml:space="preserve"> remission. In this context, the concept of remission became a major stake and showed rapid evolution with the adv</w:t>
      </w:r>
      <w:r w:rsidR="005D1736">
        <w:rPr>
          <w:color w:val="000000"/>
          <w:lang w:val="en-GB"/>
        </w:rPr>
        <w:t>ances in the field</w:t>
      </w:r>
      <w:r w:rsidR="00764698">
        <w:rPr>
          <w:color w:val="000000"/>
          <w:lang w:val="en-GB"/>
        </w:rPr>
        <w:t>s</w:t>
      </w:r>
      <w:r w:rsidR="005D1736">
        <w:rPr>
          <w:color w:val="000000"/>
          <w:lang w:val="en-GB"/>
        </w:rPr>
        <w:t xml:space="preserve"> of diagnosis</w:t>
      </w:r>
      <w:r w:rsidRPr="00C54D13">
        <w:rPr>
          <w:color w:val="000000"/>
          <w:lang w:val="en-GB"/>
        </w:rPr>
        <w:t xml:space="preserve"> and clinical research</w:t>
      </w:r>
      <w:r w:rsidR="00721035" w:rsidRPr="00C54D13">
        <w:rPr>
          <w:color w:val="000000"/>
          <w:lang w:val="en-GB"/>
        </w:rPr>
        <w:fldChar w:fldCharType="begin" w:fldLock="1"/>
      </w:r>
      <w:r w:rsidR="00721035" w:rsidRPr="00C54D13">
        <w:rPr>
          <w:color w:val="000000"/>
          <w:lang w:val="en-GB"/>
        </w:rPr>
        <w:instrText>ADDIN CSL_CITATION {"citationItems":[{"id":"ITEM-1","itemData":{"DOI":"10.1159/000342732","ISSN":"0257-2753","abstract":"Crohn’s disease (CD) is a chronic inflammatory disorder characterized by periods of clinical remission alternating with periods of relapse defined by recurrent clinical symptoms. Persistent inflammation is believed to lead to progressive bowel damage over time, which manifests with the development of strictures, fistulae and abscesses. These disease complications frequently lead to a need for surgical resection, which in turn leads to disability. So CD can be characterized as a chronic, progressive, destructive and disabling disease. In rheumatoid arthritis, treatment paradigms have evolved beyond partial symptom control alone toward the induction and maintenance of sustained biological remission, also known as a ‘treat to target’ strategy, with the goal of improving long-term disease outcomes. In CD, there is currently no accepted, well-defined, comprehensive treatment goal that entails the treatment of both clinical symptoms and biologic inflammation. It is important that such a treatment concept begins to evolve for CD. A treatment strategy that delays or halts the progression of CD to increasing damage and disability is a priority. As a starting point, a working definition of sustained deep remission (that includes long-term biological remission and symptom control) with defined patient outcomes (including no disease progression) has been proposed. The concept of sustained deep remission represents a goal for CD management that may still evolve. It is not clear if the concept also applies to ulcerative colitis. Clinical trials are needed to evaluate whether treatment algorithms that tailor therapy to achieve deep remission in patients with CD can prevent disease progression and disability.","author":[{"dropping-particle":"","family":"Colombel","given":"J.-F.","non-dropping-particle":"","parse-names":false,"suffix":""},{"dropping-particle":"","family":"Louis","given":"E","non-dropping-particle":"","parse-names":false,"suffix":""},{"dropping-particle":"","family":"Peyrin-Biroulet","given":"L","non-dropping-particle":"","parse-names":false,"suffix":""},{"dropping-particle":"","family":"Sandborn","given":"W J","non-dropping-particle":"","parse-names":false,"suffix":""},{"dropping-particle":"","family":"Panaccione","given":"R","non-dropping-particle":"","parse-names":false,"suffix":""}],"container-title":"Digestive Diseases","id":"ITEM-1","issue":"Suppl. 3","issued":{"date-parts":[["2012"]]},"page":"107-111","title":"Deep Remission: A New Concept?","type":"article-journal","volume":"30(suppl 3"},"uris":["http://www.mendeley.com/documents/?uuid=1d8a4bd4-51f3-404f-9bf4-82b7ae861cfa"]},{"id":"ITEM-2","itemData":{"DOI":"10.1097/MIB.0b013e318283a4b3","ISSN":"1536-4844 (Electronic)","PMID":"23598817","abstract":"BACKGROUND: Using clinical symptoms alone to inform treatment decisions in Crohn's  disease (CD) may increase the risk of disease progression and complications. Treatment beyond symptoms may offer improved outcomes. METHODS: We explore alternative definitions of remission, beyond traditional clinical remission, incorporating more objective parameters of inflammation control, which may support prevention or delay the disease progression. These definitions could serve as a platform for future clinical research, evaluating whether treating beyond symptoms alters the natural history of CD. RESULTS: Proposed definitions may include endoscopic remission (mucosal healing), normalization of serologic or fecal markers of inflammation, and even radiographic remission, in addition to clinical remission (symptom control). Endoscopic remission is the leading candidate for inclusion because it is the best studied. The definition should include considerations for both early and late disease given that in late disease, which may be associated with operation-related symptoms or irreversible bowel damage, symptomatic remission may not achievable. Desired outcomes in early disease are complete absence of symptoms, no disease progression, no complications or disability, and normal quality of life. In late disease, there are stabilization of noninflammatory symptoms, no progression of damage or disability, and improved quality of life. CONCLUSIONS: Over time, we anticipate that a working definition of remission that includes both biological remission and clinical remission will evolve and be evaluated in clinical trials. Our proposed definition is a possible starting point for that evolution. Ultimately, the goal in evolving the definition of remission is to improve the outcomes in patients with CD.","author":[{"dropping-particle":"","family":"Panaccione","given":"Remo","non-dropping-particle":"","parse-names":false,"suffix":""},{"dropping-particle":"","family":"Colombel","given":"Jean-Frédéric","non-dropping-particle":"","parse-names":false,"suffix":""},{"dropping-particle":"","family":"Louis","given":"Edouard","non-dropping-particle":"","parse-names":false,"suffix":""},{"dropping-particle":"","family":"Peyrin-Biroulet","given":"Laurent","non-dropping-particle":"","parse-names":false,"suffix":""},{"dropping-particle":"","family":"Sandborn","given":"William J","non-dropping-particle":"","parse-names":false,"suffix":""}],"container-title":"Inflammatory bowel diseases","id":"ITEM-2","issue":"8","issued":{"date-parts":[["2013","7"]]},"language":"eng","page":"1645-1653","publisher-place":"England","title":"Evolving definitions of remission in Crohn's disease.","type":"article-journal","volume":"19"},"uris":["http://www.mendeley.com/documents/?uuid=0275c113-016a-46ca-8e1b-edd634cafc17"]},{"id":"ITEM-3","itemData":{"DOI":"10.1038/ajg.2015.233","ISSN":"1572-0241 (Electronic)","PMID":"26303131","abstract":"OBJECTIVES: The Selecting Therapeutic Targets in Inflammatory Bowel Disease (STRIDE)  program was initiated by the International Organization for the Study of Inflammatory Bowel Diseases (IOIBD). It examined potential treatment targets for inflammatory bowel disease (IBD) to be used for a \"treat-to-target\" clinical management strategy using an evidence-based expert consensus process. METHODS: A Steering Committee of 28 IBD specialists developed recommendations based on a systematic literature review and expert opinion. Consensus was gained if ≥75% of participants scored the recommendation as 7-10 on a 10-point rating scale (where 10=agree completely). RESULTS: The group agreed upon 12 recommendations for ulcerative colitis (UC) and Crohn's disease (CD). The agreed target for UC was clinical/patient-reported outcome (PRO) remission (defined as resolution of rectal bleeding and diarrhea/altered bowel habit) and endoscopic remission (defined as a Mayo endoscopic subscore of 0-1). Histological remission was considered as an adjunctive goal. Clinical/PRO remission was also agreed upon as a target for CD and defined as resolution of abdominal pain and diarrhea/altered bowel habit; and endoscopic remission, defined as resolution of ulceration at ileocolonoscopy, or resolution of findings of inflammation on cross-sectional imaging in patients who cannot be adequately assessed with ileocolonoscopy. Biomarker remission (normal C-reactive protein (CRP) and calprotectin) was considered as an adjunctive target. CONCLUSIONS: Evidence- and consensus-based recommendations for selecting the goals for treat-to-target strategies in patients with IBD are made available. Prospective studies are needed to determine how these targets will change disease course and patients' quality of life.","author":[{"dropping-particle":"","family":"Peyrin-Biroulet","given":"L","non-dropping-particle":"","parse-names":false,"suffix":""},{"dropping-particle":"","family":"Sandborn","given":"W","non-dropping-particle":"","parse-names":false,"suffix":""},{"dropping-particle":"","family":"Sands","given":"B E","non-dropping-particle":"","parse-names":false,"suffix":""},{"dropping-particle":"","family":"Reinisch","given":"W","non-dropping-particle":"","parse-names":false,"suffix":""},{"dropping-particle":"","family":"Bemelman","given":"W","non-dropping-particle":"","parse-names":false,"suffix":""},{"dropping-particle":"V","family":"Bryant","given":"R","non-dropping-particle":"","parse-names":false,"suffix":""},{"dropping-particle":"","family":"D'Haens","given":"G","non-dropping-particle":"","parse-names":false,"suffix":""},{"dropping-particle":"","family":"Dotan","given":"I","non-dropping-particle":"","parse-names":false,"suffix":""},{"dropping-particle":"","family":"Dubinsky","given":"M","non-dropping-particle":"","parse-names":false,"suffix":""},{"dropping-particle":"","family":"Feagan","given":"B","non-dropping-particle":"","parse-names":false,"suffix":""},{"dropping-particle":"","family":"Fiorino","given":"G","non-dropping-particle":"","parse-names":false,"suffix":""},{"dropping-particle":"","family":"Gearry","given":"R","non-dropping-particle":"","parse-names":false,"suffix":""},{"dropping-particle":"","family":"Krishnareddy","given":"S","non-dropping-particle":"","parse-names":false,"suffix":""},{"dropping-particle":"","family":"Lakatos","given":"P L","non-dropping-particle":"","parse-names":false,"suffix":""},{"dropping-particle":"","family":"Loftus","given":"E V Jr","non-dropping-particle":"","parse-names":false,"suffix":""},{"dropping-particle":"","family":"Marteau","given":"P","non-dropping-particle":"","parse-names":false,"suffix":""},{"dropping-particle":"","family":"Munkholm","given":"P","non-dropping-particle":"","parse-names":false,"suffix":""},{"dropping-particle":"","family":"Murdoch","given":"T B","non-dropping-particle":"","parse-names":false,"suffix":""},{"dropping-particle":"","family":"Ordás","given":"I","non-dropping-particle":"","parse-names":false,"suffix":""},{"dropping-particle":"","family":"Panaccione","given":"R","non-dropping-particle":"","parse-names":false,"suffix":""},{"dropping-particle":"","family":"Riddell","given":"R H","non-dropping-particle":"","parse-names":false,"suffix":""},{"dropping-particle":"","family":"Ruel","given":"J","non-dropping-particle":"","parse-names":false,"suffix":""},{"dropping-particle":"","family":"Rubin","given":"D T","non-dropping-particle":"","parse-names":false,"suffix":""},{"dropping-particle":"","family":"Samaan","given":"M","non-dropping-particle":"","parse-names":false,"suffix":""},{"dropping-particle":"","family":"Siegel","given":"C A","non-dropping-particle":"","parse-names":false,"suffix":""},{"dropping-particle":"","family":"Silverberg","given":"M S","non-dropping-particle":"","parse-names":false,"suffix":""},{"dropping-particle":"","family":"Stoker","given":"J","non-dropping-particle":"","parse-names":false,"suffix":""},{"dropping-particle":"","family":"Schreiber","given":"S","non-dropping-particle":"","parse-names":false,"suffix":""},{"dropping-particle":"","family":"Travis","given":"S","non-dropping-particle":"","parse-names":false,"suffix":""},{"dropping-particle":"","family":"Assche","given":"G","non-dropping-particle":"Van","parse-names":false,"suffix":""},{"dropping-particle":"","family":"Danese","given":"S","non-dropping-particle":"","parse-names":false,"suffix":""},{"dropping-particle":"","family":"Panes","given":"J","non-dropping-particle":"","parse-names":false,"suffix":""},{"dropping-particle":"","family":"Bouguen","given":"G","non-dropping-particle":"","parse-names":false,"suffix":""},{"dropping-particle":"","family":"O'Donnell","given":"S","non-dropping-particle":"","parse-names":false,"suffix":""},{"dropping-particle":"","family":"Pariente","given":"B","non-dropping-particle":"","parse-names":false,"suffix":""},{"dropping-particle":"","family":"Winer","given":"S","non-dropping-particle":"","parse-names":false,"suffix":""},{"dropping-particle":"","family":"Hanauer","given":"S","non-dropping-particle":"","parse-names":false,"suffix":""},{"dropping-particle":"","family":"Colombel","given":"J-F","non-dropping-particle":"","parse-names":false,"suffix":""}],"container-title":"The American journal of gastroenterology","id":"ITEM-3","issue":"9","issued":{"date-parts":[["2015","9"]]},"language":"eng","page":"1324-1338","publisher-place":"United States","title":"Selecting Therapeutic Targets in Inflammatory Bowel Disease (STRIDE): Determining  Therapeutic Goals for Treat-to-Target.","type":"article-journal","volume":"110"},"uris":["http://www.mendeley.com/documents/?uuid=121964cb-7b0f-45e5-9416-ceccb32bfe7c"]},{"id":"ITEM-4","itemData":{"DOI":"10.1053/j.gastro.2020.12.031","ISSN":"1528-0012 (Electronic)","PMID":"33359090","abstract":"BACKGROUND: The Selecting Therapeutic Targets in Inflammatory Bowel Disease (STRIDE)  initiative of the International Organization for the Study of Inflammatory Bowel Diseases (IOIBD) has proposed treatment targets in 2015 for adult patients with inflammatory bowel disease (IBD). We aimed to update the original STRIDE statements for incorporating treatment targets in both adult and pediatric IBD. METHODS: Based on a systematic review of the literature and iterative surveys of 89 IOIBD members, recommendations were drafted and modified in 2 surveys and 2 voting rounds. Consensus was reached if ≥75% of participants scored the recommendation as 7 to 10 on a 10-point rating scale. RESULTS: In the systematic review, 11,278 manuscripts were screened, of which 435 were included. The first IOIBD survey identified the following targets as most important: clinical response and remission, endoscopic healing, and normalization of C-reactive protein/erythrocyte sedimentation rate and calprotectin. Fifteen recommendations were identified, of which 13 were endorsed. STRIDE-II confirmed STRIDE-I long-term targets of clinical remission and endoscopic healing and added absence of disability, restoration of quality of life, and normal growth in children. Symptomatic relief and normalization of serum and fecal markers have been determined as short-term targets. Transmural healing in Crohn's disease and histological healing in ulcerative colitis are not formal targets but should be assessed as measures of the remission depth. CONCLUSIONS: STRIDE-II encompasses evidence- and consensus-based recommendations for treat-to-target strategies in adults and children with IBD. This frameworkshould be adapted to individual patients and local resources to improve outcomes.","author":[{"dropping-particle":"","family":"Turner","given":"Dan","non-dropping-particle":"","parse-names":false,"suffix":""},{"dropping-particle":"","family":"Ricciuto","given":"Amanda","non-dropping-particle":"","parse-names":false,"suffix":""},{"dropping-particle":"","family":"Lewis","given":"Ayanna","non-dropping-particle":"","parse-names":false,"suffix":""},{"dropping-particle":"","family":"D'Amico","given":"Ferdinando","non-dropping-particle":"","parse-names":false,"suffix":""},{"dropping-particle":"","family":"Dhaliwal","given":"Jasbir","non-dropping-particle":"","parse-names":false,"suffix":""},{"dropping-particle":"","family":"Griffiths","given":"Anne M","non-dropping-particle":"","parse-names":false,"suffix":""},{"dropping-particle":"","family":"Bettenworth","given":"Dominik","non-dropping-particle":"","parse-names":false,"suffix":""},{"dropping-particle":"","family":"Sandborn","given":"William J","non-dropping-particle":"","parse-names":false,"suffix":""},{"dropping-particle":"","family":"Sands","given":"Bruce E","non-dropping-particle":"","parse-names":false,"suffix":""},{"dropping-particle":"","family":"Reinisch","given":"Walter","non-dropping-particle":"","parse-names":false,"suffix":""},{"dropping-particle":"","family":"Schölmerich","given":"Jürgen","non-dropping-particle":"","parse-names":false,"suffix":""},{"dropping-particle":"","family":"Bemelman","given":"Willem","non-dropping-particle":"","parse-names":false,"suffix":""},{"dropping-particle":"","family":"Danese","given":"Silvio","non-dropping-particle":"","parse-names":false,"suffix":""},{"dropping-particle":"","family":"Mary","given":"Jean Yves","non-dropping-particle":"","parse-names":false,"suffix":""},{"dropping-particle":"","family":"Rubin","given":"David","non-dropping-particle":"","parse-names":false,"suffix":""},{"dropping-particle":"","family":"Colombel","given":"Jean-Frederic","non-dropping-particle":"","parse-names":false,"suffix":""},{"dropping-particle":"","family":"Peyrin-Biroulet","given":"Laurent","non-dropping-particle":"","parse-names":false,"suffix":""},{"dropping-particle":"","family":"Dotan","given":"Iris","non-dropping-particle":"","parse-names":false,"suffix":""},{"dropping-particle":"","family":"Abreu","given":"Maria T","non-dropping-particle":"","parse-names":false,"suffix":""},{"dropping-particle":"","family":"Dignass","given":"Axel","non-dropping-particle":"","parse-names":false,"suffix":""}],"container-title":"Gastroenterology","id":"ITEM-4","issue":"5","issued":{"date-parts":[["2021","4"]]},"language":"eng","page":"1570-1583","publisher-place":"United States","title":"STRIDE-II: An Update on the Selecting Therapeutic Targets in Inflammatory Bowel  Disease (STRIDE) Initiative of the International Organization for the Study of IBD (IOIBD): Determining Therapeutic Goals for Treat-to-Target strategies in IBD.","type":"article-journal","volume":"160"},"uris":["http://www.mendeley.com/documents/?uuid=fe060cf3-41c2-4d33-9ebd-732ef2a8ad37"]}],"mendeley":{"formattedCitation":"&lt;sup&gt;2–5&lt;/sup&gt;","plainTextFormattedCitation":"2–5","previouslyFormattedCitation":"&lt;sup&gt;2–5&lt;/sup&gt;"},"properties":{"noteIndex":0},"schema":"https://github.com/citation-style-language/schema/raw/master/csl-citation.json"}</w:instrText>
      </w:r>
      <w:r w:rsidR="00721035" w:rsidRPr="00C54D13">
        <w:rPr>
          <w:color w:val="000000"/>
          <w:lang w:val="en-GB"/>
        </w:rPr>
        <w:fldChar w:fldCharType="separate"/>
      </w:r>
      <w:r w:rsidR="00721035" w:rsidRPr="00C54D13">
        <w:rPr>
          <w:noProof/>
          <w:color w:val="000000"/>
          <w:vertAlign w:val="superscript"/>
          <w:lang w:val="en-GB"/>
        </w:rPr>
        <w:t>2–5</w:t>
      </w:r>
      <w:r w:rsidR="00721035" w:rsidRPr="00C54D13">
        <w:rPr>
          <w:color w:val="000000"/>
          <w:lang w:val="en-GB"/>
        </w:rPr>
        <w:fldChar w:fldCharType="end"/>
      </w:r>
      <w:r w:rsidRPr="00C54D13">
        <w:rPr>
          <w:color w:val="000000"/>
          <w:lang w:val="en-GB"/>
        </w:rPr>
        <w:t xml:space="preserve">. In 2015, the expert committee of the </w:t>
      </w:r>
      <w:r w:rsidRPr="00C54D13">
        <w:rPr>
          <w:lang w:val="en-GB"/>
        </w:rPr>
        <w:t>STRIDE (Selecting Therapeutic Targets in Inflammatory Bowel Disease) initiative defined ther</w:t>
      </w:r>
      <w:r w:rsidR="004400AB">
        <w:rPr>
          <w:lang w:val="en-GB"/>
        </w:rPr>
        <w:t>apeutic targets in CD and this</w:t>
      </w:r>
      <w:r w:rsidRPr="00C54D13">
        <w:rPr>
          <w:lang w:val="en-GB"/>
        </w:rPr>
        <w:t xml:space="preserve"> </w:t>
      </w:r>
      <w:r w:rsidR="004400AB">
        <w:rPr>
          <w:lang w:val="en-GB"/>
        </w:rPr>
        <w:t>was</w:t>
      </w:r>
      <w:r w:rsidRPr="00C54D13">
        <w:rPr>
          <w:lang w:val="en-GB"/>
        </w:rPr>
        <w:t xml:space="preserve"> updated in the STRIDE-II </w:t>
      </w:r>
      <w:r w:rsidR="00B53691">
        <w:rPr>
          <w:lang w:val="en-GB"/>
        </w:rPr>
        <w:t>initiative</w:t>
      </w:r>
      <w:r w:rsidRPr="00C54D13">
        <w:rPr>
          <w:lang w:val="en-GB"/>
        </w:rPr>
        <w:t xml:space="preserve"> (2021)</w:t>
      </w:r>
      <w:r w:rsidR="00721035" w:rsidRPr="00C54D13">
        <w:rPr>
          <w:lang w:val="en-GB"/>
        </w:rPr>
        <w:fldChar w:fldCharType="begin" w:fldLock="1"/>
      </w:r>
      <w:r w:rsidR="00721035" w:rsidRPr="00C54D13">
        <w:rPr>
          <w:lang w:val="en-GB"/>
        </w:rPr>
        <w:instrText>ADDIN CSL_CITATION {"citationItems":[{"id":"ITEM-1","itemData":{"DOI":"10.1038/ajg.2015.233","ISSN":"1572-0241 (Electronic)","PMID":"26303131","abstract":"OBJECTIVES: The Selecting Therapeutic Targets in Inflammatory Bowel Disease (STRIDE)  program was initiated by the International Organization for the Study of Inflammatory Bowel Diseases (IOIBD). It examined potential treatment targets for inflammatory bowel disease (IBD) to be used for a \"treat-to-target\" clinical management strategy using an evidence-based expert consensus process. METHODS: A Steering Committee of 28 IBD specialists developed recommendations based on a systematic literature review and expert opinion. Consensus was gained if ≥75% of participants scored the recommendation as 7-10 on a 10-point rating scale (where 10=agree completely). RESULTS: The group agreed upon 12 recommendations for ulcerative colitis (UC) and Crohn's disease (CD). The agreed target for UC was clinical/patient-reported outcome (PRO) remission (defined as resolution of rectal bleeding and diarrhea/altered bowel habit) and endoscopic remission (defined as a Mayo endoscopic subscore of 0-1). Histological remission was considered as an adjunctive goal. Clinical/PRO remission was also agreed upon as a target for CD and defined as resolution of abdominal pain and diarrhea/altered bowel habit; and endoscopic remission, defined as resolution of ulceration at ileocolonoscopy, or resolution of findings of inflammation on cross-sectional imaging in patients who cannot be adequately assessed with ileocolonoscopy. Biomarker remission (normal C-reactive protein (CRP) and calprotectin) was considered as an adjunctive target. CONCLUSIONS: Evidence- and consensus-based recommendations for selecting the goals for treat-to-target strategies in patients with IBD are made available. Prospective studies are needed to determine how these targets will change disease course and patients' quality of life.","author":[{"dropping-particle":"","family":"Peyrin-Biroulet","given":"L","non-dropping-particle":"","parse-names":false,"suffix":""},{"dropping-particle":"","family":"Sandborn","given":"W","non-dropping-particle":"","parse-names":false,"suffix":""},{"dropping-particle":"","family":"Sands","given":"B E","non-dropping-particle":"","parse-names":false,"suffix":""},{"dropping-particle":"","family":"Reinisch","given":"W","non-dropping-particle":"","parse-names":false,"suffix":""},{"dropping-particle":"","family":"Bemelman","given":"W","non-dropping-particle":"","parse-names":false,"suffix":""},{"dropping-particle":"V","family":"Bryant","given":"R","non-dropping-particle":"","parse-names":false,"suffix":""},{"dropping-particle":"","family":"D'Haens","given":"G","non-dropping-particle":"","parse-names":false,"suffix":""},{"dropping-particle":"","family":"Dotan","given":"I","non-dropping-particle":"","parse-names":false,"suffix":""},{"dropping-particle":"","family":"Dubinsky","given":"M","non-dropping-particle":"","parse-names":false,"suffix":""},{"dropping-particle":"","family":"Feagan","given":"B","non-dropping-particle":"","parse-names":false,"suffix":""},{"dropping-particle":"","family":"Fiorino","given":"G","non-dropping-particle":"","parse-names":false,"suffix":""},{"dropping-particle":"","family":"Gearry","given":"R","non-dropping-particle":"","parse-names":false,"suffix":""},{"dropping-particle":"","family":"Krishnareddy","given":"S","non-dropping-particle":"","parse-names":false,"suffix":""},{"dropping-particle":"","family":"Lakatos","given":"P L","non-dropping-particle":"","parse-names":false,"suffix":""},{"dropping-particle":"","family":"Loftus","given":"E V Jr","non-dropping-particle":"","parse-names":false,"suffix":""},{"dropping-particle":"","family":"Marteau","given":"P","non-dropping-particle":"","parse-names":false,"suffix":""},{"dropping-particle":"","family":"Munkholm","given":"P","non-dropping-particle":"","parse-names":false,"suffix":""},{"dropping-particle":"","family":"Murdoch","given":"T B","non-dropping-particle":"","parse-names":false,"suffix":""},{"dropping-particle":"","family":"Ordás","given":"I","non-dropping-particle":"","parse-names":false,"suffix":""},{"dropping-particle":"","family":"Panaccione","given":"R","non-dropping-particle":"","parse-names":false,"suffix":""},{"dropping-particle":"","family":"Riddell","given":"R H","non-dropping-particle":"","parse-names":false,"suffix":""},{"dropping-particle":"","family":"Ruel","given":"J","non-dropping-particle":"","parse-names":false,"suffix":""},{"dropping-particle":"","family":"Rubin","given":"D T","non-dropping-particle":"","parse-names":false,"suffix":""},{"dropping-particle":"","family":"Samaan","given":"M","non-dropping-particle":"","parse-names":false,"suffix":""},{"dropping-particle":"","family":"Siegel","given":"C A","non-dropping-particle":"","parse-names":false,"suffix":""},{"dropping-particle":"","family":"Silverberg","given":"M S","non-dropping-particle":"","parse-names":false,"suffix":""},{"dropping-particle":"","family":"Stoker","given":"J","non-dropping-particle":"","parse-names":false,"suffix":""},{"dropping-particle":"","family":"Schreiber","given":"S","non-dropping-particle":"","parse-names":false,"suffix":""},{"dropping-particle":"","family":"Travis","given":"S","non-dropping-particle":"","parse-names":false,"suffix":""},{"dropping-particle":"","family":"Assche","given":"G","non-dropping-particle":"Van","parse-names":false,"suffix":""},{"dropping-particle":"","family":"Danese","given":"S","non-dropping-particle":"","parse-names":false,"suffix":""},{"dropping-particle":"","family":"Panes","given":"J","non-dropping-particle":"","parse-names":false,"suffix":""},{"dropping-particle":"","family":"Bouguen","given":"G","non-dropping-particle":"","parse-names":false,"suffix":""},{"dropping-particle":"","family":"O'Donnell","given":"S","non-dropping-particle":"","parse-names":false,"suffix":""},{"dropping-particle":"","family":"Pariente","given":"B","non-dropping-particle":"","parse-names":false,"suffix":""},{"dropping-particle":"","family":"Winer","given":"S","non-dropping-particle":"","parse-names":false,"suffix":""},{"dropping-particle":"","family":"Hanauer","given":"S","non-dropping-particle":"","parse-names":false,"suffix":""},{"dropping-particle":"","family":"Colombel","given":"J-F","non-dropping-particle":"","parse-names":false,"suffix":""}],"container-title":"The American journal of gastroenterology","id":"ITEM-1","issue":"9","issued":{"date-parts":[["2015","9"]]},"language":"eng","page":"1324-1338","publisher-place":"United States","title":"Selecting Therapeutic Targets in Inflammatory Bowel Disease (STRIDE): Determining  Therapeutic Goals for Treat-to-Target.","type":"article-journal","volume":"110"},"uris":["http://www.mendeley.com/documents/?uuid=121964cb-7b0f-45e5-9416-ceccb32bfe7c"]},{"id":"ITEM-2","itemData":{"DOI":"10.1053/j.gastro.2020.12.031","ISSN":"1528-0012 (Electronic)","PMID":"33359090","abstract":"BACKGROUND: The Selecting Therapeutic Targets in Inflammatory Bowel Disease (STRIDE)  initiative of the International Organization for the Study of Inflammatory Bowel Diseases (IOIBD) has proposed treatment targets in 2015 for adult patients with inflammatory bowel disease (IBD). We aimed to update the original STRIDE statements for incorporating treatment targets in both adult and pediatric IBD. METHODS: Based on a systematic review of the literature and iterative surveys of 89 IOIBD members, recommendations were drafted and modified in 2 surveys and 2 voting rounds. Consensus was reached if ≥75% of participants scored the recommendation as 7 to 10 on a 10-point rating scale. RESULTS: In the systematic review, 11,278 manuscripts were screened, of which 435 were included. The first IOIBD survey identified the following targets as most important: clinical response and remission, endoscopic healing, and normalization of C-reactive protein/erythrocyte sedimentation rate and calprotectin. Fifteen recommendations were identified, of which 13 were endorsed. STRIDE-II confirmed STRIDE-I long-term targets of clinical remission and endoscopic healing and added absence of disability, restoration of quality of life, and normal growth in children. Symptomatic relief and normalization of serum and fecal markers have been determined as short-term targets. Transmural healing in Crohn's disease and histological healing in ulcerative colitis are not formal targets but should be assessed as measures of the remission depth. CONCLUSIONS: STRIDE-II encompasses evidence- and consensus-based recommendations for treat-to-target strategies in adults and children with IBD. This frameworkshould be adapted to individual patients and local resources to improve outcomes.","author":[{"dropping-particle":"","family":"Turner","given":"Dan","non-dropping-particle":"","parse-names":false,"suffix":""},{"dropping-particle":"","family":"Ricciuto","given":"Amanda","non-dropping-particle":"","parse-names":false,"suffix":""},{"dropping-particle":"","family":"Lewis","given":"Ayanna","non-dropping-particle":"","parse-names":false,"suffix":""},{"dropping-particle":"","family":"D'Amico","given":"Ferdinando","non-dropping-particle":"","parse-names":false,"suffix":""},{"dropping-particle":"","family":"Dhaliwal","given":"Jasbir","non-dropping-particle":"","parse-names":false,"suffix":""},{"dropping-particle":"","family":"Griffiths","given":"Anne M","non-dropping-particle":"","parse-names":false,"suffix":""},{"dropping-particle":"","family":"Bettenworth","given":"Dominik","non-dropping-particle":"","parse-names":false,"suffix":""},{"dropping-particle":"","family":"Sandborn","given":"William J","non-dropping-particle":"","parse-names":false,"suffix":""},{"dropping-particle":"","family":"Sands","given":"Bruce E","non-dropping-particle":"","parse-names":false,"suffix":""},{"dropping-particle":"","family":"Reinisch","given":"Walter","non-dropping-particle":"","parse-names":false,"suffix":""},{"dropping-particle":"","family":"Schölmerich","given":"Jürgen","non-dropping-particle":"","parse-names":false,"suffix":""},{"dropping-particle":"","family":"Bemelman","given":"Willem","non-dropping-particle":"","parse-names":false,"suffix":""},{"dropping-particle":"","family":"Danese","given":"Silvio","non-dropping-particle":"","parse-names":false,"suffix":""},{"dropping-particle":"","family":"Mary","given":"Jean Yves","non-dropping-particle":"","parse-names":false,"suffix":""},{"dropping-particle":"","family":"Rubin","given":"David","non-dropping-particle":"","parse-names":false,"suffix":""},{"dropping-particle":"","family":"Colombel","given":"Jean-Frederic","non-dropping-particle":"","parse-names":false,"suffix":""},{"dropping-particle":"","family":"Peyrin-Biroulet","given":"Laurent","non-dropping-particle":"","parse-names":false,"suffix":""},{"dropping-particle":"","family":"Dotan","given":"Iris","non-dropping-particle":"","parse-names":false,"suffix":""},{"dropping-particle":"","family":"Abreu","given":"Maria T","non-dropping-particle":"","parse-names":false,"suffix":""},{"dropping-particle":"","family":"Dignass","given":"Axel","non-dropping-particle":"","parse-names":false,"suffix":""}],"container-title":"Gastroenterology","id":"ITEM-2","issue":"5","issued":{"date-parts":[["2021","4"]]},"language":"eng","page":"1570-1583","publisher-place":"United States","title":"STRIDE-II: An Update on the Selecting Therapeutic Targets in Inflammatory Bowel  Disease (STRIDE) Initiative of the International Organization for the Study of IBD (IOIBD): Determining Therapeutic Goals for Treat-to-Target strategies in IBD.","type":"article-journal","volume":"160"},"uris":["http://www.mendeley.com/documents/?uuid=fe060cf3-41c2-4d33-9ebd-732ef2a8ad37"]}],"mendeley":{"formattedCitation":"&lt;sup&gt;4,5&lt;/sup&gt;","plainTextFormattedCitation":"4,5","previouslyFormattedCitation":"&lt;sup&gt;4,5&lt;/sup&gt;"},"properties":{"noteIndex":0},"schema":"https://github.com/citation-style-language/schema/raw/master/csl-citation.json"}</w:instrText>
      </w:r>
      <w:r w:rsidR="00721035" w:rsidRPr="00C54D13">
        <w:rPr>
          <w:lang w:val="en-GB"/>
        </w:rPr>
        <w:fldChar w:fldCharType="separate"/>
      </w:r>
      <w:r w:rsidR="00721035" w:rsidRPr="00C54D13">
        <w:rPr>
          <w:noProof/>
          <w:vertAlign w:val="superscript"/>
          <w:lang w:val="en-GB"/>
        </w:rPr>
        <w:t>4,5</w:t>
      </w:r>
      <w:r w:rsidR="00721035" w:rsidRPr="00C54D13">
        <w:rPr>
          <w:lang w:val="en-GB"/>
        </w:rPr>
        <w:fldChar w:fldCharType="end"/>
      </w:r>
      <w:r w:rsidRPr="00C54D13">
        <w:rPr>
          <w:lang w:val="en-GB"/>
        </w:rPr>
        <w:t>.</w:t>
      </w:r>
    </w:p>
    <w:p w14:paraId="7D43A0A6" w14:textId="267701DC" w:rsidR="00B15344" w:rsidRDefault="00B15344" w:rsidP="00585486">
      <w:pPr>
        <w:pStyle w:val="NormalWeb"/>
        <w:spacing w:before="0" w:beforeAutospacing="0" w:after="0" w:afterAutospacing="0" w:line="480" w:lineRule="auto"/>
        <w:jc w:val="both"/>
        <w:rPr>
          <w:lang w:val="en-GB"/>
        </w:rPr>
      </w:pPr>
    </w:p>
    <w:p w14:paraId="38158C33" w14:textId="57BE3351" w:rsidR="00FA4CC9" w:rsidRDefault="00B15344" w:rsidP="00FA4CC9">
      <w:pPr>
        <w:pStyle w:val="NormalWeb"/>
        <w:spacing w:before="0" w:beforeAutospacing="0" w:after="0" w:afterAutospacing="0" w:line="480" w:lineRule="auto"/>
        <w:jc w:val="both"/>
        <w:rPr>
          <w:b/>
          <w:lang w:val="en-GB"/>
        </w:rPr>
      </w:pPr>
      <w:r w:rsidRPr="00B15344">
        <w:rPr>
          <w:b/>
          <w:lang w:val="en-GB"/>
        </w:rPr>
        <w:t xml:space="preserve">2. </w:t>
      </w:r>
      <w:r w:rsidR="009E602A">
        <w:rPr>
          <w:b/>
          <w:lang w:val="en-GB"/>
        </w:rPr>
        <w:t>Limitation</w:t>
      </w:r>
      <w:r w:rsidR="005C5060">
        <w:rPr>
          <w:b/>
          <w:lang w:val="en-GB"/>
        </w:rPr>
        <w:t>s</w:t>
      </w:r>
      <w:r w:rsidR="009E602A">
        <w:rPr>
          <w:b/>
          <w:lang w:val="en-GB"/>
        </w:rPr>
        <w:t xml:space="preserve"> of </w:t>
      </w:r>
      <w:r w:rsidR="000B376A">
        <w:rPr>
          <w:b/>
          <w:lang w:val="en-GB"/>
        </w:rPr>
        <w:t>clinical and morphological</w:t>
      </w:r>
      <w:r w:rsidR="004B5B70">
        <w:rPr>
          <w:b/>
          <w:lang w:val="en-GB"/>
        </w:rPr>
        <w:t xml:space="preserve"> criteria to define </w:t>
      </w:r>
      <w:r w:rsidR="000B376A">
        <w:rPr>
          <w:b/>
          <w:lang w:val="en-GB"/>
        </w:rPr>
        <w:t>remission:</w:t>
      </w:r>
      <w:r w:rsidR="00933517">
        <w:rPr>
          <w:b/>
          <w:lang w:val="en-GB"/>
        </w:rPr>
        <w:t xml:space="preserve"> </w:t>
      </w:r>
      <w:r w:rsidR="00FA4CC9">
        <w:rPr>
          <w:b/>
          <w:lang w:val="en-GB"/>
        </w:rPr>
        <w:t xml:space="preserve">need to define remission based on biological </w:t>
      </w:r>
      <w:r w:rsidR="00FA4CC9" w:rsidRPr="00FA4CC9">
        <w:rPr>
          <w:b/>
          <w:lang w:val="en-GB"/>
        </w:rPr>
        <w:t>grounds</w:t>
      </w:r>
    </w:p>
    <w:p w14:paraId="629967E4" w14:textId="36A7585E" w:rsidR="0026125D" w:rsidRPr="00C54D13" w:rsidRDefault="0093320D" w:rsidP="00FA4CC9">
      <w:pPr>
        <w:spacing w:after="0" w:line="480" w:lineRule="auto"/>
        <w:ind w:firstLine="284"/>
        <w:jc w:val="both"/>
        <w:rPr>
          <w:rFonts w:ascii="Times New Roman" w:eastAsia="Times New Roman" w:hAnsi="Times New Roman" w:cs="Times New Roman"/>
          <w:color w:val="000000"/>
          <w:sz w:val="24"/>
          <w:szCs w:val="24"/>
          <w:lang w:val="en-GB"/>
        </w:rPr>
      </w:pPr>
      <w:r w:rsidRPr="00B40DB0">
        <w:rPr>
          <w:rFonts w:ascii="Times New Roman" w:eastAsia="Times New Roman" w:hAnsi="Times New Roman" w:cs="Times New Roman"/>
          <w:color w:val="000000"/>
          <w:sz w:val="24"/>
          <w:szCs w:val="24"/>
          <w:lang w:val="en-GB"/>
        </w:rPr>
        <w:t xml:space="preserve">According to </w:t>
      </w:r>
      <w:r w:rsidR="00576282" w:rsidRPr="00B40DB0">
        <w:rPr>
          <w:rFonts w:ascii="Times New Roman" w:eastAsia="Times New Roman" w:hAnsi="Times New Roman" w:cs="Times New Roman"/>
          <w:color w:val="000000"/>
          <w:sz w:val="24"/>
          <w:szCs w:val="24"/>
          <w:lang w:val="en-GB"/>
        </w:rPr>
        <w:t xml:space="preserve">the STRIDE-II </w:t>
      </w:r>
      <w:r w:rsidR="006A5A0E" w:rsidRPr="00B40DB0">
        <w:rPr>
          <w:rFonts w:ascii="Times New Roman" w:eastAsia="Times New Roman" w:hAnsi="Times New Roman" w:cs="Times New Roman"/>
          <w:color w:val="000000"/>
          <w:sz w:val="24"/>
          <w:szCs w:val="24"/>
          <w:lang w:val="en-GB"/>
        </w:rPr>
        <w:t>consensus</w:t>
      </w:r>
      <w:r w:rsidR="00576282" w:rsidRPr="00B40DB0">
        <w:rPr>
          <w:rFonts w:ascii="Times New Roman" w:eastAsia="Times New Roman" w:hAnsi="Times New Roman" w:cs="Times New Roman"/>
          <w:color w:val="000000"/>
          <w:sz w:val="24"/>
          <w:szCs w:val="24"/>
          <w:lang w:val="en-GB"/>
        </w:rPr>
        <w:fldChar w:fldCharType="begin" w:fldLock="1"/>
      </w:r>
      <w:r w:rsidR="00E339DB" w:rsidRPr="00B40DB0">
        <w:rPr>
          <w:rFonts w:ascii="Times New Roman" w:eastAsia="Times New Roman" w:hAnsi="Times New Roman" w:cs="Times New Roman"/>
          <w:color w:val="000000"/>
          <w:sz w:val="24"/>
          <w:szCs w:val="24"/>
          <w:lang w:val="en-GB"/>
        </w:rPr>
        <w:instrText>ADDIN CSL_CITATION {"citationItems":[{"id":"ITEM-1","itemData":{"DOI":"10.1053/j.gastro.2020.12.031","ISSN":"1528-0012 (Electronic)","PMID":"33359090","abstract":"BACKGROUND: The Selecting Therapeutic Targets in Inflammatory Bowel Disease (STRIDE)  initiative of the International Organization for the Study of Inflammatory Bowel Diseases (IOIBD) has proposed treatment targets in 2015 for adult patients with inflammatory bowel disease (IBD). We aimed to update the original STRIDE statements for incorporating treatment targets in both adult and pediatric IBD. METHODS: Based on a systematic review of the literature and iterative surveys of 89 IOIBD members, recommendations were drafted and modified in 2 surveys and 2 voting rounds. Consensus was reached if ≥75% of participants scored the recommendation as 7 to 10 on a 10-point rating scale. RESULTS: In the systematic review, 11,278 manuscripts were screened, of which 435 were included. The first IOIBD survey identified the following targets as most important: clinical response and remission, endoscopic healing, and normalization of C-reactive protein/erythrocyte sedimentation rate and calprotectin. Fifteen recommendations were identified, of which 13 were endorsed. STRIDE-II confirmed STRIDE-I long-term targets of clinical remission and endoscopic healing and added absence of disability, restoration of quality of life, and normal growth in children. Symptomatic relief and normalization of serum and fecal markers have been determined as short-term targets. Transmural healing in Crohn's disease and histological healing in ulcerative colitis are not formal targets but should be assessed as measures of the remission depth. CONCLUSIONS: STRIDE-II encompasses evidence- and consensus-based recommendations for treat-to-target strategies in adults and children with IBD. This frameworkshould be adapted to individual patients and local resources to improve outcomes.","author":[{"dropping-particle":"","family":"Turner","given":"Dan","non-dropping-particle":"","parse-names":false,"suffix":""},{"dropping-particle":"","family":"Ricciuto","given":"Amanda","non-dropping-particle":"","parse-names":false,"suffix":""},{"dropping-particle":"","family":"Lewis","given":"Ayanna","non-dropping-particle":"","parse-names":false,"suffix":""},{"dropping-particle":"","family":"D'Amico","given":"Ferdinando","non-dropping-particle":"","parse-names":false,"suffix":""},{"dropping-particle":"","family":"Dhaliwal","given":"Jasbir","non-dropping-particle":"","parse-names":false,"suffix":""},{"dropping-particle":"","family":"Griffiths","given":"Anne M","non-dropping-particle":"","parse-names":false,"suffix":""},{"dropping-particle":"","family":"Bettenworth","given":"Dominik","non-dropping-particle":"","parse-names":false,"suffix":""},{"dropping-particle":"","family":"Sandborn","given":"William J","non-dropping-particle":"","parse-names":false,"suffix":""},{"dropping-particle":"","family":"Sands","given":"Bruce E","non-dropping-particle":"","parse-names":false,"suffix":""},{"dropping-particle":"","family":"Reinisch","given":"Walter","non-dropping-particle":"","parse-names":false,"suffix":""},{"dropping-particle":"","family":"Schölmerich","given":"Jürgen","non-dropping-particle":"","parse-names":false,"suffix":""},{"dropping-particle":"","family":"Bemelman","given":"Willem","non-dropping-particle":"","parse-names":false,"suffix":""},{"dropping-particle":"","family":"Danese","given":"Silvio","non-dropping-particle":"","parse-names":false,"suffix":""},{"dropping-particle":"","family":"Mary","given":"Jean Yves","non-dropping-particle":"","parse-names":false,"suffix":""},{"dropping-particle":"","family":"Rubin","given":"David","non-dropping-particle":"","parse-names":false,"suffix":""},{"dropping-particle":"","family":"Colombel","given":"Jean-Frederic","non-dropping-particle":"","parse-names":false,"suffix":""},{"dropping-particle":"","family":"Peyrin-Biroulet","given":"Laurent","non-dropping-particle":"","parse-names":false,"suffix":""},{"dropping-particle":"","family":"Dotan","given":"Iris","non-dropping-particle":"","parse-names":false,"suffix":""},{"dropping-particle":"","family":"Abreu","given":"Maria T","non-dropping-particle":"","parse-names":false,"suffix":""},{"dropping-particle":"","family":"Dignass","given":"Axel","non-dropping-particle":"","parse-names":false,"suffix":""}],"container-title":"Gastroenterology","id":"ITEM-1","issue":"5","issued":{"date-parts":[["2021","4"]]},"language":"eng","page":"1570-1583","publisher-place":"United States","title":"STRIDE-II: An Update on the Selecting Therapeutic Targets in Inflammatory Bowel  Disease (STRIDE) Initiative of the International Organization for the Study of IBD (IOIBD): Determining Therapeutic Goals for Treat-to-Target strategies in IBD.","type":"article-journal","volume":"160"},"uris":["http://www.mendeley.com/documents/?uuid=fe060cf3-41c2-4d33-9ebd-732ef2a8ad37"]}],"mendeley":{"formattedCitation":"&lt;sup&gt;5&lt;/sup&gt;","plainTextFormattedCitation":"5","previouslyFormattedCitation":"&lt;sup&gt;5&lt;/sup&gt;"},"properties":{"noteIndex":0},"schema":"https://github.com/citation-style-language/schema/raw/master/csl-citation.json"}</w:instrText>
      </w:r>
      <w:r w:rsidR="00576282" w:rsidRPr="00B40DB0">
        <w:rPr>
          <w:rFonts w:ascii="Times New Roman" w:eastAsia="Times New Roman" w:hAnsi="Times New Roman" w:cs="Times New Roman"/>
          <w:color w:val="000000"/>
          <w:sz w:val="24"/>
          <w:szCs w:val="24"/>
          <w:lang w:val="en-GB"/>
        </w:rPr>
        <w:fldChar w:fldCharType="separate"/>
      </w:r>
      <w:r w:rsidR="00576282" w:rsidRPr="00B40DB0">
        <w:rPr>
          <w:rFonts w:ascii="Times New Roman" w:eastAsia="Times New Roman" w:hAnsi="Times New Roman" w:cs="Times New Roman"/>
          <w:noProof/>
          <w:color w:val="000000"/>
          <w:sz w:val="24"/>
          <w:szCs w:val="24"/>
          <w:vertAlign w:val="superscript"/>
          <w:lang w:val="en-GB"/>
        </w:rPr>
        <w:t>5</w:t>
      </w:r>
      <w:r w:rsidR="00576282" w:rsidRPr="00B40DB0">
        <w:rPr>
          <w:rFonts w:ascii="Times New Roman" w:eastAsia="Times New Roman" w:hAnsi="Times New Roman" w:cs="Times New Roman"/>
          <w:color w:val="000000"/>
          <w:sz w:val="24"/>
          <w:szCs w:val="24"/>
          <w:lang w:val="en-GB"/>
        </w:rPr>
        <w:fldChar w:fldCharType="end"/>
      </w:r>
      <w:r w:rsidRPr="00B40DB0">
        <w:rPr>
          <w:rFonts w:ascii="Times New Roman" w:eastAsia="Times New Roman" w:hAnsi="Times New Roman" w:cs="Times New Roman"/>
          <w:color w:val="000000"/>
          <w:sz w:val="24"/>
          <w:szCs w:val="24"/>
          <w:lang w:val="en-GB"/>
        </w:rPr>
        <w:t xml:space="preserve">, </w:t>
      </w:r>
      <w:r w:rsidR="008172BD" w:rsidRPr="00B40DB0">
        <w:rPr>
          <w:rFonts w:ascii="Times New Roman" w:eastAsia="Times New Roman" w:hAnsi="Times New Roman" w:cs="Times New Roman"/>
          <w:color w:val="000000"/>
          <w:sz w:val="24"/>
          <w:szCs w:val="24"/>
          <w:lang w:val="en-GB"/>
        </w:rPr>
        <w:t>the formal treatment targets</w:t>
      </w:r>
      <w:r w:rsidR="00132FBE" w:rsidRPr="00B40DB0">
        <w:rPr>
          <w:rFonts w:ascii="Times New Roman" w:eastAsia="Times New Roman" w:hAnsi="Times New Roman" w:cs="Times New Roman"/>
          <w:color w:val="000000"/>
          <w:sz w:val="24"/>
          <w:szCs w:val="24"/>
          <w:lang w:val="en-GB"/>
        </w:rPr>
        <w:t xml:space="preserve"> in CD</w:t>
      </w:r>
      <w:r w:rsidR="008172BD" w:rsidRPr="00B40DB0">
        <w:rPr>
          <w:rFonts w:ascii="Times New Roman" w:eastAsia="Times New Roman" w:hAnsi="Times New Roman" w:cs="Times New Roman"/>
          <w:color w:val="000000"/>
          <w:sz w:val="24"/>
          <w:szCs w:val="24"/>
          <w:lang w:val="en-GB"/>
        </w:rPr>
        <w:t xml:space="preserve"> </w:t>
      </w:r>
      <w:r w:rsidR="002D278A" w:rsidRPr="00B40DB0">
        <w:rPr>
          <w:rFonts w:ascii="Times New Roman" w:eastAsia="Times New Roman" w:hAnsi="Times New Roman" w:cs="Times New Roman"/>
          <w:color w:val="000000"/>
          <w:sz w:val="24"/>
          <w:szCs w:val="24"/>
          <w:lang w:val="en-GB"/>
        </w:rPr>
        <w:t>are</w:t>
      </w:r>
      <w:r w:rsidR="008172BD" w:rsidRPr="00B40DB0">
        <w:rPr>
          <w:rFonts w:ascii="Times New Roman" w:eastAsia="Times New Roman" w:hAnsi="Times New Roman" w:cs="Times New Roman"/>
          <w:color w:val="000000"/>
          <w:sz w:val="24"/>
          <w:szCs w:val="24"/>
          <w:lang w:val="en-GB"/>
        </w:rPr>
        <w:t xml:space="preserve"> defined by a combination of </w:t>
      </w:r>
      <w:r w:rsidR="00AE0996" w:rsidRPr="00B40DB0">
        <w:rPr>
          <w:rFonts w:ascii="Times New Roman" w:eastAsia="Times New Roman" w:hAnsi="Times New Roman" w:cs="Times New Roman"/>
          <w:color w:val="000000"/>
          <w:sz w:val="24"/>
          <w:szCs w:val="24"/>
          <w:lang w:val="en-GB"/>
        </w:rPr>
        <w:t>clinical, endoscopic and biochemical criteria.</w:t>
      </w:r>
      <w:r w:rsidR="00576282" w:rsidRPr="00B40DB0">
        <w:rPr>
          <w:rFonts w:ascii="Times New Roman" w:eastAsia="Times New Roman" w:hAnsi="Times New Roman" w:cs="Times New Roman"/>
          <w:color w:val="000000"/>
          <w:sz w:val="24"/>
          <w:szCs w:val="24"/>
          <w:lang w:val="en-GB"/>
        </w:rPr>
        <w:t xml:space="preserve"> </w:t>
      </w:r>
      <w:r w:rsidR="0026125D" w:rsidRPr="00B40DB0">
        <w:rPr>
          <w:rFonts w:ascii="Times New Roman" w:eastAsia="Times New Roman" w:hAnsi="Times New Roman" w:cs="Times New Roman"/>
          <w:color w:val="000000"/>
          <w:sz w:val="24"/>
          <w:szCs w:val="24"/>
          <w:lang w:val="en-GB"/>
        </w:rPr>
        <w:t>Cle</w:t>
      </w:r>
      <w:r w:rsidR="0026125D" w:rsidRPr="00C54D13">
        <w:rPr>
          <w:rFonts w:ascii="Times New Roman" w:eastAsia="Times New Roman" w:hAnsi="Times New Roman" w:cs="Times New Roman"/>
          <w:color w:val="000000"/>
          <w:sz w:val="24"/>
          <w:szCs w:val="24"/>
          <w:lang w:val="en-GB"/>
        </w:rPr>
        <w:t>arly, using clinical remission (symptom</w:t>
      </w:r>
      <w:r w:rsidR="009B6D39">
        <w:rPr>
          <w:rFonts w:ascii="Times New Roman" w:eastAsia="Times New Roman" w:hAnsi="Times New Roman" w:cs="Times New Roman"/>
          <w:color w:val="000000"/>
          <w:sz w:val="24"/>
          <w:szCs w:val="24"/>
          <w:lang w:val="en-GB"/>
        </w:rPr>
        <w:t>s</w:t>
      </w:r>
      <w:r w:rsidR="0026125D" w:rsidRPr="00C54D13">
        <w:rPr>
          <w:rFonts w:ascii="Times New Roman" w:eastAsia="Times New Roman" w:hAnsi="Times New Roman" w:cs="Times New Roman"/>
          <w:color w:val="000000"/>
          <w:sz w:val="24"/>
          <w:szCs w:val="24"/>
          <w:lang w:val="en-GB"/>
        </w:rPr>
        <w:t xml:space="preserve"> control) as the only treatment endpoint is outdated and insufficient. Indeed, this approach is not adapted for the advocated early inter</w:t>
      </w:r>
      <w:r w:rsidR="00970A94">
        <w:rPr>
          <w:rFonts w:ascii="Times New Roman" w:eastAsia="Times New Roman" w:hAnsi="Times New Roman" w:cs="Times New Roman"/>
          <w:color w:val="000000"/>
          <w:sz w:val="24"/>
          <w:szCs w:val="24"/>
          <w:lang w:val="en-GB"/>
        </w:rPr>
        <w:t>vention preventing bowel damage</w:t>
      </w:r>
      <w:r w:rsidR="0026125D" w:rsidRPr="00C54D13">
        <w:rPr>
          <w:rFonts w:ascii="Times New Roman" w:eastAsia="Times New Roman" w:hAnsi="Times New Roman" w:cs="Times New Roman"/>
          <w:color w:val="000000"/>
          <w:sz w:val="24"/>
          <w:szCs w:val="24"/>
          <w:lang w:val="en-GB"/>
        </w:rPr>
        <w:t xml:space="preserve"> (</w:t>
      </w:r>
      <w:proofErr w:type="spellStart"/>
      <w:r w:rsidR="0026125D" w:rsidRPr="00C54D13">
        <w:rPr>
          <w:rFonts w:ascii="Times New Roman" w:eastAsia="Times New Roman" w:hAnsi="Times New Roman" w:cs="Times New Roman"/>
          <w:color w:val="000000"/>
          <w:sz w:val="24"/>
          <w:szCs w:val="24"/>
          <w:lang w:val="en-GB"/>
        </w:rPr>
        <w:t>eg</w:t>
      </w:r>
      <w:proofErr w:type="spellEnd"/>
      <w:r w:rsidR="0026125D" w:rsidRPr="00C54D13">
        <w:rPr>
          <w:rFonts w:ascii="Times New Roman" w:eastAsia="Times New Roman" w:hAnsi="Times New Roman" w:cs="Times New Roman"/>
          <w:color w:val="000000"/>
          <w:sz w:val="24"/>
          <w:szCs w:val="24"/>
          <w:lang w:val="en-GB"/>
        </w:rPr>
        <w:t>, ulcers, strictures, fistulae) since symptoms are poorly correlated to endoscopic and biologic</w:t>
      </w:r>
      <w:r w:rsidR="009B327B">
        <w:rPr>
          <w:rFonts w:ascii="Times New Roman" w:eastAsia="Times New Roman" w:hAnsi="Times New Roman" w:cs="Times New Roman"/>
          <w:color w:val="000000"/>
          <w:sz w:val="24"/>
          <w:szCs w:val="24"/>
          <w:lang w:val="en-GB"/>
        </w:rPr>
        <w:t>al</w:t>
      </w:r>
      <w:r w:rsidR="0026125D" w:rsidRPr="00C54D13">
        <w:rPr>
          <w:rFonts w:ascii="Times New Roman" w:eastAsia="Times New Roman" w:hAnsi="Times New Roman" w:cs="Times New Roman"/>
          <w:color w:val="000000"/>
          <w:sz w:val="24"/>
          <w:szCs w:val="24"/>
          <w:lang w:val="en-GB"/>
        </w:rPr>
        <w:t xml:space="preserve"> signs of inflammation</w:t>
      </w:r>
      <w:r w:rsidR="0020471E" w:rsidRPr="00C54D13">
        <w:rPr>
          <w:rFonts w:ascii="Times New Roman" w:eastAsia="Times New Roman" w:hAnsi="Times New Roman" w:cs="Times New Roman"/>
          <w:color w:val="000000"/>
          <w:sz w:val="24"/>
          <w:szCs w:val="24"/>
          <w:lang w:val="en-GB"/>
        </w:rPr>
        <w:fldChar w:fldCharType="begin" w:fldLock="1"/>
      </w:r>
      <w:r w:rsidR="00DA48B3" w:rsidRPr="00C54D13">
        <w:rPr>
          <w:rFonts w:ascii="Times New Roman" w:eastAsia="Times New Roman" w:hAnsi="Times New Roman" w:cs="Times New Roman"/>
          <w:color w:val="000000"/>
          <w:sz w:val="24"/>
          <w:szCs w:val="24"/>
          <w:lang w:val="en-GB"/>
        </w:rPr>
        <w:instrText>ADDIN CSL_CITATION {"citationItems":[{"id":"ITEM-1","itemData":{"DOI":"10.1016/j.cgh.2013.09.006","ISSN":"1542-7714 (Electronic)","PMID":"24036054","abstract":"The traditional management of Crohn's disease, which is based on progressive,  step-wise treatment intensification with re-evaluation of response according to symptoms, does not improve long-term outcomes of Crohn's disease and places patients at risk for bowel damage. The introduction of novel therapies and the development of new approaches to treatment in rheumatoid arthritis led to better outcomes for patients. Prominent among these is a \"treat to target\" strategy that is based on regular assessment of disease activity by using objective clinical and biological outcome measures and the subsequent adjustment of treatments. This approach is complementary to the concept of early intervention in high-risk patients. This review evaluates current literature on this topic and proposes a definition for the concept of treating to targets for Crohn's disease.","author":[{"dropping-particle":"","family":"Bouguen","given":"Guillaume","non-dropping-particle":"","parse-names":false,"suffix":""},{"dropping-particle":"","family":"Levesque","given":"Barrett G","non-dropping-particle":"","parse-names":false,"suffix":""},{"dropping-particle":"","family":"Feagan","given":"Brian G","non-dropping-particle":"","parse-names":false,"suffix":""},{"dropping-particle":"","family":"Kavanaugh","given":"Arthur","non-dropping-particle":"","parse-names":false,"suffix":""},{"dropping-particle":"","family":"Peyrin-Biroulet","given":"Laurent","non-dropping-particle":"","parse-names":false,"suffix":""},{"dropping-particle":"","family":"Colombel","given":"Jean-Frederic","non-dropping-particle":"","parse-names":false,"suffix":""},{"dropping-particle":"","family":"Hanauer","given":"Stephen B","non-dropping-particle":"","parse-names":false,"suffix":""},{"dropping-particle":"","family":"Sandborn","given":"William J","non-dropping-particle":"","parse-names":false,"suffix":""}],"container-title":"Clinical gastroenterology and hepatology : the official clinical practice journal of  the American Gastroenterological Association","id":"ITEM-1","issue":"6","issued":{"date-parts":[["2015","6"]]},"language":"eng","page":"1042-50.e2","publisher-place":"United States","title":"Treat to target: a proposed new paradigm for the management of Crohn's disease.","type":"article-journal","volume":"13"},"uris":["http://www.mendeley.com/documents/?uuid=793224a6-375e-460e-ad87-d646c5be640a"]}],"mendeley":{"formattedCitation":"&lt;sup&gt;6&lt;/sup&gt;","plainTextFormattedCitation":"6","previouslyFormattedCitation":"&lt;sup&gt;6&lt;/sup&gt;"},"properties":{"noteIndex":0},"schema":"https://github.com/citation-style-language/schema/raw/master/csl-citation.json"}</w:instrText>
      </w:r>
      <w:r w:rsidR="0020471E" w:rsidRPr="00C54D13">
        <w:rPr>
          <w:rFonts w:ascii="Times New Roman" w:eastAsia="Times New Roman" w:hAnsi="Times New Roman" w:cs="Times New Roman"/>
          <w:color w:val="000000"/>
          <w:sz w:val="24"/>
          <w:szCs w:val="24"/>
          <w:lang w:val="en-GB"/>
        </w:rPr>
        <w:fldChar w:fldCharType="separate"/>
      </w:r>
      <w:r w:rsidR="0020471E" w:rsidRPr="00C54D13">
        <w:rPr>
          <w:rFonts w:ascii="Times New Roman" w:eastAsia="Times New Roman" w:hAnsi="Times New Roman" w:cs="Times New Roman"/>
          <w:noProof/>
          <w:color w:val="000000"/>
          <w:sz w:val="24"/>
          <w:szCs w:val="24"/>
          <w:vertAlign w:val="superscript"/>
          <w:lang w:val="en-GB"/>
        </w:rPr>
        <w:t>6</w:t>
      </w:r>
      <w:r w:rsidR="0020471E" w:rsidRPr="00C54D13">
        <w:rPr>
          <w:rFonts w:ascii="Times New Roman" w:eastAsia="Times New Roman" w:hAnsi="Times New Roman" w:cs="Times New Roman"/>
          <w:color w:val="000000"/>
          <w:sz w:val="24"/>
          <w:szCs w:val="24"/>
          <w:lang w:val="en-GB"/>
        </w:rPr>
        <w:fldChar w:fldCharType="end"/>
      </w:r>
      <w:r w:rsidR="0026125D" w:rsidRPr="00C54D13">
        <w:rPr>
          <w:rFonts w:ascii="Times New Roman" w:eastAsia="Times New Roman" w:hAnsi="Times New Roman" w:cs="Times New Roman"/>
          <w:color w:val="000000"/>
          <w:sz w:val="24"/>
          <w:szCs w:val="24"/>
          <w:lang w:val="en-GB"/>
        </w:rPr>
        <w:t xml:space="preserve">. Consequently, treating beyond symptoms became a consensual idea </w:t>
      </w:r>
      <w:r w:rsidR="00F63A8B" w:rsidRPr="00C54D13">
        <w:rPr>
          <w:rFonts w:ascii="Times New Roman" w:eastAsia="Times New Roman" w:hAnsi="Times New Roman" w:cs="Times New Roman"/>
          <w:color w:val="000000"/>
          <w:sz w:val="24"/>
          <w:szCs w:val="24"/>
          <w:lang w:val="en-GB"/>
        </w:rPr>
        <w:t>among</w:t>
      </w:r>
      <w:r w:rsidR="0026125D" w:rsidRPr="00C54D13">
        <w:rPr>
          <w:rFonts w:ascii="Times New Roman" w:eastAsia="Times New Roman" w:hAnsi="Times New Roman" w:cs="Times New Roman"/>
          <w:color w:val="000000"/>
          <w:sz w:val="24"/>
          <w:szCs w:val="24"/>
          <w:lang w:val="en-GB"/>
        </w:rPr>
        <w:t xml:space="preserve"> clinicians and endoscopic remission (mucosal healing) was recognised</w:t>
      </w:r>
      <w:r w:rsidR="0026125D" w:rsidRPr="00C54D13">
        <w:rPr>
          <w:lang w:val="en-GB"/>
        </w:rPr>
        <w:t xml:space="preserve"> </w:t>
      </w:r>
      <w:r w:rsidR="0026125D" w:rsidRPr="00C54D13">
        <w:rPr>
          <w:rFonts w:ascii="Times New Roman" w:eastAsia="Times New Roman" w:hAnsi="Times New Roman" w:cs="Times New Roman"/>
          <w:color w:val="000000"/>
          <w:sz w:val="24"/>
          <w:szCs w:val="24"/>
          <w:lang w:val="en-GB"/>
        </w:rPr>
        <w:t>as a treatment objective in 2015 by the STRIDE committee</w:t>
      </w:r>
      <w:r w:rsidR="00721035" w:rsidRPr="00C54D13">
        <w:rPr>
          <w:rFonts w:ascii="Times New Roman" w:eastAsia="Times New Roman" w:hAnsi="Times New Roman" w:cs="Times New Roman"/>
          <w:color w:val="000000"/>
          <w:sz w:val="24"/>
          <w:szCs w:val="24"/>
          <w:lang w:val="en-GB"/>
        </w:rPr>
        <w:fldChar w:fldCharType="begin" w:fldLock="1"/>
      </w:r>
      <w:r w:rsidR="003329A7" w:rsidRPr="00C54D13">
        <w:rPr>
          <w:rFonts w:ascii="Times New Roman" w:eastAsia="Times New Roman" w:hAnsi="Times New Roman" w:cs="Times New Roman"/>
          <w:color w:val="000000"/>
          <w:sz w:val="24"/>
          <w:szCs w:val="24"/>
          <w:lang w:val="en-GB"/>
        </w:rPr>
        <w:instrText>ADDIN CSL_CITATION {"citationItems":[{"id":"ITEM-1","itemData":{"DOI":"10.1038/ajg.2015.233","ISSN":"1572-0241 (Electronic)","PMID":"26303131","abstract":"OBJECTIVES: The Selecting Therapeutic Targets in Inflammatory Bowel Disease (STRIDE)  program was initiated by the International Organization for the Study of Inflammatory Bowel Diseases (IOIBD). It examined potential treatment targets for inflammatory bowel disease (IBD) to be used for a \"treat-to-target\" clinical management strategy using an evidence-based expert consensus process. METHODS: A Steering Committee of 28 IBD specialists developed recommendations based on a systematic literature review and expert opinion. Consensus was gained if ≥75% of participants scored the recommendation as 7-10 on a 10-point rating scale (where 10=agree completely). RESULTS: The group agreed upon 12 recommendations for ulcerative colitis (UC) and Crohn's disease (CD). The agreed target for UC was clinical/patient-reported outcome (PRO) remission (defined as resolution of rectal bleeding and diarrhea/altered bowel habit) and endoscopic remission (defined as a Mayo endoscopic subscore of 0-1). Histological remission was considered as an adjunctive goal. Clinical/PRO remission was also agreed upon as a target for CD and defined as resolution of abdominal pain and diarrhea/altered bowel habit; and endoscopic remission, defined as resolution of ulceration at ileocolonoscopy, or resolution of findings of inflammation on cross-sectional imaging in patients who cannot be adequately assessed with ileocolonoscopy. Biomarker remission (normal C-reactive protein (CRP) and calprotectin) was considered as an adjunctive target. CONCLUSIONS: Evidence- and consensus-based recommendations for selecting the goals for treat-to-target strategies in patients with IBD are made available. Prospective studies are needed to determine how these targets will change disease course and patients' quality of life.","author":[{"dropping-particle":"","family":"Peyrin-Biroulet","given":"L","non-dropping-particle":"","parse-names":false,"suffix":""},{"dropping-particle":"","family":"Sandborn","given":"W","non-dropping-particle":"","parse-names":false,"suffix":""},{"dropping-particle":"","family":"Sands","given":"B E","non-dropping-particle":"","parse-names":false,"suffix":""},{"dropping-particle":"","family":"Reinisch","given":"W","non-dropping-particle":"","parse-names":false,"suffix":""},{"dropping-particle":"","family":"Bemelman","given":"W","non-dropping-particle":"","parse-names":false,"suffix":""},{"dropping-particle":"V","family":"Bryant","given":"R","non-dropping-particle":"","parse-names":false,"suffix":""},{"dropping-particle":"","family":"D'Haens","given":"G","non-dropping-particle":"","parse-names":false,"suffix":""},{"dropping-particle":"","family":"Dotan","given":"I","non-dropping-particle":"","parse-names":false,"suffix":""},{"dropping-particle":"","family":"Dubinsky","given":"M","non-dropping-particle":"","parse-names":false,"suffix":""},{"dropping-particle":"","family":"Feagan","given":"B","non-dropping-particle":"","parse-names":false,"suffix":""},{"dropping-particle":"","family":"Fiorino","given":"G","non-dropping-particle":"","parse-names":false,"suffix":""},{"dropping-particle":"","family":"Gearry","given":"R","non-dropping-particle":"","parse-names":false,"suffix":""},{"dropping-particle":"","family":"Krishnareddy","given":"S","non-dropping-particle":"","parse-names":false,"suffix":""},{"dropping-particle":"","family":"Lakatos","given":"P L","non-dropping-particle":"","parse-names":false,"suffix":""},{"dropping-particle":"","family":"Loftus","given":"E V Jr","non-dropping-particle":"","parse-names":false,"suffix":""},{"dropping-particle":"","family":"Marteau","given":"P","non-dropping-particle":"","parse-names":false,"suffix":""},{"dropping-particle":"","family":"Munkholm","given":"P","non-dropping-particle":"","parse-names":false,"suffix":""},{"dropping-particle":"","family":"Murdoch","given":"T B","non-dropping-particle":"","parse-names":false,"suffix":""},{"dropping-particle":"","family":"Ordás","given":"I","non-dropping-particle":"","parse-names":false,"suffix":""},{"dropping-particle":"","family":"Panaccione","given":"R","non-dropping-particle":"","parse-names":false,"suffix":""},{"dropping-particle":"","family":"Riddell","given":"R H","non-dropping-particle":"","parse-names":false,"suffix":""},{"dropping-particle":"","family":"Ruel","given":"J","non-dropping-particle":"","parse-names":false,"suffix":""},{"dropping-particle":"","family":"Rubin","given":"D T","non-dropping-particle":"","parse-names":false,"suffix":""},{"dropping-particle":"","family":"Samaan","given":"M","non-dropping-particle":"","parse-names":false,"suffix":""},{"dropping-particle":"","family":"Siegel","given":"C A","non-dropping-particle":"","parse-names":false,"suffix":""},{"dropping-particle":"","family":"Silverberg","given":"M S","non-dropping-particle":"","parse-names":false,"suffix":""},{"dropping-particle":"","family":"Stoker","given":"J","non-dropping-particle":"","parse-names":false,"suffix":""},{"dropping-particle":"","family":"Schreiber","given":"S","non-dropping-particle":"","parse-names":false,"suffix":""},{"dropping-particle":"","family":"Travis","given":"S","non-dropping-particle":"","parse-names":false,"suffix":""},{"dropping-particle":"","family":"Assche","given":"G","non-dropping-particle":"Van","parse-names":false,"suffix":""},{"dropping-particle":"","family":"Danese","given":"S","non-dropping-particle":"","parse-names":false,"suffix":""},{"dropping-particle":"","family":"Panes","given":"J","non-dropping-particle":"","parse-names":false,"suffix":""},{"dropping-particle":"","family":"Bouguen","given":"G","non-dropping-particle":"","parse-names":false,"suffix":""},{"dropping-particle":"","family":"O'Donnell","given":"S","non-dropping-particle":"","parse-names":false,"suffix":""},{"dropping-particle":"","family":"Pariente","given":"B","non-dropping-particle":"","parse-names":false,"suffix":""},{"dropping-particle":"","family":"Winer","given":"S","non-dropping-particle":"","parse-names":false,"suffix":""},{"dropping-particle":"","family":"Hanauer","given":"S","non-dropping-particle":"","parse-names":false,"suffix":""},{"dropping-particle":"","family":"Colombel","given":"J-F","non-dropping-particle":"","parse-names":false,"suffix":""}],"container-title":"The American journal of gastroenterology","id":"ITEM-1","issue":"9","issued":{"date-parts":[["2015","9"]]},"language":"eng","page":"1324-1338","publisher-place":"United States","title":"Selecting Therapeutic Targets in Inflammatory Bowel Disease (STRIDE): Determining  Therapeutic Goals for Treat-to-Target.","type":"article-journal","volume":"110"},"uris":["http://www.mendeley.com/documents/?uuid=121964cb-7b0f-45e5-9416-ceccb32bfe7c"]}],"mendeley":{"formattedCitation":"&lt;sup&gt;4&lt;/sup&gt;","plainTextFormattedCitation":"4","previouslyFormattedCitation":"&lt;sup&gt;4&lt;/sup&gt;"},"properties":{"noteIndex":0},"schema":"https://github.com/citation-style-language/schema/raw/master/csl-citation.json"}</w:instrText>
      </w:r>
      <w:r w:rsidR="00721035" w:rsidRPr="00C54D13">
        <w:rPr>
          <w:rFonts w:ascii="Times New Roman" w:eastAsia="Times New Roman" w:hAnsi="Times New Roman" w:cs="Times New Roman"/>
          <w:color w:val="000000"/>
          <w:sz w:val="24"/>
          <w:szCs w:val="24"/>
          <w:lang w:val="en-GB"/>
        </w:rPr>
        <w:fldChar w:fldCharType="separate"/>
      </w:r>
      <w:r w:rsidR="00721035" w:rsidRPr="00C54D13">
        <w:rPr>
          <w:rFonts w:ascii="Times New Roman" w:eastAsia="Times New Roman" w:hAnsi="Times New Roman" w:cs="Times New Roman"/>
          <w:noProof/>
          <w:color w:val="000000"/>
          <w:sz w:val="24"/>
          <w:szCs w:val="24"/>
          <w:vertAlign w:val="superscript"/>
          <w:lang w:val="en-GB"/>
        </w:rPr>
        <w:t>4</w:t>
      </w:r>
      <w:r w:rsidR="00721035" w:rsidRPr="00C54D13">
        <w:rPr>
          <w:rFonts w:ascii="Times New Roman" w:eastAsia="Times New Roman" w:hAnsi="Times New Roman" w:cs="Times New Roman"/>
          <w:color w:val="000000"/>
          <w:sz w:val="24"/>
          <w:szCs w:val="24"/>
          <w:lang w:val="en-GB"/>
        </w:rPr>
        <w:fldChar w:fldCharType="end"/>
      </w:r>
      <w:r w:rsidR="0026125D" w:rsidRPr="00C54D13">
        <w:rPr>
          <w:rFonts w:ascii="Times New Roman" w:eastAsia="Times New Roman" w:hAnsi="Times New Roman" w:cs="Times New Roman"/>
          <w:color w:val="000000"/>
          <w:sz w:val="24"/>
          <w:szCs w:val="24"/>
          <w:lang w:val="en-GB"/>
        </w:rPr>
        <w:t xml:space="preserve">. This recommendation was motivated by </w:t>
      </w:r>
      <w:r w:rsidR="0026125D" w:rsidRPr="00C54D13">
        <w:rPr>
          <w:rFonts w:ascii="Times New Roman" w:eastAsia="Times New Roman" w:hAnsi="Times New Roman" w:cs="Times New Roman"/>
          <w:color w:val="000000"/>
          <w:sz w:val="24"/>
          <w:szCs w:val="24"/>
          <w:lang w:val="en-GB"/>
        </w:rPr>
        <w:lastRenderedPageBreak/>
        <w:t>convergent studies showing that mucosal healing was associated with better outcomes</w:t>
      </w:r>
      <w:r w:rsidR="00721035" w:rsidRPr="00C54D13">
        <w:rPr>
          <w:rFonts w:ascii="Times New Roman" w:eastAsia="Times New Roman" w:hAnsi="Times New Roman" w:cs="Times New Roman"/>
          <w:color w:val="000000"/>
          <w:sz w:val="24"/>
          <w:szCs w:val="24"/>
          <w:lang w:val="en-GB"/>
        </w:rPr>
        <w:fldChar w:fldCharType="begin" w:fldLock="1"/>
      </w:r>
      <w:r w:rsidR="003329A7" w:rsidRPr="00C54D13">
        <w:rPr>
          <w:rFonts w:ascii="Times New Roman" w:eastAsia="Times New Roman" w:hAnsi="Times New Roman" w:cs="Times New Roman"/>
          <w:color w:val="000000"/>
          <w:sz w:val="24"/>
          <w:szCs w:val="24"/>
          <w:lang w:val="en-GB"/>
        </w:rPr>
        <w:instrText>ADDIN CSL_CITATION {"citationItems":[{"id":"ITEM-1","itemData":{"DOI":"10.1038/ajg.2015.233","ISSN":"1572-0241 (Electronic)","PMID":"26303131","abstract":"OBJECTIVES: The Selecting Therapeutic Targets in Inflammatory Bowel Disease (STRIDE)  program was initiated by the International Organization for the Study of Inflammatory Bowel Diseases (IOIBD). It examined potential treatment targets for inflammatory bowel disease (IBD) to be used for a \"treat-to-target\" clinical management strategy using an evidence-based expert consensus process. METHODS: A Steering Committee of 28 IBD specialists developed recommendations based on a systematic literature review and expert opinion. Consensus was gained if ≥75% of participants scored the recommendation as 7-10 on a 10-point rating scale (where 10=agree completely). RESULTS: The group agreed upon 12 recommendations for ulcerative colitis (UC) and Crohn's disease (CD). The agreed target for UC was clinical/patient-reported outcome (PRO) remission (defined as resolution of rectal bleeding and diarrhea/altered bowel habit) and endoscopic remission (defined as a Mayo endoscopic subscore of 0-1). Histological remission was considered as an adjunctive goal. Clinical/PRO remission was also agreed upon as a target for CD and defined as resolution of abdominal pain and diarrhea/altered bowel habit; and endoscopic remission, defined as resolution of ulceration at ileocolonoscopy, or resolution of findings of inflammation on cross-sectional imaging in patients who cannot be adequately assessed with ileocolonoscopy. Biomarker remission (normal C-reactive protein (CRP) and calprotectin) was considered as an adjunctive target. CONCLUSIONS: Evidence- and consensus-based recommendations for selecting the goals for treat-to-target strategies in patients with IBD are made available. Prospective studies are needed to determine how these targets will change disease course and patients' quality of life.","author":[{"dropping-particle":"","family":"Peyrin-Biroulet","given":"L","non-dropping-particle":"","parse-names":false,"suffix":""},{"dropping-particle":"","family":"Sandborn","given":"W","non-dropping-particle":"","parse-names":false,"suffix":""},{"dropping-particle":"","family":"Sands","given":"B E","non-dropping-particle":"","parse-names":false,"suffix":""},{"dropping-particle":"","family":"Reinisch","given":"W","non-dropping-particle":"","parse-names":false,"suffix":""},{"dropping-particle":"","family":"Bemelman","given":"W","non-dropping-particle":"","parse-names":false,"suffix":""},{"dropping-particle":"V","family":"Bryant","given":"R","non-dropping-particle":"","parse-names":false,"suffix":""},{"dropping-particle":"","family":"D'Haens","given":"G","non-dropping-particle":"","parse-names":false,"suffix":""},{"dropping-particle":"","family":"Dotan","given":"I","non-dropping-particle":"","parse-names":false,"suffix":""},{"dropping-particle":"","family":"Dubinsky","given":"M","non-dropping-particle":"","parse-names":false,"suffix":""},{"dropping-particle":"","family":"Feagan","given":"B","non-dropping-particle":"","parse-names":false,"suffix":""},{"dropping-particle":"","family":"Fiorino","given":"G","non-dropping-particle":"","parse-names":false,"suffix":""},{"dropping-particle":"","family":"Gearry","given":"R","non-dropping-particle":"","parse-names":false,"suffix":""},{"dropping-particle":"","family":"Krishnareddy","given":"S","non-dropping-particle":"","parse-names":false,"suffix":""},{"dropping-particle":"","family":"Lakatos","given":"P L","non-dropping-particle":"","parse-names":false,"suffix":""},{"dropping-particle":"","family":"Loftus","given":"E V Jr","non-dropping-particle":"","parse-names":false,"suffix":""},{"dropping-particle":"","family":"Marteau","given":"P","non-dropping-particle":"","parse-names":false,"suffix":""},{"dropping-particle":"","family":"Munkholm","given":"P","non-dropping-particle":"","parse-names":false,"suffix":""},{"dropping-particle":"","family":"Murdoch","given":"T B","non-dropping-particle":"","parse-names":false,"suffix":""},{"dropping-particle":"","family":"Ordás","given":"I","non-dropping-particle":"","parse-names":false,"suffix":""},{"dropping-particle":"","family":"Panaccione","given":"R","non-dropping-particle":"","parse-names":false,"suffix":""},{"dropping-particle":"","family":"Riddell","given":"R H","non-dropping-particle":"","parse-names":false,"suffix":""},{"dropping-particle":"","family":"Ruel","given":"J","non-dropping-particle":"","parse-names":false,"suffix":""},{"dropping-particle":"","family":"Rubin","given":"D T","non-dropping-particle":"","parse-names":false,"suffix":""},{"dropping-particle":"","family":"Samaan","given":"M","non-dropping-particle":"","parse-names":false,"suffix":""},{"dropping-particle":"","family":"Siegel","given":"C A","non-dropping-particle":"","parse-names":false,"suffix":""},{"dropping-particle":"","family":"Silverberg","given":"M S","non-dropping-particle":"","parse-names":false,"suffix":""},{"dropping-particle":"","family":"Stoker","given":"J","non-dropping-particle":"","parse-names":false,"suffix":""},{"dropping-particle":"","family":"Schreiber","given":"S","non-dropping-particle":"","parse-names":false,"suffix":""},{"dropping-particle":"","family":"Travis","given":"S","non-dropping-particle":"","parse-names":false,"suffix":""},{"dropping-particle":"","family":"Assche","given":"G","non-dropping-particle":"Van","parse-names":false,"suffix":""},{"dropping-particle":"","family":"Danese","given":"S","non-dropping-particle":"","parse-names":false,"suffix":""},{"dropping-particle":"","family":"Panes","given":"J","non-dropping-particle":"","parse-names":false,"suffix":""},{"dropping-particle":"","family":"Bouguen","given":"G","non-dropping-particle":"","parse-names":false,"suffix":""},{"dropping-particle":"","family":"O'Donnell","given":"S","non-dropping-particle":"","parse-names":false,"suffix":""},{"dropping-particle":"","family":"Pariente","given":"B","non-dropping-particle":"","parse-names":false,"suffix":""},{"dropping-particle":"","family":"Winer","given":"S","non-dropping-particle":"","parse-names":false,"suffix":""},{"dropping-particle":"","family":"Hanauer","given":"S","non-dropping-particle":"","parse-names":false,"suffix":""},{"dropping-particle":"","family":"Colombel","given":"J-F","non-dropping-particle":"","parse-names":false,"suffix":""}],"container-title":"The American journal of gastroenterology","id":"ITEM-1","issue":"9","issued":{"date-parts":[["2015","9"]]},"language":"eng","page":"1324-1338","publisher-place":"United States","title":"Selecting Therapeutic Targets in Inflammatory Bowel Disease (STRIDE): Determining  Therapeutic Goals for Treat-to-Target.","type":"article-journal","volume":"110"},"uris":["http://www.mendeley.com/documents/?uuid=121964cb-7b0f-45e5-9416-ceccb32bfe7c"]}],"mendeley":{"formattedCitation":"&lt;sup&gt;4&lt;/sup&gt;","plainTextFormattedCitation":"4","previouslyFormattedCitation":"&lt;sup&gt;4&lt;/sup&gt;"},"properties":{"noteIndex":0},"schema":"https://github.com/citation-style-language/schema/raw/master/csl-citation.json"}</w:instrText>
      </w:r>
      <w:r w:rsidR="00721035" w:rsidRPr="00C54D13">
        <w:rPr>
          <w:rFonts w:ascii="Times New Roman" w:eastAsia="Times New Roman" w:hAnsi="Times New Roman" w:cs="Times New Roman"/>
          <w:color w:val="000000"/>
          <w:sz w:val="24"/>
          <w:szCs w:val="24"/>
          <w:lang w:val="en-GB"/>
        </w:rPr>
        <w:fldChar w:fldCharType="separate"/>
      </w:r>
      <w:r w:rsidR="00721035" w:rsidRPr="00C54D13">
        <w:rPr>
          <w:rFonts w:ascii="Times New Roman" w:eastAsia="Times New Roman" w:hAnsi="Times New Roman" w:cs="Times New Roman"/>
          <w:noProof/>
          <w:color w:val="000000"/>
          <w:sz w:val="24"/>
          <w:szCs w:val="24"/>
          <w:vertAlign w:val="superscript"/>
          <w:lang w:val="en-GB"/>
        </w:rPr>
        <w:t>4</w:t>
      </w:r>
      <w:r w:rsidR="00721035" w:rsidRPr="00C54D13">
        <w:rPr>
          <w:rFonts w:ascii="Times New Roman" w:eastAsia="Times New Roman" w:hAnsi="Times New Roman" w:cs="Times New Roman"/>
          <w:color w:val="000000"/>
          <w:sz w:val="24"/>
          <w:szCs w:val="24"/>
          <w:lang w:val="en-GB"/>
        </w:rPr>
        <w:fldChar w:fldCharType="end"/>
      </w:r>
      <w:r w:rsidR="0026125D" w:rsidRPr="00C54D13">
        <w:rPr>
          <w:rFonts w:ascii="Times New Roman" w:eastAsia="Times New Roman" w:hAnsi="Times New Roman" w:cs="Times New Roman"/>
          <w:color w:val="000000"/>
          <w:sz w:val="24"/>
          <w:szCs w:val="24"/>
          <w:lang w:val="en-GB"/>
        </w:rPr>
        <w:t>. However, when endosc</w:t>
      </w:r>
      <w:r w:rsidR="0084198C">
        <w:rPr>
          <w:rFonts w:ascii="Times New Roman" w:eastAsia="Times New Roman" w:hAnsi="Times New Roman" w:cs="Times New Roman"/>
          <w:color w:val="000000"/>
          <w:sz w:val="24"/>
          <w:szCs w:val="24"/>
          <w:lang w:val="en-GB"/>
        </w:rPr>
        <w:t xml:space="preserve">opy was introduced to define </w:t>
      </w:r>
      <w:r w:rsidR="0026125D" w:rsidRPr="00C54D13">
        <w:rPr>
          <w:rFonts w:ascii="Times New Roman" w:eastAsia="Times New Roman" w:hAnsi="Times New Roman" w:cs="Times New Roman"/>
          <w:color w:val="000000"/>
          <w:sz w:val="24"/>
          <w:szCs w:val="24"/>
          <w:lang w:val="en-GB"/>
        </w:rPr>
        <w:t>remission, it was already anticipated that this situation would be only temporary: “However, mucosal healing as the target should be viewed as a starting place, and it is likely that the target will evolve over time to other less invasive objective measures of inflammation”</w:t>
      </w:r>
      <w:r w:rsidR="003329A7" w:rsidRPr="00C54D13">
        <w:rPr>
          <w:rFonts w:ascii="Times New Roman" w:eastAsia="Times New Roman" w:hAnsi="Times New Roman" w:cs="Times New Roman"/>
          <w:color w:val="000000"/>
          <w:sz w:val="24"/>
          <w:szCs w:val="24"/>
          <w:lang w:val="en-GB"/>
        </w:rPr>
        <w:fldChar w:fldCharType="begin" w:fldLock="1"/>
      </w:r>
      <w:r w:rsidR="00DA48B3" w:rsidRPr="00C54D13">
        <w:rPr>
          <w:rFonts w:ascii="Times New Roman" w:eastAsia="Times New Roman" w:hAnsi="Times New Roman" w:cs="Times New Roman"/>
          <w:color w:val="000000"/>
          <w:sz w:val="24"/>
          <w:szCs w:val="24"/>
          <w:lang w:val="en-GB"/>
        </w:rPr>
        <w:instrText>ADDIN CSL_CITATION {"citationItems":[{"id":"ITEM-1","itemData":{"DOI":"10.1016/j.cgh.2013.09.006","ISSN":"1542-7714 (Electronic)","PMID":"24036054","abstract":"The traditional management of Crohn's disease, which is based on progressive,  step-wise treatment intensification with re-evaluation of response according to symptoms, does not improve long-term outcomes of Crohn's disease and places patients at risk for bowel damage. The introduction of novel therapies and the development of new approaches to treatment in rheumatoid arthritis led to better outcomes for patients. Prominent among these is a \"treat to target\" strategy that is based on regular assessment of disease activity by using objective clinical and biological outcome measures and the subsequent adjustment of treatments. This approach is complementary to the concept of early intervention in high-risk patients. This review evaluates current literature on this topic and proposes a definition for the concept of treating to targets for Crohn's disease.","author":[{"dropping-particle":"","family":"Bouguen","given":"Guillaume","non-dropping-particle":"","parse-names":false,"suffix":""},{"dropping-particle":"","family":"Levesque","given":"Barrett G","non-dropping-particle":"","parse-names":false,"suffix":""},{"dropping-particle":"","family":"Feagan","given":"Brian G","non-dropping-particle":"","parse-names":false,"suffix":""},{"dropping-particle":"","family":"Kavanaugh","given":"Arthur","non-dropping-particle":"","parse-names":false,"suffix":""},{"dropping-particle":"","family":"Peyrin-Biroulet","given":"Laurent","non-dropping-particle":"","parse-names":false,"suffix":""},{"dropping-particle":"","family":"Colombel","given":"Jean-Frederic","non-dropping-particle":"","parse-names":false,"suffix":""},{"dropping-particle":"","family":"Hanauer","given":"Stephen B","non-dropping-particle":"","parse-names":false,"suffix":""},{"dropping-particle":"","family":"Sandborn","given":"William J","non-dropping-particle":"","parse-names":false,"suffix":""}],"container-title":"Clinical gastroenterology and hepatology : the official clinical practice journal of  the American Gastroenterological Association","id":"ITEM-1","issue":"6","issued":{"date-parts":[["2015","6"]]},"language":"eng","page":"1042-50.e2","publisher-place":"United States","title":"Treat to target: a proposed new paradigm for the management of Crohn's disease.","type":"article-journal","volume":"13"},"uris":["http://www.mendeley.com/documents/?uuid=793224a6-375e-460e-ad87-d646c5be640a"]}],"mendeley":{"formattedCitation":"&lt;sup&gt;6&lt;/sup&gt;","plainTextFormattedCitation":"6","previouslyFormattedCitation":"&lt;sup&gt;6&lt;/sup&gt;"},"properties":{"noteIndex":0},"schema":"https://github.com/citation-style-language/schema/raw/master/csl-citation.json"}</w:instrText>
      </w:r>
      <w:r w:rsidR="003329A7" w:rsidRPr="00C54D13">
        <w:rPr>
          <w:rFonts w:ascii="Times New Roman" w:eastAsia="Times New Roman" w:hAnsi="Times New Roman" w:cs="Times New Roman"/>
          <w:color w:val="000000"/>
          <w:sz w:val="24"/>
          <w:szCs w:val="24"/>
          <w:lang w:val="en-GB"/>
        </w:rPr>
        <w:fldChar w:fldCharType="separate"/>
      </w:r>
      <w:r w:rsidR="003329A7" w:rsidRPr="00C54D13">
        <w:rPr>
          <w:rFonts w:ascii="Times New Roman" w:eastAsia="Times New Roman" w:hAnsi="Times New Roman" w:cs="Times New Roman"/>
          <w:noProof/>
          <w:color w:val="000000"/>
          <w:sz w:val="24"/>
          <w:szCs w:val="24"/>
          <w:vertAlign w:val="superscript"/>
          <w:lang w:val="en-GB"/>
        </w:rPr>
        <w:t>6</w:t>
      </w:r>
      <w:r w:rsidR="003329A7" w:rsidRPr="00C54D13">
        <w:rPr>
          <w:rFonts w:ascii="Times New Roman" w:eastAsia="Times New Roman" w:hAnsi="Times New Roman" w:cs="Times New Roman"/>
          <w:color w:val="000000"/>
          <w:sz w:val="24"/>
          <w:szCs w:val="24"/>
          <w:lang w:val="en-GB"/>
        </w:rPr>
        <w:fldChar w:fldCharType="end"/>
      </w:r>
      <w:r w:rsidR="0026125D" w:rsidRPr="00C54D13">
        <w:rPr>
          <w:rFonts w:ascii="Times New Roman" w:eastAsia="Times New Roman" w:hAnsi="Times New Roman" w:cs="Times New Roman"/>
          <w:color w:val="000000"/>
          <w:sz w:val="24"/>
          <w:szCs w:val="24"/>
          <w:lang w:val="en-GB"/>
        </w:rPr>
        <w:t xml:space="preserve">. Indeed, evaluation of the disease activity with endoscopy presents major limitations: 1) it is not adapted </w:t>
      </w:r>
      <w:r w:rsidR="00B97913">
        <w:rPr>
          <w:rFonts w:ascii="Times New Roman" w:eastAsia="Times New Roman" w:hAnsi="Times New Roman" w:cs="Times New Roman"/>
          <w:color w:val="000000"/>
          <w:sz w:val="24"/>
          <w:szCs w:val="24"/>
          <w:lang w:val="en-GB"/>
        </w:rPr>
        <w:t>for a tight control of</w:t>
      </w:r>
      <w:r w:rsidR="0026125D" w:rsidRPr="00C54D13">
        <w:rPr>
          <w:rFonts w:ascii="Times New Roman" w:eastAsia="Times New Roman" w:hAnsi="Times New Roman" w:cs="Times New Roman"/>
          <w:color w:val="000000"/>
          <w:sz w:val="24"/>
          <w:szCs w:val="24"/>
          <w:lang w:val="en-GB"/>
        </w:rPr>
        <w:t xml:space="preserve"> disease activity given </w:t>
      </w:r>
      <w:r w:rsidR="001864BB" w:rsidRPr="00C54D13">
        <w:rPr>
          <w:rFonts w:ascii="Times New Roman" w:eastAsia="Times New Roman" w:hAnsi="Times New Roman" w:cs="Times New Roman"/>
          <w:color w:val="000000"/>
          <w:sz w:val="24"/>
          <w:szCs w:val="24"/>
          <w:lang w:val="en-GB"/>
        </w:rPr>
        <w:t>its</w:t>
      </w:r>
      <w:r w:rsidR="0026125D" w:rsidRPr="00C54D13">
        <w:rPr>
          <w:rFonts w:ascii="Times New Roman" w:eastAsia="Times New Roman" w:hAnsi="Times New Roman" w:cs="Times New Roman"/>
          <w:color w:val="000000"/>
          <w:sz w:val="24"/>
          <w:szCs w:val="24"/>
          <w:lang w:val="en-GB"/>
        </w:rPr>
        <w:t xml:space="preserve"> cost, </w:t>
      </w:r>
      <w:r w:rsidR="00F63A8B" w:rsidRPr="00C54D13">
        <w:rPr>
          <w:rFonts w:ascii="Times New Roman" w:eastAsia="Times New Roman" w:hAnsi="Times New Roman" w:cs="Times New Roman"/>
          <w:color w:val="000000"/>
          <w:sz w:val="24"/>
          <w:szCs w:val="24"/>
          <w:lang w:val="en-GB"/>
        </w:rPr>
        <w:t>acceptance</w:t>
      </w:r>
      <w:r w:rsidR="0026125D" w:rsidRPr="00C54D13">
        <w:rPr>
          <w:rFonts w:ascii="Times New Roman" w:eastAsia="Times New Roman" w:hAnsi="Times New Roman" w:cs="Times New Roman"/>
          <w:color w:val="000000"/>
          <w:sz w:val="24"/>
          <w:szCs w:val="24"/>
          <w:lang w:val="en-GB"/>
        </w:rPr>
        <w:t xml:space="preserve"> and invasive nature</w:t>
      </w:r>
      <w:r w:rsidR="003329A7" w:rsidRPr="00C54D13">
        <w:rPr>
          <w:rFonts w:ascii="Times New Roman" w:eastAsia="Times New Roman" w:hAnsi="Times New Roman" w:cs="Times New Roman"/>
          <w:color w:val="000000"/>
          <w:sz w:val="24"/>
          <w:szCs w:val="24"/>
          <w:lang w:val="en-GB"/>
        </w:rPr>
        <w:fldChar w:fldCharType="begin" w:fldLock="1"/>
      </w:r>
      <w:r w:rsidR="003329A7" w:rsidRPr="00C54D13">
        <w:rPr>
          <w:rFonts w:ascii="Times New Roman" w:eastAsia="Times New Roman" w:hAnsi="Times New Roman" w:cs="Times New Roman"/>
          <w:color w:val="000000"/>
          <w:sz w:val="24"/>
          <w:szCs w:val="24"/>
          <w:lang w:val="en-GB"/>
        </w:rPr>
        <w:instrText>ADDIN CSL_CITATION {"citationItems":[{"id":"ITEM-1","itemData":{"DOI":"10.1038/ajg.2015.233","ISSN":"1572-0241 (Electronic)","PMID":"26303131","abstract":"OBJECTIVES: The Selecting Therapeutic Targets in Inflammatory Bowel Disease (STRIDE)  program was initiated by the International Organization for the Study of Inflammatory Bowel Diseases (IOIBD). It examined potential treatment targets for inflammatory bowel disease (IBD) to be used for a \"treat-to-target\" clinical management strategy using an evidence-based expert consensus process. METHODS: A Steering Committee of 28 IBD specialists developed recommendations based on a systematic literature review and expert opinion. Consensus was gained if ≥75% of participants scored the recommendation as 7-10 on a 10-point rating scale (where 10=agree completely). RESULTS: The group agreed upon 12 recommendations for ulcerative colitis (UC) and Crohn's disease (CD). The agreed target for UC was clinical/patient-reported outcome (PRO) remission (defined as resolution of rectal bleeding and diarrhea/altered bowel habit) and endoscopic remission (defined as a Mayo endoscopic subscore of 0-1). Histological remission was considered as an adjunctive goal. Clinical/PRO remission was also agreed upon as a target for CD and defined as resolution of abdominal pain and diarrhea/altered bowel habit; and endoscopic remission, defined as resolution of ulceration at ileocolonoscopy, or resolution of findings of inflammation on cross-sectional imaging in patients who cannot be adequately assessed with ileocolonoscopy. Biomarker remission (normal C-reactive protein (CRP) and calprotectin) was considered as an adjunctive target. CONCLUSIONS: Evidence- and consensus-based recommendations for selecting the goals for treat-to-target strategies in patients with IBD are made available. Prospective studies are needed to determine how these targets will change disease course and patients' quality of life.","author":[{"dropping-particle":"","family":"Peyrin-Biroulet","given":"L","non-dropping-particle":"","parse-names":false,"suffix":""},{"dropping-particle":"","family":"Sandborn","given":"W","non-dropping-particle":"","parse-names":false,"suffix":""},{"dropping-particle":"","family":"Sands","given":"B E","non-dropping-particle":"","parse-names":false,"suffix":""},{"dropping-particle":"","family":"Reinisch","given":"W","non-dropping-particle":"","parse-names":false,"suffix":""},{"dropping-particle":"","family":"Bemelman","given":"W","non-dropping-particle":"","parse-names":false,"suffix":""},{"dropping-particle":"V","family":"Bryant","given":"R","non-dropping-particle":"","parse-names":false,"suffix":""},{"dropping-particle":"","family":"D'Haens","given":"G","non-dropping-particle":"","parse-names":false,"suffix":""},{"dropping-particle":"","family":"Dotan","given":"I","non-dropping-particle":"","parse-names":false,"suffix":""},{"dropping-particle":"","family":"Dubinsky","given":"M","non-dropping-particle":"","parse-names":false,"suffix":""},{"dropping-particle":"","family":"Feagan","given":"B","non-dropping-particle":"","parse-names":false,"suffix":""},{"dropping-particle":"","family":"Fiorino","given":"G","non-dropping-particle":"","parse-names":false,"suffix":""},{"dropping-particle":"","family":"Gearry","given":"R","non-dropping-particle":"","parse-names":false,"suffix":""},{"dropping-particle":"","family":"Krishnareddy","given":"S","non-dropping-particle":"","parse-names":false,"suffix":""},{"dropping-particle":"","family":"Lakatos","given":"P L","non-dropping-particle":"","parse-names":false,"suffix":""},{"dropping-particle":"","family":"Loftus","given":"E V Jr","non-dropping-particle":"","parse-names":false,"suffix":""},{"dropping-particle":"","family":"Marteau","given":"P","non-dropping-particle":"","parse-names":false,"suffix":""},{"dropping-particle":"","family":"Munkholm","given":"P","non-dropping-particle":"","parse-names":false,"suffix":""},{"dropping-particle":"","family":"Murdoch","given":"T B","non-dropping-particle":"","parse-names":false,"suffix":""},{"dropping-particle":"","family":"Ordás","given":"I","non-dropping-particle":"","parse-names":false,"suffix":""},{"dropping-particle":"","family":"Panaccione","given":"R","non-dropping-particle":"","parse-names":false,"suffix":""},{"dropping-particle":"","family":"Riddell","given":"R H","non-dropping-particle":"","parse-names":false,"suffix":""},{"dropping-particle":"","family":"Ruel","given":"J","non-dropping-particle":"","parse-names":false,"suffix":""},{"dropping-particle":"","family":"Rubin","given":"D T","non-dropping-particle":"","parse-names":false,"suffix":""},{"dropping-particle":"","family":"Samaan","given":"M","non-dropping-particle":"","parse-names":false,"suffix":""},{"dropping-particle":"","family":"Siegel","given":"C A","non-dropping-particle":"","parse-names":false,"suffix":""},{"dropping-particle":"","family":"Silverberg","given":"M S","non-dropping-particle":"","parse-names":false,"suffix":""},{"dropping-particle":"","family":"Stoker","given":"J","non-dropping-particle":"","parse-names":false,"suffix":""},{"dropping-particle":"","family":"Schreiber","given":"S","non-dropping-particle":"","parse-names":false,"suffix":""},{"dropping-particle":"","family":"Travis","given":"S","non-dropping-particle":"","parse-names":false,"suffix":""},{"dropping-particle":"","family":"Assche","given":"G","non-dropping-particle":"Van","parse-names":false,"suffix":""},{"dropping-particle":"","family":"Danese","given":"S","non-dropping-particle":"","parse-names":false,"suffix":""},{"dropping-particle":"","family":"Panes","given":"J","non-dropping-particle":"","parse-names":false,"suffix":""},{"dropping-particle":"","family":"Bouguen","given":"G","non-dropping-particle":"","parse-names":false,"suffix":""},{"dropping-particle":"","family":"O'Donnell","given":"S","non-dropping-particle":"","parse-names":false,"suffix":""},{"dropping-particle":"","family":"Pariente","given":"B","non-dropping-particle":"","parse-names":false,"suffix":""},{"dropping-particle":"","family":"Winer","given":"S","non-dropping-particle":"","parse-names":false,"suffix":""},{"dropping-particle":"","family":"Hanauer","given":"S","non-dropping-particle":"","parse-names":false,"suffix":""},{"dropping-particle":"","family":"Colombel","given":"J-F","non-dropping-particle":"","parse-names":false,"suffix":""}],"container-title":"The American journal of gastroenterology","id":"ITEM-1","issue":"9","issued":{"date-parts":[["2015","9"]]},"language":"eng","page":"1324-1338","publisher-place":"United States","title":"Selecting Therapeutic Targets in Inflammatory Bowel Disease (STRIDE): Determining  Therapeutic Goals for Treat-to-Target.","type":"article-journal","volume":"110"},"uris":["http://www.mendeley.com/documents/?uuid=121964cb-7b0f-45e5-9416-ceccb32bfe7c"]}],"mendeley":{"formattedCitation":"&lt;sup&gt;4&lt;/sup&gt;","plainTextFormattedCitation":"4","previouslyFormattedCitation":"&lt;sup&gt;4&lt;/sup&gt;"},"properties":{"noteIndex":0},"schema":"https://github.com/citation-style-language/schema/raw/master/csl-citation.json"}</w:instrText>
      </w:r>
      <w:r w:rsidR="003329A7" w:rsidRPr="00C54D13">
        <w:rPr>
          <w:rFonts w:ascii="Times New Roman" w:eastAsia="Times New Roman" w:hAnsi="Times New Roman" w:cs="Times New Roman"/>
          <w:color w:val="000000"/>
          <w:sz w:val="24"/>
          <w:szCs w:val="24"/>
          <w:lang w:val="en-GB"/>
        </w:rPr>
        <w:fldChar w:fldCharType="separate"/>
      </w:r>
      <w:r w:rsidR="003329A7" w:rsidRPr="00C54D13">
        <w:rPr>
          <w:rFonts w:ascii="Times New Roman" w:eastAsia="Times New Roman" w:hAnsi="Times New Roman" w:cs="Times New Roman"/>
          <w:noProof/>
          <w:color w:val="000000"/>
          <w:sz w:val="24"/>
          <w:szCs w:val="24"/>
          <w:vertAlign w:val="superscript"/>
          <w:lang w:val="en-GB"/>
        </w:rPr>
        <w:t>4</w:t>
      </w:r>
      <w:r w:rsidR="003329A7" w:rsidRPr="00C54D13">
        <w:rPr>
          <w:rFonts w:ascii="Times New Roman" w:eastAsia="Times New Roman" w:hAnsi="Times New Roman" w:cs="Times New Roman"/>
          <w:color w:val="000000"/>
          <w:sz w:val="24"/>
          <w:szCs w:val="24"/>
          <w:lang w:val="en-GB"/>
        </w:rPr>
        <w:fldChar w:fldCharType="end"/>
      </w:r>
      <w:r w:rsidR="0026125D" w:rsidRPr="00C54D13">
        <w:rPr>
          <w:rFonts w:ascii="Times New Roman" w:eastAsia="Times New Roman" w:hAnsi="Times New Roman" w:cs="Times New Roman"/>
          <w:color w:val="000000"/>
          <w:sz w:val="24"/>
          <w:szCs w:val="24"/>
          <w:lang w:val="en-GB"/>
        </w:rPr>
        <w:t xml:space="preserve">; 2) </w:t>
      </w:r>
      <w:r w:rsidR="005770CB" w:rsidRPr="00C54D13">
        <w:rPr>
          <w:rFonts w:ascii="Times New Roman" w:eastAsia="Times New Roman" w:hAnsi="Times New Roman" w:cs="Times New Roman"/>
          <w:color w:val="000000"/>
          <w:sz w:val="24"/>
          <w:szCs w:val="24"/>
          <w:lang w:val="en-GB"/>
        </w:rPr>
        <w:t>it remains</w:t>
      </w:r>
      <w:r w:rsidR="0026125D" w:rsidRPr="00C54D13">
        <w:rPr>
          <w:rFonts w:ascii="Times New Roman" w:eastAsia="Times New Roman" w:hAnsi="Times New Roman" w:cs="Times New Roman"/>
          <w:color w:val="000000"/>
          <w:sz w:val="24"/>
          <w:szCs w:val="24"/>
          <w:lang w:val="en-GB"/>
        </w:rPr>
        <w:t xml:space="preserve"> difficult to assess small bowel disease</w:t>
      </w:r>
      <w:r w:rsidR="00E14F0F">
        <w:rPr>
          <w:rFonts w:ascii="Times New Roman" w:eastAsia="Times New Roman" w:hAnsi="Times New Roman" w:cs="Times New Roman"/>
          <w:color w:val="000000"/>
          <w:sz w:val="24"/>
          <w:szCs w:val="24"/>
          <w:lang w:val="en-GB"/>
        </w:rPr>
        <w:t xml:space="preserve"> (</w:t>
      </w:r>
      <w:r w:rsidR="00E14F0F" w:rsidRPr="00E14F0F">
        <w:rPr>
          <w:rFonts w:ascii="Times New Roman" w:eastAsia="Times New Roman" w:hAnsi="Times New Roman" w:cs="Times New Roman"/>
          <w:color w:val="000000"/>
          <w:sz w:val="24"/>
          <w:szCs w:val="24"/>
          <w:lang w:val="en-GB"/>
        </w:rPr>
        <w:t xml:space="preserve">only the terminal ileum </w:t>
      </w:r>
      <w:r w:rsidR="00BB3596">
        <w:rPr>
          <w:rFonts w:ascii="Times New Roman" w:eastAsia="Times New Roman" w:hAnsi="Times New Roman" w:cs="Times New Roman"/>
          <w:color w:val="000000"/>
          <w:sz w:val="24"/>
          <w:szCs w:val="24"/>
          <w:lang w:val="en-GB"/>
        </w:rPr>
        <w:t>can be examined</w:t>
      </w:r>
      <w:r w:rsidR="00E14F0F" w:rsidRPr="00E14F0F">
        <w:rPr>
          <w:rFonts w:ascii="Times New Roman" w:eastAsia="Times New Roman" w:hAnsi="Times New Roman" w:cs="Times New Roman"/>
          <w:color w:val="000000"/>
          <w:sz w:val="24"/>
          <w:szCs w:val="24"/>
          <w:lang w:val="en-GB"/>
        </w:rPr>
        <w:t>)</w:t>
      </w:r>
      <w:r w:rsidR="0026125D" w:rsidRPr="00C54D13">
        <w:rPr>
          <w:rFonts w:ascii="Times New Roman" w:eastAsia="Times New Roman" w:hAnsi="Times New Roman" w:cs="Times New Roman"/>
          <w:color w:val="000000"/>
          <w:sz w:val="24"/>
          <w:szCs w:val="24"/>
          <w:lang w:val="en-GB"/>
        </w:rPr>
        <w:t>; 3) there is no consensual agreement about the definition of endoscopic remission</w:t>
      </w:r>
      <w:r w:rsidR="00DA48B3" w:rsidRPr="00C54D13">
        <w:rPr>
          <w:rFonts w:ascii="Times New Roman" w:eastAsia="Times New Roman" w:hAnsi="Times New Roman" w:cs="Times New Roman"/>
          <w:color w:val="000000"/>
          <w:sz w:val="24"/>
          <w:szCs w:val="24"/>
          <w:lang w:val="en-GB"/>
        </w:rPr>
        <w:fldChar w:fldCharType="begin" w:fldLock="1"/>
      </w:r>
      <w:r w:rsidR="00DA48B3" w:rsidRPr="00C54D13">
        <w:rPr>
          <w:rFonts w:ascii="Times New Roman" w:eastAsia="Times New Roman" w:hAnsi="Times New Roman" w:cs="Times New Roman"/>
          <w:color w:val="000000"/>
          <w:sz w:val="24"/>
          <w:szCs w:val="24"/>
          <w:lang w:val="en-GB"/>
        </w:rPr>
        <w:instrText>ADDIN CSL_CITATION {"citationItems":[{"id":"ITEM-1","itemData":{"DOI":"10.1093/ecco-jcc/jjy097","ISSN":"1876-4479 (Electronic)","PMID":"29982528","abstract":"Endoscopic remission is the cornerstone of drug development and the guidance for  daily clinical practice in Crohn's disease [CD]. However, although scoring systems for endoscopic activity in CD have been available for more than three decades, no consensus exists on the definition of endoscopic remission. In this viewpoint we describe the shortcomings of the current definition of endoscopic remission in ileocolonic CD and the essential requirements for a newly developed endoscopic scoring tool for endoscopic remission in CD.","author":[{"dropping-particle":"","family":"Bossuyt","given":"Peter","non-dropping-particle":"","parse-names":false,"suffix":""},{"dropping-particle":"","family":"Louis","given":"Edouard","non-dropping-particle":"","parse-names":false,"suffix":""},{"dropping-particle":"","family":"Mary","given":"Jean-Yves","non-dropping-particle":"","parse-names":false,"suffix":""},{"dropping-particle":"","family":"Vermeire","given":"Séverine","non-dropping-particle":"","parse-names":false,"suffix":""},{"dropping-particle":"","family":"Bouhnik","given":"Yoram","non-dropping-particle":"","parse-names":false,"suffix":""}],"container-title":"Journal of Crohn's &amp; colitis","id":"ITEM-1","issue":"10","issued":{"date-parts":[["2018","11"]]},"language":"eng","page":"1245-1248","publisher-place":"England","title":"Defining Endoscopic Remission in Ileocolonic Crohn's Disease: Let's Start from  Scratch.","type":"article-journal","volume":"12"},"uris":["http://www.mendeley.com/documents/?uuid=79851091-3e59-4f52-bf04-a0f8bd424e77"]}],"mendeley":{"formattedCitation":"&lt;sup&gt;7&lt;/sup&gt;","plainTextFormattedCitation":"7","previouslyFormattedCitation":"&lt;sup&gt;7&lt;/sup&gt;"},"properties":{"noteIndex":0},"schema":"https://github.com/citation-style-language/schema/raw/master/csl-citation.json"}</w:instrText>
      </w:r>
      <w:r w:rsidR="00DA48B3" w:rsidRPr="00C54D13">
        <w:rPr>
          <w:rFonts w:ascii="Times New Roman" w:eastAsia="Times New Roman" w:hAnsi="Times New Roman" w:cs="Times New Roman"/>
          <w:color w:val="000000"/>
          <w:sz w:val="24"/>
          <w:szCs w:val="24"/>
          <w:lang w:val="en-GB"/>
        </w:rPr>
        <w:fldChar w:fldCharType="separate"/>
      </w:r>
      <w:r w:rsidR="00DA48B3" w:rsidRPr="00C54D13">
        <w:rPr>
          <w:rFonts w:ascii="Times New Roman" w:eastAsia="Times New Roman" w:hAnsi="Times New Roman" w:cs="Times New Roman"/>
          <w:noProof/>
          <w:color w:val="000000"/>
          <w:sz w:val="24"/>
          <w:szCs w:val="24"/>
          <w:vertAlign w:val="superscript"/>
          <w:lang w:val="en-GB"/>
        </w:rPr>
        <w:t>7</w:t>
      </w:r>
      <w:r w:rsidR="00DA48B3" w:rsidRPr="00C54D13">
        <w:rPr>
          <w:rFonts w:ascii="Times New Roman" w:eastAsia="Times New Roman" w:hAnsi="Times New Roman" w:cs="Times New Roman"/>
          <w:color w:val="000000"/>
          <w:sz w:val="24"/>
          <w:szCs w:val="24"/>
          <w:lang w:val="en-GB"/>
        </w:rPr>
        <w:fldChar w:fldCharType="end"/>
      </w:r>
      <w:r w:rsidR="0026125D" w:rsidRPr="00C54D13">
        <w:rPr>
          <w:rFonts w:ascii="Times New Roman" w:eastAsia="Times New Roman" w:hAnsi="Times New Roman" w:cs="Times New Roman"/>
          <w:color w:val="000000"/>
          <w:sz w:val="24"/>
          <w:szCs w:val="24"/>
          <w:lang w:val="en-GB"/>
        </w:rPr>
        <w:t xml:space="preserve">; 4) </w:t>
      </w:r>
      <w:r w:rsidR="00C42A54" w:rsidRPr="00C54D13">
        <w:rPr>
          <w:rFonts w:ascii="Times New Roman" w:eastAsia="Times New Roman" w:hAnsi="Times New Roman" w:cs="Times New Roman"/>
          <w:color w:val="000000"/>
          <w:sz w:val="24"/>
          <w:szCs w:val="24"/>
          <w:lang w:val="en-GB"/>
        </w:rPr>
        <w:t xml:space="preserve">it is </w:t>
      </w:r>
      <w:r w:rsidR="00A81795">
        <w:rPr>
          <w:rFonts w:ascii="Times New Roman" w:eastAsia="Times New Roman" w:hAnsi="Times New Roman" w:cs="Times New Roman"/>
          <w:color w:val="000000"/>
          <w:sz w:val="24"/>
          <w:szCs w:val="24"/>
          <w:lang w:val="en-GB"/>
        </w:rPr>
        <w:t>only a superficial view of</w:t>
      </w:r>
      <w:r w:rsidR="0026125D" w:rsidRPr="00C54D13">
        <w:rPr>
          <w:rFonts w:ascii="Times New Roman" w:eastAsia="Times New Roman" w:hAnsi="Times New Roman" w:cs="Times New Roman"/>
          <w:color w:val="000000"/>
          <w:sz w:val="24"/>
          <w:szCs w:val="24"/>
          <w:lang w:val="en-GB"/>
        </w:rPr>
        <w:t xml:space="preserve"> disease activity given that endoscopic examination only concerns the mucosa (less than 15% of the gut thickness</w:t>
      </w:r>
      <w:r w:rsidR="00DA48B3" w:rsidRPr="00C54D13">
        <w:rPr>
          <w:rFonts w:ascii="Times New Roman" w:eastAsia="Times New Roman" w:hAnsi="Times New Roman" w:cs="Times New Roman"/>
          <w:color w:val="000000"/>
          <w:sz w:val="24"/>
          <w:szCs w:val="24"/>
          <w:lang w:val="en-GB"/>
        </w:rPr>
        <w:fldChar w:fldCharType="begin" w:fldLock="1"/>
      </w:r>
      <w:r w:rsidR="00A71E96" w:rsidRPr="00C54D13">
        <w:rPr>
          <w:rFonts w:ascii="Times New Roman" w:eastAsia="Times New Roman" w:hAnsi="Times New Roman" w:cs="Times New Roman"/>
          <w:color w:val="000000"/>
          <w:sz w:val="24"/>
          <w:szCs w:val="24"/>
          <w:lang w:val="en-GB"/>
        </w:rPr>
        <w:instrText>ADDIN CSL_CITATION {"citationItems":[{"id":"ITEM-1","itemData":{"DOI":"10.1136/gutjnl-2012-302830","ISSN":"1468-3288 (Electronic)","PMID":"22842618","abstract":"Recent studies have identified mucosal healing on endoscopy as a key prognostic  parameter in the management of inflammatory bowel diseases (IBD), thus highlighting the role of endoscopy for monitoring of disease activity in IBD. In fact, mucosal healing has emerged as a key treatment goal in IBD that predicts sustained clinical remission and resection-free survival of patients. The structural basis of mucosal healing is an intact barrier function of the gut epithelium that prevents translocation of commensal bacteria into the mucosa and submucosa with subsequent immune cell activation. Thus, mucosal healing should be considered as an initial event in the suppression of inflammation of deeper layers of the bowel wall, rather than as a sign of complete healing of gut inflammation. In this systematic review, the clinical studies on mucosal healing are summarised and the effects of anti-inflammatory or immunosuppressive drugs such as 5-aminosalicylates, corticosteroids, azathioprine, ciclosporin and anti-TNF antibodies (adalimumab, certolizumab pegol, infliximab) on mucosal healing are discussed. Finally, the implications of mucosal healing for subsequent clinical management in patients with IBD are highlighted.","author":[{"dropping-particle":"","family":"Neurath","given":"Markus F","non-dropping-particle":"","parse-names":false,"suffix":""},{"dropping-particle":"","family":"Travis","given":"Simon P L","non-dropping-particle":"","parse-names":false,"suffix":""}],"container-title":"Gut","id":"ITEM-1","issue":"11","issued":{"date-parts":[["2012","11"]]},"language":"eng","page":"1619-1635","publisher-place":"England","title":"Mucosal healing in inflammatory bowel diseases: a systematic review.","type":"article-journal","volume":"61"},"uris":["http://www.mendeley.com/documents/?uuid=3ac14734-2a92-458f-bec0-0d3efbf7b638"]}],"mendeley":{"formattedCitation":"&lt;sup&gt;8&lt;/sup&gt;","plainTextFormattedCitation":"8","previouslyFormattedCitation":"&lt;sup&gt;8&lt;/sup&gt;"},"properties":{"noteIndex":0},"schema":"https://github.com/citation-style-language/schema/raw/master/csl-citation.json"}</w:instrText>
      </w:r>
      <w:r w:rsidR="00DA48B3" w:rsidRPr="00C54D13">
        <w:rPr>
          <w:rFonts w:ascii="Times New Roman" w:eastAsia="Times New Roman" w:hAnsi="Times New Roman" w:cs="Times New Roman"/>
          <w:color w:val="000000"/>
          <w:sz w:val="24"/>
          <w:szCs w:val="24"/>
          <w:lang w:val="en-GB"/>
        </w:rPr>
        <w:fldChar w:fldCharType="separate"/>
      </w:r>
      <w:r w:rsidR="00DA48B3" w:rsidRPr="00C54D13">
        <w:rPr>
          <w:rFonts w:ascii="Times New Roman" w:eastAsia="Times New Roman" w:hAnsi="Times New Roman" w:cs="Times New Roman"/>
          <w:noProof/>
          <w:color w:val="000000"/>
          <w:sz w:val="24"/>
          <w:szCs w:val="24"/>
          <w:vertAlign w:val="superscript"/>
          <w:lang w:val="en-GB"/>
        </w:rPr>
        <w:t>8</w:t>
      </w:r>
      <w:r w:rsidR="00DA48B3" w:rsidRPr="00C54D13">
        <w:rPr>
          <w:rFonts w:ascii="Times New Roman" w:eastAsia="Times New Roman" w:hAnsi="Times New Roman" w:cs="Times New Roman"/>
          <w:color w:val="000000"/>
          <w:sz w:val="24"/>
          <w:szCs w:val="24"/>
          <w:lang w:val="en-GB"/>
        </w:rPr>
        <w:fldChar w:fldCharType="end"/>
      </w:r>
      <w:r w:rsidR="0026125D" w:rsidRPr="00C54D13">
        <w:rPr>
          <w:rFonts w:ascii="Times New Roman" w:eastAsia="Times New Roman" w:hAnsi="Times New Roman" w:cs="Times New Roman"/>
          <w:color w:val="000000"/>
          <w:sz w:val="24"/>
          <w:szCs w:val="24"/>
          <w:lang w:val="en-GB"/>
        </w:rPr>
        <w:t>) while CD affects all gut layers (transmural disease). Besides, it was reported</w:t>
      </w:r>
      <w:r w:rsidR="00640A9E" w:rsidRPr="00C54D13">
        <w:rPr>
          <w:rFonts w:ascii="Times New Roman" w:eastAsia="Times New Roman" w:hAnsi="Times New Roman" w:cs="Times New Roman"/>
          <w:color w:val="000000"/>
          <w:sz w:val="24"/>
          <w:szCs w:val="24"/>
          <w:lang w:val="en-GB"/>
        </w:rPr>
        <w:t xml:space="preserve"> in CD</w:t>
      </w:r>
      <w:r w:rsidR="0026125D" w:rsidRPr="00C54D13">
        <w:rPr>
          <w:rFonts w:ascii="Times New Roman" w:eastAsia="Times New Roman" w:hAnsi="Times New Roman" w:cs="Times New Roman"/>
          <w:color w:val="000000"/>
          <w:sz w:val="24"/>
          <w:szCs w:val="24"/>
          <w:lang w:val="en-GB"/>
        </w:rPr>
        <w:t xml:space="preserve"> that </w:t>
      </w:r>
      <w:r w:rsidR="006D49F1" w:rsidRPr="00C54D13">
        <w:rPr>
          <w:rFonts w:ascii="Times New Roman" w:eastAsia="Times New Roman" w:hAnsi="Times New Roman" w:cs="Times New Roman"/>
          <w:color w:val="000000"/>
          <w:sz w:val="24"/>
          <w:szCs w:val="24"/>
          <w:lang w:val="en-GB"/>
        </w:rPr>
        <w:t xml:space="preserve">mural and extramural abnormalities </w:t>
      </w:r>
      <w:r w:rsidR="00F63A8B" w:rsidRPr="00C54D13">
        <w:rPr>
          <w:rFonts w:ascii="Times New Roman" w:eastAsia="Times New Roman" w:hAnsi="Times New Roman" w:cs="Times New Roman"/>
          <w:color w:val="000000"/>
          <w:sz w:val="24"/>
          <w:szCs w:val="24"/>
          <w:lang w:val="en-GB"/>
        </w:rPr>
        <w:t>remain relatively</w:t>
      </w:r>
      <w:r w:rsidR="00F14879" w:rsidRPr="00C54D13">
        <w:rPr>
          <w:rFonts w:ascii="Times New Roman" w:eastAsia="Times New Roman" w:hAnsi="Times New Roman" w:cs="Times New Roman"/>
          <w:color w:val="000000"/>
          <w:sz w:val="24"/>
          <w:szCs w:val="24"/>
          <w:lang w:val="en-GB"/>
        </w:rPr>
        <w:t xml:space="preserve"> frequent</w:t>
      </w:r>
      <w:r w:rsidR="006D49F1" w:rsidRPr="00C54D13">
        <w:rPr>
          <w:rFonts w:ascii="Times New Roman" w:eastAsia="Times New Roman" w:hAnsi="Times New Roman" w:cs="Times New Roman"/>
          <w:color w:val="000000"/>
          <w:sz w:val="24"/>
          <w:szCs w:val="24"/>
          <w:lang w:val="en-GB"/>
        </w:rPr>
        <w:t xml:space="preserve"> </w:t>
      </w:r>
      <w:r w:rsidR="00F14879" w:rsidRPr="00C54D13">
        <w:rPr>
          <w:rFonts w:ascii="Times New Roman" w:eastAsia="Times New Roman" w:hAnsi="Times New Roman" w:cs="Times New Roman"/>
          <w:color w:val="000000"/>
          <w:sz w:val="24"/>
          <w:szCs w:val="24"/>
          <w:lang w:val="en-GB"/>
        </w:rPr>
        <w:t>in</w:t>
      </w:r>
      <w:r w:rsidR="00640A9E" w:rsidRPr="00C54D13">
        <w:rPr>
          <w:rFonts w:ascii="Times New Roman" w:eastAsia="Times New Roman" w:hAnsi="Times New Roman" w:cs="Times New Roman"/>
          <w:color w:val="000000"/>
          <w:sz w:val="24"/>
          <w:szCs w:val="24"/>
          <w:lang w:val="en-GB"/>
        </w:rPr>
        <w:t xml:space="preserve"> gut segments in endoscopic remission</w:t>
      </w:r>
      <w:r w:rsidR="00A71E96" w:rsidRPr="00C54D13">
        <w:rPr>
          <w:rFonts w:ascii="Times New Roman" w:eastAsia="Times New Roman" w:hAnsi="Times New Roman" w:cs="Times New Roman"/>
          <w:color w:val="000000"/>
          <w:sz w:val="24"/>
          <w:szCs w:val="24"/>
          <w:lang w:val="en-GB"/>
        </w:rPr>
        <w:fldChar w:fldCharType="begin" w:fldLock="1"/>
      </w:r>
      <w:r w:rsidR="009A22FB" w:rsidRPr="00C54D13">
        <w:rPr>
          <w:rFonts w:ascii="Times New Roman" w:eastAsia="Times New Roman" w:hAnsi="Times New Roman" w:cs="Times New Roman"/>
          <w:color w:val="000000"/>
          <w:sz w:val="24"/>
          <w:szCs w:val="24"/>
          <w:lang w:val="en-GB"/>
        </w:rPr>
        <w:instrText>ADDIN CSL_CITATION {"citationItems":[{"id":"ITEM-1","itemData":{"DOI":"10.1111/apt.15013","ISSN":"1365-2036 (Electronic)","PMID":"30345577","abstract":"BACKGROUND: In Crohn's disease, it is essential to distinguish between persistent  damage and abnormalities that can heal with anti-inflammatory therapy. AIM: To assess magnetic resonance enterography (MRE) lesions that persist in patients in long-standing endoscopic remission, analyse their relationship with baseline characteristics, and determine their prognostic implications. METHODS: We systematically reviewed pre- and post-treatment MRE findings in patients with Crohn's disease and severe inflammation (segmental CDEIS ≥ 7 or ulcers in at least one segment) who achieved endoscopic remission (CDEIS &lt; 2) after 1 year of treatment with TNF-inhibitors or autologous haematopoietic stem-cell transplantation. Logistic regression analysis was used to identify predictors of persistent abnormalities. RESULTS: Endoscopic remission was achieved in 73 intestinal segments in 28 patients (69% females; 9.95 years disease duration, 67.9% inflammatory phenotype; 39.3% ileal location). Creeping fat and intestinal wall fat deposits were unchanged on pre- and post-treatment MRE despite the endoscopic remission. Luminal strictures persisted in 6 out of the 8 segments with baseline strictures, and wall thickening in 23 out of the 72 of segments with thickening at baseline. Predictors of persistent mural thickening were pre-treatment wall thickness &gt; 5.9 mm (OR = 4.38, P = 0.027) and refractory disease prior to baseline (OR = 2.35, P = 0.001). Creeping fat was the only predictor for persistence of creeping fat (OR = 36.43, P &lt; 0.001). Persistence of strictures at MRE is associated with earlier recurrence (P = 0.014). CONCLUSIONS: Persistent MRE abnormalities are frequent in patients with Crohn's disease despite achieving endoscopic remission. Significant wall thickening, intestinal fat deposition, strictures, and creeping fat at baseline MRE are signs of established damage.","author":[{"dropping-particle":"","family":"Rimola","given":"Jordi","non-dropping-particle":"","parse-names":false,"suffix":""},{"dropping-particle":"","family":"Alfaro","given":"Ignacio","non-dropping-particle":"","parse-names":false,"suffix":""},{"dropping-particle":"","family":"Fernández-Clotet","given":"Agnès","non-dropping-particle":"","parse-names":false,"suffix":""},{"dropping-particle":"","family":"Castro-Poceiro","given":"Jesús","non-dropping-particle":"","parse-names":false,"suffix":""},{"dropping-particle":"","family":"Vas","given":"Daniel","non-dropping-particle":"","parse-names":false,"suffix":""},{"dropping-particle":"","family":"Rodríguez","given":"Sonia","non-dropping-particle":"","parse-names":false,"suffix":""},{"dropping-particle":"","family":"Masamunt","given":"Maria Carme","non-dropping-particle":"","parse-names":false,"suffix":""},{"dropping-particle":"","family":"Ordás","given":"Ingrid","non-dropping-particle":"","parse-names":false,"suffix":""},{"dropping-particle":"","family":"Ricart","given":"Elena","non-dropping-particle":"","parse-names":false,"suffix":""},{"dropping-particle":"","family":"Panés","given":"Julián","non-dropping-particle":"","parse-names":false,"suffix":""}],"container-title":"Alimentary pharmacology &amp; therapeutics","id":"ITEM-1","issue":"11-12","issued":{"date-parts":[["2018","12"]]},"language":"eng","page":"1232-1241","publisher-place":"England","title":"Persistent damage on magnetic resonance enterography in patients with Crohn's  disease in endoscopic remission.","type":"article-journal","volume":"48"},"uris":["http://www.mendeley.com/documents/?uuid=35ea28a8-f767-4319-815d-efb0c9b3daf2"]}],"mendeley":{"formattedCitation":"&lt;sup&gt;9&lt;/sup&gt;","plainTextFormattedCitation":"9","previouslyFormattedCitation":"&lt;sup&gt;9&lt;/sup&gt;"},"properties":{"noteIndex":0},"schema":"https://github.com/citation-style-language/schema/raw/master/csl-citation.json"}</w:instrText>
      </w:r>
      <w:r w:rsidR="00A71E96" w:rsidRPr="00C54D13">
        <w:rPr>
          <w:rFonts w:ascii="Times New Roman" w:eastAsia="Times New Roman" w:hAnsi="Times New Roman" w:cs="Times New Roman"/>
          <w:color w:val="000000"/>
          <w:sz w:val="24"/>
          <w:szCs w:val="24"/>
          <w:lang w:val="en-GB"/>
        </w:rPr>
        <w:fldChar w:fldCharType="separate"/>
      </w:r>
      <w:r w:rsidR="00A71E96" w:rsidRPr="00C54D13">
        <w:rPr>
          <w:rFonts w:ascii="Times New Roman" w:eastAsia="Times New Roman" w:hAnsi="Times New Roman" w:cs="Times New Roman"/>
          <w:noProof/>
          <w:color w:val="000000"/>
          <w:sz w:val="24"/>
          <w:szCs w:val="24"/>
          <w:vertAlign w:val="superscript"/>
          <w:lang w:val="en-GB"/>
        </w:rPr>
        <w:t>9</w:t>
      </w:r>
      <w:r w:rsidR="00A71E96" w:rsidRPr="00C54D13">
        <w:rPr>
          <w:rFonts w:ascii="Times New Roman" w:eastAsia="Times New Roman" w:hAnsi="Times New Roman" w:cs="Times New Roman"/>
          <w:color w:val="000000"/>
          <w:sz w:val="24"/>
          <w:szCs w:val="24"/>
          <w:lang w:val="en-GB"/>
        </w:rPr>
        <w:fldChar w:fldCharType="end"/>
      </w:r>
      <w:r w:rsidR="0026125D" w:rsidRPr="00C54D13">
        <w:rPr>
          <w:rFonts w:ascii="Times New Roman" w:eastAsia="Times New Roman" w:hAnsi="Times New Roman" w:cs="Times New Roman"/>
          <w:color w:val="000000"/>
          <w:sz w:val="24"/>
          <w:szCs w:val="24"/>
          <w:lang w:val="en-GB"/>
        </w:rPr>
        <w:t xml:space="preserve">. </w:t>
      </w:r>
    </w:p>
    <w:p w14:paraId="1C5F7B72" w14:textId="156FFE1E" w:rsidR="00E339DB" w:rsidRPr="00C54D13" w:rsidRDefault="00EE3B5B" w:rsidP="008E3CD7">
      <w:pPr>
        <w:spacing w:after="0" w:line="480" w:lineRule="auto"/>
        <w:ind w:firstLine="284"/>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In CD, remission</w:t>
      </w:r>
      <w:r w:rsidR="00B27A18" w:rsidRPr="00C54D13">
        <w:rPr>
          <w:rFonts w:ascii="Times New Roman" w:eastAsia="Times New Roman" w:hAnsi="Times New Roman" w:cs="Times New Roman"/>
          <w:color w:val="000000"/>
          <w:sz w:val="24"/>
          <w:szCs w:val="24"/>
          <w:lang w:val="en-GB"/>
        </w:rPr>
        <w:t xml:space="preserve"> has </w:t>
      </w:r>
      <w:r w:rsidR="00A27D7B">
        <w:rPr>
          <w:rFonts w:ascii="Times New Roman" w:eastAsia="Times New Roman" w:hAnsi="Times New Roman" w:cs="Times New Roman"/>
          <w:color w:val="000000"/>
          <w:sz w:val="24"/>
          <w:szCs w:val="24"/>
          <w:lang w:val="en-GB"/>
        </w:rPr>
        <w:t xml:space="preserve">also </w:t>
      </w:r>
      <w:r w:rsidR="00B27A18" w:rsidRPr="00C54D13">
        <w:rPr>
          <w:rFonts w:ascii="Times New Roman" w:eastAsia="Times New Roman" w:hAnsi="Times New Roman" w:cs="Times New Roman"/>
          <w:color w:val="000000"/>
          <w:sz w:val="24"/>
          <w:szCs w:val="24"/>
          <w:lang w:val="en-GB"/>
        </w:rPr>
        <w:t xml:space="preserve">been defined </w:t>
      </w:r>
      <w:r w:rsidR="00257285" w:rsidRPr="00C54D13">
        <w:rPr>
          <w:rFonts w:ascii="Times New Roman" w:eastAsia="Times New Roman" w:hAnsi="Times New Roman" w:cs="Times New Roman"/>
          <w:color w:val="000000"/>
          <w:sz w:val="24"/>
          <w:szCs w:val="24"/>
          <w:lang w:val="en-GB"/>
        </w:rPr>
        <w:t>by using</w:t>
      </w:r>
      <w:r w:rsidR="002B663A" w:rsidRPr="00C54D13">
        <w:rPr>
          <w:rFonts w:ascii="Times New Roman" w:eastAsia="Times New Roman" w:hAnsi="Times New Roman" w:cs="Times New Roman"/>
          <w:color w:val="000000"/>
          <w:sz w:val="24"/>
          <w:szCs w:val="24"/>
          <w:lang w:val="en-GB"/>
        </w:rPr>
        <w:t xml:space="preserve"> histology</w:t>
      </w:r>
      <w:r w:rsidR="009D2092" w:rsidRPr="00C54D13">
        <w:rPr>
          <w:rFonts w:ascii="Times New Roman" w:eastAsia="Times New Roman" w:hAnsi="Times New Roman" w:cs="Times New Roman"/>
          <w:color w:val="000000"/>
          <w:sz w:val="24"/>
          <w:szCs w:val="24"/>
          <w:lang w:val="en-GB"/>
        </w:rPr>
        <w:t xml:space="preserve"> or cross-sectional </w:t>
      </w:r>
      <w:r w:rsidR="00257285" w:rsidRPr="00C54D13">
        <w:rPr>
          <w:rFonts w:ascii="Times New Roman" w:eastAsia="Times New Roman" w:hAnsi="Times New Roman" w:cs="Times New Roman"/>
          <w:color w:val="000000"/>
          <w:sz w:val="24"/>
          <w:szCs w:val="24"/>
          <w:lang w:val="en-GB"/>
        </w:rPr>
        <w:t>imaging</w:t>
      </w:r>
      <w:r w:rsidR="00F5467B" w:rsidRPr="00C54D13">
        <w:rPr>
          <w:rFonts w:ascii="Times New Roman" w:eastAsia="Times New Roman" w:hAnsi="Times New Roman" w:cs="Times New Roman"/>
          <w:color w:val="000000"/>
          <w:sz w:val="24"/>
          <w:szCs w:val="24"/>
          <w:lang w:val="en-GB"/>
        </w:rPr>
        <w:t xml:space="preserve"> techniques</w:t>
      </w:r>
      <w:r w:rsidR="009D2092" w:rsidRPr="00C54D13">
        <w:rPr>
          <w:rFonts w:ascii="Times New Roman" w:eastAsia="Times New Roman" w:hAnsi="Times New Roman" w:cs="Times New Roman"/>
          <w:color w:val="000000"/>
          <w:sz w:val="24"/>
          <w:szCs w:val="24"/>
          <w:lang w:val="en-GB"/>
        </w:rPr>
        <w:t xml:space="preserve"> (magnetic resonance </w:t>
      </w:r>
      <w:proofErr w:type="spellStart"/>
      <w:r w:rsidR="009D2092" w:rsidRPr="00C54D13">
        <w:rPr>
          <w:rFonts w:ascii="Times New Roman" w:eastAsia="Times New Roman" w:hAnsi="Times New Roman" w:cs="Times New Roman"/>
          <w:color w:val="000000"/>
          <w:sz w:val="24"/>
          <w:szCs w:val="24"/>
          <w:lang w:val="en-GB"/>
        </w:rPr>
        <w:t>entero</w:t>
      </w:r>
      <w:r w:rsidR="009B6CCD" w:rsidRPr="00C54D13">
        <w:rPr>
          <w:rFonts w:ascii="Times New Roman" w:eastAsia="Times New Roman" w:hAnsi="Times New Roman" w:cs="Times New Roman"/>
          <w:color w:val="000000"/>
          <w:sz w:val="24"/>
          <w:szCs w:val="24"/>
          <w:lang w:val="en-GB"/>
        </w:rPr>
        <w:t>graphy</w:t>
      </w:r>
      <w:proofErr w:type="spellEnd"/>
      <w:r w:rsidR="009B6CCD" w:rsidRPr="00C54D13">
        <w:rPr>
          <w:rFonts w:ascii="Times New Roman" w:eastAsia="Times New Roman" w:hAnsi="Times New Roman" w:cs="Times New Roman"/>
          <w:color w:val="000000"/>
          <w:sz w:val="24"/>
          <w:szCs w:val="24"/>
          <w:lang w:val="en-GB"/>
        </w:rPr>
        <w:t xml:space="preserve">, computed tomography and </w:t>
      </w:r>
      <w:r w:rsidR="009D2092" w:rsidRPr="00C54D13">
        <w:rPr>
          <w:rFonts w:ascii="Times New Roman" w:eastAsia="Times New Roman" w:hAnsi="Times New Roman" w:cs="Times New Roman"/>
          <w:color w:val="000000"/>
          <w:sz w:val="24"/>
          <w:szCs w:val="24"/>
          <w:lang w:val="en-GB"/>
        </w:rPr>
        <w:t>ultrasonography)</w:t>
      </w:r>
      <w:r w:rsidR="00921AD5" w:rsidRPr="00C54D13">
        <w:rPr>
          <w:rFonts w:ascii="Times New Roman" w:eastAsia="Times New Roman" w:hAnsi="Times New Roman" w:cs="Times New Roman"/>
          <w:color w:val="000000"/>
          <w:sz w:val="24"/>
          <w:szCs w:val="24"/>
          <w:lang w:val="en-GB"/>
        </w:rPr>
        <w:t>.</w:t>
      </w:r>
      <w:r w:rsidR="00295B68" w:rsidRPr="00C54D13">
        <w:rPr>
          <w:rFonts w:ascii="Times New Roman" w:eastAsia="Times New Roman" w:hAnsi="Times New Roman" w:cs="Times New Roman"/>
          <w:color w:val="000000"/>
          <w:sz w:val="24"/>
          <w:szCs w:val="24"/>
          <w:lang w:val="en-GB"/>
        </w:rPr>
        <w:t xml:space="preserve"> </w:t>
      </w:r>
      <w:r w:rsidR="00BA559E" w:rsidRPr="00C54D13">
        <w:rPr>
          <w:rFonts w:ascii="Times New Roman" w:eastAsia="Times New Roman" w:hAnsi="Times New Roman" w:cs="Times New Roman"/>
          <w:color w:val="000000"/>
          <w:sz w:val="24"/>
          <w:szCs w:val="24"/>
          <w:lang w:val="en-GB"/>
        </w:rPr>
        <w:t>Nevertheless, t</w:t>
      </w:r>
      <w:r w:rsidR="0026125D" w:rsidRPr="00C54D13">
        <w:rPr>
          <w:rFonts w:ascii="Times New Roman" w:eastAsia="Times New Roman" w:hAnsi="Times New Roman" w:cs="Times New Roman"/>
          <w:color w:val="000000"/>
          <w:sz w:val="24"/>
          <w:szCs w:val="24"/>
          <w:lang w:val="en-GB"/>
        </w:rPr>
        <w:t>he STRIDE committees did not recognise histological and transmural remission as formal treatment targets in CD</w:t>
      </w:r>
      <w:r w:rsidR="00A71E96" w:rsidRPr="00C54D13">
        <w:rPr>
          <w:rFonts w:ascii="Times New Roman" w:hAnsi="Times New Roman" w:cs="Times New Roman"/>
          <w:sz w:val="24"/>
          <w:szCs w:val="24"/>
          <w:lang w:val="en-GB"/>
        </w:rPr>
        <w:fldChar w:fldCharType="begin" w:fldLock="1"/>
      </w:r>
      <w:r w:rsidR="00A71E96" w:rsidRPr="00C54D13">
        <w:rPr>
          <w:rFonts w:ascii="Times New Roman" w:hAnsi="Times New Roman" w:cs="Times New Roman"/>
          <w:sz w:val="24"/>
          <w:szCs w:val="24"/>
          <w:lang w:val="en-GB"/>
        </w:rPr>
        <w:instrText>ADDIN CSL_CITATION {"citationItems":[{"id":"ITEM-1","itemData":{"DOI":"10.1038/ajg.2015.233","ISSN":"1572-0241 (Electronic)","PMID":"26303131","abstract":"OBJECTIVES: The Selecting Therapeutic Targets in Inflammatory Bowel Disease (STRIDE)  program was initiated by the International Organization for the Study of Inflammatory Bowel Diseases (IOIBD). It examined potential treatment targets for inflammatory bowel disease (IBD) to be used for a \"treat-to-target\" clinical management strategy using an evidence-based expert consensus process. METHODS: A Steering Committee of 28 IBD specialists developed recommendations based on a systematic literature review and expert opinion. Consensus was gained if ≥75% of participants scored the recommendation as 7-10 on a 10-point rating scale (where 10=agree completely). RESULTS: The group agreed upon 12 recommendations for ulcerative colitis (UC) and Crohn's disease (CD). The agreed target for UC was clinical/patient-reported outcome (PRO) remission (defined as resolution of rectal bleeding and diarrhea/altered bowel habit) and endoscopic remission (defined as a Mayo endoscopic subscore of 0-1). Histological remission was considered as an adjunctive goal. Clinical/PRO remission was also agreed upon as a target for CD and defined as resolution of abdominal pain and diarrhea/altered bowel habit; and endoscopic remission, defined as resolution of ulceration at ileocolonoscopy, or resolution of findings of inflammation on cross-sectional imaging in patients who cannot be adequately assessed with ileocolonoscopy. Biomarker remission (normal C-reactive protein (CRP) and calprotectin) was considered as an adjunctive target. CONCLUSIONS: Evidence- and consensus-based recommendations for selecting the goals for treat-to-target strategies in patients with IBD are made available. Prospective studies are needed to determine how these targets will change disease course and patients' quality of life.","author":[{"dropping-particle":"","family":"Peyrin-Biroulet","given":"L","non-dropping-particle":"","parse-names":false,"suffix":""},{"dropping-particle":"","family":"Sandborn","given":"W","non-dropping-particle":"","parse-names":false,"suffix":""},{"dropping-particle":"","family":"Sands","given":"B E","non-dropping-particle":"","parse-names":false,"suffix":""},{"dropping-particle":"","family":"Reinisch","given":"W","non-dropping-particle":"","parse-names":false,"suffix":""},{"dropping-particle":"","family":"Bemelman","given":"W","non-dropping-particle":"","parse-names":false,"suffix":""},{"dropping-particle":"V","family":"Bryant","given":"R","non-dropping-particle":"","parse-names":false,"suffix":""},{"dropping-particle":"","family":"D'Haens","given":"G","non-dropping-particle":"","parse-names":false,"suffix":""},{"dropping-particle":"","family":"Dotan","given":"I","non-dropping-particle":"","parse-names":false,"suffix":""},{"dropping-particle":"","family":"Dubinsky","given":"M","non-dropping-particle":"","parse-names":false,"suffix":""},{"dropping-particle":"","family":"Feagan","given":"B","non-dropping-particle":"","parse-names":false,"suffix":""},{"dropping-particle":"","family":"Fiorino","given":"G","non-dropping-particle":"","parse-names":false,"suffix":""},{"dropping-particle":"","family":"Gearry","given":"R","non-dropping-particle":"","parse-names":false,"suffix":""},{"dropping-particle":"","family":"Krishnareddy","given":"S","non-dropping-particle":"","parse-names":false,"suffix":""},{"dropping-particle":"","family":"Lakatos","given":"P L","non-dropping-particle":"","parse-names":false,"suffix":""},{"dropping-particle":"","family":"Loftus","given":"E V Jr","non-dropping-particle":"","parse-names":false,"suffix":""},{"dropping-particle":"","family":"Marteau","given":"P","non-dropping-particle":"","parse-names":false,"suffix":""},{"dropping-particle":"","family":"Munkholm","given":"P","non-dropping-particle":"","parse-names":false,"suffix":""},{"dropping-particle":"","family":"Murdoch","given":"T B","non-dropping-particle":"","parse-names":false,"suffix":""},{"dropping-particle":"","family":"Ordás","given":"I","non-dropping-particle":"","parse-names":false,"suffix":""},{"dropping-particle":"","family":"Panaccione","given":"R","non-dropping-particle":"","parse-names":false,"suffix":""},{"dropping-particle":"","family":"Riddell","given":"R H","non-dropping-particle":"","parse-names":false,"suffix":""},{"dropping-particle":"","family":"Ruel","given":"J","non-dropping-particle":"","parse-names":false,"suffix":""},{"dropping-particle":"","family":"Rubin","given":"D T","non-dropping-particle":"","parse-names":false,"suffix":""},{"dropping-particle":"","family":"Samaan","given":"M","non-dropping-particle":"","parse-names":false,"suffix":""},{"dropping-particle":"","family":"Siegel","given":"C A","non-dropping-particle":"","parse-names":false,"suffix":""},{"dropping-particle":"","family":"Silverberg","given":"M S","non-dropping-particle":"","parse-names":false,"suffix":""},{"dropping-particle":"","family":"Stoker","given":"J","non-dropping-particle":"","parse-names":false,"suffix":""},{"dropping-particle":"","family":"Schreiber","given":"S","non-dropping-particle":"","parse-names":false,"suffix":""},{"dropping-particle":"","family":"Travis","given":"S","non-dropping-particle":"","parse-names":false,"suffix":""},{"dropping-particle":"","family":"Assche","given":"G","non-dropping-particle":"Van","parse-names":false,"suffix":""},{"dropping-particle":"","family":"Danese","given":"S","non-dropping-particle":"","parse-names":false,"suffix":""},{"dropping-particle":"","family":"Panes","given":"J","non-dropping-particle":"","parse-names":false,"suffix":""},{"dropping-particle":"","family":"Bouguen","given":"G","non-dropping-particle":"","parse-names":false,"suffix":""},{"dropping-particle":"","family":"O'Donnell","given":"S","non-dropping-particle":"","parse-names":false,"suffix":""},{"dropping-particle":"","family":"Pariente","given":"B","non-dropping-particle":"","parse-names":false,"suffix":""},{"dropping-particle":"","family":"Winer","given":"S","non-dropping-particle":"","parse-names":false,"suffix":""},{"dropping-particle":"","family":"Hanauer","given":"S","non-dropping-particle":"","parse-names":false,"suffix":""},{"dropping-particle":"","family":"Colombel","given":"J-F","non-dropping-particle":"","parse-names":false,"suffix":""}],"container-title":"The American journal of gastroenterology","id":"ITEM-1","issue":"9","issued":{"date-parts":[["2015","9"]]},"language":"eng","page":"1324-1338","publisher-place":"United States","title":"Selecting Therapeutic Targets in Inflammatory Bowel Disease (STRIDE): Determining  Therapeutic Goals for Treat-to-Target.","type":"article-journal","volume":"110"},"uris":["http://www.mendeley.com/documents/?uuid=121964cb-7b0f-45e5-9416-ceccb32bfe7c"]},{"id":"ITEM-2","itemData":{"DOI":"10.1053/j.gastro.2020.12.031","ISSN":"1528-0012 (Electronic)","PMID":"33359090","abstract":"BACKGROUND: The Selecting Therapeutic Targets in Inflammatory Bowel Disease (STRIDE)  initiative of the International Organization for the Study of Inflammatory Bowel Diseases (IOIBD) has proposed treatment targets in 2015 for adult patients with inflammatory bowel disease (IBD). We aimed to update the original STRIDE statements for incorporating treatment targets in both adult and pediatric IBD. METHODS: Based on a systematic review of the literature and iterative surveys of 89 IOIBD members, recommendations were drafted and modified in 2 surveys and 2 voting rounds. Consensus was reached if ≥75% of participants scored the recommendation as 7 to 10 on a 10-point rating scale. RESULTS: In the systematic review, 11,278 manuscripts were screened, of which 435 were included. The first IOIBD survey identified the following targets as most important: clinical response and remission, endoscopic healing, and normalization of C-reactive protein/erythrocyte sedimentation rate and calprotectin. Fifteen recommendations were identified, of which 13 were endorsed. STRIDE-II confirmed STRIDE-I long-term targets of clinical remission and endoscopic healing and added absence of disability, restoration of quality of life, and normal growth in children. Symptomatic relief and normalization of serum and fecal markers have been determined as short-term targets. Transmural healing in Crohn's disease and histological healing in ulcerative colitis are not formal targets but should be assessed as measures of the remission depth. CONCLUSIONS: STRIDE-II encompasses evidence- and consensus-based recommendations for treat-to-target strategies in adults and children with IBD. This frameworkshould be adapted to individual patients and local resources to improve outcomes.","author":[{"dropping-particle":"","family":"Turner","given":"Dan","non-dropping-particle":"","parse-names":false,"suffix":""},{"dropping-particle":"","family":"Ricciuto","given":"Amanda","non-dropping-particle":"","parse-names":false,"suffix":""},{"dropping-particle":"","family":"Lewis","given":"Ayanna","non-dropping-particle":"","parse-names":false,"suffix":""},{"dropping-particle":"","family":"D'Amico","given":"Ferdinando","non-dropping-particle":"","parse-names":false,"suffix":""},{"dropping-particle":"","family":"Dhaliwal","given":"Jasbir","non-dropping-particle":"","parse-names":false,"suffix":""},{"dropping-particle":"","family":"Griffiths","given":"Anne M","non-dropping-particle":"","parse-names":false,"suffix":""},{"dropping-particle":"","family":"Bettenworth","given":"Dominik","non-dropping-particle":"","parse-names":false,"suffix":""},{"dropping-particle":"","family":"Sandborn","given":"William J","non-dropping-particle":"","parse-names":false,"suffix":""},{"dropping-particle":"","family":"Sands","given":"Bruce E","non-dropping-particle":"","parse-names":false,"suffix":""},{"dropping-particle":"","family":"Reinisch","given":"Walter","non-dropping-particle":"","parse-names":false,"suffix":""},{"dropping-particle":"","family":"Schölmerich","given":"Jürgen","non-dropping-particle":"","parse-names":false,"suffix":""},{"dropping-particle":"","family":"Bemelman","given":"Willem","non-dropping-particle":"","parse-names":false,"suffix":""},{"dropping-particle":"","family":"Danese","given":"Silvio","non-dropping-particle":"","parse-names":false,"suffix":""},{"dropping-particle":"","family":"Mary","given":"Jean Yves","non-dropping-particle":"","parse-names":false,"suffix":""},{"dropping-particle":"","family":"Rubin","given":"David","non-dropping-particle":"","parse-names":false,"suffix":""},{"dropping-particle":"","family":"Colombel","given":"Jean-Frederic","non-dropping-particle":"","parse-names":false,"suffix":""},{"dropping-particle":"","family":"Peyrin-Biroulet","given":"Laurent","non-dropping-particle":"","parse-names":false,"suffix":""},{"dropping-particle":"","family":"Dotan","given":"Iris","non-dropping-particle":"","parse-names":false,"suffix":""},{"dropping-particle":"","family":"Abreu","given":"Maria T","non-dropping-particle":"","parse-names":false,"suffix":""},{"dropping-particle":"","family":"Dignass","given":"Axel","non-dropping-particle":"","parse-names":false,"suffix":""}],"container-title":"Gastroenterology","id":"ITEM-2","issue":"5","issued":{"date-parts":[["2021","4"]]},"language":"eng","page":"1570-1583","publisher-place":"United States","title":"STRIDE-II: An Update on the Selecting Therapeutic Targets in Inflammatory Bowel  Disease (STRIDE) Initiative of the International Organization for the Study of IBD (IOIBD): Determining Therapeutic Goals for Treat-to-Target strategies in IBD.","type":"article-journal","volume":"160"},"uris":["http://www.mendeley.com/documents/?uuid=fe060cf3-41c2-4d33-9ebd-732ef2a8ad37"]}],"mendeley":{"formattedCitation":"&lt;sup&gt;4,5&lt;/sup&gt;","plainTextFormattedCitation":"4,5","previouslyFormattedCitation":"&lt;sup&gt;4,5&lt;/sup&gt;"},"properties":{"noteIndex":0},"schema":"https://github.com/citation-style-language/schema/raw/master/csl-citation.json"}</w:instrText>
      </w:r>
      <w:r w:rsidR="00A71E96" w:rsidRPr="00C54D13">
        <w:rPr>
          <w:rFonts w:ascii="Times New Roman" w:hAnsi="Times New Roman" w:cs="Times New Roman"/>
          <w:sz w:val="24"/>
          <w:szCs w:val="24"/>
          <w:lang w:val="en-GB"/>
        </w:rPr>
        <w:fldChar w:fldCharType="separate"/>
      </w:r>
      <w:r w:rsidR="00A71E96" w:rsidRPr="00C54D13">
        <w:rPr>
          <w:rFonts w:ascii="Times New Roman" w:hAnsi="Times New Roman" w:cs="Times New Roman"/>
          <w:noProof/>
          <w:sz w:val="24"/>
          <w:szCs w:val="24"/>
          <w:vertAlign w:val="superscript"/>
          <w:lang w:val="en-GB"/>
        </w:rPr>
        <w:t>4,5</w:t>
      </w:r>
      <w:r w:rsidR="00A71E96" w:rsidRPr="00C54D13">
        <w:rPr>
          <w:rFonts w:ascii="Times New Roman" w:hAnsi="Times New Roman" w:cs="Times New Roman"/>
          <w:sz w:val="24"/>
          <w:szCs w:val="24"/>
          <w:lang w:val="en-GB"/>
        </w:rPr>
        <w:fldChar w:fldCharType="end"/>
      </w:r>
      <w:r w:rsidR="0026125D" w:rsidRPr="00C54D13">
        <w:rPr>
          <w:rFonts w:ascii="Times New Roman" w:eastAsia="Times New Roman" w:hAnsi="Times New Roman" w:cs="Times New Roman"/>
          <w:color w:val="000000"/>
          <w:sz w:val="24"/>
          <w:szCs w:val="24"/>
          <w:lang w:val="en-GB"/>
        </w:rPr>
        <w:t xml:space="preserve">. Briefly, this decision was notably motivated by the </w:t>
      </w:r>
      <w:r w:rsidR="00F63A8B" w:rsidRPr="00C54D13">
        <w:rPr>
          <w:rFonts w:ascii="Times New Roman" w:eastAsia="Times New Roman" w:hAnsi="Times New Roman" w:cs="Times New Roman"/>
          <w:color w:val="000000"/>
          <w:sz w:val="24"/>
          <w:szCs w:val="24"/>
          <w:lang w:val="en-GB"/>
        </w:rPr>
        <w:t>insufficient</w:t>
      </w:r>
      <w:r w:rsidR="0026125D" w:rsidRPr="00C54D13">
        <w:rPr>
          <w:rFonts w:ascii="Times New Roman" w:eastAsia="Times New Roman" w:hAnsi="Times New Roman" w:cs="Times New Roman"/>
          <w:color w:val="000000"/>
          <w:sz w:val="24"/>
          <w:szCs w:val="24"/>
          <w:lang w:val="en-GB"/>
        </w:rPr>
        <w:t xml:space="preserve"> capacity of current treatments to reach these targets (histological and transmural remission) and the lack of validated definition (histological remission). </w:t>
      </w:r>
      <w:r w:rsidR="00AB77FF" w:rsidRPr="00C54D13">
        <w:rPr>
          <w:rFonts w:ascii="Times New Roman" w:eastAsia="Times New Roman" w:hAnsi="Times New Roman" w:cs="Times New Roman"/>
          <w:color w:val="000000"/>
          <w:sz w:val="24"/>
          <w:szCs w:val="24"/>
          <w:lang w:val="en-GB"/>
        </w:rPr>
        <w:t>In addition, histological evaluation of disease activity seems particularly challenging in CD given its discontinuous</w:t>
      </w:r>
      <w:r w:rsidR="00F725A2" w:rsidRPr="00C54D13">
        <w:rPr>
          <w:rFonts w:ascii="Times New Roman" w:eastAsia="Times New Roman" w:hAnsi="Times New Roman" w:cs="Times New Roman"/>
          <w:color w:val="000000"/>
          <w:sz w:val="24"/>
          <w:szCs w:val="24"/>
          <w:lang w:val="en-GB"/>
        </w:rPr>
        <w:t xml:space="preserve"> presentation</w:t>
      </w:r>
      <w:r w:rsidR="00AB77FF" w:rsidRPr="00C54D13">
        <w:rPr>
          <w:rFonts w:ascii="Times New Roman" w:eastAsia="Times New Roman" w:hAnsi="Times New Roman" w:cs="Times New Roman"/>
          <w:color w:val="000000"/>
          <w:sz w:val="24"/>
          <w:szCs w:val="24"/>
          <w:lang w:val="en-GB"/>
        </w:rPr>
        <w:t xml:space="preserve"> (patchy nature). Indeed, it cannot be guaranteed that histological examination of a few mucosal biopsies can appropriately represent disease activity</w:t>
      </w:r>
      <w:r w:rsidR="00AB77FF" w:rsidRPr="00C54D13">
        <w:rPr>
          <w:rFonts w:ascii="Times New Roman" w:eastAsia="Times New Roman" w:hAnsi="Times New Roman" w:cs="Times New Roman"/>
          <w:color w:val="000000"/>
          <w:sz w:val="24"/>
          <w:szCs w:val="24"/>
          <w:lang w:val="en-GB"/>
        </w:rPr>
        <w:fldChar w:fldCharType="begin" w:fldLock="1"/>
      </w:r>
      <w:r w:rsidR="006B13E0" w:rsidRPr="00C54D13">
        <w:rPr>
          <w:rFonts w:ascii="Times New Roman" w:eastAsia="Times New Roman" w:hAnsi="Times New Roman" w:cs="Times New Roman"/>
          <w:color w:val="000000"/>
          <w:sz w:val="24"/>
          <w:szCs w:val="24"/>
          <w:lang w:val="en-GB"/>
        </w:rPr>
        <w:instrText>ADDIN CSL_CITATION {"citationItems":[{"id":"ITEM-1","itemData":{"DOI":"10.1093/ecco-jcc/jjac006","ISSN":"1876-4479 (Electronic)","PMID":"35022677","abstract":"In inflammatory bowel disease [IBD], mucosal healing is a major therapeutic target  and a reliable predictor of clinical course. However, endoscopic mucosal healing is not synonymous with histological healing, and the additional benefits of including histological remission as a target are unclear. In Crohn´s disease [CD], there are few studies highlighting the value of histological remission as a therapeutic target. Histological activity can persist in CD patients who are in endoscopic remission, and the absence of histological activity may be associated with lower relapse rates. Therefore, standardization of procedures to evaluate CD histological activity is desirable. Topics that would benefit from standardization and harmonization include biopsy procedures, biopsy-processing techniques, the content of histological scores, and the definitions of histological remission, histological response, and histological activity. In line with these needs, the European Crohn's and Colitis Organisation [ECCO] assembled a consensus group with the objective of developing position statements on CD histology based on published evidence and expert consensus. There was agreement that definitions of histological remission should include absence of erosion, ulceration, and mucosal neutrophils; that the absence of neutrophilic inflammation is an appropriate histological target in CD; that CD histological scores, such as Global Histological Disease Activity Score, lack formal validation; and that histological scoring systems for ulcerative colitis, including the Geboes Score, Robarts Histopathology Index, and Nancy Histological Index, can be used for scoring intestinal biopsies in CD patients.","author":[{"dropping-particle":"","family":"Magro","given":"F","non-dropping-particle":"","parse-names":false,"suffix":""},{"dropping-particle":"","family":"Sabino","given":"J","non-dropping-particle":"","parse-names":false,"suffix":""},{"dropping-particle":"","family":"Rosini","given":"F","non-dropping-particle":"","parse-names":false,"suffix":""},{"dropping-particle":"","family":"Tripathi","given":"M","non-dropping-particle":"","parse-names":false,"suffix":""},{"dropping-particle":"","family":"Borralho","given":"P","non-dropping-particle":"","parse-names":false,"suffix":""},{"dropping-particle":"","family":"Baldin","given":"P","non-dropping-particle":"","parse-names":false,"suffix":""},{"dropping-particle":"","family":"Danese","given":"S","non-dropping-particle":"","parse-names":false,"suffix":""},{"dropping-particle":"","family":"Driessen","given":"A","non-dropping-particle":"","parse-names":false,"suffix":""},{"dropping-particle":"","family":"Gordon","given":"I O","non-dropping-particle":"","parse-names":false,"suffix":""},{"dropping-particle":"","family":"Iacucci","given":"M","non-dropping-particle":"","parse-names":false,"suffix":""},{"dropping-particle":"","family":"Noor","given":"N","non-dropping-particle":"","parse-names":false,"suffix":""},{"dropping-particle":"","family":"Svrcek","given":"M","non-dropping-particle":"","parse-names":false,"suffix":""},{"dropping-particle":"","family":"Peyrin-Biroulet","given":"L","non-dropping-particle":"","parse-names":false,"suffix":""},{"dropping-particle":"","family":"Feakins","given":"R","non-dropping-particle":"","parse-names":false,"suffix":""}],"container-title":"Journal of Crohn's &amp; colitis","id":"ITEM-1","issued":{"date-parts":[["2022","1"]]},"language":"eng","publisher-place":"England","title":"ECCO Position on harmonization of Crohn's disease mucosal histopathology.","type":"article-journal"},"uris":["http://www.mendeley.com/documents/?uuid=9123650c-1d0b-4ea4-bee0-2a746b8d38e5"]},{"id":"ITEM-2","itemData":{"DOI":"10.1016/j.crohns.2014.08.011","ISSN":"1876-4479 (Electronic)","PMID":"25267173","abstract":"BACKGROUND AND AIMS: Advances in the medical management of inflammatory bowel  disease (IBD) have altered treatment targets. Endoscopic mucosal healing is associated with better outcomes in IBD, though less is known about the significance of achieving histological remission. Our aim was to perform a systematic review to investigate whether histological or 'complete' remission constitutes a further therapeutic target in IBD. METHODS: A bibliographic search was performed on the 1st of October 2013 and subsequently on the 1st of March 2014 of online databases (OVID SP MEDLINE, OVID EMBASE, National Pubmed Central Medline, Cochrane Library, ISI, conference abstracts), using MeSH terms and key words: (\"inflammatory bowel diseases\" OR \"crohn disease\" OR \"ulcerative colitis\" OR \"colitis\") AND (\"mucosal healing\" OR \"histological healing\" OR \"pathological healing\" OR \"histological scoring\" OR \"pathological scoring\"). RESULTS: The search returned 2951 articles. 120 articles were cited in the final analysis. There is no validated definition of histological remission in IBD. There are 22 different histological scoring systems for IBD, none of which are fully validated. Microscopic inflammation persists in 16-100% of cases of endoscopically quiescent disease. There is evidence that histological remission may predict risk of complications in ulcerative colitis beyond endoscopic mucosal healing, though data are scarce in Crohn's disease. CONCLUSIONS: Histological remission in IBD represents a target distinct from endoscopic mucosal healing, not yet routinely sought in clinical trials or practice. There remains a need for a standardized and validated histological scoring system and to confirm the prognostic value of histological remission as a treatment target in IBD.","author":[{"dropping-particle":"V","family":"Bryant","given":"R","non-dropping-particle":"","parse-names":false,"suffix":""},{"dropping-particle":"","family":"Winer","given":"S","non-dropping-particle":"","parse-names":false,"suffix":""},{"dropping-particle":"","family":"Travis","given":"S P L","non-dropping-particle":"","parse-names":false,"suffix":""},{"dropping-particle":"","family":"Riddell","given":"R H","non-dropping-particle":"","parse-names":false,"suffix":""}],"container-title":"Journal of Crohn's &amp; colitis","id":"ITEM-2","issue":"12","issued":{"date-parts":[["2014","12"]]},"language":"eng","page":"1582-1597","publisher-place":"England","title":"Systematic review: histological remission in inflammatory bowel disease. Is  'complete' remission the new treatment paradigm? An IOIBD initiative.","type":"article-journal","volume":"8"},"uris":["http://www.mendeley.com/documents/?uuid=d8818b22-706c-4a82-bb06-9f77bf8b55a7"]}],"mendeley":{"formattedCitation":"&lt;sup&gt;10,11&lt;/sup&gt;","plainTextFormattedCitation":"10,11","previouslyFormattedCitation":"&lt;sup&gt;10,11&lt;/sup&gt;"},"properties":{"noteIndex":0},"schema":"https://github.com/citation-style-language/schema/raw/master/csl-citation.json"}</w:instrText>
      </w:r>
      <w:r w:rsidR="00AB77FF" w:rsidRPr="00C54D13">
        <w:rPr>
          <w:rFonts w:ascii="Times New Roman" w:eastAsia="Times New Roman" w:hAnsi="Times New Roman" w:cs="Times New Roman"/>
          <w:color w:val="000000"/>
          <w:sz w:val="24"/>
          <w:szCs w:val="24"/>
          <w:lang w:val="en-GB"/>
        </w:rPr>
        <w:fldChar w:fldCharType="separate"/>
      </w:r>
      <w:r w:rsidR="00AB77FF" w:rsidRPr="00C54D13">
        <w:rPr>
          <w:rFonts w:ascii="Times New Roman" w:eastAsia="Times New Roman" w:hAnsi="Times New Roman" w:cs="Times New Roman"/>
          <w:noProof/>
          <w:color w:val="000000"/>
          <w:sz w:val="24"/>
          <w:szCs w:val="24"/>
          <w:vertAlign w:val="superscript"/>
          <w:lang w:val="en-GB"/>
        </w:rPr>
        <w:t>10,11</w:t>
      </w:r>
      <w:r w:rsidR="00AB77FF" w:rsidRPr="00C54D13">
        <w:rPr>
          <w:rFonts w:ascii="Times New Roman" w:eastAsia="Times New Roman" w:hAnsi="Times New Roman" w:cs="Times New Roman"/>
          <w:color w:val="000000"/>
          <w:sz w:val="24"/>
          <w:szCs w:val="24"/>
          <w:lang w:val="en-GB"/>
        </w:rPr>
        <w:fldChar w:fldCharType="end"/>
      </w:r>
      <w:r w:rsidR="00AB77FF" w:rsidRPr="00C54D13">
        <w:rPr>
          <w:rFonts w:ascii="Times New Roman" w:eastAsia="Times New Roman" w:hAnsi="Times New Roman" w:cs="Times New Roman"/>
          <w:color w:val="000000"/>
          <w:sz w:val="24"/>
          <w:szCs w:val="24"/>
          <w:lang w:val="en-GB"/>
        </w:rPr>
        <w:t>.</w:t>
      </w:r>
      <w:r w:rsidR="00E339DB" w:rsidRPr="00E339DB">
        <w:rPr>
          <w:rFonts w:ascii="Times New Roman" w:eastAsia="Times New Roman" w:hAnsi="Times New Roman" w:cs="Times New Roman"/>
          <w:color w:val="000000"/>
          <w:sz w:val="24"/>
          <w:szCs w:val="24"/>
          <w:lang w:val="en-GB"/>
        </w:rPr>
        <w:t xml:space="preserve"> </w:t>
      </w:r>
      <w:r w:rsidR="00E82FD8" w:rsidRPr="00B40DB0">
        <w:rPr>
          <w:rFonts w:ascii="Times New Roman" w:eastAsia="Times New Roman" w:hAnsi="Times New Roman" w:cs="Times New Roman"/>
          <w:color w:val="000000"/>
          <w:sz w:val="24"/>
          <w:szCs w:val="24"/>
          <w:lang w:val="en-GB"/>
        </w:rPr>
        <w:t>Although t</w:t>
      </w:r>
      <w:r w:rsidR="00E339DB" w:rsidRPr="00B40DB0">
        <w:rPr>
          <w:rFonts w:ascii="Times New Roman" w:eastAsia="Times New Roman" w:hAnsi="Times New Roman" w:cs="Times New Roman"/>
          <w:color w:val="000000"/>
          <w:sz w:val="24"/>
          <w:szCs w:val="24"/>
          <w:lang w:val="en-GB"/>
        </w:rPr>
        <w:t xml:space="preserve">ransmural remission is currently not recognised as a formal </w:t>
      </w:r>
      <w:r w:rsidR="00D84384" w:rsidRPr="00B40DB0">
        <w:rPr>
          <w:rFonts w:ascii="Times New Roman" w:eastAsia="Times New Roman" w:hAnsi="Times New Roman" w:cs="Times New Roman"/>
          <w:color w:val="000000"/>
          <w:sz w:val="24"/>
          <w:szCs w:val="24"/>
          <w:lang w:val="en-GB"/>
        </w:rPr>
        <w:t>treatment</w:t>
      </w:r>
      <w:r w:rsidR="00E339DB" w:rsidRPr="00B40DB0">
        <w:rPr>
          <w:rFonts w:ascii="Times New Roman" w:eastAsia="Times New Roman" w:hAnsi="Times New Roman" w:cs="Times New Roman"/>
          <w:color w:val="000000"/>
          <w:sz w:val="24"/>
          <w:szCs w:val="24"/>
          <w:lang w:val="en-GB"/>
        </w:rPr>
        <w:t xml:space="preserve"> </w:t>
      </w:r>
      <w:r w:rsidR="00D84384" w:rsidRPr="00B40DB0">
        <w:rPr>
          <w:rFonts w:ascii="Times New Roman" w:eastAsia="Times New Roman" w:hAnsi="Times New Roman" w:cs="Times New Roman"/>
          <w:color w:val="000000"/>
          <w:sz w:val="24"/>
          <w:szCs w:val="24"/>
          <w:lang w:val="en-GB"/>
        </w:rPr>
        <w:t>target</w:t>
      </w:r>
      <w:r w:rsidR="00E82FD8" w:rsidRPr="00B40DB0">
        <w:rPr>
          <w:rFonts w:ascii="Times New Roman" w:eastAsia="Times New Roman" w:hAnsi="Times New Roman" w:cs="Times New Roman"/>
          <w:color w:val="000000"/>
          <w:sz w:val="24"/>
          <w:szCs w:val="24"/>
          <w:lang w:val="en-GB"/>
        </w:rPr>
        <w:t xml:space="preserve"> (see above)</w:t>
      </w:r>
      <w:r w:rsidR="00E339DB" w:rsidRPr="00B40DB0">
        <w:rPr>
          <w:rFonts w:ascii="Times New Roman" w:eastAsia="Times New Roman" w:hAnsi="Times New Roman" w:cs="Times New Roman"/>
          <w:color w:val="000000"/>
          <w:sz w:val="24"/>
          <w:szCs w:val="24"/>
          <w:lang w:val="en-GB"/>
        </w:rPr>
        <w:t xml:space="preserve">, it shows a growing interest. This trend is notably pushed by: 1) advances in </w:t>
      </w:r>
      <w:r w:rsidR="006734B7" w:rsidRPr="00B40DB0">
        <w:rPr>
          <w:rFonts w:ascii="Times New Roman" w:eastAsia="Times New Roman" w:hAnsi="Times New Roman" w:cs="Times New Roman"/>
          <w:color w:val="000000"/>
          <w:sz w:val="24"/>
          <w:szCs w:val="24"/>
          <w:lang w:val="en-GB"/>
        </w:rPr>
        <w:t>intestinal ultrasonography</w:t>
      </w:r>
      <w:r w:rsidR="00E339DB" w:rsidRPr="00B40DB0">
        <w:rPr>
          <w:rFonts w:ascii="Times New Roman" w:eastAsia="Times New Roman" w:hAnsi="Times New Roman" w:cs="Times New Roman"/>
          <w:color w:val="000000"/>
          <w:sz w:val="24"/>
          <w:szCs w:val="24"/>
          <w:lang w:val="en-GB"/>
        </w:rPr>
        <w:t xml:space="preserve"> and its assets: rapid, non-invasive, safe, low cost, broadly available,</w:t>
      </w:r>
      <w:r w:rsidR="00D84384" w:rsidRPr="00B40DB0">
        <w:rPr>
          <w:rFonts w:ascii="Times New Roman" w:eastAsia="Times New Roman" w:hAnsi="Times New Roman" w:cs="Times New Roman"/>
          <w:color w:val="000000"/>
          <w:sz w:val="24"/>
          <w:szCs w:val="24"/>
          <w:lang w:val="en-GB"/>
        </w:rPr>
        <w:t xml:space="preserve"> no</w:t>
      </w:r>
      <w:r w:rsidR="00E339DB" w:rsidRPr="00B40DB0">
        <w:rPr>
          <w:rFonts w:ascii="Times New Roman" w:eastAsia="Times New Roman" w:hAnsi="Times New Roman" w:cs="Times New Roman"/>
          <w:color w:val="000000"/>
          <w:sz w:val="24"/>
          <w:szCs w:val="24"/>
          <w:lang w:val="en-GB"/>
        </w:rPr>
        <w:t xml:space="preserve"> preparation; 2) accumulating </w:t>
      </w:r>
      <w:r w:rsidR="00E339DB" w:rsidRPr="00B40DB0">
        <w:rPr>
          <w:rFonts w:ascii="Times New Roman" w:eastAsia="Times New Roman" w:hAnsi="Times New Roman" w:cs="Times New Roman"/>
          <w:color w:val="000000"/>
          <w:sz w:val="24"/>
          <w:szCs w:val="24"/>
          <w:lang w:val="en-GB"/>
        </w:rPr>
        <w:lastRenderedPageBreak/>
        <w:t>data showing that transmural remission is associated with better long-term outcomes than endoscopic remission</w:t>
      </w:r>
      <w:r w:rsidR="00E339DB" w:rsidRPr="00B40DB0">
        <w:rPr>
          <w:rFonts w:ascii="Times New Roman" w:eastAsia="Times New Roman" w:hAnsi="Times New Roman" w:cs="Times New Roman"/>
          <w:color w:val="000000"/>
          <w:sz w:val="24"/>
          <w:szCs w:val="24"/>
          <w:lang w:val="en-GB"/>
        </w:rPr>
        <w:fldChar w:fldCharType="begin" w:fldLock="1"/>
      </w:r>
      <w:r w:rsidR="008E3CD7" w:rsidRPr="00B40DB0">
        <w:rPr>
          <w:rFonts w:ascii="Times New Roman" w:eastAsia="Times New Roman" w:hAnsi="Times New Roman" w:cs="Times New Roman"/>
          <w:color w:val="000000"/>
          <w:sz w:val="24"/>
          <w:szCs w:val="24"/>
          <w:lang w:val="en-GB"/>
        </w:rPr>
        <w:instrText>ADDIN CSL_CITATION {"citationItems":[{"id":"ITEM-1","itemData":{"DOI":"10.1111/apt.15190","ISSN":"1365-2036 (Electronic)","PMID":"30854708","abstract":"BACKGROUND: While mucosal healing has been proved to predict relevant clinical  outcomes in Crohn's disease (CD), little is known about the long-term significance of transmural healing. AIMS: To prospectively assess the 1-year clinical outcomes in CD patients achieving transmural healing following treatment with biologics, and to compare them with those in patients reaching only mucosal healing or no healing. METHODS: Observational longitudinal study, evaluating 1-year outcomes in terms of steroid-free clinical remission, rate of hospitalisation and need for surgery in a group of CD patients treated with anti-tumour necrosis factor (TNF) alpha for 2 years. Bowel sonography was used in all patients to determine transmural healing. RESULTS: Of 218 patients who completed a 2-year treatment course with anti-TNF alpha, 68 (31.2%) presented transmural (plus mucosal) healing (bowel wall thickness ≤3 mm at bowel sonography), 60 (27.5%) mucosal healing only, and 90 (41.3%) did not achieve any intestinal healing. Transmural healing was associated with a higher rate of steroid-free clinical remission (95.6%), lower rates of hospitalisation (8.8%) and need for surgery (0%) at 1 year compared to mucosal (75%, 28.3% and 10%, respectively) and no healing (41%, 66.6% and 35.5%, respectively) (P &lt; 0.001). Furthermore, transmural healing was associated with longer intervals until clinical relapse (HR, hazard ratio 0.87, P = 0.01), hospitalisation (HR 0.88, P = 0.002) and surgery (HR 0.94, P = 0.008) than mucosal healing. Also among patients discontinuing treatment with biologics, transmural healing predicted better clinical outcomes at 1 year than mucosal healing (P = 0.01). CONCLUSIONS: Transmural healing is an ambitious and powerful treatment goal associated, to a greater extent than mucosal healing, with improvement of all clinical outcomes. Additionally, transmural healing is associated with better long-term clinical outcomes than mucosal healing also after discontinuation of biologics.","author":[{"dropping-particle":"","family":"Castiglione","given":"Fabiana","non-dropping-particle":"","parse-names":false,"suffix":""},{"dropping-particle":"","family":"Imperatore","given":"Nicola","non-dropping-particle":"","parse-names":false,"suffix":""},{"dropping-particle":"","family":"Testa","given":"Anna","non-dropping-particle":"","parse-names":false,"suffix":""},{"dropping-particle":"","family":"Palma","given":"Giovanni Domenico","non-dropping-particle":"De","parse-names":false,"suffix":""},{"dropping-particle":"","family":"Nardone","given":"Olga Maria","non-dropping-particle":"","parse-names":false,"suffix":""},{"dropping-particle":"","family":"Pellegrini","given":"Lucienne","non-dropping-particle":"","parse-names":false,"suffix":""},{"dropping-particle":"","family":"Caporaso","given":"Nicola","non-dropping-particle":"","parse-names":false,"suffix":""},{"dropping-particle":"","family":"Rispo","given":"Antonio","non-dropping-particle":"","parse-names":false,"suffix":""}],"container-title":"Alimentary pharmacology &amp; therapeutics","id":"ITEM-1","issue":"8","issued":{"date-parts":[["2019","4"]]},"language":"eng","page":"1026-1039","publisher-place":"England","title":"One-year clinical outcomes with biologics in Crohn's disease: transmural healing  compared with mucosal or no healing.","type":"article-journal","volume":"49"},"uris":["http://www.mendeley.com/documents/?uuid=9f5ac796-75ac-4464-84f1-d940ddafe158"]},{"id":"ITEM-2","itemData":{"DOI":"10.1111/apt.16232","ISSN":"1365-2036 (Electronic)","PMID":"33368525","abstract":"BACKGROUND: Endoscopic mucosal healing is the current therapeutic target in Crohn's  disease. However, transmural healing could lead to better outcomes. AIMS: To assess whether transmural healing or magnetic resonance imaging (MRI) healing are better therapeutic targets than endoscopic mucosal healing to predict long-term improved outcome in Crohn's disease METHODS: From our MRI database, we retrospectively identified all Crohn's disease patients who had MRI and colonoscopy within a 3-month interval (median interval = 17.5 days). Four groups were considered: endoscopic mucosal healing (no ulceration or aphthoid erosion), MRI healing (no MRI signs of inflammation and no complication), transmural healing (combination of endoscopic and MRI healing) or no healing. Outcomes were time to surgery, bowel damage progression, hospitalisation, major outcomes (one of the three previous endpoints) and Crohn's disease-related drug discontinuation. Results were expressed in multivariable analyses adjusted on potential confounders (hazard ratio (HR) [95% confidence interval]). RESULTS: Among 154 patients with Crohn's disease, 51.9% (80/154), 10.4% (16/154), 19.5% (30/154) and 18.2% (28/154) achieved no healing, endoscopic mucosal healing, MRI healing and transmural healing, respectively. Transmural healing (HR = 0.05 [0.00-0.40], P = 0.002) and MRI healing (HR = 0.09 [0.00-0.47], P = 0.005) were associated with lower risk of bowel damage progression than endoscopic mucosal healing. In addition, achieving transmural healing or MRI healing reduced the risk of experiencing major outcomes compared to endoscopic mucosal healing (HR = 0.28 [0.00-0.74], P = 0.01). Patients with transmural healing also had a decreased risk of relapse-related drug discontinuation (HR = 0.35 [0.13-0.95], P = 0.039) compared to those with endoscopic mucosal healing. CONCLUSION: Transmural healing and MRI healing are associated with lower risk of bowel damage progression than endoscopic mucosal healing and could be considered as better therapeutic targets in Crohn's disease.","author":[{"dropping-particle":"","family":"Lafeuille","given":"Pierre","non-dropping-particle":"","parse-names":false,"suffix":""},{"dropping-particle":"","family":"Hordonneau","given":"Constance","non-dropping-particle":"","parse-names":false,"suffix":""},{"dropping-particle":"","family":"Vignette","given":"Jeanne","non-dropping-particle":"","parse-names":false,"suffix":""},{"dropping-particle":"","family":"Blayac","given":"Laurianne","non-dropping-particle":"","parse-names":false,"suffix":""},{"dropping-particle":"","family":"Dapoigny","given":"Michel","non-dropping-particle":"","parse-names":false,"suffix":""},{"dropping-particle":"","family":"Reymond","given":"Maud","non-dropping-particle":"","parse-names":false,"suffix":""},{"dropping-particle":"","family":"Rouquette","given":"Olivier","non-dropping-particle":"","parse-names":false,"suffix":""},{"dropping-particle":"","family":"Sollelis","given":"Elisa","non-dropping-particle":"","parse-names":false,"suffix":""},{"dropping-particle":"","family":"Boube","given":"Mathilde","non-dropping-particle":"","parse-names":false,"suffix":""},{"dropping-particle":"","family":"Magnin","given":"Benoit","non-dropping-particle":"","parse-names":false,"suffix":""},{"dropping-particle":"","family":"Pereira","given":"Bruno","non-dropping-particle":"","parse-names":false,"suffix":""},{"dropping-particle":"","family":"Buisson","given":"Anthony","non-dropping-particle":"","parse-names":false,"suffix":""}],"container-title":"Alimentary pharmacology &amp; therapeutics","id":"ITEM-2","issue":"5","issued":{"date-parts":[["2021","3"]]},"language":"eng","page":"577-586","publisher-place":"England","title":"Transmural healing and MRI healing are associated with lower risk of bowel damage  progression than endoscopic mucosal healing in Crohn's disease.","type":"article-journal","volume":"53"},"uris":["http://www.mendeley.com/documents/?uuid=68e8c290-fcd1-4809-bba7-8b61f32a9d8d"]},{"id":"ITEM-3","itemData":{"DOI":"10.1097/MIB.0000000000001143","ISSN":"1536-4844 (Electronic)","PMID":"28498158","abstract":"BACKGROUND: Mucosal healing (MH) is currently accepted as one of the best treatment  targets in Crohn's disease. However, even in patients with sustained MH, residual bowel wall inflammation can still be detected by cross-sectional imaging. The long-term benefits of obtaining transmural healing (TH) have not been previously assessed. METHODS: We performed an observational study including 214 patients with Crohn's disease with a magnetic resonance enterography (MRE) and colonoscopy performed within a 6-month interval. Patients were classified as having TH (inactive MRE and colonoscopy), MH (active MRE with inactive colonoscopy), or no healing (active colonoscopy). Need for surgery, hospital admission, and therapy escalation were evaluated at 12 months of follow-up. RESULTS: Patients with TH presented lower rates of hospital admission, therapy escalation, and surgery than patients with MH or no healing. In logistic regression analysis, endoscopic remission (odds ratio 0.331 95% confidence interval [0.178-0.614], P &lt; 0.001) and MRE remission (odds ratio 0.270 95% confidence interval [0.130-0.564], P &lt; 0.001) were independently associated with a lower likelihood of reaching any unfavorable outcome. CONCLUSIONS: TH is associated with improved long-term outcomes in Crohn's disease and may be a more suitable target than MH.","author":[{"dropping-particle":"","family":"Fernandes","given":"Samuel R","non-dropping-particle":"","parse-names":false,"suffix":""},{"dropping-particle":"V","family":"Rodrigues","given":"Rita","non-dropping-particle":"","parse-names":false,"suffix":""},{"dropping-particle":"","family":"Bernardo","given":"Sónia","non-dropping-particle":"","parse-names":false,"suffix":""},{"dropping-particle":"","family":"Cortez-Pinto","given":"João","non-dropping-particle":"","parse-names":false,"suffix":""},{"dropping-particle":"","family":"Rosa","given":"Isadora","non-dropping-particle":"","parse-names":false,"suffix":""},{"dropping-particle":"","family":"Silva","given":"João P","non-dropping-particle":"da","parse-names":false,"suffix":""},{"dropping-particle":"","family":"Gonçalves","given":"Ana R","non-dropping-particle":"","parse-names":false,"suffix":""},{"dropping-particle":"","family":"Valente","given":"Ana","non-dropping-particle":"","parse-names":false,"suffix":""},{"dropping-particle":"","family":"Baldaia","given":"Cilénia","non-dropping-particle":"","parse-names":false,"suffix":""},{"dropping-particle":"","family":"Santos","given":"Paula M","non-dropping-particle":"","parse-names":false,"suffix":""},{"dropping-particle":"","family":"Correia","given":"Luís","non-dropping-particle":"","parse-names":false,"suffix":""},{"dropping-particle":"","family":"Venâncio","given":"José","non-dropping-particle":"","parse-names":false,"suffix":""},{"dropping-particle":"","family":"Campos","given":"Paula","non-dropping-particle":"","parse-names":false,"suffix":""},{"dropping-particle":"","family":"Pereira","given":"António D","non-dropping-particle":"","parse-names":false,"suffix":""},{"dropping-particle":"","family":"Velosa","given":"José","non-dropping-particle":"","parse-names":false,"suffix":""}],"container-title":"Inflammatory bowel diseases","id":"ITEM-3","issue":"8","issued":{"date-parts":[["2017","8"]]},"language":"eng","page":"1403-1409","publisher-place":"England","title":"Transmural Healing Is Associated with Improved Long-term Outcomes of Patients with  Crohn's Disease.","type":"article-journal","volume":"23"},"uris":["http://www.mendeley.com/documents/?uuid=e74b62be-86eb-423a-b1b3-159bad02838e"]}],"mendeley":{"formattedCitation":"&lt;sup&gt;12–14&lt;/sup&gt;","plainTextFormattedCitation":"12–14","previouslyFormattedCitation":"&lt;sup&gt;12–14&lt;/sup&gt;"},"properties":{"noteIndex":0},"schema":"https://github.com/citation-style-language/schema/raw/master/csl-citation.json"}</w:instrText>
      </w:r>
      <w:r w:rsidR="00E339DB" w:rsidRPr="00B40DB0">
        <w:rPr>
          <w:rFonts w:ascii="Times New Roman" w:eastAsia="Times New Roman" w:hAnsi="Times New Roman" w:cs="Times New Roman"/>
          <w:color w:val="000000"/>
          <w:sz w:val="24"/>
          <w:szCs w:val="24"/>
          <w:lang w:val="en-GB"/>
        </w:rPr>
        <w:fldChar w:fldCharType="separate"/>
      </w:r>
      <w:r w:rsidR="00E339DB" w:rsidRPr="00B40DB0">
        <w:rPr>
          <w:rFonts w:ascii="Times New Roman" w:eastAsia="Times New Roman" w:hAnsi="Times New Roman" w:cs="Times New Roman"/>
          <w:noProof/>
          <w:color w:val="000000"/>
          <w:sz w:val="24"/>
          <w:szCs w:val="24"/>
          <w:vertAlign w:val="superscript"/>
          <w:lang w:val="en-GB"/>
        </w:rPr>
        <w:t>12–14</w:t>
      </w:r>
      <w:r w:rsidR="00E339DB" w:rsidRPr="00B40DB0">
        <w:rPr>
          <w:rFonts w:ascii="Times New Roman" w:eastAsia="Times New Roman" w:hAnsi="Times New Roman" w:cs="Times New Roman"/>
          <w:color w:val="000000"/>
          <w:sz w:val="24"/>
          <w:szCs w:val="24"/>
          <w:lang w:val="en-GB"/>
        </w:rPr>
        <w:fldChar w:fldCharType="end"/>
      </w:r>
      <w:r w:rsidR="00E339DB" w:rsidRPr="00B40DB0">
        <w:rPr>
          <w:rFonts w:ascii="Times New Roman" w:eastAsia="Times New Roman" w:hAnsi="Times New Roman" w:cs="Times New Roman"/>
          <w:color w:val="000000"/>
          <w:sz w:val="24"/>
          <w:szCs w:val="24"/>
          <w:lang w:val="en-GB"/>
        </w:rPr>
        <w:t xml:space="preserve">; 3) the advantage to evaluate disease activity in all gut layers. In this context, transmural remission is seen as a future </w:t>
      </w:r>
      <w:r w:rsidR="00D10E8C" w:rsidRPr="00B40DB0">
        <w:rPr>
          <w:rFonts w:ascii="Times New Roman" w:eastAsia="Times New Roman" w:hAnsi="Times New Roman" w:cs="Times New Roman"/>
          <w:color w:val="000000"/>
          <w:sz w:val="24"/>
          <w:szCs w:val="24"/>
          <w:lang w:val="en-GB"/>
        </w:rPr>
        <w:t>treatment</w:t>
      </w:r>
      <w:r w:rsidR="00E339DB" w:rsidRPr="00B40DB0">
        <w:rPr>
          <w:rFonts w:ascii="Times New Roman" w:eastAsia="Times New Roman" w:hAnsi="Times New Roman" w:cs="Times New Roman"/>
          <w:color w:val="000000"/>
          <w:sz w:val="24"/>
          <w:szCs w:val="24"/>
          <w:lang w:val="en-GB"/>
        </w:rPr>
        <w:t xml:space="preserve"> target</w:t>
      </w:r>
      <w:r w:rsidR="00E339DB" w:rsidRPr="00B40DB0">
        <w:rPr>
          <w:rFonts w:ascii="Times New Roman" w:eastAsia="Times New Roman" w:hAnsi="Times New Roman" w:cs="Times New Roman"/>
          <w:color w:val="000000"/>
          <w:sz w:val="24"/>
          <w:szCs w:val="24"/>
          <w:lang w:val="en-GB"/>
        </w:rPr>
        <w:fldChar w:fldCharType="begin" w:fldLock="1"/>
      </w:r>
      <w:r w:rsidR="008E3CD7" w:rsidRPr="00B40DB0">
        <w:rPr>
          <w:rFonts w:ascii="Times New Roman" w:eastAsia="Times New Roman" w:hAnsi="Times New Roman" w:cs="Times New Roman"/>
          <w:color w:val="000000"/>
          <w:sz w:val="24"/>
          <w:szCs w:val="24"/>
          <w:lang w:val="en-GB"/>
        </w:rPr>
        <w:instrText>ADDIN CSL_CITATION {"citationItems":[{"id":"ITEM-1","itemData":{"DOI":"10.1177/17562848211006672","ISSN":"1756-283X (Print)","PMID":"33948115","abstract":"Treatment targets of inflammatory bowel diseases (IBD), ulcerative colitis (UC) and  Crohn's disease (CD) have evolved over the last decade. Goals of therapy consisting of symptom control and steroid sparing have shifted to control of disease activity with endoscopic remission being an important endpoint. Unfortunately, this requires ileocolonoscopy, an invasive procedure. Biomarkers [C-reactive protein (CRP) and fecal calprotectin (FCP)] have emerged as surrogates for endoscopic remission and disease activity, but also have limitations. Despite this evolution, we must not lose sight that CD involves transmural inflammation, not fully appreciated with ileocolonoscopy. Therefore, transmural assessment of disease activity by cross-sectional imaging, in particular with magnetic resonance enterography (MRE) and intestinal ultrasonography (IUS), is vital to fully understand disease control. Bowel-wall thickness (BWT) is the cornerstone in assessment of transmural inflammation and BWT normalization, with or without bloodflow normalization, the key element demonstrating resolution of transmural inflammation, namely transmural healing (TH) or transmural remission (TR). In small studies, achievement of TR has been associated with improved long-term clinical outcomes, including reduced hospitalization, surgery, escalation of treatment, and a decrease in clinical relapse over endoscopic remission alone. This review will focus on the existing literature investigating the concept of TR or residual transmural disease and its relation to other existing treatment targets. Current data suggest that TR may be the next logical step in the evolution of treatment targets.","author":[{"dropping-particle":"","family":"Wilkens","given":"Rune","non-dropping-particle":"","parse-names":false,"suffix":""},{"dropping-particle":"","family":"Novak","given":"Kerri L","non-dropping-particle":"","parse-names":false,"suffix":""},{"dropping-particle":"","family":"Maaser","given":"Christian","non-dropping-particle":"","parse-names":false,"suffix":""},{"dropping-particle":"","family":"Panaccione","given":"Remo","non-dropping-particle":"","parse-names":false,"suffix":""},{"dropping-particle":"","family":"Kucharzik","given":"Torsten","non-dropping-particle":"","parse-names":false,"suffix":""}],"container-title":"Therapeutic advances in gastroenterology","id":"ITEM-1","issued":{"date-parts":[["2021"]]},"language":"eng","page":"17562848211006672","title":"Relevance of monitoring transmural disease activity in patients with Crohn's  disease: current status and future perspectives.","type":"article-journal","volume":"14"},"uris":["http://www.mendeley.com/documents/?uuid=7d42a30c-d4a1-4cbb-ae0b-43dea8c09e5d"]}],"mendeley":{"formattedCitation":"&lt;sup&gt;15&lt;/sup&gt;","plainTextFormattedCitation":"15","previouslyFormattedCitation":"&lt;sup&gt;15&lt;/sup&gt;"},"properties":{"noteIndex":0},"schema":"https://github.com/citation-style-language/schema/raw/master/csl-citation.json"}</w:instrText>
      </w:r>
      <w:r w:rsidR="00E339DB" w:rsidRPr="00B40DB0">
        <w:rPr>
          <w:rFonts w:ascii="Times New Roman" w:eastAsia="Times New Roman" w:hAnsi="Times New Roman" w:cs="Times New Roman"/>
          <w:color w:val="000000"/>
          <w:sz w:val="24"/>
          <w:szCs w:val="24"/>
          <w:lang w:val="en-GB"/>
        </w:rPr>
        <w:fldChar w:fldCharType="separate"/>
      </w:r>
      <w:r w:rsidR="00E339DB" w:rsidRPr="00B40DB0">
        <w:rPr>
          <w:rFonts w:ascii="Times New Roman" w:eastAsia="Times New Roman" w:hAnsi="Times New Roman" w:cs="Times New Roman"/>
          <w:noProof/>
          <w:color w:val="000000"/>
          <w:sz w:val="24"/>
          <w:szCs w:val="24"/>
          <w:vertAlign w:val="superscript"/>
          <w:lang w:val="en-GB"/>
        </w:rPr>
        <w:t>15</w:t>
      </w:r>
      <w:r w:rsidR="00E339DB" w:rsidRPr="00B40DB0">
        <w:rPr>
          <w:rFonts w:ascii="Times New Roman" w:eastAsia="Times New Roman" w:hAnsi="Times New Roman" w:cs="Times New Roman"/>
          <w:color w:val="000000"/>
          <w:sz w:val="24"/>
          <w:szCs w:val="24"/>
          <w:lang w:val="en-GB"/>
        </w:rPr>
        <w:fldChar w:fldCharType="end"/>
      </w:r>
      <w:r w:rsidR="00E339DB" w:rsidRPr="00B40DB0">
        <w:rPr>
          <w:rFonts w:ascii="Times New Roman" w:eastAsia="Times New Roman" w:hAnsi="Times New Roman" w:cs="Times New Roman"/>
          <w:color w:val="000000"/>
          <w:sz w:val="24"/>
          <w:szCs w:val="24"/>
          <w:lang w:val="en-GB"/>
        </w:rPr>
        <w:t xml:space="preserve">. </w:t>
      </w:r>
    </w:p>
    <w:p w14:paraId="33A48193" w14:textId="42932F63" w:rsidR="002606FC" w:rsidRDefault="0026125D" w:rsidP="0053723C">
      <w:pPr>
        <w:spacing w:after="0" w:line="480" w:lineRule="auto"/>
        <w:ind w:firstLine="284"/>
        <w:jc w:val="both"/>
        <w:rPr>
          <w:rFonts w:ascii="Times New Roman" w:eastAsia="Times New Roman" w:hAnsi="Times New Roman" w:cs="Times New Roman"/>
          <w:color w:val="000000"/>
          <w:sz w:val="24"/>
          <w:szCs w:val="24"/>
          <w:lang w:val="en-GB"/>
        </w:rPr>
      </w:pPr>
      <w:r w:rsidRPr="00C54D13">
        <w:rPr>
          <w:rFonts w:ascii="Times New Roman" w:eastAsia="Times New Roman" w:hAnsi="Times New Roman" w:cs="Times New Roman"/>
          <w:color w:val="000000"/>
          <w:sz w:val="24"/>
          <w:szCs w:val="24"/>
          <w:lang w:val="en-GB"/>
        </w:rPr>
        <w:t xml:space="preserve">More fundamentally, </w:t>
      </w:r>
      <w:r w:rsidR="004E6132" w:rsidRPr="00C54D13">
        <w:rPr>
          <w:rFonts w:ascii="Times New Roman" w:eastAsia="Times New Roman" w:hAnsi="Times New Roman" w:cs="Times New Roman"/>
          <w:color w:val="000000"/>
          <w:sz w:val="24"/>
          <w:szCs w:val="24"/>
          <w:lang w:val="en-GB"/>
        </w:rPr>
        <w:t xml:space="preserve">in this viewpoint, </w:t>
      </w:r>
      <w:r w:rsidRPr="00C54D13">
        <w:rPr>
          <w:rFonts w:ascii="Times New Roman" w:eastAsia="Times New Roman" w:hAnsi="Times New Roman" w:cs="Times New Roman"/>
          <w:color w:val="000000"/>
          <w:sz w:val="24"/>
          <w:szCs w:val="24"/>
          <w:lang w:val="en-GB"/>
        </w:rPr>
        <w:t xml:space="preserve">we </w:t>
      </w:r>
      <w:r w:rsidR="00A63554" w:rsidRPr="00C54D13">
        <w:rPr>
          <w:rFonts w:ascii="Times New Roman" w:eastAsia="Times New Roman" w:hAnsi="Times New Roman" w:cs="Times New Roman"/>
          <w:color w:val="000000"/>
          <w:sz w:val="24"/>
          <w:szCs w:val="24"/>
          <w:lang w:val="en-GB"/>
        </w:rPr>
        <w:t xml:space="preserve">stress the fact </w:t>
      </w:r>
      <w:r w:rsidRPr="00C54D13">
        <w:rPr>
          <w:rFonts w:ascii="Times New Roman" w:eastAsia="Times New Roman" w:hAnsi="Times New Roman" w:cs="Times New Roman"/>
          <w:color w:val="000000"/>
          <w:sz w:val="24"/>
          <w:szCs w:val="24"/>
          <w:lang w:val="en-GB"/>
        </w:rPr>
        <w:t>that whatever the</w:t>
      </w:r>
      <w:r w:rsidR="00416DDC" w:rsidRPr="00C54D13">
        <w:rPr>
          <w:rFonts w:ascii="Times New Roman" w:eastAsia="Times New Roman" w:hAnsi="Times New Roman" w:cs="Times New Roman"/>
          <w:color w:val="000000"/>
          <w:sz w:val="24"/>
          <w:szCs w:val="24"/>
          <w:lang w:val="en-GB"/>
        </w:rPr>
        <w:t xml:space="preserve"> </w:t>
      </w:r>
      <w:r w:rsidR="00B07FE0" w:rsidRPr="00C54D13">
        <w:rPr>
          <w:rFonts w:ascii="Times New Roman" w:eastAsia="Times New Roman" w:hAnsi="Times New Roman" w:cs="Times New Roman"/>
          <w:color w:val="000000"/>
          <w:sz w:val="24"/>
          <w:szCs w:val="24"/>
          <w:lang w:val="en-GB"/>
        </w:rPr>
        <w:t>morphological techniques</w:t>
      </w:r>
      <w:r w:rsidR="00416DDC" w:rsidRPr="00C54D13">
        <w:rPr>
          <w:rFonts w:ascii="Times New Roman" w:eastAsia="Times New Roman" w:hAnsi="Times New Roman" w:cs="Times New Roman"/>
          <w:color w:val="000000"/>
          <w:sz w:val="24"/>
          <w:szCs w:val="24"/>
          <w:lang w:val="en-GB"/>
        </w:rPr>
        <w:t xml:space="preserve"> </w:t>
      </w:r>
      <w:r w:rsidRPr="00C54D13">
        <w:rPr>
          <w:rFonts w:ascii="Times New Roman" w:hAnsi="Times New Roman" w:cs="Times New Roman"/>
          <w:sz w:val="24"/>
          <w:szCs w:val="24"/>
          <w:lang w:val="en-GB"/>
        </w:rPr>
        <w:t>(</w:t>
      </w:r>
      <w:proofErr w:type="spellStart"/>
      <w:r w:rsidRPr="00C54D13">
        <w:rPr>
          <w:rFonts w:ascii="Times New Roman" w:hAnsi="Times New Roman" w:cs="Times New Roman"/>
          <w:sz w:val="24"/>
          <w:szCs w:val="24"/>
          <w:lang w:val="en-GB"/>
        </w:rPr>
        <w:t>eg</w:t>
      </w:r>
      <w:proofErr w:type="spellEnd"/>
      <w:r w:rsidRPr="00C54D13">
        <w:rPr>
          <w:rFonts w:ascii="Times New Roman" w:hAnsi="Times New Roman" w:cs="Times New Roman"/>
          <w:sz w:val="24"/>
          <w:szCs w:val="24"/>
          <w:lang w:val="en-GB"/>
        </w:rPr>
        <w:t>, endoscop</w:t>
      </w:r>
      <w:r w:rsidR="00257285" w:rsidRPr="00C54D13">
        <w:rPr>
          <w:rFonts w:ascii="Times New Roman" w:hAnsi="Times New Roman" w:cs="Times New Roman"/>
          <w:sz w:val="24"/>
          <w:szCs w:val="24"/>
          <w:lang w:val="en-GB"/>
        </w:rPr>
        <w:t>y</w:t>
      </w:r>
      <w:r w:rsidRPr="00C54D13">
        <w:rPr>
          <w:rFonts w:ascii="Times New Roman" w:hAnsi="Times New Roman" w:cs="Times New Roman"/>
          <w:sz w:val="24"/>
          <w:szCs w:val="24"/>
          <w:lang w:val="en-GB"/>
        </w:rPr>
        <w:t>, histolog</w:t>
      </w:r>
      <w:r w:rsidR="00257285" w:rsidRPr="00C54D13">
        <w:rPr>
          <w:rFonts w:ascii="Times New Roman" w:hAnsi="Times New Roman" w:cs="Times New Roman"/>
          <w:sz w:val="24"/>
          <w:szCs w:val="24"/>
          <w:lang w:val="en-GB"/>
        </w:rPr>
        <w:t>y</w:t>
      </w:r>
      <w:r w:rsidRPr="00C54D13">
        <w:rPr>
          <w:rFonts w:ascii="Times New Roman" w:hAnsi="Times New Roman" w:cs="Times New Roman"/>
          <w:sz w:val="24"/>
          <w:szCs w:val="24"/>
          <w:lang w:val="en-GB"/>
        </w:rPr>
        <w:t>, ultrasonograph</w:t>
      </w:r>
      <w:r w:rsidR="00257285" w:rsidRPr="00C54D13">
        <w:rPr>
          <w:rFonts w:ascii="Times New Roman" w:hAnsi="Times New Roman" w:cs="Times New Roman"/>
          <w:sz w:val="24"/>
          <w:szCs w:val="24"/>
          <w:lang w:val="en-GB"/>
        </w:rPr>
        <w:t>y</w:t>
      </w:r>
      <w:r w:rsidRPr="00C54D13">
        <w:rPr>
          <w:rFonts w:ascii="Times New Roman" w:hAnsi="Times New Roman" w:cs="Times New Roman"/>
          <w:sz w:val="24"/>
          <w:szCs w:val="24"/>
          <w:lang w:val="en-GB"/>
        </w:rPr>
        <w:t>)</w:t>
      </w:r>
      <w:r w:rsidR="00F325D1">
        <w:rPr>
          <w:rFonts w:ascii="Times New Roman" w:hAnsi="Times New Roman" w:cs="Times New Roman"/>
          <w:sz w:val="24"/>
          <w:szCs w:val="24"/>
          <w:lang w:val="en-GB"/>
        </w:rPr>
        <w:t xml:space="preserve"> used to define</w:t>
      </w:r>
      <w:r w:rsidR="00A63554" w:rsidRPr="00C54D13">
        <w:rPr>
          <w:rFonts w:ascii="Times New Roman" w:hAnsi="Times New Roman" w:cs="Times New Roman"/>
          <w:sz w:val="24"/>
          <w:szCs w:val="24"/>
          <w:lang w:val="en-GB"/>
        </w:rPr>
        <w:t xml:space="preserve"> remission</w:t>
      </w:r>
      <w:r w:rsidRPr="00C54D13">
        <w:rPr>
          <w:rFonts w:ascii="Times New Roman" w:hAnsi="Times New Roman" w:cs="Times New Roman"/>
          <w:sz w:val="24"/>
          <w:szCs w:val="24"/>
          <w:lang w:val="en-GB"/>
        </w:rPr>
        <w:t xml:space="preserve">, </w:t>
      </w:r>
      <w:r w:rsidR="00227A31" w:rsidRPr="00C54D13">
        <w:rPr>
          <w:rFonts w:ascii="Times New Roman" w:hAnsi="Times New Roman" w:cs="Times New Roman"/>
          <w:sz w:val="24"/>
          <w:szCs w:val="24"/>
          <w:lang w:val="en-GB"/>
        </w:rPr>
        <w:t>they</w:t>
      </w:r>
      <w:r w:rsidRPr="00C54D13">
        <w:rPr>
          <w:rFonts w:ascii="Times New Roman" w:hAnsi="Times New Roman" w:cs="Times New Roman"/>
          <w:sz w:val="24"/>
          <w:szCs w:val="24"/>
          <w:lang w:val="en-GB"/>
        </w:rPr>
        <w:t xml:space="preserve"> only </w:t>
      </w:r>
      <w:r w:rsidR="00F94F9E" w:rsidRPr="00C54D13">
        <w:rPr>
          <w:rFonts w:ascii="Times New Roman" w:hAnsi="Times New Roman" w:cs="Times New Roman"/>
          <w:sz w:val="24"/>
          <w:szCs w:val="24"/>
          <w:lang w:val="en-GB"/>
        </w:rPr>
        <w:t>catch</w:t>
      </w:r>
      <w:r w:rsidRPr="00C54D13">
        <w:rPr>
          <w:rFonts w:ascii="Times New Roman" w:hAnsi="Times New Roman" w:cs="Times New Roman"/>
          <w:sz w:val="24"/>
          <w:szCs w:val="24"/>
          <w:lang w:val="en-GB"/>
        </w:rPr>
        <w:t xml:space="preserve"> the</w:t>
      </w:r>
      <w:r w:rsidR="003071D4" w:rsidRPr="00C54D13">
        <w:rPr>
          <w:rFonts w:ascii="Times New Roman" w:hAnsi="Times New Roman" w:cs="Times New Roman"/>
          <w:sz w:val="24"/>
          <w:szCs w:val="24"/>
          <w:lang w:val="en-GB"/>
        </w:rPr>
        <w:t xml:space="preserve"> </w:t>
      </w:r>
      <w:r w:rsidRPr="00C54D13">
        <w:rPr>
          <w:rFonts w:ascii="Times New Roman" w:hAnsi="Times New Roman" w:cs="Times New Roman"/>
          <w:sz w:val="24"/>
          <w:szCs w:val="24"/>
          <w:lang w:val="en-GB"/>
        </w:rPr>
        <w:t>consequences of disease activity</w:t>
      </w:r>
      <w:r w:rsidR="003071D4" w:rsidRPr="00C54D13">
        <w:rPr>
          <w:rFonts w:ascii="Times New Roman" w:hAnsi="Times New Roman" w:cs="Times New Roman"/>
          <w:sz w:val="24"/>
          <w:szCs w:val="24"/>
          <w:lang w:val="en-GB"/>
        </w:rPr>
        <w:t xml:space="preserve"> on intestinal tissue</w:t>
      </w:r>
      <w:r w:rsidRPr="00C54D13">
        <w:rPr>
          <w:rFonts w:ascii="Times New Roman" w:hAnsi="Times New Roman" w:cs="Times New Roman"/>
          <w:sz w:val="24"/>
          <w:szCs w:val="24"/>
          <w:lang w:val="en-GB"/>
        </w:rPr>
        <w:t>.</w:t>
      </w:r>
      <w:r w:rsidRPr="00C54D13">
        <w:rPr>
          <w:rFonts w:ascii="Times New Roman" w:eastAsia="Times New Roman" w:hAnsi="Times New Roman" w:cs="Times New Roman"/>
          <w:color w:val="000000"/>
          <w:sz w:val="24"/>
          <w:szCs w:val="24"/>
          <w:lang w:val="en-GB"/>
        </w:rPr>
        <w:t xml:space="preserve"> </w:t>
      </w:r>
      <w:r w:rsidR="00FF0BCA" w:rsidRPr="00B40DB0">
        <w:rPr>
          <w:rFonts w:ascii="Times New Roman" w:eastAsia="Times New Roman" w:hAnsi="Times New Roman" w:cs="Times New Roman"/>
          <w:color w:val="000000"/>
          <w:sz w:val="24"/>
          <w:szCs w:val="24"/>
          <w:lang w:val="en-GB"/>
        </w:rPr>
        <w:t xml:space="preserve">Morphological features result from </w:t>
      </w:r>
      <w:r w:rsidR="00B77528" w:rsidRPr="00B40DB0">
        <w:rPr>
          <w:rFonts w:ascii="Times New Roman" w:eastAsia="Times New Roman" w:hAnsi="Times New Roman" w:cs="Times New Roman"/>
          <w:color w:val="000000"/>
          <w:sz w:val="24"/>
          <w:szCs w:val="24"/>
          <w:lang w:val="en-GB"/>
        </w:rPr>
        <w:t>biological</w:t>
      </w:r>
      <w:r w:rsidR="00FF0BCA" w:rsidRPr="00B40DB0">
        <w:rPr>
          <w:rFonts w:ascii="Times New Roman" w:eastAsia="Times New Roman" w:hAnsi="Times New Roman" w:cs="Times New Roman"/>
          <w:color w:val="000000"/>
          <w:sz w:val="24"/>
          <w:szCs w:val="24"/>
          <w:lang w:val="en-GB"/>
        </w:rPr>
        <w:t xml:space="preserve"> processes which, if caught by biomarkers, could constitute a central piece to define remission (Figure 1).</w:t>
      </w:r>
      <w:r w:rsidRPr="00C54D13">
        <w:rPr>
          <w:rFonts w:ascii="Times New Roman" w:hAnsi="Times New Roman" w:cs="Times New Roman"/>
          <w:sz w:val="24"/>
          <w:szCs w:val="24"/>
          <w:lang w:val="en-GB"/>
        </w:rPr>
        <w:t xml:space="preserve"> The recent introduction (2021</w:t>
      </w:r>
      <w:r w:rsidR="00D84384">
        <w:rPr>
          <w:rFonts w:ascii="Times New Roman" w:hAnsi="Times New Roman" w:cs="Times New Roman"/>
          <w:sz w:val="24"/>
          <w:szCs w:val="24"/>
          <w:lang w:val="en-GB"/>
        </w:rPr>
        <w:t>, SRIDE-</w:t>
      </w:r>
      <w:r w:rsidR="008C5D6F" w:rsidRPr="00C54D13">
        <w:rPr>
          <w:rFonts w:ascii="Times New Roman" w:hAnsi="Times New Roman" w:cs="Times New Roman"/>
          <w:sz w:val="24"/>
          <w:szCs w:val="24"/>
          <w:lang w:val="en-GB"/>
        </w:rPr>
        <w:t xml:space="preserve">II </w:t>
      </w:r>
      <w:r w:rsidR="00D84384">
        <w:rPr>
          <w:rFonts w:ascii="Times New Roman" w:hAnsi="Times New Roman" w:cs="Times New Roman"/>
          <w:sz w:val="24"/>
          <w:szCs w:val="24"/>
          <w:lang w:val="en-GB"/>
        </w:rPr>
        <w:t>initiative</w:t>
      </w:r>
      <w:r w:rsidRPr="00C54D13">
        <w:rPr>
          <w:rFonts w:ascii="Times New Roman" w:hAnsi="Times New Roman" w:cs="Times New Roman"/>
          <w:sz w:val="24"/>
          <w:szCs w:val="24"/>
          <w:lang w:val="en-GB"/>
        </w:rPr>
        <w:t>) of biomarker normalisation (C-reactive protein: CRP, erythrocyte sedimentation rate</w:t>
      </w:r>
      <w:r w:rsidR="00A015A7" w:rsidRPr="00C54D13">
        <w:rPr>
          <w:rFonts w:ascii="Times New Roman" w:hAnsi="Times New Roman" w:cs="Times New Roman"/>
          <w:sz w:val="24"/>
          <w:szCs w:val="24"/>
          <w:lang w:val="en-GB"/>
        </w:rPr>
        <w:t>,</w:t>
      </w:r>
      <w:r w:rsidRPr="00C54D13">
        <w:rPr>
          <w:rFonts w:ascii="Times New Roman" w:hAnsi="Times New Roman" w:cs="Times New Roman"/>
          <w:sz w:val="24"/>
          <w:szCs w:val="24"/>
          <w:lang w:val="en-GB"/>
        </w:rPr>
        <w:t xml:space="preserve"> </w:t>
      </w:r>
      <w:r w:rsidR="00EB5B15" w:rsidRPr="00C54D13">
        <w:rPr>
          <w:rFonts w:ascii="Times New Roman" w:hAnsi="Times New Roman" w:cs="Times New Roman"/>
          <w:sz w:val="24"/>
          <w:szCs w:val="24"/>
          <w:lang w:val="en-GB"/>
        </w:rPr>
        <w:t>faecal</w:t>
      </w:r>
      <w:r w:rsidRPr="00C54D13">
        <w:rPr>
          <w:rFonts w:ascii="Times New Roman" w:hAnsi="Times New Roman" w:cs="Times New Roman"/>
          <w:sz w:val="24"/>
          <w:szCs w:val="24"/>
          <w:lang w:val="en-GB"/>
        </w:rPr>
        <w:t xml:space="preserve"> calprotectin) as treatment objective underlines the growing importance of molecular-based evidence of remission</w:t>
      </w:r>
      <w:r w:rsidR="009A22FB" w:rsidRPr="00C54D13">
        <w:rPr>
          <w:rFonts w:ascii="Times New Roman" w:hAnsi="Times New Roman" w:cs="Times New Roman"/>
          <w:sz w:val="24"/>
          <w:szCs w:val="24"/>
          <w:lang w:val="en-GB"/>
        </w:rPr>
        <w:fldChar w:fldCharType="begin" w:fldLock="1"/>
      </w:r>
      <w:r w:rsidR="005C4B4F" w:rsidRPr="00C54D13">
        <w:rPr>
          <w:rFonts w:ascii="Times New Roman" w:hAnsi="Times New Roman" w:cs="Times New Roman"/>
          <w:sz w:val="24"/>
          <w:szCs w:val="24"/>
          <w:lang w:val="en-GB"/>
        </w:rPr>
        <w:instrText>ADDIN CSL_CITATION {"citationItems":[{"id":"ITEM-1","itemData":{"DOI":"10.1053/j.gastro.2020.12.031","ISSN":"1528-0012 (Electronic)","PMID":"33359090","abstract":"BACKGROUND: The Selecting Therapeutic Targets in Inflammatory Bowel Disease (STRIDE)  initiative of the International Organization for the Study of Inflammatory Bowel Diseases (IOIBD) has proposed treatment targets in 2015 for adult patients with inflammatory bowel disease (IBD). We aimed to update the original STRIDE statements for incorporating treatment targets in both adult and pediatric IBD. METHODS: Based on a systematic review of the literature and iterative surveys of 89 IOIBD members, recommendations were drafted and modified in 2 surveys and 2 voting rounds. Consensus was reached if ≥75% of participants scored the recommendation as 7 to 10 on a 10-point rating scale. RESULTS: In the systematic review, 11,278 manuscripts were screened, of which 435 were included. The first IOIBD survey identified the following targets as most important: clinical response and remission, endoscopic healing, and normalization of C-reactive protein/erythrocyte sedimentation rate and calprotectin. Fifteen recommendations were identified, of which 13 were endorsed. STRIDE-II confirmed STRIDE-I long-term targets of clinical remission and endoscopic healing and added absence of disability, restoration of quality of life, and normal growth in children. Symptomatic relief and normalization of serum and fecal markers have been determined as short-term targets. Transmural healing in Crohn's disease and histological healing in ulcerative colitis are not formal targets but should be assessed as measures of the remission depth. CONCLUSIONS: STRIDE-II encompasses evidence- and consensus-based recommendations for treat-to-target strategies in adults and children with IBD. This frameworkshould be adapted to individual patients and local resources to improve outcomes.","author":[{"dropping-particle":"","family":"Turner","given":"Dan","non-dropping-particle":"","parse-names":false,"suffix":""},{"dropping-particle":"","family":"Ricciuto","given":"Amanda","non-dropping-particle":"","parse-names":false,"suffix":""},{"dropping-particle":"","family":"Lewis","given":"Ayanna","non-dropping-particle":"","parse-names":false,"suffix":""},{"dropping-particle":"","family":"D'Amico","given":"Ferdinando","non-dropping-particle":"","parse-names":false,"suffix":""},{"dropping-particle":"","family":"Dhaliwal","given":"Jasbir","non-dropping-particle":"","parse-names":false,"suffix":""},{"dropping-particle":"","family":"Griffiths","given":"Anne M","non-dropping-particle":"","parse-names":false,"suffix":""},{"dropping-particle":"","family":"Bettenworth","given":"Dominik","non-dropping-particle":"","parse-names":false,"suffix":""},{"dropping-particle":"","family":"Sandborn","given":"William J","non-dropping-particle":"","parse-names":false,"suffix":""},{"dropping-particle":"","family":"Sands","given":"Bruce E","non-dropping-particle":"","parse-names":false,"suffix":""},{"dropping-particle":"","family":"Reinisch","given":"Walter","non-dropping-particle":"","parse-names":false,"suffix":""},{"dropping-particle":"","family":"Schölmerich","given":"Jürgen","non-dropping-particle":"","parse-names":false,"suffix":""},{"dropping-particle":"","family":"Bemelman","given":"Willem","non-dropping-particle":"","parse-names":false,"suffix":""},{"dropping-particle":"","family":"Danese","given":"Silvio","non-dropping-particle":"","parse-names":false,"suffix":""},{"dropping-particle":"","family":"Mary","given":"Jean Yves","non-dropping-particle":"","parse-names":false,"suffix":""},{"dropping-particle":"","family":"Rubin","given":"David","non-dropping-particle":"","parse-names":false,"suffix":""},{"dropping-particle":"","family":"Colombel","given":"Jean-Frederic","non-dropping-particle":"","parse-names":false,"suffix":""},{"dropping-particle":"","family":"Peyrin-Biroulet","given":"Laurent","non-dropping-particle":"","parse-names":false,"suffix":""},{"dropping-particle":"","family":"Dotan","given":"Iris","non-dropping-particle":"","parse-names":false,"suffix":""},{"dropping-particle":"","family":"Abreu","given":"Maria T","non-dropping-particle":"","parse-names":false,"suffix":""},{"dropping-particle":"","family":"Dignass","given":"Axel","non-dropping-particle":"","parse-names":false,"suffix":""}],"container-title":"Gastroenterology","id":"ITEM-1","issue":"5","issued":{"date-parts":[["2021","4"]]},"language":"eng","page":"1570-1583","publisher-place":"United States","title":"STRIDE-II: An Update on the Selecting Therapeutic Targets in Inflammatory Bowel  Disease (STRIDE) Initiative of the International Organization for the Study of IBD (IOIBD): Determining Therapeutic Goals for Treat-to-Target strategies in IBD.","type":"article-journal","volume":"160"},"uris":["http://www.mendeley.com/documents/?uuid=fe060cf3-41c2-4d33-9ebd-732ef2a8ad37"]}],"mendeley":{"formattedCitation":"&lt;sup&gt;5&lt;/sup&gt;","plainTextFormattedCitation":"5","previouslyFormattedCitation":"&lt;sup&gt;5&lt;/sup&gt;"},"properties":{"noteIndex":0},"schema":"https://github.com/citation-style-language/schema/raw/master/csl-citation.json"}</w:instrText>
      </w:r>
      <w:r w:rsidR="009A22FB" w:rsidRPr="00C54D13">
        <w:rPr>
          <w:rFonts w:ascii="Times New Roman" w:hAnsi="Times New Roman" w:cs="Times New Roman"/>
          <w:sz w:val="24"/>
          <w:szCs w:val="24"/>
          <w:lang w:val="en-GB"/>
        </w:rPr>
        <w:fldChar w:fldCharType="separate"/>
      </w:r>
      <w:r w:rsidR="009A22FB" w:rsidRPr="00C54D13">
        <w:rPr>
          <w:rFonts w:ascii="Times New Roman" w:hAnsi="Times New Roman" w:cs="Times New Roman"/>
          <w:noProof/>
          <w:sz w:val="24"/>
          <w:szCs w:val="24"/>
          <w:vertAlign w:val="superscript"/>
          <w:lang w:val="en-GB"/>
        </w:rPr>
        <w:t>5</w:t>
      </w:r>
      <w:r w:rsidR="009A22FB" w:rsidRPr="00C54D13">
        <w:rPr>
          <w:rFonts w:ascii="Times New Roman" w:hAnsi="Times New Roman" w:cs="Times New Roman"/>
          <w:sz w:val="24"/>
          <w:szCs w:val="24"/>
          <w:lang w:val="en-GB"/>
        </w:rPr>
        <w:fldChar w:fldCharType="end"/>
      </w:r>
      <w:r w:rsidRPr="00C54D13">
        <w:rPr>
          <w:rFonts w:ascii="Times New Roman" w:hAnsi="Times New Roman" w:cs="Times New Roman"/>
          <w:sz w:val="24"/>
          <w:szCs w:val="24"/>
          <w:lang w:val="en-GB"/>
        </w:rPr>
        <w:t xml:space="preserve">. </w:t>
      </w:r>
      <w:r w:rsidRPr="00C54D13">
        <w:rPr>
          <w:rFonts w:ascii="Times New Roman" w:eastAsia="Times New Roman" w:hAnsi="Times New Roman" w:cs="Times New Roman"/>
          <w:color w:val="000000"/>
          <w:sz w:val="24"/>
          <w:szCs w:val="24"/>
          <w:lang w:val="en-GB"/>
        </w:rPr>
        <w:t xml:space="preserve">This evolution was notably pushed by a randomised controlled trial </w:t>
      </w:r>
      <w:r w:rsidR="00F16C11">
        <w:rPr>
          <w:rFonts w:ascii="Times New Roman" w:eastAsia="Times New Roman" w:hAnsi="Times New Roman" w:cs="Times New Roman"/>
          <w:color w:val="000000"/>
          <w:sz w:val="24"/>
          <w:szCs w:val="24"/>
          <w:lang w:val="en-GB"/>
        </w:rPr>
        <w:t xml:space="preserve">(CALM) </w:t>
      </w:r>
      <w:r w:rsidRPr="00C54D13">
        <w:rPr>
          <w:rFonts w:ascii="Times New Roman" w:eastAsia="Times New Roman" w:hAnsi="Times New Roman" w:cs="Times New Roman"/>
          <w:color w:val="000000"/>
          <w:sz w:val="24"/>
          <w:szCs w:val="24"/>
          <w:lang w:val="en-GB"/>
        </w:rPr>
        <w:t>showing that escalation of treatment driven by symptoms and biomarkers (CRP and faecal calprotectin) results in a higher proportion of patients achieving mucosal healing compared with treatment decision only guided by symptoms</w:t>
      </w:r>
      <w:r w:rsidR="005C4B4F" w:rsidRPr="00C54D13">
        <w:rPr>
          <w:rFonts w:ascii="Times New Roman" w:eastAsia="Times New Roman" w:hAnsi="Times New Roman" w:cs="Times New Roman"/>
          <w:color w:val="000000"/>
          <w:sz w:val="24"/>
          <w:szCs w:val="24"/>
          <w:lang w:val="en-GB"/>
        </w:rPr>
        <w:fldChar w:fldCharType="begin" w:fldLock="1"/>
      </w:r>
      <w:r w:rsidR="00AC3474">
        <w:rPr>
          <w:rFonts w:ascii="Times New Roman" w:eastAsia="Times New Roman" w:hAnsi="Times New Roman" w:cs="Times New Roman"/>
          <w:color w:val="000000"/>
          <w:sz w:val="24"/>
          <w:szCs w:val="24"/>
          <w:lang w:val="en-GB"/>
        </w:rPr>
        <w:instrText>ADDIN CSL_CITATION {"citationItems":[{"id":"ITEM-1","itemData":{"DOI":"10.1016/S0140-6736(17)32641-7","ISSN":"1474-547X (Electronic)","PMID":"29096949","abstract":"BACKGROUND: Biomarkers of intestinal inflammation, such as faecal calprotectin and  C-reactive protein, have been recommended for monitoring patients with Crohn's disease, but whether their use in treatment decisions improves outcomes is unknown. We aimed to compare endoscopic and clinical outcomes in patients with moderate to severe Crohn's disease who were managed with a tight control algorithm, using clinical symptoms and biomarkers, versus patients managed with a clinical management algorithm. METHODS: CALM was an open-label, randomised, controlled phase 3 study, done in 22 countries at 74 hospitals and outpatient centres, which evaluated adult patients (aged 18-75 years) with active endoscopic Crohn's disease (Crohn's Disease Endoscopic Index of Severity [CDEIS] &gt;6; sum of CDEIS subscores of &gt;6 in one or more segments with ulcers), a Crohn's Disease Activity Index (CDAI) of 150-450 depending on dose of prednisone at baseline, and no previous use of immunomodulators or biologics. Patients were randomly assigned at a 1:1 ratio to tight control or clinical management groups, stratified by smoking status (yes or no), weight (&lt;70 kg or ≥70 kg), and disease duration (≤2 years or &gt;2 years) after 8 weeks of prednisone induction therapy, or earlier if they had active disease. In both groups, treatment was escalated in a stepwise manner, from no treatment, to adalimumab induction followed by adalimumab every other week, adalimumab every week, and lastly to both weekly adalimumab and daily azathioprine. This escalation was based on meeting treatment failure criteria, which differed between groups (tight control group before and after random assignment: faecal calprotectin ≥250 μg/g, C-reactive protein ≥5mg/L, CDAI ≥150, or prednisone use in the previous week; clinical management group before random assignment: CDAI decrease of &lt;70 points compared with baseline or CDAI &gt;200; clinical management group after random assignment: CDAI decrease of &lt;100 points compared with baseline or CDAI ≥200, or prednisone use in the previous week). De-escalation was possible for patients receiving weekly adalimumab and azathioprine or weekly adalimumab alone if failure criteria were not met. The primary endpoint was mucosal healing (CDEIS &lt;4) with absence of deep ulcers 48 weeks after randomisation. Primary and safety analyses were done in the intention-to-treat population. This trial has been completed, and is registered with ClinicalTrials.gov, number NCT01235689. FINDINGS: Be…","author":[{"dropping-particle":"","family":"Colombel","given":"Jean-Frederic","non-dropping-particle":"","parse-names":false,"suffix":""},{"dropping-particle":"","family":"Panaccione","given":"Remo","non-dropping-particle":"","parse-names":false,"suffix":""},{"dropping-particle":"","family":"Bossuyt","given":"Peter","non-dropping-particle":"","parse-names":false,"suffix":""},{"dropping-particle":"","family":"Lukas","given":"Milan","non-dropping-particle":"","parse-names":false,"suffix":""},{"dropping-particle":"","family":"Baert","given":"Filip","non-dropping-particle":"","parse-names":false,"suffix":""},{"dropping-particle":"","family":"Vaňásek","given":"Tomas","non-dropping-particle":"","parse-names":false,"suffix":""},{"dropping-particle":"","family":"Danalioglu","given":"Ahmet","non-dropping-particle":"","parse-names":false,"suffix":""},{"dropping-particle":"","family":"Novacek","given":"Gottfried","non-dropping-particle":"","parse-names":false,"suffix":""},{"dropping-particle":"","family":"Armuzzi","given":"Alessandro","non-dropping-particle":"","parse-names":false,"suffix":""},{"dropping-particle":"","family":"Hébuterne","given":"Xavier","non-dropping-particle":"","parse-names":false,"suffix":""},{"dropping-particle":"","family":"Travis","given":"Simon","non-dropping-particle":"","parse-names":false,"suffix":""},{"dropping-particle":"","family":"Danese","given":"Silvio","non-dropping-particle":"","parse-names":false,"suffix":""},{"dropping-particle":"","family":"Reinisch","given":"Walter","non-dropping-particle":"","parse-names":false,"suffix":""},{"dropping-particle":"","family":"Sandborn","given":"William J","non-dropping-particle":"","parse-names":false,"suffix":""},{"dropping-particle":"","family":"Rutgeerts","given":"Paul","non-dropping-particle":"","parse-names":false,"suffix":""},{"dropping-particle":"","family":"Hommes","given":"Daniel","non-dropping-particle":"","parse-names":false,"suffix":""},{"dropping-particle":"","family":"Schreiber","given":"Stefan","non-dropping-particle":"","parse-names":false,"suffix":""},{"dropping-particle":"","family":"Neimark","given":"Ezequiel","non-dropping-particle":"","parse-names":false,"suffix":""},{"dropping-particle":"","family":"Huang","given":"Bidan","non-dropping-particle":"","parse-names":false,"suffix":""},{"dropping-particle":"","family":"Zhou","given":"Qian","non-dropping-particle":"","parse-names":false,"suffix":""},{"dropping-particle":"","family":"Mendez","given":"Paloma","non-dropping-particle":"","parse-names":false,"suffix":""},{"dropping-particle":"","family":"Petersson","given":"Joel","non-dropping-particle":"","parse-names":false,"suffix":""},{"dropping-particle":"","family":"Wallace","given":"Kori","non-dropping-particle":"","parse-names":false,"suffix":""},{"dropping-particle":"","family":"Robinson","given":"Anne M","non-dropping-particle":"","parse-names":false,"suffix":""},{"dropping-particle":"","family":"Thakkar","given":"Roopal B","non-dropping-particle":"","parse-names":false,"suffix":""},{"dropping-particle":"","family":"D'Haens","given":"Geert","non-dropping-particle":"","parse-names":false,"suffix":""}],"container-title":"Lancet (London, England)","id":"ITEM-1","issue":"10114","issued":{"date-parts":[["2017","12"]]},"language":"eng","page":"2779-2789","publisher-place":"England","title":"Effect of tight control management on Crohn's disease (CALM): a multicentre,  randomised, controlled phase 3 trial.","type":"article-journal","volume":"390"},"uris":["http://www.mendeley.com/documents/?uuid=284ab321-4ef7-4f21-a2f9-118353cffeec"]}],"mendeley":{"formattedCitation":"&lt;sup&gt;16&lt;/sup&gt;","plainTextFormattedCitation":"16","previouslyFormattedCitation":"&lt;sup&gt;16&lt;/sup&gt;"},"properties":{"noteIndex":0},"schema":"https://github.com/citation-style-language/schema/raw/master/csl-citation.json"}</w:instrText>
      </w:r>
      <w:r w:rsidR="005C4B4F" w:rsidRPr="00C54D13">
        <w:rPr>
          <w:rFonts w:ascii="Times New Roman" w:eastAsia="Times New Roman" w:hAnsi="Times New Roman" w:cs="Times New Roman"/>
          <w:color w:val="000000"/>
          <w:sz w:val="24"/>
          <w:szCs w:val="24"/>
          <w:lang w:val="en-GB"/>
        </w:rPr>
        <w:fldChar w:fldCharType="separate"/>
      </w:r>
      <w:r w:rsidR="008E3CD7" w:rsidRPr="008E3CD7">
        <w:rPr>
          <w:rFonts w:ascii="Times New Roman" w:eastAsia="Times New Roman" w:hAnsi="Times New Roman" w:cs="Times New Roman"/>
          <w:noProof/>
          <w:color w:val="000000"/>
          <w:sz w:val="24"/>
          <w:szCs w:val="24"/>
          <w:vertAlign w:val="superscript"/>
          <w:lang w:val="en-GB"/>
        </w:rPr>
        <w:t>16</w:t>
      </w:r>
      <w:r w:rsidR="005C4B4F" w:rsidRPr="00C54D13">
        <w:rPr>
          <w:rFonts w:ascii="Times New Roman" w:eastAsia="Times New Roman" w:hAnsi="Times New Roman" w:cs="Times New Roman"/>
          <w:color w:val="000000"/>
          <w:sz w:val="24"/>
          <w:szCs w:val="24"/>
          <w:lang w:val="en-GB"/>
        </w:rPr>
        <w:fldChar w:fldCharType="end"/>
      </w:r>
      <w:r w:rsidRPr="00C54D13">
        <w:rPr>
          <w:rFonts w:ascii="Times New Roman" w:eastAsia="Times New Roman" w:hAnsi="Times New Roman" w:cs="Times New Roman"/>
          <w:color w:val="000000"/>
          <w:sz w:val="24"/>
          <w:szCs w:val="24"/>
          <w:lang w:val="en-GB"/>
        </w:rPr>
        <w:t xml:space="preserve">. </w:t>
      </w:r>
    </w:p>
    <w:p w14:paraId="3CE7F632" w14:textId="4B5B5BC0" w:rsidR="00C74D25" w:rsidRDefault="002606FC" w:rsidP="00B40DB0">
      <w:pPr>
        <w:spacing w:after="0" w:line="480" w:lineRule="auto"/>
        <w:ind w:firstLine="284"/>
        <w:jc w:val="both"/>
        <w:rPr>
          <w:rFonts w:ascii="Times New Roman" w:eastAsia="Times New Roman" w:hAnsi="Times New Roman" w:cs="Times New Roman"/>
          <w:color w:val="000000"/>
          <w:sz w:val="24"/>
          <w:szCs w:val="24"/>
          <w:lang w:val="en-GB"/>
        </w:rPr>
      </w:pPr>
      <w:r w:rsidRPr="00B40DB0">
        <w:rPr>
          <w:rFonts w:ascii="Times New Roman" w:eastAsia="Times New Roman" w:hAnsi="Times New Roman" w:cs="Times New Roman"/>
          <w:color w:val="000000"/>
          <w:sz w:val="24"/>
          <w:szCs w:val="24"/>
          <w:lang w:val="en-GB"/>
        </w:rPr>
        <w:t>Based on the above discussion, we stress the need to define a novel treatment target</w:t>
      </w:r>
      <w:r w:rsidR="00DA0234" w:rsidRPr="00B40DB0">
        <w:rPr>
          <w:rFonts w:ascii="Times New Roman" w:eastAsia="Times New Roman" w:hAnsi="Times New Roman" w:cs="Times New Roman"/>
          <w:color w:val="000000"/>
          <w:sz w:val="24"/>
          <w:szCs w:val="24"/>
          <w:lang w:val="en-GB"/>
        </w:rPr>
        <w:t>:</w:t>
      </w:r>
      <w:r w:rsidR="007F35BD" w:rsidRPr="00B40DB0">
        <w:rPr>
          <w:rFonts w:ascii="Times New Roman" w:eastAsia="Times New Roman" w:hAnsi="Times New Roman" w:cs="Times New Roman"/>
          <w:color w:val="000000"/>
          <w:sz w:val="24"/>
          <w:szCs w:val="24"/>
          <w:lang w:val="en-GB"/>
        </w:rPr>
        <w:t xml:space="preserve"> </w:t>
      </w:r>
      <w:r w:rsidR="00175FA9" w:rsidRPr="00B40DB0">
        <w:rPr>
          <w:rFonts w:ascii="Times New Roman" w:eastAsia="Times New Roman" w:hAnsi="Times New Roman" w:cs="Times New Roman"/>
          <w:color w:val="000000"/>
          <w:sz w:val="24"/>
          <w:szCs w:val="24"/>
          <w:lang w:val="en-GB"/>
        </w:rPr>
        <w:t>biological remission</w:t>
      </w:r>
      <w:r w:rsidR="00B53B32" w:rsidRPr="00B40DB0">
        <w:rPr>
          <w:rFonts w:ascii="Times New Roman" w:eastAsia="Times New Roman" w:hAnsi="Times New Roman" w:cs="Times New Roman"/>
          <w:color w:val="000000"/>
          <w:sz w:val="24"/>
          <w:szCs w:val="24"/>
          <w:lang w:val="en-GB"/>
        </w:rPr>
        <w:t xml:space="preserve">. </w:t>
      </w:r>
      <w:r w:rsidR="00AC6A1A" w:rsidRPr="00B40DB0">
        <w:rPr>
          <w:rFonts w:ascii="Times New Roman" w:eastAsia="Times New Roman" w:hAnsi="Times New Roman" w:cs="Times New Roman"/>
          <w:color w:val="000000"/>
          <w:sz w:val="24"/>
          <w:szCs w:val="24"/>
          <w:lang w:val="en-GB"/>
        </w:rPr>
        <w:t>Of note, t</w:t>
      </w:r>
      <w:r w:rsidR="00F80222" w:rsidRPr="00B40DB0">
        <w:rPr>
          <w:rFonts w:ascii="Times New Roman" w:eastAsia="Times New Roman" w:hAnsi="Times New Roman" w:cs="Times New Roman"/>
          <w:color w:val="000000"/>
          <w:sz w:val="24"/>
          <w:szCs w:val="24"/>
          <w:lang w:val="en-GB"/>
        </w:rPr>
        <w:t xml:space="preserve">his objective is different from tools </w:t>
      </w:r>
      <w:r w:rsidR="002D0E3E" w:rsidRPr="00B40DB0">
        <w:rPr>
          <w:rFonts w:ascii="Times New Roman" w:eastAsia="Times New Roman" w:hAnsi="Times New Roman" w:cs="Times New Roman"/>
          <w:color w:val="000000"/>
          <w:sz w:val="24"/>
          <w:szCs w:val="24"/>
          <w:lang w:val="en-GB"/>
        </w:rPr>
        <w:t xml:space="preserve">such </w:t>
      </w:r>
      <w:r w:rsidR="00F80222" w:rsidRPr="00B40DB0">
        <w:rPr>
          <w:rFonts w:ascii="Times New Roman" w:eastAsia="Times New Roman" w:hAnsi="Times New Roman" w:cs="Times New Roman"/>
          <w:color w:val="000000"/>
          <w:sz w:val="24"/>
          <w:szCs w:val="24"/>
          <w:lang w:val="en-GB"/>
        </w:rPr>
        <w:t xml:space="preserve">as endoscopic healing index (EHI), a marketed blood test based on the measurement of 13 proteins, which </w:t>
      </w:r>
      <w:r w:rsidR="001212FB" w:rsidRPr="00B40DB0">
        <w:rPr>
          <w:rFonts w:ascii="Times New Roman" w:eastAsia="Times New Roman" w:hAnsi="Times New Roman" w:cs="Times New Roman"/>
          <w:color w:val="000000"/>
          <w:sz w:val="24"/>
          <w:szCs w:val="24"/>
          <w:lang w:val="en-GB"/>
        </w:rPr>
        <w:t xml:space="preserve">does not propose a new treatment target but </w:t>
      </w:r>
      <w:r w:rsidR="001D4C3A" w:rsidRPr="00B40DB0">
        <w:rPr>
          <w:rFonts w:ascii="Times New Roman" w:eastAsia="Times New Roman" w:hAnsi="Times New Roman" w:cs="Times New Roman"/>
          <w:color w:val="000000"/>
          <w:sz w:val="24"/>
          <w:szCs w:val="24"/>
          <w:lang w:val="en-GB"/>
        </w:rPr>
        <w:t>surrogate markers</w:t>
      </w:r>
      <w:r w:rsidR="001212FB" w:rsidRPr="00B40DB0">
        <w:rPr>
          <w:rFonts w:ascii="Times New Roman" w:eastAsia="Times New Roman" w:hAnsi="Times New Roman" w:cs="Times New Roman"/>
          <w:color w:val="000000"/>
          <w:sz w:val="24"/>
          <w:szCs w:val="24"/>
          <w:lang w:val="en-GB"/>
        </w:rPr>
        <w:t xml:space="preserve"> of an existing one</w:t>
      </w:r>
      <w:r w:rsidR="001D4C3A" w:rsidRPr="00B40DB0">
        <w:rPr>
          <w:rFonts w:ascii="Times New Roman" w:eastAsia="Times New Roman" w:hAnsi="Times New Roman" w:cs="Times New Roman"/>
          <w:color w:val="000000"/>
          <w:sz w:val="24"/>
          <w:szCs w:val="24"/>
          <w:lang w:val="en-GB"/>
        </w:rPr>
        <w:t xml:space="preserve"> </w:t>
      </w:r>
      <w:r w:rsidR="001212FB" w:rsidRPr="00B40DB0">
        <w:rPr>
          <w:rFonts w:ascii="Times New Roman" w:eastAsia="Times New Roman" w:hAnsi="Times New Roman" w:cs="Times New Roman"/>
          <w:color w:val="000000"/>
          <w:sz w:val="24"/>
          <w:szCs w:val="24"/>
          <w:lang w:val="en-GB"/>
        </w:rPr>
        <w:t>(</w:t>
      </w:r>
      <w:r w:rsidR="00F80222" w:rsidRPr="00B40DB0">
        <w:rPr>
          <w:rFonts w:ascii="Times New Roman" w:eastAsia="Times New Roman" w:hAnsi="Times New Roman" w:cs="Times New Roman"/>
          <w:color w:val="000000"/>
          <w:sz w:val="24"/>
          <w:szCs w:val="24"/>
          <w:lang w:val="en-GB"/>
        </w:rPr>
        <w:t>endoscopic remission</w:t>
      </w:r>
      <w:r w:rsidR="001212FB" w:rsidRPr="00B40DB0">
        <w:rPr>
          <w:rFonts w:ascii="Times New Roman" w:eastAsia="Times New Roman" w:hAnsi="Times New Roman" w:cs="Times New Roman"/>
          <w:color w:val="000000"/>
          <w:sz w:val="24"/>
          <w:szCs w:val="24"/>
          <w:lang w:val="en-GB"/>
        </w:rPr>
        <w:t>)</w:t>
      </w:r>
      <w:r w:rsidR="00F80222" w:rsidRPr="00B40DB0">
        <w:rPr>
          <w:rFonts w:ascii="Times New Roman" w:eastAsia="Times New Roman" w:hAnsi="Times New Roman" w:cs="Times New Roman"/>
          <w:color w:val="000000"/>
          <w:sz w:val="24"/>
          <w:szCs w:val="24"/>
          <w:lang w:val="en-GB"/>
        </w:rPr>
        <w:fldChar w:fldCharType="begin" w:fldLock="1"/>
      </w:r>
      <w:r w:rsidR="00AC3474" w:rsidRPr="00B40DB0">
        <w:rPr>
          <w:rFonts w:ascii="Times New Roman" w:eastAsia="Times New Roman" w:hAnsi="Times New Roman" w:cs="Times New Roman"/>
          <w:color w:val="000000"/>
          <w:sz w:val="24"/>
          <w:szCs w:val="24"/>
          <w:lang w:val="en-GB"/>
        </w:rPr>
        <w:instrText>ADDIN CSL_CITATION {"citationItems":[{"id":"ITEM-1","itemData":{"DOI":"10.1053/j.gastro.2019.10.034","ISSN":"1528-0012 (Electronic)","PMID":"31711925","abstract":"BACKGROUND &amp; AIMS: Noninvasive tests to measure endoscopic activity in patients  with Crohn's disease (CD) have limitations. We aimed to develop a test to identify patients in remission, based on endoscopic analysis, and monitor CD activity based on serum levels of proteins. METHODS: We developed a test to measure 13 proteins in blood (ANG1, ANG2, CRP, SAA1, IL7, EMMPRIN, MMP1, MMP2, MMP3, MMP9, TGFA, CEACAM1, and VCAM1), called the endoscopic healing index [EHI], using samples from 278 patients with CD from a multinational training cohort. We validated the test using 2 independent cohorts of patients with CD: 116 biologic-naive patients with early-stage CD (validation cohort 1) and 195 biologic-exposed patients with chronic CD (validation cohort 2). The ability of the test to identify patients with active disease vs patients in remission (defined as a simple endoscopic score for CD of ≤2 and ≤1 in each segment, or a total CD endoscopic index of severity score &lt;3) was assessed by using area under receiver operating characteristic curve (AUROC) analysis. The diagnostic accuracy of the test was compared with that of measurement of serum C-reactive protein (CRP) and fecal calprotectin. RESULTS: The EHI scores range from 0 to 100 units; higher scores indicate more severe CD activity, based on endoscopy findings. The EHI identified patients in remission with an AUROC of 0.962 in validation cohort 1 (95% confidence interval, 0.942-0.982) and an AUROC of 0.693 in validation cohort 2 (95% confidence interval, 0.619-0.767), regardless of CD location or phenotype. A cutoff value of 20 points identified patients in remission with the highest level of sensitivity (97.1% in validation cohort 1 and 83.2% in validation cohort 2), with specificity values of 69.0% and 36.6%, respectively. A cutoff value of 50 points identified patients in remission with the highest level of specificity (100% in validation cohort 1 and 87.8% in validation cohort 2), with sensitivity values of 37.3% and 30.0%, respectively. The EHI identified patients in remission with a significantly higher AUROC value than the test for CRP (0.876, P &lt; .001 in validation cohort 1 and 0.624, P = .109 in validation cohort 2). In analysis of patients with available FC measurements, the AUROC value for the EHI did not differ significantly from that of measurement of FC (AUROC, 0.950 for EHI vs AUROC, 0.923 for FC; P = .147 in validation cohort 1 and AUROC, 0.803 for EHI vs AUROC, 0.854 for FC; P = .298 in va…","author":[{"dropping-particle":"","family":"D'Haens","given":"Geert","non-dropping-particle":"","parse-names":false,"suffix":""},{"dropping-particle":"","family":"Kelly","given":"Orlaith","non-dropping-particle":"","parse-names":false,"suffix":""},{"dropping-particle":"","family":"Battat","given":"Robert","non-dropping-particle":"","parse-names":false,"suffix":""},{"dropping-particle":"","family":"Silverberg","given":"Mark S","non-dropping-particle":"","parse-names":false,"suffix":""},{"dropping-particle":"","family":"Laharie","given":"David","non-dropping-particle":"","parse-names":false,"suffix":""},{"dropping-particle":"","family":"Louis","given":"Edouard","non-dropping-particle":"","parse-names":false,"suffix":""},{"dropping-particle":"","family":"Savarino","given":"Edoardo","non-dropping-particle":"","parse-names":false,"suffix":""},{"dropping-particle":"","family":"Bodini","given":"Giorgia","non-dropping-particle":"","parse-names":false,"suffix":""},{"dropping-particle":"","family":"Yarur","given":"Andres","non-dropping-particle":"","parse-names":false,"suffix":""},{"dropping-particle":"","family":"Boland","given":"Brigid S","non-dropping-particle":"","parse-names":false,"suffix":""},{"dropping-particle":"","family":"Afif","given":"Waqqas","non-dropping-particle":"","parse-names":false,"suffix":""},{"dropping-particle":"","family":"Li","given":"Xiao-Jun","non-dropping-particle":"","parse-names":false,"suffix":""},{"dropping-particle":"","family":"Hale","given":"Michael","non-dropping-particle":"","parse-names":false,"suffix":""},{"dropping-particle":"","family":"Ho","given":"Jessica","non-dropping-particle":"","parse-names":false,"suffix":""},{"dropping-particle":"","family":"Kondragunta","given":"Venkateswarlu","non-dropping-particle":"","parse-names":false,"suffix":""},{"dropping-particle":"","family":"Huang","given":"Benjamin","non-dropping-particle":"","parse-names":false,"suffix":""},{"dropping-particle":"","family":"Kuy","given":"Crystal","non-dropping-particle":"","parse-names":false,"suffix":""},{"dropping-particle":"","family":"Okada","given":"Lauren","non-dropping-particle":"","parse-names":false,"suffix":""},{"dropping-particle":"","family":"Hester","given":"Kelly D","non-dropping-particle":"","parse-names":false,"suffix":""},{"dropping-particle":"","family":"Bray","given":"Kurtis R","non-dropping-particle":"","parse-names":false,"suffix":""},{"dropping-particle":"","family":"Mimms","given":"Larry","non-dropping-particle":"","parse-names":false,"suffix":""},{"dropping-particle":"","family":"Jain","given":"Anjali","non-dropping-particle":"","parse-names":false,"suffix":""},{"dropping-particle":"","family":"Singh","given":"Siddharth","non-dropping-particle":"","parse-names":false,"suffix":""},{"dropping-particle":"","family":"Collins","given":"Angelina","non-dropping-particle":"","parse-names":false,"suffix":""},{"dropping-particle":"","family":"Valasek","given":"Mark A","non-dropping-particle":"","parse-names":false,"suffix":""},{"dropping-particle":"","family":"Sandborn","given":"William J","non-dropping-particle":"","parse-names":false,"suffix":""},{"dropping-particle":"","family":"Vermeire","given":"Severine","non-dropping-particle":"","parse-names":false,"suffix":""},{"dropping-particle":"","family":"Dulai","given":"Parambir S","non-dropping-particle":"","parse-names":false,"suffix":""}],"container-title":"Gastroenterology","id":"ITEM-1","issue":"3","issued":{"date-parts":[["2020","2"]]},"language":"eng","page":"515-526.e10","publisher-place":"United States","title":"Development and Validation of a Test to Monitor Endoscopic Activity in Patients  With Crohn's Disease Based on Serum Levels of Proteins.","type":"article-journal","volume":"158"},"uris":["http://www.mendeley.com/documents/?uuid=2d2ae476-87cc-4be2-bf34-c2ab0c781664"]}],"mendeley":{"formattedCitation":"&lt;sup&gt;17&lt;/sup&gt;","plainTextFormattedCitation":"17","previouslyFormattedCitation":"&lt;sup&gt;17&lt;/sup&gt;"},"properties":{"noteIndex":0},"schema":"https://github.com/citation-style-language/schema/raw/master/csl-citation.json"}</w:instrText>
      </w:r>
      <w:r w:rsidR="00F80222" w:rsidRPr="00B40DB0">
        <w:rPr>
          <w:rFonts w:ascii="Times New Roman" w:eastAsia="Times New Roman" w:hAnsi="Times New Roman" w:cs="Times New Roman"/>
          <w:color w:val="000000"/>
          <w:sz w:val="24"/>
          <w:szCs w:val="24"/>
          <w:lang w:val="en-GB"/>
        </w:rPr>
        <w:fldChar w:fldCharType="separate"/>
      </w:r>
      <w:r w:rsidR="008E3CD7" w:rsidRPr="00B40DB0">
        <w:rPr>
          <w:rFonts w:ascii="Times New Roman" w:eastAsia="Times New Roman" w:hAnsi="Times New Roman" w:cs="Times New Roman"/>
          <w:noProof/>
          <w:color w:val="000000"/>
          <w:sz w:val="24"/>
          <w:szCs w:val="24"/>
          <w:vertAlign w:val="superscript"/>
          <w:lang w:val="en-GB"/>
        </w:rPr>
        <w:t>17</w:t>
      </w:r>
      <w:r w:rsidR="00F80222" w:rsidRPr="00B40DB0">
        <w:rPr>
          <w:rFonts w:ascii="Times New Roman" w:eastAsia="Times New Roman" w:hAnsi="Times New Roman" w:cs="Times New Roman"/>
          <w:color w:val="000000"/>
          <w:sz w:val="24"/>
          <w:szCs w:val="24"/>
          <w:lang w:val="en-GB"/>
        </w:rPr>
        <w:fldChar w:fldCharType="end"/>
      </w:r>
      <w:r w:rsidR="00F80222" w:rsidRPr="00B40DB0">
        <w:rPr>
          <w:rFonts w:ascii="Times New Roman" w:eastAsia="Times New Roman" w:hAnsi="Times New Roman" w:cs="Times New Roman"/>
          <w:color w:val="000000"/>
          <w:sz w:val="24"/>
          <w:szCs w:val="24"/>
          <w:lang w:val="en-GB"/>
        </w:rPr>
        <w:t>.</w:t>
      </w:r>
      <w:r w:rsidR="001212FB" w:rsidRPr="00B40DB0">
        <w:rPr>
          <w:rFonts w:ascii="Times New Roman" w:eastAsia="Times New Roman" w:hAnsi="Times New Roman" w:cs="Times New Roman"/>
          <w:color w:val="000000"/>
          <w:sz w:val="24"/>
          <w:szCs w:val="24"/>
          <w:lang w:val="en-GB"/>
        </w:rPr>
        <w:t xml:space="preserve"> </w:t>
      </w:r>
      <w:r w:rsidR="00463C3F" w:rsidRPr="00B40DB0">
        <w:rPr>
          <w:rFonts w:ascii="Times New Roman" w:eastAsia="Times New Roman" w:hAnsi="Times New Roman" w:cs="Times New Roman"/>
          <w:color w:val="000000"/>
          <w:sz w:val="24"/>
          <w:szCs w:val="24"/>
          <w:lang w:val="en-GB"/>
        </w:rPr>
        <w:t xml:space="preserve">Overall, we think that </w:t>
      </w:r>
      <w:r w:rsidR="0053723C" w:rsidRPr="00B40DB0">
        <w:rPr>
          <w:rFonts w:ascii="Times New Roman" w:hAnsi="Times New Roman" w:cs="Times New Roman"/>
          <w:sz w:val="24"/>
          <w:szCs w:val="24"/>
          <w:lang w:val="en-GB"/>
        </w:rPr>
        <w:t xml:space="preserve">biomarkers may convey more information on the state of disease activity than simply their association with </w:t>
      </w:r>
      <w:r w:rsidR="00DA4A8C" w:rsidRPr="00B40DB0">
        <w:rPr>
          <w:rFonts w:ascii="Times New Roman" w:hAnsi="Times New Roman" w:cs="Times New Roman"/>
          <w:sz w:val="24"/>
          <w:szCs w:val="24"/>
          <w:lang w:val="en-GB"/>
        </w:rPr>
        <w:t>morphological features</w:t>
      </w:r>
      <w:r w:rsidR="0053723C" w:rsidRPr="00B40DB0">
        <w:rPr>
          <w:rFonts w:ascii="Times New Roman" w:hAnsi="Times New Roman" w:cs="Times New Roman"/>
          <w:sz w:val="24"/>
          <w:szCs w:val="24"/>
          <w:lang w:val="en-GB"/>
        </w:rPr>
        <w:t>.</w:t>
      </w:r>
      <w:r w:rsidR="00D5193A" w:rsidRPr="00B40DB0">
        <w:rPr>
          <w:rFonts w:ascii="Times New Roman" w:hAnsi="Times New Roman" w:cs="Times New Roman"/>
          <w:sz w:val="24"/>
          <w:szCs w:val="24"/>
          <w:lang w:val="en-GB"/>
        </w:rPr>
        <w:t xml:space="preserve"> </w:t>
      </w:r>
      <w:r w:rsidR="00304C0C" w:rsidRPr="00B40DB0">
        <w:rPr>
          <w:rFonts w:ascii="Times New Roman" w:hAnsi="Times New Roman" w:cs="Times New Roman"/>
          <w:sz w:val="24"/>
          <w:szCs w:val="24"/>
          <w:lang w:val="en-GB"/>
        </w:rPr>
        <w:t>In ulcerative colitis</w:t>
      </w:r>
      <w:r w:rsidR="00D5193A" w:rsidRPr="00B40DB0">
        <w:rPr>
          <w:rFonts w:ascii="Times New Roman" w:hAnsi="Times New Roman" w:cs="Times New Roman"/>
          <w:sz w:val="24"/>
          <w:szCs w:val="24"/>
          <w:lang w:val="en-GB"/>
        </w:rPr>
        <w:t xml:space="preserve">, this idea was supported </w:t>
      </w:r>
      <w:r w:rsidR="0053759D" w:rsidRPr="00B40DB0">
        <w:rPr>
          <w:rFonts w:ascii="Times New Roman" w:hAnsi="Times New Roman" w:cs="Times New Roman"/>
          <w:sz w:val="24"/>
          <w:szCs w:val="24"/>
          <w:lang w:val="en-GB"/>
        </w:rPr>
        <w:t>by</w:t>
      </w:r>
      <w:r w:rsidR="00F87F1B" w:rsidRPr="00B40DB0">
        <w:rPr>
          <w:rFonts w:ascii="Times New Roman" w:hAnsi="Times New Roman" w:cs="Times New Roman"/>
          <w:sz w:val="24"/>
          <w:szCs w:val="24"/>
          <w:lang w:val="en-GB"/>
        </w:rPr>
        <w:t xml:space="preserve"> transcriptomic data</w:t>
      </w:r>
      <w:r w:rsidR="00F12B77" w:rsidRPr="00B40DB0">
        <w:rPr>
          <w:rFonts w:ascii="Times New Roman" w:hAnsi="Times New Roman" w:cs="Times New Roman"/>
          <w:sz w:val="24"/>
          <w:szCs w:val="24"/>
          <w:lang w:val="en-GB"/>
        </w:rPr>
        <w:t xml:space="preserve"> </w:t>
      </w:r>
      <w:r w:rsidR="00F04C60" w:rsidRPr="00B40DB0">
        <w:rPr>
          <w:rFonts w:ascii="Times New Roman" w:hAnsi="Times New Roman" w:cs="Times New Roman"/>
          <w:sz w:val="24"/>
          <w:szCs w:val="24"/>
          <w:lang w:val="en-GB"/>
        </w:rPr>
        <w:t>showing that</w:t>
      </w:r>
      <w:r w:rsidR="00D61D35" w:rsidRPr="00B40DB0">
        <w:rPr>
          <w:rFonts w:ascii="Times New Roman" w:hAnsi="Times New Roman" w:cs="Times New Roman"/>
          <w:sz w:val="24"/>
          <w:szCs w:val="24"/>
          <w:lang w:val="en-GB"/>
        </w:rPr>
        <w:t xml:space="preserve"> </w:t>
      </w:r>
      <w:proofErr w:type="spellStart"/>
      <w:r w:rsidR="00620375" w:rsidRPr="00B40DB0">
        <w:rPr>
          <w:rFonts w:ascii="Times New Roman" w:hAnsi="Times New Roman" w:cs="Times New Roman"/>
          <w:sz w:val="24"/>
          <w:szCs w:val="24"/>
          <w:lang w:val="en-GB"/>
        </w:rPr>
        <w:t>ustekinumab</w:t>
      </w:r>
      <w:proofErr w:type="spellEnd"/>
      <w:r w:rsidR="00D61D35" w:rsidRPr="00B40DB0">
        <w:rPr>
          <w:rFonts w:ascii="Times New Roman" w:hAnsi="Times New Roman" w:cs="Times New Roman"/>
          <w:sz w:val="24"/>
          <w:szCs w:val="24"/>
          <w:lang w:val="en-GB"/>
        </w:rPr>
        <w:t>-induced remission</w:t>
      </w:r>
      <w:r w:rsidR="00D40E23" w:rsidRPr="00B40DB0">
        <w:rPr>
          <w:rFonts w:ascii="Times New Roman" w:hAnsi="Times New Roman" w:cs="Times New Roman"/>
          <w:sz w:val="24"/>
          <w:szCs w:val="24"/>
          <w:lang w:val="en-GB"/>
        </w:rPr>
        <w:t xml:space="preserve"> at week 44</w:t>
      </w:r>
      <w:r w:rsidR="00D61D35" w:rsidRPr="00B40DB0">
        <w:rPr>
          <w:rFonts w:ascii="Times New Roman" w:hAnsi="Times New Roman" w:cs="Times New Roman"/>
          <w:sz w:val="24"/>
          <w:szCs w:val="24"/>
          <w:lang w:val="en-GB"/>
        </w:rPr>
        <w:t xml:space="preserve"> is better predicted by a low level of </w:t>
      </w:r>
      <w:r w:rsidR="00F04C60" w:rsidRPr="00B40DB0">
        <w:rPr>
          <w:rFonts w:ascii="Times New Roman" w:hAnsi="Times New Roman" w:cs="Times New Roman"/>
          <w:sz w:val="24"/>
          <w:szCs w:val="24"/>
          <w:lang w:val="en-GB"/>
        </w:rPr>
        <w:t>molecular inflammation</w:t>
      </w:r>
      <w:r w:rsidR="0049694C" w:rsidRPr="00B40DB0">
        <w:rPr>
          <w:rFonts w:ascii="Times New Roman" w:hAnsi="Times New Roman" w:cs="Times New Roman"/>
          <w:sz w:val="24"/>
          <w:szCs w:val="24"/>
          <w:lang w:val="en-GB"/>
        </w:rPr>
        <w:t xml:space="preserve"> in the gut</w:t>
      </w:r>
      <w:r w:rsidR="00B51A8B" w:rsidRPr="00B40DB0">
        <w:rPr>
          <w:rFonts w:ascii="Times New Roman" w:hAnsi="Times New Roman" w:cs="Times New Roman"/>
          <w:sz w:val="24"/>
          <w:szCs w:val="24"/>
          <w:lang w:val="en-GB"/>
        </w:rPr>
        <w:t xml:space="preserve"> </w:t>
      </w:r>
      <w:r w:rsidR="00D61D35" w:rsidRPr="00B40DB0">
        <w:rPr>
          <w:rFonts w:ascii="Times New Roman" w:hAnsi="Times New Roman" w:cs="Times New Roman"/>
          <w:sz w:val="24"/>
          <w:szCs w:val="24"/>
          <w:lang w:val="en-GB"/>
        </w:rPr>
        <w:t>than endoscopic and histological remission</w:t>
      </w:r>
      <w:r w:rsidR="00D40E23" w:rsidRPr="00B40DB0">
        <w:rPr>
          <w:rFonts w:ascii="Times New Roman" w:hAnsi="Times New Roman" w:cs="Times New Roman"/>
          <w:sz w:val="24"/>
          <w:szCs w:val="24"/>
          <w:lang w:val="en-GB"/>
        </w:rPr>
        <w:t xml:space="preserve"> at week 8</w:t>
      </w:r>
      <w:r w:rsidR="00B061EB" w:rsidRPr="00B40DB0">
        <w:rPr>
          <w:rFonts w:ascii="Times New Roman" w:hAnsi="Times New Roman" w:cs="Times New Roman"/>
          <w:sz w:val="24"/>
          <w:szCs w:val="24"/>
          <w:lang w:val="en-GB"/>
        </w:rPr>
        <w:fldChar w:fldCharType="begin" w:fldLock="1"/>
      </w:r>
      <w:r w:rsidR="00F56899" w:rsidRPr="00B40DB0">
        <w:rPr>
          <w:rFonts w:ascii="Times New Roman" w:hAnsi="Times New Roman" w:cs="Times New Roman"/>
          <w:sz w:val="24"/>
          <w:szCs w:val="24"/>
          <w:lang w:val="en-GB"/>
        </w:rPr>
        <w:instrText>ADDIN CSL_CITATION {"citationItems":[{"id":"ITEM-1","itemData":{"DOI":"10.1136/gutjnl-2021-326451","ISSN":"1468-3288 (Electronic)","PMID":"36109152","abstract":"OBJECTIVE: IBD therapies and treatments are evolving to deeper levels of  remission. Molecular measures of disease may augment current endpoints including the potential for less invasive assessments. DESIGN: Transcriptome analysis on 712 endoscopically defined inflamed (Inf) and 1778 non-inflamed (Non-Inf) intestinal biopsies (n=498 Crohn's disease, n=421 UC and 243 controls) in the Mount Sinai Crohn's and Colitis Registry were used to identify genes differentially expressed between Inf and Non-Inf biopsies and to generate a molecular inflammation score (bMIS) via gene set variance analysis. A circulating MIS (cirMIS) score, reflecting intestinal molecular inflammation, was generated using blood transcriptome data. bMIS/cirMIS was validated as indicators of intestinal inflammation in four independent IBD cohorts. RESULTS: bMIS/cirMIS was strongly associated with clinical, endoscopic and histological disease activity indices. Patients with the same histologic score of inflammation had variable bMIS scores, indicating that bMIS describes a deeper range of inflammation. In available clinical trial data sets, both scores were responsive to IBD treatment. Despite similar baseline endoscopic and histologic activity, UC patients with lower baseline bMIS levels were more likely treatment responders compared with those with higher levels. Finally, among patients with UC in endoscopic and histologic remission, those with lower bMIS levels were less likely to have a disease flare over time. CONCLUSION: Transcriptionally based scores provide an alternative objective and deeper quantification of intestinal inflammation, which could augment current clinical assessments used for disease monitoring and have potential for predicting therapeutic response and patients at higher risk of disease flares.","author":[{"dropping-particle":"","family":"Argmann","given":"Carmen","non-dropping-particle":"","parse-names":false,"suffix":""},{"dropping-particle":"","family":"Hou","given":"Ruixue","non-dropping-particle":"","parse-names":false,"suffix":""},{"dropping-particle":"","family":"Ungaro","given":"Ryan C","non-dropping-particle":"","parse-names":false,"suffix":""},{"dropping-particle":"","family":"Irizar","given":"Haritz","non-dropping-particle":"","parse-names":false,"suffix":""},{"dropping-particle":"","family":"Al-Taie","given":"Zainab","non-dropping-particle":"","parse-names":false,"suffix":""},{"dropping-particle":"","family":"Huang","given":"Ruiqi","non-dropping-particle":"","parse-names":false,"suffix":""},{"dropping-particle":"","family":"Kosoy","given":"Roman","non-dropping-particle":"","parse-names":false,"suffix":""},{"dropping-particle":"","family":"Venkat","given":"Swati","non-dropping-particle":"","parse-names":false,"suffix":""},{"dropping-particle":"","family":"Song","given":"Won-Min","non-dropping-particle":"","parse-names":false,"suffix":""},{"dropping-particle":"","family":"Di'Narzo","given":"Antonio F","non-dropping-particle":"","parse-names":false,"suffix":""},{"dropping-particle":"","family":"Losic","given":"Bojan","non-dropping-particle":"","parse-names":false,"suffix":""},{"dropping-particle":"","family":"Hao","given":"Ke","non-dropping-particle":"","parse-names":false,"suffix":""},{"dropping-particle":"","family":"Peters","given":"Lauren","non-dropping-particle":"","parse-names":false,"suffix":""},{"dropping-particle":"","family":"Comella","given":"Phillip H","non-dropping-particle":"","parse-names":false,"suffix":""},{"dropping-particle":"","family":"Wei","given":"Gabrielle","non-dropping-particle":"","parse-names":false,"suffix":""},{"dropping-particle":"","family":"Atreja","given":"Ashish","non-dropping-particle":"","parse-names":false,"suffix":""},{"dropping-particle":"","family":"Mahajan","given":"Milind","non-dropping-particle":"","parse-names":false,"suffix":""},{"dropping-particle":"","family":"Iuga","given":"Alina","non-dropping-particle":"","parse-names":false,"suffix":""},{"dropping-particle":"","family":"Desai","given":"Prerak T","non-dropping-particle":"","parse-names":false,"suffix":""},{"dropping-particle":"","family":"Branigan","given":"Patrick","non-dropping-particle":"","parse-names":false,"suffix":""},{"dropping-particle":"","family":"Stojmirovic","given":"Aleksandar","non-dropping-particle":"","parse-names":false,"suffix":""},{"dropping-particle":"","family":"Perrigoue","given":"Jacqueline","non-dropping-particle":"","parse-names":false,"suffix":""},{"dropping-particle":"","family":"Brodmerkel","given":"Carrie","non-dropping-particle":"","parse-names":false,"suffix":""},{"dropping-particle":"","family":"Curran","given":"Mark","non-dropping-particle":"","parse-names":false,"suffix":""},{"dropping-particle":"","family":"Friedman","given":"Joshua R","non-dropping-particle":"","parse-names":false,"suffix":""},{"dropping-particle":"","family":"Hart","given":"Amy","non-dropping-particle":"","parse-names":false,"suffix":""},{"dropping-particle":"","family":"Lamousé-Smith","given":"Esi","non-dropping-particle":"","parse-names":false,"suffix":""},{"dropping-particle":"","family":"Wehkamp","given":"Jan","non-dropping-particle":"","parse-names":false,"suffix":""},{"dropping-particle":"","family":"Mehandru","given":"Saurabh","non-dropping-particle":"","parse-names":false,"suffix":""},{"dropping-particle":"","family":"Schadt","given":"Eric E","non-dropping-particle":"","parse-names":false,"suffix":""},{"dropping-particle":"","family":"Sands","given":"Bruce E","non-dropping-particle":"","parse-names":false,"suffix":""},{"dropping-particle":"","family":"Dubinsky","given":"Marla C","non-dropping-particle":"","parse-names":false,"suffix":""},{"dropping-particle":"","family":"Colombel","given":"Jean-Frederic","non-dropping-particle":"","parse-names":false,"suffix":""},{"dropping-particle":"","family":"Kasarskis","given":"Andrew","non-dropping-particle":"","parse-names":false,"suffix":""},{"dropping-particle":"","family":"Suárez-Fariñas","given":"Mayte","non-dropping-particle":"","parse-names":false,"suffix":""}],"container-title":"Gut","id":"ITEM-1","issued":{"date-parts":[["2022","9"]]},"language":"eng","publisher-place":"England","title":"Biopsy and blood-based molecular biomarker of inflammation in IBD.","type":"article-journal"},"uris":["http://www.mendeley.com/documents/?uuid=c915bb64-606f-47c1-ba51-985c23c7bf5f"]}],"mendeley":{"formattedCitation":"&lt;sup&gt;18&lt;/sup&gt;","plainTextFormattedCitation":"18","previouslyFormattedCitation":"&lt;sup&gt;18&lt;/sup&gt;"},"properties":{"noteIndex":0},"schema":"https://github.com/citation-style-language/schema/raw/master/csl-citation.json"}</w:instrText>
      </w:r>
      <w:r w:rsidR="00B061EB" w:rsidRPr="00B40DB0">
        <w:rPr>
          <w:rFonts w:ascii="Times New Roman" w:hAnsi="Times New Roman" w:cs="Times New Roman"/>
          <w:sz w:val="24"/>
          <w:szCs w:val="24"/>
          <w:lang w:val="en-GB"/>
        </w:rPr>
        <w:fldChar w:fldCharType="separate"/>
      </w:r>
      <w:r w:rsidR="00B061EB" w:rsidRPr="00B40DB0">
        <w:rPr>
          <w:rFonts w:ascii="Times New Roman" w:hAnsi="Times New Roman" w:cs="Times New Roman"/>
          <w:noProof/>
          <w:sz w:val="24"/>
          <w:szCs w:val="24"/>
          <w:vertAlign w:val="superscript"/>
          <w:lang w:val="en-GB"/>
        </w:rPr>
        <w:t>18</w:t>
      </w:r>
      <w:r w:rsidR="00B061EB" w:rsidRPr="00B40DB0">
        <w:rPr>
          <w:rFonts w:ascii="Times New Roman" w:hAnsi="Times New Roman" w:cs="Times New Roman"/>
          <w:sz w:val="24"/>
          <w:szCs w:val="24"/>
          <w:lang w:val="en-GB"/>
        </w:rPr>
        <w:fldChar w:fldCharType="end"/>
      </w:r>
      <w:r w:rsidR="00932F33" w:rsidRPr="00B40DB0">
        <w:rPr>
          <w:rFonts w:ascii="Times New Roman" w:hAnsi="Times New Roman" w:cs="Times New Roman"/>
          <w:sz w:val="24"/>
          <w:szCs w:val="24"/>
          <w:lang w:val="en-GB"/>
        </w:rPr>
        <w:t>.</w:t>
      </w:r>
      <w:r w:rsidR="001212FB" w:rsidRPr="00B40DB0">
        <w:rPr>
          <w:rFonts w:ascii="Times New Roman" w:hAnsi="Times New Roman" w:cs="Times New Roman"/>
          <w:sz w:val="24"/>
          <w:szCs w:val="24"/>
          <w:lang w:val="en-GB"/>
        </w:rPr>
        <w:t xml:space="preserve"> </w:t>
      </w:r>
      <w:r w:rsidR="00E94B97" w:rsidRPr="00B40DB0">
        <w:rPr>
          <w:rFonts w:ascii="Times New Roman" w:hAnsi="Times New Roman" w:cs="Times New Roman"/>
          <w:sz w:val="24"/>
          <w:szCs w:val="24"/>
          <w:lang w:val="en-GB"/>
        </w:rPr>
        <w:t>Thus</w:t>
      </w:r>
      <w:r w:rsidR="001212FB" w:rsidRPr="00B40DB0">
        <w:rPr>
          <w:rFonts w:ascii="Times New Roman" w:hAnsi="Times New Roman" w:cs="Times New Roman"/>
          <w:sz w:val="24"/>
          <w:szCs w:val="24"/>
          <w:lang w:val="en-GB"/>
        </w:rPr>
        <w:t xml:space="preserve">, </w:t>
      </w:r>
      <w:r w:rsidR="001861C6" w:rsidRPr="00B40DB0">
        <w:rPr>
          <w:rFonts w:ascii="Times New Roman" w:hAnsi="Times New Roman" w:cs="Times New Roman"/>
          <w:sz w:val="24"/>
          <w:szCs w:val="24"/>
          <w:lang w:val="en-GB"/>
        </w:rPr>
        <w:t>biological</w:t>
      </w:r>
      <w:r w:rsidR="001212FB" w:rsidRPr="00B40DB0">
        <w:rPr>
          <w:rFonts w:ascii="Times New Roman" w:hAnsi="Times New Roman" w:cs="Times New Roman"/>
          <w:sz w:val="24"/>
          <w:szCs w:val="24"/>
          <w:lang w:val="en-GB"/>
        </w:rPr>
        <w:t xml:space="preserve"> signs of disease activity </w:t>
      </w:r>
      <w:r w:rsidR="00F040E5" w:rsidRPr="00B40DB0">
        <w:rPr>
          <w:rFonts w:ascii="Times New Roman" w:hAnsi="Times New Roman" w:cs="Times New Roman"/>
          <w:sz w:val="24"/>
          <w:szCs w:val="24"/>
          <w:lang w:val="en-GB"/>
        </w:rPr>
        <w:t xml:space="preserve">could </w:t>
      </w:r>
      <w:r w:rsidR="001212FB" w:rsidRPr="00B40DB0">
        <w:rPr>
          <w:rFonts w:ascii="Times New Roman" w:hAnsi="Times New Roman" w:cs="Times New Roman"/>
          <w:sz w:val="24"/>
          <w:szCs w:val="24"/>
          <w:lang w:val="en-GB"/>
        </w:rPr>
        <w:t xml:space="preserve">have </w:t>
      </w:r>
      <w:r w:rsidR="00F040E5" w:rsidRPr="00B40DB0">
        <w:rPr>
          <w:rFonts w:ascii="Times New Roman" w:hAnsi="Times New Roman" w:cs="Times New Roman"/>
          <w:sz w:val="24"/>
          <w:szCs w:val="24"/>
          <w:lang w:val="en-GB"/>
        </w:rPr>
        <w:t>a better</w:t>
      </w:r>
      <w:r w:rsidR="00E94B97" w:rsidRPr="00B40DB0">
        <w:rPr>
          <w:rFonts w:ascii="Times New Roman" w:hAnsi="Times New Roman" w:cs="Times New Roman"/>
          <w:sz w:val="24"/>
          <w:szCs w:val="24"/>
          <w:lang w:val="en-GB"/>
        </w:rPr>
        <w:t xml:space="preserve"> predictive value</w:t>
      </w:r>
      <w:r w:rsidR="001212FB" w:rsidRPr="00B40DB0">
        <w:rPr>
          <w:rFonts w:ascii="Times New Roman" w:hAnsi="Times New Roman" w:cs="Times New Roman"/>
          <w:sz w:val="24"/>
          <w:szCs w:val="24"/>
          <w:lang w:val="en-GB"/>
        </w:rPr>
        <w:t xml:space="preserve"> than </w:t>
      </w:r>
      <w:r w:rsidR="006D2DC3" w:rsidRPr="00B40DB0">
        <w:rPr>
          <w:rFonts w:ascii="Times New Roman" w:hAnsi="Times New Roman" w:cs="Times New Roman"/>
          <w:sz w:val="24"/>
          <w:szCs w:val="24"/>
          <w:lang w:val="en-GB"/>
        </w:rPr>
        <w:t>morphological criteria</w:t>
      </w:r>
      <w:r w:rsidR="001212FB" w:rsidRPr="00B40DB0">
        <w:rPr>
          <w:rFonts w:ascii="Times New Roman" w:hAnsi="Times New Roman" w:cs="Times New Roman"/>
          <w:sz w:val="24"/>
          <w:szCs w:val="24"/>
          <w:lang w:val="en-GB"/>
        </w:rPr>
        <w:t>.</w:t>
      </w:r>
    </w:p>
    <w:p w14:paraId="0ADBBD47" w14:textId="77777777" w:rsidR="00B40DB0" w:rsidRPr="00B40DB0" w:rsidRDefault="00B40DB0" w:rsidP="00B40DB0">
      <w:pPr>
        <w:spacing w:after="0" w:line="480" w:lineRule="auto"/>
        <w:ind w:firstLine="284"/>
        <w:jc w:val="both"/>
        <w:rPr>
          <w:rFonts w:ascii="Times New Roman" w:eastAsia="Times New Roman" w:hAnsi="Times New Roman" w:cs="Times New Roman"/>
          <w:color w:val="000000"/>
          <w:sz w:val="24"/>
          <w:szCs w:val="24"/>
          <w:lang w:val="en-GB"/>
        </w:rPr>
      </w:pPr>
    </w:p>
    <w:p w14:paraId="68FFFC31" w14:textId="29B210C1" w:rsidR="00414160" w:rsidRPr="005446D9" w:rsidRDefault="00C74D25" w:rsidP="005446D9">
      <w:pPr>
        <w:spacing w:after="0" w:line="480" w:lineRule="auto"/>
        <w:jc w:val="both"/>
        <w:rPr>
          <w:rFonts w:ascii="Times New Roman" w:eastAsia="Times New Roman" w:hAnsi="Times New Roman" w:cs="Times New Roman"/>
          <w:b/>
          <w:color w:val="000000"/>
          <w:sz w:val="24"/>
          <w:szCs w:val="24"/>
          <w:lang w:val="en-GB"/>
        </w:rPr>
      </w:pPr>
      <w:r w:rsidRPr="00C74D25">
        <w:rPr>
          <w:rFonts w:ascii="Times New Roman" w:hAnsi="Times New Roman" w:cs="Times New Roman"/>
          <w:b/>
          <w:sz w:val="24"/>
          <w:szCs w:val="24"/>
          <w:lang w:val="en-GB"/>
        </w:rPr>
        <w:lastRenderedPageBreak/>
        <w:t>3. Defining biological remission</w:t>
      </w:r>
      <w:r w:rsidR="00E74402">
        <w:rPr>
          <w:rFonts w:ascii="Times New Roman" w:hAnsi="Times New Roman" w:cs="Times New Roman"/>
          <w:b/>
          <w:sz w:val="24"/>
          <w:szCs w:val="24"/>
          <w:lang w:val="en-GB"/>
        </w:rPr>
        <w:t>: look</w:t>
      </w:r>
      <w:r w:rsidR="00A31C67">
        <w:rPr>
          <w:rFonts w:ascii="Times New Roman" w:hAnsi="Times New Roman" w:cs="Times New Roman"/>
          <w:b/>
          <w:sz w:val="24"/>
          <w:szCs w:val="24"/>
          <w:lang w:val="en-GB"/>
        </w:rPr>
        <w:t>ing</w:t>
      </w:r>
      <w:r w:rsidR="00E74402">
        <w:rPr>
          <w:rFonts w:ascii="Times New Roman" w:hAnsi="Times New Roman" w:cs="Times New Roman"/>
          <w:b/>
          <w:sz w:val="24"/>
          <w:szCs w:val="24"/>
          <w:lang w:val="en-GB"/>
        </w:rPr>
        <w:t xml:space="preserve"> beyond inflammation</w:t>
      </w:r>
    </w:p>
    <w:p w14:paraId="622C7FFD" w14:textId="5D4BB300" w:rsidR="00462998" w:rsidRPr="000920F9" w:rsidRDefault="00197597" w:rsidP="00B40DB0">
      <w:pPr>
        <w:spacing w:after="0" w:line="480" w:lineRule="auto"/>
        <w:ind w:firstLine="284"/>
        <w:jc w:val="both"/>
        <w:rPr>
          <w:rFonts w:ascii="Times New Roman" w:eastAsia="Times New Roman" w:hAnsi="Times New Roman" w:cs="Times New Roman"/>
          <w:strike/>
          <w:color w:val="000000"/>
          <w:sz w:val="24"/>
          <w:szCs w:val="24"/>
          <w:lang w:val="en-GB"/>
        </w:rPr>
      </w:pPr>
      <w:r>
        <w:rPr>
          <w:rFonts w:ascii="Times New Roman" w:hAnsi="Times New Roman" w:cs="Times New Roman"/>
          <w:sz w:val="24"/>
          <w:szCs w:val="24"/>
          <w:lang w:val="en-GB"/>
        </w:rPr>
        <w:t>B</w:t>
      </w:r>
      <w:r w:rsidR="00B83C50">
        <w:rPr>
          <w:rFonts w:ascii="Times New Roman" w:hAnsi="Times New Roman" w:cs="Times New Roman"/>
          <w:sz w:val="24"/>
          <w:szCs w:val="24"/>
          <w:lang w:val="en-GB"/>
        </w:rPr>
        <w:t xml:space="preserve">iological remission is </w:t>
      </w:r>
      <w:r>
        <w:rPr>
          <w:rFonts w:ascii="Times New Roman" w:hAnsi="Times New Roman" w:cs="Times New Roman"/>
          <w:sz w:val="24"/>
          <w:szCs w:val="24"/>
          <w:lang w:val="en-GB"/>
        </w:rPr>
        <w:t xml:space="preserve">regularly </w:t>
      </w:r>
      <w:r w:rsidR="00B83C50">
        <w:rPr>
          <w:rFonts w:ascii="Times New Roman" w:hAnsi="Times New Roman" w:cs="Times New Roman"/>
          <w:sz w:val="24"/>
          <w:szCs w:val="24"/>
          <w:lang w:val="en-GB"/>
        </w:rPr>
        <w:t>defined by the</w:t>
      </w:r>
      <w:r w:rsidR="005446D9">
        <w:rPr>
          <w:rFonts w:ascii="Times New Roman" w:hAnsi="Times New Roman" w:cs="Times New Roman"/>
          <w:sz w:val="24"/>
          <w:szCs w:val="24"/>
          <w:lang w:val="en-GB"/>
        </w:rPr>
        <w:t xml:space="preserve"> level</w:t>
      </w:r>
      <w:r w:rsidR="00B83C50">
        <w:rPr>
          <w:rFonts w:ascii="Times New Roman" w:hAnsi="Times New Roman" w:cs="Times New Roman"/>
          <w:sz w:val="24"/>
          <w:szCs w:val="24"/>
          <w:lang w:val="en-GB"/>
        </w:rPr>
        <w:t xml:space="preserve"> </w:t>
      </w:r>
      <w:r w:rsidR="005446D9">
        <w:rPr>
          <w:rFonts w:ascii="Times New Roman" w:hAnsi="Times New Roman" w:cs="Times New Roman"/>
          <w:sz w:val="24"/>
          <w:szCs w:val="24"/>
          <w:lang w:val="en-GB"/>
        </w:rPr>
        <w:t>of CRP, combined or not with the level of faecal calprotectin</w:t>
      </w:r>
      <w:r w:rsidR="005446D9">
        <w:rPr>
          <w:rFonts w:ascii="Times New Roman" w:hAnsi="Times New Roman" w:cs="Times New Roman"/>
          <w:sz w:val="24"/>
          <w:szCs w:val="24"/>
          <w:lang w:val="en-GB"/>
        </w:rPr>
        <w:fldChar w:fldCharType="begin" w:fldLock="1"/>
      </w:r>
      <w:r w:rsidR="005446D9">
        <w:rPr>
          <w:rFonts w:ascii="Times New Roman" w:hAnsi="Times New Roman" w:cs="Times New Roman"/>
          <w:sz w:val="24"/>
          <w:szCs w:val="24"/>
          <w:lang w:val="en-GB"/>
        </w:rPr>
        <w:instrText>ADDIN CSL_CITATION {"citationItems":[{"id":"ITEM-1","itemData":{"DOI":"10.1111/apt.14421","ISSN":"1365-2036 (Electronic)","PMID":"29159893","abstract":"BACKGROUND: Therapeutic drug monitoring may optimize therapy for Crohn's disease  (CD). AIM: To use a population pharmacokinetic model that accounts for the time-varying nature of covariates to simulate certolizumab pegol (CZP) concentrations to evaluate the exposure-response relationship for CZP in Crohn's disease. METHODS: Adults (N = 2157) with Crohn's disease were treated with CZP in nine clinical trials. Simulated CZP concentrations were compared to outcomes at weeks 6 and 26, including Crohn's disease activity index (CDAI) response (decrease from baseline ≥ 100 points), remission (CDAI ≤ 150), C-reactive protein (CRP) ≤ 5 mg/L, faecal calprotectin (FC) ≤ 250 μg/g, and a composite endpoint of CDAI ≤ 150 and FC ≤ 250 μg/g. Multivariable analyses identified covariates associated with outcomes and receiver operating characteristic analyses determined optimal CZP concentrations. RESULTS: CZP concentrations at weeks 2, 4 and 6 were higher in patients with clinical response, remission, CRP ≤ 5 mg/L or FC ≤ 250 μg/g at week 6 than without. In multivariable analyses, higher CZP concentrations at week 6 were associated with the composite outcome at weeks 6 and 26 (P &lt; .001). Although the exposure-response relationship varied among patients, approximate CZP concentrations of at least 36.1 μg/mL (positive predictive value [PPV] 22.8% and negative predictive value [NPV] 92.7%) and at least 14.8 μg/mL (PPV 28.0% and NPV 90.4%) at weeks 6 and 12 were associated with weeks 6 and 26 outcomes. CONCLUSIONS: An exposure-response relationship was apparent for CZP in Crohn's disease and achieving higher CZP concentrations may increase the likelihood of attaining efficacy outcomes, but this remains to be evaluated prospectively.","author":[{"dropping-particle":"","family":"Casteele","given":"N","non-dropping-particle":"Vande","parse-names":false,"suffix":""},{"dropping-particle":"","family":"Feagan","given":"B G","non-dropping-particle":"","parse-names":false,"suffix":""},{"dropping-particle":"","family":"Vermeire","given":"S","non-dropping-particle":"","parse-names":false,"suffix":""},{"dropping-particle":"","family":"Yassine","given":"M","non-dropping-particle":"","parse-names":false,"suffix":""},{"dropping-particle":"","family":"Coarse","given":"J","non-dropping-particle":"","parse-names":false,"suffix":""},{"dropping-particle":"","family":"Kosutic","given":"G","non-dropping-particle":"","parse-names":false,"suffix":""},{"dropping-particle":"","family":"Sandborn","given":"W J","non-dropping-particle":"","parse-names":false,"suffix":""}],"container-title":"Alimentary pharmacology &amp; therapeutics","id":"ITEM-1","issue":"2","issued":{"date-parts":[["2018","1"]]},"language":"eng","page":"229-237","publisher-place":"England","title":"Exposure-response relationship of certolizumab pegol induction and maintenance  therapy in patients with Crohn's disease.","type":"article-journal","volume":"47"},"uris":["http://www.mendeley.com/documents/?uuid=79dac5df-60f5-40ba-81d9-9dd66df80503"]},{"id":"ITEM-2","itemData":{"DOI":"10.1177/17562848231153560","ISSN":"1756-283X (Print)","PMID":"36777363","abstract":"BACKGROUND: Clinical trials have demonstrated the efficacy and safety of  ustekinumab in Crohn's disease (CD). However, more data are necessary on the effectiveness of ustekinumab in bio-naïve patients in real-life studies. OBJECTIVES: The aim of our study was to evaluate the effectiveness and safety of ustekinumab in patients with CD refractory or intolerant to conventional therapy and without previous exposure to biological drugs. DESIGN: We performed a nationwide, observational, retrospective, multicentre study including patients with CD, in which ustekinumab was used as the first biological drug. METHODS: The corticosteroid-free clinical and biological response and remission were analysed at weeks 16, 24, 52 and 72. Clinical remission was defined as Harvey-Bradshaw index </w:instrText>
      </w:r>
      <w:r w:rsidR="005446D9">
        <w:rPr>
          <w:rFonts w:ascii="Cambria Math" w:hAnsi="Cambria Math" w:cs="Cambria Math"/>
          <w:sz w:val="24"/>
          <w:szCs w:val="24"/>
          <w:lang w:val="en-GB"/>
        </w:rPr>
        <w:instrText>⩽</w:instrText>
      </w:r>
      <w:r w:rsidR="005446D9">
        <w:rPr>
          <w:rFonts w:ascii="Times New Roman" w:hAnsi="Times New Roman" w:cs="Times New Roman"/>
          <w:sz w:val="24"/>
          <w:szCs w:val="24"/>
          <w:lang w:val="en-GB"/>
        </w:rPr>
        <w:instrText> 4 and biological remission as a faecal calprotectin (FC) &lt;250 mg/g and C-reactive protein (CRP) &lt;5 mg/L. Moreover, the persistence of the treatment and any adverse events were assessed. RESULTS: In all, 84 patients were included in the study, males and females were equally distributed, with a median age of 63 years [interquartile range (IQR): 51-75] and a median disease duration of 6.8 years [IQR: 3.6-17.0]. The majority (86.9%) of patients were treated with ustekinumab as monotherapy, without concomitant immunosuppressive medication. The proportion of patients in corticosteroid-free clinical remission or response at weeks 16, 24, 52 and 72 was 93.3% (56/60), 86.8% (46/53), 82.2% (37/45) and 71.4% (30/42), respectively. CRP returned to normal values in 47.6%, 43.2%, 50% and 52.4% of patients at weeks 16, 24, 52 and 72, respectively. Similarly, FC was normalized in 45.5%, 45.5%, 48.6% and 50% of patients at weeks 16, 24, 52 and 72, respectively. The cumulative probability of remaining on ustekinumab treatment was 84.8% (95% confidence interval: 73.3-91.6) after 72 weeks. Ustekinumab was discontinued in 10 patients (11.9%) within 72 weeks of follow-up. Reasons for discontinuing treatment were lack of response (n = 4), adverse events (n = 4) and death (n = 2). There were no discontinuations because of stable remission. CONCLUSIONS: Ustekinumab was effective and safe in Spanish bio-naïve CD patients, showing a quicker and more durable response than obtained in patients with previous biological treatment. In this cohort of bio-naïve patients starting on ustekinumab, the average age was high. PLAIN LANGUAGE SUMMARY: Effectiveness and safety of ustekinumab in Crohn's disease patients not…","author":[{"dropping-particle":"","family":"Teresa","given":"Valdés Delgado","non-dropping-particle":"","parse-names":false,"suffix":""},{"dropping-particle":"","family":"Rául","given":"Olmedo Martín","non-dropping-particle":"","parse-names":false,"suffix":""},{"dropping-particle":"","family":"Marisa","given":"Iborra","non-dropping-particle":"","parse-names":false,"suffix":""},{"dropping-particle":"","family":"Claudia","given":"Herrera de Guisé","non-dropping-particle":"","parse-names":false,"suffix":""},{"dropping-particle":"","family":"Esteban","given":"Fuentes-Valenzuela","non-dropping-particle":"","parse-names":false,"suffix":""},{"dropping-particle":"","family":"Luigi","given":"Melcarne","non-dropping-particle":"","parse-names":false,"suffix":""},{"dropping-particle":"","family":"Mª Mar","given":"Martín-Rodríguez","non-dropping-particle":"","parse-names":false,"suffix":""},{"dropping-particle":"","family":"Lilyan","given":"Kolle Casso","non-dropping-particle":"","parse-names":false,"suffix":""},{"dropping-particle":"","family":"Luisa","given":"De Castro Parga","non-dropping-particle":"","parse-names":false,"suffix":""},{"dropping-particle":"","family":"Ángel","given":"Ponferrada Díaz","non-dropping-particle":"","parse-names":false,"suffix":""},{"dropping-particle":"","family":"Raquel","given":"Vicente Lidón","non-dropping-particle":"","parse-names":false,"suffix":""},{"dropping-particle":"","family":"Noemí","given":"Manceñido Marcos","non-dropping-particle":"","parse-names":false,"suffix":""},{"dropping-particle":"","family":"Benito","given":"Velayos Jiménez","non-dropping-particle":"","parse-names":false,"suffix":""},{"dropping-particle":"","family":"Marta","given":"Lázaro Sáez","non-dropping-particle":"","parse-names":false,"suffix":""},{"dropping-particle":"","family":"Beatriz","given":"López Cauce","non-dropping-particle":"","parse-names":false,"suffix":""},{"dropping-particle":"","family":"Francisco","given":"Mesonero Gismero","non-dropping-particle":"","parse-names":false,"suffix":""},{"dropping-particle":"","family":"Pau","given":"Gilabert Álvarez","non-dropping-particle":"","parse-names":false,"suffix":""},{"dropping-particle":"","family":"Federico","given":"Argüelles-Arias","non-dropping-particle":"","parse-names":false,"suffix":""}],"container-title":"Therapeutic advances in gastroenterology","id":"ITEM-2","issued":{"date-parts":[["2023"]]},"language":"eng","page":"17562848231153560","publisher-place":"England","title":"Effectiveness and safety of ustekinumab in bio-naïve Crohn's disease patients: a  multicentre observational retrospective study.","type":"article-journal","volume":"16"},"uris":["http://www.mendeley.com/documents/?uuid=43011ea3-b6f3-4130-be6d-c20eb5cfe08a"]},{"id":"ITEM-3","itemData":{"DOI":"10.1111/apt.13736","ISSN":"1365-2036 (Electronic)","PMID":"27417569","abstract":"BACKGROUND: Personalised medicine, including biomarkers for treatment selection,  may provide new algorithms for more effective treatment of patients. Genetic variation may impact drug response and genetic markers could help selecting the best treatment strategy for the individual patient. AIM: To identify polymorphisms and candidate genes from the literature that are associated with anti-tumour necrosis factor (TNF) treatment response in patients with inflammatory bowel diseases (IBD), Crohn's disease (CD) and ulcerative colitis. METHODS: We performed a PubMed literature search and retrieved studies reporting original data on association between polymorphisms and anti-TNF treatment response and conducted a meta-analysis. RESULTS: A functional polymorphism in FCGR3A was significantly associated with anti-TNF treatment response among CD patients using biological response criterion (decrease in C-reactive protein, levels). Meta-analyses showed that polymorphisms in TLR2 (rs3804099, OR (95% CI) = 2.17 (1.35-3.47)], rs11938228 [OR = 0.64 (0.43-0.96)], TLR4 (rs5030728) [OR = 3.18 (1.63-6.21)], TLR9 (rs352139) [OR = 0.43 (0.21-0.88)], TNFRSF1A (rs4149570) [OR = 2.06 (1.02-4.17)], IFNG (rs2430561) [OR = 1.66 (1.05-2.63)], IL6 (rs10499563) [OR = 1.65 (1.04-2.63)] and IL1B (rs4848306) [OR = 1.88 (1.05-3.35)] were significantly associated with response among IBD patients using clinical response criteria. A positive predictive value of 0.96 was achieved by combining five genetic markers in an explorative analysis. CONCLUSIONS: There are no genetic markers currently available which are adequately predictive of anti-TNF response for use in the clinic. Genetic markers bear the advantage that they do not change over time. Therefore, hypothesis-free approaches, testing a large number of polymorphisms in large, well-characterised cohorts, are required in order to identify genetic profiles with larger effect sizes, which could be employed as biomarkers for treatment selection in clinical settings.","author":[{"dropping-particle":"","family":"Bek","given":"S","non-dropping-particle":"","parse-names":false,"suffix":""},{"dropping-particle":"V","family":"Nielsen","given":"J","non-dropping-particle":"","parse-names":false,"suffix":""},{"dropping-particle":"","family":"Bojesen","given":"A B","non-dropping-particle":"","parse-names":false,"suffix":""},{"dropping-particle":"","family":"Franke","given":"A","non-dropping-particle":"","parse-names":false,"suffix":""},{"dropping-particle":"","family":"Bank","given":"S","non-dropping-particle":"","parse-names":false,"suffix":""},{"dropping-particle":"","family":"Vogel","given":"U","non-dropping-particle":"","parse-names":false,"suffix":""},{"dropping-particle":"","family":"Andersen","given":"V","non-dropping-particle":"","parse-names":false,"suffix":""}],"container-title":"Alimentary pharmacology &amp; therapeutics","id":"ITEM-3","issue":"6","issued":{"date-parts":[["2016","9"]]},"language":"eng","page":"554-567","publisher-place":"England","title":"Systematic review: genetic biomarkers associated with anti-TNF treatment response  in inflammatory bowel diseases.","type":"article-journal","volume":"44"},"uris":["http://www.mendeley.com/documents/?uuid=36e9fc1c-38e0-407e-b358-46948fce7cb1"]}],"mendeley":{"formattedCitation":"&lt;sup&gt;20–22&lt;/sup&gt;","plainTextFormattedCitation":"20–22"},"properties":{"noteIndex":0},"schema":"https://github.com/citation-style-language/schema/raw/master/csl-citation.json"}</w:instrText>
      </w:r>
      <w:r w:rsidR="005446D9">
        <w:rPr>
          <w:rFonts w:ascii="Times New Roman" w:hAnsi="Times New Roman" w:cs="Times New Roman"/>
          <w:sz w:val="24"/>
          <w:szCs w:val="24"/>
          <w:lang w:val="en-GB"/>
        </w:rPr>
        <w:fldChar w:fldCharType="separate"/>
      </w:r>
      <w:r w:rsidR="005446D9" w:rsidRPr="005446D9">
        <w:rPr>
          <w:rFonts w:ascii="Times New Roman" w:hAnsi="Times New Roman" w:cs="Times New Roman"/>
          <w:noProof/>
          <w:sz w:val="24"/>
          <w:szCs w:val="24"/>
          <w:vertAlign w:val="superscript"/>
          <w:lang w:val="en-GB"/>
        </w:rPr>
        <w:t>20–22</w:t>
      </w:r>
      <w:r w:rsidR="005446D9">
        <w:rPr>
          <w:rFonts w:ascii="Times New Roman" w:hAnsi="Times New Roman" w:cs="Times New Roman"/>
          <w:sz w:val="24"/>
          <w:szCs w:val="24"/>
          <w:lang w:val="en-GB"/>
        </w:rPr>
        <w:fldChar w:fldCharType="end"/>
      </w:r>
      <w:r w:rsidR="005446D9">
        <w:rPr>
          <w:rFonts w:ascii="Times New Roman" w:hAnsi="Times New Roman" w:cs="Times New Roman"/>
          <w:sz w:val="24"/>
          <w:szCs w:val="24"/>
          <w:lang w:val="en-GB"/>
        </w:rPr>
        <w:t xml:space="preserve">. </w:t>
      </w:r>
      <w:r w:rsidR="00D43176">
        <w:rPr>
          <w:rFonts w:ascii="Times New Roman" w:hAnsi="Times New Roman" w:cs="Times New Roman"/>
          <w:sz w:val="24"/>
          <w:szCs w:val="24"/>
          <w:lang w:val="en-GB"/>
        </w:rPr>
        <w:t xml:space="preserve">However, these inflammatory markers </w:t>
      </w:r>
      <w:r w:rsidR="000B1AED">
        <w:rPr>
          <w:rFonts w:ascii="Times New Roman" w:hAnsi="Times New Roman" w:cs="Times New Roman"/>
          <w:sz w:val="24"/>
          <w:szCs w:val="24"/>
          <w:lang w:val="en-GB"/>
        </w:rPr>
        <w:t>only provide</w:t>
      </w:r>
      <w:r w:rsidR="0026125D" w:rsidRPr="00C54D13">
        <w:rPr>
          <w:rFonts w:ascii="Times New Roman" w:hAnsi="Times New Roman" w:cs="Times New Roman"/>
          <w:sz w:val="24"/>
          <w:szCs w:val="24"/>
          <w:lang w:val="en-GB"/>
        </w:rPr>
        <w:t xml:space="preserve"> a </w:t>
      </w:r>
      <w:r w:rsidR="0026125D" w:rsidRPr="00C54D13">
        <w:rPr>
          <w:rFonts w:ascii="Times New Roman" w:eastAsia="Times New Roman" w:hAnsi="Times New Roman" w:cs="Times New Roman"/>
          <w:color w:val="000000"/>
          <w:sz w:val="24"/>
          <w:szCs w:val="24"/>
          <w:lang w:val="en-GB"/>
        </w:rPr>
        <w:t>restricted view of the complex and various biological dysfunctions implicated in CD (</w:t>
      </w:r>
      <w:proofErr w:type="spellStart"/>
      <w:r w:rsidR="0026125D" w:rsidRPr="00C54D13">
        <w:rPr>
          <w:rFonts w:ascii="Times New Roman" w:eastAsia="Times New Roman" w:hAnsi="Times New Roman" w:cs="Times New Roman"/>
          <w:color w:val="000000"/>
          <w:sz w:val="24"/>
          <w:szCs w:val="24"/>
          <w:lang w:val="en-GB"/>
        </w:rPr>
        <w:t>eg</w:t>
      </w:r>
      <w:proofErr w:type="spellEnd"/>
      <w:r w:rsidR="0026125D" w:rsidRPr="00C54D13">
        <w:rPr>
          <w:rFonts w:ascii="Times New Roman" w:eastAsia="Times New Roman" w:hAnsi="Times New Roman" w:cs="Times New Roman"/>
          <w:color w:val="000000"/>
          <w:sz w:val="24"/>
          <w:szCs w:val="24"/>
          <w:lang w:val="en-GB"/>
        </w:rPr>
        <w:t xml:space="preserve">, genetics, immune system, intestinal barrier, cellular </w:t>
      </w:r>
      <w:r w:rsidR="00731809" w:rsidRPr="00C54D13">
        <w:rPr>
          <w:rFonts w:ascii="Times New Roman" w:eastAsia="Times New Roman" w:hAnsi="Times New Roman" w:cs="Times New Roman"/>
          <w:color w:val="000000"/>
          <w:sz w:val="24"/>
          <w:szCs w:val="24"/>
          <w:lang w:val="en-GB"/>
        </w:rPr>
        <w:t>homeostasis</w:t>
      </w:r>
      <w:r w:rsidR="0026125D" w:rsidRPr="00C54D13">
        <w:rPr>
          <w:rFonts w:ascii="Times New Roman" w:eastAsia="Times New Roman" w:hAnsi="Times New Roman" w:cs="Times New Roman"/>
          <w:color w:val="000000"/>
          <w:sz w:val="24"/>
          <w:szCs w:val="24"/>
          <w:lang w:val="en-GB"/>
        </w:rPr>
        <w:t>, microbiota)</w:t>
      </w:r>
      <w:r w:rsidR="004F3A9F" w:rsidRPr="00C54D13">
        <w:rPr>
          <w:rFonts w:ascii="Times New Roman" w:eastAsia="Times New Roman" w:hAnsi="Times New Roman" w:cs="Times New Roman"/>
          <w:color w:val="000000"/>
          <w:sz w:val="24"/>
          <w:szCs w:val="24"/>
          <w:lang w:val="en-GB"/>
        </w:rPr>
        <w:fldChar w:fldCharType="begin" w:fldLock="1"/>
      </w:r>
      <w:r w:rsidR="005446D9">
        <w:rPr>
          <w:rFonts w:ascii="Times New Roman" w:eastAsia="Times New Roman" w:hAnsi="Times New Roman" w:cs="Times New Roman"/>
          <w:color w:val="000000"/>
          <w:sz w:val="24"/>
          <w:szCs w:val="24"/>
          <w:lang w:val="en-GB"/>
        </w:rPr>
        <w:instrText>ADDIN CSL_CITATION {"citationItems":[{"id":"ITEM-1","itemData":{"DOI":"10.1016/S0140-6736(12)60026-9","ISSN":"1474-547X (Electronic)","PMID":"22914295","abstract":"Crohn's disease is a relapsing systemic inflammatory disease, mainly affecting the  gastrointestinal tract with extraintestinal manifestations and associated immune disorders. Genome wide association studies identified susceptibility loci that--triggered by environmental factors--result in a disturbed innate (ie, disturbed intestinal barrier, Paneth cell dysfunction, endoplasmic reticulum stress, defective unfolded protein response and autophagy, impaired recognition of microbes by pattern recognition receptors, such as nucleotide binding domain and Toll like receptors on dendritic cells and macrophages) and adaptive (ie, imbalance of effector and regulatory T cells and cytokines, migration and retention of leukocytes) immune response towards a diminished diversity of commensal microbiota. We discuss the epidemiology, immunobiology, amd natural history of Crohn's disease; describe new treatment goals and risk stratification of patients; and provide an evidence based rational approach to diagnosis (ie, work-up algorithm, new imaging methods [ie, enhanced endoscopy, ultrasound, MRI and CT] and biomarkers), management, evolving therapeutic targets (ie, integrins, chemokine receptors, cell-based and stem-cell-based therapies), prevention, and surveillance.","author":[{"dropping-particle":"","family":"Baumgart","given":"Daniel C","non-dropping-particle":"","parse-names":false,"suffix":""},{"dropping-particle":"","family":"Sandborn","given":"William J","non-dropping-particle":"","parse-names":false,"suffix":""}],"container-title":"Lancet (London, England)","id":"ITEM-1","issue":"9853","issued":{"date-parts":[["2012","11"]]},"language":"eng","page":"1590-1605","publisher-place":"England","title":"Crohn's disease.","type":"article-journal","volume":"380"},"uris":["http://www.mendeley.com/documents/?uuid=ca9b5831-209a-40f0-bc37-6fa34be1ec76"]}],"mendeley":{"formattedCitation":"&lt;sup&gt;23&lt;/sup&gt;","plainTextFormattedCitation":"23","previouslyFormattedCitation":"&lt;sup&gt;20&lt;/sup&gt;"},"properties":{"noteIndex":0},"schema":"https://github.com/citation-style-language/schema/raw/master/csl-citation.json"}</w:instrText>
      </w:r>
      <w:r w:rsidR="004F3A9F" w:rsidRPr="00C54D13">
        <w:rPr>
          <w:rFonts w:ascii="Times New Roman" w:eastAsia="Times New Roman" w:hAnsi="Times New Roman" w:cs="Times New Roman"/>
          <w:color w:val="000000"/>
          <w:sz w:val="24"/>
          <w:szCs w:val="24"/>
          <w:lang w:val="en-GB"/>
        </w:rPr>
        <w:fldChar w:fldCharType="separate"/>
      </w:r>
      <w:r w:rsidR="005446D9" w:rsidRPr="005446D9">
        <w:rPr>
          <w:rFonts w:ascii="Times New Roman" w:eastAsia="Times New Roman" w:hAnsi="Times New Roman" w:cs="Times New Roman"/>
          <w:noProof/>
          <w:color w:val="000000"/>
          <w:sz w:val="24"/>
          <w:szCs w:val="24"/>
          <w:vertAlign w:val="superscript"/>
          <w:lang w:val="en-GB"/>
        </w:rPr>
        <w:t>23</w:t>
      </w:r>
      <w:r w:rsidR="004F3A9F" w:rsidRPr="00C54D13">
        <w:rPr>
          <w:rFonts w:ascii="Times New Roman" w:eastAsia="Times New Roman" w:hAnsi="Times New Roman" w:cs="Times New Roman"/>
          <w:color w:val="000000"/>
          <w:sz w:val="24"/>
          <w:szCs w:val="24"/>
          <w:lang w:val="en-GB"/>
        </w:rPr>
        <w:fldChar w:fldCharType="end"/>
      </w:r>
      <w:r w:rsidR="0026125D" w:rsidRPr="00C54D13">
        <w:rPr>
          <w:rFonts w:ascii="Times New Roman" w:eastAsia="Times New Roman" w:hAnsi="Times New Roman" w:cs="Times New Roman"/>
          <w:color w:val="000000"/>
          <w:sz w:val="24"/>
          <w:szCs w:val="24"/>
          <w:lang w:val="en-GB"/>
        </w:rPr>
        <w:t xml:space="preserve">. Clearly, </w:t>
      </w:r>
      <w:r w:rsidR="0026125D" w:rsidRPr="00C54D13">
        <w:rPr>
          <w:rFonts w:ascii="Times New Roman" w:hAnsi="Times New Roman" w:cs="Times New Roman"/>
          <w:sz w:val="24"/>
          <w:szCs w:val="24"/>
          <w:lang w:val="en-GB"/>
        </w:rPr>
        <w:t>looking beyond inflamma</w:t>
      </w:r>
      <w:r w:rsidR="00620230">
        <w:rPr>
          <w:rFonts w:ascii="Times New Roman" w:hAnsi="Times New Roman" w:cs="Times New Roman"/>
          <w:sz w:val="24"/>
          <w:szCs w:val="24"/>
          <w:lang w:val="en-GB"/>
        </w:rPr>
        <w:t>tion is needed to define</w:t>
      </w:r>
      <w:r w:rsidR="00DF22AD">
        <w:rPr>
          <w:rFonts w:ascii="Times New Roman" w:hAnsi="Times New Roman" w:cs="Times New Roman"/>
          <w:sz w:val="24"/>
          <w:szCs w:val="24"/>
          <w:lang w:val="en-GB"/>
        </w:rPr>
        <w:t xml:space="preserve"> biological</w:t>
      </w:r>
      <w:r w:rsidR="0026125D" w:rsidRPr="00C54D13">
        <w:rPr>
          <w:rFonts w:ascii="Times New Roman" w:hAnsi="Times New Roman" w:cs="Times New Roman"/>
          <w:sz w:val="24"/>
          <w:szCs w:val="24"/>
          <w:lang w:val="en-GB"/>
        </w:rPr>
        <w:t xml:space="preserve"> remission. </w:t>
      </w:r>
      <w:r w:rsidR="00CE1B65" w:rsidRPr="00C54D13">
        <w:rPr>
          <w:rFonts w:ascii="Times New Roman" w:hAnsi="Times New Roman" w:cs="Times New Roman"/>
          <w:sz w:val="24"/>
          <w:szCs w:val="24"/>
          <w:lang w:val="en-GB"/>
        </w:rPr>
        <w:t>W</w:t>
      </w:r>
      <w:r w:rsidR="0026125D" w:rsidRPr="00C54D13">
        <w:rPr>
          <w:rFonts w:ascii="Times New Roman" w:eastAsia="Times New Roman" w:hAnsi="Times New Roman" w:cs="Times New Roman"/>
          <w:color w:val="000000"/>
          <w:sz w:val="24"/>
          <w:szCs w:val="24"/>
          <w:lang w:val="en-GB"/>
        </w:rPr>
        <w:t xml:space="preserve">e recently demonstrated that this argument </w:t>
      </w:r>
      <w:r w:rsidR="00CF3D01" w:rsidRPr="00C54D13">
        <w:rPr>
          <w:rFonts w:ascii="Times New Roman" w:eastAsia="Times New Roman" w:hAnsi="Times New Roman" w:cs="Times New Roman"/>
          <w:color w:val="000000"/>
          <w:sz w:val="24"/>
          <w:szCs w:val="24"/>
          <w:lang w:val="en-GB"/>
        </w:rPr>
        <w:t>is</w:t>
      </w:r>
      <w:r w:rsidR="0026125D" w:rsidRPr="00C54D13">
        <w:rPr>
          <w:rFonts w:ascii="Times New Roman" w:eastAsia="Times New Roman" w:hAnsi="Times New Roman" w:cs="Times New Roman"/>
          <w:color w:val="000000"/>
          <w:sz w:val="24"/>
          <w:szCs w:val="24"/>
          <w:lang w:val="en-GB"/>
        </w:rPr>
        <w:t xml:space="preserve"> not only theoretical. Indeed, in CD patients in clinical remission and stopping </w:t>
      </w:r>
      <w:r w:rsidR="00B1544F">
        <w:rPr>
          <w:rFonts w:ascii="Times New Roman" w:eastAsia="Times New Roman" w:hAnsi="Times New Roman" w:cs="Times New Roman"/>
          <w:color w:val="000000"/>
          <w:sz w:val="24"/>
          <w:szCs w:val="24"/>
          <w:lang w:val="en-GB"/>
        </w:rPr>
        <w:t>infliximab</w:t>
      </w:r>
      <w:r w:rsidR="0026125D" w:rsidRPr="00C54D13">
        <w:rPr>
          <w:rFonts w:ascii="Times New Roman" w:eastAsia="Times New Roman" w:hAnsi="Times New Roman" w:cs="Times New Roman"/>
          <w:color w:val="000000"/>
          <w:sz w:val="24"/>
          <w:szCs w:val="24"/>
          <w:lang w:val="en-GB"/>
        </w:rPr>
        <w:t xml:space="preserve"> (</w:t>
      </w:r>
      <w:r w:rsidR="00CE1B65" w:rsidRPr="00C54D13">
        <w:rPr>
          <w:rFonts w:ascii="Times New Roman" w:eastAsia="Times New Roman" w:hAnsi="Times New Roman" w:cs="Times New Roman"/>
          <w:color w:val="000000"/>
          <w:sz w:val="24"/>
          <w:szCs w:val="24"/>
          <w:lang w:val="en-GB"/>
        </w:rPr>
        <w:t>STORI cohort</w:t>
      </w:r>
      <w:r w:rsidR="0026125D" w:rsidRPr="00C54D13">
        <w:rPr>
          <w:rFonts w:ascii="Times New Roman" w:eastAsia="Times New Roman" w:hAnsi="Times New Roman" w:cs="Times New Roman"/>
          <w:color w:val="000000"/>
          <w:sz w:val="24"/>
          <w:szCs w:val="24"/>
          <w:lang w:val="en-GB"/>
        </w:rPr>
        <w:t>)</w:t>
      </w:r>
      <w:r w:rsidR="00B31390" w:rsidRPr="00C54D13">
        <w:rPr>
          <w:rFonts w:ascii="Times New Roman" w:eastAsia="Times New Roman" w:hAnsi="Times New Roman" w:cs="Times New Roman"/>
          <w:color w:val="000000"/>
          <w:sz w:val="24"/>
          <w:szCs w:val="24"/>
          <w:lang w:val="en-GB"/>
        </w:rPr>
        <w:fldChar w:fldCharType="begin" w:fldLock="1"/>
      </w:r>
      <w:r w:rsidR="005446D9">
        <w:rPr>
          <w:rFonts w:ascii="Times New Roman" w:eastAsia="Times New Roman" w:hAnsi="Times New Roman" w:cs="Times New Roman"/>
          <w:color w:val="000000"/>
          <w:sz w:val="24"/>
          <w:szCs w:val="24"/>
          <w:lang w:val="en-GB"/>
        </w:rPr>
        <w:instrText>ADDIN CSL_CITATION {"citationItems":[{"id":"ITEM-1","itemData":{"DOI":"10.1053/J.GASTRO.2011.09.034","ISSN":"0016-5085","abstract":"BACKGROUND &amp; AIMS\nIt is important to determine whether infliximab therapy can be safely interrupted in patients with Crohn's disease who have undergone a period of prolonged remission. We assessed the risk of relapse after infliximab therapy was discontinued in patients on combined maintenance therapy with antimetabolites and identified factors associated with relapse. \n\nMETHODS\nWe performed a prospective study of 115 patients with Crohn's disease who were treated for at least 1 year with scheduled infliximab and an antimetabolite and had been in corticosteroid-free remission for at least 6 months. Infliximab was stopped, and patients were followed up for at least 1 year. We associated demographic, clinical, and biologic factors with time to relapse using a Cox model. \n\nRESULTS\nAfter a median follow-up period of 28 months, 52 of the 115 patients experienced a relapse; the 1-year relapse rate was 43.9% ± 5.0%. Based on multivariable analysis, risk factors for relapse included male sex, the absence of surgical resection, leukocyte counts &gt;6.0 × 109/L, and levels of hemoglobin ≤145 g/L, C-reactive protein ≥5.0 mg/L, and fecal calprotectin ≥300 μg/g. Patients with no more than 2 of these risk factors (approximately 29% of the study population) had a 15% risk of relapse within 1 year. Re-treatment with infliximab was effective and well tolerated in 88% of patients who experienced a relapse. \n\nCONCLUSIONS\nApproximately 50% of patients with Crohn's disease who were treated for at least 1 year with infliximab and an antimetabolite agent experienced a relapse within 1 year after discontinuation of infliximab. However, patients with a low risk of relapse can be identified using a combination of clinical and biologic markers.","author":[{"dropping-particle":"","family":"Louis","given":"Edouard","non-dropping-particle":"","parse-names":false,"suffix":""},{"dropping-particle":"","family":"Mary","given":"Jean–Yves","non-dropping-particle":"","parse-names":false,"suffix":""},{"dropping-particle":"","family":"Vernier–Massouille","given":"Gwenola","non-dropping-particle":"","parse-names":false,"suffix":""},{"dropping-particle":"","family":"Grimaud","given":"Jean–Charles","non-dropping-particle":"","parse-names":false,"suffix":""},{"dropping-particle":"","family":"Bouhnik","given":"Yoram","non-dropping-particle":"","parse-names":false,"suffix":""},{"dropping-particle":"","family":"Laharie","given":"David","non-dropping-particle":"","parse-names":false,"suffix":""},{"dropping-particle":"","family":"Dupas","given":"Jean–Louis","non-dropping-particle":"","parse-names":false,"suffix":""},{"dropping-particle":"","family":"Pillant","given":"Hélène","non-dropping-particle":"","parse-names":false,"suffix":""},{"dropping-particle":"","family":"Picon","given":"Laurence","non-dropping-particle":"","parse-names":false,"suffix":""},{"dropping-particle":"","family":"Veyrac","given":"Michel","non-dropping-particle":"","parse-names":false,"suffix":""},{"dropping-particle":"","family":"Flamant","given":"Mathurin","non-dropping-particle":"","parse-names":false,"suffix":""},{"dropping-particle":"","family":"Savoye","given":"Guillaume","non-dropping-particle":"","parse-names":false,"suffix":""},{"dropping-particle":"","family":"Jian","given":"Raymond","non-dropping-particle":"","parse-names":false,"suffix":""},{"dropping-particle":"","family":"DeVos","given":"Martine","non-dropping-particle":"","parse-names":false,"suffix":""},{"dropping-particle":"","family":"Porcher","given":"Raphaël","non-dropping-particle":"","parse-names":false,"suffix":""},{"dropping-particle":"","family":"Paintaud","given":"Gilles","non-dropping-particle":"","parse-names":false,"suffix":""},{"dropping-particle":"","family":"Piver","given":"Eric","non-dropping-particle":"","parse-names":false,"suffix":""},{"dropping-particle":"","family":"Colombel","given":"Jean–Frédéric","non-dropping-particle":"","parse-names":false,"suffix":""},{"dropping-particle":"","family":"Lemann","given":"Marc","non-dropping-particle":"","parse-names":false,"suffix":""}],"container-title":"Gastroenterology","id":"ITEM-1","issue":"1","issued":{"date-parts":[["2012","1","1"]]},"page":"63-70.e5","publisher":"W.B. Saunders","title":"Maintenance of Remission Among Patients With Crohn's Disease on Antimetabolite Therapy After Infliximab Therapy Is Stopped","type":"article-journal","volume":"142"},"uris":["http://www.mendeley.com/documents/?uuid=1785dfa6-dbfc-3004-a97f-933066779fea"]}],"mendeley":{"formattedCitation":"&lt;sup&gt;24&lt;/sup&gt;","plainTextFormattedCitation":"24","previouslyFormattedCitation":"&lt;sup&gt;21&lt;/sup&gt;"},"properties":{"noteIndex":0},"schema":"https://github.com/citation-style-language/schema/raw/master/csl-citation.json"}</w:instrText>
      </w:r>
      <w:r w:rsidR="00B31390" w:rsidRPr="00C54D13">
        <w:rPr>
          <w:rFonts w:ascii="Times New Roman" w:eastAsia="Times New Roman" w:hAnsi="Times New Roman" w:cs="Times New Roman"/>
          <w:color w:val="000000"/>
          <w:sz w:val="24"/>
          <w:szCs w:val="24"/>
          <w:lang w:val="en-GB"/>
        </w:rPr>
        <w:fldChar w:fldCharType="separate"/>
      </w:r>
      <w:r w:rsidR="005446D9" w:rsidRPr="005446D9">
        <w:rPr>
          <w:rFonts w:ascii="Times New Roman" w:eastAsia="Times New Roman" w:hAnsi="Times New Roman" w:cs="Times New Roman"/>
          <w:noProof/>
          <w:color w:val="000000"/>
          <w:sz w:val="24"/>
          <w:szCs w:val="24"/>
          <w:vertAlign w:val="superscript"/>
          <w:lang w:val="en-GB"/>
        </w:rPr>
        <w:t>24</w:t>
      </w:r>
      <w:r w:rsidR="00B31390" w:rsidRPr="00C54D13">
        <w:rPr>
          <w:rFonts w:ascii="Times New Roman" w:eastAsia="Times New Roman" w:hAnsi="Times New Roman" w:cs="Times New Roman"/>
          <w:color w:val="000000"/>
          <w:sz w:val="24"/>
          <w:szCs w:val="24"/>
          <w:lang w:val="en-GB"/>
        </w:rPr>
        <w:fldChar w:fldCharType="end"/>
      </w:r>
      <w:r w:rsidR="0026125D" w:rsidRPr="00C54D13">
        <w:rPr>
          <w:rFonts w:ascii="Times New Roman" w:eastAsia="Times New Roman" w:hAnsi="Times New Roman" w:cs="Times New Roman"/>
          <w:color w:val="000000"/>
          <w:sz w:val="24"/>
          <w:szCs w:val="24"/>
          <w:lang w:val="en-GB"/>
        </w:rPr>
        <w:t xml:space="preserve">, </w:t>
      </w:r>
      <w:r w:rsidR="0019567E" w:rsidRPr="00C54D13">
        <w:rPr>
          <w:rFonts w:ascii="Times New Roman" w:eastAsia="Times New Roman" w:hAnsi="Times New Roman" w:cs="Times New Roman"/>
          <w:color w:val="000000"/>
          <w:sz w:val="24"/>
          <w:szCs w:val="24"/>
          <w:lang w:val="en-GB"/>
        </w:rPr>
        <w:t>a high</w:t>
      </w:r>
      <w:r w:rsidR="00C274FF" w:rsidRPr="00C54D13">
        <w:rPr>
          <w:rFonts w:ascii="Times New Roman" w:eastAsia="Times New Roman" w:hAnsi="Times New Roman" w:cs="Times New Roman"/>
          <w:color w:val="000000"/>
          <w:sz w:val="24"/>
          <w:szCs w:val="24"/>
          <w:lang w:val="en-GB"/>
        </w:rPr>
        <w:t xml:space="preserve"> serum</w:t>
      </w:r>
      <w:r w:rsidR="0019567E" w:rsidRPr="00C54D13">
        <w:rPr>
          <w:rFonts w:ascii="Times New Roman" w:eastAsia="Times New Roman" w:hAnsi="Times New Roman" w:cs="Times New Roman"/>
          <w:color w:val="000000"/>
          <w:sz w:val="24"/>
          <w:szCs w:val="24"/>
          <w:lang w:val="en-GB"/>
        </w:rPr>
        <w:t xml:space="preserve"> level of inflammatory markers (</w:t>
      </w:r>
      <w:proofErr w:type="spellStart"/>
      <w:r w:rsidR="0019567E" w:rsidRPr="00C54D13">
        <w:rPr>
          <w:rFonts w:ascii="Times New Roman" w:eastAsia="Times New Roman" w:hAnsi="Times New Roman" w:cs="Times New Roman"/>
          <w:color w:val="000000"/>
          <w:sz w:val="24"/>
          <w:szCs w:val="24"/>
          <w:lang w:val="en-GB"/>
        </w:rPr>
        <w:t>eg</w:t>
      </w:r>
      <w:proofErr w:type="spellEnd"/>
      <w:r w:rsidR="0019567E" w:rsidRPr="00C54D13">
        <w:rPr>
          <w:rFonts w:ascii="Times New Roman" w:eastAsia="Times New Roman" w:hAnsi="Times New Roman" w:cs="Times New Roman"/>
          <w:color w:val="000000"/>
          <w:sz w:val="24"/>
          <w:szCs w:val="24"/>
          <w:lang w:val="en-GB"/>
        </w:rPr>
        <w:t xml:space="preserve">, </w:t>
      </w:r>
      <w:r w:rsidR="000A4131" w:rsidRPr="00C54D13">
        <w:rPr>
          <w:rFonts w:ascii="Times New Roman" w:eastAsia="Times New Roman" w:hAnsi="Times New Roman" w:cs="Times New Roman"/>
          <w:color w:val="000000"/>
          <w:sz w:val="24"/>
          <w:szCs w:val="24"/>
          <w:lang w:val="en-GB"/>
        </w:rPr>
        <w:t xml:space="preserve">interleukin-6, </w:t>
      </w:r>
      <w:r w:rsidR="007D7FE6">
        <w:rPr>
          <w:rFonts w:ascii="Times New Roman" w:eastAsia="Times New Roman" w:hAnsi="Times New Roman" w:cs="Times New Roman"/>
          <w:color w:val="000000"/>
          <w:sz w:val="24"/>
          <w:szCs w:val="24"/>
          <w:lang w:val="en-GB"/>
        </w:rPr>
        <w:t xml:space="preserve">acute </w:t>
      </w:r>
      <w:r w:rsidR="0019567E" w:rsidRPr="00C54D13">
        <w:rPr>
          <w:rFonts w:ascii="Times New Roman" w:eastAsia="Times New Roman" w:hAnsi="Times New Roman" w:cs="Times New Roman"/>
          <w:color w:val="000000"/>
          <w:sz w:val="24"/>
          <w:szCs w:val="24"/>
          <w:lang w:val="en-GB"/>
        </w:rPr>
        <w:t>phase reactants, complement components) w</w:t>
      </w:r>
      <w:r w:rsidR="000A4131" w:rsidRPr="00C54D13">
        <w:rPr>
          <w:rFonts w:ascii="Times New Roman" w:eastAsia="Times New Roman" w:hAnsi="Times New Roman" w:cs="Times New Roman"/>
          <w:color w:val="000000"/>
          <w:sz w:val="24"/>
          <w:szCs w:val="24"/>
          <w:lang w:val="en-GB"/>
        </w:rPr>
        <w:t>as</w:t>
      </w:r>
      <w:r w:rsidR="0026125D" w:rsidRPr="00C54D13">
        <w:rPr>
          <w:rFonts w:ascii="Times New Roman" w:eastAsia="Times New Roman" w:hAnsi="Times New Roman" w:cs="Times New Roman"/>
          <w:color w:val="000000"/>
          <w:sz w:val="24"/>
          <w:szCs w:val="24"/>
          <w:lang w:val="en-GB"/>
        </w:rPr>
        <w:t xml:space="preserve"> essentially </w:t>
      </w:r>
      <w:r w:rsidR="0019567E" w:rsidRPr="00C54D13">
        <w:rPr>
          <w:rFonts w:ascii="Times New Roman" w:eastAsia="Times New Roman" w:hAnsi="Times New Roman" w:cs="Times New Roman"/>
          <w:color w:val="000000"/>
          <w:sz w:val="24"/>
          <w:szCs w:val="24"/>
          <w:lang w:val="en-GB"/>
        </w:rPr>
        <w:t xml:space="preserve">associated with the risk of </w:t>
      </w:r>
      <w:r w:rsidR="0026125D" w:rsidRPr="00C54D13">
        <w:rPr>
          <w:rFonts w:ascii="Times New Roman" w:eastAsia="Times New Roman" w:hAnsi="Times New Roman" w:cs="Times New Roman"/>
          <w:color w:val="000000"/>
          <w:sz w:val="24"/>
          <w:szCs w:val="24"/>
          <w:lang w:val="en-GB"/>
        </w:rPr>
        <w:t>short-term relapse (&lt;</w:t>
      </w:r>
      <w:r w:rsidR="00585B41" w:rsidRPr="00C54D13">
        <w:rPr>
          <w:rFonts w:ascii="Times New Roman" w:eastAsia="Times New Roman" w:hAnsi="Times New Roman" w:cs="Times New Roman"/>
          <w:color w:val="000000"/>
          <w:sz w:val="24"/>
          <w:szCs w:val="24"/>
          <w:lang w:val="en-GB"/>
        </w:rPr>
        <w:t xml:space="preserve"> </w:t>
      </w:r>
      <w:r w:rsidR="0026125D" w:rsidRPr="00C54D13">
        <w:rPr>
          <w:rFonts w:ascii="Times New Roman" w:eastAsia="Times New Roman" w:hAnsi="Times New Roman" w:cs="Times New Roman"/>
          <w:color w:val="000000"/>
          <w:sz w:val="24"/>
          <w:szCs w:val="24"/>
          <w:lang w:val="en-GB"/>
        </w:rPr>
        <w:t>6 months)</w:t>
      </w:r>
      <w:r w:rsidR="000A4131" w:rsidRPr="00C54D13">
        <w:rPr>
          <w:rFonts w:ascii="Times New Roman" w:eastAsia="Times New Roman" w:hAnsi="Times New Roman" w:cs="Times New Roman"/>
          <w:color w:val="000000"/>
          <w:sz w:val="24"/>
          <w:szCs w:val="24"/>
          <w:lang w:val="en-GB"/>
        </w:rPr>
        <w:t xml:space="preserve"> but not mid/long-term relapse (&gt;</w:t>
      </w:r>
      <w:r w:rsidR="00585B41" w:rsidRPr="00C54D13">
        <w:rPr>
          <w:rFonts w:ascii="Times New Roman" w:eastAsia="Times New Roman" w:hAnsi="Times New Roman" w:cs="Times New Roman"/>
          <w:color w:val="000000"/>
          <w:sz w:val="24"/>
          <w:szCs w:val="24"/>
          <w:lang w:val="en-GB"/>
        </w:rPr>
        <w:t xml:space="preserve"> </w:t>
      </w:r>
      <w:r w:rsidR="000A4131" w:rsidRPr="00C54D13">
        <w:rPr>
          <w:rFonts w:ascii="Times New Roman" w:eastAsia="Times New Roman" w:hAnsi="Times New Roman" w:cs="Times New Roman"/>
          <w:color w:val="000000"/>
          <w:sz w:val="24"/>
          <w:szCs w:val="24"/>
          <w:lang w:val="en-GB"/>
        </w:rPr>
        <w:t>6 months</w:t>
      </w:r>
      <w:r w:rsidR="00370483" w:rsidRPr="00C54D13">
        <w:rPr>
          <w:rFonts w:ascii="Times New Roman" w:eastAsia="Times New Roman" w:hAnsi="Times New Roman" w:cs="Times New Roman"/>
          <w:color w:val="000000"/>
          <w:sz w:val="24"/>
          <w:szCs w:val="24"/>
          <w:lang w:val="en-GB"/>
        </w:rPr>
        <w:t xml:space="preserve"> within a median follow-up period of</w:t>
      </w:r>
      <w:r w:rsidR="006139FC" w:rsidRPr="00C54D13">
        <w:rPr>
          <w:rFonts w:ascii="Times New Roman" w:eastAsia="Times New Roman" w:hAnsi="Times New Roman" w:cs="Times New Roman"/>
          <w:color w:val="000000"/>
          <w:sz w:val="24"/>
          <w:szCs w:val="24"/>
          <w:lang w:val="en-GB"/>
        </w:rPr>
        <w:t xml:space="preserve"> ~2 years</w:t>
      </w:r>
      <w:r w:rsidR="000A4131" w:rsidRPr="00C54D13">
        <w:rPr>
          <w:rFonts w:ascii="Times New Roman" w:eastAsia="Times New Roman" w:hAnsi="Times New Roman" w:cs="Times New Roman"/>
          <w:color w:val="000000"/>
          <w:sz w:val="24"/>
          <w:szCs w:val="24"/>
          <w:lang w:val="en-GB"/>
        </w:rPr>
        <w:t>)</w:t>
      </w:r>
      <w:r w:rsidR="00FA6A73" w:rsidRPr="00C54D13">
        <w:rPr>
          <w:rFonts w:ascii="Times New Roman" w:eastAsia="Times New Roman" w:hAnsi="Times New Roman" w:cs="Times New Roman"/>
          <w:color w:val="000000"/>
          <w:sz w:val="24"/>
          <w:szCs w:val="24"/>
          <w:lang w:val="en-GB"/>
        </w:rPr>
        <w:fldChar w:fldCharType="begin" w:fldLock="1"/>
      </w:r>
      <w:r w:rsidR="005446D9">
        <w:rPr>
          <w:rFonts w:ascii="Times New Roman" w:eastAsia="Times New Roman" w:hAnsi="Times New Roman" w:cs="Times New Roman"/>
          <w:color w:val="000000"/>
          <w:sz w:val="24"/>
          <w:szCs w:val="24"/>
          <w:lang w:val="en-GB"/>
        </w:rPr>
        <w:instrText>ADDIN CSL_CITATION {"citationItems":[{"id":"ITEM-1","itemData":{"DOI":"10.1136/gutjnl-2020-322100","abstract":"Objective A subset of Crohn’s disease (CD) patients experiences mid/long-term remission after infliximab withdrawal. Biomarkers are needed to identify those patients.Design New biomarkers of relapse were searched in the baseline serum of CD patients stopping infliximab when they were under combined therapy (antimetabolite and infliximab) and stable clinical remission (diSconTinuation in CrOhn’s disease patients in stable Remission on combined therapy with Immunosuppressors cohort, n=102). From shotgun proteomics experiment (discovery step), biomarker candidates were identified and further targeted by selected reaction monitoring (verification step). The dataset was stratified to search for markers of short-term (&amp;amp;lt;6 months) or mid/long-term relapse (&amp;amp;gt;6 months). The risk of relapse and the predicting capacity associated with biomarker candidates were evaluated using univariate Cox model and log-rank statistic, respectively. To test their complementary predicting capacity, biomarker candidates were systematically combined in pairs.Results Distinct biomarker candidates were associated with the risk (HR) of short-term (15 proteins, 2.9&amp;amp;lt;HR&amp;amp;lt;16.1, p&amp;amp;lt;0.05) and mid/long-term (17 proteins, 2.1&amp;amp;lt;HR&amp;amp;lt;4.7, p&amp;amp;lt;0.05) relapse, they reflect different pathophysiological processes. In stratified and non-stratified datasets, novel marker combinations exhibited a high predicting capacity as shown by their higher Z-scores (false discovery rate &amp;amp;lt;0.001) than C reactive protein and faecal calprotectin (current references in predicting relapse).Conclusion We identified for the first time circulating biomarker candidates associated with the risk of mid/long-term relapse in CD patients stopping infliximab. We also highlight a sequence of pathophysiological processes leading to relapse, this could help to better understand the disease progression. Our findings may pave the way for a better non-invasive evaluation of the risk of relapse when contemplating antitumour necrosis factor α withdrawal in CD patients.Data are available in a public, open access repository. All data relevant to the study are included in the article or uploaded as supplementary information. All the raw data and results of the discovery step have been deposited in the ProteomeXchange Consortium via the PRIDE partner repository with the dataset identifier PXD019008. For the verification step, all the SRM raw files and the Skyline files (including those o…","author":[{"dropping-particle":"","family":"Pierre","given":"Nicolas","non-dropping-particle":"","parse-names":false,"suffix":""},{"dropping-particle":"","family":"Baiwir","given":"Dominique","non-dropping-particle":"","parse-names":false,"suffix":""},{"dropping-particle":"","family":"Huynh-Thu","given":"Vân Anh","non-dropping-particle":"","parse-names":false,"suffix":""},{"dropping-particle":"","family":"Mazzucchelli","given":"Gabriel","non-dropping-particle":"","parse-names":false,"suffix":""},{"dropping-particle":"","family":"Smargiasso","given":"Nicolas","non-dropping-particle":"","parse-names":false,"suffix":""},{"dropping-particle":"","family":"Pauw","given":"Edwin","non-dropping-particle":"De","parse-names":false,"suffix":""},{"dropping-particle":"","family":"Bouhnik","given":"Yoram","non-dropping-particle":"","parse-names":false,"suffix":""},{"dropping-particle":"","family":"Laharie","given":"David","non-dropping-particle":"","parse-names":false,"suffix":""},{"dropping-particle":"","family":"Colombel","given":"Jean-Frédéric","non-dropping-particle":"","parse-names":false,"suffix":""},{"dropping-particle":"","family":"Meuwis","given":"Marie-Alice","non-dropping-particle":"","parse-names":false,"suffix":""},{"dropping-particle":"","family":"Louis","given":"Edouard","non-dropping-particle":"","parse-names":false,"suffix":""}],"container-title":"Gut","id":"ITEM-1","issue":"8","issued":{"date-parts":[["2021","8","1"]]},"page":"1450 LP  - 1457","title":"Discovery of biomarker candidates associated with the risk of short-term and mid/long-term relapse after infliximab withdrawal in Crohn’s patients: a proteomics-based study","type":"article-journal","volume":"70"},"uris":["http://www.mendeley.com/documents/?uuid=1a2fdbbf-05e3-4b49-af4f-aff08c156e23"]},{"id":"ITEM-2","itemData":{"DOI":"10.1136/gutjnl-2022-327321","ISSN":"1468-3288 (Electronic)","PMID":"36008101","abstract":"OBJECTIVE: Despite being in sustained and stable remission, patients with Crohn's  disease (CD) stopping anti-tumour necrosis factor α (TNFα) show a high rate of relapse (~50% within 2 years). Characterising non-invasively the biological profiles of those patients is needed to better guide the decision of anti-TNFα withdrawal. DESIGN: Ninety-two immune-related proteins were measured by proximity extension assay in serum of patients with CD (n=102) in sustained steroid-free remission and stopping anti-TNFα (infliximab). As previously shown, a stratification based on time to clinical relapse was used to characterise the distinct biological profiles of relapsers (short-term relapsers: &lt;6 months vs mid/long-term relapsers: &gt;6 months). Associations between protein levels and time to clinical relapse were determined by univariable Cox model. RESULTS: The risk (HR) of mid/long-term clinical relapse was specifically associated with a high serum level of proteins mainly expressed in lymphocytes (LAG3, SH2B3, SIT1; HR: 2.2-4.5; p&lt;0.05), a low serum level of anti-inflammatory effectors (IL-10, HSD11B1; HR: 0.2-0.3; p&lt;0.05) and cellular junction proteins (CDSN, CNTNAP2, CXADR, ITGA11; HR: 0.4; p&lt;0.05). The risk of short-term clinical relapse was specifically associated with a high serum level of pro-inflammatory effectors (IL-6, IL12RB1; HR: 3.5-3.6; p&lt;0.05) and a low or high serum level of proteins mainly expressed in antigen presenting cells (CLEC4A, CLEC4C, CLEC7A, LAMP3; HR: 0.4-4.1; p&lt;0.05). CONCLUSION: We identified distinct blood protein profiles associated with the risk of short-term and mid/long-term clinical relapse in patients with CD stopping infliximab. These findings constitute an advance for the development of non-invasive biomarkers guiding the decision of anti-TNFα withdrawal.","author":[{"dropping-particle":"","family":"Pierre","given":"Nicolas","non-dropping-particle":"","parse-names":false,"suffix":""},{"dropping-particle":"","family":"Huynh-Thu","given":"Vân Anh","non-dropping-particle":"","parse-names":false,"suffix":""},{"dropping-particle":"","family":"Marichal","given":"Thomas","non-dropping-particle":"","parse-names":false,"suffix":""},{"dropping-particle":"","family":"Allez","given":"Matthieu","non-dropping-particle":"","parse-names":false,"suffix":""},{"dropping-particle":"","family":"Bouhnik","given":"Yoram","non-dropping-particle":"","parse-names":false,"suffix":""},{"dropping-particle":"","family":"Laharie","given":"David","non-dropping-particle":"","parse-names":false,"suffix":""},{"dropping-particle":"","family":"Bourreille","given":"Arnaud","non-dropping-particle":"","parse-names":false,"suffix":""},{"dropping-particle":"","family":"Colombel","given":"Jean-Frédéric","non-dropping-particle":"","parse-names":false,"suffix":""},{"dropping-particle":"","family":"Meuwis","given":"Marie-Alice","non-dropping-particle":"","parse-names":false,"suffix":""},{"dropping-particle":"","family":"Louis","given":"Edouard","non-dropping-particle":"","parse-names":false,"suffix":""}],"container-title":"Gut","id":"ITEM-2","issued":{"date-parts":[["2022","8"]]},"language":"eng","publisher-place":"England","title":"Distinct blood protein profiles associated with the risk of short-term and  mid/long-term clinical relapse in patients with Crohn's disease stopping infliximab: when the remission state hides different types of residual disease activity.","type":"article-journal"},"uris":["http://www.mendeley.com/documents/?uuid=993b5000-f766-452f-96b5-bc8555dd68bc"]}],"mendeley":{"formattedCitation":"&lt;sup&gt;25,26&lt;/sup&gt;","plainTextFormattedCitation":"25,26","previouslyFormattedCitation":"&lt;sup&gt;22,23&lt;/sup&gt;"},"properties":{"noteIndex":0},"schema":"https://github.com/citation-style-language/schema/raw/master/csl-citation.json"}</w:instrText>
      </w:r>
      <w:r w:rsidR="00FA6A73" w:rsidRPr="00C54D13">
        <w:rPr>
          <w:rFonts w:ascii="Times New Roman" w:eastAsia="Times New Roman" w:hAnsi="Times New Roman" w:cs="Times New Roman"/>
          <w:color w:val="000000"/>
          <w:sz w:val="24"/>
          <w:szCs w:val="24"/>
          <w:lang w:val="en-GB"/>
        </w:rPr>
        <w:fldChar w:fldCharType="separate"/>
      </w:r>
      <w:r w:rsidR="005446D9" w:rsidRPr="005446D9">
        <w:rPr>
          <w:rFonts w:ascii="Times New Roman" w:eastAsia="Times New Roman" w:hAnsi="Times New Roman" w:cs="Times New Roman"/>
          <w:noProof/>
          <w:color w:val="000000"/>
          <w:sz w:val="24"/>
          <w:szCs w:val="24"/>
          <w:vertAlign w:val="superscript"/>
          <w:lang w:val="en-GB"/>
        </w:rPr>
        <w:t>25,26</w:t>
      </w:r>
      <w:r w:rsidR="00FA6A73" w:rsidRPr="00C54D13">
        <w:rPr>
          <w:rFonts w:ascii="Times New Roman" w:eastAsia="Times New Roman" w:hAnsi="Times New Roman" w:cs="Times New Roman"/>
          <w:color w:val="000000"/>
          <w:sz w:val="24"/>
          <w:szCs w:val="24"/>
          <w:lang w:val="en-GB"/>
        </w:rPr>
        <w:fldChar w:fldCharType="end"/>
      </w:r>
      <w:r w:rsidR="000A4131" w:rsidRPr="00C54D13">
        <w:rPr>
          <w:rFonts w:ascii="Times New Roman" w:eastAsia="Times New Roman" w:hAnsi="Times New Roman" w:cs="Times New Roman"/>
          <w:color w:val="000000"/>
          <w:sz w:val="24"/>
          <w:szCs w:val="24"/>
          <w:lang w:val="en-GB"/>
        </w:rPr>
        <w:t>.</w:t>
      </w:r>
      <w:r w:rsidR="0026125D" w:rsidRPr="00C54D13">
        <w:rPr>
          <w:rFonts w:ascii="Times New Roman" w:eastAsia="Times New Roman" w:hAnsi="Times New Roman" w:cs="Times New Roman"/>
          <w:color w:val="000000"/>
          <w:sz w:val="24"/>
          <w:szCs w:val="24"/>
          <w:lang w:val="en-GB"/>
        </w:rPr>
        <w:t xml:space="preserve"> </w:t>
      </w:r>
      <w:r w:rsidR="00373B85" w:rsidRPr="00B40DB0">
        <w:rPr>
          <w:rFonts w:ascii="Times New Roman" w:eastAsia="Times New Roman" w:hAnsi="Times New Roman" w:cs="Times New Roman"/>
          <w:color w:val="000000"/>
          <w:sz w:val="24"/>
          <w:szCs w:val="24"/>
          <w:lang w:val="en-GB"/>
        </w:rPr>
        <w:t xml:space="preserve">This finding was confirmed in an </w:t>
      </w:r>
      <w:r w:rsidR="002479D2" w:rsidRPr="00B40DB0">
        <w:rPr>
          <w:rFonts w:ascii="Times New Roman" w:eastAsia="Times New Roman" w:hAnsi="Times New Roman" w:cs="Times New Roman"/>
          <w:color w:val="000000"/>
          <w:sz w:val="24"/>
          <w:szCs w:val="24"/>
          <w:lang w:val="en-GB"/>
        </w:rPr>
        <w:t>independent cohort (SPARE)</w:t>
      </w:r>
      <w:r w:rsidR="002479D2" w:rsidRPr="00B40DB0">
        <w:rPr>
          <w:rFonts w:ascii="Times New Roman" w:eastAsia="Times New Roman" w:hAnsi="Times New Roman" w:cs="Times New Roman"/>
          <w:color w:val="000000"/>
          <w:sz w:val="24"/>
          <w:szCs w:val="24"/>
          <w:lang w:val="en-GB"/>
        </w:rPr>
        <w:fldChar w:fldCharType="begin" w:fldLock="1"/>
      </w:r>
      <w:r w:rsidR="005446D9" w:rsidRPr="00B40DB0">
        <w:rPr>
          <w:rFonts w:ascii="Times New Roman" w:eastAsia="Times New Roman" w:hAnsi="Times New Roman" w:cs="Times New Roman"/>
          <w:color w:val="000000"/>
          <w:sz w:val="24"/>
          <w:szCs w:val="24"/>
          <w:lang w:val="en-GB"/>
        </w:rPr>
        <w:instrText>ADDIN CSL_CITATION {"citationItems":[{"id":"ITEM-1","itemData":{"DOI":"https://doi.org/10.1016/S2468-1253(22)00385-5","ISSN":"2468-1253","abstract":"Summary Background The combination of infliximab and immunosuppressant therapy is a standard management strategy for patients with Crohn's disease. Concerns regarding the implications of long-term combination therapy provided the rationale for a formal clinical trial of treatment de-escalation. Our aim was to compare the relapse rate and the time spent in remission over 2 years between patients continuing combination therapy and those stopping infliximab or immunosuppressant therapy. Methods This multicentre, open-label, randomised controlled trial was performed in 64 hospitals in seven countries in Europe and Australia. Adult patients with Crohn's disease in steroid-free clinical remission for more than 6 months, on combination therapy of infliximab and immunosuppressant therapy for at least 8 months were randomly assigned (1:1:1) to either continue combination therapy (combination group), discontinue infliximab (infliximab withdrawal group), or discontinue immunosuppressant therapy (immunosuppressant withdrawal group). Randomisation was stratified according to disease duration before start of first anti-TNF treatment (≤2 or &gt;2 years), failure of immunosuppressant therapy before start of infliximab, and presence of ulcers at baseline endoscopy. The patient number and group of each stratum were assigned by a central online randomisation website. Treatment was optimised or resumed in case of relapse in all groups. Participants, those assessing outcomes, and those analysing the data were not masked to group assignment. The coprimary endpoints were the relapse rate (superiority analysis) and time in remission over 2 years (non-inferiority analysis, non-inferiority margin 35 days). Analyses were done on an intention-to-treat basis. This study is registered with ClinicalTrials.gov, NCT02177071, and with EU Clinical Trials Register, EUDRACT 2014-002311-41. The trial was completed in April, 2021. Findings Between Nov 2, 2015, and April 24, 2019, 254 patients were screened. Of these, 211 were randomised and 207 were included in the final analysis (n=67 in the combination group, n=71 in the infliximab withdrawal group, and n=69 in the immunosuppressant withdrawal group). 39 patients had a relapse (eight [12%] of 67 in the combination group, 25 [35%] of 71 in the infliximab withdrawal group, six [9%] of 69 in the immunosuppressant withdrawal group). 2-year relapse rates were 14% (95% CI 4–23) in the combination group, 36% (24–47) in the infliximab withdrawal grou…","author":[{"dropping-particle":"","family":"Louis","given":"Edouard","non-dropping-particle":"","parse-names":false,"suffix":""},{"dropping-particle":"","family":"Resche-Rigon","given":"Matthieu","non-dropping-particle":"","parse-names":false,"suffix":""},{"dropping-particle":"","family":"Laharie","given":"David","non-dropping-particle":"","parse-names":false,"suffix":""},{"dropping-particle":"","family":"Satsangi","given":"Jack","non-dropping-particle":"","parse-names":false,"suffix":""},{"dropping-particle":"","family":"Ding","given":"Nik","non-dropping-particle":"","parse-names":false,"suffix":""},{"dropping-particle":"","family":"Siegmund","given":"Britta","non-dropping-particle":"","parse-names":false,"suffix":""},{"dropping-particle":"","family":"D'Haens","given":"Geert","non-dropping-particle":"","parse-names":false,"suffix":""},{"dropping-particle":"","family":"Picon","given":"Laurence","non-dropping-particle":"","parse-names":false,"suffix":""},{"dropping-particle":"","family":"Bossuyt","given":"Peter","non-dropping-particle":"","parse-names":false,"suffix":""},{"dropping-particle":"","family":"Vuitton","given":"Lucine","non-dropping-particle":"","parse-names":false,"suffix":""},{"dropping-particle":"","family":"Irving","given":"Peter","non-dropping-particle":"","parse-names":false,"suffix":""},{"dropping-particle":"","family":"Viennot","given":"Stephanie","non-dropping-particle":"","parse-names":false,"suffix":""},{"dropping-particle":"","family":"Lamb","given":"Christopher A","non-dropping-particle":"","parse-names":false,"suffix":""},{"dropping-particle":"","family":"Pollok","given":"Richard","non-dropping-particle":"","parse-names":false,"suffix":""},{"dropping-particle":"","family":"Baert","given":"Filip","non-dropping-particle":"","parse-names":false,"suffix":""},{"dropping-particle":"","family":"Nachury","given":"Maria","non-dropping-particle":"","parse-names":false,"suffix":""},{"dropping-particle":"","family":"Fumery","given":"Mathurin","non-dropping-particle":"","parse-names":false,"suffix":""},{"dropping-particle":"","family":"Gilletta","given":"Cyrielle","non-dropping-particle":"","parse-names":false,"suffix":""},{"dropping-particle":"","family":"Almer","given":"Sven","non-dropping-particle":"","parse-names":false,"suffix":""},{"dropping-particle":"","family":"Ben-Horin","given":"Shomron","non-dropping-particle":"","parse-names":false,"suffix":""},{"dropping-particle":"","family":"Bouhnik","given":"Yoram","non-dropping-particle":"","parse-names":false,"suffix":""},{"dropping-particle":"","family":"Colombel","given":"Jean-Frederic","non-dropping-particle":"","parse-names":false,"suffix":""},{"dropping-particle":"","family":"Hertervig","given":"Erik","non-dropping-particle":"","parse-names":false,"suffix":""},{"dropping-particle":"","family":"Andrews","given":"Jane","non-dropping-particle":"","parse-names":false,"suffix":""},{"dropping-particle":"","family":"Sparrow","given":"Miles","non-dropping-particle":"","parse-names":false,"suffix":""},{"dropping-particle":"","family":"Leong","given":"Rupert","non-dropping-particle":"","parse-names":false,"suffix":""},{"dropping-particle":"","family":"Connor","given":"Susan","non-dropping-particle":"","parse-names":false,"suffix":""},{"dropping-particle":"","family":"Radforth-Smith","given":"Graham","non-dropping-particle":"","parse-names":false,"suffix":""},{"dropping-particle":"","family":"Cruz","given":"Peter","non-dropping-particle":"De","parse-names":false,"suffix":""},{"dropping-particle":"","family":"Preiss","given":"Jan","non-dropping-particle":"","parse-names":false,"suffix":""},{"dropping-particle":"","family":"Stallmach","given":"Andrea","non-dropping-particle":"","parse-names":false,"suffix":""},{"dropping-particle":"","family":"Liceni","given":"Thomas","non-dropping-particle":"","parse-names":false,"suffix":""},{"dropping-particle":"","family":"Grip","given":"Olaf","non-dropping-particle":"","parse-names":false,"suffix":""},{"dropping-particle":"","family":"Halfvarson","given":"Jonas","non-dropping-particle":"","parse-names":false,"suffix":""},{"dropping-particle":"","family":"Durai","given":"Dharmaraj","non-dropping-particle":"","parse-names":false,"suffix":""},{"dropping-particle":"","family":"Cummings","given":"Fraser","non-dropping-particle":"","parse-names":false,"suffix":""},{"dropping-particle":"","family":"Seilinger","given":"Christian","non-dropping-particle":"","parse-names":false,"suffix":""},{"dropping-particle":"","family":"Parkes","given":"Miles","non-dropping-particle":"","parse-names":false,"suffix":""},{"dropping-particle":"","family":"Lindsay","given":"James","non-dropping-particle":"","parse-names":false,"suffix":""},{"dropping-particle":"","family":"Lambrecht","given":"Guy","non-dropping-particle":"","parse-names":false,"suffix":""},{"dropping-particle":"","family":"Hootegem","given":"Philippe","non-dropping-particle":"Van","parse-names":false,"suffix":""},{"dropping-particle":"","family":"Rahier","given":"Jean-François","non-dropping-particle":"","parse-names":false,"suffix":""},{"dropping-particle":"","family":"Dewitte","given":"Marie","non-dropping-particle":"","parse-names":false,"suffix":""},{"dropping-particle":"","family":"Hebuterne","given":"Xavier","non-dropping-particle":"","parse-names":false,"suffix":""},{"dropping-particle":"","family":"Chanteloup","given":"Elise","non-dropping-particle":"","parse-names":false,"suffix":""},{"dropping-particle":"","family":"Altwegg","given":"Romain","non-dropping-particle":"","parse-names":false,"suffix":""},{"dropping-particle":"","family":"Nancey","given":"Stephane","non-dropping-particle":"","parse-names":false,"suffix":""},{"dropping-particle":"","family":"Bouguen","given":"Guillaume","non-dropping-particle":"","parse-names":false,"suffix":""},{"dropping-particle":"","family":"Pineton de Chambrun","given":"Guillaume","non-dropping-particle":"","parse-names":false,"suffix":""},{"dropping-particle":"","family":"Poullenot","given":"Floriant","non-dropping-particle":"","parse-names":false,"suffix":""},{"dropping-particle":"","family":"Roblin","given":"Xavier","non-dropping-particle":"","parse-names":false,"suffix":""}],"container-title":"The Lancet Gastroenterology &amp; Hepatology","id":"ITEM-1","issued":{"date-parts":[["2023"]]},"title":"Withdrawal of infliximab or concomitant immunosuppressant therapy in patients with Crohn's disease on combination therapy (SPARE): a multicentre, open-label, randomised controlled trial","type":"article-journal"},"uris":["http://www.mendeley.com/documents/?uuid=8d4ca70b-1ac4-4435-bf39-ffcbe68ca417"]},{"id":"ITEM-2","itemData":{"DOI":"10.1093/ecco-jcc/jjac190.0002","ISSN":"1873-9946","abstract":"In Crohn’s disease (CD) patients stopping infliximab (IFX), the risk of short-term relapse (&amp;lt;6 months) and mid/long-term (&amp;gt;6 months) relapse were associated with distinct biological profiles (STORI trial). Herein, we aim to test the external validity of this finding in an independent trial (SPARE).The SPARE trial has included 211 CD patients (from 64 sites in Europe and Australia) in steroid-free remission &amp;gt;6 months, receiving a combined therapy (IFX and immunosuppressant (IS)) &amp;gt;8 months and who were then randomised in three arms: continuing combo, stopping IFX or stopping IS. The arm stopping IFX was used to externally validate our findings generated in the STORI trial. To this end, the measurement of 161 proteins obtained in the baseline serum of STORI was repeated in SPARE (arm stopping IFX) with the same technologies: selected reaction monitoring (SRM, 69 proteins measured in 67 patients) or proximity extension assay (PEA, 92 proteins measured in 63 patients). Associations between serum protein levels and time to relapse (HR: hazard ratio and its associated statistics) were determined by using univariable Cox model in the stratified (relapse &amp;lt;6 or &amp;gt;6 months) and non-stratified cohort.The blood proteins depicting the risk of short-term or mid/long-term relapse in STORI and SPARE were selected as shown Fig. 1 (SRM) and Fig. 2 (PEA). The representation of those markers in volcano plots clearly confirmed that short-term and mid/long-term relapsers present distinct biological profiles (Fig. 3-4). This is also corroborated by the fact that only ORM1 was selected as a marker of short-term and mid/long-term relapse (Fig. 1-2). In STORI and SPARE, the risk of short-term relapse was associated (p-value&amp;lt;0.05) with a high serum level of inflammatory markers (IL6, CRP, HPR, ORM1, LRG1, HP, CP, APCS, ITIH3), complement components (C8B, C4B), blood coagulation proteins (F9, SERPIND1), markers of dendritic cells (LAMP3, CLEC4C) and a low serum level of a complement component (MASP1) (Fig. 1-2-3). In STORI and SPARE, the risk of mid/long-term relapse was associated (p-value&amp;lt;0.05) with a high serum level of a complement component (CFB) and a low serum level of a protease inhibitor (SERPINA4), a growth factor (FGF2), an anti-inflammatory cytokine (IL10) (Fig. 1-2-4). For other proteins, STORI and SPARE showed convergent tendencies (p-value&amp;lt;0.01; Fig. 1-2-3-4) or differences (Fig. 1-2).We confirm that, after stopping IFX in CD patients, the r…","author":[{"dropping-particle":"","family":"Pierre","given":"N","non-dropping-particle":"","parse-names":false,"suffix":""},{"dropping-particle":"","family":"Huynh-Thu","given":"V A","non-dropping-particle":"","parse-names":false,"suffix":""},{"dropping-particle":"","family":"Baiwir","given":"D","non-dropping-particle":"","parse-names":false,"suffix":""},{"dropping-particle":"","family":"Mazzucchelli","given":"G","non-dropping-particle":"","parse-names":false,"suffix":""},{"dropping-particle":"","family":"Fléron","given":"M","non-dropping-particle":"","parse-names":false,"suffix":""},{"dropping-particle":"","family":"Trzpiot","given":"L","non-dropping-particle":"","parse-names":false,"suffix":""},{"dropping-particle":"","family":"Eppe","given":"G","non-dropping-particle":"","parse-names":false,"suffix":""},{"dropping-particle":"","family":"Laharie","given":"D","non-dropping-particle":"","parse-names":false,"suffix":""},{"dropping-particle":"","family":"Satsangi","given":"J","non-dropping-particle":"","parse-names":false,"suffix":""},{"dropping-particle":"","family":"Colombel","given":"J F","non-dropping-particle":"","parse-names":false,"suffix":""},{"dropping-particle":"","family":"Hertervig","given":"E","non-dropping-particle":"","parse-names":false,"suffix":""},{"dropping-particle":"","family":"Meuwis","given":"M A","non-dropping-particle":"","parse-names":false,"suffix":""},{"dropping-particle":"","family":"Louis","given":"E","non-dropping-particle":"","parse-names":false,"suffix":""},{"dropping-particle":"","family":"group","given":"GETAID and the SPARE-Biocycle research","non-dropping-particle":"","parse-names":false,"suffix":""}],"container-title":"Journal of Crohn's and Colitis","id":"ITEM-2","issue":"Supplement_1","issued":{"date-parts":[["2023","2","1"]]},"page":"i3-i6","title":"OP02 Distinct biological profiles associated with the risk of short-term relapse and mid/long-term relapse in Crohn’s disease patients stopping infliximab","type":"article-journal","volume":"17"},"uris":["http://www.mendeley.com/documents/?uuid=e8a221d2-a183-4eb9-85f1-4ad6f8c81e11"]}],"mendeley":{"formattedCitation":"&lt;sup&gt;27,28&lt;/sup&gt;","plainTextFormattedCitation":"27,28","previouslyFormattedCitation":"&lt;sup&gt;24,25&lt;/sup&gt;"},"properties":{"noteIndex":0},"schema":"https://github.com/citation-style-language/schema/raw/master/csl-citation.json"}</w:instrText>
      </w:r>
      <w:r w:rsidR="002479D2" w:rsidRPr="00B40DB0">
        <w:rPr>
          <w:rFonts w:ascii="Times New Roman" w:eastAsia="Times New Roman" w:hAnsi="Times New Roman" w:cs="Times New Roman"/>
          <w:color w:val="000000"/>
          <w:sz w:val="24"/>
          <w:szCs w:val="24"/>
          <w:lang w:val="en-GB"/>
        </w:rPr>
        <w:fldChar w:fldCharType="separate"/>
      </w:r>
      <w:r w:rsidR="005446D9" w:rsidRPr="00B40DB0">
        <w:rPr>
          <w:rFonts w:ascii="Times New Roman" w:eastAsia="Times New Roman" w:hAnsi="Times New Roman" w:cs="Times New Roman"/>
          <w:noProof/>
          <w:color w:val="000000"/>
          <w:sz w:val="24"/>
          <w:szCs w:val="24"/>
          <w:vertAlign w:val="superscript"/>
          <w:lang w:val="en-GB"/>
        </w:rPr>
        <w:t>27,28</w:t>
      </w:r>
      <w:r w:rsidR="002479D2" w:rsidRPr="00B40DB0">
        <w:rPr>
          <w:rFonts w:ascii="Times New Roman" w:eastAsia="Times New Roman" w:hAnsi="Times New Roman" w:cs="Times New Roman"/>
          <w:color w:val="000000"/>
          <w:sz w:val="24"/>
          <w:szCs w:val="24"/>
          <w:lang w:val="en-GB"/>
        </w:rPr>
        <w:fldChar w:fldCharType="end"/>
      </w:r>
      <w:r w:rsidR="00373B85" w:rsidRPr="00B40DB0">
        <w:rPr>
          <w:rFonts w:ascii="Times New Roman" w:eastAsia="Times New Roman" w:hAnsi="Times New Roman" w:cs="Times New Roman"/>
          <w:color w:val="000000"/>
          <w:sz w:val="24"/>
          <w:szCs w:val="24"/>
          <w:lang w:val="en-GB"/>
        </w:rPr>
        <w:t xml:space="preserve">. </w:t>
      </w:r>
      <w:r w:rsidR="005C61D8" w:rsidRPr="00B40DB0">
        <w:rPr>
          <w:rFonts w:ascii="Times New Roman" w:eastAsia="Times New Roman" w:hAnsi="Times New Roman" w:cs="Times New Roman"/>
          <w:color w:val="000000"/>
          <w:sz w:val="24"/>
          <w:szCs w:val="24"/>
          <w:lang w:val="en-GB"/>
        </w:rPr>
        <w:t xml:space="preserve">In STORI and SPARE, </w:t>
      </w:r>
      <w:r w:rsidR="00300D5A" w:rsidRPr="00B40DB0">
        <w:rPr>
          <w:rFonts w:ascii="Times New Roman" w:eastAsia="Times New Roman" w:hAnsi="Times New Roman" w:cs="Times New Roman"/>
          <w:color w:val="000000"/>
          <w:sz w:val="24"/>
          <w:szCs w:val="24"/>
          <w:lang w:val="en-GB"/>
        </w:rPr>
        <w:t>the risk of mid/long-term relapse was associated with a high or low serum level of proteins implicated in heterogeneous functions</w:t>
      </w:r>
      <w:r w:rsidR="002A2161" w:rsidRPr="00B40DB0">
        <w:rPr>
          <w:rFonts w:ascii="Times New Roman" w:eastAsia="Times New Roman" w:hAnsi="Times New Roman" w:cs="Times New Roman"/>
          <w:color w:val="000000"/>
          <w:sz w:val="24"/>
          <w:szCs w:val="24"/>
          <w:lang w:val="en-GB"/>
        </w:rPr>
        <w:t xml:space="preserve"> (</w:t>
      </w:r>
      <w:proofErr w:type="spellStart"/>
      <w:r w:rsidR="002A2161" w:rsidRPr="00B40DB0">
        <w:rPr>
          <w:rFonts w:ascii="Times New Roman" w:eastAsia="Times New Roman" w:hAnsi="Times New Roman" w:cs="Times New Roman"/>
          <w:color w:val="000000"/>
          <w:sz w:val="24"/>
          <w:szCs w:val="24"/>
          <w:lang w:val="en-GB"/>
        </w:rPr>
        <w:t>eg</w:t>
      </w:r>
      <w:proofErr w:type="spellEnd"/>
      <w:r w:rsidR="002A2161" w:rsidRPr="00B40DB0">
        <w:rPr>
          <w:rFonts w:ascii="Times New Roman" w:eastAsia="Times New Roman" w:hAnsi="Times New Roman" w:cs="Times New Roman"/>
          <w:color w:val="000000"/>
          <w:sz w:val="24"/>
          <w:szCs w:val="24"/>
          <w:lang w:val="en-GB"/>
        </w:rPr>
        <w:t>, complement system, anti-inflammatory defence, angiogenesis, tissue regeneration)</w:t>
      </w:r>
      <w:r w:rsidR="00824727" w:rsidRPr="00B40DB0">
        <w:rPr>
          <w:rFonts w:ascii="Times New Roman" w:eastAsia="Times New Roman" w:hAnsi="Times New Roman" w:cs="Times New Roman"/>
          <w:color w:val="000000"/>
          <w:sz w:val="24"/>
          <w:szCs w:val="24"/>
          <w:lang w:val="en-GB"/>
        </w:rPr>
        <w:fldChar w:fldCharType="begin" w:fldLock="1"/>
      </w:r>
      <w:r w:rsidR="005446D9" w:rsidRPr="00B40DB0">
        <w:rPr>
          <w:rFonts w:ascii="Times New Roman" w:eastAsia="Times New Roman" w:hAnsi="Times New Roman" w:cs="Times New Roman"/>
          <w:color w:val="000000"/>
          <w:sz w:val="24"/>
          <w:szCs w:val="24"/>
          <w:lang w:val="en-GB"/>
        </w:rPr>
        <w:instrText>ADDIN CSL_CITATION {"citationItems":[{"id":"ITEM-1","itemData":{"DOI":"10.1093/ecco-jcc/jjac190.0002","ISSN":"1873-9946","abstract":"In Crohn’s disease (CD) patients stopping infliximab (IFX), the risk of short-term relapse (&amp;lt;6 months) and mid/long-term (&amp;gt;6 months) relapse were associated with distinct biological profiles (STORI trial). Herein, we aim to test the external validity of this finding in an independent trial (SPARE).The SPARE trial has included 211 CD patients (from 64 sites in Europe and Australia) in steroid-free remission &amp;gt;6 months, receiving a combined therapy (IFX and immunosuppressant (IS)) &amp;gt;8 months and who were then randomised in three arms: continuing combo, stopping IFX or stopping IS. The arm stopping IFX was used to externally validate our findings generated in the STORI trial. To this end, the measurement of 161 proteins obtained in the baseline serum of STORI was repeated in SPARE (arm stopping IFX) with the same technologies: selected reaction monitoring (SRM, 69 proteins measured in 67 patients) or proximity extension assay (PEA, 92 proteins measured in 63 patients). Associations between serum protein levels and time to relapse (HR: hazard ratio and its associated statistics) were determined by using univariable Cox model in the stratified (relapse &amp;lt;6 or &amp;gt;6 months) and non-stratified cohort.The blood proteins depicting the risk of short-term or mid/long-term relapse in STORI and SPARE were selected as shown Fig. 1 (SRM) and Fig. 2 (PEA). The representation of those markers in volcano plots clearly confirmed that short-term and mid/long-term relapsers present distinct biological profiles (Fig. 3-4). This is also corroborated by the fact that only ORM1 was selected as a marker of short-term and mid/long-term relapse (Fig. 1-2). In STORI and SPARE, the risk of short-term relapse was associated (p-value&amp;lt;0.05) with a high serum level of inflammatory markers (IL6, CRP, HPR, ORM1, LRG1, HP, CP, APCS, ITIH3), complement components (C8B, C4B), blood coagulation proteins (F9, SERPIND1), markers of dendritic cells (LAMP3, CLEC4C) and a low serum level of a complement component (MASP1) (Fig. 1-2-3). In STORI and SPARE, the risk of mid/long-term relapse was associated (p-value&amp;lt;0.05) with a high serum level of a complement component (CFB) and a low serum level of a protease inhibitor (SERPINA4), a growth factor (FGF2), an anti-inflammatory cytokine (IL10) (Fig. 1-2-4). For other proteins, STORI and SPARE showed convergent tendencies (p-value&amp;lt;0.01; Fig. 1-2-3-4) or differences (Fig. 1-2).We confirm that, after stopping IFX in CD patients, the r…","author":[{"dropping-particle":"","family":"Pierre","given":"N","non-dropping-particle":"","parse-names":false,"suffix":""},{"dropping-particle":"","family":"Huynh-Thu","given":"V A","non-dropping-particle":"","parse-names":false,"suffix":""},{"dropping-particle":"","family":"Baiwir","given":"D","non-dropping-particle":"","parse-names":false,"suffix":""},{"dropping-particle":"","family":"Mazzucchelli","given":"G","non-dropping-particle":"","parse-names":false,"suffix":""},{"dropping-particle":"","family":"Fléron","given":"M","non-dropping-particle":"","parse-names":false,"suffix":""},{"dropping-particle":"","family":"Trzpiot","given":"L","non-dropping-particle":"","parse-names":false,"suffix":""},{"dropping-particle":"","family":"Eppe","given":"G","non-dropping-particle":"","parse-names":false,"suffix":""},{"dropping-particle":"","family":"Laharie","given":"D","non-dropping-particle":"","parse-names":false,"suffix":""},{"dropping-particle":"","family":"Satsangi","given":"J","non-dropping-particle":"","parse-names":false,"suffix":""},{"dropping-particle":"","family":"Colombel","given":"J F","non-dropping-particle":"","parse-names":false,"suffix":""},{"dropping-particle":"","family":"Hertervig","given":"E","non-dropping-particle":"","parse-names":false,"suffix":""},{"dropping-particle":"","family":"Meuwis","given":"M A","non-dropping-particle":"","parse-names":false,"suffix":""},{"dropping-particle":"","family":"Louis","given":"E","non-dropping-particle":"","parse-names":false,"suffix":""},{"dropping-particle":"","family":"group","given":"GETAID and the SPARE-Biocycle research","non-dropping-particle":"","parse-names":false,"suffix":""}],"container-title":"Journal of Crohn's and Colitis","id":"ITEM-1","issue":"Supplement_1","issued":{"date-parts":[["2023","2","1"]]},"page":"i3-i6","title":"OP02 Distinct biological profiles associated with the risk of short-term relapse and mid/long-term relapse in Crohn’s disease patients stopping infliximab","type":"article-journal","volume":"17"},"uris":["http://www.mendeley.com/documents/?uuid=e8a221d2-a183-4eb9-85f1-4ad6f8c81e11"]}],"mendeley":{"formattedCitation":"&lt;sup&gt;28&lt;/sup&gt;","plainTextFormattedCitation":"28","previouslyFormattedCitation":"&lt;sup&gt;25&lt;/sup&gt;"},"properties":{"noteIndex":0},"schema":"https://github.com/citation-style-language/schema/raw/master/csl-citation.json"}</w:instrText>
      </w:r>
      <w:r w:rsidR="00824727" w:rsidRPr="00B40DB0">
        <w:rPr>
          <w:rFonts w:ascii="Times New Roman" w:eastAsia="Times New Roman" w:hAnsi="Times New Roman" w:cs="Times New Roman"/>
          <w:color w:val="000000"/>
          <w:sz w:val="24"/>
          <w:szCs w:val="24"/>
          <w:lang w:val="en-GB"/>
        </w:rPr>
        <w:fldChar w:fldCharType="separate"/>
      </w:r>
      <w:r w:rsidR="005446D9" w:rsidRPr="00B40DB0">
        <w:rPr>
          <w:rFonts w:ascii="Times New Roman" w:eastAsia="Times New Roman" w:hAnsi="Times New Roman" w:cs="Times New Roman"/>
          <w:noProof/>
          <w:color w:val="000000"/>
          <w:sz w:val="24"/>
          <w:szCs w:val="24"/>
          <w:vertAlign w:val="superscript"/>
          <w:lang w:val="en-GB"/>
        </w:rPr>
        <w:t>28</w:t>
      </w:r>
      <w:r w:rsidR="00824727" w:rsidRPr="00B40DB0">
        <w:rPr>
          <w:rFonts w:ascii="Times New Roman" w:eastAsia="Times New Roman" w:hAnsi="Times New Roman" w:cs="Times New Roman"/>
          <w:color w:val="000000"/>
          <w:sz w:val="24"/>
          <w:szCs w:val="24"/>
          <w:lang w:val="en-GB"/>
        </w:rPr>
        <w:fldChar w:fldCharType="end"/>
      </w:r>
      <w:r w:rsidR="002A2161" w:rsidRPr="00B40DB0">
        <w:rPr>
          <w:rFonts w:ascii="Times New Roman" w:eastAsia="Times New Roman" w:hAnsi="Times New Roman" w:cs="Times New Roman"/>
          <w:color w:val="000000"/>
          <w:sz w:val="24"/>
          <w:szCs w:val="24"/>
          <w:lang w:val="en-GB"/>
        </w:rPr>
        <w:t>.</w:t>
      </w:r>
      <w:r w:rsidR="00824727" w:rsidRPr="00B40DB0">
        <w:rPr>
          <w:rFonts w:ascii="Times New Roman" w:eastAsia="Times New Roman" w:hAnsi="Times New Roman" w:cs="Times New Roman"/>
          <w:color w:val="000000"/>
          <w:sz w:val="24"/>
          <w:szCs w:val="24"/>
          <w:lang w:val="en-GB"/>
        </w:rPr>
        <w:t xml:space="preserve"> Overall, by comparing the results from STORI and SPARE, we </w:t>
      </w:r>
      <w:r w:rsidR="00F56899" w:rsidRPr="00B40DB0">
        <w:rPr>
          <w:rFonts w:ascii="Times New Roman" w:eastAsia="Times New Roman" w:hAnsi="Times New Roman" w:cs="Times New Roman"/>
          <w:color w:val="000000"/>
          <w:sz w:val="24"/>
          <w:szCs w:val="24"/>
          <w:lang w:val="en-GB"/>
        </w:rPr>
        <w:t xml:space="preserve">confirmed that, after stopping infliximab in </w:t>
      </w:r>
      <w:r w:rsidR="00BB3B38" w:rsidRPr="00B40DB0">
        <w:rPr>
          <w:rFonts w:ascii="Times New Roman" w:eastAsia="Times New Roman" w:hAnsi="Times New Roman" w:cs="Times New Roman"/>
          <w:color w:val="000000"/>
          <w:sz w:val="24"/>
          <w:szCs w:val="24"/>
          <w:lang w:val="en-GB"/>
        </w:rPr>
        <w:t>CD</w:t>
      </w:r>
      <w:r w:rsidR="00F56899" w:rsidRPr="00B40DB0">
        <w:rPr>
          <w:rFonts w:ascii="Times New Roman" w:eastAsia="Times New Roman" w:hAnsi="Times New Roman" w:cs="Times New Roman"/>
          <w:color w:val="000000"/>
          <w:sz w:val="24"/>
          <w:szCs w:val="24"/>
          <w:lang w:val="en-GB"/>
        </w:rPr>
        <w:t xml:space="preserve"> patients, the risk of short-term and mid/long-term relapse are associated with distinct biological profiles</w:t>
      </w:r>
      <w:r w:rsidR="00F56899" w:rsidRPr="00B40DB0">
        <w:rPr>
          <w:rFonts w:ascii="Times New Roman" w:eastAsia="Times New Roman" w:hAnsi="Times New Roman" w:cs="Times New Roman"/>
          <w:color w:val="000000"/>
          <w:sz w:val="24"/>
          <w:szCs w:val="24"/>
          <w:lang w:val="en-GB"/>
        </w:rPr>
        <w:fldChar w:fldCharType="begin" w:fldLock="1"/>
      </w:r>
      <w:r w:rsidR="005446D9" w:rsidRPr="00B40DB0">
        <w:rPr>
          <w:rFonts w:ascii="Times New Roman" w:eastAsia="Times New Roman" w:hAnsi="Times New Roman" w:cs="Times New Roman"/>
          <w:color w:val="000000"/>
          <w:sz w:val="24"/>
          <w:szCs w:val="24"/>
          <w:lang w:val="en-GB"/>
        </w:rPr>
        <w:instrText>ADDIN CSL_CITATION {"citationItems":[{"id":"ITEM-1","itemData":{"DOI":"10.1093/ecco-jcc/jjac190.0002","ISSN":"1873-9946","abstract":"In Crohn’s disease (CD) patients stopping infliximab (IFX), the risk of short-term relapse (&amp;lt;6 months) and mid/long-term (&amp;gt;6 months) relapse were associated with distinct biological profiles (STORI trial). Herein, we aim to test the external validity of this finding in an independent trial (SPARE).The SPARE trial has included 211 CD patients (from 64 sites in Europe and Australia) in steroid-free remission &amp;gt;6 months, receiving a combined therapy (IFX and immunosuppressant (IS)) &amp;gt;8 months and who were then randomised in three arms: continuing combo, stopping IFX or stopping IS. The arm stopping IFX was used to externally validate our findings generated in the STORI trial. To this end, the measurement of 161 proteins obtained in the baseline serum of STORI was repeated in SPARE (arm stopping IFX) with the same technologies: selected reaction monitoring (SRM, 69 proteins measured in 67 patients) or proximity extension assay (PEA, 92 proteins measured in 63 patients). Associations between serum protein levels and time to relapse (HR: hazard ratio and its associated statistics) were determined by using univariable Cox model in the stratified (relapse &amp;lt;6 or &amp;gt;6 months) and non-stratified cohort.The blood proteins depicting the risk of short-term or mid/long-term relapse in STORI and SPARE were selected as shown Fig. 1 (SRM) and Fig. 2 (PEA). The representation of those markers in volcano plots clearly confirmed that short-term and mid/long-term relapsers present distinct biological profiles (Fig. 3-4). This is also corroborated by the fact that only ORM1 was selected as a marker of short-term and mid/long-term relapse (Fig. 1-2). In STORI and SPARE, the risk of short-term relapse was associated (p-value&amp;lt;0.05) with a high serum level of inflammatory markers (IL6, CRP, HPR, ORM1, LRG1, HP, CP, APCS, ITIH3), complement components (C8B, C4B), blood coagulation proteins (F9, SERPIND1), markers of dendritic cells (LAMP3, CLEC4C) and a low serum level of a complement component (MASP1) (Fig. 1-2-3). In STORI and SPARE, the risk of mid/long-term relapse was associated (p-value&amp;lt;0.05) with a high serum level of a complement component (CFB) and a low serum level of a protease inhibitor (SERPINA4), a growth factor (FGF2), an anti-inflammatory cytokine (IL10) (Fig. 1-2-4). For other proteins, STORI and SPARE showed convergent tendencies (p-value&amp;lt;0.01; Fig. 1-2-3-4) or differences (Fig. 1-2).We confirm that, after stopping IFX in CD patients, the r…","author":[{"dropping-particle":"","family":"Pierre","given":"N","non-dropping-particle":"","parse-names":false,"suffix":""},{"dropping-particle":"","family":"Huynh-Thu","given":"V A","non-dropping-particle":"","parse-names":false,"suffix":""},{"dropping-particle":"","family":"Baiwir","given":"D","non-dropping-particle":"","parse-names":false,"suffix":""},{"dropping-particle":"","family":"Mazzucchelli","given":"G","non-dropping-particle":"","parse-names":false,"suffix":""},{"dropping-particle":"","family":"Fléron","given":"M","non-dropping-particle":"","parse-names":false,"suffix":""},{"dropping-particle":"","family":"Trzpiot","given":"L","non-dropping-particle":"","parse-names":false,"suffix":""},{"dropping-particle":"","family":"Eppe","given":"G","non-dropping-particle":"","parse-names":false,"suffix":""},{"dropping-particle":"","family":"Laharie","given":"D","non-dropping-particle":"","parse-names":false,"suffix":""},{"dropping-particle":"","family":"Satsangi","given":"J","non-dropping-particle":"","parse-names":false,"suffix":""},{"dropping-particle":"","family":"Colombel","given":"J F","non-dropping-particle":"","parse-names":false,"suffix":""},{"dropping-particle":"","family":"Hertervig","given":"E","non-dropping-particle":"","parse-names":false,"suffix":""},{"dropping-particle":"","family":"Meuwis","given":"M A","non-dropping-particle":"","parse-names":false,"suffix":""},{"dropping-particle":"","family":"Louis","given":"E","non-dropping-particle":"","parse-names":false,"suffix":""},{"dropping-particle":"","family":"group","given":"GETAID and the SPARE-Biocycle research","non-dropping-particle":"","parse-names":false,"suffix":""}],"container-title":"Journal of Crohn's and Colitis","id":"ITEM-1","issue":"Supplement_1","issued":{"date-parts":[["2023","2","1"]]},"page":"i3-i6","title":"OP02 Distinct biological profiles associated with the risk of short-term relapse and mid/long-term relapse in Crohn’s disease patients stopping infliximab","type":"article-journal","volume":"17"},"uris":["http://www.mendeley.com/documents/?uuid=e8a221d2-a183-4eb9-85f1-4ad6f8c81e11"]}],"mendeley":{"formattedCitation":"&lt;sup&gt;28&lt;/sup&gt;","plainTextFormattedCitation":"28","previouslyFormattedCitation":"&lt;sup&gt;25&lt;/sup&gt;"},"properties":{"noteIndex":0},"schema":"https://github.com/citation-style-language/schema/raw/master/csl-citation.json"}</w:instrText>
      </w:r>
      <w:r w:rsidR="00F56899" w:rsidRPr="00B40DB0">
        <w:rPr>
          <w:rFonts w:ascii="Times New Roman" w:eastAsia="Times New Roman" w:hAnsi="Times New Roman" w:cs="Times New Roman"/>
          <w:color w:val="000000"/>
          <w:sz w:val="24"/>
          <w:szCs w:val="24"/>
          <w:lang w:val="en-GB"/>
        </w:rPr>
        <w:fldChar w:fldCharType="separate"/>
      </w:r>
      <w:r w:rsidR="005446D9" w:rsidRPr="00B40DB0">
        <w:rPr>
          <w:rFonts w:ascii="Times New Roman" w:eastAsia="Times New Roman" w:hAnsi="Times New Roman" w:cs="Times New Roman"/>
          <w:noProof/>
          <w:color w:val="000000"/>
          <w:sz w:val="24"/>
          <w:szCs w:val="24"/>
          <w:vertAlign w:val="superscript"/>
          <w:lang w:val="en-GB"/>
        </w:rPr>
        <w:t>28</w:t>
      </w:r>
      <w:r w:rsidR="00F56899" w:rsidRPr="00B40DB0">
        <w:rPr>
          <w:rFonts w:ascii="Times New Roman" w:eastAsia="Times New Roman" w:hAnsi="Times New Roman" w:cs="Times New Roman"/>
          <w:color w:val="000000"/>
          <w:sz w:val="24"/>
          <w:szCs w:val="24"/>
          <w:lang w:val="en-GB"/>
        </w:rPr>
        <w:fldChar w:fldCharType="end"/>
      </w:r>
      <w:r w:rsidR="00F56899" w:rsidRPr="00B40DB0">
        <w:rPr>
          <w:rFonts w:ascii="Times New Roman" w:eastAsia="Times New Roman" w:hAnsi="Times New Roman" w:cs="Times New Roman"/>
          <w:color w:val="000000"/>
          <w:sz w:val="24"/>
          <w:szCs w:val="24"/>
          <w:lang w:val="en-GB"/>
        </w:rPr>
        <w:t>.</w:t>
      </w:r>
      <w:r w:rsidR="008129D6">
        <w:rPr>
          <w:rFonts w:ascii="Times New Roman" w:eastAsia="Times New Roman" w:hAnsi="Times New Roman" w:cs="Times New Roman"/>
          <w:color w:val="000000"/>
          <w:sz w:val="24"/>
          <w:szCs w:val="24"/>
          <w:lang w:val="en-GB"/>
        </w:rPr>
        <w:t xml:space="preserve"> All t</w:t>
      </w:r>
      <w:r w:rsidR="0026125D" w:rsidRPr="00C54D13">
        <w:rPr>
          <w:rFonts w:ascii="Times New Roman" w:eastAsia="Times New Roman" w:hAnsi="Times New Roman" w:cs="Times New Roman"/>
          <w:color w:val="000000"/>
          <w:sz w:val="24"/>
          <w:szCs w:val="24"/>
          <w:lang w:val="en-GB"/>
        </w:rPr>
        <w:t xml:space="preserve">hese findings </w:t>
      </w:r>
      <w:r w:rsidR="00B07FE0" w:rsidRPr="00C54D13">
        <w:rPr>
          <w:rFonts w:ascii="Times New Roman" w:eastAsia="Times New Roman" w:hAnsi="Times New Roman" w:cs="Times New Roman"/>
          <w:color w:val="000000"/>
          <w:sz w:val="24"/>
          <w:szCs w:val="24"/>
          <w:lang w:val="en-GB"/>
        </w:rPr>
        <w:t>were</w:t>
      </w:r>
      <w:r w:rsidR="0026125D" w:rsidRPr="00C54D13">
        <w:rPr>
          <w:rFonts w:ascii="Times New Roman" w:eastAsia="Times New Roman" w:hAnsi="Times New Roman" w:cs="Times New Roman"/>
          <w:color w:val="000000"/>
          <w:sz w:val="24"/>
          <w:szCs w:val="24"/>
          <w:lang w:val="en-GB"/>
        </w:rPr>
        <w:t xml:space="preserve"> obtained by stratifying </w:t>
      </w:r>
      <w:proofErr w:type="spellStart"/>
      <w:r w:rsidR="00510C6E" w:rsidRPr="00C54D13">
        <w:rPr>
          <w:rFonts w:ascii="Times New Roman" w:eastAsia="Times New Roman" w:hAnsi="Times New Roman" w:cs="Times New Roman"/>
          <w:color w:val="000000"/>
          <w:sz w:val="24"/>
          <w:szCs w:val="24"/>
          <w:lang w:val="en-GB"/>
        </w:rPr>
        <w:t>relapsers</w:t>
      </w:r>
      <w:proofErr w:type="spellEnd"/>
      <w:r w:rsidR="00127F03">
        <w:rPr>
          <w:rFonts w:ascii="Times New Roman" w:eastAsia="Times New Roman" w:hAnsi="Times New Roman" w:cs="Times New Roman"/>
          <w:color w:val="000000"/>
          <w:sz w:val="24"/>
          <w:szCs w:val="24"/>
          <w:lang w:val="en-GB"/>
        </w:rPr>
        <w:t xml:space="preserve"> </w:t>
      </w:r>
      <w:r w:rsidR="0026125D" w:rsidRPr="00C54D13">
        <w:rPr>
          <w:rFonts w:ascii="Times New Roman" w:eastAsia="Times New Roman" w:hAnsi="Times New Roman" w:cs="Times New Roman"/>
          <w:color w:val="000000"/>
          <w:sz w:val="24"/>
          <w:szCs w:val="24"/>
          <w:lang w:val="en-GB"/>
        </w:rPr>
        <w:t>according to their time to relapse (&lt;</w:t>
      </w:r>
      <w:r w:rsidR="00585B41" w:rsidRPr="00C54D13">
        <w:rPr>
          <w:rFonts w:ascii="Times New Roman" w:eastAsia="Times New Roman" w:hAnsi="Times New Roman" w:cs="Times New Roman"/>
          <w:color w:val="000000"/>
          <w:sz w:val="24"/>
          <w:szCs w:val="24"/>
          <w:lang w:val="en-GB"/>
        </w:rPr>
        <w:t xml:space="preserve"> </w:t>
      </w:r>
      <w:r w:rsidR="0026125D" w:rsidRPr="00C54D13">
        <w:rPr>
          <w:rFonts w:ascii="Times New Roman" w:eastAsia="Times New Roman" w:hAnsi="Times New Roman" w:cs="Times New Roman"/>
          <w:color w:val="000000"/>
          <w:sz w:val="24"/>
          <w:szCs w:val="24"/>
          <w:lang w:val="en-GB"/>
        </w:rPr>
        <w:t>6 or &gt; 6</w:t>
      </w:r>
      <w:r w:rsidR="00303C97" w:rsidRPr="00C54D13">
        <w:rPr>
          <w:rFonts w:ascii="Times New Roman" w:eastAsia="Times New Roman" w:hAnsi="Times New Roman" w:cs="Times New Roman"/>
          <w:color w:val="000000"/>
          <w:sz w:val="24"/>
          <w:szCs w:val="24"/>
          <w:lang w:val="en-GB"/>
        </w:rPr>
        <w:t xml:space="preserve"> </w:t>
      </w:r>
      <w:r w:rsidR="0026125D" w:rsidRPr="00C54D13">
        <w:rPr>
          <w:rFonts w:ascii="Times New Roman" w:eastAsia="Times New Roman" w:hAnsi="Times New Roman" w:cs="Times New Roman"/>
          <w:color w:val="000000"/>
          <w:sz w:val="24"/>
          <w:szCs w:val="24"/>
          <w:lang w:val="en-GB"/>
        </w:rPr>
        <w:t xml:space="preserve">months). </w:t>
      </w:r>
      <w:r w:rsidR="0070005C">
        <w:rPr>
          <w:rFonts w:ascii="Times New Roman" w:eastAsia="Times New Roman" w:hAnsi="Times New Roman" w:cs="Times New Roman"/>
          <w:color w:val="000000"/>
          <w:sz w:val="24"/>
          <w:szCs w:val="24"/>
          <w:lang w:val="en-GB"/>
        </w:rPr>
        <w:t>Thus</w:t>
      </w:r>
      <w:r w:rsidR="0026125D" w:rsidRPr="00C54D13">
        <w:rPr>
          <w:rFonts w:ascii="Times New Roman" w:eastAsia="Times New Roman" w:hAnsi="Times New Roman" w:cs="Times New Roman"/>
          <w:color w:val="000000"/>
          <w:sz w:val="24"/>
          <w:szCs w:val="24"/>
          <w:lang w:val="en-GB"/>
        </w:rPr>
        <w:t xml:space="preserve">, short-term </w:t>
      </w:r>
      <w:proofErr w:type="spellStart"/>
      <w:r w:rsidR="0026125D" w:rsidRPr="00C54D13">
        <w:rPr>
          <w:rFonts w:ascii="Times New Roman" w:eastAsia="Times New Roman" w:hAnsi="Times New Roman" w:cs="Times New Roman"/>
          <w:color w:val="000000"/>
          <w:sz w:val="24"/>
          <w:szCs w:val="24"/>
          <w:lang w:val="en-GB"/>
        </w:rPr>
        <w:t>relapsers</w:t>
      </w:r>
      <w:proofErr w:type="spellEnd"/>
      <w:r w:rsidR="00B07FE0" w:rsidRPr="00C54D13">
        <w:rPr>
          <w:rFonts w:ascii="Times New Roman" w:eastAsia="Times New Roman" w:hAnsi="Times New Roman" w:cs="Times New Roman"/>
          <w:color w:val="000000"/>
          <w:sz w:val="24"/>
          <w:szCs w:val="24"/>
          <w:lang w:val="en-GB"/>
        </w:rPr>
        <w:t>, characteri</w:t>
      </w:r>
      <w:r w:rsidR="00666C89" w:rsidRPr="00C54D13">
        <w:rPr>
          <w:rFonts w:ascii="Times New Roman" w:eastAsia="Times New Roman" w:hAnsi="Times New Roman" w:cs="Times New Roman"/>
          <w:color w:val="000000"/>
          <w:sz w:val="24"/>
          <w:szCs w:val="24"/>
          <w:lang w:val="en-GB"/>
        </w:rPr>
        <w:t>s</w:t>
      </w:r>
      <w:r w:rsidR="00B07FE0" w:rsidRPr="00C54D13">
        <w:rPr>
          <w:rFonts w:ascii="Times New Roman" w:eastAsia="Times New Roman" w:hAnsi="Times New Roman" w:cs="Times New Roman"/>
          <w:color w:val="000000"/>
          <w:sz w:val="24"/>
          <w:szCs w:val="24"/>
          <w:lang w:val="en-GB"/>
        </w:rPr>
        <w:t xml:space="preserve">ed by </w:t>
      </w:r>
      <w:r w:rsidR="00F72077">
        <w:rPr>
          <w:rFonts w:ascii="Times New Roman" w:eastAsia="Times New Roman" w:hAnsi="Times New Roman" w:cs="Times New Roman"/>
          <w:color w:val="000000"/>
          <w:sz w:val="24"/>
          <w:szCs w:val="24"/>
          <w:lang w:val="en-GB"/>
        </w:rPr>
        <w:t>a high</w:t>
      </w:r>
      <w:r w:rsidR="00A94CCC">
        <w:rPr>
          <w:rFonts w:ascii="Times New Roman" w:eastAsia="Times New Roman" w:hAnsi="Times New Roman" w:cs="Times New Roman"/>
          <w:color w:val="000000"/>
          <w:sz w:val="24"/>
          <w:szCs w:val="24"/>
          <w:lang w:val="en-GB"/>
        </w:rPr>
        <w:t xml:space="preserve"> serum</w:t>
      </w:r>
      <w:r w:rsidR="00F72077">
        <w:rPr>
          <w:rFonts w:ascii="Times New Roman" w:eastAsia="Times New Roman" w:hAnsi="Times New Roman" w:cs="Times New Roman"/>
          <w:color w:val="000000"/>
          <w:sz w:val="24"/>
          <w:szCs w:val="24"/>
          <w:lang w:val="en-GB"/>
        </w:rPr>
        <w:t xml:space="preserve"> level of inflammatory markers</w:t>
      </w:r>
      <w:r w:rsidR="00B07FE0" w:rsidRPr="00C54D13">
        <w:rPr>
          <w:rFonts w:ascii="Times New Roman" w:eastAsia="Times New Roman" w:hAnsi="Times New Roman" w:cs="Times New Roman"/>
          <w:color w:val="000000"/>
          <w:sz w:val="24"/>
          <w:szCs w:val="24"/>
          <w:lang w:val="en-GB"/>
        </w:rPr>
        <w:t>,</w:t>
      </w:r>
      <w:r w:rsidR="0026125D" w:rsidRPr="00C54D13">
        <w:rPr>
          <w:rFonts w:ascii="Times New Roman" w:eastAsia="Times New Roman" w:hAnsi="Times New Roman" w:cs="Times New Roman"/>
          <w:color w:val="000000"/>
          <w:sz w:val="24"/>
          <w:szCs w:val="24"/>
          <w:lang w:val="en-GB"/>
        </w:rPr>
        <w:t xml:space="preserve"> were analysed separately </w:t>
      </w:r>
      <w:r w:rsidR="00E31FFC">
        <w:rPr>
          <w:rFonts w:ascii="Times New Roman" w:eastAsia="Times New Roman" w:hAnsi="Times New Roman" w:cs="Times New Roman"/>
          <w:color w:val="000000"/>
          <w:sz w:val="24"/>
          <w:szCs w:val="24"/>
          <w:lang w:val="en-GB"/>
        </w:rPr>
        <w:t>and this allowed</w:t>
      </w:r>
      <w:r w:rsidR="0026125D" w:rsidRPr="00C54D13">
        <w:rPr>
          <w:rFonts w:ascii="Times New Roman" w:eastAsia="Times New Roman" w:hAnsi="Times New Roman" w:cs="Times New Roman"/>
          <w:color w:val="000000"/>
          <w:sz w:val="24"/>
          <w:szCs w:val="24"/>
          <w:lang w:val="en-GB"/>
        </w:rPr>
        <w:t xml:space="preserve"> to reveal the distinct biological profile of mid/long-term </w:t>
      </w:r>
      <w:proofErr w:type="spellStart"/>
      <w:r w:rsidR="0026125D" w:rsidRPr="00C54D13">
        <w:rPr>
          <w:rFonts w:ascii="Times New Roman" w:eastAsia="Times New Roman" w:hAnsi="Times New Roman" w:cs="Times New Roman"/>
          <w:color w:val="000000"/>
          <w:sz w:val="24"/>
          <w:szCs w:val="24"/>
          <w:lang w:val="en-GB"/>
        </w:rPr>
        <w:t>relapsers</w:t>
      </w:r>
      <w:proofErr w:type="spellEnd"/>
      <w:r w:rsidR="0026125D" w:rsidRPr="00C54D13">
        <w:rPr>
          <w:rFonts w:ascii="Times New Roman" w:eastAsia="Times New Roman" w:hAnsi="Times New Roman" w:cs="Times New Roman"/>
          <w:color w:val="000000"/>
          <w:sz w:val="24"/>
          <w:szCs w:val="24"/>
          <w:lang w:val="en-GB"/>
        </w:rPr>
        <w:t xml:space="preserve">. </w:t>
      </w:r>
      <w:r w:rsidR="00C67210" w:rsidRPr="00C54D13">
        <w:rPr>
          <w:rFonts w:ascii="Times New Roman" w:eastAsia="Times New Roman" w:hAnsi="Times New Roman" w:cs="Times New Roman"/>
          <w:color w:val="000000"/>
          <w:sz w:val="24"/>
          <w:szCs w:val="24"/>
          <w:lang w:val="en-GB"/>
        </w:rPr>
        <w:t>In other words, w</w:t>
      </w:r>
      <w:r w:rsidR="0075303D">
        <w:rPr>
          <w:rFonts w:ascii="Times New Roman" w:eastAsia="Times New Roman" w:hAnsi="Times New Roman" w:cs="Times New Roman"/>
          <w:color w:val="000000"/>
          <w:sz w:val="24"/>
          <w:szCs w:val="24"/>
          <w:lang w:val="en-GB"/>
        </w:rPr>
        <w:t>e pointed out that</w:t>
      </w:r>
      <w:r w:rsidR="00BB31E8" w:rsidRPr="00C54D13">
        <w:rPr>
          <w:rFonts w:ascii="Times New Roman" w:eastAsia="Times New Roman" w:hAnsi="Times New Roman" w:cs="Times New Roman"/>
          <w:color w:val="000000"/>
          <w:sz w:val="24"/>
          <w:szCs w:val="24"/>
          <w:lang w:val="en-GB"/>
        </w:rPr>
        <w:t xml:space="preserve"> relapse </w:t>
      </w:r>
      <w:r w:rsidR="00B07FE0" w:rsidRPr="00C54D13">
        <w:rPr>
          <w:rFonts w:ascii="Times New Roman" w:eastAsia="Times New Roman" w:hAnsi="Times New Roman" w:cs="Times New Roman"/>
          <w:color w:val="000000"/>
          <w:sz w:val="24"/>
          <w:szCs w:val="24"/>
          <w:lang w:val="en-GB"/>
        </w:rPr>
        <w:t>wa</w:t>
      </w:r>
      <w:r w:rsidR="00BB31E8" w:rsidRPr="00C54D13">
        <w:rPr>
          <w:rFonts w:ascii="Times New Roman" w:eastAsia="Times New Roman" w:hAnsi="Times New Roman" w:cs="Times New Roman"/>
          <w:color w:val="000000"/>
          <w:sz w:val="24"/>
          <w:szCs w:val="24"/>
          <w:lang w:val="en-GB"/>
        </w:rPr>
        <w:t>s just the tip of the iceberg</w:t>
      </w:r>
      <w:r w:rsidR="008D113A" w:rsidRPr="00C54D13">
        <w:rPr>
          <w:rFonts w:ascii="Times New Roman" w:eastAsia="Times New Roman" w:hAnsi="Times New Roman" w:cs="Times New Roman"/>
          <w:color w:val="000000"/>
          <w:sz w:val="24"/>
          <w:szCs w:val="24"/>
          <w:lang w:val="en-GB"/>
        </w:rPr>
        <w:t>,</w:t>
      </w:r>
      <w:r w:rsidR="00BB31E8" w:rsidRPr="00C54D13">
        <w:rPr>
          <w:rFonts w:ascii="Times New Roman" w:eastAsia="Times New Roman" w:hAnsi="Times New Roman" w:cs="Times New Roman"/>
          <w:color w:val="000000"/>
          <w:sz w:val="24"/>
          <w:szCs w:val="24"/>
          <w:lang w:val="en-GB"/>
        </w:rPr>
        <w:t xml:space="preserve"> hiding a succession of biological events which culminate</w:t>
      </w:r>
      <w:r w:rsidR="002447EE">
        <w:rPr>
          <w:rFonts w:ascii="Times New Roman" w:eastAsia="Times New Roman" w:hAnsi="Times New Roman" w:cs="Times New Roman"/>
          <w:color w:val="000000"/>
          <w:sz w:val="24"/>
          <w:szCs w:val="24"/>
          <w:lang w:val="en-GB"/>
        </w:rPr>
        <w:t>s</w:t>
      </w:r>
      <w:r w:rsidR="00BB31E8" w:rsidRPr="00C54D13">
        <w:rPr>
          <w:rFonts w:ascii="Times New Roman" w:eastAsia="Times New Roman" w:hAnsi="Times New Roman" w:cs="Times New Roman"/>
          <w:color w:val="000000"/>
          <w:sz w:val="24"/>
          <w:szCs w:val="24"/>
          <w:lang w:val="en-GB"/>
        </w:rPr>
        <w:t xml:space="preserve"> with th</w:t>
      </w:r>
      <w:r w:rsidR="00E74FD0" w:rsidRPr="00C54D13">
        <w:rPr>
          <w:rFonts w:ascii="Times New Roman" w:eastAsia="Times New Roman" w:hAnsi="Times New Roman" w:cs="Times New Roman"/>
          <w:color w:val="000000"/>
          <w:sz w:val="24"/>
          <w:szCs w:val="24"/>
          <w:lang w:val="en-GB"/>
        </w:rPr>
        <w:t>e inflammatory flare</w:t>
      </w:r>
      <w:r w:rsidR="00B07FE0" w:rsidRPr="00C54D13">
        <w:rPr>
          <w:rFonts w:ascii="Times New Roman" w:eastAsia="Times New Roman" w:hAnsi="Times New Roman" w:cs="Times New Roman"/>
          <w:color w:val="000000"/>
          <w:sz w:val="24"/>
          <w:szCs w:val="24"/>
          <w:lang w:val="en-GB"/>
        </w:rPr>
        <w:t xml:space="preserve">. </w:t>
      </w:r>
      <w:r w:rsidR="00E21565">
        <w:rPr>
          <w:rFonts w:ascii="Times New Roman" w:eastAsia="Times New Roman" w:hAnsi="Times New Roman" w:cs="Times New Roman"/>
          <w:color w:val="000000"/>
          <w:sz w:val="24"/>
          <w:szCs w:val="24"/>
          <w:lang w:val="en-GB"/>
        </w:rPr>
        <w:t>Based on our</w:t>
      </w:r>
      <w:r w:rsidR="00811236">
        <w:rPr>
          <w:rFonts w:ascii="Times New Roman" w:eastAsia="Times New Roman" w:hAnsi="Times New Roman" w:cs="Times New Roman"/>
          <w:color w:val="000000"/>
          <w:sz w:val="24"/>
          <w:szCs w:val="24"/>
          <w:lang w:val="en-GB"/>
        </w:rPr>
        <w:t xml:space="preserve"> </w:t>
      </w:r>
      <w:r w:rsidR="00E21565">
        <w:rPr>
          <w:rFonts w:ascii="Times New Roman" w:eastAsia="Times New Roman" w:hAnsi="Times New Roman" w:cs="Times New Roman"/>
          <w:color w:val="000000"/>
          <w:sz w:val="24"/>
          <w:szCs w:val="24"/>
          <w:lang w:val="en-GB"/>
        </w:rPr>
        <w:t>work</w:t>
      </w:r>
      <w:r w:rsidR="00811236">
        <w:rPr>
          <w:rFonts w:ascii="Times New Roman" w:eastAsia="Times New Roman" w:hAnsi="Times New Roman" w:cs="Times New Roman"/>
          <w:color w:val="000000"/>
          <w:sz w:val="24"/>
          <w:szCs w:val="24"/>
          <w:lang w:val="en-GB"/>
        </w:rPr>
        <w:t>,</w:t>
      </w:r>
      <w:r w:rsidR="00B829F6" w:rsidRPr="00C54D13">
        <w:rPr>
          <w:rFonts w:ascii="Times New Roman" w:eastAsia="Times New Roman" w:hAnsi="Times New Roman" w:cs="Times New Roman"/>
          <w:color w:val="000000"/>
          <w:sz w:val="24"/>
          <w:szCs w:val="24"/>
          <w:lang w:val="en-GB"/>
        </w:rPr>
        <w:t xml:space="preserve"> </w:t>
      </w:r>
      <w:r w:rsidR="00EA2564" w:rsidRPr="00C54D13">
        <w:rPr>
          <w:rFonts w:ascii="Times New Roman" w:eastAsia="Times New Roman" w:hAnsi="Times New Roman" w:cs="Times New Roman"/>
          <w:color w:val="000000"/>
          <w:sz w:val="24"/>
          <w:szCs w:val="24"/>
          <w:lang w:val="en-GB"/>
        </w:rPr>
        <w:t xml:space="preserve">we propose herein </w:t>
      </w:r>
      <w:r w:rsidR="0055364E">
        <w:rPr>
          <w:rFonts w:ascii="Times New Roman" w:eastAsia="Times New Roman" w:hAnsi="Times New Roman" w:cs="Times New Roman"/>
          <w:color w:val="000000"/>
          <w:sz w:val="24"/>
          <w:szCs w:val="24"/>
          <w:lang w:val="en-GB"/>
        </w:rPr>
        <w:t>a conceptual definition of</w:t>
      </w:r>
      <w:r w:rsidR="00EA2564" w:rsidRPr="00C54D13">
        <w:rPr>
          <w:rFonts w:ascii="Times New Roman" w:eastAsia="Times New Roman" w:hAnsi="Times New Roman" w:cs="Times New Roman"/>
          <w:color w:val="000000"/>
          <w:sz w:val="24"/>
          <w:szCs w:val="24"/>
          <w:lang w:val="en-GB"/>
        </w:rPr>
        <w:t xml:space="preserve"> </w:t>
      </w:r>
      <w:r w:rsidR="0055364E">
        <w:rPr>
          <w:rFonts w:ascii="Times New Roman" w:eastAsia="Times New Roman" w:hAnsi="Times New Roman" w:cs="Times New Roman"/>
          <w:color w:val="000000"/>
          <w:sz w:val="24"/>
          <w:szCs w:val="24"/>
          <w:lang w:val="en-GB"/>
        </w:rPr>
        <w:t>biological remission</w:t>
      </w:r>
      <w:r w:rsidR="00324E0F">
        <w:rPr>
          <w:rFonts w:ascii="Times New Roman" w:eastAsia="Times New Roman" w:hAnsi="Times New Roman" w:cs="Times New Roman"/>
          <w:color w:val="000000"/>
          <w:sz w:val="24"/>
          <w:szCs w:val="24"/>
          <w:lang w:val="en-GB"/>
        </w:rPr>
        <w:t xml:space="preserve"> </w:t>
      </w:r>
      <w:r w:rsidR="00324E0F" w:rsidRPr="00324E0F">
        <w:rPr>
          <w:rFonts w:ascii="Times New Roman" w:eastAsia="Times New Roman" w:hAnsi="Times New Roman" w:cs="Times New Roman"/>
          <w:color w:val="000000"/>
          <w:sz w:val="24"/>
          <w:szCs w:val="24"/>
          <w:lang w:val="en-GB"/>
        </w:rPr>
        <w:t xml:space="preserve">which goes beyond the classical normalisation of </w:t>
      </w:r>
      <w:r w:rsidR="00324E0F">
        <w:rPr>
          <w:rFonts w:ascii="Times New Roman" w:eastAsia="Times New Roman" w:hAnsi="Times New Roman" w:cs="Times New Roman"/>
          <w:color w:val="000000"/>
          <w:sz w:val="24"/>
          <w:szCs w:val="24"/>
          <w:lang w:val="en-GB"/>
        </w:rPr>
        <w:t>CRP</w:t>
      </w:r>
      <w:r w:rsidR="0000505A">
        <w:rPr>
          <w:rFonts w:ascii="Times New Roman" w:eastAsia="Times New Roman" w:hAnsi="Times New Roman" w:cs="Times New Roman"/>
          <w:color w:val="000000"/>
          <w:sz w:val="24"/>
          <w:szCs w:val="24"/>
          <w:lang w:val="en-GB"/>
        </w:rPr>
        <w:t xml:space="preserve"> and </w:t>
      </w:r>
      <w:r w:rsidR="0000505A" w:rsidRPr="00324E0F">
        <w:rPr>
          <w:rFonts w:ascii="Times New Roman" w:eastAsia="Times New Roman" w:hAnsi="Times New Roman" w:cs="Times New Roman"/>
          <w:color w:val="000000"/>
          <w:sz w:val="24"/>
          <w:szCs w:val="24"/>
          <w:lang w:val="en-GB"/>
        </w:rPr>
        <w:t>faecal</w:t>
      </w:r>
      <w:r w:rsidR="00324E0F" w:rsidRPr="00324E0F">
        <w:rPr>
          <w:rFonts w:ascii="Times New Roman" w:eastAsia="Times New Roman" w:hAnsi="Times New Roman" w:cs="Times New Roman"/>
          <w:color w:val="000000"/>
          <w:sz w:val="24"/>
          <w:szCs w:val="24"/>
          <w:lang w:val="en-GB"/>
        </w:rPr>
        <w:t xml:space="preserve"> calprotectin</w:t>
      </w:r>
      <w:r w:rsidR="00070F58">
        <w:rPr>
          <w:rFonts w:ascii="Times New Roman" w:eastAsia="Times New Roman" w:hAnsi="Times New Roman" w:cs="Times New Roman"/>
          <w:color w:val="000000"/>
          <w:sz w:val="24"/>
          <w:szCs w:val="24"/>
          <w:lang w:val="en-GB"/>
        </w:rPr>
        <w:t xml:space="preserve">: </w:t>
      </w:r>
      <w:r w:rsidR="009F5B84" w:rsidRPr="009F5B84">
        <w:rPr>
          <w:rFonts w:ascii="Times New Roman" w:eastAsia="Times New Roman" w:hAnsi="Times New Roman" w:cs="Times New Roman"/>
          <w:color w:val="000000"/>
          <w:sz w:val="24"/>
          <w:szCs w:val="24"/>
          <w:lang w:val="en-GB"/>
        </w:rPr>
        <w:t>absence of biological signs associated with the risk of short-term relapse and mid/long-term relapse</w:t>
      </w:r>
      <w:r w:rsidR="00425D59">
        <w:rPr>
          <w:rFonts w:ascii="Times New Roman" w:eastAsia="Times New Roman" w:hAnsi="Times New Roman" w:cs="Times New Roman"/>
          <w:color w:val="000000"/>
          <w:sz w:val="24"/>
          <w:szCs w:val="24"/>
          <w:lang w:val="en-GB"/>
        </w:rPr>
        <w:t xml:space="preserve"> (Table 1)</w:t>
      </w:r>
      <w:r w:rsidR="00EA2564" w:rsidRPr="00C54D13">
        <w:rPr>
          <w:rFonts w:ascii="Times New Roman" w:eastAsia="Times New Roman" w:hAnsi="Times New Roman" w:cs="Times New Roman"/>
          <w:color w:val="000000"/>
          <w:sz w:val="24"/>
          <w:szCs w:val="24"/>
          <w:lang w:val="en-GB"/>
        </w:rPr>
        <w:t>.</w:t>
      </w:r>
      <w:r w:rsidR="00E650BB" w:rsidRPr="00C54D13">
        <w:rPr>
          <w:rFonts w:ascii="Times New Roman" w:eastAsia="Times New Roman" w:hAnsi="Times New Roman" w:cs="Times New Roman"/>
          <w:color w:val="000000"/>
          <w:sz w:val="24"/>
          <w:szCs w:val="24"/>
          <w:lang w:val="en-GB"/>
        </w:rPr>
        <w:t xml:space="preserve"> Such definition stresses the idea that an absence of residual inflammation (</w:t>
      </w:r>
      <w:r w:rsidR="00AE43AE">
        <w:rPr>
          <w:rFonts w:ascii="Times New Roman" w:eastAsia="Times New Roman" w:hAnsi="Times New Roman" w:cs="Times New Roman"/>
          <w:color w:val="000000"/>
          <w:sz w:val="24"/>
          <w:szCs w:val="24"/>
          <w:lang w:val="en-GB"/>
        </w:rPr>
        <w:t xml:space="preserve">no </w:t>
      </w:r>
      <w:r w:rsidR="00AE43AE">
        <w:rPr>
          <w:rFonts w:ascii="Times New Roman" w:eastAsia="Times New Roman" w:hAnsi="Times New Roman" w:cs="Times New Roman"/>
          <w:color w:val="000000"/>
          <w:sz w:val="24"/>
          <w:szCs w:val="24"/>
          <w:lang w:val="en-GB"/>
        </w:rPr>
        <w:lastRenderedPageBreak/>
        <w:t xml:space="preserve">biological </w:t>
      </w:r>
      <w:r w:rsidR="00E650BB" w:rsidRPr="00C54D13">
        <w:rPr>
          <w:rFonts w:ascii="Times New Roman" w:eastAsia="Times New Roman" w:hAnsi="Times New Roman" w:cs="Times New Roman"/>
          <w:color w:val="000000"/>
          <w:sz w:val="24"/>
          <w:szCs w:val="24"/>
          <w:lang w:val="en-GB"/>
        </w:rPr>
        <w:t xml:space="preserve">risk </w:t>
      </w:r>
      <w:r w:rsidR="00AE43AE">
        <w:rPr>
          <w:rFonts w:ascii="Times New Roman" w:eastAsia="Times New Roman" w:hAnsi="Times New Roman" w:cs="Times New Roman"/>
          <w:color w:val="000000"/>
          <w:sz w:val="24"/>
          <w:szCs w:val="24"/>
          <w:lang w:val="en-GB"/>
        </w:rPr>
        <w:t xml:space="preserve">factors </w:t>
      </w:r>
      <w:r w:rsidR="00E650BB" w:rsidRPr="00C54D13">
        <w:rPr>
          <w:rFonts w:ascii="Times New Roman" w:eastAsia="Times New Roman" w:hAnsi="Times New Roman" w:cs="Times New Roman"/>
          <w:color w:val="000000"/>
          <w:sz w:val="24"/>
          <w:szCs w:val="24"/>
          <w:lang w:val="en-GB"/>
        </w:rPr>
        <w:t>of short-term relapse) is</w:t>
      </w:r>
      <w:r w:rsidR="00F61EC2" w:rsidRPr="00C54D13">
        <w:rPr>
          <w:rFonts w:ascii="Times New Roman" w:eastAsia="Times New Roman" w:hAnsi="Times New Roman" w:cs="Times New Roman"/>
          <w:color w:val="000000"/>
          <w:sz w:val="24"/>
          <w:szCs w:val="24"/>
          <w:lang w:val="en-GB"/>
        </w:rPr>
        <w:t xml:space="preserve"> a</w:t>
      </w:r>
      <w:r w:rsidR="00E650BB" w:rsidRPr="00C54D13">
        <w:rPr>
          <w:rFonts w:ascii="Times New Roman" w:eastAsia="Times New Roman" w:hAnsi="Times New Roman" w:cs="Times New Roman"/>
          <w:color w:val="000000"/>
          <w:sz w:val="24"/>
          <w:szCs w:val="24"/>
          <w:lang w:val="en-GB"/>
        </w:rPr>
        <w:t xml:space="preserve"> necessary but not sufficient condition to </w:t>
      </w:r>
      <w:r w:rsidR="00F61EC2" w:rsidRPr="00C54D13">
        <w:rPr>
          <w:rFonts w:ascii="Times New Roman" w:eastAsia="Times New Roman" w:hAnsi="Times New Roman" w:cs="Times New Roman"/>
          <w:color w:val="000000"/>
          <w:sz w:val="24"/>
          <w:szCs w:val="24"/>
          <w:lang w:val="en-GB"/>
        </w:rPr>
        <w:t xml:space="preserve">define </w:t>
      </w:r>
      <w:r w:rsidR="00E650BB" w:rsidRPr="00C54D13">
        <w:rPr>
          <w:rFonts w:ascii="Times New Roman" w:eastAsia="Times New Roman" w:hAnsi="Times New Roman" w:cs="Times New Roman"/>
          <w:color w:val="000000"/>
          <w:sz w:val="24"/>
          <w:szCs w:val="24"/>
          <w:lang w:val="en-GB"/>
        </w:rPr>
        <w:t>biological remission.</w:t>
      </w:r>
      <w:r w:rsidR="00A3312C" w:rsidRPr="00C54D13">
        <w:rPr>
          <w:rFonts w:ascii="Times New Roman" w:eastAsia="Times New Roman" w:hAnsi="Times New Roman" w:cs="Times New Roman"/>
          <w:color w:val="000000"/>
          <w:sz w:val="24"/>
          <w:szCs w:val="24"/>
          <w:lang w:val="en-GB"/>
        </w:rPr>
        <w:t xml:space="preserve"> </w:t>
      </w:r>
    </w:p>
    <w:p w14:paraId="190C47D4" w14:textId="77777777" w:rsidR="0095496B" w:rsidRDefault="0095496B" w:rsidP="002305F9">
      <w:pPr>
        <w:spacing w:after="0" w:line="480" w:lineRule="auto"/>
        <w:jc w:val="both"/>
        <w:rPr>
          <w:rFonts w:ascii="Times New Roman" w:eastAsia="Times New Roman" w:hAnsi="Times New Roman" w:cs="Times New Roman"/>
          <w:color w:val="000000"/>
          <w:sz w:val="24"/>
          <w:szCs w:val="24"/>
          <w:lang w:val="en-GB"/>
        </w:rPr>
      </w:pPr>
    </w:p>
    <w:p w14:paraId="0C5D7AA5" w14:textId="3D0FF3BC" w:rsidR="0095496B" w:rsidRDefault="0095496B" w:rsidP="0095496B">
      <w:pPr>
        <w:spacing w:after="0" w:line="480" w:lineRule="auto"/>
        <w:jc w:val="both"/>
        <w:rPr>
          <w:rFonts w:ascii="Times New Roman" w:eastAsia="Times New Roman" w:hAnsi="Times New Roman" w:cs="Times New Roman"/>
          <w:b/>
          <w:color w:val="000000"/>
          <w:sz w:val="24"/>
          <w:szCs w:val="24"/>
          <w:lang w:val="en-GB"/>
        </w:rPr>
      </w:pPr>
      <w:r w:rsidRPr="0095496B">
        <w:rPr>
          <w:rFonts w:ascii="Times New Roman" w:eastAsia="Times New Roman" w:hAnsi="Times New Roman" w:cs="Times New Roman"/>
          <w:b/>
          <w:color w:val="000000"/>
          <w:sz w:val="24"/>
          <w:szCs w:val="24"/>
          <w:lang w:val="en-GB"/>
        </w:rPr>
        <w:t xml:space="preserve">4. </w:t>
      </w:r>
      <w:r w:rsidR="00204406">
        <w:rPr>
          <w:rFonts w:ascii="Times New Roman" w:eastAsia="Times New Roman" w:hAnsi="Times New Roman" w:cs="Times New Roman"/>
          <w:b/>
          <w:color w:val="000000"/>
          <w:sz w:val="24"/>
          <w:szCs w:val="24"/>
          <w:lang w:val="en-GB"/>
        </w:rPr>
        <w:t>Potential</w:t>
      </w:r>
      <w:r w:rsidR="009541E8">
        <w:rPr>
          <w:rFonts w:ascii="Times New Roman" w:eastAsia="Times New Roman" w:hAnsi="Times New Roman" w:cs="Times New Roman"/>
          <w:b/>
          <w:color w:val="000000"/>
          <w:sz w:val="24"/>
          <w:szCs w:val="24"/>
          <w:lang w:val="en-GB"/>
        </w:rPr>
        <w:t xml:space="preserve"> interest</w:t>
      </w:r>
      <w:r w:rsidR="00204406">
        <w:rPr>
          <w:rFonts w:ascii="Times New Roman" w:eastAsia="Times New Roman" w:hAnsi="Times New Roman" w:cs="Times New Roman"/>
          <w:b/>
          <w:color w:val="000000"/>
          <w:sz w:val="24"/>
          <w:szCs w:val="24"/>
          <w:lang w:val="en-GB"/>
        </w:rPr>
        <w:t xml:space="preserve"> of biological remission to guide treatment decision</w:t>
      </w:r>
      <w:r w:rsidR="00544C3B">
        <w:rPr>
          <w:rFonts w:ascii="Times New Roman" w:eastAsia="Times New Roman" w:hAnsi="Times New Roman" w:cs="Times New Roman"/>
          <w:b/>
          <w:color w:val="000000"/>
          <w:sz w:val="24"/>
          <w:szCs w:val="24"/>
          <w:lang w:val="en-GB"/>
        </w:rPr>
        <w:t>s</w:t>
      </w:r>
    </w:p>
    <w:p w14:paraId="2145642B" w14:textId="354F00F5" w:rsidR="00FA28C8" w:rsidRPr="00711AF5" w:rsidRDefault="00DD582D" w:rsidP="00711AF5">
      <w:pPr>
        <w:spacing w:after="0" w:line="480" w:lineRule="auto"/>
        <w:jc w:val="both"/>
        <w:rPr>
          <w:rFonts w:ascii="Times New Roman" w:eastAsia="Times New Roman" w:hAnsi="Times New Roman" w:cs="Times New Roman"/>
          <w:bCs/>
          <w:color w:val="000000"/>
          <w:sz w:val="24"/>
          <w:szCs w:val="24"/>
          <w:lang w:val="en-GB"/>
        </w:rPr>
      </w:pPr>
      <w:r w:rsidRPr="00C54D13">
        <w:rPr>
          <w:rFonts w:ascii="Times New Roman" w:eastAsia="Times New Roman" w:hAnsi="Times New Roman" w:cs="Times New Roman"/>
          <w:color w:val="000000"/>
          <w:sz w:val="24"/>
          <w:szCs w:val="24"/>
          <w:lang w:val="en-GB"/>
        </w:rPr>
        <w:t xml:space="preserve">Theoretically, associating biological </w:t>
      </w:r>
      <w:r w:rsidR="00946E3D">
        <w:rPr>
          <w:rFonts w:ascii="Times New Roman" w:eastAsia="Times New Roman" w:hAnsi="Times New Roman" w:cs="Times New Roman"/>
          <w:color w:val="000000"/>
          <w:sz w:val="24"/>
          <w:szCs w:val="24"/>
          <w:lang w:val="en-GB"/>
        </w:rPr>
        <w:t>parameters</w:t>
      </w:r>
      <w:r w:rsidRPr="00C54D13">
        <w:rPr>
          <w:rFonts w:ascii="Times New Roman" w:eastAsia="Times New Roman" w:hAnsi="Times New Roman" w:cs="Times New Roman"/>
          <w:color w:val="000000"/>
          <w:sz w:val="24"/>
          <w:szCs w:val="24"/>
          <w:lang w:val="en-GB"/>
        </w:rPr>
        <w:t xml:space="preserve"> with</w:t>
      </w:r>
      <w:r w:rsidR="007268DA" w:rsidRPr="00C54D13">
        <w:rPr>
          <w:rFonts w:ascii="Times New Roman" w:eastAsia="Times New Roman" w:hAnsi="Times New Roman" w:cs="Times New Roman"/>
          <w:color w:val="000000"/>
          <w:sz w:val="24"/>
          <w:szCs w:val="24"/>
          <w:lang w:val="en-GB"/>
        </w:rPr>
        <w:t xml:space="preserve"> </w:t>
      </w:r>
      <w:r w:rsidRPr="00C54D13">
        <w:rPr>
          <w:rFonts w:ascii="Times New Roman" w:eastAsia="Times New Roman" w:hAnsi="Times New Roman" w:cs="Times New Roman"/>
          <w:color w:val="000000"/>
          <w:sz w:val="24"/>
          <w:szCs w:val="24"/>
          <w:lang w:val="en-GB"/>
        </w:rPr>
        <w:t>prediction time-window</w:t>
      </w:r>
      <w:r w:rsidR="00915FF0">
        <w:rPr>
          <w:rFonts w:ascii="Times New Roman" w:eastAsia="Times New Roman" w:hAnsi="Times New Roman" w:cs="Times New Roman"/>
          <w:color w:val="000000"/>
          <w:sz w:val="24"/>
          <w:szCs w:val="24"/>
          <w:lang w:val="en-GB"/>
        </w:rPr>
        <w:t>s</w:t>
      </w:r>
      <w:r w:rsidRPr="00C54D13">
        <w:rPr>
          <w:rFonts w:ascii="Times New Roman" w:eastAsia="Times New Roman" w:hAnsi="Times New Roman" w:cs="Times New Roman"/>
          <w:color w:val="000000"/>
          <w:sz w:val="24"/>
          <w:szCs w:val="24"/>
          <w:lang w:val="en-GB"/>
        </w:rPr>
        <w:t xml:space="preserve"> could </w:t>
      </w:r>
      <w:r w:rsidR="00077C07">
        <w:rPr>
          <w:rFonts w:ascii="Times New Roman" w:eastAsia="Times New Roman" w:hAnsi="Times New Roman" w:cs="Times New Roman"/>
          <w:color w:val="000000"/>
          <w:sz w:val="24"/>
          <w:szCs w:val="24"/>
          <w:lang w:val="en-GB"/>
        </w:rPr>
        <w:t>help</w:t>
      </w:r>
      <w:r w:rsidRPr="00C54D13">
        <w:rPr>
          <w:rFonts w:ascii="Times New Roman" w:eastAsia="Times New Roman" w:hAnsi="Times New Roman" w:cs="Times New Roman"/>
          <w:color w:val="000000"/>
          <w:sz w:val="24"/>
          <w:szCs w:val="24"/>
          <w:lang w:val="en-GB"/>
        </w:rPr>
        <w:t xml:space="preserve"> to better </w:t>
      </w:r>
      <w:r w:rsidR="00520516" w:rsidRPr="00C54D13">
        <w:rPr>
          <w:rFonts w:ascii="Times New Roman" w:eastAsia="Times New Roman" w:hAnsi="Times New Roman" w:cs="Times New Roman"/>
          <w:color w:val="000000"/>
          <w:sz w:val="24"/>
          <w:szCs w:val="24"/>
          <w:lang w:val="en-GB"/>
        </w:rPr>
        <w:t>adjust</w:t>
      </w:r>
      <w:r w:rsidR="001E5A26">
        <w:rPr>
          <w:rFonts w:ascii="Times New Roman" w:eastAsia="Times New Roman" w:hAnsi="Times New Roman" w:cs="Times New Roman"/>
          <w:color w:val="000000"/>
          <w:sz w:val="24"/>
          <w:szCs w:val="24"/>
          <w:lang w:val="en-GB"/>
        </w:rPr>
        <w:t xml:space="preserve"> treatments and, by doing so, </w:t>
      </w:r>
      <w:r w:rsidRPr="00C54D13">
        <w:rPr>
          <w:rFonts w:ascii="Times New Roman" w:eastAsia="Times New Roman" w:hAnsi="Times New Roman" w:cs="Times New Roman"/>
          <w:color w:val="000000"/>
          <w:sz w:val="24"/>
          <w:szCs w:val="24"/>
          <w:lang w:val="en-GB"/>
        </w:rPr>
        <w:t>improv</w:t>
      </w:r>
      <w:r w:rsidR="00077C07">
        <w:rPr>
          <w:rFonts w:ascii="Times New Roman" w:eastAsia="Times New Roman" w:hAnsi="Times New Roman" w:cs="Times New Roman"/>
          <w:color w:val="000000"/>
          <w:sz w:val="24"/>
          <w:szCs w:val="24"/>
          <w:lang w:val="en-GB"/>
        </w:rPr>
        <w:t>e</w:t>
      </w:r>
      <w:r w:rsidRPr="00C54D13">
        <w:rPr>
          <w:rFonts w:ascii="Times New Roman" w:eastAsia="Times New Roman" w:hAnsi="Times New Roman" w:cs="Times New Roman"/>
          <w:color w:val="000000"/>
          <w:sz w:val="24"/>
          <w:szCs w:val="24"/>
          <w:lang w:val="en-GB"/>
        </w:rPr>
        <w:t xml:space="preserve"> the implementation of the treat-to-target strategy. For instance, detecting biological risk factors of mid/long-term relapse could be an information encouraging the maintenance of treatment while detecting biological risk factors of short-term relapse could motivate an escalation of treatment to </w:t>
      </w:r>
      <w:r w:rsidR="00C76BB1">
        <w:rPr>
          <w:rFonts w:ascii="Times New Roman" w:eastAsia="Times New Roman" w:hAnsi="Times New Roman" w:cs="Times New Roman"/>
          <w:color w:val="000000"/>
          <w:sz w:val="24"/>
          <w:szCs w:val="24"/>
          <w:lang w:val="en-GB"/>
        </w:rPr>
        <w:t>resolve</w:t>
      </w:r>
      <w:r w:rsidR="00E374EA">
        <w:rPr>
          <w:rFonts w:ascii="Times New Roman" w:eastAsia="Times New Roman" w:hAnsi="Times New Roman" w:cs="Times New Roman"/>
          <w:color w:val="000000"/>
          <w:sz w:val="24"/>
          <w:szCs w:val="24"/>
          <w:lang w:val="en-GB"/>
        </w:rPr>
        <w:t xml:space="preserve"> </w:t>
      </w:r>
      <w:r w:rsidR="00070F5E">
        <w:rPr>
          <w:rFonts w:ascii="Times New Roman" w:eastAsia="Times New Roman" w:hAnsi="Times New Roman" w:cs="Times New Roman"/>
          <w:color w:val="000000"/>
          <w:sz w:val="24"/>
          <w:szCs w:val="24"/>
          <w:lang w:val="en-GB"/>
        </w:rPr>
        <w:t>persistent</w:t>
      </w:r>
      <w:r w:rsidRPr="00C54D13">
        <w:rPr>
          <w:rFonts w:ascii="Times New Roman" w:eastAsia="Times New Roman" w:hAnsi="Times New Roman" w:cs="Times New Roman"/>
          <w:color w:val="000000"/>
          <w:sz w:val="24"/>
          <w:szCs w:val="24"/>
          <w:lang w:val="en-GB"/>
        </w:rPr>
        <w:t xml:space="preserve"> inflammation (Figure 2). On the other hand, a state of biological remission</w:t>
      </w:r>
      <w:r w:rsidR="00915FF0">
        <w:rPr>
          <w:rFonts w:ascii="Times New Roman" w:eastAsia="Times New Roman" w:hAnsi="Times New Roman" w:cs="Times New Roman"/>
          <w:color w:val="000000"/>
          <w:sz w:val="24"/>
          <w:szCs w:val="24"/>
          <w:lang w:val="en-GB"/>
        </w:rPr>
        <w:t xml:space="preserve"> as proposed</w:t>
      </w:r>
      <w:r w:rsidRPr="00C54D13">
        <w:rPr>
          <w:rFonts w:ascii="Times New Roman" w:eastAsia="Times New Roman" w:hAnsi="Times New Roman" w:cs="Times New Roman"/>
          <w:color w:val="000000"/>
          <w:sz w:val="24"/>
          <w:szCs w:val="24"/>
          <w:lang w:val="en-GB"/>
        </w:rPr>
        <w:t xml:space="preserve"> (</w:t>
      </w:r>
      <w:r w:rsidR="00652017" w:rsidRPr="00652017">
        <w:rPr>
          <w:rFonts w:ascii="Times New Roman" w:eastAsia="Times New Roman" w:hAnsi="Times New Roman" w:cs="Times New Roman"/>
          <w:color w:val="000000"/>
          <w:sz w:val="24"/>
          <w:szCs w:val="24"/>
          <w:lang w:val="en-GB"/>
        </w:rPr>
        <w:t>absence of biological signs associated with the risk of short-term relapse and mid/long-term relapse</w:t>
      </w:r>
      <w:r w:rsidRPr="00C54D13">
        <w:rPr>
          <w:rFonts w:ascii="Times New Roman" w:eastAsia="Times New Roman" w:hAnsi="Times New Roman" w:cs="Times New Roman"/>
          <w:color w:val="000000"/>
          <w:sz w:val="24"/>
          <w:szCs w:val="24"/>
          <w:lang w:val="en-GB"/>
        </w:rPr>
        <w:t>) is a situation in which treatment de-escalation could be contemplated</w:t>
      </w:r>
      <w:r w:rsidR="00590FFB" w:rsidRPr="00C54D13">
        <w:rPr>
          <w:rFonts w:ascii="Times New Roman" w:eastAsia="Times New Roman" w:hAnsi="Times New Roman" w:cs="Times New Roman"/>
          <w:color w:val="000000"/>
          <w:sz w:val="24"/>
          <w:szCs w:val="24"/>
          <w:lang w:val="en-GB"/>
        </w:rPr>
        <w:t xml:space="preserve"> and integrated in </w:t>
      </w:r>
      <w:r w:rsidR="00F80502" w:rsidRPr="00C54D13">
        <w:rPr>
          <w:rFonts w:ascii="Times New Roman" w:eastAsia="Times New Roman" w:hAnsi="Times New Roman" w:cs="Times New Roman"/>
          <w:color w:val="000000"/>
          <w:sz w:val="24"/>
          <w:szCs w:val="24"/>
          <w:lang w:val="en-GB"/>
        </w:rPr>
        <w:t>a treatment cycle</w:t>
      </w:r>
      <w:r w:rsidRPr="00C54D13">
        <w:rPr>
          <w:rFonts w:ascii="Times New Roman" w:eastAsia="Times New Roman" w:hAnsi="Times New Roman" w:cs="Times New Roman"/>
          <w:color w:val="000000"/>
          <w:sz w:val="24"/>
          <w:szCs w:val="24"/>
          <w:lang w:val="en-GB"/>
        </w:rPr>
        <w:t xml:space="preserve"> (Figure 2). Defining </w:t>
      </w:r>
      <w:r w:rsidR="00D44924">
        <w:rPr>
          <w:rFonts w:ascii="Times New Roman" w:eastAsia="Times New Roman" w:hAnsi="Times New Roman" w:cs="Times New Roman"/>
          <w:color w:val="000000"/>
          <w:sz w:val="24"/>
          <w:szCs w:val="24"/>
          <w:lang w:val="en-GB"/>
        </w:rPr>
        <w:t>such a</w:t>
      </w:r>
      <w:r w:rsidRPr="00C54D13">
        <w:rPr>
          <w:rFonts w:ascii="Times New Roman" w:eastAsia="Times New Roman" w:hAnsi="Times New Roman" w:cs="Times New Roman"/>
          <w:color w:val="000000"/>
          <w:sz w:val="24"/>
          <w:szCs w:val="24"/>
          <w:lang w:val="en-GB"/>
        </w:rPr>
        <w:t xml:space="preserve"> state of remission </w:t>
      </w:r>
      <w:r w:rsidR="0066594F" w:rsidRPr="00C54D13">
        <w:rPr>
          <w:rFonts w:ascii="Times New Roman" w:eastAsia="Times New Roman" w:hAnsi="Times New Roman" w:cs="Times New Roman"/>
          <w:color w:val="000000"/>
          <w:sz w:val="24"/>
          <w:szCs w:val="24"/>
          <w:lang w:val="en-GB"/>
        </w:rPr>
        <w:t>corresponds to</w:t>
      </w:r>
      <w:r w:rsidR="001C2BB9">
        <w:rPr>
          <w:rFonts w:ascii="Times New Roman" w:eastAsia="Times New Roman" w:hAnsi="Times New Roman" w:cs="Times New Roman"/>
          <w:color w:val="000000"/>
          <w:sz w:val="24"/>
          <w:szCs w:val="24"/>
          <w:lang w:val="en-GB"/>
        </w:rPr>
        <w:t xml:space="preserve"> a</w:t>
      </w:r>
      <w:r w:rsidR="0066594F" w:rsidRPr="00C54D13">
        <w:rPr>
          <w:rFonts w:ascii="Times New Roman" w:eastAsia="Times New Roman" w:hAnsi="Times New Roman" w:cs="Times New Roman"/>
          <w:color w:val="000000"/>
          <w:sz w:val="24"/>
          <w:szCs w:val="24"/>
          <w:lang w:val="en-GB"/>
        </w:rPr>
        <w:t xml:space="preserve"> real need since, as currently defined, </w:t>
      </w:r>
      <w:r w:rsidR="0019398B">
        <w:rPr>
          <w:rFonts w:ascii="Times New Roman" w:eastAsia="Times New Roman" w:hAnsi="Times New Roman" w:cs="Times New Roman"/>
          <w:color w:val="000000"/>
          <w:sz w:val="24"/>
          <w:szCs w:val="24"/>
          <w:lang w:val="en-GB"/>
        </w:rPr>
        <w:t xml:space="preserve">the </w:t>
      </w:r>
      <w:r w:rsidR="0066594F" w:rsidRPr="00C54D13">
        <w:rPr>
          <w:rFonts w:ascii="Times New Roman" w:eastAsia="Times New Roman" w:hAnsi="Times New Roman" w:cs="Times New Roman"/>
          <w:color w:val="000000"/>
          <w:sz w:val="24"/>
          <w:szCs w:val="24"/>
          <w:lang w:val="en-GB"/>
        </w:rPr>
        <w:t>remission exhibits an insufficient predictive value to guide treatment de-escalation. A randomised controlled trial recently showed that despite being in stable remission according to classical criteria (clinical, biochemical and endoscopic), 50% of CD patients stopping infliximab relapsed over one year</w:t>
      </w:r>
      <w:r w:rsidR="0066594F" w:rsidRPr="00C54D13">
        <w:rPr>
          <w:rFonts w:ascii="Times New Roman" w:eastAsia="Times New Roman" w:hAnsi="Times New Roman" w:cs="Times New Roman"/>
          <w:color w:val="000000"/>
          <w:sz w:val="24"/>
          <w:szCs w:val="24"/>
          <w:lang w:val="en-GB"/>
        </w:rPr>
        <w:fldChar w:fldCharType="begin" w:fldLock="1"/>
      </w:r>
      <w:r w:rsidR="005446D9">
        <w:rPr>
          <w:rFonts w:ascii="Times New Roman" w:eastAsia="Times New Roman" w:hAnsi="Times New Roman" w:cs="Times New Roman"/>
          <w:color w:val="000000"/>
          <w:sz w:val="24"/>
          <w:szCs w:val="24"/>
          <w:lang w:val="en-GB"/>
        </w:rPr>
        <w:instrText>ADDIN CSL_CITATION {"citationItems":[{"id":"ITEM-1","itemData":{"DOI":"10.1056/EVIDoa2200061","author":[{"dropping-particle":"","family":"Sine","given":"Buhl","non-dropping-particle":"","parse-names":false,"suffix":""},{"dropping-particle":"","family":"Casper","given":"Steenholdt","non-dropping-particle":"","parse-names":false,"suffix":""},{"dropping-particle":"","family":"Jørn","given":"Brynskov","non-dropping-particle":"","parse-names":false,"suffix":""},{"dropping-particle":"","family":"Risager","given":"Christensen Katrine","non-dropping-particle":"","parse-names":false,"suffix":""},{"dropping-particle":"","family":"Maria","given":"Dorn-Rasmussen","non-dropping-particle":"","parse-names":false,"suffix":""},{"dropping-particle":"","family":"Østergaard","given":"Thomsen Ole","non-dropping-particle":"","parse-names":false,"suffix":""},{"dropping-particle":"","family":"Klaus","given":"Bendtzen","non-dropping-particle":"","parse-names":false,"suffix":""},{"dropping-particle":"","family":"Wirenfeldt","given":"Klausen Tobias","non-dropping-particle":"","parse-names":false,"suffix":""},{"dropping-particle":"","family":"Frederik","given":"Dahlerup Jens","non-dropping-particle":"","parse-names":false,"suffix":""},{"dropping-particle":"","family":"Niels","given":"Thorsgaard","non-dropping-particle":"","parse-names":false,"suffix":""},{"dropping-particle":"","family":"Jørgen","given":"Jahnsen","non-dropping-particle":"","parse-names":false,"suffix":""},{"dropping-particle":"","family":"Akbar","given":"Molazahi","non-dropping-particle":"","parse-names":false,"suffix":""},{"dropping-particle":"","family":"Natalia","given":"Pedersen","non-dropping-particle":"","parse-names":false,"suffix":""},{"dropping-particle":"","family":"Jens","given":"Kjeldsen","non-dropping-particle":"","parse-names":false,"suffix":""},{"dropping-particle":"","family":"Sven","given":"Almer","non-dropping-particle":"","parse-names":false,"suffix":""},{"dropping-particle":"","family":"Efsen","given":"Dahl Eva","non-dropping-particle":"","parse-names":false,"suffix":""},{"dropping-particle":"","family":"Ida","given":"Vind","non-dropping-particle":"","parse-names":false,"suffix":""},{"dropping-particle":"","family":"Gerhardt","given":"Cannon Annett","non-dropping-particle":"","parse-names":false,"suffix":""},{"dropping-particle":"","family":"Jan","given":"Marsal","non-dropping-particle":"","parse-names":false,"suffix":""},{"dropping-particle":"","family":"Taina","given":"Sipponen","non-dropping-particle":"","parse-names":false,"suffix":""},{"dropping-particle":"","family":"Steen","given":"Agnholt Jørgen","non-dropping-particle":"","parse-names":false,"suffix":""},{"dropping-particle":"","family":"Linda","given":"Kievit Hendrika Adriana","non-dropping-particle":"","parse-names":false,"suffix":""},{"dropping-particle":"","family":"Louise","given":"Aure Synnøve","non-dropping-particle":"","parse-names":false,"suffix":""},{"dropping-particle":"","family":"Lars","given":"Martinsen","non-dropping-particle":"","parse-names":false,"suffix":""},{"dropping-particle":"","family":"Svetlana","given":"Meisner","non-dropping-particle":"","parse-names":false,"suffix":""},{"dropping-particle":"","family":"Møller","given":"Hansen Jane","non-dropping-particle":"","parse-names":false,"suffix":""},{"dropping-particle":"","family":"Andrew","given":"Ainsworth Mark","non-dropping-particle":"","parse-names":false,"suffix":""}],"container-title":"NEJM Evidence","id":"ITEM-1","issue":"8","issued":{"date-parts":[["2022","7","26"]]},"note":"doi: 10.1056/EVIDoa2200061","page":"EVIDoa2200061","publisher":"Massachusetts Medical Society","title":"Discontinuation of Infliximab Therapy in Patients with Crohn’s Disease","type":"article-journal","volume":"1"},"uris":["http://www.mendeley.com/documents/?uuid=a26aacc1-574a-417c-a877-35bf4fcec862"]}],"mendeley":{"formattedCitation":"&lt;sup&gt;29&lt;/sup&gt;","plainTextFormattedCitation":"29","previouslyFormattedCitation":"&lt;sup&gt;26&lt;/sup&gt;"},"properties":{"noteIndex":0},"schema":"https://github.com/citation-style-language/schema/raw/master/csl-citation.json"}</w:instrText>
      </w:r>
      <w:r w:rsidR="0066594F" w:rsidRPr="00C54D13">
        <w:rPr>
          <w:rFonts w:ascii="Times New Roman" w:eastAsia="Times New Roman" w:hAnsi="Times New Roman" w:cs="Times New Roman"/>
          <w:color w:val="000000"/>
          <w:sz w:val="24"/>
          <w:szCs w:val="24"/>
          <w:lang w:val="en-GB"/>
        </w:rPr>
        <w:fldChar w:fldCharType="separate"/>
      </w:r>
      <w:r w:rsidR="005446D9" w:rsidRPr="005446D9">
        <w:rPr>
          <w:rFonts w:ascii="Times New Roman" w:eastAsia="Times New Roman" w:hAnsi="Times New Roman" w:cs="Times New Roman"/>
          <w:noProof/>
          <w:color w:val="000000"/>
          <w:sz w:val="24"/>
          <w:szCs w:val="24"/>
          <w:vertAlign w:val="superscript"/>
          <w:lang w:val="en-GB"/>
        </w:rPr>
        <w:t>29</w:t>
      </w:r>
      <w:r w:rsidR="0066594F" w:rsidRPr="00C54D13">
        <w:rPr>
          <w:rFonts w:ascii="Times New Roman" w:eastAsia="Times New Roman" w:hAnsi="Times New Roman" w:cs="Times New Roman"/>
          <w:color w:val="000000"/>
          <w:sz w:val="24"/>
          <w:szCs w:val="24"/>
          <w:lang w:val="en-GB"/>
        </w:rPr>
        <w:fldChar w:fldCharType="end"/>
      </w:r>
      <w:r w:rsidR="0066594F" w:rsidRPr="00C54D13">
        <w:rPr>
          <w:rFonts w:ascii="Times New Roman" w:eastAsia="Times New Roman" w:hAnsi="Times New Roman" w:cs="Times New Roman"/>
          <w:color w:val="000000"/>
          <w:sz w:val="24"/>
          <w:szCs w:val="24"/>
          <w:lang w:val="en-GB"/>
        </w:rPr>
        <w:t xml:space="preserve">. </w:t>
      </w:r>
    </w:p>
    <w:p w14:paraId="5AC1A6FC" w14:textId="522FE730" w:rsidR="00BB417A" w:rsidRDefault="00BB417A" w:rsidP="00BB417A">
      <w:pPr>
        <w:spacing w:after="0" w:line="480" w:lineRule="auto"/>
        <w:jc w:val="both"/>
        <w:rPr>
          <w:rFonts w:ascii="Times New Roman" w:eastAsia="Times New Roman" w:hAnsi="Times New Roman" w:cs="Times New Roman"/>
          <w:color w:val="000000"/>
          <w:sz w:val="24"/>
          <w:szCs w:val="24"/>
          <w:lang w:val="en-GB"/>
        </w:rPr>
      </w:pPr>
    </w:p>
    <w:p w14:paraId="12C50DE2" w14:textId="09C3D835" w:rsidR="00BB417A" w:rsidRPr="00BB417A" w:rsidRDefault="00305D93" w:rsidP="00BB417A">
      <w:pPr>
        <w:spacing w:after="0" w:line="48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5.</w:t>
      </w:r>
      <w:r w:rsidR="00BB417A" w:rsidRPr="00BB417A">
        <w:rPr>
          <w:rFonts w:ascii="Times New Roman" w:eastAsia="Times New Roman" w:hAnsi="Times New Roman" w:cs="Times New Roman"/>
          <w:b/>
          <w:color w:val="000000"/>
          <w:sz w:val="24"/>
          <w:szCs w:val="24"/>
          <w:lang w:val="en-GB"/>
        </w:rPr>
        <w:t xml:space="preserve"> </w:t>
      </w:r>
      <w:r w:rsidR="00574641">
        <w:rPr>
          <w:rFonts w:ascii="Times New Roman" w:eastAsia="Times New Roman" w:hAnsi="Times New Roman" w:cs="Times New Roman"/>
          <w:b/>
          <w:color w:val="000000"/>
          <w:sz w:val="24"/>
          <w:szCs w:val="24"/>
          <w:lang w:val="en-GB"/>
        </w:rPr>
        <w:t>Challenges and future directions</w:t>
      </w:r>
    </w:p>
    <w:p w14:paraId="682F6003" w14:textId="2229CF7D" w:rsidR="00587392" w:rsidRPr="00B40DB0" w:rsidRDefault="00E5146D" w:rsidP="00BB389F">
      <w:pPr>
        <w:spacing w:after="0" w:line="480" w:lineRule="auto"/>
        <w:jc w:val="both"/>
        <w:rPr>
          <w:rFonts w:ascii="Times New Roman" w:hAnsi="Times New Roman" w:cs="Times New Roman"/>
          <w:sz w:val="24"/>
          <w:szCs w:val="24"/>
          <w:lang w:val="en-GB"/>
        </w:rPr>
      </w:pPr>
      <w:r w:rsidRPr="00C54D13">
        <w:rPr>
          <w:rFonts w:ascii="Times New Roman" w:eastAsia="Times New Roman" w:hAnsi="Times New Roman" w:cs="Times New Roman"/>
          <w:color w:val="000000"/>
          <w:sz w:val="24"/>
          <w:szCs w:val="24"/>
          <w:lang w:val="en-GB"/>
        </w:rPr>
        <w:t>P</w:t>
      </w:r>
      <w:r w:rsidR="0026125D" w:rsidRPr="00C54D13">
        <w:rPr>
          <w:rFonts w:ascii="Times New Roman" w:eastAsia="Times New Roman" w:hAnsi="Times New Roman" w:cs="Times New Roman"/>
          <w:color w:val="000000"/>
          <w:sz w:val="24"/>
          <w:szCs w:val="24"/>
          <w:lang w:val="en-GB"/>
        </w:rPr>
        <w:t xml:space="preserve">recisely </w:t>
      </w:r>
      <w:r w:rsidR="00473983" w:rsidRPr="00C54D13">
        <w:rPr>
          <w:rFonts w:ascii="Times New Roman" w:eastAsia="Times New Roman" w:hAnsi="Times New Roman" w:cs="Times New Roman"/>
          <w:color w:val="000000"/>
          <w:sz w:val="24"/>
          <w:szCs w:val="24"/>
          <w:lang w:val="en-GB"/>
        </w:rPr>
        <w:t xml:space="preserve">monitoring </w:t>
      </w:r>
      <w:r w:rsidR="0026125D" w:rsidRPr="00C54D13">
        <w:rPr>
          <w:rFonts w:ascii="Times New Roman" w:eastAsia="Times New Roman" w:hAnsi="Times New Roman" w:cs="Times New Roman"/>
          <w:color w:val="000000"/>
          <w:sz w:val="24"/>
          <w:szCs w:val="24"/>
          <w:lang w:val="en-GB"/>
        </w:rPr>
        <w:t>the biological activity of CD</w:t>
      </w:r>
      <w:r w:rsidR="008C7198">
        <w:rPr>
          <w:rFonts w:ascii="Times New Roman" w:eastAsia="Times New Roman" w:hAnsi="Times New Roman" w:cs="Times New Roman"/>
          <w:color w:val="000000"/>
          <w:sz w:val="24"/>
          <w:szCs w:val="24"/>
          <w:lang w:val="en-GB"/>
        </w:rPr>
        <w:t xml:space="preserve"> with non-invasive biomarkers</w:t>
      </w:r>
      <w:r w:rsidR="009729FD">
        <w:rPr>
          <w:rFonts w:ascii="Times New Roman" w:eastAsia="Times New Roman" w:hAnsi="Times New Roman" w:cs="Times New Roman"/>
          <w:color w:val="000000"/>
          <w:sz w:val="24"/>
          <w:szCs w:val="24"/>
          <w:lang w:val="en-GB"/>
        </w:rPr>
        <w:t xml:space="preserve"> could</w:t>
      </w:r>
      <w:r w:rsidR="0026125D" w:rsidRPr="00C54D13">
        <w:rPr>
          <w:rFonts w:ascii="Times New Roman" w:eastAsia="Times New Roman" w:hAnsi="Times New Roman" w:cs="Times New Roman"/>
          <w:color w:val="000000"/>
          <w:sz w:val="24"/>
          <w:szCs w:val="24"/>
          <w:lang w:val="en-GB"/>
        </w:rPr>
        <w:t xml:space="preserve"> </w:t>
      </w:r>
      <w:r w:rsidR="00FA5C91" w:rsidRPr="00C54D13">
        <w:rPr>
          <w:rFonts w:ascii="Times New Roman" w:eastAsia="Times New Roman" w:hAnsi="Times New Roman" w:cs="Times New Roman"/>
          <w:color w:val="000000"/>
          <w:sz w:val="24"/>
          <w:szCs w:val="24"/>
          <w:lang w:val="en-GB"/>
        </w:rPr>
        <w:t>present</w:t>
      </w:r>
      <w:r w:rsidR="00C57AF0" w:rsidRPr="00C54D13">
        <w:rPr>
          <w:rFonts w:ascii="Times New Roman" w:eastAsia="Times New Roman" w:hAnsi="Times New Roman" w:cs="Times New Roman"/>
          <w:color w:val="000000"/>
          <w:sz w:val="24"/>
          <w:szCs w:val="24"/>
          <w:lang w:val="en-GB"/>
        </w:rPr>
        <w:t xml:space="preserve"> a</w:t>
      </w:r>
      <w:r w:rsidR="00FA5C91" w:rsidRPr="00C54D13">
        <w:rPr>
          <w:rFonts w:ascii="Times New Roman" w:eastAsia="Times New Roman" w:hAnsi="Times New Roman" w:cs="Times New Roman"/>
          <w:color w:val="000000"/>
          <w:sz w:val="24"/>
          <w:szCs w:val="24"/>
          <w:lang w:val="en-GB"/>
        </w:rPr>
        <w:t xml:space="preserve"> major interest for the management of patients. However, to our </w:t>
      </w:r>
      <w:r w:rsidR="00CD63B1" w:rsidRPr="00C54D13">
        <w:rPr>
          <w:rFonts w:ascii="Times New Roman" w:eastAsia="Times New Roman" w:hAnsi="Times New Roman" w:cs="Times New Roman"/>
          <w:color w:val="000000"/>
          <w:sz w:val="24"/>
          <w:szCs w:val="24"/>
          <w:lang w:val="en-GB"/>
        </w:rPr>
        <w:t>opinion</w:t>
      </w:r>
      <w:r w:rsidR="00FA5C91" w:rsidRPr="00C54D13">
        <w:rPr>
          <w:rFonts w:ascii="Times New Roman" w:eastAsia="Times New Roman" w:hAnsi="Times New Roman" w:cs="Times New Roman"/>
          <w:color w:val="000000"/>
          <w:sz w:val="24"/>
          <w:szCs w:val="24"/>
          <w:lang w:val="en-GB"/>
        </w:rPr>
        <w:t xml:space="preserve">, this attractive and desirable objective </w:t>
      </w:r>
      <w:r w:rsidR="00CD63B1" w:rsidRPr="00C54D13">
        <w:rPr>
          <w:rFonts w:ascii="Times New Roman" w:eastAsia="Times New Roman" w:hAnsi="Times New Roman" w:cs="Times New Roman"/>
          <w:color w:val="000000"/>
          <w:sz w:val="24"/>
          <w:szCs w:val="24"/>
          <w:lang w:val="en-GB"/>
        </w:rPr>
        <w:t xml:space="preserve">is not a short-term perspective since it would require first </w:t>
      </w:r>
      <w:r w:rsidR="00F769BF">
        <w:rPr>
          <w:rFonts w:ascii="Times New Roman" w:eastAsia="Times New Roman" w:hAnsi="Times New Roman" w:cs="Times New Roman"/>
          <w:color w:val="000000"/>
          <w:sz w:val="24"/>
          <w:szCs w:val="24"/>
          <w:lang w:val="en-GB"/>
        </w:rPr>
        <w:t>the development of</w:t>
      </w:r>
      <w:r w:rsidR="00FA5C91" w:rsidRPr="00C54D13">
        <w:rPr>
          <w:rFonts w:ascii="Times New Roman" w:eastAsia="Times New Roman" w:hAnsi="Times New Roman" w:cs="Times New Roman"/>
          <w:color w:val="000000"/>
          <w:sz w:val="24"/>
          <w:szCs w:val="24"/>
          <w:lang w:val="en-GB"/>
        </w:rPr>
        <w:t xml:space="preserve"> fundamental knowledge</w:t>
      </w:r>
      <w:r w:rsidR="00F201C7" w:rsidRPr="00C54D13">
        <w:rPr>
          <w:lang w:val="en-GB"/>
        </w:rPr>
        <w:t xml:space="preserve"> </w:t>
      </w:r>
      <w:r w:rsidR="00F201C7" w:rsidRPr="00C54D13">
        <w:rPr>
          <w:rFonts w:ascii="Times New Roman" w:eastAsia="Times New Roman" w:hAnsi="Times New Roman" w:cs="Times New Roman"/>
          <w:color w:val="000000"/>
          <w:sz w:val="24"/>
          <w:szCs w:val="24"/>
          <w:lang w:val="en-GB"/>
        </w:rPr>
        <w:t>characterising the biological activity of the disease, its dynamics and, more specifically, the succession of pathophy</w:t>
      </w:r>
      <w:r w:rsidR="00C76BB1">
        <w:rPr>
          <w:rFonts w:ascii="Times New Roman" w:eastAsia="Times New Roman" w:hAnsi="Times New Roman" w:cs="Times New Roman"/>
          <w:color w:val="000000"/>
          <w:sz w:val="24"/>
          <w:szCs w:val="24"/>
          <w:lang w:val="en-GB"/>
        </w:rPr>
        <w:t>siological events leading to</w:t>
      </w:r>
      <w:r w:rsidR="00F201C7" w:rsidRPr="00C54D13">
        <w:rPr>
          <w:rFonts w:ascii="Times New Roman" w:eastAsia="Times New Roman" w:hAnsi="Times New Roman" w:cs="Times New Roman"/>
          <w:color w:val="000000"/>
          <w:sz w:val="24"/>
          <w:szCs w:val="24"/>
          <w:lang w:val="en-GB"/>
        </w:rPr>
        <w:t xml:space="preserve"> relapse.</w:t>
      </w:r>
      <w:r w:rsidR="007C776A" w:rsidRPr="00C54D13">
        <w:rPr>
          <w:rFonts w:ascii="Times New Roman" w:eastAsia="Times New Roman" w:hAnsi="Times New Roman" w:cs="Times New Roman"/>
          <w:color w:val="000000"/>
          <w:sz w:val="24"/>
          <w:szCs w:val="24"/>
          <w:lang w:val="en-GB"/>
        </w:rPr>
        <w:t xml:space="preserve"> </w:t>
      </w:r>
      <w:r w:rsidR="007C776A" w:rsidRPr="00C54D13">
        <w:rPr>
          <w:rFonts w:ascii="Times New Roman" w:hAnsi="Times New Roman" w:cs="Times New Roman"/>
          <w:sz w:val="24"/>
          <w:szCs w:val="24"/>
          <w:lang w:val="en-GB"/>
        </w:rPr>
        <w:t xml:space="preserve">Although much efforts have been done to find predictors of relapse in CD, the biological aspects of this </w:t>
      </w:r>
      <w:r w:rsidR="007C776A" w:rsidRPr="00C54D13">
        <w:rPr>
          <w:rFonts w:ascii="Times New Roman" w:hAnsi="Times New Roman" w:cs="Times New Roman"/>
          <w:sz w:val="24"/>
          <w:szCs w:val="24"/>
          <w:lang w:val="en-GB"/>
        </w:rPr>
        <w:lastRenderedPageBreak/>
        <w:t>outcome have received little attention in the literature</w:t>
      </w:r>
      <w:r w:rsidR="007C776A" w:rsidRPr="00C54D13">
        <w:rPr>
          <w:rFonts w:ascii="Times New Roman" w:hAnsi="Times New Roman" w:cs="Times New Roman"/>
          <w:sz w:val="24"/>
          <w:szCs w:val="24"/>
          <w:lang w:val="en-GB"/>
        </w:rPr>
        <w:fldChar w:fldCharType="begin" w:fldLock="1"/>
      </w:r>
      <w:r w:rsidR="005446D9">
        <w:rPr>
          <w:rFonts w:ascii="Times New Roman" w:hAnsi="Times New Roman" w:cs="Times New Roman"/>
          <w:sz w:val="24"/>
          <w:szCs w:val="24"/>
          <w:lang w:val="en-GB"/>
        </w:rPr>
        <w:instrText>ADDIN CSL_CITATION {"citationItems":[{"id":"ITEM-1","itemData":{"DOI":"10.1016/S2468-1253(19)30186-4","ISSN":"2468-1253","author":[{"dropping-particle":"","family":"Chapman","given":"Thomas P","non-dropping-particle":"","parse-names":false,"suffix":""},{"dropping-particle":"","family":"Gomes","given":"Catarina Frias","non-dropping-particle":"","parse-names":false,"suffix":""},{"dropping-particle":"","family":"Louis","given":"Edouard","non-dropping-particle":"","parse-names":false,"suffix":""},{"dropping-particle":"","family":"Colombel","given":"Jean-Frédéric","non-dropping-particle":"","parse-names":false,"suffix":""},{"dropping-particle":"","family":"Satsangi","given":"Jack","non-dropping-particle":"","parse-names":false,"suffix":""}],"container-title":"The Lancet Gastroenterology &amp; Hepatology","id":"ITEM-1","issue":"1","issued":{"date-parts":[["2020","1","1"]]},"note":"doi: 10.1016/S2468-1253(19)30186-4","page":"63-79","publisher":"Elsevier","title":"De-escalation of immunomodulator and biological therapy in inflammatory bowel disease","type":"article-journal","volume":"5"},"uris":["http://www.mendeley.com/documents/?uuid=441cbc0d-cafa-40a8-b709-27abdd5e7c61"]},{"id":"ITEM-2","itemData":{"DOI":"10.3748/wjg.v22.i3.1017","ISSN":"2219-2840","abstract":"Inflammatory bowel diseases have a natural course characterized by alternating periods of remission and relapse. Disease flares occur in a random way and are currently unpredictable for the most part. Predictors of benign or unfavourable clinical course are required to facilitate treatment decisions and to avoid overtreatment. The present article provides a literature review of the current evidence on the main clinical, genetic, endoscopic, histologic, serologic and fecal markers to predict aggressiveness of inflammatory bowel disease and discuss their prognostic role, both in Crohn's disease and ulcerative colitis. No single marker seems to be reliable alone as a flare predictor, even in light of promising evidence regarding the role of fecal markers, in particular fecal calprotectin, which has reported good results recently. In order to improve our daily clinical practice, validated prognostic scores should be elaborated, integrating clinical and biological markers of prognosis. Finally, we propose an algorithm considering clinical history and biological markers to intercept patients with high risk of clinical relapse.","author":[{"dropping-particle":"","family":"Liverani","given":"Elisa","non-dropping-particle":"","parse-names":false,"suffix":""},{"dropping-particle":"","family":"Scaioli","given":"Eleonora","non-dropping-particle":"","parse-names":false,"suffix":""},{"dropping-particle":"","family":"Digby","given":"Richard John","non-dropping-particle":"","parse-names":false,"suffix":""},{"dropping-particle":"","family":"Bellanova","given":"Matteo","non-dropping-particle":"","parse-names":false,"suffix":""},{"dropping-particle":"","family":"Belluzzi","given":"Andrea","non-dropping-particle":"","parse-names":false,"suffix":""}],"container-title":"World journal of gastroenterology","id":"ITEM-2","issue":"3","issued":{"date-parts":[["2016","1","21"]]},"language":"eng","page":"1017-1033","publisher":"Baishideng Publishing Group Inc","title":"How to predict clinical relapse in inflammatory bowel disease patients","type":"article-journal","volume":"22"},"uris":["http://www.mendeley.com/documents/?uuid=4c8be737-1066-4691-acc8-949bb479c17f"]},{"id":"ITEM-3","itemData":{"DOI":"10.1053/j.gastro.2015.08.055","ISSN":"1528-0012 (Electronic)","PMID":"26381892","abstract":"Little is known about the optimal duration of therapy with an anti-tumor necrosis factor (TNF) agent and/or an immunomodulator for patients with inflammatory bowel disease (IBD). We performed a systematic search of the literature to identify studies reporting after de-escalation (drug cessation or dose reduction) of anti-TNF agents and/or immunomodulators in patients in remission from IBD. Studies were reviewed according to the type of IBD and drug. Rates of relapse, factors associated with relapse, and response to re-treatment were determined. Our search yielded 6315 unique citations; we analyzed findings from 69 studies (18 on de-escalation [drug cessation or dose reduction] of immunomodulator monotherapy, 8 on immunomodulator de-escalation from combination therapy, and 43 on de-escalation of anti-TNF agents, including 3 during pregnancy) comprising 4672 patients. Stopping immunomodulator monotherapy after a period of remission was associated with high rates of relapse in patients with Crohn's disease or ulcerative colitis (approximately 75% of patients experienced a relapse within 5 years after therapy was stopped). Most studies of patients with Crohn's disease who discontinued an immunomodulator after combination therapy found that rates of relapse did not differ from those of patients who continued taking the drug (55%-60% had disease relapse 24 months after they stopped taking the immunomodulator). The only study in patients with ulcerative colitis supported continued immunomodulator use. Approximately 50% of patients who discontinued anti-TNF agents after combination therapy maintained remission 24 months later, but the proportion in remission decreased with time. Markers of disease activity, poor prognostic factors, and complicated or relapsing disease course were associated with future relapse. In conclusion, based on a systematic review, 50% or more of patients with IBD who cease therapy have a disease relapse. Further studies are required to accurately identify subgroups of patients who are good candidates for discontinuation of treatment. The decision to withdraw a drug should be made for each individual based on patient preference, disease markers, consequences of relapse, safety, and cost.","author":[{"dropping-particle":"","family":"Torres","given":"Joana","non-dropping-particle":"","parse-names":false,"suffix":""},{"dropping-particle":"","family":"Boyapati","given":"Ray K","non-dropping-particle":"","parse-names":false,"suffix":""},{"dropping-particle":"","family":"Kennedy","given":"Nicholas A","non-dropping-particle":"","parse-names":false,"suffix":""},{"dropping-particle":"","family":"Louis","given":"Edouard","non-dropping-particle":"","parse-names":false,"suffix":""},{"dropping-particle":"","family":"Colombel","given":"Jean-Frederic","non-dropping-particle":"","parse-names":false,"suffix":""},{"dropping-particle":"","family":"Satsangi","given":"Jack","non-dropping-particle":"","parse-names":false,"suffix":""}],"container-title":"Gastroenterology","id":"ITEM-3","issue":"7","issued":{"date-parts":[["2015","12"]]},"language":"eng","page":"1716-1730","publisher-place":"United States","title":"Systematic Review of Effects of Withdrawal of Immunomodulators or Biologic Agents From Patients With Inflammatory Bowel Disease.","type":"article-journal","volume":"149"},"uris":["http://www.mendeley.com/documents/?uuid=dd7634f1-620d-4933-8e18-f6c93da275ae"]}],"mendeley":{"formattedCitation":"&lt;sup&gt;30–32&lt;/sup&gt;","plainTextFormattedCitation":"30–32","previouslyFormattedCitation":"&lt;sup&gt;27–29&lt;/sup&gt;"},"properties":{"noteIndex":0},"schema":"https://github.com/citation-style-language/schema/raw/master/csl-citation.json"}</w:instrText>
      </w:r>
      <w:r w:rsidR="007C776A" w:rsidRPr="00C54D13">
        <w:rPr>
          <w:rFonts w:ascii="Times New Roman" w:hAnsi="Times New Roman" w:cs="Times New Roman"/>
          <w:sz w:val="24"/>
          <w:szCs w:val="24"/>
          <w:lang w:val="en-GB"/>
        </w:rPr>
        <w:fldChar w:fldCharType="separate"/>
      </w:r>
      <w:r w:rsidR="005446D9" w:rsidRPr="005446D9">
        <w:rPr>
          <w:rFonts w:ascii="Times New Roman" w:hAnsi="Times New Roman" w:cs="Times New Roman"/>
          <w:noProof/>
          <w:sz w:val="24"/>
          <w:szCs w:val="24"/>
          <w:vertAlign w:val="superscript"/>
          <w:lang w:val="en-GB"/>
        </w:rPr>
        <w:t>30–32</w:t>
      </w:r>
      <w:r w:rsidR="007C776A" w:rsidRPr="00C54D13">
        <w:rPr>
          <w:rFonts w:ascii="Times New Roman" w:hAnsi="Times New Roman" w:cs="Times New Roman"/>
          <w:sz w:val="24"/>
          <w:szCs w:val="24"/>
          <w:lang w:val="en-GB"/>
        </w:rPr>
        <w:fldChar w:fldCharType="end"/>
      </w:r>
      <w:r w:rsidR="007C776A" w:rsidRPr="00C54D13">
        <w:rPr>
          <w:rFonts w:ascii="Times New Roman" w:hAnsi="Times New Roman" w:cs="Times New Roman"/>
          <w:sz w:val="24"/>
          <w:szCs w:val="24"/>
          <w:lang w:val="en-GB"/>
        </w:rPr>
        <w:t xml:space="preserve">. Reasonably, we expect that a better understanding of the relapse </w:t>
      </w:r>
      <w:r w:rsidR="00C57AF0" w:rsidRPr="00C54D13">
        <w:rPr>
          <w:rFonts w:ascii="Times New Roman" w:hAnsi="Times New Roman" w:cs="Times New Roman"/>
          <w:sz w:val="24"/>
          <w:szCs w:val="24"/>
          <w:lang w:val="en-GB"/>
        </w:rPr>
        <w:t>mechanism</w:t>
      </w:r>
      <w:r w:rsidR="007C776A" w:rsidRPr="00C54D13">
        <w:rPr>
          <w:rFonts w:ascii="Times New Roman" w:hAnsi="Times New Roman" w:cs="Times New Roman"/>
          <w:sz w:val="24"/>
          <w:szCs w:val="24"/>
          <w:lang w:val="en-GB"/>
        </w:rPr>
        <w:t xml:space="preserve"> could be exploited </w:t>
      </w:r>
      <w:r w:rsidR="00696247" w:rsidRPr="00C54D13">
        <w:rPr>
          <w:rFonts w:ascii="Times New Roman" w:hAnsi="Times New Roman" w:cs="Times New Roman"/>
          <w:sz w:val="24"/>
          <w:szCs w:val="24"/>
          <w:lang w:val="en-GB"/>
        </w:rPr>
        <w:t>to</w:t>
      </w:r>
      <w:r w:rsidR="00C25020" w:rsidRPr="00C25020">
        <w:rPr>
          <w:rFonts w:ascii="Times New Roman" w:hAnsi="Times New Roman" w:cs="Times New Roman"/>
          <w:sz w:val="24"/>
          <w:szCs w:val="24"/>
          <w:lang w:val="en-GB"/>
        </w:rPr>
        <w:t xml:space="preserve"> </w:t>
      </w:r>
      <w:r w:rsidR="00C25020">
        <w:rPr>
          <w:rFonts w:ascii="Times New Roman" w:hAnsi="Times New Roman" w:cs="Times New Roman"/>
          <w:sz w:val="24"/>
          <w:szCs w:val="24"/>
          <w:lang w:val="en-GB"/>
        </w:rPr>
        <w:t xml:space="preserve">better </w:t>
      </w:r>
      <w:r w:rsidR="00723086">
        <w:rPr>
          <w:rFonts w:ascii="Times New Roman" w:hAnsi="Times New Roman" w:cs="Times New Roman"/>
          <w:sz w:val="24"/>
          <w:szCs w:val="24"/>
          <w:lang w:val="en-GB"/>
        </w:rPr>
        <w:t xml:space="preserve">predict its occurrence and </w:t>
      </w:r>
      <w:r w:rsidR="00C25020">
        <w:rPr>
          <w:rFonts w:ascii="Times New Roman" w:hAnsi="Times New Roman" w:cs="Times New Roman"/>
          <w:sz w:val="24"/>
          <w:szCs w:val="24"/>
          <w:lang w:val="en-GB"/>
        </w:rPr>
        <w:t xml:space="preserve">define biological remission. </w:t>
      </w:r>
      <w:r w:rsidR="00F426CB" w:rsidRPr="00C54D13">
        <w:rPr>
          <w:rFonts w:ascii="Times New Roman" w:hAnsi="Times New Roman" w:cs="Times New Roman"/>
          <w:sz w:val="24"/>
          <w:szCs w:val="24"/>
          <w:lang w:val="en-GB"/>
        </w:rPr>
        <w:t xml:space="preserve">To this end, </w:t>
      </w:r>
      <w:r w:rsidR="00E92D1E">
        <w:rPr>
          <w:rFonts w:ascii="Times New Roman" w:hAnsi="Times New Roman" w:cs="Times New Roman"/>
          <w:sz w:val="24"/>
          <w:szCs w:val="24"/>
          <w:lang w:val="en-GB"/>
        </w:rPr>
        <w:t>the biological activity of the disease, obtained at blood level,</w:t>
      </w:r>
      <w:r w:rsidR="00D054B6">
        <w:rPr>
          <w:rFonts w:ascii="Times New Roman" w:hAnsi="Times New Roman" w:cs="Times New Roman"/>
          <w:sz w:val="24"/>
          <w:szCs w:val="24"/>
          <w:lang w:val="en-GB"/>
        </w:rPr>
        <w:t xml:space="preserve"> will have to be </w:t>
      </w:r>
      <w:r w:rsidR="00E92D1E">
        <w:rPr>
          <w:rFonts w:ascii="Times New Roman" w:hAnsi="Times New Roman" w:cs="Times New Roman"/>
          <w:sz w:val="24"/>
          <w:szCs w:val="24"/>
          <w:lang w:val="en-GB"/>
        </w:rPr>
        <w:t>integrated</w:t>
      </w:r>
      <w:r w:rsidR="00D054B6">
        <w:rPr>
          <w:rFonts w:ascii="Times New Roman" w:hAnsi="Times New Roman" w:cs="Times New Roman"/>
          <w:sz w:val="24"/>
          <w:szCs w:val="24"/>
          <w:lang w:val="en-GB"/>
        </w:rPr>
        <w:t xml:space="preserve"> </w:t>
      </w:r>
      <w:r w:rsidR="006123BD">
        <w:rPr>
          <w:rFonts w:ascii="Times New Roman" w:hAnsi="Times New Roman" w:cs="Times New Roman"/>
          <w:sz w:val="24"/>
          <w:szCs w:val="24"/>
          <w:lang w:val="en-GB"/>
        </w:rPr>
        <w:t>with</w:t>
      </w:r>
      <w:r w:rsidR="00D054B6">
        <w:rPr>
          <w:rFonts w:ascii="Times New Roman" w:hAnsi="Times New Roman" w:cs="Times New Roman"/>
          <w:sz w:val="24"/>
          <w:szCs w:val="24"/>
          <w:lang w:val="en-GB"/>
        </w:rPr>
        <w:t xml:space="preserve"> molecular examination o</w:t>
      </w:r>
      <w:r w:rsidR="0049723F">
        <w:rPr>
          <w:rFonts w:ascii="Times New Roman" w:hAnsi="Times New Roman" w:cs="Times New Roman"/>
          <w:sz w:val="24"/>
          <w:szCs w:val="24"/>
          <w:lang w:val="en-GB"/>
        </w:rPr>
        <w:t>f gut biopsies and immune cells</w:t>
      </w:r>
      <w:r w:rsidR="00CD3E70">
        <w:rPr>
          <w:rFonts w:ascii="Times New Roman" w:hAnsi="Times New Roman" w:cs="Times New Roman"/>
          <w:sz w:val="24"/>
          <w:szCs w:val="24"/>
          <w:lang w:val="en-GB"/>
        </w:rPr>
        <w:t>.</w:t>
      </w:r>
      <w:r w:rsidR="003A7699">
        <w:rPr>
          <w:rFonts w:ascii="Times New Roman" w:hAnsi="Times New Roman" w:cs="Times New Roman"/>
          <w:sz w:val="24"/>
          <w:szCs w:val="24"/>
          <w:lang w:val="en-GB"/>
        </w:rPr>
        <w:t xml:space="preserve"> </w:t>
      </w:r>
      <w:r w:rsidR="003761FE" w:rsidRPr="00B40DB0">
        <w:rPr>
          <w:rFonts w:ascii="Times New Roman" w:hAnsi="Times New Roman" w:cs="Times New Roman"/>
          <w:sz w:val="24"/>
          <w:szCs w:val="24"/>
          <w:lang w:val="en-GB"/>
        </w:rPr>
        <w:t>In addition,</w:t>
      </w:r>
      <w:r w:rsidR="00A37491" w:rsidRPr="00B40DB0">
        <w:rPr>
          <w:rFonts w:ascii="Times New Roman" w:hAnsi="Times New Roman" w:cs="Times New Roman"/>
          <w:sz w:val="24"/>
          <w:szCs w:val="24"/>
          <w:lang w:val="en-GB"/>
        </w:rPr>
        <w:t xml:space="preserve"> </w:t>
      </w:r>
      <w:r w:rsidR="00255579" w:rsidRPr="00B40DB0">
        <w:rPr>
          <w:rFonts w:ascii="Times New Roman" w:hAnsi="Times New Roman" w:cs="Times New Roman"/>
          <w:sz w:val="24"/>
          <w:szCs w:val="24"/>
          <w:lang w:val="en-GB"/>
        </w:rPr>
        <w:t xml:space="preserve">a more general view of what is biological remission </w:t>
      </w:r>
      <w:r w:rsidR="00992706" w:rsidRPr="00B40DB0">
        <w:rPr>
          <w:rFonts w:ascii="Times New Roman" w:hAnsi="Times New Roman" w:cs="Times New Roman"/>
          <w:sz w:val="24"/>
          <w:szCs w:val="24"/>
          <w:lang w:val="en-GB"/>
        </w:rPr>
        <w:t>could</w:t>
      </w:r>
      <w:r w:rsidR="00CE420D" w:rsidRPr="00B40DB0">
        <w:rPr>
          <w:rFonts w:ascii="Times New Roman" w:hAnsi="Times New Roman" w:cs="Times New Roman"/>
          <w:sz w:val="24"/>
          <w:szCs w:val="24"/>
          <w:lang w:val="en-GB"/>
        </w:rPr>
        <w:t xml:space="preserve"> be obtained by studying</w:t>
      </w:r>
      <w:r w:rsidR="00AB7420" w:rsidRPr="00B40DB0">
        <w:rPr>
          <w:rFonts w:ascii="Times New Roman" w:hAnsi="Times New Roman" w:cs="Times New Roman"/>
          <w:sz w:val="24"/>
          <w:szCs w:val="24"/>
          <w:lang w:val="en-GB"/>
        </w:rPr>
        <w:t xml:space="preserve"> and comparing</w:t>
      </w:r>
      <w:r w:rsidR="00CE420D" w:rsidRPr="00B40DB0">
        <w:rPr>
          <w:rFonts w:ascii="Times New Roman" w:hAnsi="Times New Roman" w:cs="Times New Roman"/>
          <w:sz w:val="24"/>
          <w:szCs w:val="24"/>
          <w:lang w:val="en-GB"/>
        </w:rPr>
        <w:t xml:space="preserve"> </w:t>
      </w:r>
      <w:r w:rsidR="00C602C2" w:rsidRPr="00B40DB0">
        <w:rPr>
          <w:rFonts w:ascii="Times New Roman" w:hAnsi="Times New Roman" w:cs="Times New Roman"/>
          <w:sz w:val="24"/>
          <w:szCs w:val="24"/>
          <w:lang w:val="en-GB"/>
        </w:rPr>
        <w:t xml:space="preserve">clinical </w:t>
      </w:r>
      <w:r w:rsidR="00AB7420" w:rsidRPr="00B40DB0">
        <w:rPr>
          <w:rFonts w:ascii="Times New Roman" w:hAnsi="Times New Roman" w:cs="Times New Roman"/>
          <w:sz w:val="24"/>
          <w:szCs w:val="24"/>
          <w:lang w:val="en-GB"/>
        </w:rPr>
        <w:t>situations</w:t>
      </w:r>
      <w:r w:rsidR="001F73FC" w:rsidRPr="00B40DB0">
        <w:rPr>
          <w:rFonts w:ascii="Times New Roman" w:hAnsi="Times New Roman" w:cs="Times New Roman"/>
          <w:sz w:val="24"/>
          <w:szCs w:val="24"/>
          <w:lang w:val="en-GB"/>
        </w:rPr>
        <w:t xml:space="preserve"> </w:t>
      </w:r>
      <w:r w:rsidR="00C602C2" w:rsidRPr="00B40DB0">
        <w:rPr>
          <w:rFonts w:ascii="Times New Roman" w:hAnsi="Times New Roman" w:cs="Times New Roman"/>
          <w:sz w:val="24"/>
          <w:szCs w:val="24"/>
          <w:lang w:val="en-GB"/>
        </w:rPr>
        <w:t xml:space="preserve">other </w:t>
      </w:r>
      <w:r w:rsidR="00900D8A" w:rsidRPr="00B40DB0">
        <w:rPr>
          <w:rFonts w:ascii="Times New Roman" w:hAnsi="Times New Roman" w:cs="Times New Roman"/>
          <w:sz w:val="24"/>
          <w:szCs w:val="24"/>
          <w:lang w:val="en-GB"/>
        </w:rPr>
        <w:t xml:space="preserve">than </w:t>
      </w:r>
      <w:r w:rsidR="001F73FC" w:rsidRPr="00B40DB0">
        <w:rPr>
          <w:rFonts w:ascii="Times New Roman" w:hAnsi="Times New Roman" w:cs="Times New Roman"/>
          <w:sz w:val="24"/>
          <w:szCs w:val="24"/>
          <w:lang w:val="en-GB"/>
        </w:rPr>
        <w:t>infliximab withdrawal:</w:t>
      </w:r>
      <w:r w:rsidR="00867811" w:rsidRPr="00B40DB0">
        <w:rPr>
          <w:rFonts w:ascii="Times New Roman" w:hAnsi="Times New Roman" w:cs="Times New Roman"/>
          <w:sz w:val="24"/>
          <w:szCs w:val="24"/>
          <w:lang w:val="en-GB"/>
        </w:rPr>
        <w:t xml:space="preserve"> 1) </w:t>
      </w:r>
      <w:r w:rsidR="009629DA" w:rsidRPr="00B40DB0">
        <w:rPr>
          <w:rFonts w:ascii="Times New Roman" w:hAnsi="Times New Roman" w:cs="Times New Roman"/>
          <w:sz w:val="24"/>
          <w:szCs w:val="24"/>
          <w:lang w:val="en-GB"/>
        </w:rPr>
        <w:t>relapse following treatment maintenance or immunosuppressant withdrawal (</w:t>
      </w:r>
      <w:proofErr w:type="spellStart"/>
      <w:r w:rsidR="009629DA" w:rsidRPr="00B40DB0">
        <w:rPr>
          <w:rFonts w:ascii="Times New Roman" w:hAnsi="Times New Roman" w:cs="Times New Roman"/>
          <w:sz w:val="24"/>
          <w:szCs w:val="24"/>
          <w:lang w:val="en-GB"/>
        </w:rPr>
        <w:t>eg</w:t>
      </w:r>
      <w:proofErr w:type="spellEnd"/>
      <w:r w:rsidR="009629DA" w:rsidRPr="00B40DB0">
        <w:rPr>
          <w:rFonts w:ascii="Times New Roman" w:hAnsi="Times New Roman" w:cs="Times New Roman"/>
          <w:sz w:val="24"/>
          <w:szCs w:val="24"/>
          <w:lang w:val="en-GB"/>
        </w:rPr>
        <w:t>, SPARE cohort: NCT02177071)</w:t>
      </w:r>
      <w:r w:rsidR="0098427E" w:rsidRPr="00B40DB0">
        <w:rPr>
          <w:rFonts w:ascii="Times New Roman" w:hAnsi="Times New Roman" w:cs="Times New Roman"/>
          <w:sz w:val="24"/>
          <w:szCs w:val="24"/>
          <w:lang w:val="en-GB"/>
        </w:rPr>
        <w:t>;</w:t>
      </w:r>
      <w:r w:rsidR="001F73FC" w:rsidRPr="00B40DB0">
        <w:rPr>
          <w:rFonts w:ascii="Times New Roman" w:hAnsi="Times New Roman" w:cs="Times New Roman"/>
          <w:sz w:val="24"/>
          <w:szCs w:val="24"/>
          <w:lang w:val="en-GB"/>
        </w:rPr>
        <w:t xml:space="preserve"> 2)</w:t>
      </w:r>
      <w:r w:rsidR="00867811" w:rsidRPr="00B40DB0">
        <w:rPr>
          <w:rFonts w:ascii="Times New Roman" w:hAnsi="Times New Roman" w:cs="Times New Roman"/>
          <w:sz w:val="24"/>
          <w:szCs w:val="24"/>
          <w:lang w:val="en-GB"/>
        </w:rPr>
        <w:t xml:space="preserve"> </w:t>
      </w:r>
      <w:r w:rsidR="00AB7420" w:rsidRPr="00B40DB0">
        <w:rPr>
          <w:rFonts w:ascii="Times New Roman" w:hAnsi="Times New Roman" w:cs="Times New Roman"/>
          <w:sz w:val="24"/>
          <w:szCs w:val="24"/>
          <w:lang w:val="en-GB"/>
        </w:rPr>
        <w:t xml:space="preserve">relapse </w:t>
      </w:r>
      <w:r w:rsidR="003E132C" w:rsidRPr="00B40DB0">
        <w:rPr>
          <w:rFonts w:ascii="Times New Roman" w:hAnsi="Times New Roman" w:cs="Times New Roman"/>
          <w:sz w:val="24"/>
          <w:szCs w:val="24"/>
          <w:lang w:val="en-GB"/>
        </w:rPr>
        <w:t>following</w:t>
      </w:r>
      <w:r w:rsidR="008D2105" w:rsidRPr="00B40DB0">
        <w:rPr>
          <w:rFonts w:ascii="Times New Roman" w:hAnsi="Times New Roman" w:cs="Times New Roman"/>
          <w:sz w:val="24"/>
          <w:szCs w:val="24"/>
          <w:lang w:val="en-GB"/>
        </w:rPr>
        <w:t xml:space="preserve"> </w:t>
      </w:r>
      <w:r w:rsidR="00867811" w:rsidRPr="00B40DB0">
        <w:rPr>
          <w:rFonts w:ascii="Times New Roman" w:hAnsi="Times New Roman" w:cs="Times New Roman"/>
          <w:sz w:val="24"/>
          <w:szCs w:val="24"/>
          <w:lang w:val="en-GB"/>
        </w:rPr>
        <w:t xml:space="preserve">surgical resection </w:t>
      </w:r>
      <w:r w:rsidR="003E132C" w:rsidRPr="00B40DB0">
        <w:rPr>
          <w:rFonts w:ascii="Times New Roman" w:hAnsi="Times New Roman" w:cs="Times New Roman"/>
          <w:sz w:val="24"/>
          <w:szCs w:val="24"/>
          <w:lang w:val="en-GB"/>
        </w:rPr>
        <w:t>(</w:t>
      </w:r>
      <w:proofErr w:type="spellStart"/>
      <w:r w:rsidR="003E132C" w:rsidRPr="00B40DB0">
        <w:rPr>
          <w:rFonts w:ascii="Times New Roman" w:hAnsi="Times New Roman" w:cs="Times New Roman"/>
          <w:sz w:val="24"/>
          <w:szCs w:val="24"/>
          <w:lang w:val="en-GB"/>
        </w:rPr>
        <w:t>eg</w:t>
      </w:r>
      <w:proofErr w:type="spellEnd"/>
      <w:r w:rsidR="003E132C" w:rsidRPr="00B40DB0">
        <w:rPr>
          <w:rFonts w:ascii="Times New Roman" w:hAnsi="Times New Roman" w:cs="Times New Roman"/>
          <w:sz w:val="24"/>
          <w:szCs w:val="24"/>
          <w:lang w:val="en-GB"/>
        </w:rPr>
        <w:t xml:space="preserve">, </w:t>
      </w:r>
      <w:r w:rsidR="00867811" w:rsidRPr="00B40DB0">
        <w:rPr>
          <w:rFonts w:ascii="Times New Roman" w:hAnsi="Times New Roman" w:cs="Times New Roman"/>
          <w:sz w:val="24"/>
          <w:szCs w:val="24"/>
          <w:lang w:val="en-GB"/>
        </w:rPr>
        <w:t>POP-REMIND cohort</w:t>
      </w:r>
      <w:r w:rsidR="00C2666D" w:rsidRPr="00B40DB0">
        <w:rPr>
          <w:rFonts w:ascii="Times New Roman" w:hAnsi="Times New Roman" w:cs="Times New Roman"/>
          <w:sz w:val="24"/>
          <w:szCs w:val="24"/>
          <w:lang w:val="en-GB"/>
        </w:rPr>
        <w:t>: NCT03458195</w:t>
      </w:r>
      <w:r w:rsidR="00AB7420" w:rsidRPr="00B40DB0">
        <w:rPr>
          <w:rFonts w:ascii="Times New Roman" w:hAnsi="Times New Roman" w:cs="Times New Roman"/>
          <w:sz w:val="24"/>
          <w:szCs w:val="24"/>
          <w:lang w:val="en-GB"/>
        </w:rPr>
        <w:t>); 3) before</w:t>
      </w:r>
      <w:r w:rsidR="00712AA2" w:rsidRPr="00B40DB0">
        <w:rPr>
          <w:rFonts w:ascii="Times New Roman" w:hAnsi="Times New Roman" w:cs="Times New Roman"/>
          <w:sz w:val="24"/>
          <w:szCs w:val="24"/>
          <w:lang w:val="en-GB"/>
        </w:rPr>
        <w:t xml:space="preserve"> the</w:t>
      </w:r>
      <w:r w:rsidR="00AB7420" w:rsidRPr="00B40DB0">
        <w:rPr>
          <w:rFonts w:ascii="Times New Roman" w:hAnsi="Times New Roman" w:cs="Times New Roman"/>
          <w:sz w:val="24"/>
          <w:szCs w:val="24"/>
          <w:lang w:val="en-GB"/>
        </w:rPr>
        <w:t xml:space="preserve"> diagnosis</w:t>
      </w:r>
      <w:r w:rsidR="00712AA2" w:rsidRPr="00B40DB0">
        <w:rPr>
          <w:rFonts w:ascii="Times New Roman" w:hAnsi="Times New Roman" w:cs="Times New Roman"/>
          <w:sz w:val="24"/>
          <w:szCs w:val="24"/>
          <w:lang w:val="en-GB"/>
        </w:rPr>
        <w:t xml:space="preserve"> of CD</w:t>
      </w:r>
      <w:r w:rsidR="00AB7420" w:rsidRPr="00B40DB0">
        <w:rPr>
          <w:rFonts w:ascii="Times New Roman" w:hAnsi="Times New Roman" w:cs="Times New Roman"/>
          <w:sz w:val="24"/>
          <w:szCs w:val="24"/>
          <w:lang w:val="en-GB"/>
        </w:rPr>
        <w:t>, i.e., a situation where individuals are</w:t>
      </w:r>
      <w:r w:rsidR="00D800A4" w:rsidRPr="00B40DB0">
        <w:rPr>
          <w:rFonts w:ascii="Times New Roman" w:hAnsi="Times New Roman" w:cs="Times New Roman"/>
          <w:sz w:val="24"/>
          <w:szCs w:val="24"/>
          <w:lang w:val="en-GB"/>
        </w:rPr>
        <w:t xml:space="preserve"> </w:t>
      </w:r>
      <w:r w:rsidR="00992706" w:rsidRPr="00B40DB0">
        <w:rPr>
          <w:rFonts w:ascii="Times New Roman" w:hAnsi="Times New Roman" w:cs="Times New Roman"/>
          <w:sz w:val="24"/>
          <w:szCs w:val="24"/>
          <w:lang w:val="en-GB"/>
        </w:rPr>
        <w:t>treatment-naïve</w:t>
      </w:r>
      <w:r w:rsidR="00AB7420" w:rsidRPr="00B40DB0">
        <w:rPr>
          <w:rFonts w:ascii="Times New Roman" w:hAnsi="Times New Roman" w:cs="Times New Roman"/>
          <w:sz w:val="24"/>
          <w:szCs w:val="24"/>
          <w:lang w:val="en-GB"/>
        </w:rPr>
        <w:t xml:space="preserve"> (</w:t>
      </w:r>
      <w:proofErr w:type="spellStart"/>
      <w:r w:rsidR="00AB7420" w:rsidRPr="00B40DB0">
        <w:rPr>
          <w:rFonts w:ascii="Times New Roman" w:hAnsi="Times New Roman" w:cs="Times New Roman"/>
          <w:sz w:val="24"/>
          <w:szCs w:val="24"/>
          <w:lang w:val="en-GB"/>
        </w:rPr>
        <w:t>eg</w:t>
      </w:r>
      <w:proofErr w:type="spellEnd"/>
      <w:r w:rsidR="00AB7420" w:rsidRPr="00B40DB0">
        <w:rPr>
          <w:rFonts w:ascii="Times New Roman" w:hAnsi="Times New Roman" w:cs="Times New Roman"/>
          <w:sz w:val="24"/>
          <w:szCs w:val="24"/>
          <w:lang w:val="en-GB"/>
        </w:rPr>
        <w:t xml:space="preserve">, GEM and PREDICT </w:t>
      </w:r>
      <w:r w:rsidR="00E85621" w:rsidRPr="00B40DB0">
        <w:rPr>
          <w:rFonts w:ascii="Times New Roman" w:hAnsi="Times New Roman" w:cs="Times New Roman"/>
          <w:sz w:val="24"/>
          <w:szCs w:val="24"/>
          <w:lang w:val="en-GB"/>
        </w:rPr>
        <w:t>projects</w:t>
      </w:r>
      <w:r w:rsidR="00AC3474" w:rsidRPr="00B40DB0">
        <w:rPr>
          <w:rFonts w:ascii="Times New Roman" w:hAnsi="Times New Roman" w:cs="Times New Roman"/>
          <w:sz w:val="24"/>
          <w:szCs w:val="24"/>
          <w:lang w:val="en-GB"/>
        </w:rPr>
        <w:fldChar w:fldCharType="begin" w:fldLock="1"/>
      </w:r>
      <w:r w:rsidR="005446D9" w:rsidRPr="00B40DB0">
        <w:rPr>
          <w:rFonts w:ascii="Times New Roman" w:hAnsi="Times New Roman" w:cs="Times New Roman"/>
          <w:sz w:val="24"/>
          <w:szCs w:val="24"/>
          <w:lang w:val="en-GB"/>
        </w:rPr>
        <w:instrText>ADDIN CSL_CITATION {"citationItems":[{"id":"ITEM-1","itemData":{"DOI":"10.1136/gutjnl-2022-328421","ISSN":"1468-3288 (Electronic)","PMID":"36788016","abstract":"OBJECTIVE: The measure of serum proteome in the preclinical state of Crohn's  disease (CD) may provide insight into biological pathways involved in CD pathogenesis. We aimed to assess associations of serum proteins with future CD onset and with other biomarkers predicting CD risk in a healthy at-risk cohort. DESIGN: In a nested case-control study within the Crohn's and Colitis Canada Genetics Environment Microbial Project (CCC-GEM) cohort, which prospectively follows healthy first-degree relatives (FDRs), subjects who developed CD (n=71) were matched with four FDRs remaining healthy (n=284). Using samples at recruitment, serum protein profiles using the Olink Proximity Extension Assay platform was assessed for association with future development of CD and with other baseline biomarkers as follows: serum antimicrobial antibodies (AS: positive antibody sum) (Prometheus); faecal calprotectin (FCP); gut barrier function using the fractional excretion of lactulose-to-mannitol ratio (LMR) assay. RESULTS: We identified 25 of 446 serum proteins significantly associated with future development of CD. C-X-C motif chemokine 9 (CXCL9) had the highest OR with future risk of CD (OR=2.07 per SD, 95% CI 1.58 to 2.73, q=7.9e-5), whereas matrix extracellular phosphoglycoprotein had the lowest OR (OR 0.44, 95% CI 0.29 to 0.66, q=0.02). Notably, CXCL9 was the only analyte significantly associated with all other CD-risk biomarkers with consistent direction of effect (FCP: OR=2.21; LMR: OR=1.67; AS: OR=1.59) (q&lt;0.05 for all). CONCLUSION: We identified serum proteomic signatures associated with future CD development, reflecting potential early biological processes of immune and barrier dysfunction.","author":[{"dropping-particle":"","family":"Leibovitzh","given":"Haim","non-dropping-particle":"","parse-names":false,"suffix":""},{"dropping-particle":"","family":"Lee","given":"Sun-Ho","non-dropping-particle":"","parse-names":false,"suffix":""},{"dropping-particle":"","family":"Raygoza Garay","given":"Juan Antonio","non-dropping-particle":"","parse-names":false,"suffix":""},{"dropping-particle":"","family":"Espin-Garcia","given":"Osvaldo","non-dropping-particle":"","parse-names":false,"suffix":""},{"dropping-particle":"","family":"Xue","given":"Mingyue","non-dropping-particle":"","parse-names":false,"suffix":""},{"dropping-particle":"","family":"Neustaeter","given":"Anna","non-dropping-particle":"","parse-names":false,"suffix":""},{"dropping-particle":"","family":"Goethel","given":"Ashleigh","non-dropping-particle":"","parse-names":false,"suffix":""},{"dropping-particle":"","family":"Huynh","given":"Hien Q","non-dropping-particle":"","parse-names":false,"suffix":""},{"dropping-particle":"","family":"Griffiths","given":"Anne M","non-dropping-particle":"","parse-names":false,"suffix":""},{"dropping-particle":"","family":"Turner","given":"Dan","non-dropping-particle":"","parse-names":false,"suffix":""},{"dropping-particle":"","family":"Madsen","given":"Karen L","non-dropping-particle":"","parse-names":false,"suffix":""},{"dropping-particle":"","family":"Moayyedi","given":"Paul","non-dropping-particle":"","parse-names":false,"suffix":""},{"dropping-particle":"","family":"Steinhart","given":"A Hillary","non-dropping-particle":"","parse-names":false,"suffix":""},{"dropping-particle":"","family":"Silverberg","given":"Mark S","non-dropping-particle":"","parse-names":false,"suffix":""},{"dropping-particle":"","family":"Deslandres","given":"Colette","non-dropping-particle":"","parse-names":false,"suffix":""},{"dropping-particle":"","family":"Bitton","given":"Alain","non-dropping-particle":"","parse-names":false,"suffix":""},{"dropping-particle":"","family":"Mack","given":"David R","non-dropping-particle":"","parse-names":false,"suffix":""},{"dropping-particle":"","family":"Jacobson","given":"Kevan","non-dropping-particle":"","parse-names":false,"suffix":""},{"dropping-particle":"","family":"Cino","given":"Maria","non-dropping-particle":"","parse-names":false,"suffix":""},{"dropping-particle":"","family":"Aumais","given":"Guy","non-dropping-particle":"","parse-names":false,"suffix":""},{"dropping-particle":"","family":"Bernstein","given":"Charles N","non-dropping-particle":"","parse-names":false,"suffix":""},{"dropping-particle":"","family":"Panaccione","given":"Remo","non-dropping-particle":"","parse-names":false,"suffix":""},{"dropping-particle":"","family":"Weiss","given":"Batia","non-dropping-particle":"","parse-names":false,"suffix":""},{"dropping-particle":"","family":"Halfvarson","given":"Jonas","non-dropping-particle":"","parse-names":false,"suffix":""},{"dropping-particle":"","family":"Xu","given":"Wei","non-dropping-particle":"","parse-names":false,"suffix":""},{"dropping-particle":"","family":"Turpin","given":"Williams","non-dropping-particle":"","parse-names":false,"suffix":""},{"dropping-particle":"","family":"Croitoru","given":"Kenneth","non-dropping-particle":"","parse-names":false,"suffix":""}],"container-title":"Gut","id":"ITEM-1","issued":{"date-parts":[["2023","2"]]},"language":"eng","publisher-place":"England","title":"Immune response and barrier dysfunction-related proteomic signatures in  preclinical phase of Crohn's disease highlight earliest events of pathogenesis.","type":"article-journal"},"uris":["http://www.mendeley.com/documents/?uuid=6e541882-7120-4796-b072-b8cc3338b0e9"]},{"id":"ITEM-2","itemData":{"DOI":"10.1016/j.conctc.2019.100345","ISSN":"2451-8654 (Electronic)","PMID":"30989149","abstract":"PURPOSE: The etiology of Inflammatory Bowel Disease (IBD) remains currently  unknown but evidence would suggest that it results from a complex interplay between genetic susceptibility genes, the intestinal microbiome and the environment, resulting in an increased response towards microbial and self-antigens, followed by the development of pre-clinical intestinal inflammation as a precursor to overt clinical disease. Efforts are needed to provide insights into the characterization of the disease, the possible prediction of complications, and the detection of a pre-clinical disease state where, through early screening and intervention, disease course can be reversed, attenuated or even prevented. A consortium of academic, industry and governmental organization investigators initiated this study to enable an assessment of pre-disease biomarkers in patients newly diagnosed with Crohn's disease (CD) and ulcerative colitis (UC). PARTICIPANTS: A retrospective cohort of 1000 UC and 1000 CD cases with 500 matched controls was drawn from an active duty US military personnel population with relevant inclusion criteria with three associated pre-disease and a single disease-associated archived serum samples. FINDINGS TO DATE: The PREDICTS study has been established as a biorepository platform study to perform novel discovery and analysis efforts in the field of IBD and proteomic systems biology. FUTURE PLANS: This study is poised to enable the assessment of novel biomarkers within the serum compartment to be analyzed with the goal of identifying pre-disease signals that ultimately predict disease risk, and further elucidate disease pathogenesis in the early stages of the disease process, and identify novel exposures that increase disease risk.","author":[{"dropping-particle":"","family":"Porter","given":"Chad K","non-dropping-particle":"","parse-names":false,"suffix":""},{"dropping-particle":"","family":"Riddle","given":"Mark S","non-dropping-particle":"","parse-names":false,"suffix":""},{"dropping-particle":"","family":"Gutierrez","given":"Ramiro L","non-dropping-particle":"","parse-names":false,"suffix":""},{"dropping-particle":"","family":"Princen","given":"Fred","non-dropping-particle":"","parse-names":false,"suffix":""},{"dropping-particle":"","family":"Strauss","given":"Rick","non-dropping-particle":"","parse-names":false,"suffix":""},{"dropping-particle":"","family":"Telesco","given":"Shannon E","non-dropping-particle":"","parse-names":false,"suffix":""},{"dropping-particle":"","family":"Torres","given":"Joana","non-dropping-particle":"","parse-names":false,"suffix":""},{"dropping-particle":"","family":"Choung","given":"Rok Seon","non-dropping-particle":"","parse-names":false,"suffix":""},{"dropping-particle":"","family":"Laird","given":"Renee M","non-dropping-particle":"","parse-names":false,"suffix":""},{"dropping-particle":"","family":"Leon","given":"Francisco","non-dropping-particle":"","parse-names":false,"suffix":""},{"dropping-particle":"","family":"Colombel","given":"Jean-Frédéric","non-dropping-particle":"","parse-names":false,"suffix":""},{"dropping-particle":"","family":"Murray","given":"Joseph A","non-dropping-particle":"","parse-names":false,"suffix":""}],"container-title":"Contemporary clinical trials communications","id":"ITEM-2","issued":{"date-parts":[["2019","6"]]},"language":"eng","page":"100345","publisher-place":"Netherlands","title":"Cohort profile of the PRoteomic Evaluation and Discovery in an IBD Cohort of  Tri-service Subjects (PREDICTS) study: Rationale, organization, design, and baseline characteristics.","type":"article-journal","volume":"14"},"uris":["http://www.mendeley.com/documents/?uuid=563e9544-174c-483a-bbe7-c2a8304011d9"]}],"mendeley":{"formattedCitation":"&lt;sup&gt;33,34&lt;/sup&gt;","plainTextFormattedCitation":"33,34","previouslyFormattedCitation":"&lt;sup&gt;30,31&lt;/sup&gt;"},"properties":{"noteIndex":0},"schema":"https://github.com/citation-style-language/schema/raw/master/csl-citation.json"}</w:instrText>
      </w:r>
      <w:r w:rsidR="00AC3474" w:rsidRPr="00B40DB0">
        <w:rPr>
          <w:rFonts w:ascii="Times New Roman" w:hAnsi="Times New Roman" w:cs="Times New Roman"/>
          <w:sz w:val="24"/>
          <w:szCs w:val="24"/>
          <w:lang w:val="en-GB"/>
        </w:rPr>
        <w:fldChar w:fldCharType="separate"/>
      </w:r>
      <w:r w:rsidR="005446D9" w:rsidRPr="00B40DB0">
        <w:rPr>
          <w:rFonts w:ascii="Times New Roman" w:hAnsi="Times New Roman" w:cs="Times New Roman"/>
          <w:noProof/>
          <w:sz w:val="24"/>
          <w:szCs w:val="24"/>
          <w:vertAlign w:val="superscript"/>
          <w:lang w:val="en-GB"/>
        </w:rPr>
        <w:t>33,34</w:t>
      </w:r>
      <w:r w:rsidR="00AC3474" w:rsidRPr="00B40DB0">
        <w:rPr>
          <w:rFonts w:ascii="Times New Roman" w:hAnsi="Times New Roman" w:cs="Times New Roman"/>
          <w:sz w:val="24"/>
          <w:szCs w:val="24"/>
          <w:lang w:val="en-GB"/>
        </w:rPr>
        <w:fldChar w:fldCharType="end"/>
      </w:r>
      <w:r w:rsidR="00AB7420" w:rsidRPr="00B40DB0">
        <w:rPr>
          <w:rFonts w:ascii="Times New Roman" w:hAnsi="Times New Roman" w:cs="Times New Roman"/>
          <w:sz w:val="24"/>
          <w:szCs w:val="24"/>
          <w:lang w:val="en-GB"/>
        </w:rPr>
        <w:t xml:space="preserve">). </w:t>
      </w:r>
      <w:r w:rsidR="00454453" w:rsidRPr="00B40DB0">
        <w:rPr>
          <w:rFonts w:ascii="Times New Roman" w:hAnsi="Times New Roman" w:cs="Times New Roman"/>
          <w:sz w:val="24"/>
          <w:szCs w:val="24"/>
          <w:lang w:val="en-GB"/>
        </w:rPr>
        <w:t>Finally, another pers</w:t>
      </w:r>
      <w:r w:rsidR="00587392" w:rsidRPr="00B40DB0">
        <w:rPr>
          <w:rFonts w:ascii="Times New Roman" w:hAnsi="Times New Roman" w:cs="Times New Roman"/>
          <w:sz w:val="24"/>
          <w:szCs w:val="24"/>
          <w:lang w:val="en-GB"/>
        </w:rPr>
        <w:t xml:space="preserve">pective would be to evaluate </w:t>
      </w:r>
      <w:r w:rsidR="00C602C2" w:rsidRPr="00B40DB0">
        <w:rPr>
          <w:rFonts w:ascii="Times New Roman" w:hAnsi="Times New Roman" w:cs="Times New Roman"/>
          <w:sz w:val="24"/>
          <w:szCs w:val="24"/>
          <w:lang w:val="en-GB"/>
        </w:rPr>
        <w:t>to</w:t>
      </w:r>
      <w:r w:rsidR="00587392" w:rsidRPr="00B40DB0">
        <w:rPr>
          <w:rFonts w:ascii="Times New Roman" w:hAnsi="Times New Roman" w:cs="Times New Roman"/>
          <w:sz w:val="24"/>
          <w:szCs w:val="24"/>
          <w:lang w:val="en-GB"/>
        </w:rPr>
        <w:t xml:space="preserve"> which extent biological remission in CD and ulcerative colitis could converge</w:t>
      </w:r>
      <w:r w:rsidR="00F724E4" w:rsidRPr="00B40DB0">
        <w:rPr>
          <w:rFonts w:ascii="Times New Roman" w:hAnsi="Times New Roman" w:cs="Times New Roman"/>
          <w:sz w:val="24"/>
          <w:szCs w:val="24"/>
          <w:lang w:val="en-GB"/>
        </w:rPr>
        <w:t>.</w:t>
      </w:r>
      <w:r w:rsidR="00587392" w:rsidRPr="00B40DB0">
        <w:rPr>
          <w:rFonts w:ascii="Times New Roman" w:hAnsi="Times New Roman" w:cs="Times New Roman"/>
          <w:sz w:val="24"/>
          <w:szCs w:val="24"/>
          <w:lang w:val="en-GB"/>
        </w:rPr>
        <w:t xml:space="preserve"> </w:t>
      </w:r>
    </w:p>
    <w:p w14:paraId="5D174B2B" w14:textId="3EB75BAB" w:rsidR="00D966CC" w:rsidRPr="00B40DB0" w:rsidRDefault="009C33A0" w:rsidP="00AE27F3">
      <w:pPr>
        <w:spacing w:after="0" w:line="480" w:lineRule="auto"/>
        <w:ind w:firstLine="284"/>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rPr>
        <w:t>As discussed above,</w:t>
      </w:r>
      <w:r w:rsidR="00F03C2E" w:rsidRPr="00C54D13">
        <w:rPr>
          <w:rFonts w:ascii="Times New Roman" w:eastAsia="Times New Roman" w:hAnsi="Times New Roman" w:cs="Times New Roman"/>
          <w:color w:val="000000"/>
          <w:sz w:val="24"/>
          <w:szCs w:val="24"/>
          <w:lang w:val="en-GB"/>
        </w:rPr>
        <w:t xml:space="preserve"> the development of fundamental knowledge characterising </w:t>
      </w:r>
      <w:r w:rsidR="00D91903">
        <w:rPr>
          <w:rFonts w:ascii="Times New Roman" w:eastAsia="Times New Roman" w:hAnsi="Times New Roman" w:cs="Times New Roman"/>
          <w:color w:val="000000"/>
          <w:sz w:val="24"/>
          <w:szCs w:val="24"/>
          <w:lang w:val="en-GB"/>
        </w:rPr>
        <w:t>biological remission</w:t>
      </w:r>
      <w:r w:rsidR="00F03C2E" w:rsidRPr="00C54D13">
        <w:rPr>
          <w:rFonts w:ascii="Times New Roman" w:eastAsia="Times New Roman" w:hAnsi="Times New Roman" w:cs="Times New Roman"/>
          <w:color w:val="000000"/>
          <w:sz w:val="24"/>
          <w:szCs w:val="24"/>
          <w:lang w:val="en-GB"/>
        </w:rPr>
        <w:t xml:space="preserve"> is a necessary step guiding the search of novel biomarkers </w:t>
      </w:r>
      <w:r w:rsidR="00E17E51">
        <w:rPr>
          <w:rFonts w:ascii="Times New Roman" w:eastAsia="Times New Roman" w:hAnsi="Times New Roman" w:cs="Times New Roman"/>
          <w:color w:val="000000"/>
          <w:sz w:val="24"/>
          <w:szCs w:val="24"/>
          <w:lang w:val="en-GB"/>
        </w:rPr>
        <w:t>in</w:t>
      </w:r>
      <w:r w:rsidR="00E95D22">
        <w:rPr>
          <w:rFonts w:ascii="Times New Roman" w:eastAsia="Times New Roman" w:hAnsi="Times New Roman" w:cs="Times New Roman"/>
          <w:color w:val="000000"/>
          <w:sz w:val="24"/>
          <w:szCs w:val="24"/>
          <w:lang w:val="en-GB"/>
        </w:rPr>
        <w:t xml:space="preserve"> CD</w:t>
      </w:r>
      <w:r w:rsidR="00F03C2E" w:rsidRPr="00C54D13">
        <w:rPr>
          <w:rFonts w:ascii="Times New Roman" w:eastAsia="Times New Roman" w:hAnsi="Times New Roman" w:cs="Times New Roman"/>
          <w:color w:val="000000"/>
          <w:sz w:val="24"/>
          <w:szCs w:val="24"/>
          <w:lang w:val="en-GB"/>
        </w:rPr>
        <w:t>. In a next phase, implementing this knowle</w:t>
      </w:r>
      <w:r w:rsidR="00B766BE">
        <w:rPr>
          <w:rFonts w:ascii="Times New Roman" w:eastAsia="Times New Roman" w:hAnsi="Times New Roman" w:cs="Times New Roman"/>
          <w:color w:val="000000"/>
          <w:sz w:val="24"/>
          <w:szCs w:val="24"/>
          <w:lang w:val="en-GB"/>
        </w:rPr>
        <w:t>dge into clinical practice will</w:t>
      </w:r>
      <w:r w:rsidR="00F03C2E" w:rsidRPr="00C54D13">
        <w:rPr>
          <w:rFonts w:ascii="Times New Roman" w:eastAsia="Times New Roman" w:hAnsi="Times New Roman" w:cs="Times New Roman"/>
          <w:color w:val="000000"/>
          <w:sz w:val="24"/>
          <w:szCs w:val="24"/>
          <w:lang w:val="en-GB"/>
        </w:rPr>
        <w:t xml:space="preserve"> </w:t>
      </w:r>
      <w:r w:rsidR="00B766BE">
        <w:rPr>
          <w:rFonts w:ascii="Times New Roman" w:eastAsia="Times New Roman" w:hAnsi="Times New Roman" w:cs="Times New Roman"/>
          <w:color w:val="000000"/>
          <w:sz w:val="24"/>
          <w:szCs w:val="24"/>
          <w:lang w:val="en-GB"/>
        </w:rPr>
        <w:t>require</w:t>
      </w:r>
      <w:r w:rsidR="00F03C2E" w:rsidRPr="00C54D13">
        <w:rPr>
          <w:rFonts w:ascii="Times New Roman" w:eastAsia="Times New Roman" w:hAnsi="Times New Roman" w:cs="Times New Roman"/>
          <w:color w:val="000000"/>
          <w:sz w:val="24"/>
          <w:szCs w:val="24"/>
          <w:lang w:val="en-GB"/>
        </w:rPr>
        <w:t xml:space="preserve"> to overcome important </w:t>
      </w:r>
      <w:r w:rsidR="00E71633">
        <w:rPr>
          <w:rFonts w:ascii="Times New Roman" w:eastAsia="Times New Roman" w:hAnsi="Times New Roman" w:cs="Times New Roman"/>
          <w:color w:val="000000"/>
          <w:sz w:val="24"/>
          <w:szCs w:val="24"/>
          <w:lang w:val="en-GB"/>
        </w:rPr>
        <w:t>challenges</w:t>
      </w:r>
      <w:r w:rsidR="00F03C2E" w:rsidRPr="00C54D13">
        <w:rPr>
          <w:rFonts w:ascii="Times New Roman" w:eastAsia="Times New Roman" w:hAnsi="Times New Roman" w:cs="Times New Roman"/>
          <w:color w:val="000000"/>
          <w:sz w:val="24"/>
          <w:szCs w:val="24"/>
          <w:lang w:val="en-GB"/>
        </w:rPr>
        <w:t xml:space="preserve"> since demonstrating the clinical utility of biomarkers is a difficult and long task with a low rate of success</w:t>
      </w:r>
      <w:r w:rsidR="00F03C2E" w:rsidRPr="00C54D13">
        <w:rPr>
          <w:rFonts w:ascii="Times New Roman" w:eastAsia="Times New Roman" w:hAnsi="Times New Roman" w:cs="Times New Roman"/>
          <w:color w:val="000000"/>
          <w:sz w:val="24"/>
          <w:szCs w:val="24"/>
          <w:lang w:val="en-GB"/>
        </w:rPr>
        <w:fldChar w:fldCharType="begin" w:fldLock="1"/>
      </w:r>
      <w:r w:rsidR="005446D9">
        <w:rPr>
          <w:rFonts w:ascii="Times New Roman" w:eastAsia="Times New Roman" w:hAnsi="Times New Roman" w:cs="Times New Roman"/>
          <w:color w:val="000000"/>
          <w:sz w:val="24"/>
          <w:szCs w:val="24"/>
          <w:lang w:val="en-GB"/>
        </w:rPr>
        <w:instrText>ADDIN CSL_CITATION {"citationItems":[{"id":"ITEM-1","itemData":{"DOI":"10.1038/nbt1235","ISSN":"1546-1696","abstract":"Better biomarkers are urgently needed to improve diagnosis, guide molecularly targeted therapy and monitor activity and therapeutic response across a wide spectrum of disease. Proteomics methods based on mass spectrometry hold special promise for the discovery of novel biomarkers that might form the foundation for new clinical blood tests, but to date their contribution to the diagnostic armamentarium has been disappointing. This is due in part to the lack of a coherent pipeline connecting marker discovery with well-established methods for validation. Advances in methods and technology now enable construction of a comprehensive biomarker pipeline from six essential process components: candidate discovery, qualification, verification, research assay optimization, biomarker validation and commercialization. Better understanding of the overall process of biomarker discovery and validation and of the challenges and strategies inherent in each phase should improve experimental study design, in turn increasing the efficiency of biomarker development and facilitating the delivery and deployment of novel clinical tests.","author":[{"dropping-particle":"","family":"Rifai","given":"Nader","non-dropping-particle":"","parse-names":false,"suffix":""},{"dropping-particle":"","family":"Gillette","given":"Michael A","non-dropping-particle":"","parse-names":false,"suffix":""},{"dropping-particle":"","family":"Carr","given":"Steven A","non-dropping-particle":"","parse-names":false,"suffix":""}],"container-title":"Nature Biotechnology","id":"ITEM-1","issue":"8","issued":{"date-parts":[["2006"]]},"page":"971-983","title":"Protein biomarker discovery and validation: the long and uncertain path to clinical utility","type":"article-journal","volume":"24"},"uris":["http://www.mendeley.com/documents/?uuid=6fed98ab-277f-40ce-aa0d-6fb64a4f9aaa"]}],"mendeley":{"formattedCitation":"&lt;sup&gt;35&lt;/sup&gt;","plainTextFormattedCitation":"35","previouslyFormattedCitation":"&lt;sup&gt;32&lt;/sup&gt;"},"properties":{"noteIndex":0},"schema":"https://github.com/citation-style-language/schema/raw/master/csl-citation.json"}</w:instrText>
      </w:r>
      <w:r w:rsidR="00F03C2E" w:rsidRPr="00C54D13">
        <w:rPr>
          <w:rFonts w:ascii="Times New Roman" w:eastAsia="Times New Roman" w:hAnsi="Times New Roman" w:cs="Times New Roman"/>
          <w:color w:val="000000"/>
          <w:sz w:val="24"/>
          <w:szCs w:val="24"/>
          <w:lang w:val="en-GB"/>
        </w:rPr>
        <w:fldChar w:fldCharType="separate"/>
      </w:r>
      <w:r w:rsidR="005446D9" w:rsidRPr="005446D9">
        <w:rPr>
          <w:rFonts w:ascii="Times New Roman" w:eastAsia="Times New Roman" w:hAnsi="Times New Roman" w:cs="Times New Roman"/>
          <w:noProof/>
          <w:color w:val="000000"/>
          <w:sz w:val="24"/>
          <w:szCs w:val="24"/>
          <w:vertAlign w:val="superscript"/>
          <w:lang w:val="en-GB"/>
        </w:rPr>
        <w:t>35</w:t>
      </w:r>
      <w:r w:rsidR="00F03C2E" w:rsidRPr="00C54D13">
        <w:rPr>
          <w:rFonts w:ascii="Times New Roman" w:eastAsia="Times New Roman" w:hAnsi="Times New Roman" w:cs="Times New Roman"/>
          <w:color w:val="000000"/>
          <w:sz w:val="24"/>
          <w:szCs w:val="24"/>
          <w:lang w:val="en-GB"/>
        </w:rPr>
        <w:fldChar w:fldCharType="end"/>
      </w:r>
      <w:r w:rsidR="00F03C2E" w:rsidRPr="00C54D13">
        <w:rPr>
          <w:rFonts w:ascii="Times New Roman" w:eastAsia="Times New Roman" w:hAnsi="Times New Roman" w:cs="Times New Roman"/>
          <w:color w:val="000000"/>
          <w:sz w:val="24"/>
          <w:szCs w:val="24"/>
          <w:lang w:val="en-GB"/>
        </w:rPr>
        <w:t>. More precisely, biomarkers must comply with a complex combination of constraints: 1) demonstra</w:t>
      </w:r>
      <w:r w:rsidR="009245CD">
        <w:rPr>
          <w:rFonts w:ascii="Times New Roman" w:eastAsia="Times New Roman" w:hAnsi="Times New Roman" w:cs="Times New Roman"/>
          <w:color w:val="000000"/>
          <w:sz w:val="24"/>
          <w:szCs w:val="24"/>
          <w:lang w:val="en-GB"/>
        </w:rPr>
        <w:t>ting a solid external validity</w:t>
      </w:r>
      <w:r w:rsidR="00F03C2E" w:rsidRPr="00C54D13">
        <w:rPr>
          <w:rFonts w:ascii="Times New Roman" w:eastAsia="Times New Roman" w:hAnsi="Times New Roman" w:cs="Times New Roman"/>
          <w:color w:val="000000"/>
          <w:sz w:val="24"/>
          <w:szCs w:val="24"/>
          <w:lang w:val="en-GB"/>
        </w:rPr>
        <w:t>: 2) showing a reasonable risk of patient misclassification; 3) dealing with some clinical requirements such as cost, availability of materials, throug</w:t>
      </w:r>
      <w:r w:rsidR="001537A9">
        <w:rPr>
          <w:rFonts w:ascii="Times New Roman" w:eastAsia="Times New Roman" w:hAnsi="Times New Roman" w:cs="Times New Roman"/>
          <w:color w:val="000000"/>
          <w:sz w:val="24"/>
          <w:szCs w:val="24"/>
          <w:lang w:val="en-GB"/>
        </w:rPr>
        <w:t>hput and analytical performance</w:t>
      </w:r>
      <w:r w:rsidR="00F03C2E" w:rsidRPr="00C54D13">
        <w:rPr>
          <w:rFonts w:ascii="Times New Roman" w:eastAsia="Times New Roman" w:hAnsi="Times New Roman" w:cs="Times New Roman"/>
          <w:color w:val="000000"/>
          <w:sz w:val="24"/>
          <w:szCs w:val="24"/>
          <w:lang w:val="en-GB"/>
        </w:rPr>
        <w:t xml:space="preserve"> of the</w:t>
      </w:r>
      <w:r w:rsidR="00DB1FA5">
        <w:rPr>
          <w:rFonts w:ascii="Times New Roman" w:eastAsia="Times New Roman" w:hAnsi="Times New Roman" w:cs="Times New Roman"/>
          <w:color w:val="000000"/>
          <w:sz w:val="24"/>
          <w:szCs w:val="24"/>
          <w:lang w:val="en-GB"/>
        </w:rPr>
        <w:t xml:space="preserve"> selected</w:t>
      </w:r>
      <w:r w:rsidR="00F03C2E" w:rsidRPr="00C54D13">
        <w:rPr>
          <w:rFonts w:ascii="Times New Roman" w:eastAsia="Times New Roman" w:hAnsi="Times New Roman" w:cs="Times New Roman"/>
          <w:color w:val="000000"/>
          <w:sz w:val="24"/>
          <w:szCs w:val="24"/>
          <w:lang w:val="en-GB"/>
        </w:rPr>
        <w:t xml:space="preserve"> technology; 4) having a better cost-effectiveness ratio than the use of classical </w:t>
      </w:r>
      <w:r w:rsidR="00D47A92" w:rsidRPr="00C54D13">
        <w:rPr>
          <w:rFonts w:ascii="Times New Roman" w:eastAsia="Times New Roman" w:hAnsi="Times New Roman" w:cs="Times New Roman"/>
          <w:color w:val="000000"/>
          <w:sz w:val="24"/>
          <w:szCs w:val="24"/>
          <w:lang w:val="en-GB"/>
        </w:rPr>
        <w:t>tr</w:t>
      </w:r>
      <w:r w:rsidR="00D47A92">
        <w:rPr>
          <w:rFonts w:ascii="Times New Roman" w:eastAsia="Times New Roman" w:hAnsi="Times New Roman" w:cs="Times New Roman"/>
          <w:color w:val="000000"/>
          <w:sz w:val="24"/>
          <w:szCs w:val="24"/>
          <w:lang w:val="en-GB"/>
        </w:rPr>
        <w:t>eatment</w:t>
      </w:r>
      <w:r w:rsidR="00F03C2E" w:rsidRPr="00C54D13">
        <w:rPr>
          <w:rFonts w:ascii="Times New Roman" w:eastAsia="Times New Roman" w:hAnsi="Times New Roman" w:cs="Times New Roman"/>
          <w:color w:val="000000"/>
          <w:sz w:val="24"/>
          <w:szCs w:val="24"/>
          <w:lang w:val="en-GB"/>
        </w:rPr>
        <w:t xml:space="preserve"> targets in CD (symptoms control, mucosal healing, CRP and faecal calprotectin normalisation). </w:t>
      </w:r>
      <w:r w:rsidR="00D966CC" w:rsidRPr="00B40DB0">
        <w:rPr>
          <w:rFonts w:ascii="Times New Roman" w:eastAsia="Times New Roman" w:hAnsi="Times New Roman" w:cs="Times New Roman"/>
          <w:color w:val="000000"/>
          <w:sz w:val="24"/>
          <w:szCs w:val="24"/>
          <w:lang w:val="en-GB"/>
        </w:rPr>
        <w:t xml:space="preserve">In addition, the </w:t>
      </w:r>
      <w:r w:rsidR="008B5979" w:rsidRPr="00B40DB0">
        <w:rPr>
          <w:rFonts w:ascii="Times New Roman" w:eastAsia="Times New Roman" w:hAnsi="Times New Roman" w:cs="Times New Roman"/>
          <w:color w:val="000000"/>
          <w:sz w:val="24"/>
          <w:szCs w:val="24"/>
          <w:lang w:val="en-GB"/>
        </w:rPr>
        <w:t>heterogeneity of CD</w:t>
      </w:r>
      <w:r w:rsidR="00D966CC" w:rsidRPr="00B40DB0">
        <w:rPr>
          <w:rFonts w:ascii="Times New Roman" w:eastAsia="Times New Roman" w:hAnsi="Times New Roman" w:cs="Times New Roman"/>
          <w:color w:val="000000"/>
          <w:sz w:val="24"/>
          <w:szCs w:val="24"/>
          <w:lang w:val="en-GB"/>
        </w:rPr>
        <w:t xml:space="preserve"> phenotypes </w:t>
      </w:r>
      <w:r w:rsidR="00861F95" w:rsidRPr="00B40DB0">
        <w:rPr>
          <w:rFonts w:ascii="Times New Roman" w:eastAsia="Times New Roman" w:hAnsi="Times New Roman" w:cs="Times New Roman"/>
          <w:color w:val="000000"/>
          <w:sz w:val="24"/>
          <w:szCs w:val="24"/>
          <w:lang w:val="en-GB"/>
        </w:rPr>
        <w:t>represents a</w:t>
      </w:r>
      <w:r w:rsidR="000663BB" w:rsidRPr="00B40DB0">
        <w:rPr>
          <w:rFonts w:ascii="Times New Roman" w:eastAsia="Times New Roman" w:hAnsi="Times New Roman" w:cs="Times New Roman"/>
          <w:color w:val="000000"/>
          <w:sz w:val="24"/>
          <w:szCs w:val="24"/>
          <w:lang w:val="en-GB"/>
        </w:rPr>
        <w:t xml:space="preserve"> challenge for</w:t>
      </w:r>
      <w:r w:rsidR="008E2CF8" w:rsidRPr="00B40DB0">
        <w:rPr>
          <w:rFonts w:ascii="Times New Roman" w:eastAsia="Times New Roman" w:hAnsi="Times New Roman" w:cs="Times New Roman"/>
          <w:color w:val="000000"/>
          <w:sz w:val="24"/>
          <w:szCs w:val="24"/>
          <w:lang w:val="en-GB"/>
        </w:rPr>
        <w:t xml:space="preserve"> the discovery of biomarkers</w:t>
      </w:r>
      <w:r w:rsidR="00D966CC" w:rsidRPr="00B40DB0">
        <w:rPr>
          <w:rFonts w:ascii="Times New Roman" w:eastAsia="Times New Roman" w:hAnsi="Times New Roman" w:cs="Times New Roman"/>
          <w:color w:val="000000"/>
          <w:sz w:val="24"/>
          <w:szCs w:val="24"/>
          <w:lang w:val="en-GB"/>
        </w:rPr>
        <w:t xml:space="preserve">. </w:t>
      </w:r>
      <w:r w:rsidR="008E2CF8" w:rsidRPr="00B40DB0">
        <w:rPr>
          <w:rFonts w:ascii="Times New Roman" w:eastAsia="Times New Roman" w:hAnsi="Times New Roman" w:cs="Times New Roman"/>
          <w:color w:val="000000"/>
          <w:sz w:val="24"/>
          <w:szCs w:val="24"/>
          <w:lang w:val="en-GB"/>
        </w:rPr>
        <w:t xml:space="preserve">This difficulty is already perceptible with the disease location since </w:t>
      </w:r>
      <w:r w:rsidR="008E2CF8" w:rsidRPr="00B40DB0">
        <w:rPr>
          <w:rFonts w:ascii="Times New Roman" w:hAnsi="Times New Roman" w:cs="Times New Roman"/>
          <w:sz w:val="24"/>
          <w:szCs w:val="24"/>
          <w:lang w:val="en-GB"/>
        </w:rPr>
        <w:t>the biomarkers used in clinical routine (CRP and</w:t>
      </w:r>
      <w:r w:rsidR="00480857" w:rsidRPr="00B40DB0">
        <w:rPr>
          <w:rFonts w:ascii="Times New Roman" w:hAnsi="Times New Roman" w:cs="Times New Roman"/>
          <w:sz w:val="24"/>
          <w:szCs w:val="24"/>
          <w:lang w:val="en-GB"/>
        </w:rPr>
        <w:t xml:space="preserve"> </w:t>
      </w:r>
      <w:r w:rsidR="00D81503" w:rsidRPr="00B40DB0">
        <w:rPr>
          <w:rFonts w:ascii="Times New Roman" w:hAnsi="Times New Roman" w:cs="Times New Roman"/>
          <w:sz w:val="24"/>
          <w:szCs w:val="24"/>
          <w:lang w:val="en-GB"/>
        </w:rPr>
        <w:t>faecal</w:t>
      </w:r>
      <w:r w:rsidR="00480857" w:rsidRPr="00B40DB0">
        <w:rPr>
          <w:rFonts w:ascii="Times New Roman" w:hAnsi="Times New Roman" w:cs="Times New Roman"/>
          <w:sz w:val="24"/>
          <w:szCs w:val="24"/>
          <w:lang w:val="en-GB"/>
        </w:rPr>
        <w:t xml:space="preserve"> calprotectin) showed lower</w:t>
      </w:r>
      <w:r w:rsidR="008E2CF8" w:rsidRPr="00B40DB0">
        <w:rPr>
          <w:rFonts w:ascii="Times New Roman" w:hAnsi="Times New Roman" w:cs="Times New Roman"/>
          <w:sz w:val="24"/>
          <w:szCs w:val="24"/>
          <w:lang w:val="en-GB"/>
        </w:rPr>
        <w:t xml:space="preserve"> performance to monitor ileal than colonic CD</w:t>
      </w:r>
      <w:r w:rsidR="008E2CF8" w:rsidRPr="00B40DB0">
        <w:rPr>
          <w:rFonts w:ascii="Times New Roman" w:hAnsi="Times New Roman" w:cs="Times New Roman"/>
          <w:sz w:val="24"/>
          <w:szCs w:val="24"/>
          <w:lang w:val="en-GB"/>
        </w:rPr>
        <w:fldChar w:fldCharType="begin" w:fldLock="1"/>
      </w:r>
      <w:r w:rsidR="005446D9" w:rsidRPr="00B40DB0">
        <w:rPr>
          <w:rFonts w:ascii="Times New Roman" w:hAnsi="Times New Roman" w:cs="Times New Roman"/>
          <w:sz w:val="24"/>
          <w:szCs w:val="24"/>
          <w:lang w:val="en-GB"/>
        </w:rPr>
        <w:instrText>ADDIN CSL_CITATION {"citationItems":[{"id":"ITEM-1","itemData":{"DOI":"10.1002/ibd.20312","ISBN":"1078-0998 (Print)","ISSN":"10780998","PMID":"18022866","abstract":"BACKGROUND: Correlation of endoscopic Crohn's disease activity with fecal calprotectin and lactoferrin is insufficiently studied. We evaluated the clinical significance of these neutrofil-derived proteins in assessment of Crohn's disease activity by comparing them with endoscopic disease activity and with Crohn's disease activity index (CDAI) and serum CRP. METHODS: A total of 77 CD patients underwent one or more ileocolonoscopies (n = 106) with scoring of Crohn's disease index of severity (CDEIS). Patients provided stool samples for calprotectin and lactoferrin measurements and blood samples for CRP. Clinical activity was based on the CDAI. RESULTS: Both fecal calprotectin and lactoferrin correlated significantly with CDEIS (Spearman's r 0.729 and 0.773, P &lt; 0.001). With a cutoff level of 200 microg/g for a raised fecal calprotectin concentration, sensitivity was 70%, specificity 92%, positive predictive value (PPV) 94%, and negative predictive value (NPV) 61% in predicting endoscopically active disease (CDEIS &gt;/= 3). A fecal lactoferrin concentration of 10 microg/g as the cutoff value gave a sensitivity, specificity, PPV, and NPV of 66%, 92%, 94%, and 59%. Sensitivity of CDAI &gt;/= 150 to detect endoscopically active disease was only 27%, specificity 94%, PPV 91%, and NPV 40%. A raised serum CRP (&gt; 5 mg/l) gave a sensitivity, specificity, PPV, and NPV of 48%, 91%, 91%, and 48%.Conclusions: For evaluation of Crohn's disease activity, based on endoscopic findings, more sensitive surrogate markers than is CDAI or CRP are fecal calprotectin and lactoferrin. These prove to be useful tools for estimation of disease activity in Crohn's disease.","author":[{"dropping-particle":"","family":"Sipponen","given":"Taina","non-dropping-particle":"","parse-names":false,"suffix":""},{"dropping-particle":"","family":"Savilahti","given":"Erkki","non-dropping-particle":"","parse-names":false,"suffix":""},{"dropping-particle":"","family":"Kolho","given":"Kaija Leena","non-dropping-particle":"","parse-names":false,"suffix":""},{"dropping-particle":"","family":"Nuutinen","given":"Hannu","non-dropping-particle":"","parse-names":false,"suffix":""},{"dropping-particle":"","family":"Turunen","given":"Ulla","non-dropping-particle":"","parse-names":false,"suffix":""},{"dropping-particle":"","family":"Färkkilä","given":"Martti","non-dropping-particle":"","parse-names":false,"suffix":""}],"container-title":"Inflammatory Bowel Diseases","id":"ITEM-1","issue":"1","issued":{"date-parts":[["2008"]]},"page":"40-46","title":"Crohn's disease activity assessed by fecal calprotectin and lactoferrin: Correlation with Crohn's disease activity index and endoscopic findings","type":"article-journal","volume":"14"},"uris":["http://www.mendeley.com/documents/?uuid=24afdc9f-c1e1-4041-918d-d7b8c9846add"]},{"id":"ITEM-2","itemData":{"DOI":"10.1111/j.1365-2036.2008.03835.x","ISSN":"1365-2036 (Electronic)","PMID":"18752630","abstract":"BACKGROUND: Faecal calprotectin and lactoferrin increasingly serve as surrogate  markers of disease activity in IBD. Data on the correlation of these markers with simple endoscopic score for Crohn's disease (SES-CD) and with histological findings are as yet limited. Aim To study the correlation of faecal calprotectin and lactoferrin with SES-CD and histology. METHODS: During 87 consecutive ileocolonoscopies, SES-CD was calculated and biopsy specimens were obtained from the ileum, colon and rectum. Faecal calprotectin and lactoferrin were measured. RESULTS: In ileocolonic or colonic disease, both faecal calprotectin and lactoferrin correlated significantly with colon SES-CD (P &lt; 0.001) and colon histology (P &lt; 0.001). In patients with normal calprotectin or lactoferrin levels, endoscopic and histology scores were significantly lower than in those with elevated concentrations (P &lt; 0.001). In ileal CD, ileal SES-CD correlated with histology (P &lt; 0.001), but not with faecal calprotectin (P = 0.161) or lactoferrin (P = 0.448). CONCLUSION: In ileocolonic and colonic disease, endoscopic score SES-CD and histological findings correlated significantly with faecal calprotectin and lactoferrin. A normal faecal-marker concentration was a reliable surrogate marker for endoscopically and histologically inactive CD. Ileal endoscopic score and histological findings failed, however, to correlate with faecal markers.","author":[{"dropping-particle":"","family":"Sipponen","given":"T","non-dropping-particle":"","parse-names":false,"suffix":""},{"dropping-particle":"","family":"Kärkkäinen","given":"P","non-dropping-particle":"","parse-names":false,"suffix":""},{"dropping-particle":"","family":"Savilahti","given":"E","non-dropping-particle":"","parse-names":false,"suffix":""},{"dropping-particle":"","family":"Kolho","given":"K-L","non-dropping-particle":"","parse-names":false,"suffix":""},{"dropping-particle":"","family":"Nuutinen","given":"H","non-dropping-particle":"","parse-names":false,"suffix":""},{"dropping-particle":"","family":"Turunen","given":"U","non-dropping-particle":"","parse-names":false,"suffix":""},{"dropping-particle":"","family":"Färkkilä","given":"M","non-dropping-particle":"","parse-names":false,"suffix":""}],"container-title":"Alimentary pharmacology &amp; therapeutics","id":"ITEM-2","issue":"10","issued":{"date-parts":[["2008","11"]]},"language":"eng","page":"1221-1229","publisher-place":"England","title":"Correlation of faecal calprotectin and lactoferrin with an endoscopic score for  Crohn's disease and histological findings.","type":"article-journal","volume":"28"},"uris":["http://www.mendeley.com/documents/?uuid=4f8612f7-9a7c-4df1-812c-b303b47ef0ae"]},{"id":"ITEM-3","itemData":{"DOI":"10.5114/aoms.2014.43672","ISSN":"1734-1922 (Print)","PMID":"25995752","abstract":"INTRODUCTION: There are data suggesting that the diagnostic usefulness of faecal  calprotectin (FC) may vary depending on the Crohn's disease (CD) location. The aim of the study was to compare the diagnostic usefulness of FC in CD patients with different disease locations. MATERIAL AND METHODS: We prospectively enrolled 120 CD patients in the study. Disease activity was assessed by using Crohn's Disease Activity Index (CDAI), biochemical markers, and endoscopic and radiographic methods. Faecal calprotectin concentration was assessed in single stool samples by using the ELISA method. RESULTS: Among all patients, 54 (45%) had ileocolonic CD location, 44 (36.5%) had isolated small bowel location, and 22 (18.5%) had colonic CD location. FC correlated significantly with C-reactive protein concentration and endoscopic and radiographic activity among patients with isolated small bowel CD (p = 0.03, r = 0.32; p &lt; 0.0001, r = 0.78; p = 0.03, r = 0.35; respectively) and with C-reactive protein and endoscopic activity in isolated colonic CD (p = 0.0009, r = 0.7; p = 0.0002, r = 0.78; respectively). CDAI and inflammatory biochemical markers did not correlate with endoscopic and radiographic assessment in small bowel CD. In patients with ileocolonic CD, FC correlated significantly with endoscopy (p = 0.006, r = 0.5), radiographic assessment (p = 0.04, r = 0.3), CDAI (p = 0.0006, r = 0.5) and the majority of biochemical markers. CONCLUSIONS: Faecal calprotectin is a useful diagnostic marker in all CD patients. Although its usefulness in small bowel CD seems to be the lowest, it should be utilized particularly in this disease location because of the lack of other reliable, non-invasive diagnostic methods.","author":[{"dropping-particle":"","family":"Stawczyk-Eder","given":"Kamila","non-dropping-particle":"","parse-names":false,"suffix":""},{"dropping-particle":"","family":"Eder","given":"Piotr","non-dropping-particle":"","parse-names":false,"suffix":""},{"dropping-particle":"","family":"Lykowska-Szuber","given":"Liliana","non-dropping-particle":"","parse-names":false,"suffix":""},{"dropping-particle":"","family":"Krela-Kazmierczak","given":"Iwona","non-dropping-particle":"","parse-names":false,"suffix":""},{"dropping-particle":"","family":"Klimczak","given":"Katarzyna","non-dropping-particle":"","parse-names":false,"suffix":""},{"dropping-particle":"","family":"Szymczak","given":"Aleksandra","non-dropping-particle":"","parse-names":false,"suffix":""},{"dropping-particle":"","family":"Szachta","given":"Patrycja","non-dropping-particle":"","parse-names":false,"suffix":""},{"dropping-particle":"","family":"Katulska","given":"Katarzyna","non-dropping-particle":"","parse-names":false,"suffix":""},{"dropping-particle":"","family":"Linke","given":"Krzysztof","non-dropping-particle":"","parse-names":false,"suffix":""}],"container-title":"Archives of medical science : AMS","id":"ITEM-3","issue":"2","issued":{"date-parts":[["2015","4"]]},"language":"eng","page":"353-361","title":"Is faecal calprotectin equally useful in all Crohn's disease locations? A  prospective, comparative study.","type":"article-journal","volume":"11"},"uris":["http://www.mendeley.com/documents/?uuid=e12389c0-a81f-4ff8-b89c-4ddeabaa9653"]},{"id":"ITEM-4","itemData":{"DOI":"10.1002/jgh3.12068","ISSN":"2397-9070 (Electronic)","PMID":"30483590","abstract":"BACKGROUND: The utility of fecal calprotectin (FC) in small intestinal Crohn's  disease (CD) is unclear. We examined how reliably FC reflects clinical and mucosal disease activity in small intestinal CD, colonic CD, and ulcerative colitis (UC). METHODS: A total of 72 Inflammatory Bowel Disease (IBD) patients (23 colonic CD, 14 isolated small intestinal CD, and 35 UC) were included. Clinical activity was assessed using the Harvey-Bradshaw Index (HBI) (CD) and Mayo score (UC). Inflammatory activity was assessed through ileocolonoscopy, cross-sectional imaging, C-reactive protein (CRP), and FC. Clinical activity was defined as HBI &gt; 4 or Mayo clinical score ≥ 3. Endoscopy activity was defined as Mayo endoscopic subscore ≥ 1, SES-CD score ≥ 3, and Rutgeerts &gt; i1. RESULTS: In UC, FC was correlated with the Mayo clinical score (P &lt; 0.0001) and was highly correlated with the total Mayo score (P &lt; 0.0001). A cut-off value of FC 100 μg/g provided sensitivity of 88% and specificity 100% for endoscopic activity. FC was lower for patients with endoscopic and clinical remission compared to active endoscopic disease (median 100 vs 1180 μg/g, P &lt; 0.0001). In colonic CD, there was a significant correlation between FC and endoscopic activity (P &lt; 0.001). For an FC cut-off value of 100 μg/g, sensitivity was 100%, and specificity was 67%. In contrast, for isolated small intestinal CD, there was no significant correlation between FC and objective disease activity measured by either endoscopy or imaging (AUC 0.52, P = 0.58). CONCLUSION: FC is reliable for the detection of colonic mucosal inflammation in both UC and CD but is less sensitive and reliable in the detection of small intestinal CD.","author":[{"dropping-particle":"","family":"Zittan","given":"Eran","non-dropping-particle":"","parse-names":false,"suffix":""},{"dropping-particle":"","family":"Kelly","given":"Orlaith B","non-dropping-particle":"","parse-names":false,"suffix":""},{"dropping-particle":"","family":"Gralnek","given":"Ian M","non-dropping-particle":"","parse-names":false,"suffix":""},{"dropping-particle":"","family":"Silverberg","given":"Mark S","non-dropping-particle":"","parse-names":false,"suffix":""},{"dropping-particle":"","family":"Hillary Steinhart","given":"A","non-dropping-particle":"","parse-names":false,"suffix":""}],"container-title":"JGH open : an open access journal of gastroenterology and hepatology","id":"ITEM-4","issue":"5","issued":{"date-parts":[["2018","10"]]},"language":"eng","page":"201-206","title":"Fecal calprotectin correlates with active colonic inflammatory bowel disease but not  with small intestinal Crohn's disease activity.","type":"article-journal","volume":"2"},"uris":["http://www.mendeley.com/documents/?uuid=1f757ae7-24f3-4190-b5f2-65e67159ca78"]},{"id":"ITEM-5","itemData":{"DOI":"10.1080/00365520500217118","ISSN":"0036-5521 (Print)","PMID":"16497618","abstract":"OBJECTIVE: Clinical interest in C-reactive protein (CRP) -- a component of the  innate immune system -- has focused mainly on its worth as an indicator of disease activity. There has been a resurgence of interest in CRP in the Crohn's disease (CD) literature because several trials of new treatments for active CD have been characterized by both a large proportion of patients with low CRP (&lt;10 mg/l) at entry to the trials and by a negative therapeutic outcome. It is therefore of interest to study the clinical characteristics of patients who are thought to have at the same time both active CD and a low CRP. MATERIAL AND METHODS: Patients were prospectively recruited as part of the Brisbane IBD clinical and research programme. Subjects were included in the low CRP group only if there were complete datasets for CRP on all occasions of active CD, and CRP was &lt; 10 mg/l. Active disease was defined as CD activity index (CDAI)&gt;200. The low CRP group was compared with patients in the raised CRP group for a range of clinical variables as well as the major NOD2 variants. RESULTS: There were data sets for 223 CD patients, with a mean disease duration of 12 years. Of these, 22 patients fulfilled the criteria for low CRP. The low CRP group (group 1) showed significant differences for disease site (p&lt;0.01) and for BMI (p=0.006) compared to the raised CRP group (group 2). Specifically, group 1 had a predominance of pure ileal disease (95% versus 53%) and lack of pure colonic disease (0% versus 24%) compared to group 2, and their BMI was significantly lower (20.3 kg/m(2) versus 25.0 kg/m(2)). Groups 1 and 2 did not differ with respect to Vienna behaviour at diagnosis, smoking, appendicectomy, extra-intestinal manifestations of CD, or NOD2 SNP variants. There was a trend for low CRP patients with previous ileal resection to evolve to a stricturing phenotype. Fat wrapping was noted in 11/13 (85%) of low CRP patients undergoing ileal resections. CONCLUSIONS: Patients with CD and a persistently low CRP in the face of active disease were characterized by an almost exclusive ileal disease distribution and a low BMI, compared to those with a raised CRP. These patients had a similar frequency and distribution of NOD2/CARD15 variants. Stricturing (v inflammatory or penetrating) behaviour may explain some low CRP. Despite the abnormally low BMI, fat wrapping was noted in the majority of low CRP patients undergoing ileal resection.","author":[{"dropping-particle":"","family":"Florin","given":"Timothy H J","non-dropping-particle":"","parse-names":false,"suffix":""},{"dropping-particle":"","family":"Paterson","given":"Ewan W J","non-dropping-particle":"","parse-names":false,"suffix":""},{"dropping-particle":"V","family":"Fowler","given":"Elizabeth","non-dropping-particle":"","parse-names":false,"suffix":""},{"dropping-particle":"","family":"Radford-Smith","given":"Graham L","non-dropping-particle":"","parse-names":false,"suffix":""}],"container-title":"Scandinavian journal of gastroenterology","id":"ITEM-5","issue":"3","issued":{"date-parts":[["2006","3"]]},"language":"eng","page":"306-311","publisher-place":"England","title":"Clinically active Crohn's disease in the presence of a low C-reactive protein.","type":"article-journal","volume":"41"},"uris":["http://www.mendeley.com/documents/?uuid=56502ae7-9605-4fcf-9927-11ee306d20e7"]},{"id":"ITEM-6","itemData":{"DOI":"10.1097/01.mib.0000173271.18319.53","ISSN":"1078-0998 (Print)","PMID":"16043984","abstract":"INTRODUCTION: We sought to examine the relationship between C-reactive protein  (CRP) and clinical, endoscopic, histologic, and radiographic activity in inflammatory bowel disease (IBD). METHODS: All IBD patients at our institution between January 2002 and August 2003 who had a CRP, colonoscopy, and either small bowel follow-through (SBFT) or CT enterography (CTE) performed within 14 days were identified. Clinical activity was assessed retrospectively through review of the medical record. Logistic regression was used in Crohn's disease (CD) patients to estimate the odds ratio (OR) with 95% confidence intervals for an elevated CRP. Associations were assessed using Fisher exact test in ulcerative colitis (UC) patients due to small sample size. RESULTS: One-hundred four CD patients (46% males) and 43 UC and indeterminate colitis patients (44% males) were identified. In CD patients, moderate-severe clinical activity (OR, 4.5; 95% CI, 1.1-18.3), active disease at colonoscopy (OR, 3.5; 95% CI, 1.4-8.9), and histologically severe inflammation (OR, 10.6; 95% CI; 1.1-104) were all significantly associated with CRP elevation. Abnormal small bowel radiographic imaging was not significantly associated with CRP elevation. In UC patients, CRP elevation was significantly associated with severe clinical activity, elevation in sedimentation rate, anemia, hypoalbuminemia, and active disease at ileocolonoscopy, but not with histologic inflammation. CONCLUSIONS: CRP elevation in IBD patients is associated with clinical disease activity, endoscopic inflammation, severely active histologic inflammation (in CD patients), and several other biomarkers of inflammation, but not with radiographic activity.","author":[{"dropping-particle":"","family":"Solem","given":"Craig A","non-dropping-particle":"","parse-names":false,"suffix":""},{"dropping-particle":"","family":"Loftus","given":"Edward V Jr","non-dropping-particle":"","parse-names":false,"suffix":""},{"dropping-particle":"","family":"Tremaine","given":"William J","non-dropping-particle":"","parse-names":false,"suffix":""},{"dropping-particle":"","family":"Harmsen","given":"William S","non-dropping-particle":"","parse-names":false,"suffix":""},{"dropping-particle":"","family":"Zinsmeister","given":"Alan R","non-dropping-particle":"","parse-names":false,"suffix":""},{"dropping-particle":"","family":"Sandborn","given":"William J","non-dropping-particle":"","parse-names":false,"suffix":""}],"container-title":"Inflammatory bowel diseases","id":"ITEM-6","issue":"8","issued":{"date-parts":[["2005","8"]]},"language":"eng","page":"707-712","publisher-place":"England","title":"Correlation of C-reactive protein with clinical, endoscopic, histologic, and  radiographic activity in inflammatory bowel disease.","type":"article-journal","volume":"11"},"uris":["http://www.mendeley.com/documents/?uuid=0dfbb3a8-e504-4b43-a885-3b34ae8de8cf"]},{"id":"ITEM-7","itemData":{"DOI":"10.5009/gnl13424","ISSN":"2005-1212 (Electronic)","PMID":"25170056","abstract":"BACKGROUND/AIMS: C-reactive protein (CRP) is a serologic activity marker in  Crohn's disease (CD), but it may be less useful in evaluating CD activity in ileal CD patients. We aimed to investigate the usefulness of CRP as a disease activity marker in CD according to disease location. METHODS: Korean CD patients in a single hospital were evaluated. Factors associated with elevated CRP concentration at the time of diagnosis of CD and the association between the physician's prediction regarding upcoming surgery and the sites of the lesions directly related to surgery were analyzed. RESULTS: Of 435 CD patients, 25.7%, 6.9%, and 67.4% had ileal, colonic, and ileocolonic CD, respectively. Multivariate analysis revealed that an elevated erythrocyte sedimentation rate, reduced serum albumin, CD activity index (CDAI) &gt;220, and ileocolonic/colonic location were associated with an elevated CRP level and that the CRP level was significantly correlated with the CDAI in all CD patients (γ=0.466, p&lt;0.01). However, the correlation coefficient was dependent on the location, with values of 0.395, 0.456, and 0.527 in patients with an ileal, ileocolonic, and colonic disease location, respectively. Surgery for ileal lesions was less predictable than surgery for ileocolonic or colonic lesions during follow-up. CONCLUSIONS: CRP is less useful as a disease activity marker in patients with ileal CD than those with ileocolonic or colonic CD.","author":[{"dropping-particle":"","family":"Yang","given":"Dong Hoon","non-dropping-particle":"","parse-names":false,"suffix":""},{"dropping-particle":"","family":"Yang","given":"Suk Kyun","non-dropping-particle":"","parse-names":false,"suffix":""},{"dropping-particle":"","family":"Park","given":"Sang Hyoung","non-dropping-particle":"","parse-names":false,"suffix":""},{"dropping-particle":"","family":"Lee","given":"Ho Su","non-dropping-particle":"","parse-names":false,"suffix":""},{"dropping-particle":"","family":"Boo","given":"Sun Jin","non-dropping-particle":"","parse-names":false,"suffix":""},{"dropping-particle":"","family":"Park","given":"Jae Ho","non-dropping-particle":"","parse-names":false,"suffix":""},{"dropping-particle":"","family":"Na","given":"Soo Young","non-dropping-particle":"","parse-names":false,"suffix":""},{"dropping-particle":"","family":"Jung","given":"Kee Wook","non-dropping-particle":"","parse-names":false,"suffix":""},{"dropping-particle":"","family":"Kim","given":"Kyung Jo","non-dropping-particle":"","parse-names":false,"suffix":""},{"dropping-particle":"","family":"Ye","given":"Byong Duk","non-dropping-particle":"","parse-names":false,"suffix":""},{"dropping-particle":"","family":"Byeon","given":"Jeong Sik","non-dropping-particle":"","parse-names":false,"suffix":""},{"dropping-particle":"","family":"Myung","given":"Seung Jae","non-dropping-particle":"","parse-names":false,"suffix":""}],"container-title":"Gut and liver","id":"ITEM-7","issue":"1","issued":{"date-parts":[["2015","1"]]},"language":"eng","page":"80-86","publisher-place":"Korea (South)","title":"Usefulness of C-reactive protein as a disease activity marker in Crohn's disease  according to the location of disease.","type":"article-journal","volume":"9"},"uris":["http://www.mendeley.com/documents/?uuid=03086af7-91da-45b1-9732-4121e0b7b1ba"]}],"mendeley":{"formattedCitation":"&lt;sup&gt;36–42&lt;/sup&gt;","plainTextFormattedCitation":"36–42","previouslyFormattedCitation":"&lt;sup&gt;33–39&lt;/sup&gt;"},"properties":{"noteIndex":0},"schema":"https://github.com/citation-style-language/schema/raw/master/csl-citation.json"}</w:instrText>
      </w:r>
      <w:r w:rsidR="008E2CF8" w:rsidRPr="00B40DB0">
        <w:rPr>
          <w:rFonts w:ascii="Times New Roman" w:hAnsi="Times New Roman" w:cs="Times New Roman"/>
          <w:sz w:val="24"/>
          <w:szCs w:val="24"/>
          <w:lang w:val="en-GB"/>
        </w:rPr>
        <w:fldChar w:fldCharType="separate"/>
      </w:r>
      <w:r w:rsidR="005446D9" w:rsidRPr="00B40DB0">
        <w:rPr>
          <w:rFonts w:ascii="Times New Roman" w:hAnsi="Times New Roman" w:cs="Times New Roman"/>
          <w:noProof/>
          <w:sz w:val="24"/>
          <w:szCs w:val="24"/>
          <w:vertAlign w:val="superscript"/>
          <w:lang w:val="en-GB"/>
        </w:rPr>
        <w:t>36–42</w:t>
      </w:r>
      <w:r w:rsidR="008E2CF8" w:rsidRPr="00B40DB0">
        <w:rPr>
          <w:rFonts w:ascii="Times New Roman" w:hAnsi="Times New Roman" w:cs="Times New Roman"/>
          <w:sz w:val="24"/>
          <w:szCs w:val="24"/>
          <w:lang w:val="en-GB"/>
        </w:rPr>
        <w:fldChar w:fldCharType="end"/>
      </w:r>
      <w:r w:rsidR="008E2CF8" w:rsidRPr="00B40DB0">
        <w:rPr>
          <w:rFonts w:ascii="Times New Roman" w:hAnsi="Times New Roman" w:cs="Times New Roman"/>
          <w:sz w:val="24"/>
          <w:szCs w:val="24"/>
          <w:lang w:val="en-GB"/>
        </w:rPr>
        <w:t xml:space="preserve">. Thus, </w:t>
      </w:r>
      <w:r w:rsidR="00B84068" w:rsidRPr="00B40DB0">
        <w:rPr>
          <w:rFonts w:ascii="Times New Roman" w:hAnsi="Times New Roman" w:cs="Times New Roman"/>
          <w:sz w:val="24"/>
          <w:szCs w:val="24"/>
          <w:lang w:val="en-GB"/>
        </w:rPr>
        <w:t xml:space="preserve">we must expect that any new biomarker will not </w:t>
      </w:r>
      <w:r w:rsidR="00C602C2" w:rsidRPr="00B40DB0">
        <w:rPr>
          <w:rFonts w:ascii="Times New Roman" w:hAnsi="Times New Roman" w:cs="Times New Roman"/>
          <w:sz w:val="24"/>
          <w:szCs w:val="24"/>
          <w:lang w:val="en-GB"/>
        </w:rPr>
        <w:t xml:space="preserve">necessarily be </w:t>
      </w:r>
      <w:r w:rsidR="004850F1" w:rsidRPr="00B40DB0">
        <w:rPr>
          <w:rFonts w:ascii="Times New Roman" w:hAnsi="Times New Roman" w:cs="Times New Roman"/>
          <w:sz w:val="24"/>
          <w:szCs w:val="24"/>
          <w:lang w:val="en-GB"/>
        </w:rPr>
        <w:t>appropriate</w:t>
      </w:r>
      <w:r w:rsidR="00B84068" w:rsidRPr="00B40DB0">
        <w:rPr>
          <w:rFonts w:ascii="Times New Roman" w:hAnsi="Times New Roman" w:cs="Times New Roman"/>
          <w:sz w:val="24"/>
          <w:szCs w:val="24"/>
          <w:lang w:val="en-GB"/>
        </w:rPr>
        <w:t xml:space="preserve"> </w:t>
      </w:r>
      <w:r w:rsidR="00C602C2" w:rsidRPr="00B40DB0">
        <w:rPr>
          <w:rFonts w:ascii="Times New Roman" w:hAnsi="Times New Roman" w:cs="Times New Roman"/>
          <w:sz w:val="24"/>
          <w:szCs w:val="24"/>
          <w:lang w:val="en-GB"/>
        </w:rPr>
        <w:t>f</w:t>
      </w:r>
      <w:r w:rsidR="00B84068" w:rsidRPr="00B40DB0">
        <w:rPr>
          <w:rFonts w:ascii="Times New Roman" w:hAnsi="Times New Roman" w:cs="Times New Roman"/>
          <w:sz w:val="24"/>
          <w:szCs w:val="24"/>
          <w:lang w:val="en-GB"/>
        </w:rPr>
        <w:t>o</w:t>
      </w:r>
      <w:r w:rsidR="00C602C2" w:rsidRPr="00B40DB0">
        <w:rPr>
          <w:rFonts w:ascii="Times New Roman" w:hAnsi="Times New Roman" w:cs="Times New Roman"/>
          <w:sz w:val="24"/>
          <w:szCs w:val="24"/>
          <w:lang w:val="en-GB"/>
        </w:rPr>
        <w:t>r</w:t>
      </w:r>
      <w:r w:rsidR="00B84068" w:rsidRPr="00B40DB0">
        <w:rPr>
          <w:rFonts w:ascii="Times New Roman" w:hAnsi="Times New Roman" w:cs="Times New Roman"/>
          <w:sz w:val="24"/>
          <w:szCs w:val="24"/>
          <w:lang w:val="en-GB"/>
        </w:rPr>
        <w:t xml:space="preserve"> all </w:t>
      </w:r>
      <w:proofErr w:type="spellStart"/>
      <w:r w:rsidR="00B84068" w:rsidRPr="00B40DB0">
        <w:rPr>
          <w:rFonts w:ascii="Times New Roman" w:hAnsi="Times New Roman" w:cs="Times New Roman"/>
          <w:sz w:val="24"/>
          <w:szCs w:val="24"/>
          <w:lang w:val="en-GB"/>
        </w:rPr>
        <w:t>subphenotypes</w:t>
      </w:r>
      <w:proofErr w:type="spellEnd"/>
      <w:r w:rsidR="00B84068" w:rsidRPr="00B40DB0">
        <w:rPr>
          <w:rFonts w:ascii="Times New Roman" w:hAnsi="Times New Roman" w:cs="Times New Roman"/>
          <w:sz w:val="24"/>
          <w:szCs w:val="24"/>
          <w:lang w:val="en-GB"/>
        </w:rPr>
        <w:t xml:space="preserve"> </w:t>
      </w:r>
      <w:r w:rsidR="00B84068" w:rsidRPr="00B40DB0">
        <w:rPr>
          <w:rFonts w:ascii="Times New Roman" w:hAnsi="Times New Roman" w:cs="Times New Roman"/>
          <w:sz w:val="24"/>
          <w:szCs w:val="24"/>
          <w:lang w:val="en-GB"/>
        </w:rPr>
        <w:lastRenderedPageBreak/>
        <w:t>of the disease.</w:t>
      </w:r>
      <w:r w:rsidR="004261E5" w:rsidRPr="00B40DB0">
        <w:rPr>
          <w:rFonts w:ascii="Times New Roman" w:hAnsi="Times New Roman" w:cs="Times New Roman"/>
          <w:sz w:val="24"/>
          <w:szCs w:val="24"/>
          <w:lang w:val="en-GB"/>
        </w:rPr>
        <w:t xml:space="preserve"> Lastly</w:t>
      </w:r>
      <w:r w:rsidR="00AE27F3" w:rsidRPr="00B40DB0">
        <w:rPr>
          <w:rFonts w:ascii="Times New Roman" w:hAnsi="Times New Roman" w:cs="Times New Roman"/>
          <w:sz w:val="24"/>
          <w:szCs w:val="24"/>
          <w:lang w:val="en-GB"/>
        </w:rPr>
        <w:t xml:space="preserve">, </w:t>
      </w:r>
      <w:r w:rsidR="009323E6" w:rsidRPr="00B40DB0">
        <w:rPr>
          <w:rFonts w:ascii="Times New Roman" w:hAnsi="Times New Roman" w:cs="Times New Roman"/>
          <w:sz w:val="24"/>
          <w:szCs w:val="24"/>
          <w:lang w:val="en-GB"/>
        </w:rPr>
        <w:t xml:space="preserve">the </w:t>
      </w:r>
      <w:r w:rsidR="00AE27F3" w:rsidRPr="00B40DB0">
        <w:rPr>
          <w:rFonts w:ascii="Times New Roman" w:hAnsi="Times New Roman" w:cs="Times New Roman"/>
          <w:sz w:val="24"/>
          <w:szCs w:val="24"/>
          <w:lang w:val="en-GB"/>
        </w:rPr>
        <w:t>association between biomarkers and disease activity could</w:t>
      </w:r>
      <w:r w:rsidR="009323E6" w:rsidRPr="00B40DB0">
        <w:rPr>
          <w:rFonts w:ascii="Times New Roman" w:hAnsi="Times New Roman" w:cs="Times New Roman"/>
          <w:sz w:val="24"/>
          <w:szCs w:val="24"/>
          <w:lang w:val="en-GB"/>
        </w:rPr>
        <w:t xml:space="preserve"> also be </w:t>
      </w:r>
      <w:r w:rsidR="00AE27F3" w:rsidRPr="00B40DB0">
        <w:rPr>
          <w:rFonts w:ascii="Times New Roman" w:hAnsi="Times New Roman" w:cs="Times New Roman"/>
          <w:sz w:val="24"/>
          <w:szCs w:val="24"/>
          <w:lang w:val="en-GB"/>
        </w:rPr>
        <w:t>influenced by</w:t>
      </w:r>
      <w:r w:rsidR="00015025" w:rsidRPr="00B40DB0">
        <w:rPr>
          <w:rFonts w:ascii="Times New Roman" w:hAnsi="Times New Roman" w:cs="Times New Roman"/>
          <w:sz w:val="24"/>
          <w:szCs w:val="24"/>
          <w:lang w:val="en-GB"/>
        </w:rPr>
        <w:t xml:space="preserve"> past and present</w:t>
      </w:r>
      <w:r w:rsidR="00AE27F3" w:rsidRPr="00B40DB0">
        <w:rPr>
          <w:rFonts w:ascii="Times New Roman" w:hAnsi="Times New Roman" w:cs="Times New Roman"/>
          <w:sz w:val="24"/>
          <w:szCs w:val="24"/>
          <w:lang w:val="en-GB"/>
        </w:rPr>
        <w:t xml:space="preserve"> treatment</w:t>
      </w:r>
      <w:r w:rsidR="00015025" w:rsidRPr="00B40DB0">
        <w:rPr>
          <w:rFonts w:ascii="Times New Roman" w:hAnsi="Times New Roman" w:cs="Times New Roman"/>
          <w:sz w:val="24"/>
          <w:szCs w:val="24"/>
          <w:lang w:val="en-GB"/>
        </w:rPr>
        <w:t>s</w:t>
      </w:r>
      <w:r w:rsidR="00AE27F3" w:rsidRPr="00B40DB0">
        <w:rPr>
          <w:rFonts w:ascii="Times New Roman" w:hAnsi="Times New Roman" w:cs="Times New Roman"/>
          <w:sz w:val="24"/>
          <w:szCs w:val="24"/>
          <w:lang w:val="en-GB"/>
        </w:rPr>
        <w:t xml:space="preserve"> thus making </w:t>
      </w:r>
      <w:r w:rsidR="00015025" w:rsidRPr="00B40DB0">
        <w:rPr>
          <w:rFonts w:ascii="Times New Roman" w:hAnsi="Times New Roman" w:cs="Times New Roman"/>
          <w:sz w:val="24"/>
          <w:szCs w:val="24"/>
          <w:lang w:val="en-GB"/>
        </w:rPr>
        <w:t xml:space="preserve">more difficult to define </w:t>
      </w:r>
      <w:r w:rsidR="009323E6" w:rsidRPr="00B40DB0">
        <w:rPr>
          <w:rFonts w:ascii="Times New Roman" w:hAnsi="Times New Roman" w:cs="Times New Roman"/>
          <w:sz w:val="24"/>
          <w:szCs w:val="24"/>
          <w:lang w:val="en-GB"/>
        </w:rPr>
        <w:t xml:space="preserve">a homogeneous state of </w:t>
      </w:r>
      <w:r w:rsidR="00015025" w:rsidRPr="00B40DB0">
        <w:rPr>
          <w:rFonts w:ascii="Times New Roman" w:hAnsi="Times New Roman" w:cs="Times New Roman"/>
          <w:sz w:val="24"/>
          <w:szCs w:val="24"/>
          <w:lang w:val="en-GB"/>
        </w:rPr>
        <w:t>biological remission.</w:t>
      </w:r>
    </w:p>
    <w:p w14:paraId="0A6F1BA8" w14:textId="72317835" w:rsidR="00BB417A" w:rsidRDefault="00BB417A" w:rsidP="00BB417A">
      <w:pPr>
        <w:spacing w:after="0" w:line="480" w:lineRule="auto"/>
        <w:jc w:val="both"/>
        <w:rPr>
          <w:rFonts w:ascii="Times New Roman" w:hAnsi="Times New Roman" w:cs="Times New Roman"/>
          <w:sz w:val="24"/>
          <w:szCs w:val="24"/>
          <w:lang w:val="en-GB"/>
        </w:rPr>
      </w:pPr>
    </w:p>
    <w:p w14:paraId="6EDD907F" w14:textId="5B62AA2E" w:rsidR="00BB417A" w:rsidRPr="00BB417A" w:rsidRDefault="00BB417A" w:rsidP="00BB417A">
      <w:pPr>
        <w:spacing w:after="0" w:line="480" w:lineRule="auto"/>
        <w:jc w:val="both"/>
        <w:rPr>
          <w:rFonts w:ascii="Times New Roman" w:eastAsia="Times New Roman" w:hAnsi="Times New Roman" w:cs="Times New Roman"/>
          <w:b/>
          <w:color w:val="000000"/>
          <w:sz w:val="24"/>
          <w:szCs w:val="24"/>
          <w:lang w:val="en-GB"/>
        </w:rPr>
      </w:pPr>
      <w:r w:rsidRPr="00BB417A">
        <w:rPr>
          <w:rFonts w:ascii="Times New Roman" w:hAnsi="Times New Roman" w:cs="Times New Roman"/>
          <w:b/>
          <w:sz w:val="24"/>
          <w:szCs w:val="24"/>
          <w:lang w:val="en-GB"/>
        </w:rPr>
        <w:t>6. Conclusion</w:t>
      </w:r>
    </w:p>
    <w:p w14:paraId="1B816089" w14:textId="17A50363" w:rsidR="00525861" w:rsidRPr="00C404D4" w:rsidRDefault="00BB417A" w:rsidP="00BB417A">
      <w:pPr>
        <w:spacing w:after="0" w:line="480" w:lineRule="auto"/>
        <w:jc w:val="both"/>
        <w:rPr>
          <w:rFonts w:ascii="Times New Roman" w:eastAsia="Times New Roman" w:hAnsi="Times New Roman" w:cs="Times New Roman"/>
          <w:color w:val="000000"/>
          <w:sz w:val="24"/>
          <w:szCs w:val="24"/>
          <w:highlight w:val="yellow"/>
          <w:lang w:val="en-GB"/>
        </w:rPr>
      </w:pPr>
      <w:r>
        <w:rPr>
          <w:rFonts w:ascii="Times New Roman" w:eastAsia="Times New Roman" w:hAnsi="Times New Roman" w:cs="Times New Roman"/>
          <w:color w:val="000000"/>
          <w:sz w:val="24"/>
          <w:szCs w:val="24"/>
          <w:lang w:val="en-GB"/>
        </w:rPr>
        <w:t xml:space="preserve">Defining </w:t>
      </w:r>
      <w:r w:rsidR="006E29A8">
        <w:rPr>
          <w:rFonts w:ascii="Times New Roman" w:eastAsia="Times New Roman" w:hAnsi="Times New Roman" w:cs="Times New Roman"/>
          <w:color w:val="000000"/>
          <w:sz w:val="24"/>
          <w:szCs w:val="24"/>
          <w:lang w:val="en-GB"/>
        </w:rPr>
        <w:t>treatment target (</w:t>
      </w:r>
      <w:r w:rsidR="001E0A5B" w:rsidRPr="00C54D13">
        <w:rPr>
          <w:rFonts w:ascii="Times New Roman" w:eastAsia="Times New Roman" w:hAnsi="Times New Roman" w:cs="Times New Roman"/>
          <w:color w:val="000000"/>
          <w:sz w:val="24"/>
          <w:szCs w:val="24"/>
          <w:lang w:val="en-GB"/>
        </w:rPr>
        <w:t>remission</w:t>
      </w:r>
      <w:r w:rsidR="006E29A8">
        <w:rPr>
          <w:rFonts w:ascii="Times New Roman" w:eastAsia="Times New Roman" w:hAnsi="Times New Roman" w:cs="Times New Roman"/>
          <w:color w:val="000000"/>
          <w:sz w:val="24"/>
          <w:szCs w:val="24"/>
          <w:lang w:val="en-GB"/>
        </w:rPr>
        <w:t>)</w:t>
      </w:r>
      <w:r w:rsidR="00F406C1" w:rsidRPr="00C54D13">
        <w:rPr>
          <w:rFonts w:ascii="Times New Roman" w:eastAsia="Times New Roman" w:hAnsi="Times New Roman" w:cs="Times New Roman"/>
          <w:color w:val="000000"/>
          <w:sz w:val="24"/>
          <w:szCs w:val="24"/>
          <w:lang w:val="en-GB"/>
        </w:rPr>
        <w:t xml:space="preserve"> in CD</w:t>
      </w:r>
      <w:r w:rsidR="00E111CF" w:rsidRPr="00C54D13">
        <w:rPr>
          <w:rFonts w:ascii="Times New Roman" w:eastAsia="Times New Roman" w:hAnsi="Times New Roman" w:cs="Times New Roman"/>
          <w:color w:val="000000"/>
          <w:sz w:val="24"/>
          <w:szCs w:val="24"/>
          <w:lang w:val="en-GB"/>
        </w:rPr>
        <w:t xml:space="preserve"> </w:t>
      </w:r>
      <w:r w:rsidR="005A1B6B" w:rsidRPr="00C54D13">
        <w:rPr>
          <w:rFonts w:ascii="Times New Roman" w:eastAsia="Times New Roman" w:hAnsi="Times New Roman" w:cs="Times New Roman"/>
          <w:color w:val="000000"/>
          <w:sz w:val="24"/>
          <w:szCs w:val="24"/>
          <w:lang w:val="en-GB"/>
        </w:rPr>
        <w:t>primarily aim</w:t>
      </w:r>
      <w:r w:rsidR="00F406C1" w:rsidRPr="00C54D13">
        <w:rPr>
          <w:rFonts w:ascii="Times New Roman" w:eastAsia="Times New Roman" w:hAnsi="Times New Roman" w:cs="Times New Roman"/>
          <w:color w:val="000000"/>
          <w:sz w:val="24"/>
          <w:szCs w:val="24"/>
          <w:lang w:val="en-GB"/>
        </w:rPr>
        <w:t>s</w:t>
      </w:r>
      <w:r w:rsidR="001E0A5B" w:rsidRPr="00C54D13">
        <w:rPr>
          <w:rFonts w:ascii="Times New Roman" w:eastAsia="Times New Roman" w:hAnsi="Times New Roman" w:cs="Times New Roman"/>
          <w:color w:val="000000"/>
          <w:sz w:val="24"/>
          <w:szCs w:val="24"/>
          <w:lang w:val="en-GB"/>
        </w:rPr>
        <w:t xml:space="preserve"> </w:t>
      </w:r>
      <w:r w:rsidR="005A1B6B" w:rsidRPr="00C54D13">
        <w:rPr>
          <w:rFonts w:ascii="Times New Roman" w:eastAsia="Times New Roman" w:hAnsi="Times New Roman" w:cs="Times New Roman"/>
          <w:color w:val="000000"/>
          <w:sz w:val="24"/>
          <w:szCs w:val="24"/>
          <w:lang w:val="en-GB"/>
        </w:rPr>
        <w:t>to implement</w:t>
      </w:r>
      <w:r w:rsidR="001E0A5B" w:rsidRPr="00C54D13">
        <w:rPr>
          <w:rFonts w:ascii="Times New Roman" w:eastAsia="Times New Roman" w:hAnsi="Times New Roman" w:cs="Times New Roman"/>
          <w:color w:val="000000"/>
          <w:sz w:val="24"/>
          <w:szCs w:val="24"/>
          <w:lang w:val="en-GB"/>
        </w:rPr>
        <w:t xml:space="preserve"> an appropri</w:t>
      </w:r>
      <w:r w:rsidR="00E111CF" w:rsidRPr="00C54D13">
        <w:rPr>
          <w:rFonts w:ascii="Times New Roman" w:eastAsia="Times New Roman" w:hAnsi="Times New Roman" w:cs="Times New Roman"/>
          <w:color w:val="000000"/>
          <w:sz w:val="24"/>
          <w:szCs w:val="24"/>
          <w:lang w:val="en-GB"/>
        </w:rPr>
        <w:t>a</w:t>
      </w:r>
      <w:r w:rsidR="001E0A5B" w:rsidRPr="00C54D13">
        <w:rPr>
          <w:rFonts w:ascii="Times New Roman" w:eastAsia="Times New Roman" w:hAnsi="Times New Roman" w:cs="Times New Roman"/>
          <w:color w:val="000000"/>
          <w:sz w:val="24"/>
          <w:szCs w:val="24"/>
          <w:lang w:val="en-GB"/>
        </w:rPr>
        <w:t xml:space="preserve">te therapeutic strategy, </w:t>
      </w:r>
      <w:r w:rsidR="00D9248B" w:rsidRPr="00C54D13">
        <w:rPr>
          <w:rFonts w:ascii="Times New Roman" w:eastAsia="Times New Roman" w:hAnsi="Times New Roman" w:cs="Times New Roman"/>
          <w:color w:val="000000"/>
          <w:sz w:val="24"/>
          <w:szCs w:val="24"/>
          <w:lang w:val="en-GB"/>
        </w:rPr>
        <w:t>i.e.,</w:t>
      </w:r>
      <w:r w:rsidR="001E0A5B" w:rsidRPr="00C54D13">
        <w:rPr>
          <w:rFonts w:ascii="Times New Roman" w:eastAsia="Times New Roman" w:hAnsi="Times New Roman" w:cs="Times New Roman"/>
          <w:color w:val="000000"/>
          <w:sz w:val="24"/>
          <w:szCs w:val="24"/>
          <w:lang w:val="en-GB"/>
        </w:rPr>
        <w:t xml:space="preserve"> treatment </w:t>
      </w:r>
      <w:r w:rsidR="00D9248B" w:rsidRPr="00C54D13">
        <w:rPr>
          <w:rFonts w:ascii="Times New Roman" w:eastAsia="Times New Roman" w:hAnsi="Times New Roman" w:cs="Times New Roman"/>
          <w:color w:val="000000"/>
          <w:sz w:val="24"/>
          <w:szCs w:val="24"/>
          <w:lang w:val="en-GB"/>
        </w:rPr>
        <w:t>escalation</w:t>
      </w:r>
      <w:r w:rsidR="001E0A5B" w:rsidRPr="00C54D13">
        <w:rPr>
          <w:rFonts w:ascii="Times New Roman" w:eastAsia="Times New Roman" w:hAnsi="Times New Roman" w:cs="Times New Roman"/>
          <w:color w:val="000000"/>
          <w:sz w:val="24"/>
          <w:szCs w:val="24"/>
          <w:lang w:val="en-GB"/>
        </w:rPr>
        <w:t xml:space="preserve"> in case </w:t>
      </w:r>
      <w:r w:rsidR="00D9248B" w:rsidRPr="00C54D13">
        <w:rPr>
          <w:rFonts w:ascii="Times New Roman" w:eastAsia="Times New Roman" w:hAnsi="Times New Roman" w:cs="Times New Roman"/>
          <w:color w:val="000000"/>
          <w:sz w:val="24"/>
          <w:szCs w:val="24"/>
          <w:lang w:val="en-GB"/>
        </w:rPr>
        <w:t>of insufficient disease control</w:t>
      </w:r>
      <w:r w:rsidR="009D5487" w:rsidRPr="00C54D13">
        <w:rPr>
          <w:rFonts w:ascii="Times New Roman" w:eastAsia="Times New Roman" w:hAnsi="Times New Roman" w:cs="Times New Roman"/>
          <w:color w:val="000000"/>
          <w:sz w:val="24"/>
          <w:szCs w:val="24"/>
          <w:lang w:val="en-GB"/>
        </w:rPr>
        <w:t>,</w:t>
      </w:r>
      <w:r w:rsidR="001E0A5B" w:rsidRPr="00C54D13">
        <w:rPr>
          <w:rFonts w:ascii="Times New Roman" w:eastAsia="Times New Roman" w:hAnsi="Times New Roman" w:cs="Times New Roman"/>
          <w:color w:val="000000"/>
          <w:sz w:val="24"/>
          <w:szCs w:val="24"/>
          <w:lang w:val="en-GB"/>
        </w:rPr>
        <w:t xml:space="preserve"> </w:t>
      </w:r>
      <w:r w:rsidR="00D9248B" w:rsidRPr="00C54D13">
        <w:rPr>
          <w:rFonts w:ascii="Times New Roman" w:eastAsia="Times New Roman" w:hAnsi="Times New Roman" w:cs="Times New Roman"/>
          <w:color w:val="000000"/>
          <w:sz w:val="24"/>
          <w:szCs w:val="24"/>
          <w:lang w:val="en-GB"/>
        </w:rPr>
        <w:t xml:space="preserve">but </w:t>
      </w:r>
      <w:r w:rsidR="001E0A5B" w:rsidRPr="00C54D13">
        <w:rPr>
          <w:rFonts w:ascii="Times New Roman" w:eastAsia="Times New Roman" w:hAnsi="Times New Roman" w:cs="Times New Roman"/>
          <w:color w:val="000000"/>
          <w:sz w:val="24"/>
          <w:szCs w:val="24"/>
          <w:lang w:val="en-GB"/>
        </w:rPr>
        <w:t xml:space="preserve">also </w:t>
      </w:r>
      <w:r w:rsidR="001E0A5B" w:rsidRPr="00BE7661">
        <w:rPr>
          <w:rFonts w:ascii="Times New Roman" w:eastAsia="Times New Roman" w:hAnsi="Times New Roman" w:cs="Times New Roman"/>
          <w:color w:val="000000"/>
          <w:sz w:val="24"/>
          <w:szCs w:val="24"/>
          <w:lang w:val="en-GB"/>
        </w:rPr>
        <w:t>tr</w:t>
      </w:r>
      <w:r w:rsidR="004E4B56" w:rsidRPr="00BE7661">
        <w:rPr>
          <w:rFonts w:ascii="Times New Roman" w:eastAsia="Times New Roman" w:hAnsi="Times New Roman" w:cs="Times New Roman"/>
          <w:color w:val="000000"/>
          <w:sz w:val="24"/>
          <w:szCs w:val="24"/>
          <w:lang w:val="en-GB"/>
        </w:rPr>
        <w:t>eatment de-escalation to optimis</w:t>
      </w:r>
      <w:r w:rsidR="001E0A5B" w:rsidRPr="00BE7661">
        <w:rPr>
          <w:rFonts w:ascii="Times New Roman" w:eastAsia="Times New Roman" w:hAnsi="Times New Roman" w:cs="Times New Roman"/>
          <w:color w:val="000000"/>
          <w:sz w:val="24"/>
          <w:szCs w:val="24"/>
          <w:lang w:val="en-GB"/>
        </w:rPr>
        <w:t>e benefit/risk ratio for the patient</w:t>
      </w:r>
      <w:r w:rsidR="00D9248B" w:rsidRPr="00BE7661">
        <w:rPr>
          <w:rFonts w:ascii="Times New Roman" w:eastAsia="Times New Roman" w:hAnsi="Times New Roman" w:cs="Times New Roman"/>
          <w:color w:val="000000"/>
          <w:sz w:val="24"/>
          <w:szCs w:val="24"/>
          <w:lang w:val="en-GB"/>
        </w:rPr>
        <w:t xml:space="preserve"> in case of stable remission</w:t>
      </w:r>
      <w:r w:rsidR="006939DB" w:rsidRPr="00BE7661">
        <w:rPr>
          <w:rFonts w:ascii="Times New Roman" w:eastAsia="Times New Roman" w:hAnsi="Times New Roman" w:cs="Times New Roman"/>
          <w:color w:val="000000"/>
          <w:sz w:val="24"/>
          <w:szCs w:val="24"/>
          <w:lang w:val="en-GB"/>
        </w:rPr>
        <w:t xml:space="preserve">. </w:t>
      </w:r>
      <w:r w:rsidR="00EF3B39" w:rsidRPr="00BE7661">
        <w:rPr>
          <w:rFonts w:ascii="Times New Roman" w:eastAsia="Times New Roman" w:hAnsi="Times New Roman" w:cs="Times New Roman"/>
          <w:color w:val="000000"/>
          <w:sz w:val="24"/>
          <w:szCs w:val="24"/>
          <w:lang w:val="en-GB"/>
        </w:rPr>
        <w:t xml:space="preserve">It is well </w:t>
      </w:r>
      <w:r w:rsidR="000A6C59" w:rsidRPr="00BE7661">
        <w:rPr>
          <w:rFonts w:ascii="Times New Roman" w:eastAsia="Times New Roman" w:hAnsi="Times New Roman" w:cs="Times New Roman"/>
          <w:color w:val="000000"/>
          <w:sz w:val="24"/>
          <w:szCs w:val="24"/>
          <w:lang w:val="en-GB"/>
        </w:rPr>
        <w:t>kn</w:t>
      </w:r>
      <w:r w:rsidR="00600038" w:rsidRPr="00BE7661">
        <w:rPr>
          <w:rFonts w:ascii="Times New Roman" w:eastAsia="Times New Roman" w:hAnsi="Times New Roman" w:cs="Times New Roman"/>
          <w:color w:val="000000"/>
          <w:sz w:val="24"/>
          <w:szCs w:val="24"/>
          <w:lang w:val="en-GB"/>
        </w:rPr>
        <w:t>own</w:t>
      </w:r>
      <w:r w:rsidR="00EF3B39" w:rsidRPr="00BE7661">
        <w:rPr>
          <w:rFonts w:ascii="Times New Roman" w:eastAsia="Times New Roman" w:hAnsi="Times New Roman" w:cs="Times New Roman"/>
          <w:color w:val="000000"/>
          <w:sz w:val="24"/>
          <w:szCs w:val="24"/>
          <w:lang w:val="en-GB"/>
        </w:rPr>
        <w:t xml:space="preserve"> that reaching clinical remission is insufficient to avoid inflammation-induced </w:t>
      </w:r>
      <w:r w:rsidR="008B07C0" w:rsidRPr="00BE7661">
        <w:rPr>
          <w:rFonts w:ascii="Times New Roman" w:eastAsia="Times New Roman" w:hAnsi="Times New Roman" w:cs="Times New Roman"/>
          <w:color w:val="000000"/>
          <w:sz w:val="24"/>
          <w:szCs w:val="24"/>
          <w:lang w:val="en-GB"/>
        </w:rPr>
        <w:t xml:space="preserve">tissue </w:t>
      </w:r>
      <w:r w:rsidR="00EF3B39" w:rsidRPr="00BE7661">
        <w:rPr>
          <w:rFonts w:ascii="Times New Roman" w:eastAsia="Times New Roman" w:hAnsi="Times New Roman" w:cs="Times New Roman"/>
          <w:color w:val="000000"/>
          <w:sz w:val="24"/>
          <w:szCs w:val="24"/>
          <w:lang w:val="en-GB"/>
        </w:rPr>
        <w:t xml:space="preserve">damage. On the other hand, </w:t>
      </w:r>
      <w:r w:rsidR="000A6C59" w:rsidRPr="00BE7661">
        <w:rPr>
          <w:rFonts w:ascii="Times New Roman" w:eastAsia="Times New Roman" w:hAnsi="Times New Roman" w:cs="Times New Roman"/>
          <w:color w:val="000000"/>
          <w:sz w:val="24"/>
          <w:szCs w:val="24"/>
          <w:lang w:val="en-GB"/>
        </w:rPr>
        <w:t>morphological techniques (</w:t>
      </w:r>
      <w:proofErr w:type="spellStart"/>
      <w:r w:rsidR="000A6C59" w:rsidRPr="00BE7661">
        <w:rPr>
          <w:rFonts w:ascii="Times New Roman" w:eastAsia="Times New Roman" w:hAnsi="Times New Roman" w:cs="Times New Roman"/>
          <w:color w:val="000000"/>
          <w:sz w:val="24"/>
          <w:szCs w:val="24"/>
          <w:lang w:val="en-GB"/>
        </w:rPr>
        <w:t>eg</w:t>
      </w:r>
      <w:proofErr w:type="spellEnd"/>
      <w:r w:rsidR="000A6C59" w:rsidRPr="00BE7661">
        <w:rPr>
          <w:rFonts w:ascii="Times New Roman" w:eastAsia="Times New Roman" w:hAnsi="Times New Roman" w:cs="Times New Roman"/>
          <w:color w:val="000000"/>
          <w:sz w:val="24"/>
          <w:szCs w:val="24"/>
          <w:lang w:val="en-GB"/>
        </w:rPr>
        <w:t xml:space="preserve">, endoscopy, histology, ultrasonography) </w:t>
      </w:r>
      <w:r w:rsidR="00B766BE" w:rsidRPr="00BE7661">
        <w:rPr>
          <w:rFonts w:ascii="Times New Roman" w:eastAsia="Times New Roman" w:hAnsi="Times New Roman" w:cs="Times New Roman"/>
          <w:color w:val="000000"/>
          <w:sz w:val="24"/>
          <w:szCs w:val="24"/>
          <w:lang w:val="en-GB"/>
        </w:rPr>
        <w:t>remain</w:t>
      </w:r>
      <w:r w:rsidR="00791ACD" w:rsidRPr="00BE7661">
        <w:rPr>
          <w:rFonts w:ascii="Times New Roman" w:eastAsia="Times New Roman" w:hAnsi="Times New Roman" w:cs="Times New Roman"/>
          <w:color w:val="000000"/>
          <w:sz w:val="24"/>
          <w:szCs w:val="24"/>
          <w:lang w:val="en-GB"/>
        </w:rPr>
        <w:t xml:space="preserve"> </w:t>
      </w:r>
      <w:r w:rsidR="001E0A5B" w:rsidRPr="00BE7661">
        <w:rPr>
          <w:rFonts w:ascii="Times New Roman" w:eastAsia="Times New Roman" w:hAnsi="Times New Roman" w:cs="Times New Roman"/>
          <w:color w:val="000000"/>
          <w:sz w:val="24"/>
          <w:szCs w:val="24"/>
          <w:lang w:val="en-GB"/>
        </w:rPr>
        <w:t>insufficient</w:t>
      </w:r>
      <w:r w:rsidR="00B1262A" w:rsidRPr="00BE7661">
        <w:rPr>
          <w:rFonts w:ascii="Times New Roman" w:eastAsia="Times New Roman" w:hAnsi="Times New Roman" w:cs="Times New Roman"/>
          <w:color w:val="000000"/>
          <w:sz w:val="24"/>
          <w:szCs w:val="24"/>
          <w:lang w:val="en-GB"/>
        </w:rPr>
        <w:t xml:space="preserve"> to define remission</w:t>
      </w:r>
      <w:r w:rsidR="001E0A5B" w:rsidRPr="00BE7661">
        <w:rPr>
          <w:rFonts w:ascii="Times New Roman" w:eastAsia="Times New Roman" w:hAnsi="Times New Roman" w:cs="Times New Roman"/>
          <w:color w:val="000000"/>
          <w:sz w:val="24"/>
          <w:szCs w:val="24"/>
          <w:lang w:val="en-GB"/>
        </w:rPr>
        <w:t xml:space="preserve"> because </w:t>
      </w:r>
      <w:r w:rsidR="002439D0" w:rsidRPr="00BE7661">
        <w:rPr>
          <w:rFonts w:ascii="Times New Roman" w:eastAsia="Times New Roman" w:hAnsi="Times New Roman" w:cs="Times New Roman"/>
          <w:color w:val="000000"/>
          <w:sz w:val="24"/>
          <w:szCs w:val="24"/>
          <w:lang w:val="en-GB"/>
        </w:rPr>
        <w:t>they</w:t>
      </w:r>
      <w:r w:rsidR="001E0A5B" w:rsidRPr="00BE7661">
        <w:rPr>
          <w:rFonts w:ascii="Times New Roman" w:eastAsia="Times New Roman" w:hAnsi="Times New Roman" w:cs="Times New Roman"/>
          <w:color w:val="000000"/>
          <w:sz w:val="24"/>
          <w:szCs w:val="24"/>
          <w:lang w:val="en-GB"/>
        </w:rPr>
        <w:t xml:space="preserve"> only </w:t>
      </w:r>
      <w:r w:rsidR="00735620" w:rsidRPr="00BE7661">
        <w:rPr>
          <w:rFonts w:ascii="Times New Roman" w:eastAsia="Times New Roman" w:hAnsi="Times New Roman" w:cs="Times New Roman"/>
          <w:color w:val="000000"/>
          <w:sz w:val="24"/>
          <w:szCs w:val="24"/>
          <w:lang w:val="en-GB"/>
        </w:rPr>
        <w:t>capture</w:t>
      </w:r>
      <w:r w:rsidR="001E0A5B" w:rsidRPr="00BE7661">
        <w:rPr>
          <w:rFonts w:ascii="Times New Roman" w:eastAsia="Times New Roman" w:hAnsi="Times New Roman" w:cs="Times New Roman"/>
          <w:color w:val="000000"/>
          <w:sz w:val="24"/>
          <w:szCs w:val="24"/>
          <w:lang w:val="en-GB"/>
        </w:rPr>
        <w:t xml:space="preserve"> the consequence</w:t>
      </w:r>
      <w:r w:rsidR="009D5487" w:rsidRPr="00BE7661">
        <w:rPr>
          <w:rFonts w:ascii="Times New Roman" w:eastAsia="Times New Roman" w:hAnsi="Times New Roman" w:cs="Times New Roman"/>
          <w:color w:val="000000"/>
          <w:sz w:val="24"/>
          <w:szCs w:val="24"/>
          <w:lang w:val="en-GB"/>
        </w:rPr>
        <w:t>s</w:t>
      </w:r>
      <w:r w:rsidR="001E0A5B" w:rsidRPr="00BE7661">
        <w:rPr>
          <w:rFonts w:ascii="Times New Roman" w:eastAsia="Times New Roman" w:hAnsi="Times New Roman" w:cs="Times New Roman"/>
          <w:color w:val="000000"/>
          <w:sz w:val="24"/>
          <w:szCs w:val="24"/>
          <w:lang w:val="en-GB"/>
        </w:rPr>
        <w:t xml:space="preserve"> of the disease process instead of the disease process itself. </w:t>
      </w:r>
      <w:r w:rsidR="00DC4F97" w:rsidRPr="00BE7661">
        <w:rPr>
          <w:rFonts w:ascii="Times New Roman" w:eastAsia="Times New Roman" w:hAnsi="Times New Roman" w:cs="Times New Roman"/>
          <w:color w:val="000000"/>
          <w:sz w:val="24"/>
          <w:szCs w:val="24"/>
          <w:lang w:val="en-GB"/>
        </w:rPr>
        <w:t>Thus,</w:t>
      </w:r>
      <w:r w:rsidR="00F93AA0" w:rsidRPr="00BE7661">
        <w:rPr>
          <w:rFonts w:ascii="Times New Roman" w:eastAsia="Times New Roman" w:hAnsi="Times New Roman" w:cs="Times New Roman"/>
          <w:color w:val="000000"/>
          <w:sz w:val="24"/>
          <w:szCs w:val="24"/>
          <w:lang w:val="en-GB"/>
        </w:rPr>
        <w:t xml:space="preserve"> </w:t>
      </w:r>
      <w:r w:rsidR="000902D5" w:rsidRPr="00BE7661">
        <w:rPr>
          <w:rFonts w:ascii="Times New Roman" w:eastAsia="Times New Roman" w:hAnsi="Times New Roman" w:cs="Times New Roman"/>
          <w:color w:val="000000"/>
          <w:sz w:val="24"/>
          <w:szCs w:val="24"/>
          <w:lang w:val="en-GB"/>
        </w:rPr>
        <w:t xml:space="preserve">the </w:t>
      </w:r>
      <w:r w:rsidR="00B034CA" w:rsidRPr="00BE7661">
        <w:rPr>
          <w:rFonts w:ascii="Times New Roman" w:eastAsia="Times New Roman" w:hAnsi="Times New Roman" w:cs="Times New Roman"/>
          <w:color w:val="000000"/>
          <w:sz w:val="24"/>
          <w:szCs w:val="24"/>
          <w:lang w:val="en-GB"/>
        </w:rPr>
        <w:t xml:space="preserve">clinical and </w:t>
      </w:r>
      <w:r w:rsidR="00F93AA0" w:rsidRPr="00BE7661">
        <w:rPr>
          <w:rFonts w:ascii="Times New Roman" w:eastAsia="Times New Roman" w:hAnsi="Times New Roman" w:cs="Times New Roman"/>
          <w:color w:val="000000"/>
          <w:sz w:val="24"/>
          <w:szCs w:val="24"/>
          <w:lang w:val="en-GB"/>
        </w:rPr>
        <w:t>morphological information</w:t>
      </w:r>
      <w:r w:rsidR="00364C67" w:rsidRPr="00BE7661">
        <w:rPr>
          <w:rFonts w:ascii="Times New Roman" w:eastAsia="Times New Roman" w:hAnsi="Times New Roman" w:cs="Times New Roman"/>
          <w:color w:val="000000"/>
          <w:sz w:val="24"/>
          <w:szCs w:val="24"/>
          <w:lang w:val="en-GB"/>
        </w:rPr>
        <w:t xml:space="preserve"> </w:t>
      </w:r>
      <w:r w:rsidR="008C5683" w:rsidRPr="00BE7661">
        <w:rPr>
          <w:rFonts w:ascii="Times New Roman" w:eastAsia="Times New Roman" w:hAnsi="Times New Roman" w:cs="Times New Roman"/>
          <w:color w:val="000000"/>
          <w:sz w:val="24"/>
          <w:szCs w:val="24"/>
          <w:lang w:val="en-GB"/>
        </w:rPr>
        <w:t xml:space="preserve">cannot </w:t>
      </w:r>
      <w:r w:rsidR="00DE2875" w:rsidRPr="00BE7661">
        <w:rPr>
          <w:rFonts w:ascii="Times New Roman" w:eastAsia="Times New Roman" w:hAnsi="Times New Roman" w:cs="Times New Roman"/>
          <w:color w:val="000000"/>
          <w:sz w:val="24"/>
          <w:szCs w:val="24"/>
          <w:lang w:val="en-GB"/>
        </w:rPr>
        <w:t xml:space="preserve">fully assist the clinician in optimising treatment </w:t>
      </w:r>
      <w:r w:rsidR="00EF0520" w:rsidRPr="00BE7661">
        <w:rPr>
          <w:rFonts w:ascii="Times New Roman" w:eastAsia="Times New Roman" w:hAnsi="Times New Roman" w:cs="Times New Roman"/>
          <w:color w:val="000000"/>
          <w:sz w:val="24"/>
          <w:szCs w:val="24"/>
          <w:lang w:val="en-GB"/>
        </w:rPr>
        <w:t>strategy</w:t>
      </w:r>
      <w:r w:rsidR="00DE2875" w:rsidRPr="00BE7661">
        <w:rPr>
          <w:rFonts w:ascii="Times New Roman" w:eastAsia="Times New Roman" w:hAnsi="Times New Roman" w:cs="Times New Roman"/>
          <w:color w:val="000000"/>
          <w:sz w:val="24"/>
          <w:szCs w:val="24"/>
          <w:lang w:val="en-GB"/>
        </w:rPr>
        <w:t>.</w:t>
      </w:r>
      <w:r w:rsidR="00065D14" w:rsidRPr="00BE7661">
        <w:rPr>
          <w:rFonts w:ascii="Times New Roman" w:eastAsia="Times New Roman" w:hAnsi="Times New Roman" w:cs="Times New Roman"/>
          <w:color w:val="000000"/>
          <w:sz w:val="24"/>
          <w:szCs w:val="24"/>
          <w:lang w:val="en-GB"/>
        </w:rPr>
        <w:t xml:space="preserve"> </w:t>
      </w:r>
      <w:r w:rsidR="00E067D2" w:rsidRPr="00BE7661">
        <w:rPr>
          <w:rFonts w:ascii="Times New Roman" w:eastAsia="Times New Roman" w:hAnsi="Times New Roman" w:cs="Times New Roman"/>
          <w:color w:val="000000"/>
          <w:sz w:val="24"/>
          <w:szCs w:val="24"/>
          <w:lang w:val="en-GB"/>
        </w:rPr>
        <w:t xml:space="preserve">This is why, </w:t>
      </w:r>
      <w:r w:rsidR="00F844A7" w:rsidRPr="00BE7661">
        <w:rPr>
          <w:rFonts w:ascii="Times New Roman" w:eastAsia="Times New Roman" w:hAnsi="Times New Roman" w:cs="Times New Roman"/>
          <w:color w:val="000000"/>
          <w:sz w:val="24"/>
          <w:szCs w:val="24"/>
          <w:lang w:val="en-GB"/>
        </w:rPr>
        <w:t>herein</w:t>
      </w:r>
      <w:r w:rsidR="00E067D2" w:rsidRPr="00BE7661">
        <w:rPr>
          <w:rFonts w:ascii="Times New Roman" w:eastAsia="Times New Roman" w:hAnsi="Times New Roman" w:cs="Times New Roman"/>
          <w:color w:val="000000"/>
          <w:sz w:val="24"/>
          <w:szCs w:val="24"/>
          <w:lang w:val="en-GB"/>
        </w:rPr>
        <w:t xml:space="preserve">, we </w:t>
      </w:r>
      <w:r w:rsidR="00065D14" w:rsidRPr="00BE7661">
        <w:rPr>
          <w:rFonts w:ascii="Times New Roman" w:eastAsia="Times New Roman" w:hAnsi="Times New Roman" w:cs="Times New Roman"/>
          <w:color w:val="000000"/>
          <w:sz w:val="24"/>
          <w:szCs w:val="24"/>
          <w:lang w:val="en-GB"/>
        </w:rPr>
        <w:t xml:space="preserve">would like to </w:t>
      </w:r>
      <w:r w:rsidR="00C404D4" w:rsidRPr="00BE7661">
        <w:rPr>
          <w:rFonts w:ascii="Times New Roman" w:eastAsia="Times New Roman" w:hAnsi="Times New Roman" w:cs="Times New Roman"/>
          <w:color w:val="000000"/>
          <w:sz w:val="24"/>
          <w:szCs w:val="24"/>
          <w:lang w:val="en-GB"/>
        </w:rPr>
        <w:t xml:space="preserve">stimulate and encourage the development of a novel treatment target: biological remission. </w:t>
      </w:r>
      <w:r w:rsidR="00F93AA0" w:rsidRPr="00BE7661">
        <w:rPr>
          <w:rFonts w:ascii="Times New Roman" w:eastAsia="Times New Roman" w:hAnsi="Times New Roman" w:cs="Times New Roman"/>
          <w:color w:val="000000"/>
          <w:sz w:val="24"/>
          <w:szCs w:val="24"/>
          <w:lang w:val="en-GB"/>
        </w:rPr>
        <w:t>To</w:t>
      </w:r>
      <w:r w:rsidR="00F93AA0" w:rsidRPr="00C54D13">
        <w:rPr>
          <w:rFonts w:ascii="Times New Roman" w:eastAsia="Times New Roman" w:hAnsi="Times New Roman" w:cs="Times New Roman"/>
          <w:color w:val="000000"/>
          <w:sz w:val="24"/>
          <w:szCs w:val="24"/>
          <w:lang w:val="en-GB"/>
        </w:rPr>
        <w:t xml:space="preserve"> reach this</w:t>
      </w:r>
      <w:r w:rsidR="00E601FF" w:rsidRPr="00C54D13">
        <w:rPr>
          <w:rFonts w:ascii="Times New Roman" w:eastAsia="Times New Roman" w:hAnsi="Times New Roman" w:cs="Times New Roman"/>
          <w:color w:val="000000"/>
          <w:sz w:val="24"/>
          <w:szCs w:val="24"/>
          <w:lang w:val="en-GB"/>
        </w:rPr>
        <w:t xml:space="preserve"> ambitious</w:t>
      </w:r>
      <w:r w:rsidR="00F93AA0" w:rsidRPr="00C54D13">
        <w:rPr>
          <w:rFonts w:ascii="Times New Roman" w:eastAsia="Times New Roman" w:hAnsi="Times New Roman" w:cs="Times New Roman"/>
          <w:color w:val="000000"/>
          <w:sz w:val="24"/>
          <w:szCs w:val="24"/>
          <w:lang w:val="en-GB"/>
        </w:rPr>
        <w:t xml:space="preserve"> objective, we do not pr</w:t>
      </w:r>
      <w:r w:rsidR="00E601FF" w:rsidRPr="00C54D13">
        <w:rPr>
          <w:rFonts w:ascii="Times New Roman" w:eastAsia="Times New Roman" w:hAnsi="Times New Roman" w:cs="Times New Roman"/>
          <w:color w:val="000000"/>
          <w:sz w:val="24"/>
          <w:szCs w:val="24"/>
          <w:lang w:val="en-GB"/>
        </w:rPr>
        <w:t>opose</w:t>
      </w:r>
      <w:r w:rsidR="00F93AA0" w:rsidRPr="00C54D13">
        <w:rPr>
          <w:rFonts w:ascii="Times New Roman" w:eastAsia="Times New Roman" w:hAnsi="Times New Roman" w:cs="Times New Roman"/>
          <w:color w:val="000000"/>
          <w:sz w:val="24"/>
          <w:szCs w:val="24"/>
          <w:lang w:val="en-GB"/>
        </w:rPr>
        <w:t xml:space="preserve"> a “ready to use” solution but rather a general frame which would need to be debated</w:t>
      </w:r>
      <w:r w:rsidR="00E601FF" w:rsidRPr="00C54D13">
        <w:rPr>
          <w:rFonts w:ascii="Times New Roman" w:eastAsia="Times New Roman" w:hAnsi="Times New Roman" w:cs="Times New Roman"/>
          <w:color w:val="000000"/>
          <w:sz w:val="24"/>
          <w:szCs w:val="24"/>
          <w:lang w:val="en-GB"/>
        </w:rPr>
        <w:t xml:space="preserve"> and adapted </w:t>
      </w:r>
      <w:r w:rsidR="00BA3FF3" w:rsidRPr="00C54D13">
        <w:rPr>
          <w:rFonts w:ascii="Times New Roman" w:eastAsia="Times New Roman" w:hAnsi="Times New Roman" w:cs="Times New Roman"/>
          <w:color w:val="000000"/>
          <w:sz w:val="24"/>
          <w:szCs w:val="24"/>
          <w:lang w:val="en-GB"/>
        </w:rPr>
        <w:t xml:space="preserve">according to </w:t>
      </w:r>
      <w:r w:rsidR="000354DB" w:rsidRPr="00C54D13">
        <w:rPr>
          <w:rFonts w:ascii="Times New Roman" w:eastAsia="Times New Roman" w:hAnsi="Times New Roman" w:cs="Times New Roman"/>
          <w:color w:val="000000"/>
          <w:sz w:val="24"/>
          <w:szCs w:val="24"/>
          <w:lang w:val="en-GB"/>
        </w:rPr>
        <w:t>future knowledge.</w:t>
      </w:r>
    </w:p>
    <w:p w14:paraId="475B04BB" w14:textId="77777777" w:rsidR="0000188F" w:rsidRDefault="0000188F" w:rsidP="00A60193">
      <w:pPr>
        <w:spacing w:after="0" w:line="480" w:lineRule="auto"/>
        <w:jc w:val="both"/>
        <w:rPr>
          <w:rFonts w:ascii="Times New Roman" w:eastAsia="Times New Roman" w:hAnsi="Times New Roman" w:cs="Times New Roman"/>
          <w:color w:val="000000"/>
          <w:sz w:val="24"/>
          <w:szCs w:val="24"/>
          <w:lang w:val="en-GB"/>
        </w:rPr>
      </w:pPr>
    </w:p>
    <w:p w14:paraId="5F344F68" w14:textId="09D15726" w:rsidR="0050335D" w:rsidRPr="0000188F" w:rsidRDefault="0000188F" w:rsidP="0050335D">
      <w:pPr>
        <w:spacing w:after="0" w:line="480" w:lineRule="auto"/>
        <w:jc w:val="both"/>
        <w:rPr>
          <w:rFonts w:ascii="Times New Roman" w:eastAsia="Times New Roman" w:hAnsi="Times New Roman" w:cs="Times New Roman"/>
          <w:b/>
          <w:bCs/>
          <w:color w:val="000000"/>
          <w:sz w:val="24"/>
          <w:szCs w:val="24"/>
          <w:lang w:val="en-GB"/>
        </w:rPr>
      </w:pPr>
      <w:r w:rsidRPr="0000188F">
        <w:rPr>
          <w:rFonts w:ascii="Times New Roman" w:eastAsia="Times New Roman" w:hAnsi="Times New Roman" w:cs="Times New Roman"/>
          <w:b/>
          <w:bCs/>
          <w:color w:val="000000"/>
          <w:sz w:val="24"/>
          <w:szCs w:val="24"/>
          <w:lang w:val="en-GB"/>
        </w:rPr>
        <w:t>Funding</w:t>
      </w:r>
    </w:p>
    <w:p w14:paraId="3F08FEC8" w14:textId="47E342E4" w:rsidR="0000188F" w:rsidRDefault="008B07C0" w:rsidP="0050335D">
      <w:pPr>
        <w:spacing w:after="0" w:line="48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No funding was provided.</w:t>
      </w:r>
    </w:p>
    <w:p w14:paraId="1DBC0F27" w14:textId="77777777" w:rsidR="0000188F" w:rsidRDefault="0000188F" w:rsidP="0050335D">
      <w:pPr>
        <w:spacing w:after="0" w:line="480" w:lineRule="auto"/>
        <w:jc w:val="both"/>
        <w:rPr>
          <w:rFonts w:ascii="Times New Roman" w:eastAsia="Times New Roman" w:hAnsi="Times New Roman" w:cs="Times New Roman"/>
          <w:color w:val="000000"/>
          <w:sz w:val="24"/>
          <w:szCs w:val="24"/>
          <w:lang w:val="en-GB"/>
        </w:rPr>
      </w:pPr>
    </w:p>
    <w:p w14:paraId="30DFE23F" w14:textId="77777777" w:rsidR="0050335D" w:rsidRDefault="0050335D" w:rsidP="0050335D">
      <w:pPr>
        <w:spacing w:after="0" w:line="480" w:lineRule="auto"/>
        <w:jc w:val="both"/>
        <w:rPr>
          <w:rFonts w:ascii="Times New Roman" w:eastAsia="Times New Roman" w:hAnsi="Times New Roman" w:cs="Times New Roman"/>
          <w:b/>
          <w:bCs/>
          <w:color w:val="000000"/>
          <w:sz w:val="24"/>
          <w:szCs w:val="24"/>
          <w:lang w:val="en-GB"/>
        </w:rPr>
      </w:pPr>
      <w:r w:rsidRPr="0050335D">
        <w:rPr>
          <w:rFonts w:ascii="Times New Roman" w:eastAsia="Times New Roman" w:hAnsi="Times New Roman" w:cs="Times New Roman"/>
          <w:b/>
          <w:bCs/>
          <w:color w:val="000000"/>
          <w:sz w:val="24"/>
          <w:szCs w:val="24"/>
          <w:lang w:val="en-GB"/>
        </w:rPr>
        <w:t>Data Availability Statement</w:t>
      </w:r>
    </w:p>
    <w:p w14:paraId="2B3D7F9E" w14:textId="1F7465CD" w:rsidR="00BA3FF3" w:rsidRDefault="0050335D" w:rsidP="0050335D">
      <w:pPr>
        <w:spacing w:after="0" w:line="480" w:lineRule="auto"/>
        <w:jc w:val="both"/>
        <w:rPr>
          <w:rFonts w:ascii="Times New Roman" w:eastAsia="Times New Roman" w:hAnsi="Times New Roman" w:cs="Times New Roman"/>
          <w:color w:val="000000"/>
          <w:sz w:val="24"/>
          <w:szCs w:val="24"/>
          <w:lang w:val="en-GB"/>
        </w:rPr>
      </w:pPr>
      <w:r w:rsidRPr="0050335D">
        <w:rPr>
          <w:rFonts w:ascii="Times New Roman" w:eastAsia="Times New Roman" w:hAnsi="Times New Roman" w:cs="Times New Roman"/>
          <w:color w:val="000000"/>
          <w:sz w:val="24"/>
          <w:szCs w:val="24"/>
          <w:lang w:val="en-GB"/>
        </w:rPr>
        <w:t>Data sharing not applicable to this article as no datasets were generated</w:t>
      </w:r>
      <w:r>
        <w:rPr>
          <w:rFonts w:ascii="Times New Roman" w:eastAsia="Times New Roman" w:hAnsi="Times New Roman" w:cs="Times New Roman"/>
          <w:color w:val="000000"/>
          <w:sz w:val="24"/>
          <w:szCs w:val="24"/>
          <w:lang w:val="en-GB"/>
        </w:rPr>
        <w:t xml:space="preserve"> </w:t>
      </w:r>
      <w:r w:rsidRPr="0050335D">
        <w:rPr>
          <w:rFonts w:ascii="Times New Roman" w:eastAsia="Times New Roman" w:hAnsi="Times New Roman" w:cs="Times New Roman"/>
          <w:color w:val="000000"/>
          <w:sz w:val="24"/>
          <w:szCs w:val="24"/>
          <w:lang w:val="en-GB"/>
        </w:rPr>
        <w:t>or analysed</w:t>
      </w:r>
      <w:r w:rsidR="00A066D6">
        <w:rPr>
          <w:rFonts w:ascii="Times New Roman" w:eastAsia="Times New Roman" w:hAnsi="Times New Roman" w:cs="Times New Roman"/>
          <w:color w:val="000000"/>
          <w:sz w:val="24"/>
          <w:szCs w:val="24"/>
          <w:lang w:val="en-GB"/>
        </w:rPr>
        <w:t>.</w:t>
      </w:r>
    </w:p>
    <w:p w14:paraId="4F72268A" w14:textId="0E8E40ED" w:rsidR="008C1A14" w:rsidRDefault="008C1A14" w:rsidP="0050335D">
      <w:pPr>
        <w:spacing w:after="0" w:line="480" w:lineRule="auto"/>
        <w:jc w:val="both"/>
        <w:rPr>
          <w:rFonts w:ascii="Times New Roman" w:eastAsia="Times New Roman" w:hAnsi="Times New Roman" w:cs="Times New Roman"/>
          <w:b/>
          <w:bCs/>
          <w:color w:val="000000"/>
          <w:sz w:val="24"/>
          <w:szCs w:val="24"/>
          <w:lang w:val="en-GB"/>
        </w:rPr>
      </w:pPr>
    </w:p>
    <w:p w14:paraId="025D8F8E" w14:textId="627285C0" w:rsidR="003A2630" w:rsidRDefault="003A2630" w:rsidP="0050335D">
      <w:pPr>
        <w:spacing w:after="0" w:line="480" w:lineRule="auto"/>
        <w:jc w:val="both"/>
        <w:rPr>
          <w:rFonts w:ascii="Times New Roman" w:eastAsia="Times New Roman" w:hAnsi="Times New Roman" w:cs="Times New Roman"/>
          <w:b/>
          <w:bCs/>
          <w:color w:val="000000"/>
          <w:sz w:val="24"/>
          <w:szCs w:val="24"/>
          <w:lang w:val="en-GB"/>
        </w:rPr>
      </w:pPr>
      <w:r w:rsidRPr="003A2630">
        <w:rPr>
          <w:rFonts w:ascii="Times New Roman" w:eastAsia="Times New Roman" w:hAnsi="Times New Roman" w:cs="Times New Roman"/>
          <w:b/>
          <w:bCs/>
          <w:color w:val="000000"/>
          <w:sz w:val="24"/>
          <w:szCs w:val="24"/>
          <w:lang w:val="en-GB"/>
        </w:rPr>
        <w:t>Conflict of Interest</w:t>
      </w:r>
    </w:p>
    <w:p w14:paraId="736897A3" w14:textId="0B367136" w:rsidR="003A2630" w:rsidRPr="004C071B" w:rsidRDefault="004C071B" w:rsidP="0050335D">
      <w:pPr>
        <w:spacing w:after="0" w:line="480" w:lineRule="auto"/>
        <w:jc w:val="both"/>
        <w:rPr>
          <w:rFonts w:ascii="Times New Roman" w:eastAsia="Times New Roman" w:hAnsi="Times New Roman" w:cs="Times New Roman"/>
          <w:color w:val="000000"/>
          <w:sz w:val="24"/>
          <w:szCs w:val="24"/>
          <w:lang w:val="en-GB"/>
        </w:rPr>
      </w:pPr>
      <w:r w:rsidRPr="004C071B">
        <w:rPr>
          <w:rFonts w:ascii="Times New Roman" w:eastAsia="Times New Roman" w:hAnsi="Times New Roman" w:cs="Times New Roman"/>
          <w:color w:val="000000"/>
          <w:sz w:val="24"/>
          <w:szCs w:val="24"/>
          <w:lang w:val="en-GB"/>
        </w:rPr>
        <w:lastRenderedPageBreak/>
        <w:t>No potential conflict of interest to disclose</w:t>
      </w:r>
      <w:r>
        <w:rPr>
          <w:rFonts w:ascii="Times New Roman" w:eastAsia="Times New Roman" w:hAnsi="Times New Roman" w:cs="Times New Roman"/>
          <w:color w:val="000000"/>
          <w:sz w:val="24"/>
          <w:szCs w:val="24"/>
          <w:lang w:val="en-GB"/>
        </w:rPr>
        <w:t>.</w:t>
      </w:r>
    </w:p>
    <w:p w14:paraId="3D2ADDAC" w14:textId="77777777" w:rsidR="003A2630" w:rsidRDefault="003A2630" w:rsidP="0050335D">
      <w:pPr>
        <w:spacing w:after="0" w:line="480" w:lineRule="auto"/>
        <w:jc w:val="both"/>
        <w:rPr>
          <w:rFonts w:ascii="Times New Roman" w:eastAsia="Times New Roman" w:hAnsi="Times New Roman" w:cs="Times New Roman"/>
          <w:b/>
          <w:bCs/>
          <w:color w:val="000000"/>
          <w:sz w:val="24"/>
          <w:szCs w:val="24"/>
          <w:lang w:val="en-GB"/>
        </w:rPr>
      </w:pPr>
    </w:p>
    <w:p w14:paraId="6EE42C63" w14:textId="21B9FFC0" w:rsidR="003F2DF3" w:rsidRDefault="003F2DF3" w:rsidP="00594411">
      <w:pPr>
        <w:spacing w:after="0" w:line="480" w:lineRule="auto"/>
        <w:rPr>
          <w:rFonts w:ascii="Times New Roman" w:eastAsia="Times New Roman" w:hAnsi="Times New Roman" w:cs="Times New Roman"/>
          <w:b/>
          <w:bCs/>
          <w:color w:val="000000"/>
          <w:sz w:val="24"/>
          <w:szCs w:val="24"/>
          <w:lang w:val="en-GB"/>
        </w:rPr>
      </w:pPr>
      <w:r w:rsidRPr="003F2DF3">
        <w:rPr>
          <w:rFonts w:ascii="Times New Roman" w:eastAsia="Times New Roman" w:hAnsi="Times New Roman" w:cs="Times New Roman"/>
          <w:b/>
          <w:bCs/>
          <w:color w:val="000000"/>
          <w:sz w:val="24"/>
          <w:szCs w:val="24"/>
          <w:lang w:val="en-GB"/>
        </w:rPr>
        <w:t>Authors’ contributions</w:t>
      </w:r>
    </w:p>
    <w:p w14:paraId="6EBEF6FD" w14:textId="797D509F" w:rsidR="003F2DF3" w:rsidRPr="00A60193" w:rsidRDefault="003F2DF3" w:rsidP="00A60193">
      <w:pPr>
        <w:spacing w:after="0" w:line="480" w:lineRule="auto"/>
        <w:rPr>
          <w:rFonts w:ascii="Times New Roman" w:eastAsia="Times New Roman" w:hAnsi="Times New Roman" w:cs="Times New Roman"/>
          <w:color w:val="000000"/>
          <w:sz w:val="24"/>
          <w:szCs w:val="24"/>
          <w:lang w:val="en-GB"/>
        </w:rPr>
      </w:pPr>
      <w:r w:rsidRPr="000C080C">
        <w:rPr>
          <w:rFonts w:ascii="Times New Roman" w:eastAsia="Times New Roman" w:hAnsi="Times New Roman" w:cs="Times New Roman"/>
          <w:color w:val="000000"/>
          <w:sz w:val="24"/>
          <w:szCs w:val="24"/>
          <w:lang w:val="en-GB"/>
        </w:rPr>
        <w:t xml:space="preserve">NP </w:t>
      </w:r>
      <w:r w:rsidR="00D733C7" w:rsidRPr="00D733C7">
        <w:rPr>
          <w:rFonts w:ascii="Times New Roman" w:eastAsia="Times New Roman" w:hAnsi="Times New Roman" w:cs="Times New Roman"/>
          <w:color w:val="000000"/>
          <w:sz w:val="24"/>
          <w:szCs w:val="24"/>
          <w:lang w:val="en-GB"/>
        </w:rPr>
        <w:t>drafted and revised the manuscript with intellectual contribution</w:t>
      </w:r>
      <w:r w:rsidR="00EC0407">
        <w:rPr>
          <w:rFonts w:ascii="Times New Roman" w:eastAsia="Times New Roman" w:hAnsi="Times New Roman" w:cs="Times New Roman"/>
          <w:color w:val="000000"/>
          <w:sz w:val="24"/>
          <w:szCs w:val="24"/>
          <w:lang w:val="en-GB"/>
        </w:rPr>
        <w:t>s</w:t>
      </w:r>
      <w:r w:rsidR="00D733C7" w:rsidRPr="00D733C7">
        <w:rPr>
          <w:rFonts w:ascii="Times New Roman" w:eastAsia="Times New Roman" w:hAnsi="Times New Roman" w:cs="Times New Roman"/>
          <w:color w:val="000000"/>
          <w:sz w:val="24"/>
          <w:szCs w:val="24"/>
          <w:lang w:val="en-GB"/>
        </w:rPr>
        <w:t xml:space="preserve"> of all co-authors</w:t>
      </w:r>
      <w:r w:rsidR="00D733C7">
        <w:rPr>
          <w:rFonts w:ascii="Times New Roman" w:eastAsia="Times New Roman" w:hAnsi="Times New Roman" w:cs="Times New Roman"/>
          <w:color w:val="000000"/>
          <w:sz w:val="24"/>
          <w:szCs w:val="24"/>
          <w:lang w:val="en-GB"/>
        </w:rPr>
        <w:t>.</w:t>
      </w:r>
    </w:p>
    <w:p w14:paraId="2568E579" w14:textId="77777777" w:rsidR="00594411" w:rsidRPr="0050335D" w:rsidRDefault="00594411" w:rsidP="0050335D">
      <w:pPr>
        <w:spacing w:after="0" w:line="480" w:lineRule="auto"/>
        <w:jc w:val="both"/>
        <w:rPr>
          <w:rFonts w:ascii="Times New Roman" w:eastAsia="Times New Roman" w:hAnsi="Times New Roman" w:cs="Times New Roman"/>
          <w:b/>
          <w:bCs/>
          <w:color w:val="000000"/>
          <w:sz w:val="24"/>
          <w:szCs w:val="24"/>
          <w:lang w:val="en-GB"/>
        </w:rPr>
      </w:pPr>
    </w:p>
    <w:p w14:paraId="09D488F5" w14:textId="7D24AE42" w:rsidR="0026125D" w:rsidRPr="00C54D13" w:rsidRDefault="0026125D" w:rsidP="00AB28BA">
      <w:pPr>
        <w:spacing w:line="480" w:lineRule="auto"/>
        <w:rPr>
          <w:rFonts w:ascii="Times New Roman" w:hAnsi="Times New Roman" w:cs="Times New Roman"/>
          <w:b/>
          <w:sz w:val="24"/>
          <w:szCs w:val="24"/>
          <w:lang w:val="en-GB"/>
        </w:rPr>
      </w:pPr>
      <w:r w:rsidRPr="00C54D13">
        <w:rPr>
          <w:rFonts w:ascii="Times New Roman" w:hAnsi="Times New Roman" w:cs="Times New Roman"/>
          <w:b/>
          <w:sz w:val="24"/>
          <w:szCs w:val="24"/>
          <w:lang w:val="en-GB"/>
        </w:rPr>
        <w:t xml:space="preserve">References </w:t>
      </w:r>
    </w:p>
    <w:p w14:paraId="22E1792E" w14:textId="575B1237" w:rsidR="005446D9" w:rsidRPr="006123BD" w:rsidRDefault="0099430F"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C54D13">
        <w:rPr>
          <w:rFonts w:ascii="Times New Roman" w:hAnsi="Times New Roman" w:cs="Times New Roman"/>
          <w:b/>
          <w:sz w:val="24"/>
          <w:szCs w:val="24"/>
          <w:lang w:val="en-GB"/>
        </w:rPr>
        <w:fldChar w:fldCharType="begin" w:fldLock="1"/>
      </w:r>
      <w:r w:rsidRPr="00C54D13">
        <w:rPr>
          <w:rFonts w:ascii="Times New Roman" w:hAnsi="Times New Roman" w:cs="Times New Roman"/>
          <w:b/>
          <w:sz w:val="24"/>
          <w:szCs w:val="24"/>
          <w:lang w:val="en-GB"/>
        </w:rPr>
        <w:instrText xml:space="preserve">ADDIN Mendeley Bibliography CSL_BIBLIOGRAPHY </w:instrText>
      </w:r>
      <w:r w:rsidRPr="00C54D13">
        <w:rPr>
          <w:rFonts w:ascii="Times New Roman" w:hAnsi="Times New Roman" w:cs="Times New Roman"/>
          <w:b/>
          <w:sz w:val="24"/>
          <w:szCs w:val="24"/>
          <w:lang w:val="en-GB"/>
        </w:rPr>
        <w:fldChar w:fldCharType="separate"/>
      </w:r>
      <w:r w:rsidR="005446D9" w:rsidRPr="006123BD">
        <w:rPr>
          <w:rFonts w:ascii="Times New Roman" w:hAnsi="Times New Roman" w:cs="Times New Roman"/>
          <w:noProof/>
          <w:sz w:val="24"/>
          <w:szCs w:val="24"/>
          <w:lang w:val="en-GB"/>
        </w:rPr>
        <w:t>1.</w:t>
      </w:r>
      <w:r w:rsidR="005446D9" w:rsidRPr="006123BD">
        <w:rPr>
          <w:rFonts w:ascii="Times New Roman" w:hAnsi="Times New Roman" w:cs="Times New Roman"/>
          <w:noProof/>
          <w:sz w:val="24"/>
          <w:szCs w:val="24"/>
          <w:lang w:val="en-GB"/>
        </w:rPr>
        <w:tab/>
        <w:t xml:space="preserve">Bossuyt P, Vermeire S Treat to Target in Inflammatory Bowel Disease. </w:t>
      </w:r>
      <w:r w:rsidR="005446D9" w:rsidRPr="006123BD">
        <w:rPr>
          <w:rFonts w:ascii="Times New Roman" w:hAnsi="Times New Roman" w:cs="Times New Roman"/>
          <w:i/>
          <w:iCs/>
          <w:noProof/>
          <w:sz w:val="24"/>
          <w:szCs w:val="24"/>
          <w:lang w:val="en-GB"/>
        </w:rPr>
        <w:t>Curr Treat Options Gastroenterol</w:t>
      </w:r>
      <w:r w:rsidR="005446D9" w:rsidRPr="006123BD">
        <w:rPr>
          <w:rFonts w:ascii="Times New Roman" w:hAnsi="Times New Roman" w:cs="Times New Roman"/>
          <w:noProof/>
          <w:sz w:val="24"/>
          <w:szCs w:val="24"/>
          <w:lang w:val="en-GB"/>
        </w:rPr>
        <w:t xml:space="preserve"> 2016;</w:t>
      </w:r>
      <w:r w:rsidR="005446D9" w:rsidRPr="006123BD">
        <w:rPr>
          <w:rFonts w:ascii="Times New Roman" w:hAnsi="Times New Roman" w:cs="Times New Roman"/>
          <w:b/>
          <w:bCs/>
          <w:noProof/>
          <w:sz w:val="24"/>
          <w:szCs w:val="24"/>
          <w:lang w:val="en-GB"/>
        </w:rPr>
        <w:t>14</w:t>
      </w:r>
      <w:r w:rsidR="005446D9" w:rsidRPr="006123BD">
        <w:rPr>
          <w:rFonts w:ascii="Times New Roman" w:hAnsi="Times New Roman" w:cs="Times New Roman"/>
          <w:noProof/>
          <w:sz w:val="24"/>
          <w:szCs w:val="24"/>
          <w:lang w:val="en-GB"/>
        </w:rPr>
        <w:t>(1):61–72.</w:t>
      </w:r>
    </w:p>
    <w:p w14:paraId="3EF29F9F"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2.</w:t>
      </w:r>
      <w:r w:rsidRPr="006123BD">
        <w:rPr>
          <w:rFonts w:ascii="Times New Roman" w:hAnsi="Times New Roman" w:cs="Times New Roman"/>
          <w:noProof/>
          <w:sz w:val="24"/>
          <w:szCs w:val="24"/>
          <w:lang w:val="en-GB"/>
        </w:rPr>
        <w:tab/>
        <w:t xml:space="preserve">Colombel J-F, Louis E, Peyrin-Biroulet L, Sandborn WJ, Panaccione R Deep Remission: A New Concept? </w:t>
      </w:r>
      <w:r w:rsidRPr="006123BD">
        <w:rPr>
          <w:rFonts w:ascii="Times New Roman" w:hAnsi="Times New Roman" w:cs="Times New Roman"/>
          <w:i/>
          <w:iCs/>
          <w:noProof/>
          <w:sz w:val="24"/>
          <w:szCs w:val="24"/>
          <w:lang w:val="en-GB"/>
        </w:rPr>
        <w:t>Dig Dis</w:t>
      </w:r>
      <w:r w:rsidRPr="006123BD">
        <w:rPr>
          <w:rFonts w:ascii="Times New Roman" w:hAnsi="Times New Roman" w:cs="Times New Roman"/>
          <w:noProof/>
          <w:sz w:val="24"/>
          <w:szCs w:val="24"/>
          <w:lang w:val="en-GB"/>
        </w:rPr>
        <w:t xml:space="preserve"> 2012;</w:t>
      </w:r>
      <w:r w:rsidRPr="006123BD">
        <w:rPr>
          <w:rFonts w:ascii="Times New Roman" w:hAnsi="Times New Roman" w:cs="Times New Roman"/>
          <w:b/>
          <w:bCs/>
          <w:noProof/>
          <w:sz w:val="24"/>
          <w:szCs w:val="24"/>
          <w:lang w:val="en-GB"/>
        </w:rPr>
        <w:t>30(suppl 3</w:t>
      </w:r>
      <w:r w:rsidRPr="006123BD">
        <w:rPr>
          <w:rFonts w:ascii="Times New Roman" w:hAnsi="Times New Roman" w:cs="Times New Roman"/>
          <w:noProof/>
          <w:sz w:val="24"/>
          <w:szCs w:val="24"/>
          <w:lang w:val="en-GB"/>
        </w:rPr>
        <w:t>(Suppl. 3):107–11.</w:t>
      </w:r>
    </w:p>
    <w:p w14:paraId="7CE25C4B"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3.</w:t>
      </w:r>
      <w:r w:rsidRPr="006123BD">
        <w:rPr>
          <w:rFonts w:ascii="Times New Roman" w:hAnsi="Times New Roman" w:cs="Times New Roman"/>
          <w:noProof/>
          <w:sz w:val="24"/>
          <w:szCs w:val="24"/>
          <w:lang w:val="en-GB"/>
        </w:rPr>
        <w:tab/>
        <w:t xml:space="preserve">Panaccione R, Colombel J-F, Louis E, Peyrin-Biroulet L, Sandborn WJ Evolving definitions of remission in Crohn’s disease. </w:t>
      </w:r>
      <w:r w:rsidRPr="006123BD">
        <w:rPr>
          <w:rFonts w:ascii="Times New Roman" w:hAnsi="Times New Roman" w:cs="Times New Roman"/>
          <w:i/>
          <w:iCs/>
          <w:noProof/>
          <w:sz w:val="24"/>
          <w:szCs w:val="24"/>
          <w:lang w:val="en-GB"/>
        </w:rPr>
        <w:t>Inflamm Bowel Dis</w:t>
      </w:r>
      <w:r w:rsidRPr="006123BD">
        <w:rPr>
          <w:rFonts w:ascii="Times New Roman" w:hAnsi="Times New Roman" w:cs="Times New Roman"/>
          <w:noProof/>
          <w:sz w:val="24"/>
          <w:szCs w:val="24"/>
          <w:lang w:val="en-GB"/>
        </w:rPr>
        <w:t xml:space="preserve"> 2013;</w:t>
      </w:r>
      <w:r w:rsidRPr="006123BD">
        <w:rPr>
          <w:rFonts w:ascii="Times New Roman" w:hAnsi="Times New Roman" w:cs="Times New Roman"/>
          <w:b/>
          <w:bCs/>
          <w:noProof/>
          <w:sz w:val="24"/>
          <w:szCs w:val="24"/>
          <w:lang w:val="en-GB"/>
        </w:rPr>
        <w:t>19</w:t>
      </w:r>
      <w:r w:rsidRPr="006123BD">
        <w:rPr>
          <w:rFonts w:ascii="Times New Roman" w:hAnsi="Times New Roman" w:cs="Times New Roman"/>
          <w:noProof/>
          <w:sz w:val="24"/>
          <w:szCs w:val="24"/>
          <w:lang w:val="en-GB"/>
        </w:rPr>
        <w:t>(8):1645–53.</w:t>
      </w:r>
    </w:p>
    <w:p w14:paraId="12FB98AB"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4.</w:t>
      </w:r>
      <w:r w:rsidRPr="006123BD">
        <w:rPr>
          <w:rFonts w:ascii="Times New Roman" w:hAnsi="Times New Roman" w:cs="Times New Roman"/>
          <w:noProof/>
          <w:sz w:val="24"/>
          <w:szCs w:val="24"/>
          <w:lang w:val="en-GB"/>
        </w:rPr>
        <w:tab/>
        <w:t xml:space="preserve">Peyrin-Biroulet L, Sandborn W, Sands BE, Reinisch W, Bemelman W, Bryant R V, et al. Selecting Therapeutic Targets in Inflammatory Bowel Disease (STRIDE): Determining  Therapeutic Goals for Treat-to-Target. </w:t>
      </w:r>
      <w:r w:rsidRPr="006123BD">
        <w:rPr>
          <w:rFonts w:ascii="Times New Roman" w:hAnsi="Times New Roman" w:cs="Times New Roman"/>
          <w:i/>
          <w:iCs/>
          <w:noProof/>
          <w:sz w:val="24"/>
          <w:szCs w:val="24"/>
          <w:lang w:val="en-GB"/>
        </w:rPr>
        <w:t>Am J Gastroenterol</w:t>
      </w:r>
      <w:r w:rsidRPr="006123BD">
        <w:rPr>
          <w:rFonts w:ascii="Times New Roman" w:hAnsi="Times New Roman" w:cs="Times New Roman"/>
          <w:noProof/>
          <w:sz w:val="24"/>
          <w:szCs w:val="24"/>
          <w:lang w:val="en-GB"/>
        </w:rPr>
        <w:t xml:space="preserve"> 2015;</w:t>
      </w:r>
      <w:r w:rsidRPr="006123BD">
        <w:rPr>
          <w:rFonts w:ascii="Times New Roman" w:hAnsi="Times New Roman" w:cs="Times New Roman"/>
          <w:b/>
          <w:bCs/>
          <w:noProof/>
          <w:sz w:val="24"/>
          <w:szCs w:val="24"/>
          <w:lang w:val="en-GB"/>
        </w:rPr>
        <w:t>110</w:t>
      </w:r>
      <w:r w:rsidRPr="006123BD">
        <w:rPr>
          <w:rFonts w:ascii="Times New Roman" w:hAnsi="Times New Roman" w:cs="Times New Roman"/>
          <w:noProof/>
          <w:sz w:val="24"/>
          <w:szCs w:val="24"/>
          <w:lang w:val="en-GB"/>
        </w:rPr>
        <w:t>(9):1324–38.</w:t>
      </w:r>
    </w:p>
    <w:p w14:paraId="591C8F7E"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5.</w:t>
      </w:r>
      <w:r w:rsidRPr="006123BD">
        <w:rPr>
          <w:rFonts w:ascii="Times New Roman" w:hAnsi="Times New Roman" w:cs="Times New Roman"/>
          <w:noProof/>
          <w:sz w:val="24"/>
          <w:szCs w:val="24"/>
          <w:lang w:val="en-GB"/>
        </w:rPr>
        <w:tab/>
        <w:t xml:space="preserve">Turner D, Ricciuto A, Lewis A, D’Amico F, Dhaliwal J, Griffiths AM, et al. STRIDE-II: An Update on the Selecting Therapeutic Targets in Inflammatory Bowel  Disease (STRIDE) Initiative of the International Organization for the Study of IBD (IOIBD): Determining Therapeutic Goals for Treat-to-Target strategies in IBD. </w:t>
      </w:r>
      <w:r w:rsidRPr="006123BD">
        <w:rPr>
          <w:rFonts w:ascii="Times New Roman" w:hAnsi="Times New Roman" w:cs="Times New Roman"/>
          <w:i/>
          <w:iCs/>
          <w:noProof/>
          <w:sz w:val="24"/>
          <w:szCs w:val="24"/>
          <w:lang w:val="en-GB"/>
        </w:rPr>
        <w:t>Gastroenterology</w:t>
      </w:r>
      <w:r w:rsidRPr="006123BD">
        <w:rPr>
          <w:rFonts w:ascii="Times New Roman" w:hAnsi="Times New Roman" w:cs="Times New Roman"/>
          <w:noProof/>
          <w:sz w:val="24"/>
          <w:szCs w:val="24"/>
          <w:lang w:val="en-GB"/>
        </w:rPr>
        <w:t xml:space="preserve"> 2021;</w:t>
      </w:r>
      <w:r w:rsidRPr="006123BD">
        <w:rPr>
          <w:rFonts w:ascii="Times New Roman" w:hAnsi="Times New Roman" w:cs="Times New Roman"/>
          <w:b/>
          <w:bCs/>
          <w:noProof/>
          <w:sz w:val="24"/>
          <w:szCs w:val="24"/>
          <w:lang w:val="en-GB"/>
        </w:rPr>
        <w:t>160</w:t>
      </w:r>
      <w:r w:rsidRPr="006123BD">
        <w:rPr>
          <w:rFonts w:ascii="Times New Roman" w:hAnsi="Times New Roman" w:cs="Times New Roman"/>
          <w:noProof/>
          <w:sz w:val="24"/>
          <w:szCs w:val="24"/>
          <w:lang w:val="en-GB"/>
        </w:rPr>
        <w:t>(5):1570–83.</w:t>
      </w:r>
    </w:p>
    <w:p w14:paraId="37B9B788"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6.</w:t>
      </w:r>
      <w:r w:rsidRPr="006123BD">
        <w:rPr>
          <w:rFonts w:ascii="Times New Roman" w:hAnsi="Times New Roman" w:cs="Times New Roman"/>
          <w:noProof/>
          <w:sz w:val="24"/>
          <w:szCs w:val="24"/>
          <w:lang w:val="en-GB"/>
        </w:rPr>
        <w:tab/>
        <w:t xml:space="preserve">Bouguen G, Levesque BG, Feagan BG, Kavanaugh A, Peyrin-Biroulet L, Colombel J-F, et al. Treat to target: a proposed new paradigm for the management of Crohn’s disease. </w:t>
      </w:r>
      <w:r w:rsidRPr="006123BD">
        <w:rPr>
          <w:rFonts w:ascii="Times New Roman" w:hAnsi="Times New Roman" w:cs="Times New Roman"/>
          <w:i/>
          <w:iCs/>
          <w:noProof/>
          <w:sz w:val="24"/>
          <w:szCs w:val="24"/>
          <w:lang w:val="en-GB"/>
        </w:rPr>
        <w:t>Clin Gastroenterol Hepatol  Off Clin Pract J  Am Gastroenterol Assoc</w:t>
      </w:r>
      <w:r w:rsidRPr="006123BD">
        <w:rPr>
          <w:rFonts w:ascii="Times New Roman" w:hAnsi="Times New Roman" w:cs="Times New Roman"/>
          <w:noProof/>
          <w:sz w:val="24"/>
          <w:szCs w:val="24"/>
          <w:lang w:val="en-GB"/>
        </w:rPr>
        <w:t xml:space="preserve"> </w:t>
      </w:r>
      <w:r w:rsidRPr="006123BD">
        <w:rPr>
          <w:rFonts w:ascii="Times New Roman" w:hAnsi="Times New Roman" w:cs="Times New Roman"/>
          <w:noProof/>
          <w:sz w:val="24"/>
          <w:szCs w:val="24"/>
          <w:lang w:val="en-GB"/>
        </w:rPr>
        <w:lastRenderedPageBreak/>
        <w:t>2015;</w:t>
      </w:r>
      <w:r w:rsidRPr="006123BD">
        <w:rPr>
          <w:rFonts w:ascii="Times New Roman" w:hAnsi="Times New Roman" w:cs="Times New Roman"/>
          <w:b/>
          <w:bCs/>
          <w:noProof/>
          <w:sz w:val="24"/>
          <w:szCs w:val="24"/>
          <w:lang w:val="en-GB"/>
        </w:rPr>
        <w:t>13</w:t>
      </w:r>
      <w:r w:rsidRPr="006123BD">
        <w:rPr>
          <w:rFonts w:ascii="Times New Roman" w:hAnsi="Times New Roman" w:cs="Times New Roman"/>
          <w:noProof/>
          <w:sz w:val="24"/>
          <w:szCs w:val="24"/>
          <w:lang w:val="en-GB"/>
        </w:rPr>
        <w:t>(6):1042-50.e2.</w:t>
      </w:r>
    </w:p>
    <w:p w14:paraId="6AC29F51"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7.</w:t>
      </w:r>
      <w:r w:rsidRPr="006123BD">
        <w:rPr>
          <w:rFonts w:ascii="Times New Roman" w:hAnsi="Times New Roman" w:cs="Times New Roman"/>
          <w:noProof/>
          <w:sz w:val="24"/>
          <w:szCs w:val="24"/>
          <w:lang w:val="en-GB"/>
        </w:rPr>
        <w:tab/>
        <w:t xml:space="preserve">Bossuyt P, Louis E, Mary J-Y, Vermeire S, Bouhnik Y Defining Endoscopic Remission in Ileocolonic Crohn’s Disease: Let’s Start from  Scratch. </w:t>
      </w:r>
      <w:r w:rsidRPr="006123BD">
        <w:rPr>
          <w:rFonts w:ascii="Times New Roman" w:hAnsi="Times New Roman" w:cs="Times New Roman"/>
          <w:i/>
          <w:iCs/>
          <w:noProof/>
          <w:sz w:val="24"/>
          <w:szCs w:val="24"/>
          <w:lang w:val="en-GB"/>
        </w:rPr>
        <w:t>J Crohns Colitis</w:t>
      </w:r>
      <w:r w:rsidRPr="006123BD">
        <w:rPr>
          <w:rFonts w:ascii="Times New Roman" w:hAnsi="Times New Roman" w:cs="Times New Roman"/>
          <w:noProof/>
          <w:sz w:val="24"/>
          <w:szCs w:val="24"/>
          <w:lang w:val="en-GB"/>
        </w:rPr>
        <w:t xml:space="preserve"> 2018;</w:t>
      </w:r>
      <w:r w:rsidRPr="006123BD">
        <w:rPr>
          <w:rFonts w:ascii="Times New Roman" w:hAnsi="Times New Roman" w:cs="Times New Roman"/>
          <w:b/>
          <w:bCs/>
          <w:noProof/>
          <w:sz w:val="24"/>
          <w:szCs w:val="24"/>
          <w:lang w:val="en-GB"/>
        </w:rPr>
        <w:t>12</w:t>
      </w:r>
      <w:r w:rsidRPr="006123BD">
        <w:rPr>
          <w:rFonts w:ascii="Times New Roman" w:hAnsi="Times New Roman" w:cs="Times New Roman"/>
          <w:noProof/>
          <w:sz w:val="24"/>
          <w:szCs w:val="24"/>
          <w:lang w:val="en-GB"/>
        </w:rPr>
        <w:t>(10):1245–8.</w:t>
      </w:r>
    </w:p>
    <w:p w14:paraId="4766C822"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8.</w:t>
      </w:r>
      <w:r w:rsidRPr="006123BD">
        <w:rPr>
          <w:rFonts w:ascii="Times New Roman" w:hAnsi="Times New Roman" w:cs="Times New Roman"/>
          <w:noProof/>
          <w:sz w:val="24"/>
          <w:szCs w:val="24"/>
          <w:lang w:val="en-GB"/>
        </w:rPr>
        <w:tab/>
        <w:t xml:space="preserve">Neurath MF, Travis SPL Mucosal healing in inflammatory bowel diseases: a systematic review. </w:t>
      </w:r>
      <w:r w:rsidRPr="006123BD">
        <w:rPr>
          <w:rFonts w:ascii="Times New Roman" w:hAnsi="Times New Roman" w:cs="Times New Roman"/>
          <w:i/>
          <w:iCs/>
          <w:noProof/>
          <w:sz w:val="24"/>
          <w:szCs w:val="24"/>
          <w:lang w:val="en-GB"/>
        </w:rPr>
        <w:t>Gut</w:t>
      </w:r>
      <w:r w:rsidRPr="006123BD">
        <w:rPr>
          <w:rFonts w:ascii="Times New Roman" w:hAnsi="Times New Roman" w:cs="Times New Roman"/>
          <w:noProof/>
          <w:sz w:val="24"/>
          <w:szCs w:val="24"/>
          <w:lang w:val="en-GB"/>
        </w:rPr>
        <w:t xml:space="preserve"> 2012;</w:t>
      </w:r>
      <w:r w:rsidRPr="006123BD">
        <w:rPr>
          <w:rFonts w:ascii="Times New Roman" w:hAnsi="Times New Roman" w:cs="Times New Roman"/>
          <w:b/>
          <w:bCs/>
          <w:noProof/>
          <w:sz w:val="24"/>
          <w:szCs w:val="24"/>
          <w:lang w:val="en-GB"/>
        </w:rPr>
        <w:t>61</w:t>
      </w:r>
      <w:r w:rsidRPr="006123BD">
        <w:rPr>
          <w:rFonts w:ascii="Times New Roman" w:hAnsi="Times New Roman" w:cs="Times New Roman"/>
          <w:noProof/>
          <w:sz w:val="24"/>
          <w:szCs w:val="24"/>
          <w:lang w:val="en-GB"/>
        </w:rPr>
        <w:t>(11):1619–35.</w:t>
      </w:r>
    </w:p>
    <w:p w14:paraId="4D1894CC"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9.</w:t>
      </w:r>
      <w:r w:rsidRPr="006123BD">
        <w:rPr>
          <w:rFonts w:ascii="Times New Roman" w:hAnsi="Times New Roman" w:cs="Times New Roman"/>
          <w:noProof/>
          <w:sz w:val="24"/>
          <w:szCs w:val="24"/>
          <w:lang w:val="en-GB"/>
        </w:rPr>
        <w:tab/>
        <w:t xml:space="preserve">Rimola J, Alfaro I, Fernández-Clotet A, Castro-Poceiro J, Vas D, Rodríguez S, et al. Persistent damage on magnetic resonance enterography in patients with Crohn’s  disease in endoscopic remission. </w:t>
      </w:r>
      <w:r w:rsidRPr="006123BD">
        <w:rPr>
          <w:rFonts w:ascii="Times New Roman" w:hAnsi="Times New Roman" w:cs="Times New Roman"/>
          <w:i/>
          <w:iCs/>
          <w:noProof/>
          <w:sz w:val="24"/>
          <w:szCs w:val="24"/>
          <w:lang w:val="en-GB"/>
        </w:rPr>
        <w:t>Aliment Pharmacol Ther</w:t>
      </w:r>
      <w:r w:rsidRPr="006123BD">
        <w:rPr>
          <w:rFonts w:ascii="Times New Roman" w:hAnsi="Times New Roman" w:cs="Times New Roman"/>
          <w:noProof/>
          <w:sz w:val="24"/>
          <w:szCs w:val="24"/>
          <w:lang w:val="en-GB"/>
        </w:rPr>
        <w:t xml:space="preserve"> 2018;</w:t>
      </w:r>
      <w:r w:rsidRPr="006123BD">
        <w:rPr>
          <w:rFonts w:ascii="Times New Roman" w:hAnsi="Times New Roman" w:cs="Times New Roman"/>
          <w:b/>
          <w:bCs/>
          <w:noProof/>
          <w:sz w:val="24"/>
          <w:szCs w:val="24"/>
          <w:lang w:val="en-GB"/>
        </w:rPr>
        <w:t>48</w:t>
      </w:r>
      <w:r w:rsidRPr="006123BD">
        <w:rPr>
          <w:rFonts w:ascii="Times New Roman" w:hAnsi="Times New Roman" w:cs="Times New Roman"/>
          <w:noProof/>
          <w:sz w:val="24"/>
          <w:szCs w:val="24"/>
          <w:lang w:val="en-GB"/>
        </w:rPr>
        <w:t>(11–12):1232–41.</w:t>
      </w:r>
    </w:p>
    <w:p w14:paraId="431124C9"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10.</w:t>
      </w:r>
      <w:r w:rsidRPr="006123BD">
        <w:rPr>
          <w:rFonts w:ascii="Times New Roman" w:hAnsi="Times New Roman" w:cs="Times New Roman"/>
          <w:noProof/>
          <w:sz w:val="24"/>
          <w:szCs w:val="24"/>
          <w:lang w:val="en-GB"/>
        </w:rPr>
        <w:tab/>
        <w:t xml:space="preserve">Magro F, Sabino J, Rosini F, Tripathi M, Borralho P, Baldin P, et al. ECCO Position on harmonization of Crohn’s disease mucosal histopathology. </w:t>
      </w:r>
      <w:r w:rsidRPr="006123BD">
        <w:rPr>
          <w:rFonts w:ascii="Times New Roman" w:hAnsi="Times New Roman" w:cs="Times New Roman"/>
          <w:i/>
          <w:iCs/>
          <w:noProof/>
          <w:sz w:val="24"/>
          <w:szCs w:val="24"/>
          <w:lang w:val="en-GB"/>
        </w:rPr>
        <w:t>J Crohns Colitis</w:t>
      </w:r>
      <w:r w:rsidRPr="006123BD">
        <w:rPr>
          <w:rFonts w:ascii="Times New Roman" w:hAnsi="Times New Roman" w:cs="Times New Roman"/>
          <w:noProof/>
          <w:sz w:val="24"/>
          <w:szCs w:val="24"/>
          <w:lang w:val="en-GB"/>
        </w:rPr>
        <w:t xml:space="preserve"> 2022.</w:t>
      </w:r>
    </w:p>
    <w:p w14:paraId="03BD0239"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11.</w:t>
      </w:r>
      <w:r w:rsidRPr="006123BD">
        <w:rPr>
          <w:rFonts w:ascii="Times New Roman" w:hAnsi="Times New Roman" w:cs="Times New Roman"/>
          <w:noProof/>
          <w:sz w:val="24"/>
          <w:szCs w:val="24"/>
          <w:lang w:val="en-GB"/>
        </w:rPr>
        <w:tab/>
        <w:t xml:space="preserve">Bryant R V, Winer S, Travis SPL, Riddell RH Systematic review: histological remission in inflammatory bowel disease. Is “complete” remission the new treatment paradigm? An IOIBD initiative. </w:t>
      </w:r>
      <w:r w:rsidRPr="006123BD">
        <w:rPr>
          <w:rFonts w:ascii="Times New Roman" w:hAnsi="Times New Roman" w:cs="Times New Roman"/>
          <w:i/>
          <w:iCs/>
          <w:noProof/>
          <w:sz w:val="24"/>
          <w:szCs w:val="24"/>
          <w:lang w:val="en-GB"/>
        </w:rPr>
        <w:t>J Crohns Colitis</w:t>
      </w:r>
      <w:r w:rsidRPr="006123BD">
        <w:rPr>
          <w:rFonts w:ascii="Times New Roman" w:hAnsi="Times New Roman" w:cs="Times New Roman"/>
          <w:noProof/>
          <w:sz w:val="24"/>
          <w:szCs w:val="24"/>
          <w:lang w:val="en-GB"/>
        </w:rPr>
        <w:t xml:space="preserve"> 2014;</w:t>
      </w:r>
      <w:r w:rsidRPr="006123BD">
        <w:rPr>
          <w:rFonts w:ascii="Times New Roman" w:hAnsi="Times New Roman" w:cs="Times New Roman"/>
          <w:b/>
          <w:bCs/>
          <w:noProof/>
          <w:sz w:val="24"/>
          <w:szCs w:val="24"/>
          <w:lang w:val="en-GB"/>
        </w:rPr>
        <w:t>8</w:t>
      </w:r>
      <w:r w:rsidRPr="006123BD">
        <w:rPr>
          <w:rFonts w:ascii="Times New Roman" w:hAnsi="Times New Roman" w:cs="Times New Roman"/>
          <w:noProof/>
          <w:sz w:val="24"/>
          <w:szCs w:val="24"/>
          <w:lang w:val="en-GB"/>
        </w:rPr>
        <w:t>(12):1582–97.</w:t>
      </w:r>
    </w:p>
    <w:p w14:paraId="050AF7F6" w14:textId="77777777" w:rsidR="005446D9" w:rsidRPr="005446D9"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rPr>
      </w:pPr>
      <w:r w:rsidRPr="006123BD">
        <w:rPr>
          <w:rFonts w:ascii="Times New Roman" w:hAnsi="Times New Roman" w:cs="Times New Roman"/>
          <w:noProof/>
          <w:sz w:val="24"/>
          <w:szCs w:val="24"/>
          <w:lang w:val="en-GB"/>
        </w:rPr>
        <w:t>12.</w:t>
      </w:r>
      <w:r w:rsidRPr="006123BD">
        <w:rPr>
          <w:rFonts w:ascii="Times New Roman" w:hAnsi="Times New Roman" w:cs="Times New Roman"/>
          <w:noProof/>
          <w:sz w:val="24"/>
          <w:szCs w:val="24"/>
          <w:lang w:val="en-GB"/>
        </w:rPr>
        <w:tab/>
        <w:t xml:space="preserve">Castiglione F, Imperatore N, Testa A, De Palma GD, Nardone OM, Pellegrini L, et al. One-year clinical outcomes with biologics in Crohn’s disease: transmural healing  compared with mucosal or no healing. </w:t>
      </w:r>
      <w:r w:rsidRPr="005446D9">
        <w:rPr>
          <w:rFonts w:ascii="Times New Roman" w:hAnsi="Times New Roman" w:cs="Times New Roman"/>
          <w:i/>
          <w:iCs/>
          <w:noProof/>
          <w:sz w:val="24"/>
          <w:szCs w:val="24"/>
        </w:rPr>
        <w:t>Aliment Pharmacol Ther</w:t>
      </w:r>
      <w:r w:rsidRPr="005446D9">
        <w:rPr>
          <w:rFonts w:ascii="Times New Roman" w:hAnsi="Times New Roman" w:cs="Times New Roman"/>
          <w:noProof/>
          <w:sz w:val="24"/>
          <w:szCs w:val="24"/>
        </w:rPr>
        <w:t xml:space="preserve"> 2019;</w:t>
      </w:r>
      <w:r w:rsidRPr="005446D9">
        <w:rPr>
          <w:rFonts w:ascii="Times New Roman" w:hAnsi="Times New Roman" w:cs="Times New Roman"/>
          <w:b/>
          <w:bCs/>
          <w:noProof/>
          <w:sz w:val="24"/>
          <w:szCs w:val="24"/>
        </w:rPr>
        <w:t>49</w:t>
      </w:r>
      <w:r w:rsidRPr="005446D9">
        <w:rPr>
          <w:rFonts w:ascii="Times New Roman" w:hAnsi="Times New Roman" w:cs="Times New Roman"/>
          <w:noProof/>
          <w:sz w:val="24"/>
          <w:szCs w:val="24"/>
        </w:rPr>
        <w:t>(8):1026–39.</w:t>
      </w:r>
    </w:p>
    <w:p w14:paraId="10D75523"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5446D9">
        <w:rPr>
          <w:rFonts w:ascii="Times New Roman" w:hAnsi="Times New Roman" w:cs="Times New Roman"/>
          <w:noProof/>
          <w:sz w:val="24"/>
          <w:szCs w:val="24"/>
        </w:rPr>
        <w:t>13.</w:t>
      </w:r>
      <w:r w:rsidRPr="005446D9">
        <w:rPr>
          <w:rFonts w:ascii="Times New Roman" w:hAnsi="Times New Roman" w:cs="Times New Roman"/>
          <w:noProof/>
          <w:sz w:val="24"/>
          <w:szCs w:val="24"/>
        </w:rPr>
        <w:tab/>
        <w:t xml:space="preserve">Lafeuille P, Hordonneau C, Vignette J, Blayac L, Dapoigny M, Reymond M, et al. </w:t>
      </w:r>
      <w:r w:rsidRPr="006123BD">
        <w:rPr>
          <w:rFonts w:ascii="Times New Roman" w:hAnsi="Times New Roman" w:cs="Times New Roman"/>
          <w:noProof/>
          <w:sz w:val="24"/>
          <w:szCs w:val="24"/>
          <w:lang w:val="en-GB"/>
        </w:rPr>
        <w:t xml:space="preserve">Transmural healing and MRI healing are associated with lower risk of bowel damage  progression than endoscopic mucosal healing in Crohn’s disease. </w:t>
      </w:r>
      <w:r w:rsidRPr="006123BD">
        <w:rPr>
          <w:rFonts w:ascii="Times New Roman" w:hAnsi="Times New Roman" w:cs="Times New Roman"/>
          <w:i/>
          <w:iCs/>
          <w:noProof/>
          <w:sz w:val="24"/>
          <w:szCs w:val="24"/>
          <w:lang w:val="en-GB"/>
        </w:rPr>
        <w:t>Aliment Pharmacol Ther</w:t>
      </w:r>
      <w:r w:rsidRPr="006123BD">
        <w:rPr>
          <w:rFonts w:ascii="Times New Roman" w:hAnsi="Times New Roman" w:cs="Times New Roman"/>
          <w:noProof/>
          <w:sz w:val="24"/>
          <w:szCs w:val="24"/>
          <w:lang w:val="en-GB"/>
        </w:rPr>
        <w:t xml:space="preserve"> 2021;</w:t>
      </w:r>
      <w:r w:rsidRPr="006123BD">
        <w:rPr>
          <w:rFonts w:ascii="Times New Roman" w:hAnsi="Times New Roman" w:cs="Times New Roman"/>
          <w:b/>
          <w:bCs/>
          <w:noProof/>
          <w:sz w:val="24"/>
          <w:szCs w:val="24"/>
          <w:lang w:val="en-GB"/>
        </w:rPr>
        <w:t>53</w:t>
      </w:r>
      <w:r w:rsidRPr="006123BD">
        <w:rPr>
          <w:rFonts w:ascii="Times New Roman" w:hAnsi="Times New Roman" w:cs="Times New Roman"/>
          <w:noProof/>
          <w:sz w:val="24"/>
          <w:szCs w:val="24"/>
          <w:lang w:val="en-GB"/>
        </w:rPr>
        <w:t>(5):577–86.</w:t>
      </w:r>
    </w:p>
    <w:p w14:paraId="2FE9DF1B"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14.</w:t>
      </w:r>
      <w:r w:rsidRPr="006123BD">
        <w:rPr>
          <w:rFonts w:ascii="Times New Roman" w:hAnsi="Times New Roman" w:cs="Times New Roman"/>
          <w:noProof/>
          <w:sz w:val="24"/>
          <w:szCs w:val="24"/>
          <w:lang w:val="en-GB"/>
        </w:rPr>
        <w:tab/>
        <w:t xml:space="preserve">Fernandes SR, Rodrigues R V, Bernardo S, Cortez-Pinto J, Rosa I, da Silva JP, et al. Transmural Healing Is Associated with Improved Long-term Outcomes of Patients </w:t>
      </w:r>
      <w:r w:rsidRPr="006123BD">
        <w:rPr>
          <w:rFonts w:ascii="Times New Roman" w:hAnsi="Times New Roman" w:cs="Times New Roman"/>
          <w:noProof/>
          <w:sz w:val="24"/>
          <w:szCs w:val="24"/>
          <w:lang w:val="en-GB"/>
        </w:rPr>
        <w:lastRenderedPageBreak/>
        <w:t xml:space="preserve">with  Crohn’s Disease. </w:t>
      </w:r>
      <w:r w:rsidRPr="006123BD">
        <w:rPr>
          <w:rFonts w:ascii="Times New Roman" w:hAnsi="Times New Roman" w:cs="Times New Roman"/>
          <w:i/>
          <w:iCs/>
          <w:noProof/>
          <w:sz w:val="24"/>
          <w:szCs w:val="24"/>
          <w:lang w:val="en-GB"/>
        </w:rPr>
        <w:t>Inflamm Bowel Dis</w:t>
      </w:r>
      <w:r w:rsidRPr="006123BD">
        <w:rPr>
          <w:rFonts w:ascii="Times New Roman" w:hAnsi="Times New Roman" w:cs="Times New Roman"/>
          <w:noProof/>
          <w:sz w:val="24"/>
          <w:szCs w:val="24"/>
          <w:lang w:val="en-GB"/>
        </w:rPr>
        <w:t xml:space="preserve"> 2017;</w:t>
      </w:r>
      <w:r w:rsidRPr="006123BD">
        <w:rPr>
          <w:rFonts w:ascii="Times New Roman" w:hAnsi="Times New Roman" w:cs="Times New Roman"/>
          <w:b/>
          <w:bCs/>
          <w:noProof/>
          <w:sz w:val="24"/>
          <w:szCs w:val="24"/>
          <w:lang w:val="en-GB"/>
        </w:rPr>
        <w:t>23</w:t>
      </w:r>
      <w:r w:rsidRPr="006123BD">
        <w:rPr>
          <w:rFonts w:ascii="Times New Roman" w:hAnsi="Times New Roman" w:cs="Times New Roman"/>
          <w:noProof/>
          <w:sz w:val="24"/>
          <w:szCs w:val="24"/>
          <w:lang w:val="en-GB"/>
        </w:rPr>
        <w:t>(8):1403–9.</w:t>
      </w:r>
    </w:p>
    <w:p w14:paraId="3A20DBE9"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15.</w:t>
      </w:r>
      <w:r w:rsidRPr="006123BD">
        <w:rPr>
          <w:rFonts w:ascii="Times New Roman" w:hAnsi="Times New Roman" w:cs="Times New Roman"/>
          <w:noProof/>
          <w:sz w:val="24"/>
          <w:szCs w:val="24"/>
          <w:lang w:val="en-GB"/>
        </w:rPr>
        <w:tab/>
        <w:t xml:space="preserve">Wilkens R, Novak KL, Maaser C, Panaccione R, Kucharzik T Relevance of monitoring transmural disease activity in patients with Crohn’s  disease: current status and future perspectives. </w:t>
      </w:r>
      <w:r w:rsidRPr="006123BD">
        <w:rPr>
          <w:rFonts w:ascii="Times New Roman" w:hAnsi="Times New Roman" w:cs="Times New Roman"/>
          <w:i/>
          <w:iCs/>
          <w:noProof/>
          <w:sz w:val="24"/>
          <w:szCs w:val="24"/>
          <w:lang w:val="en-GB"/>
        </w:rPr>
        <w:t>Therap Adv Gastroenterol</w:t>
      </w:r>
      <w:r w:rsidRPr="006123BD">
        <w:rPr>
          <w:rFonts w:ascii="Times New Roman" w:hAnsi="Times New Roman" w:cs="Times New Roman"/>
          <w:noProof/>
          <w:sz w:val="24"/>
          <w:szCs w:val="24"/>
          <w:lang w:val="en-GB"/>
        </w:rPr>
        <w:t xml:space="preserve"> 2021;</w:t>
      </w:r>
      <w:r w:rsidRPr="006123BD">
        <w:rPr>
          <w:rFonts w:ascii="Times New Roman" w:hAnsi="Times New Roman" w:cs="Times New Roman"/>
          <w:b/>
          <w:bCs/>
          <w:noProof/>
          <w:sz w:val="24"/>
          <w:szCs w:val="24"/>
          <w:lang w:val="en-GB"/>
        </w:rPr>
        <w:t>14</w:t>
      </w:r>
      <w:r w:rsidRPr="006123BD">
        <w:rPr>
          <w:rFonts w:ascii="Times New Roman" w:hAnsi="Times New Roman" w:cs="Times New Roman"/>
          <w:noProof/>
          <w:sz w:val="24"/>
          <w:szCs w:val="24"/>
          <w:lang w:val="en-GB"/>
        </w:rPr>
        <w:t>:17562848211006672.</w:t>
      </w:r>
    </w:p>
    <w:p w14:paraId="19A14FF7" w14:textId="77777777" w:rsidR="005446D9" w:rsidRPr="005446D9"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rPr>
      </w:pPr>
      <w:r w:rsidRPr="006123BD">
        <w:rPr>
          <w:rFonts w:ascii="Times New Roman" w:hAnsi="Times New Roman" w:cs="Times New Roman"/>
          <w:noProof/>
          <w:sz w:val="24"/>
          <w:szCs w:val="24"/>
          <w:lang w:val="en-GB"/>
        </w:rPr>
        <w:t>16.</w:t>
      </w:r>
      <w:r w:rsidRPr="006123BD">
        <w:rPr>
          <w:rFonts w:ascii="Times New Roman" w:hAnsi="Times New Roman" w:cs="Times New Roman"/>
          <w:noProof/>
          <w:sz w:val="24"/>
          <w:szCs w:val="24"/>
          <w:lang w:val="en-GB"/>
        </w:rPr>
        <w:tab/>
        <w:t xml:space="preserve">Colombel J-F, Panaccione R, Bossuyt P, Lukas M, Baert F, Vaňásek T, et al. Effect of tight control management on Crohn’s disease (CALM): a multicentre,  randomised, controlled phase 3 trial. </w:t>
      </w:r>
      <w:r w:rsidRPr="005446D9">
        <w:rPr>
          <w:rFonts w:ascii="Times New Roman" w:hAnsi="Times New Roman" w:cs="Times New Roman"/>
          <w:i/>
          <w:iCs/>
          <w:noProof/>
          <w:sz w:val="24"/>
          <w:szCs w:val="24"/>
        </w:rPr>
        <w:t>Lancet (London, England)</w:t>
      </w:r>
      <w:r w:rsidRPr="005446D9">
        <w:rPr>
          <w:rFonts w:ascii="Times New Roman" w:hAnsi="Times New Roman" w:cs="Times New Roman"/>
          <w:noProof/>
          <w:sz w:val="24"/>
          <w:szCs w:val="24"/>
        </w:rPr>
        <w:t xml:space="preserve"> 2017;</w:t>
      </w:r>
      <w:r w:rsidRPr="005446D9">
        <w:rPr>
          <w:rFonts w:ascii="Times New Roman" w:hAnsi="Times New Roman" w:cs="Times New Roman"/>
          <w:b/>
          <w:bCs/>
          <w:noProof/>
          <w:sz w:val="24"/>
          <w:szCs w:val="24"/>
        </w:rPr>
        <w:t>390</w:t>
      </w:r>
      <w:r w:rsidRPr="005446D9">
        <w:rPr>
          <w:rFonts w:ascii="Times New Roman" w:hAnsi="Times New Roman" w:cs="Times New Roman"/>
          <w:noProof/>
          <w:sz w:val="24"/>
          <w:szCs w:val="24"/>
        </w:rPr>
        <w:t>(10114):2779–89.</w:t>
      </w:r>
    </w:p>
    <w:p w14:paraId="5C8573CC"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5446D9">
        <w:rPr>
          <w:rFonts w:ascii="Times New Roman" w:hAnsi="Times New Roman" w:cs="Times New Roman"/>
          <w:noProof/>
          <w:sz w:val="24"/>
          <w:szCs w:val="24"/>
        </w:rPr>
        <w:t>17.</w:t>
      </w:r>
      <w:r w:rsidRPr="005446D9">
        <w:rPr>
          <w:rFonts w:ascii="Times New Roman" w:hAnsi="Times New Roman" w:cs="Times New Roman"/>
          <w:noProof/>
          <w:sz w:val="24"/>
          <w:szCs w:val="24"/>
        </w:rPr>
        <w:tab/>
        <w:t xml:space="preserve">D’Haens G, Kelly O, Battat R, Silverberg MS, Laharie D, Louis E, et al. </w:t>
      </w:r>
      <w:r w:rsidRPr="006123BD">
        <w:rPr>
          <w:rFonts w:ascii="Times New Roman" w:hAnsi="Times New Roman" w:cs="Times New Roman"/>
          <w:noProof/>
          <w:sz w:val="24"/>
          <w:szCs w:val="24"/>
          <w:lang w:val="en-GB"/>
        </w:rPr>
        <w:t xml:space="preserve">Development and Validation of a Test to Monitor Endoscopic Activity in Patients  With Crohn’s Disease Based on Serum Levels of Proteins. </w:t>
      </w:r>
      <w:r w:rsidRPr="006123BD">
        <w:rPr>
          <w:rFonts w:ascii="Times New Roman" w:hAnsi="Times New Roman" w:cs="Times New Roman"/>
          <w:i/>
          <w:iCs/>
          <w:noProof/>
          <w:sz w:val="24"/>
          <w:szCs w:val="24"/>
          <w:lang w:val="en-GB"/>
        </w:rPr>
        <w:t>Gastroenterology</w:t>
      </w:r>
      <w:r w:rsidRPr="006123BD">
        <w:rPr>
          <w:rFonts w:ascii="Times New Roman" w:hAnsi="Times New Roman" w:cs="Times New Roman"/>
          <w:noProof/>
          <w:sz w:val="24"/>
          <w:szCs w:val="24"/>
          <w:lang w:val="en-GB"/>
        </w:rPr>
        <w:t xml:space="preserve"> 2020;</w:t>
      </w:r>
      <w:r w:rsidRPr="006123BD">
        <w:rPr>
          <w:rFonts w:ascii="Times New Roman" w:hAnsi="Times New Roman" w:cs="Times New Roman"/>
          <w:b/>
          <w:bCs/>
          <w:noProof/>
          <w:sz w:val="24"/>
          <w:szCs w:val="24"/>
          <w:lang w:val="en-GB"/>
        </w:rPr>
        <w:t>158</w:t>
      </w:r>
      <w:r w:rsidRPr="006123BD">
        <w:rPr>
          <w:rFonts w:ascii="Times New Roman" w:hAnsi="Times New Roman" w:cs="Times New Roman"/>
          <w:noProof/>
          <w:sz w:val="24"/>
          <w:szCs w:val="24"/>
          <w:lang w:val="en-GB"/>
        </w:rPr>
        <w:t>(3):515-526.e10.</w:t>
      </w:r>
    </w:p>
    <w:p w14:paraId="06B83460"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18.</w:t>
      </w:r>
      <w:r w:rsidRPr="006123BD">
        <w:rPr>
          <w:rFonts w:ascii="Times New Roman" w:hAnsi="Times New Roman" w:cs="Times New Roman"/>
          <w:noProof/>
          <w:sz w:val="24"/>
          <w:szCs w:val="24"/>
          <w:lang w:val="en-GB"/>
        </w:rPr>
        <w:tab/>
        <w:t xml:space="preserve">Argmann C, Hou R, Ungaro RC, Irizar H, Al-Taie Z, Huang R, et al. Biopsy and blood-based molecular biomarker of inflammation in IBD. </w:t>
      </w:r>
      <w:r w:rsidRPr="006123BD">
        <w:rPr>
          <w:rFonts w:ascii="Times New Roman" w:hAnsi="Times New Roman" w:cs="Times New Roman"/>
          <w:i/>
          <w:iCs/>
          <w:noProof/>
          <w:sz w:val="24"/>
          <w:szCs w:val="24"/>
          <w:lang w:val="en-GB"/>
        </w:rPr>
        <w:t>Gut</w:t>
      </w:r>
      <w:r w:rsidRPr="006123BD">
        <w:rPr>
          <w:rFonts w:ascii="Times New Roman" w:hAnsi="Times New Roman" w:cs="Times New Roman"/>
          <w:noProof/>
          <w:sz w:val="24"/>
          <w:szCs w:val="24"/>
          <w:lang w:val="en-GB"/>
        </w:rPr>
        <w:t xml:space="preserve"> 2022.</w:t>
      </w:r>
    </w:p>
    <w:p w14:paraId="63BE037D"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19.</w:t>
      </w:r>
      <w:r w:rsidRPr="006123BD">
        <w:rPr>
          <w:rFonts w:ascii="Times New Roman" w:hAnsi="Times New Roman" w:cs="Times New Roman"/>
          <w:noProof/>
          <w:sz w:val="24"/>
          <w:szCs w:val="24"/>
          <w:lang w:val="en-GB"/>
        </w:rPr>
        <w:tab/>
        <w:t xml:space="preserve">Brand EC, Elias SG, Minderhoud IM, van der Veen JJ, Baert FJ, Laharie D, et al. Systematic Review and External Validation of Prediction Models Based on Symptoms and  Biomarkers for Identifying Endoscopic Activity in Crohn’s Disease. </w:t>
      </w:r>
      <w:r w:rsidRPr="006123BD">
        <w:rPr>
          <w:rFonts w:ascii="Times New Roman" w:hAnsi="Times New Roman" w:cs="Times New Roman"/>
          <w:i/>
          <w:iCs/>
          <w:noProof/>
          <w:sz w:val="24"/>
          <w:szCs w:val="24"/>
          <w:lang w:val="en-GB"/>
        </w:rPr>
        <w:t>Clin Gastroenterol Hepatol  Off Clin Pract J  Am Gastroenterol Assoc</w:t>
      </w:r>
      <w:r w:rsidRPr="006123BD">
        <w:rPr>
          <w:rFonts w:ascii="Times New Roman" w:hAnsi="Times New Roman" w:cs="Times New Roman"/>
          <w:noProof/>
          <w:sz w:val="24"/>
          <w:szCs w:val="24"/>
          <w:lang w:val="en-GB"/>
        </w:rPr>
        <w:t xml:space="preserve"> 2020;</w:t>
      </w:r>
      <w:r w:rsidRPr="006123BD">
        <w:rPr>
          <w:rFonts w:ascii="Times New Roman" w:hAnsi="Times New Roman" w:cs="Times New Roman"/>
          <w:b/>
          <w:bCs/>
          <w:noProof/>
          <w:sz w:val="24"/>
          <w:szCs w:val="24"/>
          <w:lang w:val="en-GB"/>
        </w:rPr>
        <w:t>18</w:t>
      </w:r>
      <w:r w:rsidRPr="006123BD">
        <w:rPr>
          <w:rFonts w:ascii="Times New Roman" w:hAnsi="Times New Roman" w:cs="Times New Roman"/>
          <w:noProof/>
          <w:sz w:val="24"/>
          <w:szCs w:val="24"/>
          <w:lang w:val="en-GB"/>
        </w:rPr>
        <w:t>(8):1704–18.</w:t>
      </w:r>
    </w:p>
    <w:p w14:paraId="0B98D098" w14:textId="77777777" w:rsidR="005446D9" w:rsidRPr="005446D9"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rPr>
      </w:pPr>
      <w:r w:rsidRPr="006123BD">
        <w:rPr>
          <w:rFonts w:ascii="Times New Roman" w:hAnsi="Times New Roman" w:cs="Times New Roman"/>
          <w:noProof/>
          <w:sz w:val="24"/>
          <w:szCs w:val="24"/>
          <w:lang w:val="en-GB"/>
        </w:rPr>
        <w:t>20.</w:t>
      </w:r>
      <w:r w:rsidRPr="006123BD">
        <w:rPr>
          <w:rFonts w:ascii="Times New Roman" w:hAnsi="Times New Roman" w:cs="Times New Roman"/>
          <w:noProof/>
          <w:sz w:val="24"/>
          <w:szCs w:val="24"/>
          <w:lang w:val="en-GB"/>
        </w:rPr>
        <w:tab/>
        <w:t xml:space="preserve">Vande Casteele N, Feagan BG, Vermeire S, Yassine M, Coarse J, Kosutic G, et al. Exposure-response relationship of certolizumab pegol induction and maintenance  therapy in patients with Crohn’s disease. </w:t>
      </w:r>
      <w:r w:rsidRPr="005446D9">
        <w:rPr>
          <w:rFonts w:ascii="Times New Roman" w:hAnsi="Times New Roman" w:cs="Times New Roman"/>
          <w:i/>
          <w:iCs/>
          <w:noProof/>
          <w:sz w:val="24"/>
          <w:szCs w:val="24"/>
        </w:rPr>
        <w:t>Aliment Pharmacol Ther</w:t>
      </w:r>
      <w:r w:rsidRPr="005446D9">
        <w:rPr>
          <w:rFonts w:ascii="Times New Roman" w:hAnsi="Times New Roman" w:cs="Times New Roman"/>
          <w:noProof/>
          <w:sz w:val="24"/>
          <w:szCs w:val="24"/>
        </w:rPr>
        <w:t xml:space="preserve"> 2018;</w:t>
      </w:r>
      <w:r w:rsidRPr="005446D9">
        <w:rPr>
          <w:rFonts w:ascii="Times New Roman" w:hAnsi="Times New Roman" w:cs="Times New Roman"/>
          <w:b/>
          <w:bCs/>
          <w:noProof/>
          <w:sz w:val="24"/>
          <w:szCs w:val="24"/>
        </w:rPr>
        <w:t>47</w:t>
      </w:r>
      <w:r w:rsidRPr="005446D9">
        <w:rPr>
          <w:rFonts w:ascii="Times New Roman" w:hAnsi="Times New Roman" w:cs="Times New Roman"/>
          <w:noProof/>
          <w:sz w:val="24"/>
          <w:szCs w:val="24"/>
        </w:rPr>
        <w:t>(2):229–37.</w:t>
      </w:r>
    </w:p>
    <w:p w14:paraId="00870634"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5446D9">
        <w:rPr>
          <w:rFonts w:ascii="Times New Roman" w:hAnsi="Times New Roman" w:cs="Times New Roman"/>
          <w:noProof/>
          <w:sz w:val="24"/>
          <w:szCs w:val="24"/>
        </w:rPr>
        <w:t>21.</w:t>
      </w:r>
      <w:r w:rsidRPr="005446D9">
        <w:rPr>
          <w:rFonts w:ascii="Times New Roman" w:hAnsi="Times New Roman" w:cs="Times New Roman"/>
          <w:noProof/>
          <w:sz w:val="24"/>
          <w:szCs w:val="24"/>
        </w:rPr>
        <w:tab/>
        <w:t xml:space="preserve">Teresa VD, Rául OM, Marisa I, Claudia H de G, Esteban F-V, Luigi M, et al. </w:t>
      </w:r>
      <w:r w:rsidRPr="006123BD">
        <w:rPr>
          <w:rFonts w:ascii="Times New Roman" w:hAnsi="Times New Roman" w:cs="Times New Roman"/>
          <w:noProof/>
          <w:sz w:val="24"/>
          <w:szCs w:val="24"/>
          <w:lang w:val="en-GB"/>
        </w:rPr>
        <w:t xml:space="preserve">Effectiveness and safety of ustekinumab in bio-naïve Crohn’s disease patients: a  multicentre observational retrospective study. </w:t>
      </w:r>
      <w:r w:rsidRPr="006123BD">
        <w:rPr>
          <w:rFonts w:ascii="Times New Roman" w:hAnsi="Times New Roman" w:cs="Times New Roman"/>
          <w:i/>
          <w:iCs/>
          <w:noProof/>
          <w:sz w:val="24"/>
          <w:szCs w:val="24"/>
          <w:lang w:val="en-GB"/>
        </w:rPr>
        <w:t>Therap Adv Gastroenterol</w:t>
      </w:r>
      <w:r w:rsidRPr="006123BD">
        <w:rPr>
          <w:rFonts w:ascii="Times New Roman" w:hAnsi="Times New Roman" w:cs="Times New Roman"/>
          <w:noProof/>
          <w:sz w:val="24"/>
          <w:szCs w:val="24"/>
          <w:lang w:val="en-GB"/>
        </w:rPr>
        <w:t xml:space="preserve"> </w:t>
      </w:r>
      <w:r w:rsidRPr="006123BD">
        <w:rPr>
          <w:rFonts w:ascii="Times New Roman" w:hAnsi="Times New Roman" w:cs="Times New Roman"/>
          <w:noProof/>
          <w:sz w:val="24"/>
          <w:szCs w:val="24"/>
          <w:lang w:val="en-GB"/>
        </w:rPr>
        <w:lastRenderedPageBreak/>
        <w:t>2023;</w:t>
      </w:r>
      <w:r w:rsidRPr="006123BD">
        <w:rPr>
          <w:rFonts w:ascii="Times New Roman" w:hAnsi="Times New Roman" w:cs="Times New Roman"/>
          <w:b/>
          <w:bCs/>
          <w:noProof/>
          <w:sz w:val="24"/>
          <w:szCs w:val="24"/>
          <w:lang w:val="en-GB"/>
        </w:rPr>
        <w:t>16</w:t>
      </w:r>
      <w:r w:rsidRPr="006123BD">
        <w:rPr>
          <w:rFonts w:ascii="Times New Roman" w:hAnsi="Times New Roman" w:cs="Times New Roman"/>
          <w:noProof/>
          <w:sz w:val="24"/>
          <w:szCs w:val="24"/>
          <w:lang w:val="en-GB"/>
        </w:rPr>
        <w:t>:17562848231153560.</w:t>
      </w:r>
    </w:p>
    <w:p w14:paraId="5705A818" w14:textId="77777777" w:rsidR="005446D9" w:rsidRPr="005446D9"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rPr>
      </w:pPr>
      <w:r w:rsidRPr="006123BD">
        <w:rPr>
          <w:rFonts w:ascii="Times New Roman" w:hAnsi="Times New Roman" w:cs="Times New Roman"/>
          <w:noProof/>
          <w:sz w:val="24"/>
          <w:szCs w:val="24"/>
          <w:lang w:val="en-GB"/>
        </w:rPr>
        <w:t>22.</w:t>
      </w:r>
      <w:r w:rsidRPr="006123BD">
        <w:rPr>
          <w:rFonts w:ascii="Times New Roman" w:hAnsi="Times New Roman" w:cs="Times New Roman"/>
          <w:noProof/>
          <w:sz w:val="24"/>
          <w:szCs w:val="24"/>
          <w:lang w:val="en-GB"/>
        </w:rPr>
        <w:tab/>
        <w:t xml:space="preserve">Bek S, Nielsen J V, Bojesen AB, Franke A, Bank S, Vogel U, et al. Systematic review: genetic biomarkers associated with anti-TNF treatment response  in inflammatory bowel diseases. </w:t>
      </w:r>
      <w:r w:rsidRPr="005446D9">
        <w:rPr>
          <w:rFonts w:ascii="Times New Roman" w:hAnsi="Times New Roman" w:cs="Times New Roman"/>
          <w:i/>
          <w:iCs/>
          <w:noProof/>
          <w:sz w:val="24"/>
          <w:szCs w:val="24"/>
        </w:rPr>
        <w:t>Aliment Pharmacol Ther</w:t>
      </w:r>
      <w:r w:rsidRPr="005446D9">
        <w:rPr>
          <w:rFonts w:ascii="Times New Roman" w:hAnsi="Times New Roman" w:cs="Times New Roman"/>
          <w:noProof/>
          <w:sz w:val="24"/>
          <w:szCs w:val="24"/>
        </w:rPr>
        <w:t xml:space="preserve"> 2016;</w:t>
      </w:r>
      <w:r w:rsidRPr="005446D9">
        <w:rPr>
          <w:rFonts w:ascii="Times New Roman" w:hAnsi="Times New Roman" w:cs="Times New Roman"/>
          <w:b/>
          <w:bCs/>
          <w:noProof/>
          <w:sz w:val="24"/>
          <w:szCs w:val="24"/>
        </w:rPr>
        <w:t>44</w:t>
      </w:r>
      <w:r w:rsidRPr="005446D9">
        <w:rPr>
          <w:rFonts w:ascii="Times New Roman" w:hAnsi="Times New Roman" w:cs="Times New Roman"/>
          <w:noProof/>
          <w:sz w:val="24"/>
          <w:szCs w:val="24"/>
        </w:rPr>
        <w:t>(6):554–67.</w:t>
      </w:r>
    </w:p>
    <w:p w14:paraId="0F0E8B32" w14:textId="77777777" w:rsidR="005446D9" w:rsidRPr="005446D9"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rPr>
      </w:pPr>
      <w:r w:rsidRPr="005446D9">
        <w:rPr>
          <w:rFonts w:ascii="Times New Roman" w:hAnsi="Times New Roman" w:cs="Times New Roman"/>
          <w:noProof/>
          <w:sz w:val="24"/>
          <w:szCs w:val="24"/>
        </w:rPr>
        <w:t>23.</w:t>
      </w:r>
      <w:r w:rsidRPr="005446D9">
        <w:rPr>
          <w:rFonts w:ascii="Times New Roman" w:hAnsi="Times New Roman" w:cs="Times New Roman"/>
          <w:noProof/>
          <w:sz w:val="24"/>
          <w:szCs w:val="24"/>
        </w:rPr>
        <w:tab/>
        <w:t xml:space="preserve">Baumgart DC, Sandborn WJ Crohn’s disease. </w:t>
      </w:r>
      <w:r w:rsidRPr="005446D9">
        <w:rPr>
          <w:rFonts w:ascii="Times New Roman" w:hAnsi="Times New Roman" w:cs="Times New Roman"/>
          <w:i/>
          <w:iCs/>
          <w:noProof/>
          <w:sz w:val="24"/>
          <w:szCs w:val="24"/>
        </w:rPr>
        <w:t>Lancet (London, England)</w:t>
      </w:r>
      <w:r w:rsidRPr="005446D9">
        <w:rPr>
          <w:rFonts w:ascii="Times New Roman" w:hAnsi="Times New Roman" w:cs="Times New Roman"/>
          <w:noProof/>
          <w:sz w:val="24"/>
          <w:szCs w:val="24"/>
        </w:rPr>
        <w:t xml:space="preserve"> 2012;</w:t>
      </w:r>
      <w:r w:rsidRPr="005446D9">
        <w:rPr>
          <w:rFonts w:ascii="Times New Roman" w:hAnsi="Times New Roman" w:cs="Times New Roman"/>
          <w:b/>
          <w:bCs/>
          <w:noProof/>
          <w:sz w:val="24"/>
          <w:szCs w:val="24"/>
        </w:rPr>
        <w:t>380</w:t>
      </w:r>
      <w:r w:rsidRPr="005446D9">
        <w:rPr>
          <w:rFonts w:ascii="Times New Roman" w:hAnsi="Times New Roman" w:cs="Times New Roman"/>
          <w:noProof/>
          <w:sz w:val="24"/>
          <w:szCs w:val="24"/>
        </w:rPr>
        <w:t>(9853):1590–605.</w:t>
      </w:r>
    </w:p>
    <w:p w14:paraId="3BFEC060" w14:textId="77777777" w:rsidR="005446D9" w:rsidRPr="005446D9"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rPr>
      </w:pPr>
      <w:r w:rsidRPr="005446D9">
        <w:rPr>
          <w:rFonts w:ascii="Times New Roman" w:hAnsi="Times New Roman" w:cs="Times New Roman"/>
          <w:noProof/>
          <w:sz w:val="24"/>
          <w:szCs w:val="24"/>
        </w:rPr>
        <w:t>24.</w:t>
      </w:r>
      <w:r w:rsidRPr="005446D9">
        <w:rPr>
          <w:rFonts w:ascii="Times New Roman" w:hAnsi="Times New Roman" w:cs="Times New Roman"/>
          <w:noProof/>
          <w:sz w:val="24"/>
          <w:szCs w:val="24"/>
        </w:rPr>
        <w:tab/>
        <w:t xml:space="preserve">Louis E, Mary J, Vernier–Massouille G, Grimaud J, Bouhnik Y, Laharie D, et al. </w:t>
      </w:r>
      <w:r w:rsidRPr="006123BD">
        <w:rPr>
          <w:rFonts w:ascii="Times New Roman" w:hAnsi="Times New Roman" w:cs="Times New Roman"/>
          <w:noProof/>
          <w:sz w:val="24"/>
          <w:szCs w:val="24"/>
          <w:lang w:val="en-GB"/>
        </w:rPr>
        <w:t xml:space="preserve">Maintenance of Remission Among Patients With Crohn’s Disease on Antimetabolite Therapy After Infliximab Therapy Is Stopped. </w:t>
      </w:r>
      <w:r w:rsidRPr="005446D9">
        <w:rPr>
          <w:rFonts w:ascii="Times New Roman" w:hAnsi="Times New Roman" w:cs="Times New Roman"/>
          <w:i/>
          <w:iCs/>
          <w:noProof/>
          <w:sz w:val="24"/>
          <w:szCs w:val="24"/>
        </w:rPr>
        <w:t>Gastroenterology</w:t>
      </w:r>
      <w:r w:rsidRPr="005446D9">
        <w:rPr>
          <w:rFonts w:ascii="Times New Roman" w:hAnsi="Times New Roman" w:cs="Times New Roman"/>
          <w:noProof/>
          <w:sz w:val="24"/>
          <w:szCs w:val="24"/>
        </w:rPr>
        <w:t xml:space="preserve"> 2012;</w:t>
      </w:r>
      <w:r w:rsidRPr="005446D9">
        <w:rPr>
          <w:rFonts w:ascii="Times New Roman" w:hAnsi="Times New Roman" w:cs="Times New Roman"/>
          <w:b/>
          <w:bCs/>
          <w:noProof/>
          <w:sz w:val="24"/>
          <w:szCs w:val="24"/>
        </w:rPr>
        <w:t>142</w:t>
      </w:r>
      <w:r w:rsidRPr="005446D9">
        <w:rPr>
          <w:rFonts w:ascii="Times New Roman" w:hAnsi="Times New Roman" w:cs="Times New Roman"/>
          <w:noProof/>
          <w:sz w:val="24"/>
          <w:szCs w:val="24"/>
        </w:rPr>
        <w:t>(1):63-70.e5.</w:t>
      </w:r>
    </w:p>
    <w:p w14:paraId="3726FA18" w14:textId="77777777" w:rsidR="005446D9" w:rsidRPr="005446D9"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rPr>
      </w:pPr>
      <w:r w:rsidRPr="005446D9">
        <w:rPr>
          <w:rFonts w:ascii="Times New Roman" w:hAnsi="Times New Roman" w:cs="Times New Roman"/>
          <w:noProof/>
          <w:sz w:val="24"/>
          <w:szCs w:val="24"/>
        </w:rPr>
        <w:t>25.</w:t>
      </w:r>
      <w:r w:rsidRPr="005446D9">
        <w:rPr>
          <w:rFonts w:ascii="Times New Roman" w:hAnsi="Times New Roman" w:cs="Times New Roman"/>
          <w:noProof/>
          <w:sz w:val="24"/>
          <w:szCs w:val="24"/>
        </w:rPr>
        <w:tab/>
        <w:t xml:space="preserve">Pierre N, Baiwir D, Huynh-Thu VA, Mazzucchelli G, Smargiasso N, De Pauw E, et al. </w:t>
      </w:r>
      <w:r w:rsidRPr="006123BD">
        <w:rPr>
          <w:rFonts w:ascii="Times New Roman" w:hAnsi="Times New Roman" w:cs="Times New Roman"/>
          <w:noProof/>
          <w:sz w:val="24"/>
          <w:szCs w:val="24"/>
          <w:lang w:val="en-GB"/>
        </w:rPr>
        <w:t xml:space="preserve">Discovery of biomarker candidates associated with the risk of short-term and mid/long-term relapse after infliximab withdrawal in Crohn’s patients: a proteomics-based study. </w:t>
      </w:r>
      <w:r w:rsidRPr="005446D9">
        <w:rPr>
          <w:rFonts w:ascii="Times New Roman" w:hAnsi="Times New Roman" w:cs="Times New Roman"/>
          <w:i/>
          <w:iCs/>
          <w:noProof/>
          <w:sz w:val="24"/>
          <w:szCs w:val="24"/>
        </w:rPr>
        <w:t>Gut</w:t>
      </w:r>
      <w:r w:rsidRPr="005446D9">
        <w:rPr>
          <w:rFonts w:ascii="Times New Roman" w:hAnsi="Times New Roman" w:cs="Times New Roman"/>
          <w:noProof/>
          <w:sz w:val="24"/>
          <w:szCs w:val="24"/>
        </w:rPr>
        <w:t xml:space="preserve"> 2021;</w:t>
      </w:r>
      <w:r w:rsidRPr="005446D9">
        <w:rPr>
          <w:rFonts w:ascii="Times New Roman" w:hAnsi="Times New Roman" w:cs="Times New Roman"/>
          <w:b/>
          <w:bCs/>
          <w:noProof/>
          <w:sz w:val="24"/>
          <w:szCs w:val="24"/>
        </w:rPr>
        <w:t>70</w:t>
      </w:r>
      <w:r w:rsidRPr="005446D9">
        <w:rPr>
          <w:rFonts w:ascii="Times New Roman" w:hAnsi="Times New Roman" w:cs="Times New Roman"/>
          <w:noProof/>
          <w:sz w:val="24"/>
          <w:szCs w:val="24"/>
        </w:rPr>
        <w:t>(8):1450 LP – 1457.</w:t>
      </w:r>
    </w:p>
    <w:p w14:paraId="6D552EAD" w14:textId="77777777" w:rsidR="005446D9" w:rsidRPr="005446D9"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rPr>
      </w:pPr>
      <w:r w:rsidRPr="005446D9">
        <w:rPr>
          <w:rFonts w:ascii="Times New Roman" w:hAnsi="Times New Roman" w:cs="Times New Roman"/>
          <w:noProof/>
          <w:sz w:val="24"/>
          <w:szCs w:val="24"/>
        </w:rPr>
        <w:t>26.</w:t>
      </w:r>
      <w:r w:rsidRPr="005446D9">
        <w:rPr>
          <w:rFonts w:ascii="Times New Roman" w:hAnsi="Times New Roman" w:cs="Times New Roman"/>
          <w:noProof/>
          <w:sz w:val="24"/>
          <w:szCs w:val="24"/>
        </w:rPr>
        <w:tab/>
        <w:t xml:space="preserve">Pierre N, Huynh-Thu VA, Marichal T, Allez M, Bouhnik Y, Laharie D, et al. </w:t>
      </w:r>
      <w:r w:rsidRPr="006123BD">
        <w:rPr>
          <w:rFonts w:ascii="Times New Roman" w:hAnsi="Times New Roman" w:cs="Times New Roman"/>
          <w:noProof/>
          <w:sz w:val="24"/>
          <w:szCs w:val="24"/>
          <w:lang w:val="en-GB"/>
        </w:rPr>
        <w:t xml:space="preserve">Distinct blood protein profiles associated with the risk of short-term and  mid/long-term clinical relapse in patients with Crohn’s disease stopping infliximab: when the remission state hides different types of residual disease activity. </w:t>
      </w:r>
      <w:r w:rsidRPr="005446D9">
        <w:rPr>
          <w:rFonts w:ascii="Times New Roman" w:hAnsi="Times New Roman" w:cs="Times New Roman"/>
          <w:i/>
          <w:iCs/>
          <w:noProof/>
          <w:sz w:val="24"/>
          <w:szCs w:val="24"/>
        </w:rPr>
        <w:t>Gut</w:t>
      </w:r>
      <w:r w:rsidRPr="005446D9">
        <w:rPr>
          <w:rFonts w:ascii="Times New Roman" w:hAnsi="Times New Roman" w:cs="Times New Roman"/>
          <w:noProof/>
          <w:sz w:val="24"/>
          <w:szCs w:val="24"/>
        </w:rPr>
        <w:t xml:space="preserve"> 2022.</w:t>
      </w:r>
    </w:p>
    <w:p w14:paraId="77EC9962" w14:textId="77777777" w:rsidR="005446D9" w:rsidRPr="005446D9"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rPr>
      </w:pPr>
      <w:r w:rsidRPr="005446D9">
        <w:rPr>
          <w:rFonts w:ascii="Times New Roman" w:hAnsi="Times New Roman" w:cs="Times New Roman"/>
          <w:noProof/>
          <w:sz w:val="24"/>
          <w:szCs w:val="24"/>
        </w:rPr>
        <w:t>27.</w:t>
      </w:r>
      <w:r w:rsidRPr="005446D9">
        <w:rPr>
          <w:rFonts w:ascii="Times New Roman" w:hAnsi="Times New Roman" w:cs="Times New Roman"/>
          <w:noProof/>
          <w:sz w:val="24"/>
          <w:szCs w:val="24"/>
        </w:rPr>
        <w:tab/>
        <w:t xml:space="preserve">Louis E, Resche-Rigon M, Laharie D, Satsangi J, Ding N, Siegmund B, et al. </w:t>
      </w:r>
      <w:r w:rsidRPr="006123BD">
        <w:rPr>
          <w:rFonts w:ascii="Times New Roman" w:hAnsi="Times New Roman" w:cs="Times New Roman"/>
          <w:noProof/>
          <w:sz w:val="24"/>
          <w:szCs w:val="24"/>
          <w:lang w:val="en-GB"/>
        </w:rPr>
        <w:t xml:space="preserve">Withdrawal of infliximab or concomitant immunosuppressant therapy in patients with Crohn’s disease on combination therapy (SPARE): a multicentre, open-label, randomised controlled trial. </w:t>
      </w:r>
      <w:r w:rsidRPr="005446D9">
        <w:rPr>
          <w:rFonts w:ascii="Times New Roman" w:hAnsi="Times New Roman" w:cs="Times New Roman"/>
          <w:i/>
          <w:iCs/>
          <w:noProof/>
          <w:sz w:val="24"/>
          <w:szCs w:val="24"/>
        </w:rPr>
        <w:t>Lancet Gastroenterol Hepatol</w:t>
      </w:r>
      <w:r w:rsidRPr="005446D9">
        <w:rPr>
          <w:rFonts w:ascii="Times New Roman" w:hAnsi="Times New Roman" w:cs="Times New Roman"/>
          <w:noProof/>
          <w:sz w:val="24"/>
          <w:szCs w:val="24"/>
        </w:rPr>
        <w:t xml:space="preserve"> 2023.</w:t>
      </w:r>
    </w:p>
    <w:p w14:paraId="4AC52C3A"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5446D9">
        <w:rPr>
          <w:rFonts w:ascii="Times New Roman" w:hAnsi="Times New Roman" w:cs="Times New Roman"/>
          <w:noProof/>
          <w:sz w:val="24"/>
          <w:szCs w:val="24"/>
        </w:rPr>
        <w:t>28.</w:t>
      </w:r>
      <w:r w:rsidRPr="005446D9">
        <w:rPr>
          <w:rFonts w:ascii="Times New Roman" w:hAnsi="Times New Roman" w:cs="Times New Roman"/>
          <w:noProof/>
          <w:sz w:val="24"/>
          <w:szCs w:val="24"/>
        </w:rPr>
        <w:tab/>
        <w:t xml:space="preserve">Pierre N, Huynh-Thu VA, Baiwir D, Mazzucchelli G, Fléron M, Trzpiot L, et al. </w:t>
      </w:r>
      <w:r w:rsidRPr="006123BD">
        <w:rPr>
          <w:rFonts w:ascii="Times New Roman" w:hAnsi="Times New Roman" w:cs="Times New Roman"/>
          <w:noProof/>
          <w:sz w:val="24"/>
          <w:szCs w:val="24"/>
          <w:lang w:val="en-GB"/>
        </w:rPr>
        <w:t>OP02 Distinct biological profiles associated with the risk of short-term relapse and mid/long-</w:t>
      </w:r>
      <w:r w:rsidRPr="006123BD">
        <w:rPr>
          <w:rFonts w:ascii="Times New Roman" w:hAnsi="Times New Roman" w:cs="Times New Roman"/>
          <w:noProof/>
          <w:sz w:val="24"/>
          <w:szCs w:val="24"/>
          <w:lang w:val="en-GB"/>
        </w:rPr>
        <w:lastRenderedPageBreak/>
        <w:t xml:space="preserve">term relapse in Crohn’s disease patients stopping infliximab. </w:t>
      </w:r>
      <w:r w:rsidRPr="006123BD">
        <w:rPr>
          <w:rFonts w:ascii="Times New Roman" w:hAnsi="Times New Roman" w:cs="Times New Roman"/>
          <w:i/>
          <w:iCs/>
          <w:noProof/>
          <w:sz w:val="24"/>
          <w:szCs w:val="24"/>
          <w:lang w:val="en-GB"/>
        </w:rPr>
        <w:t>J Crohn’s Colitis</w:t>
      </w:r>
      <w:r w:rsidRPr="006123BD">
        <w:rPr>
          <w:rFonts w:ascii="Times New Roman" w:hAnsi="Times New Roman" w:cs="Times New Roman"/>
          <w:noProof/>
          <w:sz w:val="24"/>
          <w:szCs w:val="24"/>
          <w:lang w:val="en-GB"/>
        </w:rPr>
        <w:t xml:space="preserve"> 2023;</w:t>
      </w:r>
      <w:r w:rsidRPr="006123BD">
        <w:rPr>
          <w:rFonts w:ascii="Times New Roman" w:hAnsi="Times New Roman" w:cs="Times New Roman"/>
          <w:b/>
          <w:bCs/>
          <w:noProof/>
          <w:sz w:val="24"/>
          <w:szCs w:val="24"/>
          <w:lang w:val="en-GB"/>
        </w:rPr>
        <w:t>17</w:t>
      </w:r>
      <w:r w:rsidRPr="006123BD">
        <w:rPr>
          <w:rFonts w:ascii="Times New Roman" w:hAnsi="Times New Roman" w:cs="Times New Roman"/>
          <w:noProof/>
          <w:sz w:val="24"/>
          <w:szCs w:val="24"/>
          <w:lang w:val="en-GB"/>
        </w:rPr>
        <w:t>(Supplement_1):i3–6.</w:t>
      </w:r>
    </w:p>
    <w:p w14:paraId="093E8F01"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29.</w:t>
      </w:r>
      <w:r w:rsidRPr="006123BD">
        <w:rPr>
          <w:rFonts w:ascii="Times New Roman" w:hAnsi="Times New Roman" w:cs="Times New Roman"/>
          <w:noProof/>
          <w:sz w:val="24"/>
          <w:szCs w:val="24"/>
          <w:lang w:val="en-GB"/>
        </w:rPr>
        <w:tab/>
        <w:t xml:space="preserve">Sine B, Casper S, Jørn B, Risager CK, Maria D-R, Østergaard TO, et al. Discontinuation of Infliximab Therapy in Patients with Crohn’s Disease. </w:t>
      </w:r>
      <w:r w:rsidRPr="006123BD">
        <w:rPr>
          <w:rFonts w:ascii="Times New Roman" w:hAnsi="Times New Roman" w:cs="Times New Roman"/>
          <w:i/>
          <w:iCs/>
          <w:noProof/>
          <w:sz w:val="24"/>
          <w:szCs w:val="24"/>
          <w:lang w:val="en-GB"/>
        </w:rPr>
        <w:t>NEJM Evid</w:t>
      </w:r>
      <w:r w:rsidRPr="006123BD">
        <w:rPr>
          <w:rFonts w:ascii="Times New Roman" w:hAnsi="Times New Roman" w:cs="Times New Roman"/>
          <w:noProof/>
          <w:sz w:val="24"/>
          <w:szCs w:val="24"/>
          <w:lang w:val="en-GB"/>
        </w:rPr>
        <w:t xml:space="preserve"> 2022;</w:t>
      </w:r>
      <w:r w:rsidRPr="006123BD">
        <w:rPr>
          <w:rFonts w:ascii="Times New Roman" w:hAnsi="Times New Roman" w:cs="Times New Roman"/>
          <w:b/>
          <w:bCs/>
          <w:noProof/>
          <w:sz w:val="24"/>
          <w:szCs w:val="24"/>
          <w:lang w:val="en-GB"/>
        </w:rPr>
        <w:t>1</w:t>
      </w:r>
      <w:r w:rsidRPr="006123BD">
        <w:rPr>
          <w:rFonts w:ascii="Times New Roman" w:hAnsi="Times New Roman" w:cs="Times New Roman"/>
          <w:noProof/>
          <w:sz w:val="24"/>
          <w:szCs w:val="24"/>
          <w:lang w:val="en-GB"/>
        </w:rPr>
        <w:t>(8):EVIDoa2200061.</w:t>
      </w:r>
    </w:p>
    <w:p w14:paraId="4000DC59"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30.</w:t>
      </w:r>
      <w:r w:rsidRPr="006123BD">
        <w:rPr>
          <w:rFonts w:ascii="Times New Roman" w:hAnsi="Times New Roman" w:cs="Times New Roman"/>
          <w:noProof/>
          <w:sz w:val="24"/>
          <w:szCs w:val="24"/>
          <w:lang w:val="en-GB"/>
        </w:rPr>
        <w:tab/>
        <w:t xml:space="preserve">Chapman TP, Gomes CF, Louis E, Colombel J-F, Satsangi J De-escalation of immunomodulator and biological therapy in inflammatory bowel disease. </w:t>
      </w:r>
      <w:r w:rsidRPr="006123BD">
        <w:rPr>
          <w:rFonts w:ascii="Times New Roman" w:hAnsi="Times New Roman" w:cs="Times New Roman"/>
          <w:i/>
          <w:iCs/>
          <w:noProof/>
          <w:sz w:val="24"/>
          <w:szCs w:val="24"/>
          <w:lang w:val="en-GB"/>
        </w:rPr>
        <w:t>Lancet Gastroenterol Hepatol</w:t>
      </w:r>
      <w:r w:rsidRPr="006123BD">
        <w:rPr>
          <w:rFonts w:ascii="Times New Roman" w:hAnsi="Times New Roman" w:cs="Times New Roman"/>
          <w:noProof/>
          <w:sz w:val="24"/>
          <w:szCs w:val="24"/>
          <w:lang w:val="en-GB"/>
        </w:rPr>
        <w:t xml:space="preserve"> 2020;</w:t>
      </w:r>
      <w:r w:rsidRPr="006123BD">
        <w:rPr>
          <w:rFonts w:ascii="Times New Roman" w:hAnsi="Times New Roman" w:cs="Times New Roman"/>
          <w:b/>
          <w:bCs/>
          <w:noProof/>
          <w:sz w:val="24"/>
          <w:szCs w:val="24"/>
          <w:lang w:val="en-GB"/>
        </w:rPr>
        <w:t>5</w:t>
      </w:r>
      <w:r w:rsidRPr="006123BD">
        <w:rPr>
          <w:rFonts w:ascii="Times New Roman" w:hAnsi="Times New Roman" w:cs="Times New Roman"/>
          <w:noProof/>
          <w:sz w:val="24"/>
          <w:szCs w:val="24"/>
          <w:lang w:val="en-GB"/>
        </w:rPr>
        <w:t>(1):63–79.</w:t>
      </w:r>
    </w:p>
    <w:p w14:paraId="7C122B01"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31.</w:t>
      </w:r>
      <w:r w:rsidRPr="006123BD">
        <w:rPr>
          <w:rFonts w:ascii="Times New Roman" w:hAnsi="Times New Roman" w:cs="Times New Roman"/>
          <w:noProof/>
          <w:sz w:val="24"/>
          <w:szCs w:val="24"/>
          <w:lang w:val="en-GB"/>
        </w:rPr>
        <w:tab/>
        <w:t xml:space="preserve">Liverani E, Scaioli E, Digby RJ, Bellanova M, Belluzzi A How to predict clinical relapse in inflammatory bowel disease patients. </w:t>
      </w:r>
      <w:r w:rsidRPr="006123BD">
        <w:rPr>
          <w:rFonts w:ascii="Times New Roman" w:hAnsi="Times New Roman" w:cs="Times New Roman"/>
          <w:i/>
          <w:iCs/>
          <w:noProof/>
          <w:sz w:val="24"/>
          <w:szCs w:val="24"/>
          <w:lang w:val="en-GB"/>
        </w:rPr>
        <w:t>World J Gastroenterol</w:t>
      </w:r>
      <w:r w:rsidRPr="006123BD">
        <w:rPr>
          <w:rFonts w:ascii="Times New Roman" w:hAnsi="Times New Roman" w:cs="Times New Roman"/>
          <w:noProof/>
          <w:sz w:val="24"/>
          <w:szCs w:val="24"/>
          <w:lang w:val="en-GB"/>
        </w:rPr>
        <w:t xml:space="preserve"> 2016;</w:t>
      </w:r>
      <w:r w:rsidRPr="006123BD">
        <w:rPr>
          <w:rFonts w:ascii="Times New Roman" w:hAnsi="Times New Roman" w:cs="Times New Roman"/>
          <w:b/>
          <w:bCs/>
          <w:noProof/>
          <w:sz w:val="24"/>
          <w:szCs w:val="24"/>
          <w:lang w:val="en-GB"/>
        </w:rPr>
        <w:t>22</w:t>
      </w:r>
      <w:r w:rsidRPr="006123BD">
        <w:rPr>
          <w:rFonts w:ascii="Times New Roman" w:hAnsi="Times New Roman" w:cs="Times New Roman"/>
          <w:noProof/>
          <w:sz w:val="24"/>
          <w:szCs w:val="24"/>
          <w:lang w:val="en-GB"/>
        </w:rPr>
        <w:t>(3):1017–33.</w:t>
      </w:r>
    </w:p>
    <w:p w14:paraId="6008BC0C"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32.</w:t>
      </w:r>
      <w:r w:rsidRPr="006123BD">
        <w:rPr>
          <w:rFonts w:ascii="Times New Roman" w:hAnsi="Times New Roman" w:cs="Times New Roman"/>
          <w:noProof/>
          <w:sz w:val="24"/>
          <w:szCs w:val="24"/>
          <w:lang w:val="en-GB"/>
        </w:rPr>
        <w:tab/>
        <w:t xml:space="preserve">Torres J, Boyapati RK, Kennedy NA, Louis E, Colombel J-F, Satsangi J Systematic Review of Effects of Withdrawal of Immunomodulators or Biologic Agents From Patients With Inflammatory Bowel Disease. </w:t>
      </w:r>
      <w:r w:rsidRPr="006123BD">
        <w:rPr>
          <w:rFonts w:ascii="Times New Roman" w:hAnsi="Times New Roman" w:cs="Times New Roman"/>
          <w:i/>
          <w:iCs/>
          <w:noProof/>
          <w:sz w:val="24"/>
          <w:szCs w:val="24"/>
          <w:lang w:val="en-GB"/>
        </w:rPr>
        <w:t>Gastroenterology</w:t>
      </w:r>
      <w:r w:rsidRPr="006123BD">
        <w:rPr>
          <w:rFonts w:ascii="Times New Roman" w:hAnsi="Times New Roman" w:cs="Times New Roman"/>
          <w:noProof/>
          <w:sz w:val="24"/>
          <w:szCs w:val="24"/>
          <w:lang w:val="en-GB"/>
        </w:rPr>
        <w:t xml:space="preserve"> 2015;</w:t>
      </w:r>
      <w:r w:rsidRPr="006123BD">
        <w:rPr>
          <w:rFonts w:ascii="Times New Roman" w:hAnsi="Times New Roman" w:cs="Times New Roman"/>
          <w:b/>
          <w:bCs/>
          <w:noProof/>
          <w:sz w:val="24"/>
          <w:szCs w:val="24"/>
          <w:lang w:val="en-GB"/>
        </w:rPr>
        <w:t>149</w:t>
      </w:r>
      <w:r w:rsidRPr="006123BD">
        <w:rPr>
          <w:rFonts w:ascii="Times New Roman" w:hAnsi="Times New Roman" w:cs="Times New Roman"/>
          <w:noProof/>
          <w:sz w:val="24"/>
          <w:szCs w:val="24"/>
          <w:lang w:val="en-GB"/>
        </w:rPr>
        <w:t>(7):1716–30.</w:t>
      </w:r>
    </w:p>
    <w:p w14:paraId="4A230DC6" w14:textId="77777777" w:rsidR="005446D9" w:rsidRPr="005446D9"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rPr>
      </w:pPr>
      <w:r w:rsidRPr="006123BD">
        <w:rPr>
          <w:rFonts w:ascii="Times New Roman" w:hAnsi="Times New Roman" w:cs="Times New Roman"/>
          <w:noProof/>
          <w:sz w:val="24"/>
          <w:szCs w:val="24"/>
          <w:lang w:val="en-GB"/>
        </w:rPr>
        <w:t>33.</w:t>
      </w:r>
      <w:r w:rsidRPr="006123BD">
        <w:rPr>
          <w:rFonts w:ascii="Times New Roman" w:hAnsi="Times New Roman" w:cs="Times New Roman"/>
          <w:noProof/>
          <w:sz w:val="24"/>
          <w:szCs w:val="24"/>
          <w:lang w:val="en-GB"/>
        </w:rPr>
        <w:tab/>
        <w:t xml:space="preserve">Leibovitzh H, Lee S-H, Raygoza Garay JA, Espin-Garcia O, Xue M, Neustaeter A, et al. Immune response and barrier dysfunction-related proteomic signatures in  preclinical phase of Crohn’s disease highlight earliest events of pathogenesis. </w:t>
      </w:r>
      <w:r w:rsidRPr="005446D9">
        <w:rPr>
          <w:rFonts w:ascii="Times New Roman" w:hAnsi="Times New Roman" w:cs="Times New Roman"/>
          <w:i/>
          <w:iCs/>
          <w:noProof/>
          <w:sz w:val="24"/>
          <w:szCs w:val="24"/>
        </w:rPr>
        <w:t>Gut</w:t>
      </w:r>
      <w:r w:rsidRPr="005446D9">
        <w:rPr>
          <w:rFonts w:ascii="Times New Roman" w:hAnsi="Times New Roman" w:cs="Times New Roman"/>
          <w:noProof/>
          <w:sz w:val="24"/>
          <w:szCs w:val="24"/>
        </w:rPr>
        <w:t xml:space="preserve"> 2023.</w:t>
      </w:r>
    </w:p>
    <w:p w14:paraId="3DD4309C"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5446D9">
        <w:rPr>
          <w:rFonts w:ascii="Times New Roman" w:hAnsi="Times New Roman" w:cs="Times New Roman"/>
          <w:noProof/>
          <w:sz w:val="24"/>
          <w:szCs w:val="24"/>
        </w:rPr>
        <w:t>34.</w:t>
      </w:r>
      <w:r w:rsidRPr="005446D9">
        <w:rPr>
          <w:rFonts w:ascii="Times New Roman" w:hAnsi="Times New Roman" w:cs="Times New Roman"/>
          <w:noProof/>
          <w:sz w:val="24"/>
          <w:szCs w:val="24"/>
        </w:rPr>
        <w:tab/>
        <w:t xml:space="preserve">Porter CK, Riddle MS, Gutierrez RL, Princen F, Strauss R, Telesco SE, et al. </w:t>
      </w:r>
      <w:r w:rsidRPr="006123BD">
        <w:rPr>
          <w:rFonts w:ascii="Times New Roman" w:hAnsi="Times New Roman" w:cs="Times New Roman"/>
          <w:noProof/>
          <w:sz w:val="24"/>
          <w:szCs w:val="24"/>
          <w:lang w:val="en-GB"/>
        </w:rPr>
        <w:t xml:space="preserve">Cohort profile of the PRoteomic Evaluation and Discovery in an IBD Cohort of  Tri-service Subjects (PREDICTS) study: Rationale, organization, design, and baseline characteristics. </w:t>
      </w:r>
      <w:r w:rsidRPr="006123BD">
        <w:rPr>
          <w:rFonts w:ascii="Times New Roman" w:hAnsi="Times New Roman" w:cs="Times New Roman"/>
          <w:i/>
          <w:iCs/>
          <w:noProof/>
          <w:sz w:val="24"/>
          <w:szCs w:val="24"/>
          <w:lang w:val="en-GB"/>
        </w:rPr>
        <w:t>Contemp Clin Trials Commun</w:t>
      </w:r>
      <w:r w:rsidRPr="006123BD">
        <w:rPr>
          <w:rFonts w:ascii="Times New Roman" w:hAnsi="Times New Roman" w:cs="Times New Roman"/>
          <w:noProof/>
          <w:sz w:val="24"/>
          <w:szCs w:val="24"/>
          <w:lang w:val="en-GB"/>
        </w:rPr>
        <w:t xml:space="preserve"> 2019;</w:t>
      </w:r>
      <w:r w:rsidRPr="006123BD">
        <w:rPr>
          <w:rFonts w:ascii="Times New Roman" w:hAnsi="Times New Roman" w:cs="Times New Roman"/>
          <w:b/>
          <w:bCs/>
          <w:noProof/>
          <w:sz w:val="24"/>
          <w:szCs w:val="24"/>
          <w:lang w:val="en-GB"/>
        </w:rPr>
        <w:t>14</w:t>
      </w:r>
      <w:r w:rsidRPr="006123BD">
        <w:rPr>
          <w:rFonts w:ascii="Times New Roman" w:hAnsi="Times New Roman" w:cs="Times New Roman"/>
          <w:noProof/>
          <w:sz w:val="24"/>
          <w:szCs w:val="24"/>
          <w:lang w:val="en-GB"/>
        </w:rPr>
        <w:t>:100345.</w:t>
      </w:r>
    </w:p>
    <w:p w14:paraId="105995AF"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35.</w:t>
      </w:r>
      <w:r w:rsidRPr="006123BD">
        <w:rPr>
          <w:rFonts w:ascii="Times New Roman" w:hAnsi="Times New Roman" w:cs="Times New Roman"/>
          <w:noProof/>
          <w:sz w:val="24"/>
          <w:szCs w:val="24"/>
          <w:lang w:val="en-GB"/>
        </w:rPr>
        <w:tab/>
        <w:t xml:space="preserve">Rifai N, Gillette MA, Carr SA Protein biomarker discovery and validation: the long </w:t>
      </w:r>
      <w:r w:rsidRPr="006123BD">
        <w:rPr>
          <w:rFonts w:ascii="Times New Roman" w:hAnsi="Times New Roman" w:cs="Times New Roman"/>
          <w:noProof/>
          <w:sz w:val="24"/>
          <w:szCs w:val="24"/>
          <w:lang w:val="en-GB"/>
        </w:rPr>
        <w:lastRenderedPageBreak/>
        <w:t xml:space="preserve">and uncertain path to clinical utility. </w:t>
      </w:r>
      <w:r w:rsidRPr="006123BD">
        <w:rPr>
          <w:rFonts w:ascii="Times New Roman" w:hAnsi="Times New Roman" w:cs="Times New Roman"/>
          <w:i/>
          <w:iCs/>
          <w:noProof/>
          <w:sz w:val="24"/>
          <w:szCs w:val="24"/>
          <w:lang w:val="en-GB"/>
        </w:rPr>
        <w:t>Nat Biotechnol</w:t>
      </w:r>
      <w:r w:rsidRPr="006123BD">
        <w:rPr>
          <w:rFonts w:ascii="Times New Roman" w:hAnsi="Times New Roman" w:cs="Times New Roman"/>
          <w:noProof/>
          <w:sz w:val="24"/>
          <w:szCs w:val="24"/>
          <w:lang w:val="en-GB"/>
        </w:rPr>
        <w:t xml:space="preserve"> 2006;</w:t>
      </w:r>
      <w:r w:rsidRPr="006123BD">
        <w:rPr>
          <w:rFonts w:ascii="Times New Roman" w:hAnsi="Times New Roman" w:cs="Times New Roman"/>
          <w:b/>
          <w:bCs/>
          <w:noProof/>
          <w:sz w:val="24"/>
          <w:szCs w:val="24"/>
          <w:lang w:val="en-GB"/>
        </w:rPr>
        <w:t>24</w:t>
      </w:r>
      <w:r w:rsidRPr="006123BD">
        <w:rPr>
          <w:rFonts w:ascii="Times New Roman" w:hAnsi="Times New Roman" w:cs="Times New Roman"/>
          <w:noProof/>
          <w:sz w:val="24"/>
          <w:szCs w:val="24"/>
          <w:lang w:val="en-GB"/>
        </w:rPr>
        <w:t>(8):971–83.</w:t>
      </w:r>
    </w:p>
    <w:p w14:paraId="57D01937"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36.</w:t>
      </w:r>
      <w:r w:rsidRPr="006123BD">
        <w:rPr>
          <w:rFonts w:ascii="Times New Roman" w:hAnsi="Times New Roman" w:cs="Times New Roman"/>
          <w:noProof/>
          <w:sz w:val="24"/>
          <w:szCs w:val="24"/>
          <w:lang w:val="en-GB"/>
        </w:rPr>
        <w:tab/>
        <w:t xml:space="preserve">Sipponen T, Savilahti E, Kolho KL, Nuutinen H, Turunen U, Färkkilä M Crohn’s disease activity assessed by fecal calprotectin and lactoferrin: Correlation with Crohn’s disease activity index and endoscopic findings. </w:t>
      </w:r>
      <w:r w:rsidRPr="006123BD">
        <w:rPr>
          <w:rFonts w:ascii="Times New Roman" w:hAnsi="Times New Roman" w:cs="Times New Roman"/>
          <w:i/>
          <w:iCs/>
          <w:noProof/>
          <w:sz w:val="24"/>
          <w:szCs w:val="24"/>
          <w:lang w:val="en-GB"/>
        </w:rPr>
        <w:t>Inflamm Bowel Dis</w:t>
      </w:r>
      <w:r w:rsidRPr="006123BD">
        <w:rPr>
          <w:rFonts w:ascii="Times New Roman" w:hAnsi="Times New Roman" w:cs="Times New Roman"/>
          <w:noProof/>
          <w:sz w:val="24"/>
          <w:szCs w:val="24"/>
          <w:lang w:val="en-GB"/>
        </w:rPr>
        <w:t xml:space="preserve"> 2008;</w:t>
      </w:r>
      <w:r w:rsidRPr="006123BD">
        <w:rPr>
          <w:rFonts w:ascii="Times New Roman" w:hAnsi="Times New Roman" w:cs="Times New Roman"/>
          <w:b/>
          <w:bCs/>
          <w:noProof/>
          <w:sz w:val="24"/>
          <w:szCs w:val="24"/>
          <w:lang w:val="en-GB"/>
        </w:rPr>
        <w:t>14</w:t>
      </w:r>
      <w:r w:rsidRPr="006123BD">
        <w:rPr>
          <w:rFonts w:ascii="Times New Roman" w:hAnsi="Times New Roman" w:cs="Times New Roman"/>
          <w:noProof/>
          <w:sz w:val="24"/>
          <w:szCs w:val="24"/>
          <w:lang w:val="en-GB"/>
        </w:rPr>
        <w:t>(1):40–6.</w:t>
      </w:r>
    </w:p>
    <w:p w14:paraId="6564271F"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37.</w:t>
      </w:r>
      <w:r w:rsidRPr="006123BD">
        <w:rPr>
          <w:rFonts w:ascii="Times New Roman" w:hAnsi="Times New Roman" w:cs="Times New Roman"/>
          <w:noProof/>
          <w:sz w:val="24"/>
          <w:szCs w:val="24"/>
          <w:lang w:val="en-GB"/>
        </w:rPr>
        <w:tab/>
        <w:t xml:space="preserve">Sipponen T, Kärkkäinen P, Savilahti E, Kolho K-L, Nuutinen H, Turunen U, et al. Correlation of faecal calprotectin and lactoferrin with an endoscopic score for  Crohn’s disease and histological findings. </w:t>
      </w:r>
      <w:r w:rsidRPr="006123BD">
        <w:rPr>
          <w:rFonts w:ascii="Times New Roman" w:hAnsi="Times New Roman" w:cs="Times New Roman"/>
          <w:i/>
          <w:iCs/>
          <w:noProof/>
          <w:sz w:val="24"/>
          <w:szCs w:val="24"/>
          <w:lang w:val="en-GB"/>
        </w:rPr>
        <w:t>Aliment Pharmacol Ther</w:t>
      </w:r>
      <w:r w:rsidRPr="006123BD">
        <w:rPr>
          <w:rFonts w:ascii="Times New Roman" w:hAnsi="Times New Roman" w:cs="Times New Roman"/>
          <w:noProof/>
          <w:sz w:val="24"/>
          <w:szCs w:val="24"/>
          <w:lang w:val="en-GB"/>
        </w:rPr>
        <w:t xml:space="preserve"> 2008;</w:t>
      </w:r>
      <w:r w:rsidRPr="006123BD">
        <w:rPr>
          <w:rFonts w:ascii="Times New Roman" w:hAnsi="Times New Roman" w:cs="Times New Roman"/>
          <w:b/>
          <w:bCs/>
          <w:noProof/>
          <w:sz w:val="24"/>
          <w:szCs w:val="24"/>
          <w:lang w:val="en-GB"/>
        </w:rPr>
        <w:t>28</w:t>
      </w:r>
      <w:r w:rsidRPr="006123BD">
        <w:rPr>
          <w:rFonts w:ascii="Times New Roman" w:hAnsi="Times New Roman" w:cs="Times New Roman"/>
          <w:noProof/>
          <w:sz w:val="24"/>
          <w:szCs w:val="24"/>
          <w:lang w:val="en-GB"/>
        </w:rPr>
        <w:t>(10):1221–9.</w:t>
      </w:r>
    </w:p>
    <w:p w14:paraId="4E3DCFCA"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38.</w:t>
      </w:r>
      <w:r w:rsidRPr="006123BD">
        <w:rPr>
          <w:rFonts w:ascii="Times New Roman" w:hAnsi="Times New Roman" w:cs="Times New Roman"/>
          <w:noProof/>
          <w:sz w:val="24"/>
          <w:szCs w:val="24"/>
          <w:lang w:val="en-GB"/>
        </w:rPr>
        <w:tab/>
        <w:t xml:space="preserve">Stawczyk-Eder K, Eder P, Lykowska-Szuber L, Krela-Kazmierczak I, Klimczak K, Szymczak A, et al. Is faecal calprotectin equally useful in all Crohn’s disease locations? A  prospective, comparative study. </w:t>
      </w:r>
      <w:r w:rsidRPr="006123BD">
        <w:rPr>
          <w:rFonts w:ascii="Times New Roman" w:hAnsi="Times New Roman" w:cs="Times New Roman"/>
          <w:i/>
          <w:iCs/>
          <w:noProof/>
          <w:sz w:val="24"/>
          <w:szCs w:val="24"/>
          <w:lang w:val="en-GB"/>
        </w:rPr>
        <w:t>Arch Med Sci</w:t>
      </w:r>
      <w:r w:rsidRPr="006123BD">
        <w:rPr>
          <w:rFonts w:ascii="Times New Roman" w:hAnsi="Times New Roman" w:cs="Times New Roman"/>
          <w:noProof/>
          <w:sz w:val="24"/>
          <w:szCs w:val="24"/>
          <w:lang w:val="en-GB"/>
        </w:rPr>
        <w:t xml:space="preserve"> 2015;</w:t>
      </w:r>
      <w:r w:rsidRPr="006123BD">
        <w:rPr>
          <w:rFonts w:ascii="Times New Roman" w:hAnsi="Times New Roman" w:cs="Times New Roman"/>
          <w:b/>
          <w:bCs/>
          <w:noProof/>
          <w:sz w:val="24"/>
          <w:szCs w:val="24"/>
          <w:lang w:val="en-GB"/>
        </w:rPr>
        <w:t>11</w:t>
      </w:r>
      <w:r w:rsidRPr="006123BD">
        <w:rPr>
          <w:rFonts w:ascii="Times New Roman" w:hAnsi="Times New Roman" w:cs="Times New Roman"/>
          <w:noProof/>
          <w:sz w:val="24"/>
          <w:szCs w:val="24"/>
          <w:lang w:val="en-GB"/>
        </w:rPr>
        <w:t>(2):353–61.</w:t>
      </w:r>
    </w:p>
    <w:p w14:paraId="34595811"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39.</w:t>
      </w:r>
      <w:r w:rsidRPr="006123BD">
        <w:rPr>
          <w:rFonts w:ascii="Times New Roman" w:hAnsi="Times New Roman" w:cs="Times New Roman"/>
          <w:noProof/>
          <w:sz w:val="24"/>
          <w:szCs w:val="24"/>
          <w:lang w:val="en-GB"/>
        </w:rPr>
        <w:tab/>
        <w:t xml:space="preserve">Zittan E, Kelly OB, Gralnek IM, Silverberg MS, Hillary Steinhart A Fecal calprotectin correlates with active colonic inflammatory bowel disease but not  with small intestinal Crohn’s disease activity. </w:t>
      </w:r>
      <w:r w:rsidRPr="006123BD">
        <w:rPr>
          <w:rFonts w:ascii="Times New Roman" w:hAnsi="Times New Roman" w:cs="Times New Roman"/>
          <w:i/>
          <w:iCs/>
          <w:noProof/>
          <w:sz w:val="24"/>
          <w:szCs w:val="24"/>
          <w:lang w:val="en-GB"/>
        </w:rPr>
        <w:t>JGH Open  an Open Access J Gastroenterol Hepatol</w:t>
      </w:r>
      <w:r w:rsidRPr="006123BD">
        <w:rPr>
          <w:rFonts w:ascii="Times New Roman" w:hAnsi="Times New Roman" w:cs="Times New Roman"/>
          <w:noProof/>
          <w:sz w:val="24"/>
          <w:szCs w:val="24"/>
          <w:lang w:val="en-GB"/>
        </w:rPr>
        <w:t xml:space="preserve"> 2018;</w:t>
      </w:r>
      <w:r w:rsidRPr="006123BD">
        <w:rPr>
          <w:rFonts w:ascii="Times New Roman" w:hAnsi="Times New Roman" w:cs="Times New Roman"/>
          <w:b/>
          <w:bCs/>
          <w:noProof/>
          <w:sz w:val="24"/>
          <w:szCs w:val="24"/>
          <w:lang w:val="en-GB"/>
        </w:rPr>
        <w:t>2</w:t>
      </w:r>
      <w:r w:rsidRPr="006123BD">
        <w:rPr>
          <w:rFonts w:ascii="Times New Roman" w:hAnsi="Times New Roman" w:cs="Times New Roman"/>
          <w:noProof/>
          <w:sz w:val="24"/>
          <w:szCs w:val="24"/>
          <w:lang w:val="en-GB"/>
        </w:rPr>
        <w:t>(5):201–6.</w:t>
      </w:r>
    </w:p>
    <w:p w14:paraId="62945C4A"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40.</w:t>
      </w:r>
      <w:r w:rsidRPr="006123BD">
        <w:rPr>
          <w:rFonts w:ascii="Times New Roman" w:hAnsi="Times New Roman" w:cs="Times New Roman"/>
          <w:noProof/>
          <w:sz w:val="24"/>
          <w:szCs w:val="24"/>
          <w:lang w:val="en-GB"/>
        </w:rPr>
        <w:tab/>
        <w:t xml:space="preserve">Florin THJ, Paterson EWJ, Fowler E V, Radford-Smith GL Clinically active Crohn’s disease in the presence of a low C-reactive protein. </w:t>
      </w:r>
      <w:r w:rsidRPr="006123BD">
        <w:rPr>
          <w:rFonts w:ascii="Times New Roman" w:hAnsi="Times New Roman" w:cs="Times New Roman"/>
          <w:i/>
          <w:iCs/>
          <w:noProof/>
          <w:sz w:val="24"/>
          <w:szCs w:val="24"/>
          <w:lang w:val="en-GB"/>
        </w:rPr>
        <w:t>Scand J Gastroenterol</w:t>
      </w:r>
      <w:r w:rsidRPr="006123BD">
        <w:rPr>
          <w:rFonts w:ascii="Times New Roman" w:hAnsi="Times New Roman" w:cs="Times New Roman"/>
          <w:noProof/>
          <w:sz w:val="24"/>
          <w:szCs w:val="24"/>
          <w:lang w:val="en-GB"/>
        </w:rPr>
        <w:t xml:space="preserve"> 2006;</w:t>
      </w:r>
      <w:r w:rsidRPr="006123BD">
        <w:rPr>
          <w:rFonts w:ascii="Times New Roman" w:hAnsi="Times New Roman" w:cs="Times New Roman"/>
          <w:b/>
          <w:bCs/>
          <w:noProof/>
          <w:sz w:val="24"/>
          <w:szCs w:val="24"/>
          <w:lang w:val="en-GB"/>
        </w:rPr>
        <w:t>41</w:t>
      </w:r>
      <w:r w:rsidRPr="006123BD">
        <w:rPr>
          <w:rFonts w:ascii="Times New Roman" w:hAnsi="Times New Roman" w:cs="Times New Roman"/>
          <w:noProof/>
          <w:sz w:val="24"/>
          <w:szCs w:val="24"/>
          <w:lang w:val="en-GB"/>
        </w:rPr>
        <w:t>(3):306–11.</w:t>
      </w:r>
    </w:p>
    <w:p w14:paraId="70A57419" w14:textId="77777777" w:rsidR="005446D9" w:rsidRPr="006123BD" w:rsidRDefault="005446D9" w:rsidP="005446D9">
      <w:pPr>
        <w:widowControl w:val="0"/>
        <w:autoSpaceDE w:val="0"/>
        <w:autoSpaceDN w:val="0"/>
        <w:adjustRightInd w:val="0"/>
        <w:spacing w:line="480" w:lineRule="auto"/>
        <w:ind w:left="640" w:hanging="640"/>
        <w:rPr>
          <w:rFonts w:ascii="Times New Roman" w:hAnsi="Times New Roman" w:cs="Times New Roman"/>
          <w:noProof/>
          <w:sz w:val="24"/>
          <w:szCs w:val="24"/>
          <w:lang w:val="en-GB"/>
        </w:rPr>
      </w:pPr>
      <w:r w:rsidRPr="006123BD">
        <w:rPr>
          <w:rFonts w:ascii="Times New Roman" w:hAnsi="Times New Roman" w:cs="Times New Roman"/>
          <w:noProof/>
          <w:sz w:val="24"/>
          <w:szCs w:val="24"/>
          <w:lang w:val="en-GB"/>
        </w:rPr>
        <w:t>41.</w:t>
      </w:r>
      <w:r w:rsidRPr="006123BD">
        <w:rPr>
          <w:rFonts w:ascii="Times New Roman" w:hAnsi="Times New Roman" w:cs="Times New Roman"/>
          <w:noProof/>
          <w:sz w:val="24"/>
          <w:szCs w:val="24"/>
          <w:lang w:val="en-GB"/>
        </w:rPr>
        <w:tab/>
        <w:t xml:space="preserve">Solem CA, Loftus EVJ, Tremaine WJ, Harmsen WS, Zinsmeister AR, Sandborn WJ Correlation of C-reactive protein with clinical, endoscopic, histologic, and  radiographic activity in inflammatory bowel disease. </w:t>
      </w:r>
      <w:r w:rsidRPr="006123BD">
        <w:rPr>
          <w:rFonts w:ascii="Times New Roman" w:hAnsi="Times New Roman" w:cs="Times New Roman"/>
          <w:i/>
          <w:iCs/>
          <w:noProof/>
          <w:sz w:val="24"/>
          <w:szCs w:val="24"/>
          <w:lang w:val="en-GB"/>
        </w:rPr>
        <w:t>Inflamm Bowel Dis</w:t>
      </w:r>
      <w:r w:rsidRPr="006123BD">
        <w:rPr>
          <w:rFonts w:ascii="Times New Roman" w:hAnsi="Times New Roman" w:cs="Times New Roman"/>
          <w:noProof/>
          <w:sz w:val="24"/>
          <w:szCs w:val="24"/>
          <w:lang w:val="en-GB"/>
        </w:rPr>
        <w:t xml:space="preserve"> 2005;</w:t>
      </w:r>
      <w:r w:rsidRPr="006123BD">
        <w:rPr>
          <w:rFonts w:ascii="Times New Roman" w:hAnsi="Times New Roman" w:cs="Times New Roman"/>
          <w:b/>
          <w:bCs/>
          <w:noProof/>
          <w:sz w:val="24"/>
          <w:szCs w:val="24"/>
          <w:lang w:val="en-GB"/>
        </w:rPr>
        <w:t>11</w:t>
      </w:r>
      <w:r w:rsidRPr="006123BD">
        <w:rPr>
          <w:rFonts w:ascii="Times New Roman" w:hAnsi="Times New Roman" w:cs="Times New Roman"/>
          <w:noProof/>
          <w:sz w:val="24"/>
          <w:szCs w:val="24"/>
          <w:lang w:val="en-GB"/>
        </w:rPr>
        <w:t>(8):707–12.</w:t>
      </w:r>
    </w:p>
    <w:p w14:paraId="1663CE88" w14:textId="77777777" w:rsidR="005446D9" w:rsidRPr="005446D9" w:rsidRDefault="005446D9" w:rsidP="005446D9">
      <w:pPr>
        <w:widowControl w:val="0"/>
        <w:autoSpaceDE w:val="0"/>
        <w:autoSpaceDN w:val="0"/>
        <w:adjustRightInd w:val="0"/>
        <w:spacing w:line="480" w:lineRule="auto"/>
        <w:ind w:left="640" w:hanging="640"/>
        <w:rPr>
          <w:rFonts w:ascii="Times New Roman" w:hAnsi="Times New Roman" w:cs="Times New Roman"/>
          <w:noProof/>
          <w:sz w:val="24"/>
        </w:rPr>
      </w:pPr>
      <w:r w:rsidRPr="006123BD">
        <w:rPr>
          <w:rFonts w:ascii="Times New Roman" w:hAnsi="Times New Roman" w:cs="Times New Roman"/>
          <w:noProof/>
          <w:sz w:val="24"/>
          <w:szCs w:val="24"/>
          <w:lang w:val="en-GB"/>
        </w:rPr>
        <w:t>42.</w:t>
      </w:r>
      <w:r w:rsidRPr="006123BD">
        <w:rPr>
          <w:rFonts w:ascii="Times New Roman" w:hAnsi="Times New Roman" w:cs="Times New Roman"/>
          <w:noProof/>
          <w:sz w:val="24"/>
          <w:szCs w:val="24"/>
          <w:lang w:val="en-GB"/>
        </w:rPr>
        <w:tab/>
        <w:t xml:space="preserve">Yang DH, Yang SK, Park SH, Lee HS, Boo SJ, Park JH, et al. Usefulness of C-reactive protein as a disease activity marker in Crohn’s disease  according to the location of </w:t>
      </w:r>
      <w:r w:rsidRPr="006123BD">
        <w:rPr>
          <w:rFonts w:ascii="Times New Roman" w:hAnsi="Times New Roman" w:cs="Times New Roman"/>
          <w:noProof/>
          <w:sz w:val="24"/>
          <w:szCs w:val="24"/>
          <w:lang w:val="en-GB"/>
        </w:rPr>
        <w:lastRenderedPageBreak/>
        <w:t xml:space="preserve">disease. </w:t>
      </w:r>
      <w:r w:rsidRPr="005446D9">
        <w:rPr>
          <w:rFonts w:ascii="Times New Roman" w:hAnsi="Times New Roman" w:cs="Times New Roman"/>
          <w:i/>
          <w:iCs/>
          <w:noProof/>
          <w:sz w:val="24"/>
          <w:szCs w:val="24"/>
        </w:rPr>
        <w:t>Gut Liver</w:t>
      </w:r>
      <w:r w:rsidRPr="005446D9">
        <w:rPr>
          <w:rFonts w:ascii="Times New Roman" w:hAnsi="Times New Roman" w:cs="Times New Roman"/>
          <w:noProof/>
          <w:sz w:val="24"/>
          <w:szCs w:val="24"/>
        </w:rPr>
        <w:t xml:space="preserve"> 2015;</w:t>
      </w:r>
      <w:r w:rsidRPr="005446D9">
        <w:rPr>
          <w:rFonts w:ascii="Times New Roman" w:hAnsi="Times New Roman" w:cs="Times New Roman"/>
          <w:b/>
          <w:bCs/>
          <w:noProof/>
          <w:sz w:val="24"/>
          <w:szCs w:val="24"/>
        </w:rPr>
        <w:t>9</w:t>
      </w:r>
      <w:r w:rsidRPr="005446D9">
        <w:rPr>
          <w:rFonts w:ascii="Times New Roman" w:hAnsi="Times New Roman" w:cs="Times New Roman"/>
          <w:noProof/>
          <w:sz w:val="24"/>
          <w:szCs w:val="24"/>
        </w:rPr>
        <w:t>(1):80–6.</w:t>
      </w:r>
    </w:p>
    <w:p w14:paraId="04EE3F7B" w14:textId="77777777" w:rsidR="00425D59" w:rsidRDefault="0099430F" w:rsidP="00B07A0E">
      <w:pPr>
        <w:spacing w:line="480" w:lineRule="auto"/>
        <w:rPr>
          <w:rFonts w:ascii="Times New Roman" w:hAnsi="Times New Roman" w:cs="Times New Roman"/>
          <w:b/>
          <w:sz w:val="24"/>
          <w:szCs w:val="24"/>
          <w:lang w:val="en-GB"/>
        </w:rPr>
      </w:pPr>
      <w:r w:rsidRPr="00C54D13">
        <w:rPr>
          <w:rFonts w:ascii="Times New Roman" w:hAnsi="Times New Roman" w:cs="Times New Roman"/>
          <w:b/>
          <w:sz w:val="24"/>
          <w:szCs w:val="24"/>
          <w:lang w:val="en-GB"/>
        </w:rPr>
        <w:fldChar w:fldCharType="end"/>
      </w:r>
    </w:p>
    <w:tbl>
      <w:tblPr>
        <w:tblStyle w:val="Grilledutableau"/>
        <w:tblW w:w="0" w:type="auto"/>
        <w:tblLook w:val="04A0" w:firstRow="1" w:lastRow="0" w:firstColumn="1" w:lastColumn="0" w:noHBand="0" w:noVBand="1"/>
      </w:tblPr>
      <w:tblGrid>
        <w:gridCol w:w="9062"/>
      </w:tblGrid>
      <w:tr w:rsidR="00707F32" w:rsidRPr="003E414F" w14:paraId="12EF7D76" w14:textId="77777777" w:rsidTr="00707F32">
        <w:tc>
          <w:tcPr>
            <w:tcW w:w="9062" w:type="dxa"/>
            <w:tcBorders>
              <w:top w:val="nil"/>
              <w:left w:val="nil"/>
              <w:bottom w:val="single" w:sz="4" w:space="0" w:color="auto"/>
              <w:right w:val="nil"/>
            </w:tcBorders>
            <w:vAlign w:val="bottom"/>
          </w:tcPr>
          <w:p w14:paraId="586417BC" w14:textId="2F1155AA" w:rsidR="00707F32" w:rsidRDefault="00707F32" w:rsidP="00707F32">
            <w:pPr>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1. Proposed </w:t>
            </w:r>
            <w:r w:rsidR="00F93E9E">
              <w:rPr>
                <w:rFonts w:ascii="Times New Roman" w:hAnsi="Times New Roman" w:cs="Times New Roman"/>
                <w:b/>
                <w:sz w:val="24"/>
                <w:szCs w:val="24"/>
                <w:lang w:val="en-GB"/>
              </w:rPr>
              <w:t>definition of biological remission</w:t>
            </w:r>
            <w:r w:rsidR="00C326F4">
              <w:rPr>
                <w:rFonts w:ascii="Times New Roman" w:hAnsi="Times New Roman" w:cs="Times New Roman"/>
                <w:b/>
                <w:sz w:val="24"/>
                <w:szCs w:val="24"/>
                <w:lang w:val="en-GB"/>
              </w:rPr>
              <w:t xml:space="preserve"> in Crohn’s disease</w:t>
            </w:r>
          </w:p>
        </w:tc>
      </w:tr>
      <w:tr w:rsidR="00425D59" w:rsidRPr="003E414F" w14:paraId="125E38BB" w14:textId="77777777" w:rsidTr="00707F32">
        <w:trPr>
          <w:trHeight w:val="404"/>
        </w:trPr>
        <w:tc>
          <w:tcPr>
            <w:tcW w:w="9062" w:type="dxa"/>
            <w:tcBorders>
              <w:top w:val="single" w:sz="4" w:space="0" w:color="auto"/>
            </w:tcBorders>
            <w:shd w:val="clear" w:color="auto" w:fill="D9D9D9" w:themeFill="background1" w:themeFillShade="D9"/>
          </w:tcPr>
          <w:p w14:paraId="56298849" w14:textId="184058DC" w:rsidR="00425D59" w:rsidRPr="00707F32" w:rsidRDefault="00867B39" w:rsidP="005127AB">
            <w:pPr>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867B39">
              <w:rPr>
                <w:rFonts w:ascii="Times New Roman" w:hAnsi="Times New Roman" w:cs="Times New Roman"/>
                <w:sz w:val="24"/>
                <w:szCs w:val="24"/>
                <w:lang w:val="en-GB"/>
              </w:rPr>
              <w:t xml:space="preserve">bsence of biological </w:t>
            </w:r>
            <w:r w:rsidR="005127AB">
              <w:rPr>
                <w:rFonts w:ascii="Times New Roman" w:hAnsi="Times New Roman" w:cs="Times New Roman"/>
                <w:sz w:val="24"/>
                <w:szCs w:val="24"/>
                <w:lang w:val="en-GB"/>
              </w:rPr>
              <w:t>signs</w:t>
            </w:r>
            <w:r w:rsidRPr="00867B39">
              <w:rPr>
                <w:rFonts w:ascii="Times New Roman" w:hAnsi="Times New Roman" w:cs="Times New Roman"/>
                <w:sz w:val="24"/>
                <w:szCs w:val="24"/>
                <w:lang w:val="en-GB"/>
              </w:rPr>
              <w:t xml:space="preserve"> associated with the risk of short-term relapse and mid/long-term relapse</w:t>
            </w:r>
            <w:r w:rsidR="00F150F9">
              <w:rPr>
                <w:rFonts w:ascii="Times New Roman" w:hAnsi="Times New Roman" w:cs="Times New Roman"/>
                <w:sz w:val="24"/>
                <w:szCs w:val="24"/>
                <w:lang w:val="en-GB"/>
              </w:rPr>
              <w:t>.</w:t>
            </w:r>
          </w:p>
        </w:tc>
      </w:tr>
    </w:tbl>
    <w:p w14:paraId="3B8CDF9B" w14:textId="44AB50A3" w:rsidR="00EC0407" w:rsidRDefault="00EC0407" w:rsidP="00163C02">
      <w:pPr>
        <w:spacing w:after="0" w:line="480" w:lineRule="auto"/>
        <w:jc w:val="both"/>
        <w:rPr>
          <w:rFonts w:ascii="Times New Roman" w:hAnsi="Times New Roman" w:cs="Times New Roman"/>
          <w:b/>
          <w:sz w:val="24"/>
          <w:szCs w:val="24"/>
          <w:lang w:val="en-GB"/>
        </w:rPr>
      </w:pPr>
    </w:p>
    <w:p w14:paraId="55FF28F8" w14:textId="72C9E2DB" w:rsidR="005506E9" w:rsidRDefault="005506E9" w:rsidP="00163C02">
      <w:pPr>
        <w:spacing w:after="0" w:line="480" w:lineRule="auto"/>
        <w:jc w:val="both"/>
        <w:rPr>
          <w:rFonts w:ascii="Times New Roman" w:hAnsi="Times New Roman" w:cs="Times New Roman"/>
          <w:b/>
          <w:sz w:val="24"/>
          <w:szCs w:val="24"/>
          <w:lang w:val="en-GB"/>
        </w:rPr>
      </w:pPr>
      <w:r w:rsidRPr="005506E9">
        <w:rPr>
          <w:rFonts w:ascii="Times New Roman" w:hAnsi="Times New Roman" w:cs="Times New Roman"/>
          <w:b/>
          <w:noProof/>
          <w:sz w:val="24"/>
          <w:szCs w:val="24"/>
          <w:lang w:eastAsia="fr-BE"/>
        </w:rPr>
        <w:drawing>
          <wp:inline distT="0" distB="0" distL="0" distR="0" wp14:anchorId="6575F009" wp14:editId="581DFA68">
            <wp:extent cx="5760720" cy="3437758"/>
            <wp:effectExtent l="0" t="0" r="0" b="0"/>
            <wp:docPr id="1" name="Image 1" descr="C:\Users\Administrateur\Dropbox\View point JCC\Response to reviewer\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Dropbox\View point JCC\Response to reviewer\Figure 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437758"/>
                    </a:xfrm>
                    <a:prstGeom prst="rect">
                      <a:avLst/>
                    </a:prstGeom>
                    <a:noFill/>
                    <a:ln>
                      <a:noFill/>
                    </a:ln>
                  </pic:spPr>
                </pic:pic>
              </a:graphicData>
            </a:graphic>
          </wp:inline>
        </w:drawing>
      </w:r>
    </w:p>
    <w:p w14:paraId="4DB47551" w14:textId="63894DDB" w:rsidR="000015E7" w:rsidRDefault="000015E7" w:rsidP="00163C02">
      <w:pPr>
        <w:spacing w:after="0" w:line="480" w:lineRule="auto"/>
        <w:jc w:val="both"/>
        <w:rPr>
          <w:rFonts w:ascii="Times New Roman" w:hAnsi="Times New Roman" w:cs="Times New Roman"/>
          <w:b/>
          <w:sz w:val="24"/>
          <w:szCs w:val="24"/>
          <w:lang w:val="en-GB"/>
        </w:rPr>
      </w:pPr>
      <w:r w:rsidRPr="00C54D13">
        <w:rPr>
          <w:rFonts w:ascii="Times New Roman" w:hAnsi="Times New Roman" w:cs="Times New Roman"/>
          <w:b/>
          <w:sz w:val="24"/>
          <w:szCs w:val="24"/>
          <w:lang w:val="en-GB"/>
        </w:rPr>
        <w:t>Figure 1. Biological remission as a central therapeutic target</w:t>
      </w:r>
      <w:r w:rsidR="00C326F4">
        <w:rPr>
          <w:rFonts w:ascii="Times New Roman" w:hAnsi="Times New Roman" w:cs="Times New Roman"/>
          <w:b/>
          <w:sz w:val="24"/>
          <w:szCs w:val="24"/>
          <w:lang w:val="en-GB"/>
        </w:rPr>
        <w:t xml:space="preserve"> in Crohn’s disease</w:t>
      </w:r>
    </w:p>
    <w:p w14:paraId="257CA9A5" w14:textId="732E77E4" w:rsidR="005506E9" w:rsidRDefault="005506E9" w:rsidP="00163C02">
      <w:pPr>
        <w:spacing w:after="0" w:line="480" w:lineRule="auto"/>
        <w:jc w:val="both"/>
        <w:rPr>
          <w:rFonts w:ascii="Times New Roman" w:hAnsi="Times New Roman" w:cs="Times New Roman"/>
          <w:b/>
          <w:sz w:val="24"/>
          <w:szCs w:val="24"/>
          <w:lang w:val="en-GB"/>
        </w:rPr>
      </w:pPr>
    </w:p>
    <w:p w14:paraId="58BA4A9B" w14:textId="6862D272" w:rsidR="005506E9" w:rsidRDefault="005506E9" w:rsidP="00163C02">
      <w:pPr>
        <w:spacing w:after="0" w:line="480" w:lineRule="auto"/>
        <w:jc w:val="both"/>
        <w:rPr>
          <w:rFonts w:ascii="Times New Roman" w:hAnsi="Times New Roman" w:cs="Times New Roman"/>
          <w:b/>
          <w:sz w:val="24"/>
          <w:szCs w:val="24"/>
          <w:lang w:val="en-GB"/>
        </w:rPr>
      </w:pPr>
    </w:p>
    <w:p w14:paraId="32305640" w14:textId="49B60210" w:rsidR="005506E9" w:rsidRDefault="005506E9" w:rsidP="00163C02">
      <w:pPr>
        <w:spacing w:after="0" w:line="480" w:lineRule="auto"/>
        <w:jc w:val="both"/>
        <w:rPr>
          <w:rFonts w:ascii="Times New Roman" w:hAnsi="Times New Roman" w:cs="Times New Roman"/>
          <w:b/>
          <w:sz w:val="24"/>
          <w:szCs w:val="24"/>
          <w:lang w:val="en-GB"/>
        </w:rPr>
      </w:pPr>
    </w:p>
    <w:p w14:paraId="6679FD65" w14:textId="2F0EB6D5" w:rsidR="005506E9" w:rsidRDefault="005506E9" w:rsidP="00163C02">
      <w:pPr>
        <w:spacing w:after="0" w:line="480" w:lineRule="auto"/>
        <w:jc w:val="both"/>
        <w:rPr>
          <w:rFonts w:ascii="Times New Roman" w:hAnsi="Times New Roman" w:cs="Times New Roman"/>
          <w:b/>
          <w:sz w:val="24"/>
          <w:szCs w:val="24"/>
          <w:lang w:val="en-GB"/>
        </w:rPr>
      </w:pPr>
    </w:p>
    <w:p w14:paraId="6288E072" w14:textId="0A115F47" w:rsidR="005506E9" w:rsidRDefault="005506E9" w:rsidP="00163C02">
      <w:pPr>
        <w:spacing w:after="0" w:line="480" w:lineRule="auto"/>
        <w:jc w:val="both"/>
        <w:rPr>
          <w:rFonts w:ascii="Times New Roman" w:hAnsi="Times New Roman" w:cs="Times New Roman"/>
          <w:b/>
          <w:sz w:val="24"/>
          <w:szCs w:val="24"/>
          <w:lang w:val="en-GB"/>
        </w:rPr>
      </w:pPr>
    </w:p>
    <w:p w14:paraId="5780DCD1" w14:textId="1C1BB4F0" w:rsidR="005506E9" w:rsidRDefault="005506E9" w:rsidP="00163C02">
      <w:pPr>
        <w:spacing w:after="0" w:line="480" w:lineRule="auto"/>
        <w:jc w:val="both"/>
        <w:rPr>
          <w:rFonts w:ascii="Times New Roman" w:hAnsi="Times New Roman" w:cs="Times New Roman"/>
          <w:b/>
          <w:sz w:val="24"/>
          <w:szCs w:val="24"/>
          <w:lang w:val="en-GB"/>
        </w:rPr>
      </w:pPr>
    </w:p>
    <w:p w14:paraId="6DF92297" w14:textId="3BB0136F" w:rsidR="005506E9" w:rsidRDefault="005506E9" w:rsidP="00163C02">
      <w:pPr>
        <w:spacing w:after="0" w:line="480" w:lineRule="auto"/>
        <w:jc w:val="both"/>
        <w:rPr>
          <w:rFonts w:ascii="Times New Roman" w:hAnsi="Times New Roman" w:cs="Times New Roman"/>
          <w:b/>
          <w:sz w:val="24"/>
          <w:szCs w:val="24"/>
          <w:lang w:val="en-GB"/>
        </w:rPr>
      </w:pPr>
    </w:p>
    <w:p w14:paraId="6CE64E08" w14:textId="66DB2BCA" w:rsidR="005506E9" w:rsidRDefault="005506E9" w:rsidP="00163C02">
      <w:pPr>
        <w:spacing w:after="0" w:line="480" w:lineRule="auto"/>
        <w:jc w:val="both"/>
        <w:rPr>
          <w:rFonts w:ascii="Times New Roman" w:hAnsi="Times New Roman" w:cs="Times New Roman"/>
          <w:b/>
          <w:sz w:val="24"/>
          <w:szCs w:val="24"/>
          <w:lang w:val="en-GB"/>
        </w:rPr>
      </w:pPr>
    </w:p>
    <w:p w14:paraId="012BC98A" w14:textId="0C24029C" w:rsidR="005506E9" w:rsidRDefault="005506E9" w:rsidP="00163C02">
      <w:pPr>
        <w:spacing w:after="0" w:line="480" w:lineRule="auto"/>
        <w:jc w:val="both"/>
        <w:rPr>
          <w:rFonts w:ascii="Times New Roman" w:hAnsi="Times New Roman" w:cs="Times New Roman"/>
          <w:b/>
          <w:sz w:val="24"/>
          <w:szCs w:val="24"/>
          <w:lang w:val="en-GB"/>
        </w:rPr>
      </w:pPr>
    </w:p>
    <w:p w14:paraId="1CF8C9AA" w14:textId="3347C9DE" w:rsidR="005506E9" w:rsidRPr="00C54D13" w:rsidRDefault="005506E9" w:rsidP="00163C02">
      <w:pPr>
        <w:spacing w:after="0" w:line="480" w:lineRule="auto"/>
        <w:jc w:val="both"/>
        <w:rPr>
          <w:rFonts w:ascii="Times New Roman" w:hAnsi="Times New Roman" w:cs="Times New Roman"/>
          <w:b/>
          <w:sz w:val="24"/>
          <w:szCs w:val="24"/>
          <w:lang w:val="en-GB"/>
        </w:rPr>
      </w:pPr>
      <w:r w:rsidRPr="005506E9">
        <w:rPr>
          <w:rFonts w:ascii="Times New Roman" w:hAnsi="Times New Roman" w:cs="Times New Roman"/>
          <w:b/>
          <w:noProof/>
          <w:sz w:val="24"/>
          <w:szCs w:val="24"/>
          <w:lang w:eastAsia="fr-BE"/>
        </w:rPr>
        <w:lastRenderedPageBreak/>
        <w:drawing>
          <wp:inline distT="0" distB="0" distL="0" distR="0" wp14:anchorId="6096E9E8" wp14:editId="7C1C026C">
            <wp:extent cx="5343525" cy="3778885"/>
            <wp:effectExtent l="0" t="0" r="9525" b="0"/>
            <wp:docPr id="2" name="Image 2" descr="C:\Users\Administrateur\Dropbox\View point JCC\Response to reviewer\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eur\Dropbox\View point JCC\Response to reviewer\Figure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3525" cy="3778885"/>
                    </a:xfrm>
                    <a:prstGeom prst="rect">
                      <a:avLst/>
                    </a:prstGeom>
                    <a:noFill/>
                    <a:ln>
                      <a:noFill/>
                    </a:ln>
                  </pic:spPr>
                </pic:pic>
              </a:graphicData>
            </a:graphic>
          </wp:inline>
        </w:drawing>
      </w:r>
    </w:p>
    <w:p w14:paraId="731033A2" w14:textId="74CF834D" w:rsidR="00D463C5" w:rsidRDefault="00B07A0E" w:rsidP="00D463C5">
      <w:pPr>
        <w:spacing w:after="0" w:line="480" w:lineRule="auto"/>
        <w:jc w:val="both"/>
        <w:rPr>
          <w:rFonts w:ascii="Times New Roman" w:hAnsi="Times New Roman" w:cs="Times New Roman"/>
          <w:b/>
          <w:bCs/>
          <w:sz w:val="24"/>
          <w:szCs w:val="24"/>
          <w:lang w:val="en-GB"/>
        </w:rPr>
      </w:pPr>
      <w:r w:rsidRPr="00C54D13">
        <w:rPr>
          <w:rFonts w:ascii="Times New Roman" w:hAnsi="Times New Roman" w:cs="Times New Roman"/>
          <w:b/>
          <w:sz w:val="24"/>
          <w:szCs w:val="24"/>
          <w:lang w:val="en-GB"/>
        </w:rPr>
        <w:t xml:space="preserve">Figure </w:t>
      </w:r>
      <w:r w:rsidR="00934FA2" w:rsidRPr="00C54D13">
        <w:rPr>
          <w:rFonts w:ascii="Times New Roman" w:hAnsi="Times New Roman" w:cs="Times New Roman"/>
          <w:b/>
          <w:sz w:val="24"/>
          <w:szCs w:val="24"/>
          <w:lang w:val="en-GB"/>
        </w:rPr>
        <w:t>2</w:t>
      </w:r>
      <w:r w:rsidRPr="00C54D13">
        <w:rPr>
          <w:rFonts w:ascii="Times New Roman" w:hAnsi="Times New Roman" w:cs="Times New Roman"/>
          <w:b/>
          <w:sz w:val="24"/>
          <w:szCs w:val="24"/>
          <w:lang w:val="en-GB"/>
        </w:rPr>
        <w:t>.</w:t>
      </w:r>
      <w:r w:rsidR="001D78F8" w:rsidRPr="00C54D13">
        <w:rPr>
          <w:rFonts w:ascii="Times New Roman" w:hAnsi="Times New Roman" w:cs="Times New Roman"/>
          <w:b/>
          <w:bCs/>
          <w:sz w:val="24"/>
          <w:szCs w:val="24"/>
          <w:lang w:val="en-GB"/>
        </w:rPr>
        <w:t xml:space="preserve"> </w:t>
      </w:r>
      <w:r w:rsidR="00E44998" w:rsidRPr="00C54D13">
        <w:rPr>
          <w:rFonts w:ascii="Times New Roman" w:hAnsi="Times New Roman" w:cs="Times New Roman"/>
          <w:b/>
          <w:bCs/>
          <w:sz w:val="24"/>
          <w:szCs w:val="24"/>
          <w:lang w:val="en-GB"/>
        </w:rPr>
        <w:t>Optimisation of</w:t>
      </w:r>
      <w:r w:rsidR="00604A07" w:rsidRPr="00C54D13">
        <w:rPr>
          <w:rFonts w:ascii="Times New Roman" w:hAnsi="Times New Roman" w:cs="Times New Roman"/>
          <w:b/>
          <w:bCs/>
          <w:sz w:val="24"/>
          <w:szCs w:val="24"/>
          <w:lang w:val="en-GB"/>
        </w:rPr>
        <w:t xml:space="preserve"> the</w:t>
      </w:r>
      <w:r w:rsidR="0069771F" w:rsidRPr="00C54D13">
        <w:rPr>
          <w:rFonts w:ascii="Times New Roman" w:hAnsi="Times New Roman" w:cs="Times New Roman"/>
          <w:b/>
          <w:bCs/>
          <w:sz w:val="24"/>
          <w:szCs w:val="24"/>
          <w:lang w:val="en-GB"/>
        </w:rPr>
        <w:t xml:space="preserve"> therapeutic strategy</w:t>
      </w:r>
      <w:r w:rsidR="00506C7D">
        <w:rPr>
          <w:rFonts w:ascii="Times New Roman" w:hAnsi="Times New Roman" w:cs="Times New Roman"/>
          <w:b/>
          <w:bCs/>
          <w:sz w:val="24"/>
          <w:szCs w:val="24"/>
          <w:lang w:val="en-GB"/>
        </w:rPr>
        <w:t xml:space="preserve"> according to</w:t>
      </w:r>
      <w:r w:rsidR="009D0FF1" w:rsidRPr="00C54D13">
        <w:rPr>
          <w:rFonts w:ascii="Times New Roman" w:hAnsi="Times New Roman" w:cs="Times New Roman"/>
          <w:b/>
          <w:bCs/>
          <w:sz w:val="24"/>
          <w:szCs w:val="24"/>
          <w:lang w:val="en-GB"/>
        </w:rPr>
        <w:t xml:space="preserve"> </w:t>
      </w:r>
      <w:bookmarkStart w:id="7" w:name="OLE_LINK2"/>
      <w:r w:rsidR="009D0FF1" w:rsidRPr="00C54D13">
        <w:rPr>
          <w:rFonts w:ascii="Times New Roman" w:hAnsi="Times New Roman" w:cs="Times New Roman"/>
          <w:b/>
          <w:bCs/>
          <w:sz w:val="24"/>
          <w:szCs w:val="24"/>
          <w:lang w:val="en-GB"/>
        </w:rPr>
        <w:t xml:space="preserve">biological </w:t>
      </w:r>
      <w:bookmarkEnd w:id="7"/>
      <w:r w:rsidR="00152F6D">
        <w:rPr>
          <w:rFonts w:ascii="Times New Roman" w:hAnsi="Times New Roman" w:cs="Times New Roman"/>
          <w:b/>
          <w:bCs/>
          <w:sz w:val="24"/>
          <w:szCs w:val="24"/>
          <w:lang w:val="en-GB"/>
        </w:rPr>
        <w:t>risk factors of relapse</w:t>
      </w:r>
    </w:p>
    <w:p w14:paraId="3B72E561" w14:textId="4F7E35EC" w:rsidR="0026125D" w:rsidRPr="00D82A12" w:rsidRDefault="0026125D">
      <w:pPr>
        <w:spacing w:line="480" w:lineRule="auto"/>
        <w:rPr>
          <w:rFonts w:ascii="Times New Roman" w:hAnsi="Times New Roman" w:cs="Times New Roman"/>
          <w:b/>
          <w:sz w:val="24"/>
          <w:szCs w:val="24"/>
          <w:lang w:val="en-GB"/>
        </w:rPr>
      </w:pPr>
    </w:p>
    <w:sectPr w:rsidR="0026125D" w:rsidRPr="00D82A12" w:rsidSect="00500ABD">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9FCF9" w14:textId="77777777" w:rsidR="003F239B" w:rsidRDefault="003F239B" w:rsidP="0074462B">
      <w:pPr>
        <w:spacing w:after="0" w:line="240" w:lineRule="auto"/>
      </w:pPr>
      <w:r>
        <w:separator/>
      </w:r>
    </w:p>
  </w:endnote>
  <w:endnote w:type="continuationSeparator" w:id="0">
    <w:p w14:paraId="2B3C6A1A" w14:textId="77777777" w:rsidR="003F239B" w:rsidRDefault="003F239B" w:rsidP="0074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29FF" w14:textId="77777777" w:rsidR="003F239B" w:rsidRDefault="003F239B" w:rsidP="0074462B">
      <w:pPr>
        <w:spacing w:after="0" w:line="240" w:lineRule="auto"/>
      </w:pPr>
      <w:r>
        <w:separator/>
      </w:r>
    </w:p>
  </w:footnote>
  <w:footnote w:type="continuationSeparator" w:id="0">
    <w:p w14:paraId="1105EA33" w14:textId="77777777" w:rsidR="003F239B" w:rsidRDefault="003F239B" w:rsidP="00744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AC"/>
    <w:rsid w:val="00000CB0"/>
    <w:rsid w:val="000015E7"/>
    <w:rsid w:val="0000188F"/>
    <w:rsid w:val="000031A4"/>
    <w:rsid w:val="000045A2"/>
    <w:rsid w:val="00004826"/>
    <w:rsid w:val="00004CB2"/>
    <w:rsid w:val="0000505A"/>
    <w:rsid w:val="00006E2F"/>
    <w:rsid w:val="000077BA"/>
    <w:rsid w:val="00007A7B"/>
    <w:rsid w:val="00007B0E"/>
    <w:rsid w:val="00010363"/>
    <w:rsid w:val="000106D2"/>
    <w:rsid w:val="000106FD"/>
    <w:rsid w:val="0001120D"/>
    <w:rsid w:val="00011355"/>
    <w:rsid w:val="00012570"/>
    <w:rsid w:val="00012650"/>
    <w:rsid w:val="0001268A"/>
    <w:rsid w:val="00013E05"/>
    <w:rsid w:val="00015025"/>
    <w:rsid w:val="000152CA"/>
    <w:rsid w:val="00015F00"/>
    <w:rsid w:val="00017CB9"/>
    <w:rsid w:val="00020B02"/>
    <w:rsid w:val="00020BD7"/>
    <w:rsid w:val="00021335"/>
    <w:rsid w:val="00021778"/>
    <w:rsid w:val="0002250D"/>
    <w:rsid w:val="00022C8B"/>
    <w:rsid w:val="000231F0"/>
    <w:rsid w:val="00023822"/>
    <w:rsid w:val="000239E8"/>
    <w:rsid w:val="000244AF"/>
    <w:rsid w:val="000245B7"/>
    <w:rsid w:val="00024A2A"/>
    <w:rsid w:val="0002638B"/>
    <w:rsid w:val="00026B35"/>
    <w:rsid w:val="00030C03"/>
    <w:rsid w:val="000319FC"/>
    <w:rsid w:val="00032171"/>
    <w:rsid w:val="00032378"/>
    <w:rsid w:val="00032BD6"/>
    <w:rsid w:val="00033EDF"/>
    <w:rsid w:val="0003409C"/>
    <w:rsid w:val="00035443"/>
    <w:rsid w:val="000354DB"/>
    <w:rsid w:val="000356F0"/>
    <w:rsid w:val="00035AF9"/>
    <w:rsid w:val="00036293"/>
    <w:rsid w:val="00036D99"/>
    <w:rsid w:val="0003730A"/>
    <w:rsid w:val="00037319"/>
    <w:rsid w:val="0003735F"/>
    <w:rsid w:val="0003748D"/>
    <w:rsid w:val="00041C6D"/>
    <w:rsid w:val="00042B0D"/>
    <w:rsid w:val="00042B5F"/>
    <w:rsid w:val="00042E76"/>
    <w:rsid w:val="00043807"/>
    <w:rsid w:val="0004415A"/>
    <w:rsid w:val="0004444C"/>
    <w:rsid w:val="00045397"/>
    <w:rsid w:val="00047AC1"/>
    <w:rsid w:val="00047CCA"/>
    <w:rsid w:val="00051604"/>
    <w:rsid w:val="0005196A"/>
    <w:rsid w:val="00053D13"/>
    <w:rsid w:val="00055026"/>
    <w:rsid w:val="00055A69"/>
    <w:rsid w:val="00055AC2"/>
    <w:rsid w:val="00056399"/>
    <w:rsid w:val="0005765F"/>
    <w:rsid w:val="00060155"/>
    <w:rsid w:val="000605E5"/>
    <w:rsid w:val="00060BDA"/>
    <w:rsid w:val="00060E05"/>
    <w:rsid w:val="000617A8"/>
    <w:rsid w:val="00062131"/>
    <w:rsid w:val="00063168"/>
    <w:rsid w:val="00063E36"/>
    <w:rsid w:val="00063E4F"/>
    <w:rsid w:val="0006482C"/>
    <w:rsid w:val="00064C99"/>
    <w:rsid w:val="00065094"/>
    <w:rsid w:val="00065D14"/>
    <w:rsid w:val="000663BB"/>
    <w:rsid w:val="00066796"/>
    <w:rsid w:val="00066FF5"/>
    <w:rsid w:val="00067BAA"/>
    <w:rsid w:val="0007066E"/>
    <w:rsid w:val="00070F16"/>
    <w:rsid w:val="00070F58"/>
    <w:rsid w:val="00070F5E"/>
    <w:rsid w:val="00071BF5"/>
    <w:rsid w:val="0007299F"/>
    <w:rsid w:val="00072ADA"/>
    <w:rsid w:val="00073C8F"/>
    <w:rsid w:val="0007432D"/>
    <w:rsid w:val="0007520C"/>
    <w:rsid w:val="00076049"/>
    <w:rsid w:val="0007643D"/>
    <w:rsid w:val="000764B7"/>
    <w:rsid w:val="000770C5"/>
    <w:rsid w:val="0007748C"/>
    <w:rsid w:val="00077C07"/>
    <w:rsid w:val="00080D70"/>
    <w:rsid w:val="00081819"/>
    <w:rsid w:val="000818CC"/>
    <w:rsid w:val="00081990"/>
    <w:rsid w:val="00081B1A"/>
    <w:rsid w:val="00081F74"/>
    <w:rsid w:val="000823A1"/>
    <w:rsid w:val="00082BEF"/>
    <w:rsid w:val="0008336E"/>
    <w:rsid w:val="00084775"/>
    <w:rsid w:val="00084ECA"/>
    <w:rsid w:val="0008533A"/>
    <w:rsid w:val="00085ADF"/>
    <w:rsid w:val="00086B4B"/>
    <w:rsid w:val="000873B4"/>
    <w:rsid w:val="0009012B"/>
    <w:rsid w:val="000901AC"/>
    <w:rsid w:val="000902D5"/>
    <w:rsid w:val="00090543"/>
    <w:rsid w:val="000907CF"/>
    <w:rsid w:val="00090D25"/>
    <w:rsid w:val="000914AE"/>
    <w:rsid w:val="000920F9"/>
    <w:rsid w:val="00092248"/>
    <w:rsid w:val="00092382"/>
    <w:rsid w:val="0009310B"/>
    <w:rsid w:val="00093AE9"/>
    <w:rsid w:val="00093CDC"/>
    <w:rsid w:val="000945F3"/>
    <w:rsid w:val="0009548C"/>
    <w:rsid w:val="00095BEF"/>
    <w:rsid w:val="00095CC6"/>
    <w:rsid w:val="00095D58"/>
    <w:rsid w:val="0009609F"/>
    <w:rsid w:val="00096239"/>
    <w:rsid w:val="00096F9B"/>
    <w:rsid w:val="000971A3"/>
    <w:rsid w:val="00097DAC"/>
    <w:rsid w:val="00097E70"/>
    <w:rsid w:val="00097ED2"/>
    <w:rsid w:val="000A05D3"/>
    <w:rsid w:val="000A09B3"/>
    <w:rsid w:val="000A0D27"/>
    <w:rsid w:val="000A13B6"/>
    <w:rsid w:val="000A1798"/>
    <w:rsid w:val="000A1ED3"/>
    <w:rsid w:val="000A22E0"/>
    <w:rsid w:val="000A28E6"/>
    <w:rsid w:val="000A2B34"/>
    <w:rsid w:val="000A3264"/>
    <w:rsid w:val="000A3833"/>
    <w:rsid w:val="000A4131"/>
    <w:rsid w:val="000A46CF"/>
    <w:rsid w:val="000A54A4"/>
    <w:rsid w:val="000A5B25"/>
    <w:rsid w:val="000A6C59"/>
    <w:rsid w:val="000A74AF"/>
    <w:rsid w:val="000A7E0D"/>
    <w:rsid w:val="000B18EF"/>
    <w:rsid w:val="000B1AED"/>
    <w:rsid w:val="000B2026"/>
    <w:rsid w:val="000B212B"/>
    <w:rsid w:val="000B21D4"/>
    <w:rsid w:val="000B376A"/>
    <w:rsid w:val="000B3E32"/>
    <w:rsid w:val="000B436E"/>
    <w:rsid w:val="000B4734"/>
    <w:rsid w:val="000B4843"/>
    <w:rsid w:val="000B53E4"/>
    <w:rsid w:val="000B55A0"/>
    <w:rsid w:val="000B5769"/>
    <w:rsid w:val="000B7B19"/>
    <w:rsid w:val="000C0691"/>
    <w:rsid w:val="000C080C"/>
    <w:rsid w:val="000C09A9"/>
    <w:rsid w:val="000C0D64"/>
    <w:rsid w:val="000C1371"/>
    <w:rsid w:val="000C2BC4"/>
    <w:rsid w:val="000C3773"/>
    <w:rsid w:val="000C3F07"/>
    <w:rsid w:val="000C41E4"/>
    <w:rsid w:val="000C4280"/>
    <w:rsid w:val="000C4EEA"/>
    <w:rsid w:val="000C5C9E"/>
    <w:rsid w:val="000C5E19"/>
    <w:rsid w:val="000C6A17"/>
    <w:rsid w:val="000C7456"/>
    <w:rsid w:val="000C77F5"/>
    <w:rsid w:val="000D03FE"/>
    <w:rsid w:val="000D17D0"/>
    <w:rsid w:val="000D1973"/>
    <w:rsid w:val="000D1F63"/>
    <w:rsid w:val="000D2FAC"/>
    <w:rsid w:val="000D33A8"/>
    <w:rsid w:val="000D41DE"/>
    <w:rsid w:val="000D4756"/>
    <w:rsid w:val="000D5974"/>
    <w:rsid w:val="000D5BBD"/>
    <w:rsid w:val="000D5D25"/>
    <w:rsid w:val="000D5DFB"/>
    <w:rsid w:val="000D6AF5"/>
    <w:rsid w:val="000D7113"/>
    <w:rsid w:val="000D7F28"/>
    <w:rsid w:val="000E0EAF"/>
    <w:rsid w:val="000E1B08"/>
    <w:rsid w:val="000E3E27"/>
    <w:rsid w:val="000E44B4"/>
    <w:rsid w:val="000E4687"/>
    <w:rsid w:val="000E4712"/>
    <w:rsid w:val="000E4936"/>
    <w:rsid w:val="000E4975"/>
    <w:rsid w:val="000E49E8"/>
    <w:rsid w:val="000E5B8E"/>
    <w:rsid w:val="000E6045"/>
    <w:rsid w:val="000E62FB"/>
    <w:rsid w:val="000E6BD1"/>
    <w:rsid w:val="000E6BD5"/>
    <w:rsid w:val="000E6EBA"/>
    <w:rsid w:val="000E7473"/>
    <w:rsid w:val="000E775F"/>
    <w:rsid w:val="000F0DE4"/>
    <w:rsid w:val="000F1C1A"/>
    <w:rsid w:val="000F2557"/>
    <w:rsid w:val="000F25B1"/>
    <w:rsid w:val="000F314F"/>
    <w:rsid w:val="000F3288"/>
    <w:rsid w:val="000F36F3"/>
    <w:rsid w:val="000F41EA"/>
    <w:rsid w:val="000F443B"/>
    <w:rsid w:val="000F503C"/>
    <w:rsid w:val="000F739A"/>
    <w:rsid w:val="000F7F0E"/>
    <w:rsid w:val="001001BA"/>
    <w:rsid w:val="00100C65"/>
    <w:rsid w:val="00100CD8"/>
    <w:rsid w:val="00101D0F"/>
    <w:rsid w:val="001058E5"/>
    <w:rsid w:val="00107426"/>
    <w:rsid w:val="00107F42"/>
    <w:rsid w:val="001101B5"/>
    <w:rsid w:val="00110511"/>
    <w:rsid w:val="001110F5"/>
    <w:rsid w:val="00111734"/>
    <w:rsid w:val="00112526"/>
    <w:rsid w:val="00112F50"/>
    <w:rsid w:val="0011372C"/>
    <w:rsid w:val="001141AD"/>
    <w:rsid w:val="001153AE"/>
    <w:rsid w:val="00115B9B"/>
    <w:rsid w:val="001171EC"/>
    <w:rsid w:val="001179E0"/>
    <w:rsid w:val="00117E5E"/>
    <w:rsid w:val="001202AF"/>
    <w:rsid w:val="001202D2"/>
    <w:rsid w:val="00120385"/>
    <w:rsid w:val="001203A9"/>
    <w:rsid w:val="001212FB"/>
    <w:rsid w:val="00121487"/>
    <w:rsid w:val="00121709"/>
    <w:rsid w:val="00121946"/>
    <w:rsid w:val="00121D22"/>
    <w:rsid w:val="00124743"/>
    <w:rsid w:val="001247B3"/>
    <w:rsid w:val="001253D9"/>
    <w:rsid w:val="00125841"/>
    <w:rsid w:val="00126CAF"/>
    <w:rsid w:val="00126DCB"/>
    <w:rsid w:val="001277D2"/>
    <w:rsid w:val="00127F03"/>
    <w:rsid w:val="00127FF8"/>
    <w:rsid w:val="001306B8"/>
    <w:rsid w:val="00131340"/>
    <w:rsid w:val="00132782"/>
    <w:rsid w:val="001328AA"/>
    <w:rsid w:val="001329D7"/>
    <w:rsid w:val="00132FBE"/>
    <w:rsid w:val="001332E5"/>
    <w:rsid w:val="0013358B"/>
    <w:rsid w:val="00133AB1"/>
    <w:rsid w:val="001350E3"/>
    <w:rsid w:val="0013594B"/>
    <w:rsid w:val="00135B30"/>
    <w:rsid w:val="00135E6F"/>
    <w:rsid w:val="00136058"/>
    <w:rsid w:val="00136F8A"/>
    <w:rsid w:val="00137208"/>
    <w:rsid w:val="00137451"/>
    <w:rsid w:val="00137CE9"/>
    <w:rsid w:val="001405DB"/>
    <w:rsid w:val="00141059"/>
    <w:rsid w:val="00141271"/>
    <w:rsid w:val="001426E0"/>
    <w:rsid w:val="00143542"/>
    <w:rsid w:val="001436FF"/>
    <w:rsid w:val="00143A94"/>
    <w:rsid w:val="001449AC"/>
    <w:rsid w:val="0014531D"/>
    <w:rsid w:val="00145743"/>
    <w:rsid w:val="00146296"/>
    <w:rsid w:val="0014659C"/>
    <w:rsid w:val="00146773"/>
    <w:rsid w:val="00146AB4"/>
    <w:rsid w:val="00146FDA"/>
    <w:rsid w:val="00150882"/>
    <w:rsid w:val="0015092E"/>
    <w:rsid w:val="00150BEC"/>
    <w:rsid w:val="001512BB"/>
    <w:rsid w:val="001523FB"/>
    <w:rsid w:val="00152F6D"/>
    <w:rsid w:val="00153084"/>
    <w:rsid w:val="001537A9"/>
    <w:rsid w:val="00154C4D"/>
    <w:rsid w:val="00156277"/>
    <w:rsid w:val="00156D93"/>
    <w:rsid w:val="00157183"/>
    <w:rsid w:val="00157332"/>
    <w:rsid w:val="001573AC"/>
    <w:rsid w:val="001577A7"/>
    <w:rsid w:val="00157DEA"/>
    <w:rsid w:val="00160906"/>
    <w:rsid w:val="00160CA3"/>
    <w:rsid w:val="00161130"/>
    <w:rsid w:val="0016212A"/>
    <w:rsid w:val="001624F0"/>
    <w:rsid w:val="00162AA6"/>
    <w:rsid w:val="00163C02"/>
    <w:rsid w:val="00164DE9"/>
    <w:rsid w:val="001669FC"/>
    <w:rsid w:val="0017020B"/>
    <w:rsid w:val="001702E1"/>
    <w:rsid w:val="001731BD"/>
    <w:rsid w:val="00173AD8"/>
    <w:rsid w:val="00173FA6"/>
    <w:rsid w:val="00174415"/>
    <w:rsid w:val="001744BC"/>
    <w:rsid w:val="00175132"/>
    <w:rsid w:val="00175FA9"/>
    <w:rsid w:val="0017665B"/>
    <w:rsid w:val="00176683"/>
    <w:rsid w:val="00176F24"/>
    <w:rsid w:val="00176F36"/>
    <w:rsid w:val="0017726F"/>
    <w:rsid w:val="00180346"/>
    <w:rsid w:val="0018063A"/>
    <w:rsid w:val="00180980"/>
    <w:rsid w:val="00181A8F"/>
    <w:rsid w:val="00182110"/>
    <w:rsid w:val="00182B36"/>
    <w:rsid w:val="00183917"/>
    <w:rsid w:val="001844CC"/>
    <w:rsid w:val="001861B7"/>
    <w:rsid w:val="001861C6"/>
    <w:rsid w:val="001864BB"/>
    <w:rsid w:val="0018791D"/>
    <w:rsid w:val="0019047F"/>
    <w:rsid w:val="00190670"/>
    <w:rsid w:val="00191B84"/>
    <w:rsid w:val="00191C6B"/>
    <w:rsid w:val="001922ED"/>
    <w:rsid w:val="0019398B"/>
    <w:rsid w:val="00193EA2"/>
    <w:rsid w:val="001942D8"/>
    <w:rsid w:val="00195333"/>
    <w:rsid w:val="0019567E"/>
    <w:rsid w:val="00195AC3"/>
    <w:rsid w:val="00195D5D"/>
    <w:rsid w:val="00197597"/>
    <w:rsid w:val="001A1352"/>
    <w:rsid w:val="001A38D0"/>
    <w:rsid w:val="001A4384"/>
    <w:rsid w:val="001A605A"/>
    <w:rsid w:val="001A62C3"/>
    <w:rsid w:val="001A67E2"/>
    <w:rsid w:val="001A7E27"/>
    <w:rsid w:val="001A7F82"/>
    <w:rsid w:val="001B10F7"/>
    <w:rsid w:val="001B14BB"/>
    <w:rsid w:val="001B1DFD"/>
    <w:rsid w:val="001B31B5"/>
    <w:rsid w:val="001B5376"/>
    <w:rsid w:val="001B617C"/>
    <w:rsid w:val="001B69B6"/>
    <w:rsid w:val="001B6D9F"/>
    <w:rsid w:val="001B6DF7"/>
    <w:rsid w:val="001B6E42"/>
    <w:rsid w:val="001B7A82"/>
    <w:rsid w:val="001B7EAB"/>
    <w:rsid w:val="001C0E48"/>
    <w:rsid w:val="001C149D"/>
    <w:rsid w:val="001C197B"/>
    <w:rsid w:val="001C1D3C"/>
    <w:rsid w:val="001C2019"/>
    <w:rsid w:val="001C20BD"/>
    <w:rsid w:val="001C21AD"/>
    <w:rsid w:val="001C2789"/>
    <w:rsid w:val="001C2BB9"/>
    <w:rsid w:val="001C396A"/>
    <w:rsid w:val="001C44BE"/>
    <w:rsid w:val="001C4746"/>
    <w:rsid w:val="001C4B79"/>
    <w:rsid w:val="001C4B91"/>
    <w:rsid w:val="001C4D52"/>
    <w:rsid w:val="001C77F6"/>
    <w:rsid w:val="001D0092"/>
    <w:rsid w:val="001D0C22"/>
    <w:rsid w:val="001D20E0"/>
    <w:rsid w:val="001D38EF"/>
    <w:rsid w:val="001D4C3A"/>
    <w:rsid w:val="001D5252"/>
    <w:rsid w:val="001D5CF1"/>
    <w:rsid w:val="001D6399"/>
    <w:rsid w:val="001D66E0"/>
    <w:rsid w:val="001D6CDC"/>
    <w:rsid w:val="001D78F8"/>
    <w:rsid w:val="001E070D"/>
    <w:rsid w:val="001E0A5B"/>
    <w:rsid w:val="001E1055"/>
    <w:rsid w:val="001E19FB"/>
    <w:rsid w:val="001E2941"/>
    <w:rsid w:val="001E2A47"/>
    <w:rsid w:val="001E2C90"/>
    <w:rsid w:val="001E39AA"/>
    <w:rsid w:val="001E3A5A"/>
    <w:rsid w:val="001E426E"/>
    <w:rsid w:val="001E4A28"/>
    <w:rsid w:val="001E50B5"/>
    <w:rsid w:val="001E5A26"/>
    <w:rsid w:val="001E5A6F"/>
    <w:rsid w:val="001E6050"/>
    <w:rsid w:val="001E6509"/>
    <w:rsid w:val="001E6678"/>
    <w:rsid w:val="001E73B1"/>
    <w:rsid w:val="001F047A"/>
    <w:rsid w:val="001F05CA"/>
    <w:rsid w:val="001F112F"/>
    <w:rsid w:val="001F2515"/>
    <w:rsid w:val="001F2689"/>
    <w:rsid w:val="001F292D"/>
    <w:rsid w:val="001F3453"/>
    <w:rsid w:val="001F41BE"/>
    <w:rsid w:val="001F4313"/>
    <w:rsid w:val="001F481E"/>
    <w:rsid w:val="001F50C3"/>
    <w:rsid w:val="001F5C77"/>
    <w:rsid w:val="001F5DE7"/>
    <w:rsid w:val="001F694B"/>
    <w:rsid w:val="001F71E4"/>
    <w:rsid w:val="001F71E5"/>
    <w:rsid w:val="001F73FC"/>
    <w:rsid w:val="0020023F"/>
    <w:rsid w:val="002007BE"/>
    <w:rsid w:val="00200BF2"/>
    <w:rsid w:val="00200E80"/>
    <w:rsid w:val="00201646"/>
    <w:rsid w:val="00201DD0"/>
    <w:rsid w:val="002022F3"/>
    <w:rsid w:val="002040DB"/>
    <w:rsid w:val="00204406"/>
    <w:rsid w:val="0020471E"/>
    <w:rsid w:val="00204F3C"/>
    <w:rsid w:val="00205038"/>
    <w:rsid w:val="0020761F"/>
    <w:rsid w:val="00207A3A"/>
    <w:rsid w:val="00210230"/>
    <w:rsid w:val="002103E6"/>
    <w:rsid w:val="00210B59"/>
    <w:rsid w:val="00210C5F"/>
    <w:rsid w:val="002112B7"/>
    <w:rsid w:val="002113CA"/>
    <w:rsid w:val="0021143D"/>
    <w:rsid w:val="00212BF3"/>
    <w:rsid w:val="002133D8"/>
    <w:rsid w:val="00213548"/>
    <w:rsid w:val="00213C0F"/>
    <w:rsid w:val="00214338"/>
    <w:rsid w:val="00214994"/>
    <w:rsid w:val="00214EC5"/>
    <w:rsid w:val="00215A19"/>
    <w:rsid w:val="00215F4C"/>
    <w:rsid w:val="00216E4D"/>
    <w:rsid w:val="00216FA8"/>
    <w:rsid w:val="00217F89"/>
    <w:rsid w:val="00217FDA"/>
    <w:rsid w:val="00220AC6"/>
    <w:rsid w:val="00220AD8"/>
    <w:rsid w:val="0022115A"/>
    <w:rsid w:val="002216B8"/>
    <w:rsid w:val="00221B2D"/>
    <w:rsid w:val="002222C9"/>
    <w:rsid w:val="00222F8C"/>
    <w:rsid w:val="00223CB0"/>
    <w:rsid w:val="0022401D"/>
    <w:rsid w:val="002244C8"/>
    <w:rsid w:val="0022491C"/>
    <w:rsid w:val="00224AEF"/>
    <w:rsid w:val="0022565A"/>
    <w:rsid w:val="00225FAE"/>
    <w:rsid w:val="00226050"/>
    <w:rsid w:val="00226C03"/>
    <w:rsid w:val="002272BC"/>
    <w:rsid w:val="00227A31"/>
    <w:rsid w:val="00227DE7"/>
    <w:rsid w:val="002305F9"/>
    <w:rsid w:val="00231F09"/>
    <w:rsid w:val="0023208C"/>
    <w:rsid w:val="00232708"/>
    <w:rsid w:val="002336A4"/>
    <w:rsid w:val="00233A22"/>
    <w:rsid w:val="00234438"/>
    <w:rsid w:val="00234B9D"/>
    <w:rsid w:val="002358B9"/>
    <w:rsid w:val="002361FE"/>
    <w:rsid w:val="0023691C"/>
    <w:rsid w:val="002369CE"/>
    <w:rsid w:val="0023787F"/>
    <w:rsid w:val="00237937"/>
    <w:rsid w:val="00240AC8"/>
    <w:rsid w:val="00241379"/>
    <w:rsid w:val="00241894"/>
    <w:rsid w:val="002439D0"/>
    <w:rsid w:val="00243E3F"/>
    <w:rsid w:val="002447EE"/>
    <w:rsid w:val="00244B3F"/>
    <w:rsid w:val="00245016"/>
    <w:rsid w:val="002457E4"/>
    <w:rsid w:val="00247119"/>
    <w:rsid w:val="002479D2"/>
    <w:rsid w:val="002509FC"/>
    <w:rsid w:val="00250E7B"/>
    <w:rsid w:val="00252442"/>
    <w:rsid w:val="002525A0"/>
    <w:rsid w:val="00255579"/>
    <w:rsid w:val="0025643A"/>
    <w:rsid w:val="00256768"/>
    <w:rsid w:val="00256CCB"/>
    <w:rsid w:val="0025711B"/>
    <w:rsid w:val="00257285"/>
    <w:rsid w:val="00257555"/>
    <w:rsid w:val="0026045D"/>
    <w:rsid w:val="002606FC"/>
    <w:rsid w:val="00260D3C"/>
    <w:rsid w:val="0026125D"/>
    <w:rsid w:val="00261F7B"/>
    <w:rsid w:val="0026317E"/>
    <w:rsid w:val="0026319C"/>
    <w:rsid w:val="00263A58"/>
    <w:rsid w:val="00263F3B"/>
    <w:rsid w:val="00263F60"/>
    <w:rsid w:val="00264673"/>
    <w:rsid w:val="00264927"/>
    <w:rsid w:val="00264A47"/>
    <w:rsid w:val="002659AD"/>
    <w:rsid w:val="002659DB"/>
    <w:rsid w:val="0026755F"/>
    <w:rsid w:val="00267CB2"/>
    <w:rsid w:val="00270B75"/>
    <w:rsid w:val="00270DC1"/>
    <w:rsid w:val="0027182B"/>
    <w:rsid w:val="00271A74"/>
    <w:rsid w:val="00271F44"/>
    <w:rsid w:val="002720E2"/>
    <w:rsid w:val="00272BD9"/>
    <w:rsid w:val="00272F10"/>
    <w:rsid w:val="00273337"/>
    <w:rsid w:val="00273A91"/>
    <w:rsid w:val="00273BB7"/>
    <w:rsid w:val="002740E3"/>
    <w:rsid w:val="002741E6"/>
    <w:rsid w:val="00274B22"/>
    <w:rsid w:val="002754D2"/>
    <w:rsid w:val="00275771"/>
    <w:rsid w:val="00275A36"/>
    <w:rsid w:val="00277311"/>
    <w:rsid w:val="00277748"/>
    <w:rsid w:val="00277A84"/>
    <w:rsid w:val="00280F90"/>
    <w:rsid w:val="00282AE7"/>
    <w:rsid w:val="002831F2"/>
    <w:rsid w:val="00284324"/>
    <w:rsid w:val="00284373"/>
    <w:rsid w:val="00285397"/>
    <w:rsid w:val="002867EC"/>
    <w:rsid w:val="00287930"/>
    <w:rsid w:val="002906C9"/>
    <w:rsid w:val="002928F2"/>
    <w:rsid w:val="00292DE4"/>
    <w:rsid w:val="00293071"/>
    <w:rsid w:val="00294E3F"/>
    <w:rsid w:val="00295B68"/>
    <w:rsid w:val="00296142"/>
    <w:rsid w:val="002969D8"/>
    <w:rsid w:val="00297E20"/>
    <w:rsid w:val="00297F26"/>
    <w:rsid w:val="002A1179"/>
    <w:rsid w:val="002A2161"/>
    <w:rsid w:val="002A4F54"/>
    <w:rsid w:val="002A5BF5"/>
    <w:rsid w:val="002A695D"/>
    <w:rsid w:val="002A6B5B"/>
    <w:rsid w:val="002B07DA"/>
    <w:rsid w:val="002B0B56"/>
    <w:rsid w:val="002B1CBE"/>
    <w:rsid w:val="002B2A2B"/>
    <w:rsid w:val="002B2F5C"/>
    <w:rsid w:val="002B352F"/>
    <w:rsid w:val="002B5095"/>
    <w:rsid w:val="002B58AE"/>
    <w:rsid w:val="002B663A"/>
    <w:rsid w:val="002B724B"/>
    <w:rsid w:val="002B7303"/>
    <w:rsid w:val="002B746F"/>
    <w:rsid w:val="002B7543"/>
    <w:rsid w:val="002C0242"/>
    <w:rsid w:val="002C04D4"/>
    <w:rsid w:val="002C06B5"/>
    <w:rsid w:val="002C08C2"/>
    <w:rsid w:val="002C12E4"/>
    <w:rsid w:val="002C14E7"/>
    <w:rsid w:val="002C16FB"/>
    <w:rsid w:val="002C1AE9"/>
    <w:rsid w:val="002C1E0D"/>
    <w:rsid w:val="002C2113"/>
    <w:rsid w:val="002C24F2"/>
    <w:rsid w:val="002C29AE"/>
    <w:rsid w:val="002C3655"/>
    <w:rsid w:val="002C3D7B"/>
    <w:rsid w:val="002C46A1"/>
    <w:rsid w:val="002C4D3F"/>
    <w:rsid w:val="002C5A17"/>
    <w:rsid w:val="002C6202"/>
    <w:rsid w:val="002C677A"/>
    <w:rsid w:val="002C6A88"/>
    <w:rsid w:val="002C6D1A"/>
    <w:rsid w:val="002D0E3E"/>
    <w:rsid w:val="002D1168"/>
    <w:rsid w:val="002D1710"/>
    <w:rsid w:val="002D1F81"/>
    <w:rsid w:val="002D1FC3"/>
    <w:rsid w:val="002D278A"/>
    <w:rsid w:val="002D27F6"/>
    <w:rsid w:val="002D2CEB"/>
    <w:rsid w:val="002D3883"/>
    <w:rsid w:val="002D561E"/>
    <w:rsid w:val="002D56DE"/>
    <w:rsid w:val="002D5763"/>
    <w:rsid w:val="002D5DE5"/>
    <w:rsid w:val="002D620D"/>
    <w:rsid w:val="002D67B8"/>
    <w:rsid w:val="002D6BA7"/>
    <w:rsid w:val="002D751C"/>
    <w:rsid w:val="002D7AF9"/>
    <w:rsid w:val="002E1E64"/>
    <w:rsid w:val="002E24AD"/>
    <w:rsid w:val="002E4677"/>
    <w:rsid w:val="002E5120"/>
    <w:rsid w:val="002E5E37"/>
    <w:rsid w:val="002E6823"/>
    <w:rsid w:val="002E72C0"/>
    <w:rsid w:val="002E7763"/>
    <w:rsid w:val="002F043C"/>
    <w:rsid w:val="002F1AFE"/>
    <w:rsid w:val="002F3CBA"/>
    <w:rsid w:val="002F443E"/>
    <w:rsid w:val="002F52AA"/>
    <w:rsid w:val="002F6672"/>
    <w:rsid w:val="002F6CDA"/>
    <w:rsid w:val="002F78BC"/>
    <w:rsid w:val="002F7D33"/>
    <w:rsid w:val="002F7E8C"/>
    <w:rsid w:val="002F7F21"/>
    <w:rsid w:val="003000F4"/>
    <w:rsid w:val="00300447"/>
    <w:rsid w:val="00300690"/>
    <w:rsid w:val="00300D5A"/>
    <w:rsid w:val="00301246"/>
    <w:rsid w:val="003022EA"/>
    <w:rsid w:val="00302B3B"/>
    <w:rsid w:val="0030343E"/>
    <w:rsid w:val="00303C97"/>
    <w:rsid w:val="00304C0C"/>
    <w:rsid w:val="00304D9A"/>
    <w:rsid w:val="00305216"/>
    <w:rsid w:val="0030548F"/>
    <w:rsid w:val="00305527"/>
    <w:rsid w:val="00305D93"/>
    <w:rsid w:val="003071D4"/>
    <w:rsid w:val="00307867"/>
    <w:rsid w:val="00310C43"/>
    <w:rsid w:val="00311156"/>
    <w:rsid w:val="00312E02"/>
    <w:rsid w:val="00312E8F"/>
    <w:rsid w:val="00313145"/>
    <w:rsid w:val="00313540"/>
    <w:rsid w:val="00314327"/>
    <w:rsid w:val="0031476C"/>
    <w:rsid w:val="00315767"/>
    <w:rsid w:val="00315DBD"/>
    <w:rsid w:val="00316280"/>
    <w:rsid w:val="003208BB"/>
    <w:rsid w:val="003218A3"/>
    <w:rsid w:val="0032282B"/>
    <w:rsid w:val="00322A04"/>
    <w:rsid w:val="00322CD1"/>
    <w:rsid w:val="003233F3"/>
    <w:rsid w:val="00323A65"/>
    <w:rsid w:val="00324E0F"/>
    <w:rsid w:val="0032586B"/>
    <w:rsid w:val="00325F54"/>
    <w:rsid w:val="00326376"/>
    <w:rsid w:val="00326B63"/>
    <w:rsid w:val="0033064C"/>
    <w:rsid w:val="00330F69"/>
    <w:rsid w:val="003312F5"/>
    <w:rsid w:val="003329A7"/>
    <w:rsid w:val="00333223"/>
    <w:rsid w:val="00333900"/>
    <w:rsid w:val="00333B11"/>
    <w:rsid w:val="003345D1"/>
    <w:rsid w:val="00334695"/>
    <w:rsid w:val="0033568B"/>
    <w:rsid w:val="00335F44"/>
    <w:rsid w:val="00336F50"/>
    <w:rsid w:val="003377EA"/>
    <w:rsid w:val="00337F8B"/>
    <w:rsid w:val="00340051"/>
    <w:rsid w:val="00341531"/>
    <w:rsid w:val="003417E6"/>
    <w:rsid w:val="00341B16"/>
    <w:rsid w:val="003433ED"/>
    <w:rsid w:val="0034389D"/>
    <w:rsid w:val="00343AE5"/>
    <w:rsid w:val="00345DE5"/>
    <w:rsid w:val="003466C9"/>
    <w:rsid w:val="00346A0D"/>
    <w:rsid w:val="00352922"/>
    <w:rsid w:val="0035377E"/>
    <w:rsid w:val="00353C5C"/>
    <w:rsid w:val="003560DA"/>
    <w:rsid w:val="00356667"/>
    <w:rsid w:val="00356781"/>
    <w:rsid w:val="0035798E"/>
    <w:rsid w:val="0036029E"/>
    <w:rsid w:val="0036087C"/>
    <w:rsid w:val="00360DEC"/>
    <w:rsid w:val="00360FFB"/>
    <w:rsid w:val="003610AE"/>
    <w:rsid w:val="00361E47"/>
    <w:rsid w:val="00362208"/>
    <w:rsid w:val="0036233A"/>
    <w:rsid w:val="003630B9"/>
    <w:rsid w:val="00363606"/>
    <w:rsid w:val="00363858"/>
    <w:rsid w:val="0036401A"/>
    <w:rsid w:val="003646CD"/>
    <w:rsid w:val="00364C67"/>
    <w:rsid w:val="0036700C"/>
    <w:rsid w:val="003671D7"/>
    <w:rsid w:val="00367CDE"/>
    <w:rsid w:val="0037021F"/>
    <w:rsid w:val="00370483"/>
    <w:rsid w:val="0037097C"/>
    <w:rsid w:val="00370F23"/>
    <w:rsid w:val="00371234"/>
    <w:rsid w:val="00372D99"/>
    <w:rsid w:val="00372EAD"/>
    <w:rsid w:val="003733B1"/>
    <w:rsid w:val="00373B85"/>
    <w:rsid w:val="00374662"/>
    <w:rsid w:val="0037467E"/>
    <w:rsid w:val="003746D2"/>
    <w:rsid w:val="003761FE"/>
    <w:rsid w:val="00376527"/>
    <w:rsid w:val="00376B40"/>
    <w:rsid w:val="0037700B"/>
    <w:rsid w:val="003770BE"/>
    <w:rsid w:val="003776D7"/>
    <w:rsid w:val="00381C65"/>
    <w:rsid w:val="00382A7D"/>
    <w:rsid w:val="00383947"/>
    <w:rsid w:val="00384A08"/>
    <w:rsid w:val="00384C4A"/>
    <w:rsid w:val="003853FA"/>
    <w:rsid w:val="00385715"/>
    <w:rsid w:val="0038572E"/>
    <w:rsid w:val="00385AB7"/>
    <w:rsid w:val="00385CBD"/>
    <w:rsid w:val="003869E3"/>
    <w:rsid w:val="0038729C"/>
    <w:rsid w:val="003908CC"/>
    <w:rsid w:val="00390C74"/>
    <w:rsid w:val="00391081"/>
    <w:rsid w:val="003912E4"/>
    <w:rsid w:val="003922F1"/>
    <w:rsid w:val="003926F3"/>
    <w:rsid w:val="003928A7"/>
    <w:rsid w:val="00392D00"/>
    <w:rsid w:val="00393979"/>
    <w:rsid w:val="0039525B"/>
    <w:rsid w:val="00395B63"/>
    <w:rsid w:val="003963A4"/>
    <w:rsid w:val="0039695C"/>
    <w:rsid w:val="00397009"/>
    <w:rsid w:val="0039769F"/>
    <w:rsid w:val="003A0AB4"/>
    <w:rsid w:val="003A1ECB"/>
    <w:rsid w:val="003A2145"/>
    <w:rsid w:val="003A2630"/>
    <w:rsid w:val="003A2D34"/>
    <w:rsid w:val="003A337B"/>
    <w:rsid w:val="003A3468"/>
    <w:rsid w:val="003A35A0"/>
    <w:rsid w:val="003A3E9D"/>
    <w:rsid w:val="003A3F2C"/>
    <w:rsid w:val="003A4CB1"/>
    <w:rsid w:val="003A5DBB"/>
    <w:rsid w:val="003A5EEF"/>
    <w:rsid w:val="003A6748"/>
    <w:rsid w:val="003A6CA9"/>
    <w:rsid w:val="003A7699"/>
    <w:rsid w:val="003A7C0F"/>
    <w:rsid w:val="003B06C0"/>
    <w:rsid w:val="003B10C2"/>
    <w:rsid w:val="003B1387"/>
    <w:rsid w:val="003B2842"/>
    <w:rsid w:val="003B30AD"/>
    <w:rsid w:val="003B3112"/>
    <w:rsid w:val="003B3890"/>
    <w:rsid w:val="003B3D89"/>
    <w:rsid w:val="003B3E23"/>
    <w:rsid w:val="003B5CC8"/>
    <w:rsid w:val="003B6247"/>
    <w:rsid w:val="003B6999"/>
    <w:rsid w:val="003C07D2"/>
    <w:rsid w:val="003C0F1D"/>
    <w:rsid w:val="003C17C3"/>
    <w:rsid w:val="003C1D09"/>
    <w:rsid w:val="003C1DC4"/>
    <w:rsid w:val="003C254B"/>
    <w:rsid w:val="003C2930"/>
    <w:rsid w:val="003C387E"/>
    <w:rsid w:val="003C462C"/>
    <w:rsid w:val="003C568E"/>
    <w:rsid w:val="003C5850"/>
    <w:rsid w:val="003C6436"/>
    <w:rsid w:val="003C7C25"/>
    <w:rsid w:val="003D038F"/>
    <w:rsid w:val="003D1DBA"/>
    <w:rsid w:val="003D22BF"/>
    <w:rsid w:val="003D29BF"/>
    <w:rsid w:val="003D2ADD"/>
    <w:rsid w:val="003D2E69"/>
    <w:rsid w:val="003D34ED"/>
    <w:rsid w:val="003D3B49"/>
    <w:rsid w:val="003D3C3D"/>
    <w:rsid w:val="003D3D98"/>
    <w:rsid w:val="003D4257"/>
    <w:rsid w:val="003D462B"/>
    <w:rsid w:val="003D5204"/>
    <w:rsid w:val="003D6190"/>
    <w:rsid w:val="003D7086"/>
    <w:rsid w:val="003D734E"/>
    <w:rsid w:val="003D743F"/>
    <w:rsid w:val="003D7DD3"/>
    <w:rsid w:val="003E06C1"/>
    <w:rsid w:val="003E121C"/>
    <w:rsid w:val="003E132C"/>
    <w:rsid w:val="003E374B"/>
    <w:rsid w:val="003E414F"/>
    <w:rsid w:val="003E4393"/>
    <w:rsid w:val="003E4C9D"/>
    <w:rsid w:val="003E5C35"/>
    <w:rsid w:val="003E7118"/>
    <w:rsid w:val="003F239B"/>
    <w:rsid w:val="003F2AAC"/>
    <w:rsid w:val="003F2DF3"/>
    <w:rsid w:val="003F2F92"/>
    <w:rsid w:val="003F4629"/>
    <w:rsid w:val="003F5FC7"/>
    <w:rsid w:val="003F6DFB"/>
    <w:rsid w:val="003F7003"/>
    <w:rsid w:val="003F71CB"/>
    <w:rsid w:val="003F73AE"/>
    <w:rsid w:val="003F7434"/>
    <w:rsid w:val="003F76DC"/>
    <w:rsid w:val="00400CAF"/>
    <w:rsid w:val="00400E81"/>
    <w:rsid w:val="00401399"/>
    <w:rsid w:val="00401693"/>
    <w:rsid w:val="004020FC"/>
    <w:rsid w:val="004031F6"/>
    <w:rsid w:val="00403CFD"/>
    <w:rsid w:val="004044EF"/>
    <w:rsid w:val="00404CC1"/>
    <w:rsid w:val="00405002"/>
    <w:rsid w:val="004065A1"/>
    <w:rsid w:val="004065CC"/>
    <w:rsid w:val="00406937"/>
    <w:rsid w:val="0041142A"/>
    <w:rsid w:val="004121F0"/>
    <w:rsid w:val="00412400"/>
    <w:rsid w:val="00412760"/>
    <w:rsid w:val="00412AA9"/>
    <w:rsid w:val="00414160"/>
    <w:rsid w:val="004143EC"/>
    <w:rsid w:val="00414477"/>
    <w:rsid w:val="00414C8B"/>
    <w:rsid w:val="00415665"/>
    <w:rsid w:val="00415F71"/>
    <w:rsid w:val="00416199"/>
    <w:rsid w:val="004163AC"/>
    <w:rsid w:val="00416DDC"/>
    <w:rsid w:val="004176D9"/>
    <w:rsid w:val="0041793A"/>
    <w:rsid w:val="00417B7C"/>
    <w:rsid w:val="00420178"/>
    <w:rsid w:val="00421064"/>
    <w:rsid w:val="004215D1"/>
    <w:rsid w:val="00421A00"/>
    <w:rsid w:val="00422491"/>
    <w:rsid w:val="0042314F"/>
    <w:rsid w:val="004234DA"/>
    <w:rsid w:val="0042360C"/>
    <w:rsid w:val="004243DF"/>
    <w:rsid w:val="00425D59"/>
    <w:rsid w:val="004261E5"/>
    <w:rsid w:val="00426499"/>
    <w:rsid w:val="00426AE2"/>
    <w:rsid w:val="00426B62"/>
    <w:rsid w:val="00426EF7"/>
    <w:rsid w:val="0042723B"/>
    <w:rsid w:val="00427C1A"/>
    <w:rsid w:val="004302A2"/>
    <w:rsid w:val="00430EC2"/>
    <w:rsid w:val="00431417"/>
    <w:rsid w:val="00431AEB"/>
    <w:rsid w:val="0043221B"/>
    <w:rsid w:val="004330FD"/>
    <w:rsid w:val="00433B39"/>
    <w:rsid w:val="00434A65"/>
    <w:rsid w:val="004352AF"/>
    <w:rsid w:val="004361F6"/>
    <w:rsid w:val="00436C26"/>
    <w:rsid w:val="004370EB"/>
    <w:rsid w:val="004373CB"/>
    <w:rsid w:val="00437D95"/>
    <w:rsid w:val="004400AB"/>
    <w:rsid w:val="004403BC"/>
    <w:rsid w:val="004405EA"/>
    <w:rsid w:val="004416BD"/>
    <w:rsid w:val="00442AAD"/>
    <w:rsid w:val="00443199"/>
    <w:rsid w:val="00443BB0"/>
    <w:rsid w:val="00443EE8"/>
    <w:rsid w:val="004447AE"/>
    <w:rsid w:val="00444A10"/>
    <w:rsid w:val="00444B3C"/>
    <w:rsid w:val="00444CDD"/>
    <w:rsid w:val="004450F9"/>
    <w:rsid w:val="004451C9"/>
    <w:rsid w:val="00446661"/>
    <w:rsid w:val="004468DC"/>
    <w:rsid w:val="00446FA9"/>
    <w:rsid w:val="00447BBE"/>
    <w:rsid w:val="00447C35"/>
    <w:rsid w:val="00447E0E"/>
    <w:rsid w:val="004527AA"/>
    <w:rsid w:val="004535CD"/>
    <w:rsid w:val="004541E5"/>
    <w:rsid w:val="00454453"/>
    <w:rsid w:val="004546DD"/>
    <w:rsid w:val="00454BD9"/>
    <w:rsid w:val="004562AA"/>
    <w:rsid w:val="00456566"/>
    <w:rsid w:val="0045687A"/>
    <w:rsid w:val="004579A5"/>
    <w:rsid w:val="00462267"/>
    <w:rsid w:val="00462852"/>
    <w:rsid w:val="00462998"/>
    <w:rsid w:val="00462B28"/>
    <w:rsid w:val="00462ECF"/>
    <w:rsid w:val="00463C3F"/>
    <w:rsid w:val="00464652"/>
    <w:rsid w:val="00464974"/>
    <w:rsid w:val="00465553"/>
    <w:rsid w:val="00465B5B"/>
    <w:rsid w:val="00465D06"/>
    <w:rsid w:val="00465EDE"/>
    <w:rsid w:val="0046638F"/>
    <w:rsid w:val="004670F7"/>
    <w:rsid w:val="00467208"/>
    <w:rsid w:val="004677AD"/>
    <w:rsid w:val="00470439"/>
    <w:rsid w:val="0047052D"/>
    <w:rsid w:val="00471EDD"/>
    <w:rsid w:val="00472987"/>
    <w:rsid w:val="00472B5A"/>
    <w:rsid w:val="00473565"/>
    <w:rsid w:val="004737CD"/>
    <w:rsid w:val="00473983"/>
    <w:rsid w:val="00476F07"/>
    <w:rsid w:val="00477231"/>
    <w:rsid w:val="00477274"/>
    <w:rsid w:val="00477567"/>
    <w:rsid w:val="004800DF"/>
    <w:rsid w:val="00480857"/>
    <w:rsid w:val="00480F2B"/>
    <w:rsid w:val="00481B63"/>
    <w:rsid w:val="00482600"/>
    <w:rsid w:val="00482CBD"/>
    <w:rsid w:val="004836CF"/>
    <w:rsid w:val="00483754"/>
    <w:rsid w:val="00483C05"/>
    <w:rsid w:val="004850F1"/>
    <w:rsid w:val="00485889"/>
    <w:rsid w:val="004867FE"/>
    <w:rsid w:val="00486970"/>
    <w:rsid w:val="00486B72"/>
    <w:rsid w:val="00487525"/>
    <w:rsid w:val="00487978"/>
    <w:rsid w:val="004879EE"/>
    <w:rsid w:val="00490029"/>
    <w:rsid w:val="00491BC6"/>
    <w:rsid w:val="00493423"/>
    <w:rsid w:val="00494154"/>
    <w:rsid w:val="004944FB"/>
    <w:rsid w:val="00494C75"/>
    <w:rsid w:val="00495B05"/>
    <w:rsid w:val="00496179"/>
    <w:rsid w:val="004967BD"/>
    <w:rsid w:val="0049694C"/>
    <w:rsid w:val="0049723F"/>
    <w:rsid w:val="00497A4D"/>
    <w:rsid w:val="00497B5B"/>
    <w:rsid w:val="00497F38"/>
    <w:rsid w:val="004A07AC"/>
    <w:rsid w:val="004A107C"/>
    <w:rsid w:val="004A1848"/>
    <w:rsid w:val="004A1E53"/>
    <w:rsid w:val="004A3082"/>
    <w:rsid w:val="004A3D8A"/>
    <w:rsid w:val="004A4CD6"/>
    <w:rsid w:val="004A4D27"/>
    <w:rsid w:val="004A4EBC"/>
    <w:rsid w:val="004A5666"/>
    <w:rsid w:val="004A5B88"/>
    <w:rsid w:val="004A6438"/>
    <w:rsid w:val="004A6A38"/>
    <w:rsid w:val="004A6E17"/>
    <w:rsid w:val="004A7319"/>
    <w:rsid w:val="004A74E9"/>
    <w:rsid w:val="004A7B3B"/>
    <w:rsid w:val="004A7F3C"/>
    <w:rsid w:val="004A7F95"/>
    <w:rsid w:val="004B2045"/>
    <w:rsid w:val="004B22FB"/>
    <w:rsid w:val="004B2403"/>
    <w:rsid w:val="004B2707"/>
    <w:rsid w:val="004B3063"/>
    <w:rsid w:val="004B309E"/>
    <w:rsid w:val="004B3D20"/>
    <w:rsid w:val="004B4273"/>
    <w:rsid w:val="004B45E8"/>
    <w:rsid w:val="004B49D5"/>
    <w:rsid w:val="004B4F4B"/>
    <w:rsid w:val="004B5A9D"/>
    <w:rsid w:val="004B5B70"/>
    <w:rsid w:val="004B6C61"/>
    <w:rsid w:val="004B7B48"/>
    <w:rsid w:val="004C071B"/>
    <w:rsid w:val="004C0925"/>
    <w:rsid w:val="004C1618"/>
    <w:rsid w:val="004C175F"/>
    <w:rsid w:val="004C2DB2"/>
    <w:rsid w:val="004C2F57"/>
    <w:rsid w:val="004C31B5"/>
    <w:rsid w:val="004C321A"/>
    <w:rsid w:val="004C338D"/>
    <w:rsid w:val="004C531B"/>
    <w:rsid w:val="004C5C28"/>
    <w:rsid w:val="004D0C28"/>
    <w:rsid w:val="004D0D1F"/>
    <w:rsid w:val="004D1095"/>
    <w:rsid w:val="004D192E"/>
    <w:rsid w:val="004D23F0"/>
    <w:rsid w:val="004D2FBF"/>
    <w:rsid w:val="004D32C8"/>
    <w:rsid w:val="004D3D94"/>
    <w:rsid w:val="004D4245"/>
    <w:rsid w:val="004D440F"/>
    <w:rsid w:val="004D49EA"/>
    <w:rsid w:val="004D4A5C"/>
    <w:rsid w:val="004D4ECC"/>
    <w:rsid w:val="004D5152"/>
    <w:rsid w:val="004D54BD"/>
    <w:rsid w:val="004D6224"/>
    <w:rsid w:val="004D67DA"/>
    <w:rsid w:val="004D7481"/>
    <w:rsid w:val="004D7877"/>
    <w:rsid w:val="004D7A6C"/>
    <w:rsid w:val="004E1FE0"/>
    <w:rsid w:val="004E245D"/>
    <w:rsid w:val="004E2CA7"/>
    <w:rsid w:val="004E3E64"/>
    <w:rsid w:val="004E4B56"/>
    <w:rsid w:val="004E546D"/>
    <w:rsid w:val="004E57C8"/>
    <w:rsid w:val="004E5BE5"/>
    <w:rsid w:val="004E5D27"/>
    <w:rsid w:val="004E5D59"/>
    <w:rsid w:val="004E6132"/>
    <w:rsid w:val="004E6F01"/>
    <w:rsid w:val="004E6F68"/>
    <w:rsid w:val="004E72FE"/>
    <w:rsid w:val="004E7520"/>
    <w:rsid w:val="004E762F"/>
    <w:rsid w:val="004F0495"/>
    <w:rsid w:val="004F10D0"/>
    <w:rsid w:val="004F1466"/>
    <w:rsid w:val="004F1E8D"/>
    <w:rsid w:val="004F3A9F"/>
    <w:rsid w:val="004F3B49"/>
    <w:rsid w:val="004F405A"/>
    <w:rsid w:val="004F4282"/>
    <w:rsid w:val="004F4C14"/>
    <w:rsid w:val="004F5FCD"/>
    <w:rsid w:val="004F6500"/>
    <w:rsid w:val="004F77CD"/>
    <w:rsid w:val="004F7B48"/>
    <w:rsid w:val="00500656"/>
    <w:rsid w:val="00500ABD"/>
    <w:rsid w:val="00500DF9"/>
    <w:rsid w:val="00502125"/>
    <w:rsid w:val="00502127"/>
    <w:rsid w:val="0050217F"/>
    <w:rsid w:val="005026C3"/>
    <w:rsid w:val="0050282A"/>
    <w:rsid w:val="00502D1D"/>
    <w:rsid w:val="0050335D"/>
    <w:rsid w:val="00503502"/>
    <w:rsid w:val="005035B4"/>
    <w:rsid w:val="00504881"/>
    <w:rsid w:val="00505403"/>
    <w:rsid w:val="00505DAB"/>
    <w:rsid w:val="005060AB"/>
    <w:rsid w:val="00506C7D"/>
    <w:rsid w:val="0050759F"/>
    <w:rsid w:val="005105C3"/>
    <w:rsid w:val="00510632"/>
    <w:rsid w:val="00510BED"/>
    <w:rsid w:val="00510C6E"/>
    <w:rsid w:val="005115E1"/>
    <w:rsid w:val="00511648"/>
    <w:rsid w:val="005116BF"/>
    <w:rsid w:val="00511D1F"/>
    <w:rsid w:val="0051208B"/>
    <w:rsid w:val="005127AB"/>
    <w:rsid w:val="00512D90"/>
    <w:rsid w:val="005132B2"/>
    <w:rsid w:val="0051360D"/>
    <w:rsid w:val="00513882"/>
    <w:rsid w:val="0051450F"/>
    <w:rsid w:val="005152D9"/>
    <w:rsid w:val="005155AB"/>
    <w:rsid w:val="005156D0"/>
    <w:rsid w:val="0051657A"/>
    <w:rsid w:val="005165D8"/>
    <w:rsid w:val="005172B8"/>
    <w:rsid w:val="00517359"/>
    <w:rsid w:val="00520405"/>
    <w:rsid w:val="00520516"/>
    <w:rsid w:val="00520633"/>
    <w:rsid w:val="00520832"/>
    <w:rsid w:val="005208BB"/>
    <w:rsid w:val="00520E71"/>
    <w:rsid w:val="00521046"/>
    <w:rsid w:val="005215A8"/>
    <w:rsid w:val="00522CDD"/>
    <w:rsid w:val="005245CB"/>
    <w:rsid w:val="0052460A"/>
    <w:rsid w:val="005253FA"/>
    <w:rsid w:val="00525861"/>
    <w:rsid w:val="00525E87"/>
    <w:rsid w:val="00530219"/>
    <w:rsid w:val="005302AE"/>
    <w:rsid w:val="00530471"/>
    <w:rsid w:val="0053188E"/>
    <w:rsid w:val="0053190B"/>
    <w:rsid w:val="005319C6"/>
    <w:rsid w:val="005339BE"/>
    <w:rsid w:val="005340FC"/>
    <w:rsid w:val="0053473E"/>
    <w:rsid w:val="00534CE0"/>
    <w:rsid w:val="00534DAB"/>
    <w:rsid w:val="00534E28"/>
    <w:rsid w:val="0053723C"/>
    <w:rsid w:val="005374FB"/>
    <w:rsid w:val="0053759D"/>
    <w:rsid w:val="00537E45"/>
    <w:rsid w:val="00541295"/>
    <w:rsid w:val="00543193"/>
    <w:rsid w:val="0054394A"/>
    <w:rsid w:val="005446D9"/>
    <w:rsid w:val="00544A2E"/>
    <w:rsid w:val="00544C3B"/>
    <w:rsid w:val="00544D78"/>
    <w:rsid w:val="005451C2"/>
    <w:rsid w:val="0054551C"/>
    <w:rsid w:val="00546D4A"/>
    <w:rsid w:val="005478E9"/>
    <w:rsid w:val="005506E9"/>
    <w:rsid w:val="00551362"/>
    <w:rsid w:val="0055213C"/>
    <w:rsid w:val="00552310"/>
    <w:rsid w:val="005527FB"/>
    <w:rsid w:val="0055364E"/>
    <w:rsid w:val="00554A0E"/>
    <w:rsid w:val="005557D0"/>
    <w:rsid w:val="00555E0E"/>
    <w:rsid w:val="00556404"/>
    <w:rsid w:val="0055673C"/>
    <w:rsid w:val="00556ACC"/>
    <w:rsid w:val="005604AD"/>
    <w:rsid w:val="00560F8E"/>
    <w:rsid w:val="0056157B"/>
    <w:rsid w:val="00563F5E"/>
    <w:rsid w:val="00564B28"/>
    <w:rsid w:val="005653ED"/>
    <w:rsid w:val="00566889"/>
    <w:rsid w:val="00566DB6"/>
    <w:rsid w:val="005672B2"/>
    <w:rsid w:val="00567769"/>
    <w:rsid w:val="00567B88"/>
    <w:rsid w:val="00570778"/>
    <w:rsid w:val="005707D3"/>
    <w:rsid w:val="00571872"/>
    <w:rsid w:val="00572153"/>
    <w:rsid w:val="00574641"/>
    <w:rsid w:val="00576282"/>
    <w:rsid w:val="00576D19"/>
    <w:rsid w:val="00576FBE"/>
    <w:rsid w:val="005770CB"/>
    <w:rsid w:val="0057768B"/>
    <w:rsid w:val="005778E9"/>
    <w:rsid w:val="00580384"/>
    <w:rsid w:val="005808A8"/>
    <w:rsid w:val="00581F94"/>
    <w:rsid w:val="00582594"/>
    <w:rsid w:val="00582D89"/>
    <w:rsid w:val="00583842"/>
    <w:rsid w:val="00584446"/>
    <w:rsid w:val="00584607"/>
    <w:rsid w:val="00584E3A"/>
    <w:rsid w:val="00585486"/>
    <w:rsid w:val="005855A4"/>
    <w:rsid w:val="00585B41"/>
    <w:rsid w:val="00586EC0"/>
    <w:rsid w:val="00587392"/>
    <w:rsid w:val="005900FA"/>
    <w:rsid w:val="005901C1"/>
    <w:rsid w:val="0059038A"/>
    <w:rsid w:val="00590FFB"/>
    <w:rsid w:val="005910E7"/>
    <w:rsid w:val="005915DA"/>
    <w:rsid w:val="00592306"/>
    <w:rsid w:val="00592644"/>
    <w:rsid w:val="00592DB6"/>
    <w:rsid w:val="00592FE1"/>
    <w:rsid w:val="00594411"/>
    <w:rsid w:val="00595336"/>
    <w:rsid w:val="005954FE"/>
    <w:rsid w:val="00596584"/>
    <w:rsid w:val="00596A9A"/>
    <w:rsid w:val="00596ADE"/>
    <w:rsid w:val="005977F0"/>
    <w:rsid w:val="0059797E"/>
    <w:rsid w:val="00597D2D"/>
    <w:rsid w:val="005A082B"/>
    <w:rsid w:val="005A086B"/>
    <w:rsid w:val="005A09B3"/>
    <w:rsid w:val="005A0F03"/>
    <w:rsid w:val="005A1B6B"/>
    <w:rsid w:val="005A258D"/>
    <w:rsid w:val="005A28BA"/>
    <w:rsid w:val="005A4142"/>
    <w:rsid w:val="005A554F"/>
    <w:rsid w:val="005A61E0"/>
    <w:rsid w:val="005A6377"/>
    <w:rsid w:val="005B04EC"/>
    <w:rsid w:val="005B0561"/>
    <w:rsid w:val="005B1AF0"/>
    <w:rsid w:val="005B2060"/>
    <w:rsid w:val="005B2FB6"/>
    <w:rsid w:val="005B2FC9"/>
    <w:rsid w:val="005B4299"/>
    <w:rsid w:val="005B4695"/>
    <w:rsid w:val="005B4BAC"/>
    <w:rsid w:val="005B4FE6"/>
    <w:rsid w:val="005B6223"/>
    <w:rsid w:val="005B65EE"/>
    <w:rsid w:val="005B6DD6"/>
    <w:rsid w:val="005C1859"/>
    <w:rsid w:val="005C20AF"/>
    <w:rsid w:val="005C29DB"/>
    <w:rsid w:val="005C3179"/>
    <w:rsid w:val="005C3FF4"/>
    <w:rsid w:val="005C4B4F"/>
    <w:rsid w:val="005C4EB2"/>
    <w:rsid w:val="005C5060"/>
    <w:rsid w:val="005C54DC"/>
    <w:rsid w:val="005C57D4"/>
    <w:rsid w:val="005C5B03"/>
    <w:rsid w:val="005C61D8"/>
    <w:rsid w:val="005C6650"/>
    <w:rsid w:val="005C694B"/>
    <w:rsid w:val="005C744A"/>
    <w:rsid w:val="005D0116"/>
    <w:rsid w:val="005D0EE5"/>
    <w:rsid w:val="005D1736"/>
    <w:rsid w:val="005D1F98"/>
    <w:rsid w:val="005D2D94"/>
    <w:rsid w:val="005D4E34"/>
    <w:rsid w:val="005D6514"/>
    <w:rsid w:val="005D7ADF"/>
    <w:rsid w:val="005D7C2E"/>
    <w:rsid w:val="005E00AC"/>
    <w:rsid w:val="005E0320"/>
    <w:rsid w:val="005E0836"/>
    <w:rsid w:val="005E1687"/>
    <w:rsid w:val="005E16AF"/>
    <w:rsid w:val="005E18FB"/>
    <w:rsid w:val="005E2140"/>
    <w:rsid w:val="005E2398"/>
    <w:rsid w:val="005E265F"/>
    <w:rsid w:val="005E2854"/>
    <w:rsid w:val="005E3858"/>
    <w:rsid w:val="005E3F56"/>
    <w:rsid w:val="005E43EE"/>
    <w:rsid w:val="005E489C"/>
    <w:rsid w:val="005E5B92"/>
    <w:rsid w:val="005E7073"/>
    <w:rsid w:val="005F019B"/>
    <w:rsid w:val="005F1049"/>
    <w:rsid w:val="005F2279"/>
    <w:rsid w:val="005F2A84"/>
    <w:rsid w:val="005F2DF1"/>
    <w:rsid w:val="005F317E"/>
    <w:rsid w:val="005F47E9"/>
    <w:rsid w:val="005F4DE9"/>
    <w:rsid w:val="005F5D10"/>
    <w:rsid w:val="005F705F"/>
    <w:rsid w:val="005F768C"/>
    <w:rsid w:val="005F7D1A"/>
    <w:rsid w:val="00600038"/>
    <w:rsid w:val="0060005C"/>
    <w:rsid w:val="006008B9"/>
    <w:rsid w:val="00600C32"/>
    <w:rsid w:val="006010D2"/>
    <w:rsid w:val="00601233"/>
    <w:rsid w:val="00601925"/>
    <w:rsid w:val="00601BD4"/>
    <w:rsid w:val="00601D2F"/>
    <w:rsid w:val="006030B5"/>
    <w:rsid w:val="0060390E"/>
    <w:rsid w:val="00603B6D"/>
    <w:rsid w:val="00603BB0"/>
    <w:rsid w:val="00603E41"/>
    <w:rsid w:val="00604A07"/>
    <w:rsid w:val="00604D67"/>
    <w:rsid w:val="00605F33"/>
    <w:rsid w:val="00606C34"/>
    <w:rsid w:val="0060728D"/>
    <w:rsid w:val="00607F3E"/>
    <w:rsid w:val="006105D1"/>
    <w:rsid w:val="0061069E"/>
    <w:rsid w:val="006110C4"/>
    <w:rsid w:val="006116DF"/>
    <w:rsid w:val="0061186D"/>
    <w:rsid w:val="00611DA6"/>
    <w:rsid w:val="006123BD"/>
    <w:rsid w:val="0061314A"/>
    <w:rsid w:val="006138A2"/>
    <w:rsid w:val="006138A4"/>
    <w:rsid w:val="006139FC"/>
    <w:rsid w:val="00613E9B"/>
    <w:rsid w:val="00614A12"/>
    <w:rsid w:val="00614BDF"/>
    <w:rsid w:val="00615230"/>
    <w:rsid w:val="0061539B"/>
    <w:rsid w:val="00615C18"/>
    <w:rsid w:val="0061716E"/>
    <w:rsid w:val="00617C99"/>
    <w:rsid w:val="00620230"/>
    <w:rsid w:val="00620375"/>
    <w:rsid w:val="0062038F"/>
    <w:rsid w:val="0062050B"/>
    <w:rsid w:val="006211BA"/>
    <w:rsid w:val="00621931"/>
    <w:rsid w:val="00621C48"/>
    <w:rsid w:val="00621EE9"/>
    <w:rsid w:val="00622291"/>
    <w:rsid w:val="00622BCC"/>
    <w:rsid w:val="00623082"/>
    <w:rsid w:val="00624275"/>
    <w:rsid w:val="00624B28"/>
    <w:rsid w:val="00624DB6"/>
    <w:rsid w:val="00624F68"/>
    <w:rsid w:val="00625514"/>
    <w:rsid w:val="006264BB"/>
    <w:rsid w:val="00626BC7"/>
    <w:rsid w:val="0062792E"/>
    <w:rsid w:val="00627F92"/>
    <w:rsid w:val="00630895"/>
    <w:rsid w:val="006319DA"/>
    <w:rsid w:val="00631E11"/>
    <w:rsid w:val="0063266A"/>
    <w:rsid w:val="0063321A"/>
    <w:rsid w:val="006335FE"/>
    <w:rsid w:val="00633ACE"/>
    <w:rsid w:val="00633BC3"/>
    <w:rsid w:val="00634558"/>
    <w:rsid w:val="00634A6A"/>
    <w:rsid w:val="00634F10"/>
    <w:rsid w:val="00635115"/>
    <w:rsid w:val="0063739E"/>
    <w:rsid w:val="006377B9"/>
    <w:rsid w:val="0064060F"/>
    <w:rsid w:val="00640A9E"/>
    <w:rsid w:val="006418C9"/>
    <w:rsid w:val="00641B1E"/>
    <w:rsid w:val="0064320C"/>
    <w:rsid w:val="00643A79"/>
    <w:rsid w:val="00643C26"/>
    <w:rsid w:val="00643D4B"/>
    <w:rsid w:val="00644C50"/>
    <w:rsid w:val="00644F0B"/>
    <w:rsid w:val="006453AE"/>
    <w:rsid w:val="0064553D"/>
    <w:rsid w:val="006455A4"/>
    <w:rsid w:val="00645BCD"/>
    <w:rsid w:val="00646743"/>
    <w:rsid w:val="006470D1"/>
    <w:rsid w:val="006518E3"/>
    <w:rsid w:val="00652017"/>
    <w:rsid w:val="006527FB"/>
    <w:rsid w:val="0065293C"/>
    <w:rsid w:val="006556CC"/>
    <w:rsid w:val="00655750"/>
    <w:rsid w:val="006565B0"/>
    <w:rsid w:val="006567D7"/>
    <w:rsid w:val="0065737D"/>
    <w:rsid w:val="00657B3C"/>
    <w:rsid w:val="00657E96"/>
    <w:rsid w:val="0066040E"/>
    <w:rsid w:val="00660460"/>
    <w:rsid w:val="006606F1"/>
    <w:rsid w:val="00662B66"/>
    <w:rsid w:val="006638C2"/>
    <w:rsid w:val="00663CCC"/>
    <w:rsid w:val="00663D23"/>
    <w:rsid w:val="00663F72"/>
    <w:rsid w:val="006640EE"/>
    <w:rsid w:val="006643F8"/>
    <w:rsid w:val="00664AF7"/>
    <w:rsid w:val="0066594F"/>
    <w:rsid w:val="00666319"/>
    <w:rsid w:val="00666C89"/>
    <w:rsid w:val="00666E33"/>
    <w:rsid w:val="00667D90"/>
    <w:rsid w:val="00670515"/>
    <w:rsid w:val="0067159B"/>
    <w:rsid w:val="00671D26"/>
    <w:rsid w:val="00671DE6"/>
    <w:rsid w:val="006730C2"/>
    <w:rsid w:val="00673134"/>
    <w:rsid w:val="006734B7"/>
    <w:rsid w:val="00673808"/>
    <w:rsid w:val="00673C8D"/>
    <w:rsid w:val="006745F9"/>
    <w:rsid w:val="00676515"/>
    <w:rsid w:val="006769B4"/>
    <w:rsid w:val="00676B26"/>
    <w:rsid w:val="00676EF2"/>
    <w:rsid w:val="00680161"/>
    <w:rsid w:val="00680280"/>
    <w:rsid w:val="00681F12"/>
    <w:rsid w:val="006820A3"/>
    <w:rsid w:val="006821B0"/>
    <w:rsid w:val="00682C6A"/>
    <w:rsid w:val="006832C2"/>
    <w:rsid w:val="00683696"/>
    <w:rsid w:val="00684145"/>
    <w:rsid w:val="00684378"/>
    <w:rsid w:val="00686E20"/>
    <w:rsid w:val="00686E71"/>
    <w:rsid w:val="00687001"/>
    <w:rsid w:val="00687258"/>
    <w:rsid w:val="00687A42"/>
    <w:rsid w:val="006909C7"/>
    <w:rsid w:val="00690D80"/>
    <w:rsid w:val="006913D4"/>
    <w:rsid w:val="00691784"/>
    <w:rsid w:val="00691E48"/>
    <w:rsid w:val="006930B1"/>
    <w:rsid w:val="006939DB"/>
    <w:rsid w:val="00694314"/>
    <w:rsid w:val="00695006"/>
    <w:rsid w:val="00695FED"/>
    <w:rsid w:val="00696247"/>
    <w:rsid w:val="006964E6"/>
    <w:rsid w:val="00696CBA"/>
    <w:rsid w:val="0069762A"/>
    <w:rsid w:val="0069771F"/>
    <w:rsid w:val="006A09CC"/>
    <w:rsid w:val="006A0C25"/>
    <w:rsid w:val="006A0E66"/>
    <w:rsid w:val="006A4F67"/>
    <w:rsid w:val="006A59EF"/>
    <w:rsid w:val="006A5A0E"/>
    <w:rsid w:val="006A64EB"/>
    <w:rsid w:val="006A6F7E"/>
    <w:rsid w:val="006A709A"/>
    <w:rsid w:val="006B02DD"/>
    <w:rsid w:val="006B0AB5"/>
    <w:rsid w:val="006B0AF3"/>
    <w:rsid w:val="006B13E0"/>
    <w:rsid w:val="006B1BA5"/>
    <w:rsid w:val="006B22AD"/>
    <w:rsid w:val="006B34EE"/>
    <w:rsid w:val="006B357D"/>
    <w:rsid w:val="006B36A6"/>
    <w:rsid w:val="006B4AC7"/>
    <w:rsid w:val="006B52E9"/>
    <w:rsid w:val="006C08CA"/>
    <w:rsid w:val="006C0B6E"/>
    <w:rsid w:val="006C0F06"/>
    <w:rsid w:val="006C246E"/>
    <w:rsid w:val="006C2ADB"/>
    <w:rsid w:val="006C35BC"/>
    <w:rsid w:val="006C4830"/>
    <w:rsid w:val="006C5BF8"/>
    <w:rsid w:val="006C69CA"/>
    <w:rsid w:val="006C6E20"/>
    <w:rsid w:val="006D0A59"/>
    <w:rsid w:val="006D1935"/>
    <w:rsid w:val="006D1F24"/>
    <w:rsid w:val="006D2DC3"/>
    <w:rsid w:val="006D4064"/>
    <w:rsid w:val="006D4867"/>
    <w:rsid w:val="006D49F1"/>
    <w:rsid w:val="006D4B0B"/>
    <w:rsid w:val="006D65B0"/>
    <w:rsid w:val="006D6A90"/>
    <w:rsid w:val="006D71DB"/>
    <w:rsid w:val="006D74C5"/>
    <w:rsid w:val="006D7866"/>
    <w:rsid w:val="006E0D1A"/>
    <w:rsid w:val="006E14E6"/>
    <w:rsid w:val="006E29A8"/>
    <w:rsid w:val="006E39A1"/>
    <w:rsid w:val="006E3ED5"/>
    <w:rsid w:val="006E504A"/>
    <w:rsid w:val="006E50D8"/>
    <w:rsid w:val="006E76DB"/>
    <w:rsid w:val="006E7899"/>
    <w:rsid w:val="006E7B99"/>
    <w:rsid w:val="006F071E"/>
    <w:rsid w:val="006F10A4"/>
    <w:rsid w:val="006F1545"/>
    <w:rsid w:val="006F2648"/>
    <w:rsid w:val="006F26AF"/>
    <w:rsid w:val="006F3555"/>
    <w:rsid w:val="006F409B"/>
    <w:rsid w:val="006F4582"/>
    <w:rsid w:val="006F4A48"/>
    <w:rsid w:val="006F4D44"/>
    <w:rsid w:val="006F5307"/>
    <w:rsid w:val="006F53F6"/>
    <w:rsid w:val="006F5E04"/>
    <w:rsid w:val="006F5EC0"/>
    <w:rsid w:val="006F663C"/>
    <w:rsid w:val="006F6AD2"/>
    <w:rsid w:val="006F6F65"/>
    <w:rsid w:val="0070005C"/>
    <w:rsid w:val="00700124"/>
    <w:rsid w:val="00700DC2"/>
    <w:rsid w:val="00702865"/>
    <w:rsid w:val="00702913"/>
    <w:rsid w:val="00702C36"/>
    <w:rsid w:val="00703046"/>
    <w:rsid w:val="00703509"/>
    <w:rsid w:val="007039E0"/>
    <w:rsid w:val="00705072"/>
    <w:rsid w:val="0070531D"/>
    <w:rsid w:val="00705931"/>
    <w:rsid w:val="0070698B"/>
    <w:rsid w:val="007070A9"/>
    <w:rsid w:val="00707DB2"/>
    <w:rsid w:val="00707F32"/>
    <w:rsid w:val="00711AF5"/>
    <w:rsid w:val="0071277A"/>
    <w:rsid w:val="00712AA2"/>
    <w:rsid w:val="00712DA2"/>
    <w:rsid w:val="007134B7"/>
    <w:rsid w:val="0071381B"/>
    <w:rsid w:val="00713ACE"/>
    <w:rsid w:val="00714F02"/>
    <w:rsid w:val="00715008"/>
    <w:rsid w:val="00715D9E"/>
    <w:rsid w:val="0071793E"/>
    <w:rsid w:val="007201AB"/>
    <w:rsid w:val="00721035"/>
    <w:rsid w:val="00721785"/>
    <w:rsid w:val="00721B91"/>
    <w:rsid w:val="00721FEB"/>
    <w:rsid w:val="00722742"/>
    <w:rsid w:val="00723086"/>
    <w:rsid w:val="00723B2F"/>
    <w:rsid w:val="00723F0B"/>
    <w:rsid w:val="00724474"/>
    <w:rsid w:val="007247C1"/>
    <w:rsid w:val="007264F1"/>
    <w:rsid w:val="007268DA"/>
    <w:rsid w:val="00727812"/>
    <w:rsid w:val="00727FA2"/>
    <w:rsid w:val="0073032E"/>
    <w:rsid w:val="00731533"/>
    <w:rsid w:val="00731809"/>
    <w:rsid w:val="00731BA8"/>
    <w:rsid w:val="00731BCD"/>
    <w:rsid w:val="0073238F"/>
    <w:rsid w:val="00732F81"/>
    <w:rsid w:val="007334CF"/>
    <w:rsid w:val="007334D4"/>
    <w:rsid w:val="00733FB5"/>
    <w:rsid w:val="00734290"/>
    <w:rsid w:val="00735620"/>
    <w:rsid w:val="00735E77"/>
    <w:rsid w:val="007371AA"/>
    <w:rsid w:val="00737F8B"/>
    <w:rsid w:val="0074138F"/>
    <w:rsid w:val="007416D2"/>
    <w:rsid w:val="0074256C"/>
    <w:rsid w:val="00742D84"/>
    <w:rsid w:val="00743C7E"/>
    <w:rsid w:val="0074462B"/>
    <w:rsid w:val="0074466D"/>
    <w:rsid w:val="007447AE"/>
    <w:rsid w:val="00744E46"/>
    <w:rsid w:val="00747048"/>
    <w:rsid w:val="0074788D"/>
    <w:rsid w:val="00747FB5"/>
    <w:rsid w:val="007502C3"/>
    <w:rsid w:val="00750A9B"/>
    <w:rsid w:val="00750E49"/>
    <w:rsid w:val="0075141A"/>
    <w:rsid w:val="0075183A"/>
    <w:rsid w:val="00751ADC"/>
    <w:rsid w:val="00751FA0"/>
    <w:rsid w:val="00752617"/>
    <w:rsid w:val="00752C86"/>
    <w:rsid w:val="0075303D"/>
    <w:rsid w:val="00754995"/>
    <w:rsid w:val="00754D8B"/>
    <w:rsid w:val="007563E6"/>
    <w:rsid w:val="007613E5"/>
    <w:rsid w:val="00761EC0"/>
    <w:rsid w:val="00763AE7"/>
    <w:rsid w:val="00764120"/>
    <w:rsid w:val="007642C0"/>
    <w:rsid w:val="00764698"/>
    <w:rsid w:val="00764AF9"/>
    <w:rsid w:val="00765450"/>
    <w:rsid w:val="007655A9"/>
    <w:rsid w:val="0076653C"/>
    <w:rsid w:val="00766FB3"/>
    <w:rsid w:val="00766FF0"/>
    <w:rsid w:val="0076798E"/>
    <w:rsid w:val="00767E6B"/>
    <w:rsid w:val="00770387"/>
    <w:rsid w:val="007710DB"/>
    <w:rsid w:val="00772103"/>
    <w:rsid w:val="0077268A"/>
    <w:rsid w:val="00772B2F"/>
    <w:rsid w:val="00772BEB"/>
    <w:rsid w:val="00773167"/>
    <w:rsid w:val="00774DD2"/>
    <w:rsid w:val="00774E52"/>
    <w:rsid w:val="007766BC"/>
    <w:rsid w:val="00776A6D"/>
    <w:rsid w:val="00776CA4"/>
    <w:rsid w:val="00777A9D"/>
    <w:rsid w:val="00777C21"/>
    <w:rsid w:val="007812BD"/>
    <w:rsid w:val="007819AC"/>
    <w:rsid w:val="00781E71"/>
    <w:rsid w:val="007839A3"/>
    <w:rsid w:val="00783ACA"/>
    <w:rsid w:val="007852EC"/>
    <w:rsid w:val="007852ED"/>
    <w:rsid w:val="00786416"/>
    <w:rsid w:val="00787780"/>
    <w:rsid w:val="00787869"/>
    <w:rsid w:val="0079058D"/>
    <w:rsid w:val="00790C22"/>
    <w:rsid w:val="007913E7"/>
    <w:rsid w:val="00791420"/>
    <w:rsid w:val="00791777"/>
    <w:rsid w:val="00791ACD"/>
    <w:rsid w:val="00792237"/>
    <w:rsid w:val="00792D2C"/>
    <w:rsid w:val="007946D3"/>
    <w:rsid w:val="007957DB"/>
    <w:rsid w:val="007963EC"/>
    <w:rsid w:val="00796A3A"/>
    <w:rsid w:val="00797452"/>
    <w:rsid w:val="0079764A"/>
    <w:rsid w:val="00797C8E"/>
    <w:rsid w:val="007A0115"/>
    <w:rsid w:val="007A07F3"/>
    <w:rsid w:val="007A0C36"/>
    <w:rsid w:val="007A3819"/>
    <w:rsid w:val="007A38F3"/>
    <w:rsid w:val="007A3A26"/>
    <w:rsid w:val="007A465E"/>
    <w:rsid w:val="007A49E0"/>
    <w:rsid w:val="007A4CF9"/>
    <w:rsid w:val="007A5AF8"/>
    <w:rsid w:val="007A5FCB"/>
    <w:rsid w:val="007A6C56"/>
    <w:rsid w:val="007A70A8"/>
    <w:rsid w:val="007A75CB"/>
    <w:rsid w:val="007A76FD"/>
    <w:rsid w:val="007A7901"/>
    <w:rsid w:val="007A7B6C"/>
    <w:rsid w:val="007B0166"/>
    <w:rsid w:val="007B1055"/>
    <w:rsid w:val="007B1072"/>
    <w:rsid w:val="007B147B"/>
    <w:rsid w:val="007B24A1"/>
    <w:rsid w:val="007B2CFC"/>
    <w:rsid w:val="007B31E2"/>
    <w:rsid w:val="007B349F"/>
    <w:rsid w:val="007B357F"/>
    <w:rsid w:val="007B396B"/>
    <w:rsid w:val="007B3B26"/>
    <w:rsid w:val="007B3E54"/>
    <w:rsid w:val="007B508C"/>
    <w:rsid w:val="007B534A"/>
    <w:rsid w:val="007B5465"/>
    <w:rsid w:val="007B60CE"/>
    <w:rsid w:val="007B67E0"/>
    <w:rsid w:val="007B7C9F"/>
    <w:rsid w:val="007C02D0"/>
    <w:rsid w:val="007C04E3"/>
    <w:rsid w:val="007C1C1B"/>
    <w:rsid w:val="007C2133"/>
    <w:rsid w:val="007C29C5"/>
    <w:rsid w:val="007C2AFF"/>
    <w:rsid w:val="007C2D7E"/>
    <w:rsid w:val="007C35DE"/>
    <w:rsid w:val="007C383D"/>
    <w:rsid w:val="007C4065"/>
    <w:rsid w:val="007C43C9"/>
    <w:rsid w:val="007C4710"/>
    <w:rsid w:val="007C47EE"/>
    <w:rsid w:val="007C4D4A"/>
    <w:rsid w:val="007C4E73"/>
    <w:rsid w:val="007C4EC3"/>
    <w:rsid w:val="007C51A2"/>
    <w:rsid w:val="007C5796"/>
    <w:rsid w:val="007C69EA"/>
    <w:rsid w:val="007C6BA6"/>
    <w:rsid w:val="007C6D4D"/>
    <w:rsid w:val="007C75ED"/>
    <w:rsid w:val="007C776A"/>
    <w:rsid w:val="007C7D16"/>
    <w:rsid w:val="007D0818"/>
    <w:rsid w:val="007D0956"/>
    <w:rsid w:val="007D1A27"/>
    <w:rsid w:val="007D2159"/>
    <w:rsid w:val="007D225F"/>
    <w:rsid w:val="007D3120"/>
    <w:rsid w:val="007D3865"/>
    <w:rsid w:val="007D3938"/>
    <w:rsid w:val="007D435E"/>
    <w:rsid w:val="007D4E06"/>
    <w:rsid w:val="007D555C"/>
    <w:rsid w:val="007D6B63"/>
    <w:rsid w:val="007D7F61"/>
    <w:rsid w:val="007D7FE6"/>
    <w:rsid w:val="007E244F"/>
    <w:rsid w:val="007E2A73"/>
    <w:rsid w:val="007E3590"/>
    <w:rsid w:val="007E35F2"/>
    <w:rsid w:val="007E3B07"/>
    <w:rsid w:val="007E49C3"/>
    <w:rsid w:val="007E4D40"/>
    <w:rsid w:val="007E5832"/>
    <w:rsid w:val="007E5935"/>
    <w:rsid w:val="007E6C86"/>
    <w:rsid w:val="007E7099"/>
    <w:rsid w:val="007E73C1"/>
    <w:rsid w:val="007E7C02"/>
    <w:rsid w:val="007F00AA"/>
    <w:rsid w:val="007F0603"/>
    <w:rsid w:val="007F199D"/>
    <w:rsid w:val="007F1B13"/>
    <w:rsid w:val="007F20B2"/>
    <w:rsid w:val="007F35BD"/>
    <w:rsid w:val="007F3642"/>
    <w:rsid w:val="007F3CF2"/>
    <w:rsid w:val="007F42FC"/>
    <w:rsid w:val="007F53BB"/>
    <w:rsid w:val="007F647A"/>
    <w:rsid w:val="007F68A8"/>
    <w:rsid w:val="007F71EF"/>
    <w:rsid w:val="007F757C"/>
    <w:rsid w:val="007F7A44"/>
    <w:rsid w:val="007F7C3A"/>
    <w:rsid w:val="00800659"/>
    <w:rsid w:val="00800667"/>
    <w:rsid w:val="0080125A"/>
    <w:rsid w:val="008019FD"/>
    <w:rsid w:val="00801AED"/>
    <w:rsid w:val="00801DEC"/>
    <w:rsid w:val="00801F28"/>
    <w:rsid w:val="008024B2"/>
    <w:rsid w:val="00802F38"/>
    <w:rsid w:val="008030EA"/>
    <w:rsid w:val="008031B9"/>
    <w:rsid w:val="008039B3"/>
    <w:rsid w:val="00803B78"/>
    <w:rsid w:val="00805362"/>
    <w:rsid w:val="00806148"/>
    <w:rsid w:val="00807A91"/>
    <w:rsid w:val="0081028E"/>
    <w:rsid w:val="00810913"/>
    <w:rsid w:val="00810F57"/>
    <w:rsid w:val="00811236"/>
    <w:rsid w:val="00811567"/>
    <w:rsid w:val="0081159A"/>
    <w:rsid w:val="00812149"/>
    <w:rsid w:val="008129D6"/>
    <w:rsid w:val="00812FE6"/>
    <w:rsid w:val="008138D9"/>
    <w:rsid w:val="00813B02"/>
    <w:rsid w:val="00816C59"/>
    <w:rsid w:val="00816DD9"/>
    <w:rsid w:val="008172BD"/>
    <w:rsid w:val="008201E2"/>
    <w:rsid w:val="0082020F"/>
    <w:rsid w:val="00821970"/>
    <w:rsid w:val="00821B86"/>
    <w:rsid w:val="00821C4C"/>
    <w:rsid w:val="00821F9E"/>
    <w:rsid w:val="00822519"/>
    <w:rsid w:val="008227C6"/>
    <w:rsid w:val="00822E97"/>
    <w:rsid w:val="00823935"/>
    <w:rsid w:val="00824727"/>
    <w:rsid w:val="00824AE0"/>
    <w:rsid w:val="00824F3F"/>
    <w:rsid w:val="00825DCC"/>
    <w:rsid w:val="008269BF"/>
    <w:rsid w:val="00826ECC"/>
    <w:rsid w:val="00827114"/>
    <w:rsid w:val="00830CF8"/>
    <w:rsid w:val="0083159A"/>
    <w:rsid w:val="00831664"/>
    <w:rsid w:val="008317B8"/>
    <w:rsid w:val="00831E67"/>
    <w:rsid w:val="00832122"/>
    <w:rsid w:val="00832197"/>
    <w:rsid w:val="008328C7"/>
    <w:rsid w:val="008331C8"/>
    <w:rsid w:val="00833482"/>
    <w:rsid w:val="008337D3"/>
    <w:rsid w:val="00833FCA"/>
    <w:rsid w:val="00834D13"/>
    <w:rsid w:val="00835366"/>
    <w:rsid w:val="00835421"/>
    <w:rsid w:val="00835AB4"/>
    <w:rsid w:val="008369F9"/>
    <w:rsid w:val="00840270"/>
    <w:rsid w:val="00840BC2"/>
    <w:rsid w:val="00841070"/>
    <w:rsid w:val="0084198C"/>
    <w:rsid w:val="00841D06"/>
    <w:rsid w:val="00842071"/>
    <w:rsid w:val="008438A9"/>
    <w:rsid w:val="008468FA"/>
    <w:rsid w:val="00847742"/>
    <w:rsid w:val="00850377"/>
    <w:rsid w:val="00850494"/>
    <w:rsid w:val="00851106"/>
    <w:rsid w:val="00851359"/>
    <w:rsid w:val="00851813"/>
    <w:rsid w:val="0085291A"/>
    <w:rsid w:val="008602CF"/>
    <w:rsid w:val="0086057E"/>
    <w:rsid w:val="00861F95"/>
    <w:rsid w:val="0086202B"/>
    <w:rsid w:val="00862477"/>
    <w:rsid w:val="00862F74"/>
    <w:rsid w:val="008646EE"/>
    <w:rsid w:val="008653BB"/>
    <w:rsid w:val="00867166"/>
    <w:rsid w:val="00867811"/>
    <w:rsid w:val="00867B39"/>
    <w:rsid w:val="0087033C"/>
    <w:rsid w:val="008711EE"/>
    <w:rsid w:val="00871B1A"/>
    <w:rsid w:val="00871C5C"/>
    <w:rsid w:val="00874D89"/>
    <w:rsid w:val="00876D30"/>
    <w:rsid w:val="00877538"/>
    <w:rsid w:val="00877D2D"/>
    <w:rsid w:val="00880238"/>
    <w:rsid w:val="008805A4"/>
    <w:rsid w:val="00880F9A"/>
    <w:rsid w:val="00881907"/>
    <w:rsid w:val="00882B85"/>
    <w:rsid w:val="00884FE4"/>
    <w:rsid w:val="00887692"/>
    <w:rsid w:val="008876A0"/>
    <w:rsid w:val="008877AA"/>
    <w:rsid w:val="00890BFB"/>
    <w:rsid w:val="00892728"/>
    <w:rsid w:val="00892A28"/>
    <w:rsid w:val="00893048"/>
    <w:rsid w:val="00893FB1"/>
    <w:rsid w:val="00894570"/>
    <w:rsid w:val="00894FE6"/>
    <w:rsid w:val="0089561A"/>
    <w:rsid w:val="00896C41"/>
    <w:rsid w:val="00897916"/>
    <w:rsid w:val="008A1B07"/>
    <w:rsid w:val="008A23B0"/>
    <w:rsid w:val="008A3716"/>
    <w:rsid w:val="008A41B7"/>
    <w:rsid w:val="008A4C0A"/>
    <w:rsid w:val="008A5B6C"/>
    <w:rsid w:val="008A721A"/>
    <w:rsid w:val="008B07C0"/>
    <w:rsid w:val="008B0A7B"/>
    <w:rsid w:val="008B1523"/>
    <w:rsid w:val="008B1852"/>
    <w:rsid w:val="008B24FD"/>
    <w:rsid w:val="008B2CCC"/>
    <w:rsid w:val="008B39A2"/>
    <w:rsid w:val="008B3B60"/>
    <w:rsid w:val="008B42AB"/>
    <w:rsid w:val="008B4459"/>
    <w:rsid w:val="008B4C86"/>
    <w:rsid w:val="008B5145"/>
    <w:rsid w:val="008B53F9"/>
    <w:rsid w:val="008B5979"/>
    <w:rsid w:val="008B616B"/>
    <w:rsid w:val="008B6B57"/>
    <w:rsid w:val="008B6E05"/>
    <w:rsid w:val="008B7577"/>
    <w:rsid w:val="008C096B"/>
    <w:rsid w:val="008C099C"/>
    <w:rsid w:val="008C1A14"/>
    <w:rsid w:val="008C1A47"/>
    <w:rsid w:val="008C218B"/>
    <w:rsid w:val="008C257D"/>
    <w:rsid w:val="008C2A1B"/>
    <w:rsid w:val="008C2A90"/>
    <w:rsid w:val="008C33FA"/>
    <w:rsid w:val="008C3C98"/>
    <w:rsid w:val="008C401B"/>
    <w:rsid w:val="008C42F4"/>
    <w:rsid w:val="008C44D5"/>
    <w:rsid w:val="008C5120"/>
    <w:rsid w:val="008C544F"/>
    <w:rsid w:val="008C5683"/>
    <w:rsid w:val="008C5D6A"/>
    <w:rsid w:val="008C5D6F"/>
    <w:rsid w:val="008C6BDB"/>
    <w:rsid w:val="008C6C6E"/>
    <w:rsid w:val="008C7198"/>
    <w:rsid w:val="008C7A0A"/>
    <w:rsid w:val="008C7CE1"/>
    <w:rsid w:val="008D0591"/>
    <w:rsid w:val="008D0A75"/>
    <w:rsid w:val="008D0CD6"/>
    <w:rsid w:val="008D0EBE"/>
    <w:rsid w:val="008D113A"/>
    <w:rsid w:val="008D1296"/>
    <w:rsid w:val="008D16DC"/>
    <w:rsid w:val="008D1CC9"/>
    <w:rsid w:val="008D2105"/>
    <w:rsid w:val="008D2BE1"/>
    <w:rsid w:val="008D3622"/>
    <w:rsid w:val="008D3E9F"/>
    <w:rsid w:val="008D3F0D"/>
    <w:rsid w:val="008D4A0A"/>
    <w:rsid w:val="008D5056"/>
    <w:rsid w:val="008D575A"/>
    <w:rsid w:val="008D5FA1"/>
    <w:rsid w:val="008D614D"/>
    <w:rsid w:val="008D72AB"/>
    <w:rsid w:val="008D77A9"/>
    <w:rsid w:val="008E05D5"/>
    <w:rsid w:val="008E15D3"/>
    <w:rsid w:val="008E2236"/>
    <w:rsid w:val="008E2C3A"/>
    <w:rsid w:val="008E2CF8"/>
    <w:rsid w:val="008E3125"/>
    <w:rsid w:val="008E3CD7"/>
    <w:rsid w:val="008E3D3D"/>
    <w:rsid w:val="008E4CA7"/>
    <w:rsid w:val="008E5044"/>
    <w:rsid w:val="008E704D"/>
    <w:rsid w:val="008F15B8"/>
    <w:rsid w:val="008F1CB3"/>
    <w:rsid w:val="008F2526"/>
    <w:rsid w:val="008F2703"/>
    <w:rsid w:val="008F2B6B"/>
    <w:rsid w:val="008F2D6F"/>
    <w:rsid w:val="008F3F2B"/>
    <w:rsid w:val="008F47B6"/>
    <w:rsid w:val="008F64A8"/>
    <w:rsid w:val="008F7363"/>
    <w:rsid w:val="008F7779"/>
    <w:rsid w:val="008F7C8C"/>
    <w:rsid w:val="008F7DCE"/>
    <w:rsid w:val="00900623"/>
    <w:rsid w:val="0090078B"/>
    <w:rsid w:val="0090090A"/>
    <w:rsid w:val="00900D8A"/>
    <w:rsid w:val="0090146D"/>
    <w:rsid w:val="0090196F"/>
    <w:rsid w:val="00901B6E"/>
    <w:rsid w:val="009020F0"/>
    <w:rsid w:val="009044D4"/>
    <w:rsid w:val="00904C4F"/>
    <w:rsid w:val="00905101"/>
    <w:rsid w:val="00905DEE"/>
    <w:rsid w:val="0090602F"/>
    <w:rsid w:val="00906A47"/>
    <w:rsid w:val="00907C7F"/>
    <w:rsid w:val="00907CA5"/>
    <w:rsid w:val="00910035"/>
    <w:rsid w:val="00910555"/>
    <w:rsid w:val="0091180C"/>
    <w:rsid w:val="009120CB"/>
    <w:rsid w:val="00912599"/>
    <w:rsid w:val="0091272F"/>
    <w:rsid w:val="00912737"/>
    <w:rsid w:val="00913103"/>
    <w:rsid w:val="009134FF"/>
    <w:rsid w:val="00915E1F"/>
    <w:rsid w:val="00915FF0"/>
    <w:rsid w:val="00916313"/>
    <w:rsid w:val="009219A7"/>
    <w:rsid w:val="00921AD5"/>
    <w:rsid w:val="0092227A"/>
    <w:rsid w:val="009228A6"/>
    <w:rsid w:val="009229B8"/>
    <w:rsid w:val="00922A7E"/>
    <w:rsid w:val="00922D04"/>
    <w:rsid w:val="00923F57"/>
    <w:rsid w:val="00924562"/>
    <w:rsid w:val="009245CD"/>
    <w:rsid w:val="009248FD"/>
    <w:rsid w:val="00925366"/>
    <w:rsid w:val="0092653A"/>
    <w:rsid w:val="00926B2C"/>
    <w:rsid w:val="00927F18"/>
    <w:rsid w:val="00930684"/>
    <w:rsid w:val="009308A5"/>
    <w:rsid w:val="00931744"/>
    <w:rsid w:val="00931BC7"/>
    <w:rsid w:val="009323E6"/>
    <w:rsid w:val="00932CCE"/>
    <w:rsid w:val="00932E11"/>
    <w:rsid w:val="00932F33"/>
    <w:rsid w:val="0093320D"/>
    <w:rsid w:val="00933517"/>
    <w:rsid w:val="00933E2C"/>
    <w:rsid w:val="00934A78"/>
    <w:rsid w:val="00934FA2"/>
    <w:rsid w:val="0093502B"/>
    <w:rsid w:val="00935A87"/>
    <w:rsid w:val="00935DC9"/>
    <w:rsid w:val="0093638E"/>
    <w:rsid w:val="00937966"/>
    <w:rsid w:val="00940069"/>
    <w:rsid w:val="009406AC"/>
    <w:rsid w:val="00941085"/>
    <w:rsid w:val="00941185"/>
    <w:rsid w:val="0094194B"/>
    <w:rsid w:val="00942675"/>
    <w:rsid w:val="009431C6"/>
    <w:rsid w:val="00943317"/>
    <w:rsid w:val="00943644"/>
    <w:rsid w:val="009439BE"/>
    <w:rsid w:val="00943B95"/>
    <w:rsid w:val="00943E47"/>
    <w:rsid w:val="00945083"/>
    <w:rsid w:val="009451A7"/>
    <w:rsid w:val="00945674"/>
    <w:rsid w:val="009466E8"/>
    <w:rsid w:val="00946E3D"/>
    <w:rsid w:val="00946F1B"/>
    <w:rsid w:val="00947563"/>
    <w:rsid w:val="009479E1"/>
    <w:rsid w:val="00947D07"/>
    <w:rsid w:val="00947D6D"/>
    <w:rsid w:val="00950A79"/>
    <w:rsid w:val="00951988"/>
    <w:rsid w:val="00952074"/>
    <w:rsid w:val="00952227"/>
    <w:rsid w:val="00952F0C"/>
    <w:rsid w:val="0095320D"/>
    <w:rsid w:val="00953D99"/>
    <w:rsid w:val="009541E8"/>
    <w:rsid w:val="0095496B"/>
    <w:rsid w:val="00954A2D"/>
    <w:rsid w:val="00955184"/>
    <w:rsid w:val="00955AA8"/>
    <w:rsid w:val="00955BFA"/>
    <w:rsid w:val="00956441"/>
    <w:rsid w:val="00956A03"/>
    <w:rsid w:val="00956C0B"/>
    <w:rsid w:val="0095758A"/>
    <w:rsid w:val="00957A00"/>
    <w:rsid w:val="00960FEE"/>
    <w:rsid w:val="009611C0"/>
    <w:rsid w:val="00962839"/>
    <w:rsid w:val="009629DA"/>
    <w:rsid w:val="00964048"/>
    <w:rsid w:val="00964F30"/>
    <w:rsid w:val="00965F26"/>
    <w:rsid w:val="009666F2"/>
    <w:rsid w:val="00970496"/>
    <w:rsid w:val="00970504"/>
    <w:rsid w:val="00970A94"/>
    <w:rsid w:val="00971977"/>
    <w:rsid w:val="00971D3E"/>
    <w:rsid w:val="0097203A"/>
    <w:rsid w:val="009729FD"/>
    <w:rsid w:val="009737BA"/>
    <w:rsid w:val="00973CE8"/>
    <w:rsid w:val="00975313"/>
    <w:rsid w:val="0097535C"/>
    <w:rsid w:val="00976362"/>
    <w:rsid w:val="00976730"/>
    <w:rsid w:val="00980DB6"/>
    <w:rsid w:val="009811CA"/>
    <w:rsid w:val="0098185F"/>
    <w:rsid w:val="00982D4B"/>
    <w:rsid w:val="0098427E"/>
    <w:rsid w:val="00986996"/>
    <w:rsid w:val="00986B26"/>
    <w:rsid w:val="0098720E"/>
    <w:rsid w:val="00990704"/>
    <w:rsid w:val="00990C11"/>
    <w:rsid w:val="00991B77"/>
    <w:rsid w:val="0099249C"/>
    <w:rsid w:val="00992706"/>
    <w:rsid w:val="00992888"/>
    <w:rsid w:val="0099430F"/>
    <w:rsid w:val="00994570"/>
    <w:rsid w:val="0099628B"/>
    <w:rsid w:val="00996612"/>
    <w:rsid w:val="009968FF"/>
    <w:rsid w:val="009971E9"/>
    <w:rsid w:val="009A0BE5"/>
    <w:rsid w:val="009A22FB"/>
    <w:rsid w:val="009A3BC6"/>
    <w:rsid w:val="009A551F"/>
    <w:rsid w:val="009A5A04"/>
    <w:rsid w:val="009A5F60"/>
    <w:rsid w:val="009A6711"/>
    <w:rsid w:val="009A7B0B"/>
    <w:rsid w:val="009B0463"/>
    <w:rsid w:val="009B07C4"/>
    <w:rsid w:val="009B14E9"/>
    <w:rsid w:val="009B327B"/>
    <w:rsid w:val="009B5135"/>
    <w:rsid w:val="009B51C7"/>
    <w:rsid w:val="009B5879"/>
    <w:rsid w:val="009B5FC8"/>
    <w:rsid w:val="009B62CE"/>
    <w:rsid w:val="009B6924"/>
    <w:rsid w:val="009B69BE"/>
    <w:rsid w:val="009B6CCD"/>
    <w:rsid w:val="009B6D39"/>
    <w:rsid w:val="009B7B5F"/>
    <w:rsid w:val="009B7D88"/>
    <w:rsid w:val="009C1108"/>
    <w:rsid w:val="009C33A0"/>
    <w:rsid w:val="009C3BCC"/>
    <w:rsid w:val="009C5915"/>
    <w:rsid w:val="009C655A"/>
    <w:rsid w:val="009C78B5"/>
    <w:rsid w:val="009C79F6"/>
    <w:rsid w:val="009C7EFB"/>
    <w:rsid w:val="009D035A"/>
    <w:rsid w:val="009D04D2"/>
    <w:rsid w:val="009D0FF1"/>
    <w:rsid w:val="009D119F"/>
    <w:rsid w:val="009D2092"/>
    <w:rsid w:val="009D46E7"/>
    <w:rsid w:val="009D51E0"/>
    <w:rsid w:val="009D5487"/>
    <w:rsid w:val="009D781D"/>
    <w:rsid w:val="009E0423"/>
    <w:rsid w:val="009E0DEB"/>
    <w:rsid w:val="009E0F47"/>
    <w:rsid w:val="009E1E28"/>
    <w:rsid w:val="009E29FC"/>
    <w:rsid w:val="009E2FE7"/>
    <w:rsid w:val="009E3429"/>
    <w:rsid w:val="009E4C27"/>
    <w:rsid w:val="009E5E0F"/>
    <w:rsid w:val="009E602A"/>
    <w:rsid w:val="009E6690"/>
    <w:rsid w:val="009E6907"/>
    <w:rsid w:val="009E7024"/>
    <w:rsid w:val="009E73A9"/>
    <w:rsid w:val="009E7814"/>
    <w:rsid w:val="009E7A7C"/>
    <w:rsid w:val="009E7BF7"/>
    <w:rsid w:val="009F0B71"/>
    <w:rsid w:val="009F1124"/>
    <w:rsid w:val="009F1D71"/>
    <w:rsid w:val="009F3681"/>
    <w:rsid w:val="009F3920"/>
    <w:rsid w:val="009F4BFC"/>
    <w:rsid w:val="009F4C8D"/>
    <w:rsid w:val="009F4D21"/>
    <w:rsid w:val="009F55C3"/>
    <w:rsid w:val="009F5B84"/>
    <w:rsid w:val="009F5C8C"/>
    <w:rsid w:val="009F6211"/>
    <w:rsid w:val="009F66CF"/>
    <w:rsid w:val="009F6D81"/>
    <w:rsid w:val="009F7E00"/>
    <w:rsid w:val="00A01449"/>
    <w:rsid w:val="00A0156A"/>
    <w:rsid w:val="00A015A7"/>
    <w:rsid w:val="00A018C9"/>
    <w:rsid w:val="00A0194F"/>
    <w:rsid w:val="00A02007"/>
    <w:rsid w:val="00A02380"/>
    <w:rsid w:val="00A023C4"/>
    <w:rsid w:val="00A02606"/>
    <w:rsid w:val="00A03083"/>
    <w:rsid w:val="00A033A8"/>
    <w:rsid w:val="00A038D8"/>
    <w:rsid w:val="00A03D10"/>
    <w:rsid w:val="00A04343"/>
    <w:rsid w:val="00A04FBF"/>
    <w:rsid w:val="00A0528C"/>
    <w:rsid w:val="00A05CE0"/>
    <w:rsid w:val="00A066D6"/>
    <w:rsid w:val="00A06F89"/>
    <w:rsid w:val="00A1002B"/>
    <w:rsid w:val="00A1007A"/>
    <w:rsid w:val="00A104B2"/>
    <w:rsid w:val="00A10729"/>
    <w:rsid w:val="00A10D3F"/>
    <w:rsid w:val="00A10F9C"/>
    <w:rsid w:val="00A1147E"/>
    <w:rsid w:val="00A118F0"/>
    <w:rsid w:val="00A11BB0"/>
    <w:rsid w:val="00A11E23"/>
    <w:rsid w:val="00A121C0"/>
    <w:rsid w:val="00A1260A"/>
    <w:rsid w:val="00A12AD7"/>
    <w:rsid w:val="00A1347D"/>
    <w:rsid w:val="00A13A85"/>
    <w:rsid w:val="00A145FC"/>
    <w:rsid w:val="00A14C81"/>
    <w:rsid w:val="00A1555E"/>
    <w:rsid w:val="00A16F9D"/>
    <w:rsid w:val="00A175E8"/>
    <w:rsid w:val="00A17BD0"/>
    <w:rsid w:val="00A206C5"/>
    <w:rsid w:val="00A20816"/>
    <w:rsid w:val="00A20B59"/>
    <w:rsid w:val="00A21796"/>
    <w:rsid w:val="00A21CC5"/>
    <w:rsid w:val="00A23965"/>
    <w:rsid w:val="00A24995"/>
    <w:rsid w:val="00A26554"/>
    <w:rsid w:val="00A27009"/>
    <w:rsid w:val="00A2750A"/>
    <w:rsid w:val="00A27D7B"/>
    <w:rsid w:val="00A3103C"/>
    <w:rsid w:val="00A31C67"/>
    <w:rsid w:val="00A3312C"/>
    <w:rsid w:val="00A3394C"/>
    <w:rsid w:val="00A33A7F"/>
    <w:rsid w:val="00A33DA2"/>
    <w:rsid w:val="00A33E65"/>
    <w:rsid w:val="00A34EFB"/>
    <w:rsid w:val="00A34FFF"/>
    <w:rsid w:val="00A357F8"/>
    <w:rsid w:val="00A35B6C"/>
    <w:rsid w:val="00A35FF9"/>
    <w:rsid w:val="00A3603B"/>
    <w:rsid w:val="00A3612C"/>
    <w:rsid w:val="00A36850"/>
    <w:rsid w:val="00A372CA"/>
    <w:rsid w:val="00A37491"/>
    <w:rsid w:val="00A40446"/>
    <w:rsid w:val="00A40E30"/>
    <w:rsid w:val="00A429F7"/>
    <w:rsid w:val="00A42A60"/>
    <w:rsid w:val="00A42DB5"/>
    <w:rsid w:val="00A46725"/>
    <w:rsid w:val="00A47CA1"/>
    <w:rsid w:val="00A47EE5"/>
    <w:rsid w:val="00A50253"/>
    <w:rsid w:val="00A50297"/>
    <w:rsid w:val="00A5118E"/>
    <w:rsid w:val="00A52978"/>
    <w:rsid w:val="00A52DA3"/>
    <w:rsid w:val="00A52E69"/>
    <w:rsid w:val="00A53A35"/>
    <w:rsid w:val="00A54239"/>
    <w:rsid w:val="00A543CC"/>
    <w:rsid w:val="00A54748"/>
    <w:rsid w:val="00A54D20"/>
    <w:rsid w:val="00A554B8"/>
    <w:rsid w:val="00A560EE"/>
    <w:rsid w:val="00A56D18"/>
    <w:rsid w:val="00A572D5"/>
    <w:rsid w:val="00A57721"/>
    <w:rsid w:val="00A60193"/>
    <w:rsid w:val="00A6060E"/>
    <w:rsid w:val="00A616AA"/>
    <w:rsid w:val="00A619E5"/>
    <w:rsid w:val="00A6204C"/>
    <w:rsid w:val="00A63554"/>
    <w:rsid w:val="00A643D7"/>
    <w:rsid w:val="00A65640"/>
    <w:rsid w:val="00A65838"/>
    <w:rsid w:val="00A65865"/>
    <w:rsid w:val="00A65D68"/>
    <w:rsid w:val="00A664CA"/>
    <w:rsid w:val="00A66A08"/>
    <w:rsid w:val="00A6791B"/>
    <w:rsid w:val="00A71596"/>
    <w:rsid w:val="00A71DC5"/>
    <w:rsid w:val="00A71E96"/>
    <w:rsid w:val="00A752FF"/>
    <w:rsid w:val="00A753B3"/>
    <w:rsid w:val="00A75FBA"/>
    <w:rsid w:val="00A765B8"/>
    <w:rsid w:val="00A76638"/>
    <w:rsid w:val="00A7689E"/>
    <w:rsid w:val="00A76A60"/>
    <w:rsid w:val="00A76DA7"/>
    <w:rsid w:val="00A77918"/>
    <w:rsid w:val="00A77DFA"/>
    <w:rsid w:val="00A808DD"/>
    <w:rsid w:val="00A80CEC"/>
    <w:rsid w:val="00A816DB"/>
    <w:rsid w:val="00A81795"/>
    <w:rsid w:val="00A82DD7"/>
    <w:rsid w:val="00A83E6B"/>
    <w:rsid w:val="00A846F0"/>
    <w:rsid w:val="00A85238"/>
    <w:rsid w:val="00A86550"/>
    <w:rsid w:val="00A86B83"/>
    <w:rsid w:val="00A87724"/>
    <w:rsid w:val="00A879EE"/>
    <w:rsid w:val="00A90577"/>
    <w:rsid w:val="00A91EEB"/>
    <w:rsid w:val="00A92CA2"/>
    <w:rsid w:val="00A92E10"/>
    <w:rsid w:val="00A9317D"/>
    <w:rsid w:val="00A93C5C"/>
    <w:rsid w:val="00A94CCC"/>
    <w:rsid w:val="00A94E3B"/>
    <w:rsid w:val="00A950AD"/>
    <w:rsid w:val="00A95BE5"/>
    <w:rsid w:val="00A95DBE"/>
    <w:rsid w:val="00A95FD7"/>
    <w:rsid w:val="00A967C9"/>
    <w:rsid w:val="00A96C97"/>
    <w:rsid w:val="00A976E2"/>
    <w:rsid w:val="00A9778A"/>
    <w:rsid w:val="00A97AD7"/>
    <w:rsid w:val="00AA043D"/>
    <w:rsid w:val="00AA0BAB"/>
    <w:rsid w:val="00AA1CD0"/>
    <w:rsid w:val="00AA29B2"/>
    <w:rsid w:val="00AA2BCF"/>
    <w:rsid w:val="00AA2E07"/>
    <w:rsid w:val="00AA2F80"/>
    <w:rsid w:val="00AA367A"/>
    <w:rsid w:val="00AA41D4"/>
    <w:rsid w:val="00AA4567"/>
    <w:rsid w:val="00AA6329"/>
    <w:rsid w:val="00AA738C"/>
    <w:rsid w:val="00AA7486"/>
    <w:rsid w:val="00AA78AB"/>
    <w:rsid w:val="00AB00EA"/>
    <w:rsid w:val="00AB0572"/>
    <w:rsid w:val="00AB0729"/>
    <w:rsid w:val="00AB0DFB"/>
    <w:rsid w:val="00AB1E81"/>
    <w:rsid w:val="00AB28AE"/>
    <w:rsid w:val="00AB28BA"/>
    <w:rsid w:val="00AB304F"/>
    <w:rsid w:val="00AB3676"/>
    <w:rsid w:val="00AB3935"/>
    <w:rsid w:val="00AB4519"/>
    <w:rsid w:val="00AB58D2"/>
    <w:rsid w:val="00AB64A2"/>
    <w:rsid w:val="00AB64B8"/>
    <w:rsid w:val="00AB7420"/>
    <w:rsid w:val="00AB7646"/>
    <w:rsid w:val="00AB77FF"/>
    <w:rsid w:val="00AC0158"/>
    <w:rsid w:val="00AC0655"/>
    <w:rsid w:val="00AC13ED"/>
    <w:rsid w:val="00AC2B93"/>
    <w:rsid w:val="00AC2F3E"/>
    <w:rsid w:val="00AC3474"/>
    <w:rsid w:val="00AC3A0F"/>
    <w:rsid w:val="00AC3E34"/>
    <w:rsid w:val="00AC44C6"/>
    <w:rsid w:val="00AC6A1A"/>
    <w:rsid w:val="00AC73B3"/>
    <w:rsid w:val="00AD0D52"/>
    <w:rsid w:val="00AD0DAD"/>
    <w:rsid w:val="00AD1521"/>
    <w:rsid w:val="00AD1580"/>
    <w:rsid w:val="00AD2057"/>
    <w:rsid w:val="00AD4BFC"/>
    <w:rsid w:val="00AD53F3"/>
    <w:rsid w:val="00AD5829"/>
    <w:rsid w:val="00AD5AB4"/>
    <w:rsid w:val="00AD6959"/>
    <w:rsid w:val="00AD6A80"/>
    <w:rsid w:val="00AD731B"/>
    <w:rsid w:val="00AD742C"/>
    <w:rsid w:val="00AD751B"/>
    <w:rsid w:val="00AD7907"/>
    <w:rsid w:val="00AD79AB"/>
    <w:rsid w:val="00AE0408"/>
    <w:rsid w:val="00AE0996"/>
    <w:rsid w:val="00AE1185"/>
    <w:rsid w:val="00AE27F3"/>
    <w:rsid w:val="00AE35A2"/>
    <w:rsid w:val="00AE3662"/>
    <w:rsid w:val="00AE3C73"/>
    <w:rsid w:val="00AE43AE"/>
    <w:rsid w:val="00AE484B"/>
    <w:rsid w:val="00AE688A"/>
    <w:rsid w:val="00AE7AFD"/>
    <w:rsid w:val="00AF057A"/>
    <w:rsid w:val="00AF1172"/>
    <w:rsid w:val="00AF2D57"/>
    <w:rsid w:val="00AF3A13"/>
    <w:rsid w:val="00AF420D"/>
    <w:rsid w:val="00AF4714"/>
    <w:rsid w:val="00AF48F0"/>
    <w:rsid w:val="00AF52CB"/>
    <w:rsid w:val="00AF56BE"/>
    <w:rsid w:val="00AF5D0B"/>
    <w:rsid w:val="00AF6198"/>
    <w:rsid w:val="00AF6DCF"/>
    <w:rsid w:val="00AF7B50"/>
    <w:rsid w:val="00B00C6A"/>
    <w:rsid w:val="00B01E9F"/>
    <w:rsid w:val="00B02736"/>
    <w:rsid w:val="00B02F44"/>
    <w:rsid w:val="00B034CA"/>
    <w:rsid w:val="00B038A7"/>
    <w:rsid w:val="00B041A3"/>
    <w:rsid w:val="00B0476B"/>
    <w:rsid w:val="00B061EB"/>
    <w:rsid w:val="00B07544"/>
    <w:rsid w:val="00B07A0E"/>
    <w:rsid w:val="00B07FE0"/>
    <w:rsid w:val="00B10812"/>
    <w:rsid w:val="00B11152"/>
    <w:rsid w:val="00B112F1"/>
    <w:rsid w:val="00B11F9E"/>
    <w:rsid w:val="00B1262A"/>
    <w:rsid w:val="00B130BD"/>
    <w:rsid w:val="00B13939"/>
    <w:rsid w:val="00B1423B"/>
    <w:rsid w:val="00B14307"/>
    <w:rsid w:val="00B15344"/>
    <w:rsid w:val="00B1544F"/>
    <w:rsid w:val="00B15D31"/>
    <w:rsid w:val="00B16D2B"/>
    <w:rsid w:val="00B1784F"/>
    <w:rsid w:val="00B17C2B"/>
    <w:rsid w:val="00B204A4"/>
    <w:rsid w:val="00B20667"/>
    <w:rsid w:val="00B207D9"/>
    <w:rsid w:val="00B21050"/>
    <w:rsid w:val="00B21575"/>
    <w:rsid w:val="00B21F06"/>
    <w:rsid w:val="00B226C2"/>
    <w:rsid w:val="00B22D8E"/>
    <w:rsid w:val="00B235EF"/>
    <w:rsid w:val="00B240A6"/>
    <w:rsid w:val="00B243DE"/>
    <w:rsid w:val="00B2528B"/>
    <w:rsid w:val="00B257C6"/>
    <w:rsid w:val="00B25B6A"/>
    <w:rsid w:val="00B26134"/>
    <w:rsid w:val="00B26649"/>
    <w:rsid w:val="00B266A1"/>
    <w:rsid w:val="00B27339"/>
    <w:rsid w:val="00B27A18"/>
    <w:rsid w:val="00B30C85"/>
    <w:rsid w:val="00B31390"/>
    <w:rsid w:val="00B323D4"/>
    <w:rsid w:val="00B32538"/>
    <w:rsid w:val="00B3350C"/>
    <w:rsid w:val="00B33CA4"/>
    <w:rsid w:val="00B33E12"/>
    <w:rsid w:val="00B34619"/>
    <w:rsid w:val="00B34870"/>
    <w:rsid w:val="00B34AAD"/>
    <w:rsid w:val="00B36674"/>
    <w:rsid w:val="00B36EEF"/>
    <w:rsid w:val="00B37683"/>
    <w:rsid w:val="00B37C1C"/>
    <w:rsid w:val="00B37E10"/>
    <w:rsid w:val="00B37F7B"/>
    <w:rsid w:val="00B40B09"/>
    <w:rsid w:val="00B40D3C"/>
    <w:rsid w:val="00B40DB0"/>
    <w:rsid w:val="00B40F5F"/>
    <w:rsid w:val="00B412F4"/>
    <w:rsid w:val="00B414BE"/>
    <w:rsid w:val="00B41E6C"/>
    <w:rsid w:val="00B420AB"/>
    <w:rsid w:val="00B42463"/>
    <w:rsid w:val="00B42FA6"/>
    <w:rsid w:val="00B431CB"/>
    <w:rsid w:val="00B43B81"/>
    <w:rsid w:val="00B442C2"/>
    <w:rsid w:val="00B4499A"/>
    <w:rsid w:val="00B4590D"/>
    <w:rsid w:val="00B462D1"/>
    <w:rsid w:val="00B4633D"/>
    <w:rsid w:val="00B471CC"/>
    <w:rsid w:val="00B50219"/>
    <w:rsid w:val="00B504DA"/>
    <w:rsid w:val="00B51995"/>
    <w:rsid w:val="00B51A8B"/>
    <w:rsid w:val="00B5281C"/>
    <w:rsid w:val="00B53691"/>
    <w:rsid w:val="00B53B32"/>
    <w:rsid w:val="00B53BA6"/>
    <w:rsid w:val="00B540A0"/>
    <w:rsid w:val="00B543E7"/>
    <w:rsid w:val="00B54572"/>
    <w:rsid w:val="00B54933"/>
    <w:rsid w:val="00B54984"/>
    <w:rsid w:val="00B54D13"/>
    <w:rsid w:val="00B55C43"/>
    <w:rsid w:val="00B567EE"/>
    <w:rsid w:val="00B56969"/>
    <w:rsid w:val="00B5736D"/>
    <w:rsid w:val="00B6014D"/>
    <w:rsid w:val="00B628D6"/>
    <w:rsid w:val="00B62AF1"/>
    <w:rsid w:val="00B62D6C"/>
    <w:rsid w:val="00B63F86"/>
    <w:rsid w:val="00B6534B"/>
    <w:rsid w:val="00B6554B"/>
    <w:rsid w:val="00B65673"/>
    <w:rsid w:val="00B661B8"/>
    <w:rsid w:val="00B701C7"/>
    <w:rsid w:val="00B7088C"/>
    <w:rsid w:val="00B70A77"/>
    <w:rsid w:val="00B70F44"/>
    <w:rsid w:val="00B71801"/>
    <w:rsid w:val="00B71F7C"/>
    <w:rsid w:val="00B72441"/>
    <w:rsid w:val="00B7273C"/>
    <w:rsid w:val="00B728D7"/>
    <w:rsid w:val="00B734D0"/>
    <w:rsid w:val="00B7374C"/>
    <w:rsid w:val="00B73AA1"/>
    <w:rsid w:val="00B742F6"/>
    <w:rsid w:val="00B74744"/>
    <w:rsid w:val="00B74981"/>
    <w:rsid w:val="00B7507D"/>
    <w:rsid w:val="00B75AC5"/>
    <w:rsid w:val="00B75BA8"/>
    <w:rsid w:val="00B766BE"/>
    <w:rsid w:val="00B77528"/>
    <w:rsid w:val="00B77989"/>
    <w:rsid w:val="00B80642"/>
    <w:rsid w:val="00B80C32"/>
    <w:rsid w:val="00B81043"/>
    <w:rsid w:val="00B829F6"/>
    <w:rsid w:val="00B8353C"/>
    <w:rsid w:val="00B83C50"/>
    <w:rsid w:val="00B84068"/>
    <w:rsid w:val="00B841FF"/>
    <w:rsid w:val="00B85F92"/>
    <w:rsid w:val="00B8698E"/>
    <w:rsid w:val="00B90665"/>
    <w:rsid w:val="00B90B49"/>
    <w:rsid w:val="00B91F8C"/>
    <w:rsid w:val="00B92D03"/>
    <w:rsid w:val="00B92D54"/>
    <w:rsid w:val="00B92E5B"/>
    <w:rsid w:val="00B94A53"/>
    <w:rsid w:val="00B94CE7"/>
    <w:rsid w:val="00B95F27"/>
    <w:rsid w:val="00B96A5D"/>
    <w:rsid w:val="00B970B1"/>
    <w:rsid w:val="00B978D0"/>
    <w:rsid w:val="00B97913"/>
    <w:rsid w:val="00B97BDD"/>
    <w:rsid w:val="00BA0049"/>
    <w:rsid w:val="00BA0EB8"/>
    <w:rsid w:val="00BA11EC"/>
    <w:rsid w:val="00BA2633"/>
    <w:rsid w:val="00BA2DD5"/>
    <w:rsid w:val="00BA3DEC"/>
    <w:rsid w:val="00BA3FF3"/>
    <w:rsid w:val="00BA440A"/>
    <w:rsid w:val="00BA474D"/>
    <w:rsid w:val="00BA559E"/>
    <w:rsid w:val="00BA6035"/>
    <w:rsid w:val="00BA6755"/>
    <w:rsid w:val="00BA68D1"/>
    <w:rsid w:val="00BA6C72"/>
    <w:rsid w:val="00BA7C91"/>
    <w:rsid w:val="00BA7F64"/>
    <w:rsid w:val="00BB24C0"/>
    <w:rsid w:val="00BB31E8"/>
    <w:rsid w:val="00BB3596"/>
    <w:rsid w:val="00BB389F"/>
    <w:rsid w:val="00BB3B38"/>
    <w:rsid w:val="00BB4168"/>
    <w:rsid w:val="00BB417A"/>
    <w:rsid w:val="00BB5870"/>
    <w:rsid w:val="00BB5A9F"/>
    <w:rsid w:val="00BB5B07"/>
    <w:rsid w:val="00BB6285"/>
    <w:rsid w:val="00BB62B4"/>
    <w:rsid w:val="00BB678B"/>
    <w:rsid w:val="00BB78AE"/>
    <w:rsid w:val="00BB7BD5"/>
    <w:rsid w:val="00BB7FB9"/>
    <w:rsid w:val="00BC0A8E"/>
    <w:rsid w:val="00BC0B98"/>
    <w:rsid w:val="00BC0EFE"/>
    <w:rsid w:val="00BC1869"/>
    <w:rsid w:val="00BC2712"/>
    <w:rsid w:val="00BC2858"/>
    <w:rsid w:val="00BC29F5"/>
    <w:rsid w:val="00BC319A"/>
    <w:rsid w:val="00BC414C"/>
    <w:rsid w:val="00BC4952"/>
    <w:rsid w:val="00BC4B9E"/>
    <w:rsid w:val="00BC50C4"/>
    <w:rsid w:val="00BC553C"/>
    <w:rsid w:val="00BC65EA"/>
    <w:rsid w:val="00BC78C8"/>
    <w:rsid w:val="00BC7A06"/>
    <w:rsid w:val="00BD0531"/>
    <w:rsid w:val="00BD140A"/>
    <w:rsid w:val="00BD1BE4"/>
    <w:rsid w:val="00BD240C"/>
    <w:rsid w:val="00BD2FB4"/>
    <w:rsid w:val="00BD441C"/>
    <w:rsid w:val="00BD4738"/>
    <w:rsid w:val="00BD4ADE"/>
    <w:rsid w:val="00BD618D"/>
    <w:rsid w:val="00BD62B0"/>
    <w:rsid w:val="00BD6A5D"/>
    <w:rsid w:val="00BD7126"/>
    <w:rsid w:val="00BD7EE1"/>
    <w:rsid w:val="00BE037E"/>
    <w:rsid w:val="00BE3E24"/>
    <w:rsid w:val="00BE44DE"/>
    <w:rsid w:val="00BE6170"/>
    <w:rsid w:val="00BE6219"/>
    <w:rsid w:val="00BE7661"/>
    <w:rsid w:val="00BE7AD9"/>
    <w:rsid w:val="00BF1589"/>
    <w:rsid w:val="00BF1AA7"/>
    <w:rsid w:val="00BF1CFE"/>
    <w:rsid w:val="00BF2C66"/>
    <w:rsid w:val="00BF3EF1"/>
    <w:rsid w:val="00BF3FCB"/>
    <w:rsid w:val="00BF4474"/>
    <w:rsid w:val="00BF4579"/>
    <w:rsid w:val="00BF49C9"/>
    <w:rsid w:val="00BF5F14"/>
    <w:rsid w:val="00BF7054"/>
    <w:rsid w:val="00BF7912"/>
    <w:rsid w:val="00BF7E6C"/>
    <w:rsid w:val="00C004EB"/>
    <w:rsid w:val="00C01033"/>
    <w:rsid w:val="00C01106"/>
    <w:rsid w:val="00C0112C"/>
    <w:rsid w:val="00C0143E"/>
    <w:rsid w:val="00C0150D"/>
    <w:rsid w:val="00C02539"/>
    <w:rsid w:val="00C0339F"/>
    <w:rsid w:val="00C03AC4"/>
    <w:rsid w:val="00C048DB"/>
    <w:rsid w:val="00C04D09"/>
    <w:rsid w:val="00C0533C"/>
    <w:rsid w:val="00C05C3D"/>
    <w:rsid w:val="00C0609B"/>
    <w:rsid w:val="00C06323"/>
    <w:rsid w:val="00C073E6"/>
    <w:rsid w:val="00C105C6"/>
    <w:rsid w:val="00C10A53"/>
    <w:rsid w:val="00C10C01"/>
    <w:rsid w:val="00C10D52"/>
    <w:rsid w:val="00C114E4"/>
    <w:rsid w:val="00C11F03"/>
    <w:rsid w:val="00C12188"/>
    <w:rsid w:val="00C1234C"/>
    <w:rsid w:val="00C147E0"/>
    <w:rsid w:val="00C14A33"/>
    <w:rsid w:val="00C1535B"/>
    <w:rsid w:val="00C15575"/>
    <w:rsid w:val="00C15A9D"/>
    <w:rsid w:val="00C16A40"/>
    <w:rsid w:val="00C16D45"/>
    <w:rsid w:val="00C16DA7"/>
    <w:rsid w:val="00C17429"/>
    <w:rsid w:val="00C175D4"/>
    <w:rsid w:val="00C17C3E"/>
    <w:rsid w:val="00C20682"/>
    <w:rsid w:val="00C21BA2"/>
    <w:rsid w:val="00C21C9E"/>
    <w:rsid w:val="00C22FBA"/>
    <w:rsid w:val="00C236A7"/>
    <w:rsid w:val="00C2406F"/>
    <w:rsid w:val="00C24E98"/>
    <w:rsid w:val="00C25020"/>
    <w:rsid w:val="00C2563B"/>
    <w:rsid w:val="00C25DC8"/>
    <w:rsid w:val="00C2666D"/>
    <w:rsid w:val="00C26773"/>
    <w:rsid w:val="00C274FF"/>
    <w:rsid w:val="00C307B4"/>
    <w:rsid w:val="00C30DDE"/>
    <w:rsid w:val="00C31C1E"/>
    <w:rsid w:val="00C326F4"/>
    <w:rsid w:val="00C332A1"/>
    <w:rsid w:val="00C33B05"/>
    <w:rsid w:val="00C33CCB"/>
    <w:rsid w:val="00C33EB6"/>
    <w:rsid w:val="00C34196"/>
    <w:rsid w:val="00C34627"/>
    <w:rsid w:val="00C34AB3"/>
    <w:rsid w:val="00C356A2"/>
    <w:rsid w:val="00C36A28"/>
    <w:rsid w:val="00C37C4F"/>
    <w:rsid w:val="00C37DBB"/>
    <w:rsid w:val="00C37E31"/>
    <w:rsid w:val="00C404D4"/>
    <w:rsid w:val="00C409D3"/>
    <w:rsid w:val="00C40D9F"/>
    <w:rsid w:val="00C417C5"/>
    <w:rsid w:val="00C42A54"/>
    <w:rsid w:val="00C42F60"/>
    <w:rsid w:val="00C4379D"/>
    <w:rsid w:val="00C44AA9"/>
    <w:rsid w:val="00C44E05"/>
    <w:rsid w:val="00C47F12"/>
    <w:rsid w:val="00C50864"/>
    <w:rsid w:val="00C50C67"/>
    <w:rsid w:val="00C51316"/>
    <w:rsid w:val="00C52244"/>
    <w:rsid w:val="00C52262"/>
    <w:rsid w:val="00C52C89"/>
    <w:rsid w:val="00C52F61"/>
    <w:rsid w:val="00C530E0"/>
    <w:rsid w:val="00C54D13"/>
    <w:rsid w:val="00C56120"/>
    <w:rsid w:val="00C56342"/>
    <w:rsid w:val="00C571A1"/>
    <w:rsid w:val="00C57AF0"/>
    <w:rsid w:val="00C602C2"/>
    <w:rsid w:val="00C6052B"/>
    <w:rsid w:val="00C605C5"/>
    <w:rsid w:val="00C608A8"/>
    <w:rsid w:val="00C610C2"/>
    <w:rsid w:val="00C61ADC"/>
    <w:rsid w:val="00C61EC6"/>
    <w:rsid w:val="00C6353E"/>
    <w:rsid w:val="00C63553"/>
    <w:rsid w:val="00C63DC1"/>
    <w:rsid w:val="00C6417A"/>
    <w:rsid w:val="00C6422B"/>
    <w:rsid w:val="00C64737"/>
    <w:rsid w:val="00C65681"/>
    <w:rsid w:val="00C65D26"/>
    <w:rsid w:val="00C65D3E"/>
    <w:rsid w:val="00C666C8"/>
    <w:rsid w:val="00C671FF"/>
    <w:rsid w:val="00C67210"/>
    <w:rsid w:val="00C675DC"/>
    <w:rsid w:val="00C677D2"/>
    <w:rsid w:val="00C70160"/>
    <w:rsid w:val="00C71767"/>
    <w:rsid w:val="00C7183D"/>
    <w:rsid w:val="00C71B3E"/>
    <w:rsid w:val="00C71E73"/>
    <w:rsid w:val="00C72320"/>
    <w:rsid w:val="00C7432A"/>
    <w:rsid w:val="00C74CFD"/>
    <w:rsid w:val="00C74D25"/>
    <w:rsid w:val="00C75497"/>
    <w:rsid w:val="00C761B0"/>
    <w:rsid w:val="00C7621F"/>
    <w:rsid w:val="00C76BB1"/>
    <w:rsid w:val="00C76F79"/>
    <w:rsid w:val="00C774FF"/>
    <w:rsid w:val="00C77D12"/>
    <w:rsid w:val="00C8062C"/>
    <w:rsid w:val="00C81162"/>
    <w:rsid w:val="00C81535"/>
    <w:rsid w:val="00C81ADC"/>
    <w:rsid w:val="00C81E97"/>
    <w:rsid w:val="00C82A7D"/>
    <w:rsid w:val="00C82B6F"/>
    <w:rsid w:val="00C85A0A"/>
    <w:rsid w:val="00C86FD4"/>
    <w:rsid w:val="00C8783D"/>
    <w:rsid w:val="00C87D8F"/>
    <w:rsid w:val="00C9053F"/>
    <w:rsid w:val="00C905DC"/>
    <w:rsid w:val="00C92EDD"/>
    <w:rsid w:val="00C93496"/>
    <w:rsid w:val="00C93FDA"/>
    <w:rsid w:val="00C95716"/>
    <w:rsid w:val="00C9591E"/>
    <w:rsid w:val="00C95CE4"/>
    <w:rsid w:val="00C964B8"/>
    <w:rsid w:val="00C9762D"/>
    <w:rsid w:val="00C97FF2"/>
    <w:rsid w:val="00CA02D2"/>
    <w:rsid w:val="00CA0B85"/>
    <w:rsid w:val="00CA2A27"/>
    <w:rsid w:val="00CA2BE5"/>
    <w:rsid w:val="00CA3537"/>
    <w:rsid w:val="00CA3A0F"/>
    <w:rsid w:val="00CA41D6"/>
    <w:rsid w:val="00CA48AA"/>
    <w:rsid w:val="00CA49C2"/>
    <w:rsid w:val="00CA4AC7"/>
    <w:rsid w:val="00CA577B"/>
    <w:rsid w:val="00CA5899"/>
    <w:rsid w:val="00CA5F6C"/>
    <w:rsid w:val="00CA6282"/>
    <w:rsid w:val="00CA62D3"/>
    <w:rsid w:val="00CA62D8"/>
    <w:rsid w:val="00CA655B"/>
    <w:rsid w:val="00CA69E4"/>
    <w:rsid w:val="00CA7705"/>
    <w:rsid w:val="00CB01F5"/>
    <w:rsid w:val="00CB098E"/>
    <w:rsid w:val="00CB1B2D"/>
    <w:rsid w:val="00CB23DC"/>
    <w:rsid w:val="00CB2A85"/>
    <w:rsid w:val="00CB5087"/>
    <w:rsid w:val="00CB5F56"/>
    <w:rsid w:val="00CB65C8"/>
    <w:rsid w:val="00CB6941"/>
    <w:rsid w:val="00CB6BF5"/>
    <w:rsid w:val="00CB6F6C"/>
    <w:rsid w:val="00CB7302"/>
    <w:rsid w:val="00CB7456"/>
    <w:rsid w:val="00CB7688"/>
    <w:rsid w:val="00CB78B8"/>
    <w:rsid w:val="00CC1E90"/>
    <w:rsid w:val="00CC2177"/>
    <w:rsid w:val="00CC329A"/>
    <w:rsid w:val="00CC464D"/>
    <w:rsid w:val="00CC4AB2"/>
    <w:rsid w:val="00CC4C0A"/>
    <w:rsid w:val="00CC4D7C"/>
    <w:rsid w:val="00CC52F0"/>
    <w:rsid w:val="00CC5C55"/>
    <w:rsid w:val="00CC6445"/>
    <w:rsid w:val="00CC6477"/>
    <w:rsid w:val="00CC64A5"/>
    <w:rsid w:val="00CC6878"/>
    <w:rsid w:val="00CC70D7"/>
    <w:rsid w:val="00CD01AD"/>
    <w:rsid w:val="00CD2C06"/>
    <w:rsid w:val="00CD2DEA"/>
    <w:rsid w:val="00CD2F54"/>
    <w:rsid w:val="00CD3E70"/>
    <w:rsid w:val="00CD4AC5"/>
    <w:rsid w:val="00CD4E98"/>
    <w:rsid w:val="00CD5701"/>
    <w:rsid w:val="00CD5779"/>
    <w:rsid w:val="00CD58F8"/>
    <w:rsid w:val="00CD5EAF"/>
    <w:rsid w:val="00CD6030"/>
    <w:rsid w:val="00CD635A"/>
    <w:rsid w:val="00CD63B1"/>
    <w:rsid w:val="00CD6BDD"/>
    <w:rsid w:val="00CD70EC"/>
    <w:rsid w:val="00CD7806"/>
    <w:rsid w:val="00CD78E0"/>
    <w:rsid w:val="00CE0E2D"/>
    <w:rsid w:val="00CE1071"/>
    <w:rsid w:val="00CE14B4"/>
    <w:rsid w:val="00CE18BD"/>
    <w:rsid w:val="00CE1B65"/>
    <w:rsid w:val="00CE2366"/>
    <w:rsid w:val="00CE360D"/>
    <w:rsid w:val="00CE3B2D"/>
    <w:rsid w:val="00CE420D"/>
    <w:rsid w:val="00CE51B2"/>
    <w:rsid w:val="00CE55B6"/>
    <w:rsid w:val="00CE59DF"/>
    <w:rsid w:val="00CE5ADB"/>
    <w:rsid w:val="00CE6631"/>
    <w:rsid w:val="00CE7C4F"/>
    <w:rsid w:val="00CF15C3"/>
    <w:rsid w:val="00CF1F1D"/>
    <w:rsid w:val="00CF27EB"/>
    <w:rsid w:val="00CF2BD1"/>
    <w:rsid w:val="00CF3AED"/>
    <w:rsid w:val="00CF3D01"/>
    <w:rsid w:val="00CF3D98"/>
    <w:rsid w:val="00CF42BF"/>
    <w:rsid w:val="00CF6279"/>
    <w:rsid w:val="00CF70B9"/>
    <w:rsid w:val="00CF7445"/>
    <w:rsid w:val="00CF7C7C"/>
    <w:rsid w:val="00D01D10"/>
    <w:rsid w:val="00D01EB8"/>
    <w:rsid w:val="00D02E9C"/>
    <w:rsid w:val="00D03D05"/>
    <w:rsid w:val="00D03FCF"/>
    <w:rsid w:val="00D040B3"/>
    <w:rsid w:val="00D045EF"/>
    <w:rsid w:val="00D052D5"/>
    <w:rsid w:val="00D054B6"/>
    <w:rsid w:val="00D059AC"/>
    <w:rsid w:val="00D05B14"/>
    <w:rsid w:val="00D05E54"/>
    <w:rsid w:val="00D060CD"/>
    <w:rsid w:val="00D06B0A"/>
    <w:rsid w:val="00D07468"/>
    <w:rsid w:val="00D07801"/>
    <w:rsid w:val="00D10293"/>
    <w:rsid w:val="00D106F7"/>
    <w:rsid w:val="00D10E8C"/>
    <w:rsid w:val="00D11218"/>
    <w:rsid w:val="00D1153F"/>
    <w:rsid w:val="00D12D33"/>
    <w:rsid w:val="00D13792"/>
    <w:rsid w:val="00D1390A"/>
    <w:rsid w:val="00D15957"/>
    <w:rsid w:val="00D15ABF"/>
    <w:rsid w:val="00D16835"/>
    <w:rsid w:val="00D16C23"/>
    <w:rsid w:val="00D16EFE"/>
    <w:rsid w:val="00D17A1A"/>
    <w:rsid w:val="00D20375"/>
    <w:rsid w:val="00D205DD"/>
    <w:rsid w:val="00D20689"/>
    <w:rsid w:val="00D20B3C"/>
    <w:rsid w:val="00D20BAF"/>
    <w:rsid w:val="00D20FC3"/>
    <w:rsid w:val="00D22795"/>
    <w:rsid w:val="00D22BF6"/>
    <w:rsid w:val="00D23064"/>
    <w:rsid w:val="00D23E2A"/>
    <w:rsid w:val="00D2448A"/>
    <w:rsid w:val="00D24DF5"/>
    <w:rsid w:val="00D25393"/>
    <w:rsid w:val="00D25726"/>
    <w:rsid w:val="00D25CD1"/>
    <w:rsid w:val="00D2659F"/>
    <w:rsid w:val="00D277EA"/>
    <w:rsid w:val="00D278CD"/>
    <w:rsid w:val="00D27C20"/>
    <w:rsid w:val="00D30555"/>
    <w:rsid w:val="00D30C1E"/>
    <w:rsid w:val="00D318EA"/>
    <w:rsid w:val="00D3222E"/>
    <w:rsid w:val="00D3238C"/>
    <w:rsid w:val="00D33782"/>
    <w:rsid w:val="00D34193"/>
    <w:rsid w:val="00D34879"/>
    <w:rsid w:val="00D34DEA"/>
    <w:rsid w:val="00D35B67"/>
    <w:rsid w:val="00D36BDE"/>
    <w:rsid w:val="00D40873"/>
    <w:rsid w:val="00D40E23"/>
    <w:rsid w:val="00D412B3"/>
    <w:rsid w:val="00D415DF"/>
    <w:rsid w:val="00D41BA9"/>
    <w:rsid w:val="00D422D9"/>
    <w:rsid w:val="00D42695"/>
    <w:rsid w:val="00D42BF4"/>
    <w:rsid w:val="00D42E83"/>
    <w:rsid w:val="00D42EEB"/>
    <w:rsid w:val="00D43176"/>
    <w:rsid w:val="00D436BB"/>
    <w:rsid w:val="00D4440D"/>
    <w:rsid w:val="00D44924"/>
    <w:rsid w:val="00D44A0A"/>
    <w:rsid w:val="00D44D42"/>
    <w:rsid w:val="00D463C5"/>
    <w:rsid w:val="00D46ED6"/>
    <w:rsid w:val="00D471FD"/>
    <w:rsid w:val="00D473D4"/>
    <w:rsid w:val="00D47A92"/>
    <w:rsid w:val="00D47B9A"/>
    <w:rsid w:val="00D50182"/>
    <w:rsid w:val="00D50183"/>
    <w:rsid w:val="00D50460"/>
    <w:rsid w:val="00D51399"/>
    <w:rsid w:val="00D5158B"/>
    <w:rsid w:val="00D5193A"/>
    <w:rsid w:val="00D53574"/>
    <w:rsid w:val="00D54D29"/>
    <w:rsid w:val="00D54D58"/>
    <w:rsid w:val="00D56E9E"/>
    <w:rsid w:val="00D6022E"/>
    <w:rsid w:val="00D602AB"/>
    <w:rsid w:val="00D60D31"/>
    <w:rsid w:val="00D61306"/>
    <w:rsid w:val="00D61D35"/>
    <w:rsid w:val="00D623B5"/>
    <w:rsid w:val="00D624A4"/>
    <w:rsid w:val="00D62AEC"/>
    <w:rsid w:val="00D62B8C"/>
    <w:rsid w:val="00D62F5F"/>
    <w:rsid w:val="00D631A5"/>
    <w:rsid w:val="00D6335E"/>
    <w:rsid w:val="00D63A14"/>
    <w:rsid w:val="00D63ABB"/>
    <w:rsid w:val="00D63BB2"/>
    <w:rsid w:val="00D64641"/>
    <w:rsid w:val="00D64A61"/>
    <w:rsid w:val="00D6541A"/>
    <w:rsid w:val="00D66538"/>
    <w:rsid w:val="00D66C89"/>
    <w:rsid w:val="00D67024"/>
    <w:rsid w:val="00D71238"/>
    <w:rsid w:val="00D71F01"/>
    <w:rsid w:val="00D72B71"/>
    <w:rsid w:val="00D733C7"/>
    <w:rsid w:val="00D73BEE"/>
    <w:rsid w:val="00D75195"/>
    <w:rsid w:val="00D75AC2"/>
    <w:rsid w:val="00D770DE"/>
    <w:rsid w:val="00D800A4"/>
    <w:rsid w:val="00D80C56"/>
    <w:rsid w:val="00D81503"/>
    <w:rsid w:val="00D82A12"/>
    <w:rsid w:val="00D82CCC"/>
    <w:rsid w:val="00D82F22"/>
    <w:rsid w:val="00D84324"/>
    <w:rsid w:val="00D84384"/>
    <w:rsid w:val="00D84DF6"/>
    <w:rsid w:val="00D84EC2"/>
    <w:rsid w:val="00D856B3"/>
    <w:rsid w:val="00D86905"/>
    <w:rsid w:val="00D86BC8"/>
    <w:rsid w:val="00D8714C"/>
    <w:rsid w:val="00D87912"/>
    <w:rsid w:val="00D9015D"/>
    <w:rsid w:val="00D9057F"/>
    <w:rsid w:val="00D91094"/>
    <w:rsid w:val="00D91342"/>
    <w:rsid w:val="00D91903"/>
    <w:rsid w:val="00D91C56"/>
    <w:rsid w:val="00D9248B"/>
    <w:rsid w:val="00D926B6"/>
    <w:rsid w:val="00D93B4B"/>
    <w:rsid w:val="00D95D7C"/>
    <w:rsid w:val="00D95F65"/>
    <w:rsid w:val="00D96609"/>
    <w:rsid w:val="00D966CC"/>
    <w:rsid w:val="00DA0234"/>
    <w:rsid w:val="00DA049C"/>
    <w:rsid w:val="00DA0807"/>
    <w:rsid w:val="00DA0B67"/>
    <w:rsid w:val="00DA2C1A"/>
    <w:rsid w:val="00DA36BF"/>
    <w:rsid w:val="00DA38A9"/>
    <w:rsid w:val="00DA411F"/>
    <w:rsid w:val="00DA48B3"/>
    <w:rsid w:val="00DA4A8C"/>
    <w:rsid w:val="00DA524E"/>
    <w:rsid w:val="00DA5FA7"/>
    <w:rsid w:val="00DA6AF9"/>
    <w:rsid w:val="00DA70CE"/>
    <w:rsid w:val="00DA7B80"/>
    <w:rsid w:val="00DB0330"/>
    <w:rsid w:val="00DB0D3F"/>
    <w:rsid w:val="00DB1FA5"/>
    <w:rsid w:val="00DB249E"/>
    <w:rsid w:val="00DB381E"/>
    <w:rsid w:val="00DB3B67"/>
    <w:rsid w:val="00DB61AA"/>
    <w:rsid w:val="00DB6209"/>
    <w:rsid w:val="00DB7429"/>
    <w:rsid w:val="00DC0281"/>
    <w:rsid w:val="00DC0592"/>
    <w:rsid w:val="00DC1B46"/>
    <w:rsid w:val="00DC28E9"/>
    <w:rsid w:val="00DC333B"/>
    <w:rsid w:val="00DC3A5A"/>
    <w:rsid w:val="00DC4584"/>
    <w:rsid w:val="00DC4D85"/>
    <w:rsid w:val="00DC4EAD"/>
    <w:rsid w:val="00DC4F97"/>
    <w:rsid w:val="00DC55DD"/>
    <w:rsid w:val="00DC63A7"/>
    <w:rsid w:val="00DC6508"/>
    <w:rsid w:val="00DC7AAC"/>
    <w:rsid w:val="00DC7F6A"/>
    <w:rsid w:val="00DD2697"/>
    <w:rsid w:val="00DD3547"/>
    <w:rsid w:val="00DD3B38"/>
    <w:rsid w:val="00DD55B7"/>
    <w:rsid w:val="00DD582D"/>
    <w:rsid w:val="00DD5B93"/>
    <w:rsid w:val="00DD77F1"/>
    <w:rsid w:val="00DD7A77"/>
    <w:rsid w:val="00DE03F0"/>
    <w:rsid w:val="00DE08AF"/>
    <w:rsid w:val="00DE17B1"/>
    <w:rsid w:val="00DE2875"/>
    <w:rsid w:val="00DE295A"/>
    <w:rsid w:val="00DE361A"/>
    <w:rsid w:val="00DE3CCD"/>
    <w:rsid w:val="00DE3D94"/>
    <w:rsid w:val="00DE4038"/>
    <w:rsid w:val="00DE423D"/>
    <w:rsid w:val="00DE549A"/>
    <w:rsid w:val="00DE57FE"/>
    <w:rsid w:val="00DE6D34"/>
    <w:rsid w:val="00DF09D8"/>
    <w:rsid w:val="00DF0E55"/>
    <w:rsid w:val="00DF1F36"/>
    <w:rsid w:val="00DF22AD"/>
    <w:rsid w:val="00DF28D1"/>
    <w:rsid w:val="00DF2B86"/>
    <w:rsid w:val="00DF2EF4"/>
    <w:rsid w:val="00DF4ACD"/>
    <w:rsid w:val="00DF5669"/>
    <w:rsid w:val="00DF5D69"/>
    <w:rsid w:val="00DF5F6F"/>
    <w:rsid w:val="00DF5F70"/>
    <w:rsid w:val="00DF68D7"/>
    <w:rsid w:val="00DF6D6A"/>
    <w:rsid w:val="00E003E9"/>
    <w:rsid w:val="00E00402"/>
    <w:rsid w:val="00E012AD"/>
    <w:rsid w:val="00E0130C"/>
    <w:rsid w:val="00E015CE"/>
    <w:rsid w:val="00E01D86"/>
    <w:rsid w:val="00E01E12"/>
    <w:rsid w:val="00E01F56"/>
    <w:rsid w:val="00E0227F"/>
    <w:rsid w:val="00E02489"/>
    <w:rsid w:val="00E03350"/>
    <w:rsid w:val="00E04292"/>
    <w:rsid w:val="00E04519"/>
    <w:rsid w:val="00E05A30"/>
    <w:rsid w:val="00E05E49"/>
    <w:rsid w:val="00E061E5"/>
    <w:rsid w:val="00E06707"/>
    <w:rsid w:val="00E067D2"/>
    <w:rsid w:val="00E0763B"/>
    <w:rsid w:val="00E10234"/>
    <w:rsid w:val="00E111CF"/>
    <w:rsid w:val="00E11F37"/>
    <w:rsid w:val="00E12624"/>
    <w:rsid w:val="00E13CF7"/>
    <w:rsid w:val="00E14F0F"/>
    <w:rsid w:val="00E15C3D"/>
    <w:rsid w:val="00E15DEB"/>
    <w:rsid w:val="00E16CDB"/>
    <w:rsid w:val="00E16F8E"/>
    <w:rsid w:val="00E1705C"/>
    <w:rsid w:val="00E17279"/>
    <w:rsid w:val="00E176E7"/>
    <w:rsid w:val="00E17B71"/>
    <w:rsid w:val="00E17E51"/>
    <w:rsid w:val="00E200EE"/>
    <w:rsid w:val="00E20FFF"/>
    <w:rsid w:val="00E21565"/>
    <w:rsid w:val="00E216E3"/>
    <w:rsid w:val="00E23060"/>
    <w:rsid w:val="00E23510"/>
    <w:rsid w:val="00E236CB"/>
    <w:rsid w:val="00E2459A"/>
    <w:rsid w:val="00E2482B"/>
    <w:rsid w:val="00E2582A"/>
    <w:rsid w:val="00E259D8"/>
    <w:rsid w:val="00E26048"/>
    <w:rsid w:val="00E27265"/>
    <w:rsid w:val="00E27629"/>
    <w:rsid w:val="00E305D8"/>
    <w:rsid w:val="00E315A4"/>
    <w:rsid w:val="00E31FFC"/>
    <w:rsid w:val="00E32061"/>
    <w:rsid w:val="00E339DB"/>
    <w:rsid w:val="00E35A84"/>
    <w:rsid w:val="00E35C43"/>
    <w:rsid w:val="00E35E90"/>
    <w:rsid w:val="00E363C0"/>
    <w:rsid w:val="00E36435"/>
    <w:rsid w:val="00E3688F"/>
    <w:rsid w:val="00E36F95"/>
    <w:rsid w:val="00E374EA"/>
    <w:rsid w:val="00E37C3D"/>
    <w:rsid w:val="00E37E7B"/>
    <w:rsid w:val="00E4026E"/>
    <w:rsid w:val="00E40D15"/>
    <w:rsid w:val="00E41483"/>
    <w:rsid w:val="00E415B9"/>
    <w:rsid w:val="00E4256B"/>
    <w:rsid w:val="00E426DF"/>
    <w:rsid w:val="00E42AA8"/>
    <w:rsid w:val="00E43CCB"/>
    <w:rsid w:val="00E44589"/>
    <w:rsid w:val="00E448B1"/>
    <w:rsid w:val="00E448B3"/>
    <w:rsid w:val="00E448DD"/>
    <w:rsid w:val="00E44998"/>
    <w:rsid w:val="00E44E42"/>
    <w:rsid w:val="00E45B4E"/>
    <w:rsid w:val="00E4604C"/>
    <w:rsid w:val="00E46BF3"/>
    <w:rsid w:val="00E47C4B"/>
    <w:rsid w:val="00E47F6D"/>
    <w:rsid w:val="00E50704"/>
    <w:rsid w:val="00E50909"/>
    <w:rsid w:val="00E51238"/>
    <w:rsid w:val="00E5146D"/>
    <w:rsid w:val="00E52E58"/>
    <w:rsid w:val="00E53746"/>
    <w:rsid w:val="00E53A39"/>
    <w:rsid w:val="00E53D6B"/>
    <w:rsid w:val="00E543B4"/>
    <w:rsid w:val="00E547BE"/>
    <w:rsid w:val="00E56041"/>
    <w:rsid w:val="00E56C52"/>
    <w:rsid w:val="00E56E92"/>
    <w:rsid w:val="00E56EB8"/>
    <w:rsid w:val="00E5777E"/>
    <w:rsid w:val="00E57CDE"/>
    <w:rsid w:val="00E601FF"/>
    <w:rsid w:val="00E60234"/>
    <w:rsid w:val="00E60813"/>
    <w:rsid w:val="00E61009"/>
    <w:rsid w:val="00E61416"/>
    <w:rsid w:val="00E6182C"/>
    <w:rsid w:val="00E62C9C"/>
    <w:rsid w:val="00E633E5"/>
    <w:rsid w:val="00E63D9B"/>
    <w:rsid w:val="00E63F2A"/>
    <w:rsid w:val="00E64710"/>
    <w:rsid w:val="00E650BB"/>
    <w:rsid w:val="00E655C4"/>
    <w:rsid w:val="00E659A9"/>
    <w:rsid w:val="00E65FFE"/>
    <w:rsid w:val="00E6668E"/>
    <w:rsid w:val="00E66DE4"/>
    <w:rsid w:val="00E6738A"/>
    <w:rsid w:val="00E67F8D"/>
    <w:rsid w:val="00E70ACD"/>
    <w:rsid w:val="00E71633"/>
    <w:rsid w:val="00E72579"/>
    <w:rsid w:val="00E72D24"/>
    <w:rsid w:val="00E73259"/>
    <w:rsid w:val="00E73469"/>
    <w:rsid w:val="00E7416C"/>
    <w:rsid w:val="00E74273"/>
    <w:rsid w:val="00E74402"/>
    <w:rsid w:val="00E74FD0"/>
    <w:rsid w:val="00E75562"/>
    <w:rsid w:val="00E76525"/>
    <w:rsid w:val="00E76B62"/>
    <w:rsid w:val="00E76F95"/>
    <w:rsid w:val="00E76FBB"/>
    <w:rsid w:val="00E77625"/>
    <w:rsid w:val="00E81586"/>
    <w:rsid w:val="00E81CE2"/>
    <w:rsid w:val="00E822F8"/>
    <w:rsid w:val="00E82F02"/>
    <w:rsid w:val="00E82FD8"/>
    <w:rsid w:val="00E830A8"/>
    <w:rsid w:val="00E83C44"/>
    <w:rsid w:val="00E84862"/>
    <w:rsid w:val="00E84FCC"/>
    <w:rsid w:val="00E85621"/>
    <w:rsid w:val="00E856D3"/>
    <w:rsid w:val="00E85AB1"/>
    <w:rsid w:val="00E85D57"/>
    <w:rsid w:val="00E86384"/>
    <w:rsid w:val="00E86E85"/>
    <w:rsid w:val="00E872E2"/>
    <w:rsid w:val="00E875F6"/>
    <w:rsid w:val="00E87E30"/>
    <w:rsid w:val="00E87FCB"/>
    <w:rsid w:val="00E9060B"/>
    <w:rsid w:val="00E92D1E"/>
    <w:rsid w:val="00E93DBF"/>
    <w:rsid w:val="00E94388"/>
    <w:rsid w:val="00E945CA"/>
    <w:rsid w:val="00E94B97"/>
    <w:rsid w:val="00E95D22"/>
    <w:rsid w:val="00E963F9"/>
    <w:rsid w:val="00E96D09"/>
    <w:rsid w:val="00E96D1D"/>
    <w:rsid w:val="00E970ED"/>
    <w:rsid w:val="00E973F0"/>
    <w:rsid w:val="00EA03CC"/>
    <w:rsid w:val="00EA1C37"/>
    <w:rsid w:val="00EA22CB"/>
    <w:rsid w:val="00EA2564"/>
    <w:rsid w:val="00EA25EF"/>
    <w:rsid w:val="00EA2A29"/>
    <w:rsid w:val="00EA367A"/>
    <w:rsid w:val="00EA433C"/>
    <w:rsid w:val="00EA4F9E"/>
    <w:rsid w:val="00EA58F4"/>
    <w:rsid w:val="00EA635B"/>
    <w:rsid w:val="00EA68AB"/>
    <w:rsid w:val="00EA7DEB"/>
    <w:rsid w:val="00EB093C"/>
    <w:rsid w:val="00EB0B88"/>
    <w:rsid w:val="00EB1234"/>
    <w:rsid w:val="00EB22F1"/>
    <w:rsid w:val="00EB3302"/>
    <w:rsid w:val="00EB371A"/>
    <w:rsid w:val="00EB4CB2"/>
    <w:rsid w:val="00EB4FFA"/>
    <w:rsid w:val="00EB5573"/>
    <w:rsid w:val="00EB56F2"/>
    <w:rsid w:val="00EB5B15"/>
    <w:rsid w:val="00EB5D06"/>
    <w:rsid w:val="00EB64AC"/>
    <w:rsid w:val="00EB6830"/>
    <w:rsid w:val="00EB6C64"/>
    <w:rsid w:val="00EB7927"/>
    <w:rsid w:val="00EB7F65"/>
    <w:rsid w:val="00EC0407"/>
    <w:rsid w:val="00EC172C"/>
    <w:rsid w:val="00EC1761"/>
    <w:rsid w:val="00EC1967"/>
    <w:rsid w:val="00EC2D98"/>
    <w:rsid w:val="00EC336A"/>
    <w:rsid w:val="00EC339C"/>
    <w:rsid w:val="00EC33E9"/>
    <w:rsid w:val="00EC419C"/>
    <w:rsid w:val="00EC4965"/>
    <w:rsid w:val="00EC4AF0"/>
    <w:rsid w:val="00EC60FA"/>
    <w:rsid w:val="00EC61EB"/>
    <w:rsid w:val="00EC6A34"/>
    <w:rsid w:val="00ED02B7"/>
    <w:rsid w:val="00ED0C23"/>
    <w:rsid w:val="00ED0D28"/>
    <w:rsid w:val="00ED1625"/>
    <w:rsid w:val="00ED2E11"/>
    <w:rsid w:val="00ED3866"/>
    <w:rsid w:val="00ED38FF"/>
    <w:rsid w:val="00ED4853"/>
    <w:rsid w:val="00ED4E07"/>
    <w:rsid w:val="00ED4EC6"/>
    <w:rsid w:val="00ED5211"/>
    <w:rsid w:val="00ED5793"/>
    <w:rsid w:val="00ED6F89"/>
    <w:rsid w:val="00ED773D"/>
    <w:rsid w:val="00EE1003"/>
    <w:rsid w:val="00EE1480"/>
    <w:rsid w:val="00EE1633"/>
    <w:rsid w:val="00EE2AA2"/>
    <w:rsid w:val="00EE337C"/>
    <w:rsid w:val="00EE389A"/>
    <w:rsid w:val="00EE3B5B"/>
    <w:rsid w:val="00EE3B7A"/>
    <w:rsid w:val="00EE3ED5"/>
    <w:rsid w:val="00EE4FC7"/>
    <w:rsid w:val="00EE5B18"/>
    <w:rsid w:val="00EE5DAF"/>
    <w:rsid w:val="00EE61E0"/>
    <w:rsid w:val="00EE690E"/>
    <w:rsid w:val="00EE7DFE"/>
    <w:rsid w:val="00EF0520"/>
    <w:rsid w:val="00EF2151"/>
    <w:rsid w:val="00EF3B39"/>
    <w:rsid w:val="00EF4610"/>
    <w:rsid w:val="00EF4BAF"/>
    <w:rsid w:val="00EF4C36"/>
    <w:rsid w:val="00EF4D2E"/>
    <w:rsid w:val="00EF506C"/>
    <w:rsid w:val="00EF575F"/>
    <w:rsid w:val="00EF5B84"/>
    <w:rsid w:val="00EF5D1A"/>
    <w:rsid w:val="00EF5F10"/>
    <w:rsid w:val="00EF6874"/>
    <w:rsid w:val="00EF69CF"/>
    <w:rsid w:val="00EF6E06"/>
    <w:rsid w:val="00EF79EA"/>
    <w:rsid w:val="00F006AE"/>
    <w:rsid w:val="00F01470"/>
    <w:rsid w:val="00F02B9C"/>
    <w:rsid w:val="00F02FF2"/>
    <w:rsid w:val="00F034B4"/>
    <w:rsid w:val="00F03C2E"/>
    <w:rsid w:val="00F03CCF"/>
    <w:rsid w:val="00F03DD2"/>
    <w:rsid w:val="00F040E5"/>
    <w:rsid w:val="00F04710"/>
    <w:rsid w:val="00F0487E"/>
    <w:rsid w:val="00F04C60"/>
    <w:rsid w:val="00F0530C"/>
    <w:rsid w:val="00F0591C"/>
    <w:rsid w:val="00F05BB1"/>
    <w:rsid w:val="00F06C1C"/>
    <w:rsid w:val="00F06CD5"/>
    <w:rsid w:val="00F070C2"/>
    <w:rsid w:val="00F116F9"/>
    <w:rsid w:val="00F11A92"/>
    <w:rsid w:val="00F12B77"/>
    <w:rsid w:val="00F12EEC"/>
    <w:rsid w:val="00F13DE8"/>
    <w:rsid w:val="00F13E2E"/>
    <w:rsid w:val="00F14117"/>
    <w:rsid w:val="00F14879"/>
    <w:rsid w:val="00F15005"/>
    <w:rsid w:val="00F150F9"/>
    <w:rsid w:val="00F15D67"/>
    <w:rsid w:val="00F16055"/>
    <w:rsid w:val="00F16162"/>
    <w:rsid w:val="00F16A98"/>
    <w:rsid w:val="00F16BAC"/>
    <w:rsid w:val="00F16C11"/>
    <w:rsid w:val="00F17C13"/>
    <w:rsid w:val="00F201C7"/>
    <w:rsid w:val="00F21B83"/>
    <w:rsid w:val="00F21D9D"/>
    <w:rsid w:val="00F21ED0"/>
    <w:rsid w:val="00F229D7"/>
    <w:rsid w:val="00F2303B"/>
    <w:rsid w:val="00F23D2A"/>
    <w:rsid w:val="00F23D8A"/>
    <w:rsid w:val="00F24684"/>
    <w:rsid w:val="00F2527A"/>
    <w:rsid w:val="00F259E6"/>
    <w:rsid w:val="00F25C5A"/>
    <w:rsid w:val="00F273CB"/>
    <w:rsid w:val="00F27585"/>
    <w:rsid w:val="00F27699"/>
    <w:rsid w:val="00F27778"/>
    <w:rsid w:val="00F27D34"/>
    <w:rsid w:val="00F27DB7"/>
    <w:rsid w:val="00F30C1F"/>
    <w:rsid w:val="00F31246"/>
    <w:rsid w:val="00F31C53"/>
    <w:rsid w:val="00F325D1"/>
    <w:rsid w:val="00F344F9"/>
    <w:rsid w:val="00F349AF"/>
    <w:rsid w:val="00F34A60"/>
    <w:rsid w:val="00F35252"/>
    <w:rsid w:val="00F3716E"/>
    <w:rsid w:val="00F37860"/>
    <w:rsid w:val="00F37EAA"/>
    <w:rsid w:val="00F4006F"/>
    <w:rsid w:val="00F40566"/>
    <w:rsid w:val="00F405E3"/>
    <w:rsid w:val="00F406C1"/>
    <w:rsid w:val="00F426CB"/>
    <w:rsid w:val="00F43033"/>
    <w:rsid w:val="00F43A4C"/>
    <w:rsid w:val="00F4478F"/>
    <w:rsid w:val="00F44E0D"/>
    <w:rsid w:val="00F44FB3"/>
    <w:rsid w:val="00F457C1"/>
    <w:rsid w:val="00F458D6"/>
    <w:rsid w:val="00F45C3C"/>
    <w:rsid w:val="00F5072A"/>
    <w:rsid w:val="00F50A44"/>
    <w:rsid w:val="00F50A87"/>
    <w:rsid w:val="00F51D38"/>
    <w:rsid w:val="00F539A5"/>
    <w:rsid w:val="00F53C4B"/>
    <w:rsid w:val="00F54177"/>
    <w:rsid w:val="00F5467B"/>
    <w:rsid w:val="00F55CE1"/>
    <w:rsid w:val="00F56899"/>
    <w:rsid w:val="00F57112"/>
    <w:rsid w:val="00F57396"/>
    <w:rsid w:val="00F57BB2"/>
    <w:rsid w:val="00F57F9A"/>
    <w:rsid w:val="00F601D5"/>
    <w:rsid w:val="00F6043F"/>
    <w:rsid w:val="00F60A59"/>
    <w:rsid w:val="00F61EC2"/>
    <w:rsid w:val="00F62B5C"/>
    <w:rsid w:val="00F63A8B"/>
    <w:rsid w:val="00F63C30"/>
    <w:rsid w:val="00F63EEC"/>
    <w:rsid w:val="00F64A2F"/>
    <w:rsid w:val="00F65B06"/>
    <w:rsid w:val="00F65E27"/>
    <w:rsid w:val="00F65F11"/>
    <w:rsid w:val="00F668A7"/>
    <w:rsid w:val="00F6791F"/>
    <w:rsid w:val="00F7036F"/>
    <w:rsid w:val="00F704AB"/>
    <w:rsid w:val="00F70D5F"/>
    <w:rsid w:val="00F71DE4"/>
    <w:rsid w:val="00F72077"/>
    <w:rsid w:val="00F7214E"/>
    <w:rsid w:val="00F724E4"/>
    <w:rsid w:val="00F725A2"/>
    <w:rsid w:val="00F73A75"/>
    <w:rsid w:val="00F748C2"/>
    <w:rsid w:val="00F756EC"/>
    <w:rsid w:val="00F7648D"/>
    <w:rsid w:val="00F767B8"/>
    <w:rsid w:val="00F769BF"/>
    <w:rsid w:val="00F7763B"/>
    <w:rsid w:val="00F80222"/>
    <w:rsid w:val="00F80502"/>
    <w:rsid w:val="00F80B89"/>
    <w:rsid w:val="00F80BA4"/>
    <w:rsid w:val="00F83426"/>
    <w:rsid w:val="00F842CD"/>
    <w:rsid w:val="00F844A7"/>
    <w:rsid w:val="00F846CA"/>
    <w:rsid w:val="00F860F4"/>
    <w:rsid w:val="00F861D0"/>
    <w:rsid w:val="00F863AA"/>
    <w:rsid w:val="00F867C9"/>
    <w:rsid w:val="00F86855"/>
    <w:rsid w:val="00F87E0B"/>
    <w:rsid w:val="00F87ED9"/>
    <w:rsid w:val="00F87F1B"/>
    <w:rsid w:val="00F902B5"/>
    <w:rsid w:val="00F90564"/>
    <w:rsid w:val="00F90905"/>
    <w:rsid w:val="00F91E1D"/>
    <w:rsid w:val="00F92D66"/>
    <w:rsid w:val="00F93AA0"/>
    <w:rsid w:val="00F93E6A"/>
    <w:rsid w:val="00F93E9E"/>
    <w:rsid w:val="00F94F31"/>
    <w:rsid w:val="00F94F9E"/>
    <w:rsid w:val="00F9505B"/>
    <w:rsid w:val="00F95474"/>
    <w:rsid w:val="00F96A9E"/>
    <w:rsid w:val="00F97403"/>
    <w:rsid w:val="00F97668"/>
    <w:rsid w:val="00F97E9C"/>
    <w:rsid w:val="00FA02C5"/>
    <w:rsid w:val="00FA1237"/>
    <w:rsid w:val="00FA2017"/>
    <w:rsid w:val="00FA28C8"/>
    <w:rsid w:val="00FA3746"/>
    <w:rsid w:val="00FA393D"/>
    <w:rsid w:val="00FA3C0C"/>
    <w:rsid w:val="00FA4057"/>
    <w:rsid w:val="00FA4CC9"/>
    <w:rsid w:val="00FA4E1C"/>
    <w:rsid w:val="00FA4FB7"/>
    <w:rsid w:val="00FA556F"/>
    <w:rsid w:val="00FA5ACB"/>
    <w:rsid w:val="00FA5C91"/>
    <w:rsid w:val="00FA60A3"/>
    <w:rsid w:val="00FA6A73"/>
    <w:rsid w:val="00FA6EB4"/>
    <w:rsid w:val="00FB09F9"/>
    <w:rsid w:val="00FB1518"/>
    <w:rsid w:val="00FB1976"/>
    <w:rsid w:val="00FB1B84"/>
    <w:rsid w:val="00FB1CC1"/>
    <w:rsid w:val="00FB2AAF"/>
    <w:rsid w:val="00FB3BAF"/>
    <w:rsid w:val="00FB403C"/>
    <w:rsid w:val="00FB4957"/>
    <w:rsid w:val="00FB4ACE"/>
    <w:rsid w:val="00FB5796"/>
    <w:rsid w:val="00FB6719"/>
    <w:rsid w:val="00FB7990"/>
    <w:rsid w:val="00FB7DB3"/>
    <w:rsid w:val="00FC008D"/>
    <w:rsid w:val="00FC0A3E"/>
    <w:rsid w:val="00FC1812"/>
    <w:rsid w:val="00FC1E6A"/>
    <w:rsid w:val="00FC26EC"/>
    <w:rsid w:val="00FC3CAE"/>
    <w:rsid w:val="00FC3E30"/>
    <w:rsid w:val="00FC4289"/>
    <w:rsid w:val="00FC4C68"/>
    <w:rsid w:val="00FC4D9F"/>
    <w:rsid w:val="00FC5198"/>
    <w:rsid w:val="00FC5919"/>
    <w:rsid w:val="00FC6317"/>
    <w:rsid w:val="00FC633D"/>
    <w:rsid w:val="00FC647F"/>
    <w:rsid w:val="00FC71BD"/>
    <w:rsid w:val="00FC73CE"/>
    <w:rsid w:val="00FC774A"/>
    <w:rsid w:val="00FD095F"/>
    <w:rsid w:val="00FD0ECC"/>
    <w:rsid w:val="00FD0EE9"/>
    <w:rsid w:val="00FD1421"/>
    <w:rsid w:val="00FD1CB8"/>
    <w:rsid w:val="00FD2692"/>
    <w:rsid w:val="00FD26C9"/>
    <w:rsid w:val="00FD5481"/>
    <w:rsid w:val="00FD576D"/>
    <w:rsid w:val="00FD5B7B"/>
    <w:rsid w:val="00FD66A7"/>
    <w:rsid w:val="00FD682C"/>
    <w:rsid w:val="00FD6A7C"/>
    <w:rsid w:val="00FD78CB"/>
    <w:rsid w:val="00FD79EC"/>
    <w:rsid w:val="00FE077B"/>
    <w:rsid w:val="00FE12B7"/>
    <w:rsid w:val="00FE1399"/>
    <w:rsid w:val="00FE2C04"/>
    <w:rsid w:val="00FE2C67"/>
    <w:rsid w:val="00FE2E60"/>
    <w:rsid w:val="00FE4BA8"/>
    <w:rsid w:val="00FE52EF"/>
    <w:rsid w:val="00FE584E"/>
    <w:rsid w:val="00FE5ED5"/>
    <w:rsid w:val="00FE660E"/>
    <w:rsid w:val="00FE6726"/>
    <w:rsid w:val="00FE6D0B"/>
    <w:rsid w:val="00FE7CF2"/>
    <w:rsid w:val="00FE7D97"/>
    <w:rsid w:val="00FE7F6F"/>
    <w:rsid w:val="00FF0BCA"/>
    <w:rsid w:val="00FF262A"/>
    <w:rsid w:val="00FF397F"/>
    <w:rsid w:val="00FF4960"/>
    <w:rsid w:val="00FF7F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49297"/>
  <w15:chartTrackingRefBased/>
  <w15:docId w15:val="{593F50BC-0BE5-4885-85D7-C51B85C3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C8"/>
  </w:style>
  <w:style w:type="paragraph" w:styleId="Titre1">
    <w:name w:val="heading 1"/>
    <w:basedOn w:val="Normal"/>
    <w:next w:val="Normal"/>
    <w:link w:val="Titre1Car"/>
    <w:uiPriority w:val="9"/>
    <w:qFormat/>
    <w:rsid w:val="00B431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53C4B"/>
    <w:rPr>
      <w:sz w:val="16"/>
      <w:szCs w:val="16"/>
    </w:rPr>
  </w:style>
  <w:style w:type="paragraph" w:styleId="Commentaire">
    <w:name w:val="annotation text"/>
    <w:basedOn w:val="Normal"/>
    <w:link w:val="CommentaireCar"/>
    <w:uiPriority w:val="99"/>
    <w:unhideWhenUsed/>
    <w:rsid w:val="00F53C4B"/>
    <w:pPr>
      <w:spacing w:line="240" w:lineRule="auto"/>
    </w:pPr>
    <w:rPr>
      <w:sz w:val="20"/>
      <w:szCs w:val="20"/>
    </w:rPr>
  </w:style>
  <w:style w:type="character" w:customStyle="1" w:styleId="CommentaireCar">
    <w:name w:val="Commentaire Car"/>
    <w:basedOn w:val="Policepardfaut"/>
    <w:link w:val="Commentaire"/>
    <w:uiPriority w:val="99"/>
    <w:rsid w:val="00F53C4B"/>
    <w:rPr>
      <w:sz w:val="20"/>
      <w:szCs w:val="20"/>
    </w:rPr>
  </w:style>
  <w:style w:type="paragraph" w:styleId="Objetducommentaire">
    <w:name w:val="annotation subject"/>
    <w:basedOn w:val="Commentaire"/>
    <w:next w:val="Commentaire"/>
    <w:link w:val="ObjetducommentaireCar"/>
    <w:uiPriority w:val="99"/>
    <w:semiHidden/>
    <w:unhideWhenUsed/>
    <w:rsid w:val="00F53C4B"/>
    <w:rPr>
      <w:b/>
      <w:bCs/>
    </w:rPr>
  </w:style>
  <w:style w:type="character" w:customStyle="1" w:styleId="ObjetducommentaireCar">
    <w:name w:val="Objet du commentaire Car"/>
    <w:basedOn w:val="CommentaireCar"/>
    <w:link w:val="Objetducommentaire"/>
    <w:uiPriority w:val="99"/>
    <w:semiHidden/>
    <w:rsid w:val="00F53C4B"/>
    <w:rPr>
      <w:b/>
      <w:bCs/>
      <w:sz w:val="20"/>
      <w:szCs w:val="20"/>
    </w:rPr>
  </w:style>
  <w:style w:type="paragraph" w:styleId="Textedebulles">
    <w:name w:val="Balloon Text"/>
    <w:basedOn w:val="Normal"/>
    <w:link w:val="TextedebullesCar"/>
    <w:uiPriority w:val="99"/>
    <w:semiHidden/>
    <w:unhideWhenUsed/>
    <w:rsid w:val="00F53C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3C4B"/>
    <w:rPr>
      <w:rFonts w:ascii="Segoe UI" w:hAnsi="Segoe UI" w:cs="Segoe UI"/>
      <w:sz w:val="18"/>
      <w:szCs w:val="18"/>
    </w:rPr>
  </w:style>
  <w:style w:type="paragraph" w:styleId="En-tte">
    <w:name w:val="header"/>
    <w:basedOn w:val="Normal"/>
    <w:link w:val="En-tteCar"/>
    <w:uiPriority w:val="99"/>
    <w:unhideWhenUsed/>
    <w:rsid w:val="0074462B"/>
    <w:pPr>
      <w:tabs>
        <w:tab w:val="center" w:pos="4536"/>
        <w:tab w:val="right" w:pos="9072"/>
      </w:tabs>
      <w:spacing w:after="0" w:line="240" w:lineRule="auto"/>
    </w:pPr>
  </w:style>
  <w:style w:type="character" w:customStyle="1" w:styleId="En-tteCar">
    <w:name w:val="En-tête Car"/>
    <w:basedOn w:val="Policepardfaut"/>
    <w:link w:val="En-tte"/>
    <w:uiPriority w:val="99"/>
    <w:rsid w:val="0074462B"/>
  </w:style>
  <w:style w:type="paragraph" w:styleId="Pieddepage">
    <w:name w:val="footer"/>
    <w:basedOn w:val="Normal"/>
    <w:link w:val="PieddepageCar"/>
    <w:uiPriority w:val="99"/>
    <w:unhideWhenUsed/>
    <w:rsid w:val="007446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462B"/>
  </w:style>
  <w:style w:type="paragraph" w:styleId="Rvision">
    <w:name w:val="Revision"/>
    <w:hidden/>
    <w:uiPriority w:val="99"/>
    <w:semiHidden/>
    <w:rsid w:val="00B0476B"/>
    <w:pPr>
      <w:spacing w:after="0" w:line="240" w:lineRule="auto"/>
    </w:pPr>
  </w:style>
  <w:style w:type="character" w:customStyle="1" w:styleId="Titre1Car">
    <w:name w:val="Titre 1 Car"/>
    <w:basedOn w:val="Policepardfaut"/>
    <w:link w:val="Titre1"/>
    <w:uiPriority w:val="9"/>
    <w:rsid w:val="00B431C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70AC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Textedelespacerserv">
    <w:name w:val="Placeholder Text"/>
    <w:basedOn w:val="Policepardfaut"/>
    <w:uiPriority w:val="99"/>
    <w:semiHidden/>
    <w:rsid w:val="0026125D"/>
    <w:rPr>
      <w:color w:val="808080"/>
    </w:rPr>
  </w:style>
  <w:style w:type="character" w:styleId="Accentuation">
    <w:name w:val="Emphasis"/>
    <w:basedOn w:val="Policepardfaut"/>
    <w:uiPriority w:val="20"/>
    <w:qFormat/>
    <w:rsid w:val="002D1168"/>
    <w:rPr>
      <w:i/>
      <w:iCs/>
    </w:rPr>
  </w:style>
  <w:style w:type="table" w:styleId="Grilledutableau">
    <w:name w:val="Table Grid"/>
    <w:basedOn w:val="TableauNormal"/>
    <w:uiPriority w:val="39"/>
    <w:rsid w:val="00425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500ABD"/>
  </w:style>
  <w:style w:type="character" w:styleId="Lienhypertexte">
    <w:name w:val="Hyperlink"/>
    <w:basedOn w:val="Policepardfaut"/>
    <w:uiPriority w:val="99"/>
    <w:semiHidden/>
    <w:unhideWhenUsed/>
    <w:rsid w:val="001A60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6349">
      <w:bodyDiv w:val="1"/>
      <w:marLeft w:val="0"/>
      <w:marRight w:val="0"/>
      <w:marTop w:val="0"/>
      <w:marBottom w:val="0"/>
      <w:divBdr>
        <w:top w:val="none" w:sz="0" w:space="0" w:color="auto"/>
        <w:left w:val="none" w:sz="0" w:space="0" w:color="auto"/>
        <w:bottom w:val="none" w:sz="0" w:space="0" w:color="auto"/>
        <w:right w:val="none" w:sz="0" w:space="0" w:color="auto"/>
      </w:divBdr>
      <w:divsChild>
        <w:div w:id="1689134436">
          <w:marLeft w:val="640"/>
          <w:marRight w:val="0"/>
          <w:marTop w:val="0"/>
          <w:marBottom w:val="0"/>
          <w:divBdr>
            <w:top w:val="none" w:sz="0" w:space="0" w:color="auto"/>
            <w:left w:val="none" w:sz="0" w:space="0" w:color="auto"/>
            <w:bottom w:val="none" w:sz="0" w:space="0" w:color="auto"/>
            <w:right w:val="none" w:sz="0" w:space="0" w:color="auto"/>
          </w:divBdr>
        </w:div>
        <w:div w:id="250895412">
          <w:marLeft w:val="640"/>
          <w:marRight w:val="0"/>
          <w:marTop w:val="0"/>
          <w:marBottom w:val="0"/>
          <w:divBdr>
            <w:top w:val="none" w:sz="0" w:space="0" w:color="auto"/>
            <w:left w:val="none" w:sz="0" w:space="0" w:color="auto"/>
            <w:bottom w:val="none" w:sz="0" w:space="0" w:color="auto"/>
            <w:right w:val="none" w:sz="0" w:space="0" w:color="auto"/>
          </w:divBdr>
        </w:div>
        <w:div w:id="1661039238">
          <w:marLeft w:val="640"/>
          <w:marRight w:val="0"/>
          <w:marTop w:val="0"/>
          <w:marBottom w:val="0"/>
          <w:divBdr>
            <w:top w:val="none" w:sz="0" w:space="0" w:color="auto"/>
            <w:left w:val="none" w:sz="0" w:space="0" w:color="auto"/>
            <w:bottom w:val="none" w:sz="0" w:space="0" w:color="auto"/>
            <w:right w:val="none" w:sz="0" w:space="0" w:color="auto"/>
          </w:divBdr>
        </w:div>
        <w:div w:id="737940984">
          <w:marLeft w:val="640"/>
          <w:marRight w:val="0"/>
          <w:marTop w:val="0"/>
          <w:marBottom w:val="0"/>
          <w:divBdr>
            <w:top w:val="none" w:sz="0" w:space="0" w:color="auto"/>
            <w:left w:val="none" w:sz="0" w:space="0" w:color="auto"/>
            <w:bottom w:val="none" w:sz="0" w:space="0" w:color="auto"/>
            <w:right w:val="none" w:sz="0" w:space="0" w:color="auto"/>
          </w:divBdr>
        </w:div>
        <w:div w:id="1273049306">
          <w:marLeft w:val="640"/>
          <w:marRight w:val="0"/>
          <w:marTop w:val="0"/>
          <w:marBottom w:val="0"/>
          <w:divBdr>
            <w:top w:val="none" w:sz="0" w:space="0" w:color="auto"/>
            <w:left w:val="none" w:sz="0" w:space="0" w:color="auto"/>
            <w:bottom w:val="none" w:sz="0" w:space="0" w:color="auto"/>
            <w:right w:val="none" w:sz="0" w:space="0" w:color="auto"/>
          </w:divBdr>
        </w:div>
        <w:div w:id="866870097">
          <w:marLeft w:val="640"/>
          <w:marRight w:val="0"/>
          <w:marTop w:val="0"/>
          <w:marBottom w:val="0"/>
          <w:divBdr>
            <w:top w:val="none" w:sz="0" w:space="0" w:color="auto"/>
            <w:left w:val="none" w:sz="0" w:space="0" w:color="auto"/>
            <w:bottom w:val="none" w:sz="0" w:space="0" w:color="auto"/>
            <w:right w:val="none" w:sz="0" w:space="0" w:color="auto"/>
          </w:divBdr>
        </w:div>
        <w:div w:id="995961561">
          <w:marLeft w:val="640"/>
          <w:marRight w:val="0"/>
          <w:marTop w:val="0"/>
          <w:marBottom w:val="0"/>
          <w:divBdr>
            <w:top w:val="none" w:sz="0" w:space="0" w:color="auto"/>
            <w:left w:val="none" w:sz="0" w:space="0" w:color="auto"/>
            <w:bottom w:val="none" w:sz="0" w:space="0" w:color="auto"/>
            <w:right w:val="none" w:sz="0" w:space="0" w:color="auto"/>
          </w:divBdr>
        </w:div>
        <w:div w:id="1615018506">
          <w:marLeft w:val="640"/>
          <w:marRight w:val="0"/>
          <w:marTop w:val="0"/>
          <w:marBottom w:val="0"/>
          <w:divBdr>
            <w:top w:val="none" w:sz="0" w:space="0" w:color="auto"/>
            <w:left w:val="none" w:sz="0" w:space="0" w:color="auto"/>
            <w:bottom w:val="none" w:sz="0" w:space="0" w:color="auto"/>
            <w:right w:val="none" w:sz="0" w:space="0" w:color="auto"/>
          </w:divBdr>
        </w:div>
        <w:div w:id="689919870">
          <w:marLeft w:val="640"/>
          <w:marRight w:val="0"/>
          <w:marTop w:val="0"/>
          <w:marBottom w:val="0"/>
          <w:divBdr>
            <w:top w:val="none" w:sz="0" w:space="0" w:color="auto"/>
            <w:left w:val="none" w:sz="0" w:space="0" w:color="auto"/>
            <w:bottom w:val="none" w:sz="0" w:space="0" w:color="auto"/>
            <w:right w:val="none" w:sz="0" w:space="0" w:color="auto"/>
          </w:divBdr>
        </w:div>
        <w:div w:id="778063681">
          <w:marLeft w:val="640"/>
          <w:marRight w:val="0"/>
          <w:marTop w:val="0"/>
          <w:marBottom w:val="0"/>
          <w:divBdr>
            <w:top w:val="none" w:sz="0" w:space="0" w:color="auto"/>
            <w:left w:val="none" w:sz="0" w:space="0" w:color="auto"/>
            <w:bottom w:val="none" w:sz="0" w:space="0" w:color="auto"/>
            <w:right w:val="none" w:sz="0" w:space="0" w:color="auto"/>
          </w:divBdr>
        </w:div>
        <w:div w:id="251934414">
          <w:marLeft w:val="640"/>
          <w:marRight w:val="0"/>
          <w:marTop w:val="0"/>
          <w:marBottom w:val="0"/>
          <w:divBdr>
            <w:top w:val="none" w:sz="0" w:space="0" w:color="auto"/>
            <w:left w:val="none" w:sz="0" w:space="0" w:color="auto"/>
            <w:bottom w:val="none" w:sz="0" w:space="0" w:color="auto"/>
            <w:right w:val="none" w:sz="0" w:space="0" w:color="auto"/>
          </w:divBdr>
        </w:div>
        <w:div w:id="172645776">
          <w:marLeft w:val="640"/>
          <w:marRight w:val="0"/>
          <w:marTop w:val="0"/>
          <w:marBottom w:val="0"/>
          <w:divBdr>
            <w:top w:val="none" w:sz="0" w:space="0" w:color="auto"/>
            <w:left w:val="none" w:sz="0" w:space="0" w:color="auto"/>
            <w:bottom w:val="none" w:sz="0" w:space="0" w:color="auto"/>
            <w:right w:val="none" w:sz="0" w:space="0" w:color="auto"/>
          </w:divBdr>
        </w:div>
        <w:div w:id="1854832144">
          <w:marLeft w:val="640"/>
          <w:marRight w:val="0"/>
          <w:marTop w:val="0"/>
          <w:marBottom w:val="0"/>
          <w:divBdr>
            <w:top w:val="none" w:sz="0" w:space="0" w:color="auto"/>
            <w:left w:val="none" w:sz="0" w:space="0" w:color="auto"/>
            <w:bottom w:val="none" w:sz="0" w:space="0" w:color="auto"/>
            <w:right w:val="none" w:sz="0" w:space="0" w:color="auto"/>
          </w:divBdr>
        </w:div>
        <w:div w:id="1207063134">
          <w:marLeft w:val="640"/>
          <w:marRight w:val="0"/>
          <w:marTop w:val="0"/>
          <w:marBottom w:val="0"/>
          <w:divBdr>
            <w:top w:val="none" w:sz="0" w:space="0" w:color="auto"/>
            <w:left w:val="none" w:sz="0" w:space="0" w:color="auto"/>
            <w:bottom w:val="none" w:sz="0" w:space="0" w:color="auto"/>
            <w:right w:val="none" w:sz="0" w:space="0" w:color="auto"/>
          </w:divBdr>
        </w:div>
        <w:div w:id="205676507">
          <w:marLeft w:val="640"/>
          <w:marRight w:val="0"/>
          <w:marTop w:val="0"/>
          <w:marBottom w:val="0"/>
          <w:divBdr>
            <w:top w:val="none" w:sz="0" w:space="0" w:color="auto"/>
            <w:left w:val="none" w:sz="0" w:space="0" w:color="auto"/>
            <w:bottom w:val="none" w:sz="0" w:space="0" w:color="auto"/>
            <w:right w:val="none" w:sz="0" w:space="0" w:color="auto"/>
          </w:divBdr>
        </w:div>
        <w:div w:id="1775324460">
          <w:marLeft w:val="640"/>
          <w:marRight w:val="0"/>
          <w:marTop w:val="0"/>
          <w:marBottom w:val="0"/>
          <w:divBdr>
            <w:top w:val="none" w:sz="0" w:space="0" w:color="auto"/>
            <w:left w:val="none" w:sz="0" w:space="0" w:color="auto"/>
            <w:bottom w:val="none" w:sz="0" w:space="0" w:color="auto"/>
            <w:right w:val="none" w:sz="0" w:space="0" w:color="auto"/>
          </w:divBdr>
        </w:div>
        <w:div w:id="883953299">
          <w:marLeft w:val="640"/>
          <w:marRight w:val="0"/>
          <w:marTop w:val="0"/>
          <w:marBottom w:val="0"/>
          <w:divBdr>
            <w:top w:val="none" w:sz="0" w:space="0" w:color="auto"/>
            <w:left w:val="none" w:sz="0" w:space="0" w:color="auto"/>
            <w:bottom w:val="none" w:sz="0" w:space="0" w:color="auto"/>
            <w:right w:val="none" w:sz="0" w:space="0" w:color="auto"/>
          </w:divBdr>
        </w:div>
        <w:div w:id="797407731">
          <w:marLeft w:val="640"/>
          <w:marRight w:val="0"/>
          <w:marTop w:val="0"/>
          <w:marBottom w:val="0"/>
          <w:divBdr>
            <w:top w:val="none" w:sz="0" w:space="0" w:color="auto"/>
            <w:left w:val="none" w:sz="0" w:space="0" w:color="auto"/>
            <w:bottom w:val="none" w:sz="0" w:space="0" w:color="auto"/>
            <w:right w:val="none" w:sz="0" w:space="0" w:color="auto"/>
          </w:divBdr>
        </w:div>
        <w:div w:id="470366790">
          <w:marLeft w:val="640"/>
          <w:marRight w:val="0"/>
          <w:marTop w:val="0"/>
          <w:marBottom w:val="0"/>
          <w:divBdr>
            <w:top w:val="none" w:sz="0" w:space="0" w:color="auto"/>
            <w:left w:val="none" w:sz="0" w:space="0" w:color="auto"/>
            <w:bottom w:val="none" w:sz="0" w:space="0" w:color="auto"/>
            <w:right w:val="none" w:sz="0" w:space="0" w:color="auto"/>
          </w:divBdr>
        </w:div>
        <w:div w:id="523904609">
          <w:marLeft w:val="640"/>
          <w:marRight w:val="0"/>
          <w:marTop w:val="0"/>
          <w:marBottom w:val="0"/>
          <w:divBdr>
            <w:top w:val="none" w:sz="0" w:space="0" w:color="auto"/>
            <w:left w:val="none" w:sz="0" w:space="0" w:color="auto"/>
            <w:bottom w:val="none" w:sz="0" w:space="0" w:color="auto"/>
            <w:right w:val="none" w:sz="0" w:space="0" w:color="auto"/>
          </w:divBdr>
        </w:div>
        <w:div w:id="1778403720">
          <w:marLeft w:val="640"/>
          <w:marRight w:val="0"/>
          <w:marTop w:val="0"/>
          <w:marBottom w:val="0"/>
          <w:divBdr>
            <w:top w:val="none" w:sz="0" w:space="0" w:color="auto"/>
            <w:left w:val="none" w:sz="0" w:space="0" w:color="auto"/>
            <w:bottom w:val="none" w:sz="0" w:space="0" w:color="auto"/>
            <w:right w:val="none" w:sz="0" w:space="0" w:color="auto"/>
          </w:divBdr>
        </w:div>
        <w:div w:id="377583560">
          <w:marLeft w:val="640"/>
          <w:marRight w:val="0"/>
          <w:marTop w:val="0"/>
          <w:marBottom w:val="0"/>
          <w:divBdr>
            <w:top w:val="none" w:sz="0" w:space="0" w:color="auto"/>
            <w:left w:val="none" w:sz="0" w:space="0" w:color="auto"/>
            <w:bottom w:val="none" w:sz="0" w:space="0" w:color="auto"/>
            <w:right w:val="none" w:sz="0" w:space="0" w:color="auto"/>
          </w:divBdr>
        </w:div>
        <w:div w:id="1726635251">
          <w:marLeft w:val="640"/>
          <w:marRight w:val="0"/>
          <w:marTop w:val="0"/>
          <w:marBottom w:val="0"/>
          <w:divBdr>
            <w:top w:val="none" w:sz="0" w:space="0" w:color="auto"/>
            <w:left w:val="none" w:sz="0" w:space="0" w:color="auto"/>
            <w:bottom w:val="none" w:sz="0" w:space="0" w:color="auto"/>
            <w:right w:val="none" w:sz="0" w:space="0" w:color="auto"/>
          </w:divBdr>
        </w:div>
        <w:div w:id="1853103970">
          <w:marLeft w:val="640"/>
          <w:marRight w:val="0"/>
          <w:marTop w:val="0"/>
          <w:marBottom w:val="0"/>
          <w:divBdr>
            <w:top w:val="none" w:sz="0" w:space="0" w:color="auto"/>
            <w:left w:val="none" w:sz="0" w:space="0" w:color="auto"/>
            <w:bottom w:val="none" w:sz="0" w:space="0" w:color="auto"/>
            <w:right w:val="none" w:sz="0" w:space="0" w:color="auto"/>
          </w:divBdr>
        </w:div>
        <w:div w:id="2107580587">
          <w:marLeft w:val="640"/>
          <w:marRight w:val="0"/>
          <w:marTop w:val="0"/>
          <w:marBottom w:val="0"/>
          <w:divBdr>
            <w:top w:val="none" w:sz="0" w:space="0" w:color="auto"/>
            <w:left w:val="none" w:sz="0" w:space="0" w:color="auto"/>
            <w:bottom w:val="none" w:sz="0" w:space="0" w:color="auto"/>
            <w:right w:val="none" w:sz="0" w:space="0" w:color="auto"/>
          </w:divBdr>
        </w:div>
        <w:div w:id="1574504621">
          <w:marLeft w:val="640"/>
          <w:marRight w:val="0"/>
          <w:marTop w:val="0"/>
          <w:marBottom w:val="0"/>
          <w:divBdr>
            <w:top w:val="none" w:sz="0" w:space="0" w:color="auto"/>
            <w:left w:val="none" w:sz="0" w:space="0" w:color="auto"/>
            <w:bottom w:val="none" w:sz="0" w:space="0" w:color="auto"/>
            <w:right w:val="none" w:sz="0" w:space="0" w:color="auto"/>
          </w:divBdr>
        </w:div>
        <w:div w:id="1797259816">
          <w:marLeft w:val="640"/>
          <w:marRight w:val="0"/>
          <w:marTop w:val="0"/>
          <w:marBottom w:val="0"/>
          <w:divBdr>
            <w:top w:val="none" w:sz="0" w:space="0" w:color="auto"/>
            <w:left w:val="none" w:sz="0" w:space="0" w:color="auto"/>
            <w:bottom w:val="none" w:sz="0" w:space="0" w:color="auto"/>
            <w:right w:val="none" w:sz="0" w:space="0" w:color="auto"/>
          </w:divBdr>
        </w:div>
        <w:div w:id="1278752649">
          <w:marLeft w:val="640"/>
          <w:marRight w:val="0"/>
          <w:marTop w:val="0"/>
          <w:marBottom w:val="0"/>
          <w:divBdr>
            <w:top w:val="none" w:sz="0" w:space="0" w:color="auto"/>
            <w:left w:val="none" w:sz="0" w:space="0" w:color="auto"/>
            <w:bottom w:val="none" w:sz="0" w:space="0" w:color="auto"/>
            <w:right w:val="none" w:sz="0" w:space="0" w:color="auto"/>
          </w:divBdr>
        </w:div>
        <w:div w:id="724185522">
          <w:marLeft w:val="640"/>
          <w:marRight w:val="0"/>
          <w:marTop w:val="0"/>
          <w:marBottom w:val="0"/>
          <w:divBdr>
            <w:top w:val="none" w:sz="0" w:space="0" w:color="auto"/>
            <w:left w:val="none" w:sz="0" w:space="0" w:color="auto"/>
            <w:bottom w:val="none" w:sz="0" w:space="0" w:color="auto"/>
            <w:right w:val="none" w:sz="0" w:space="0" w:color="auto"/>
          </w:divBdr>
        </w:div>
        <w:div w:id="19868095">
          <w:marLeft w:val="640"/>
          <w:marRight w:val="0"/>
          <w:marTop w:val="0"/>
          <w:marBottom w:val="0"/>
          <w:divBdr>
            <w:top w:val="none" w:sz="0" w:space="0" w:color="auto"/>
            <w:left w:val="none" w:sz="0" w:space="0" w:color="auto"/>
            <w:bottom w:val="none" w:sz="0" w:space="0" w:color="auto"/>
            <w:right w:val="none" w:sz="0" w:space="0" w:color="auto"/>
          </w:divBdr>
        </w:div>
        <w:div w:id="190800893">
          <w:marLeft w:val="640"/>
          <w:marRight w:val="0"/>
          <w:marTop w:val="0"/>
          <w:marBottom w:val="0"/>
          <w:divBdr>
            <w:top w:val="none" w:sz="0" w:space="0" w:color="auto"/>
            <w:left w:val="none" w:sz="0" w:space="0" w:color="auto"/>
            <w:bottom w:val="none" w:sz="0" w:space="0" w:color="auto"/>
            <w:right w:val="none" w:sz="0" w:space="0" w:color="auto"/>
          </w:divBdr>
        </w:div>
        <w:div w:id="1993870744">
          <w:marLeft w:val="640"/>
          <w:marRight w:val="0"/>
          <w:marTop w:val="0"/>
          <w:marBottom w:val="0"/>
          <w:divBdr>
            <w:top w:val="none" w:sz="0" w:space="0" w:color="auto"/>
            <w:left w:val="none" w:sz="0" w:space="0" w:color="auto"/>
            <w:bottom w:val="none" w:sz="0" w:space="0" w:color="auto"/>
            <w:right w:val="none" w:sz="0" w:space="0" w:color="auto"/>
          </w:divBdr>
        </w:div>
      </w:divsChild>
    </w:div>
    <w:div w:id="1178694602">
      <w:bodyDiv w:val="1"/>
      <w:marLeft w:val="0"/>
      <w:marRight w:val="0"/>
      <w:marTop w:val="0"/>
      <w:marBottom w:val="0"/>
      <w:divBdr>
        <w:top w:val="none" w:sz="0" w:space="0" w:color="auto"/>
        <w:left w:val="none" w:sz="0" w:space="0" w:color="auto"/>
        <w:bottom w:val="none" w:sz="0" w:space="0" w:color="auto"/>
        <w:right w:val="none" w:sz="0" w:space="0" w:color="auto"/>
      </w:divBdr>
      <w:divsChild>
        <w:div w:id="42607060">
          <w:marLeft w:val="640"/>
          <w:marRight w:val="0"/>
          <w:marTop w:val="0"/>
          <w:marBottom w:val="0"/>
          <w:divBdr>
            <w:top w:val="none" w:sz="0" w:space="0" w:color="auto"/>
            <w:left w:val="none" w:sz="0" w:space="0" w:color="auto"/>
            <w:bottom w:val="none" w:sz="0" w:space="0" w:color="auto"/>
            <w:right w:val="none" w:sz="0" w:space="0" w:color="auto"/>
          </w:divBdr>
        </w:div>
        <w:div w:id="1542669185">
          <w:marLeft w:val="640"/>
          <w:marRight w:val="0"/>
          <w:marTop w:val="0"/>
          <w:marBottom w:val="0"/>
          <w:divBdr>
            <w:top w:val="none" w:sz="0" w:space="0" w:color="auto"/>
            <w:left w:val="none" w:sz="0" w:space="0" w:color="auto"/>
            <w:bottom w:val="none" w:sz="0" w:space="0" w:color="auto"/>
            <w:right w:val="none" w:sz="0" w:space="0" w:color="auto"/>
          </w:divBdr>
        </w:div>
        <w:div w:id="1086658315">
          <w:marLeft w:val="640"/>
          <w:marRight w:val="0"/>
          <w:marTop w:val="0"/>
          <w:marBottom w:val="0"/>
          <w:divBdr>
            <w:top w:val="none" w:sz="0" w:space="0" w:color="auto"/>
            <w:left w:val="none" w:sz="0" w:space="0" w:color="auto"/>
            <w:bottom w:val="none" w:sz="0" w:space="0" w:color="auto"/>
            <w:right w:val="none" w:sz="0" w:space="0" w:color="auto"/>
          </w:divBdr>
        </w:div>
        <w:div w:id="248395728">
          <w:marLeft w:val="640"/>
          <w:marRight w:val="0"/>
          <w:marTop w:val="0"/>
          <w:marBottom w:val="0"/>
          <w:divBdr>
            <w:top w:val="none" w:sz="0" w:space="0" w:color="auto"/>
            <w:left w:val="none" w:sz="0" w:space="0" w:color="auto"/>
            <w:bottom w:val="none" w:sz="0" w:space="0" w:color="auto"/>
            <w:right w:val="none" w:sz="0" w:space="0" w:color="auto"/>
          </w:divBdr>
        </w:div>
        <w:div w:id="1223517268">
          <w:marLeft w:val="640"/>
          <w:marRight w:val="0"/>
          <w:marTop w:val="0"/>
          <w:marBottom w:val="0"/>
          <w:divBdr>
            <w:top w:val="none" w:sz="0" w:space="0" w:color="auto"/>
            <w:left w:val="none" w:sz="0" w:space="0" w:color="auto"/>
            <w:bottom w:val="none" w:sz="0" w:space="0" w:color="auto"/>
            <w:right w:val="none" w:sz="0" w:space="0" w:color="auto"/>
          </w:divBdr>
        </w:div>
        <w:div w:id="245770769">
          <w:marLeft w:val="640"/>
          <w:marRight w:val="0"/>
          <w:marTop w:val="0"/>
          <w:marBottom w:val="0"/>
          <w:divBdr>
            <w:top w:val="none" w:sz="0" w:space="0" w:color="auto"/>
            <w:left w:val="none" w:sz="0" w:space="0" w:color="auto"/>
            <w:bottom w:val="none" w:sz="0" w:space="0" w:color="auto"/>
            <w:right w:val="none" w:sz="0" w:space="0" w:color="auto"/>
          </w:divBdr>
        </w:div>
        <w:div w:id="1966084777">
          <w:marLeft w:val="640"/>
          <w:marRight w:val="0"/>
          <w:marTop w:val="0"/>
          <w:marBottom w:val="0"/>
          <w:divBdr>
            <w:top w:val="none" w:sz="0" w:space="0" w:color="auto"/>
            <w:left w:val="none" w:sz="0" w:space="0" w:color="auto"/>
            <w:bottom w:val="none" w:sz="0" w:space="0" w:color="auto"/>
            <w:right w:val="none" w:sz="0" w:space="0" w:color="auto"/>
          </w:divBdr>
        </w:div>
        <w:div w:id="2022663772">
          <w:marLeft w:val="640"/>
          <w:marRight w:val="0"/>
          <w:marTop w:val="0"/>
          <w:marBottom w:val="0"/>
          <w:divBdr>
            <w:top w:val="none" w:sz="0" w:space="0" w:color="auto"/>
            <w:left w:val="none" w:sz="0" w:space="0" w:color="auto"/>
            <w:bottom w:val="none" w:sz="0" w:space="0" w:color="auto"/>
            <w:right w:val="none" w:sz="0" w:space="0" w:color="auto"/>
          </w:divBdr>
        </w:div>
        <w:div w:id="55206945">
          <w:marLeft w:val="640"/>
          <w:marRight w:val="0"/>
          <w:marTop w:val="0"/>
          <w:marBottom w:val="0"/>
          <w:divBdr>
            <w:top w:val="none" w:sz="0" w:space="0" w:color="auto"/>
            <w:left w:val="none" w:sz="0" w:space="0" w:color="auto"/>
            <w:bottom w:val="none" w:sz="0" w:space="0" w:color="auto"/>
            <w:right w:val="none" w:sz="0" w:space="0" w:color="auto"/>
          </w:divBdr>
        </w:div>
        <w:div w:id="1936552546">
          <w:marLeft w:val="640"/>
          <w:marRight w:val="0"/>
          <w:marTop w:val="0"/>
          <w:marBottom w:val="0"/>
          <w:divBdr>
            <w:top w:val="none" w:sz="0" w:space="0" w:color="auto"/>
            <w:left w:val="none" w:sz="0" w:space="0" w:color="auto"/>
            <w:bottom w:val="none" w:sz="0" w:space="0" w:color="auto"/>
            <w:right w:val="none" w:sz="0" w:space="0" w:color="auto"/>
          </w:divBdr>
        </w:div>
        <w:div w:id="915671981">
          <w:marLeft w:val="640"/>
          <w:marRight w:val="0"/>
          <w:marTop w:val="0"/>
          <w:marBottom w:val="0"/>
          <w:divBdr>
            <w:top w:val="none" w:sz="0" w:space="0" w:color="auto"/>
            <w:left w:val="none" w:sz="0" w:space="0" w:color="auto"/>
            <w:bottom w:val="none" w:sz="0" w:space="0" w:color="auto"/>
            <w:right w:val="none" w:sz="0" w:space="0" w:color="auto"/>
          </w:divBdr>
        </w:div>
        <w:div w:id="140927319">
          <w:marLeft w:val="640"/>
          <w:marRight w:val="0"/>
          <w:marTop w:val="0"/>
          <w:marBottom w:val="0"/>
          <w:divBdr>
            <w:top w:val="none" w:sz="0" w:space="0" w:color="auto"/>
            <w:left w:val="none" w:sz="0" w:space="0" w:color="auto"/>
            <w:bottom w:val="none" w:sz="0" w:space="0" w:color="auto"/>
            <w:right w:val="none" w:sz="0" w:space="0" w:color="auto"/>
          </w:divBdr>
        </w:div>
        <w:div w:id="1638532523">
          <w:marLeft w:val="640"/>
          <w:marRight w:val="0"/>
          <w:marTop w:val="0"/>
          <w:marBottom w:val="0"/>
          <w:divBdr>
            <w:top w:val="none" w:sz="0" w:space="0" w:color="auto"/>
            <w:left w:val="none" w:sz="0" w:space="0" w:color="auto"/>
            <w:bottom w:val="none" w:sz="0" w:space="0" w:color="auto"/>
            <w:right w:val="none" w:sz="0" w:space="0" w:color="auto"/>
          </w:divBdr>
        </w:div>
        <w:div w:id="12851561">
          <w:marLeft w:val="640"/>
          <w:marRight w:val="0"/>
          <w:marTop w:val="0"/>
          <w:marBottom w:val="0"/>
          <w:divBdr>
            <w:top w:val="none" w:sz="0" w:space="0" w:color="auto"/>
            <w:left w:val="none" w:sz="0" w:space="0" w:color="auto"/>
            <w:bottom w:val="none" w:sz="0" w:space="0" w:color="auto"/>
            <w:right w:val="none" w:sz="0" w:space="0" w:color="auto"/>
          </w:divBdr>
        </w:div>
        <w:div w:id="1649435336">
          <w:marLeft w:val="640"/>
          <w:marRight w:val="0"/>
          <w:marTop w:val="0"/>
          <w:marBottom w:val="0"/>
          <w:divBdr>
            <w:top w:val="none" w:sz="0" w:space="0" w:color="auto"/>
            <w:left w:val="none" w:sz="0" w:space="0" w:color="auto"/>
            <w:bottom w:val="none" w:sz="0" w:space="0" w:color="auto"/>
            <w:right w:val="none" w:sz="0" w:space="0" w:color="auto"/>
          </w:divBdr>
        </w:div>
        <w:div w:id="1160196623">
          <w:marLeft w:val="640"/>
          <w:marRight w:val="0"/>
          <w:marTop w:val="0"/>
          <w:marBottom w:val="0"/>
          <w:divBdr>
            <w:top w:val="none" w:sz="0" w:space="0" w:color="auto"/>
            <w:left w:val="none" w:sz="0" w:space="0" w:color="auto"/>
            <w:bottom w:val="none" w:sz="0" w:space="0" w:color="auto"/>
            <w:right w:val="none" w:sz="0" w:space="0" w:color="auto"/>
          </w:divBdr>
        </w:div>
        <w:div w:id="2063091348">
          <w:marLeft w:val="640"/>
          <w:marRight w:val="0"/>
          <w:marTop w:val="0"/>
          <w:marBottom w:val="0"/>
          <w:divBdr>
            <w:top w:val="none" w:sz="0" w:space="0" w:color="auto"/>
            <w:left w:val="none" w:sz="0" w:space="0" w:color="auto"/>
            <w:bottom w:val="none" w:sz="0" w:space="0" w:color="auto"/>
            <w:right w:val="none" w:sz="0" w:space="0" w:color="auto"/>
          </w:divBdr>
        </w:div>
        <w:div w:id="1101337387">
          <w:marLeft w:val="640"/>
          <w:marRight w:val="0"/>
          <w:marTop w:val="0"/>
          <w:marBottom w:val="0"/>
          <w:divBdr>
            <w:top w:val="none" w:sz="0" w:space="0" w:color="auto"/>
            <w:left w:val="none" w:sz="0" w:space="0" w:color="auto"/>
            <w:bottom w:val="none" w:sz="0" w:space="0" w:color="auto"/>
            <w:right w:val="none" w:sz="0" w:space="0" w:color="auto"/>
          </w:divBdr>
        </w:div>
        <w:div w:id="1722628639">
          <w:marLeft w:val="640"/>
          <w:marRight w:val="0"/>
          <w:marTop w:val="0"/>
          <w:marBottom w:val="0"/>
          <w:divBdr>
            <w:top w:val="none" w:sz="0" w:space="0" w:color="auto"/>
            <w:left w:val="none" w:sz="0" w:space="0" w:color="auto"/>
            <w:bottom w:val="none" w:sz="0" w:space="0" w:color="auto"/>
            <w:right w:val="none" w:sz="0" w:space="0" w:color="auto"/>
          </w:divBdr>
        </w:div>
        <w:div w:id="1457875111">
          <w:marLeft w:val="640"/>
          <w:marRight w:val="0"/>
          <w:marTop w:val="0"/>
          <w:marBottom w:val="0"/>
          <w:divBdr>
            <w:top w:val="none" w:sz="0" w:space="0" w:color="auto"/>
            <w:left w:val="none" w:sz="0" w:space="0" w:color="auto"/>
            <w:bottom w:val="none" w:sz="0" w:space="0" w:color="auto"/>
            <w:right w:val="none" w:sz="0" w:space="0" w:color="auto"/>
          </w:divBdr>
        </w:div>
        <w:div w:id="84689714">
          <w:marLeft w:val="640"/>
          <w:marRight w:val="0"/>
          <w:marTop w:val="0"/>
          <w:marBottom w:val="0"/>
          <w:divBdr>
            <w:top w:val="none" w:sz="0" w:space="0" w:color="auto"/>
            <w:left w:val="none" w:sz="0" w:space="0" w:color="auto"/>
            <w:bottom w:val="none" w:sz="0" w:space="0" w:color="auto"/>
            <w:right w:val="none" w:sz="0" w:space="0" w:color="auto"/>
          </w:divBdr>
        </w:div>
        <w:div w:id="2084910745">
          <w:marLeft w:val="640"/>
          <w:marRight w:val="0"/>
          <w:marTop w:val="0"/>
          <w:marBottom w:val="0"/>
          <w:divBdr>
            <w:top w:val="none" w:sz="0" w:space="0" w:color="auto"/>
            <w:left w:val="none" w:sz="0" w:space="0" w:color="auto"/>
            <w:bottom w:val="none" w:sz="0" w:space="0" w:color="auto"/>
            <w:right w:val="none" w:sz="0" w:space="0" w:color="auto"/>
          </w:divBdr>
        </w:div>
        <w:div w:id="423036917">
          <w:marLeft w:val="640"/>
          <w:marRight w:val="0"/>
          <w:marTop w:val="0"/>
          <w:marBottom w:val="0"/>
          <w:divBdr>
            <w:top w:val="none" w:sz="0" w:space="0" w:color="auto"/>
            <w:left w:val="none" w:sz="0" w:space="0" w:color="auto"/>
            <w:bottom w:val="none" w:sz="0" w:space="0" w:color="auto"/>
            <w:right w:val="none" w:sz="0" w:space="0" w:color="auto"/>
          </w:divBdr>
        </w:div>
        <w:div w:id="1394112443">
          <w:marLeft w:val="640"/>
          <w:marRight w:val="0"/>
          <w:marTop w:val="0"/>
          <w:marBottom w:val="0"/>
          <w:divBdr>
            <w:top w:val="none" w:sz="0" w:space="0" w:color="auto"/>
            <w:left w:val="none" w:sz="0" w:space="0" w:color="auto"/>
            <w:bottom w:val="none" w:sz="0" w:space="0" w:color="auto"/>
            <w:right w:val="none" w:sz="0" w:space="0" w:color="auto"/>
          </w:divBdr>
        </w:div>
        <w:div w:id="2088842567">
          <w:marLeft w:val="640"/>
          <w:marRight w:val="0"/>
          <w:marTop w:val="0"/>
          <w:marBottom w:val="0"/>
          <w:divBdr>
            <w:top w:val="none" w:sz="0" w:space="0" w:color="auto"/>
            <w:left w:val="none" w:sz="0" w:space="0" w:color="auto"/>
            <w:bottom w:val="none" w:sz="0" w:space="0" w:color="auto"/>
            <w:right w:val="none" w:sz="0" w:space="0" w:color="auto"/>
          </w:divBdr>
        </w:div>
        <w:div w:id="75444379">
          <w:marLeft w:val="640"/>
          <w:marRight w:val="0"/>
          <w:marTop w:val="0"/>
          <w:marBottom w:val="0"/>
          <w:divBdr>
            <w:top w:val="none" w:sz="0" w:space="0" w:color="auto"/>
            <w:left w:val="none" w:sz="0" w:space="0" w:color="auto"/>
            <w:bottom w:val="none" w:sz="0" w:space="0" w:color="auto"/>
            <w:right w:val="none" w:sz="0" w:space="0" w:color="auto"/>
          </w:divBdr>
        </w:div>
        <w:div w:id="1040662885">
          <w:marLeft w:val="640"/>
          <w:marRight w:val="0"/>
          <w:marTop w:val="0"/>
          <w:marBottom w:val="0"/>
          <w:divBdr>
            <w:top w:val="none" w:sz="0" w:space="0" w:color="auto"/>
            <w:left w:val="none" w:sz="0" w:space="0" w:color="auto"/>
            <w:bottom w:val="none" w:sz="0" w:space="0" w:color="auto"/>
            <w:right w:val="none" w:sz="0" w:space="0" w:color="auto"/>
          </w:divBdr>
        </w:div>
        <w:div w:id="1628663700">
          <w:marLeft w:val="640"/>
          <w:marRight w:val="0"/>
          <w:marTop w:val="0"/>
          <w:marBottom w:val="0"/>
          <w:divBdr>
            <w:top w:val="none" w:sz="0" w:space="0" w:color="auto"/>
            <w:left w:val="none" w:sz="0" w:space="0" w:color="auto"/>
            <w:bottom w:val="none" w:sz="0" w:space="0" w:color="auto"/>
            <w:right w:val="none" w:sz="0" w:space="0" w:color="auto"/>
          </w:divBdr>
        </w:div>
        <w:div w:id="760683535">
          <w:marLeft w:val="640"/>
          <w:marRight w:val="0"/>
          <w:marTop w:val="0"/>
          <w:marBottom w:val="0"/>
          <w:divBdr>
            <w:top w:val="none" w:sz="0" w:space="0" w:color="auto"/>
            <w:left w:val="none" w:sz="0" w:space="0" w:color="auto"/>
            <w:bottom w:val="none" w:sz="0" w:space="0" w:color="auto"/>
            <w:right w:val="none" w:sz="0" w:space="0" w:color="auto"/>
          </w:divBdr>
        </w:div>
        <w:div w:id="2050761759">
          <w:marLeft w:val="640"/>
          <w:marRight w:val="0"/>
          <w:marTop w:val="0"/>
          <w:marBottom w:val="0"/>
          <w:divBdr>
            <w:top w:val="none" w:sz="0" w:space="0" w:color="auto"/>
            <w:left w:val="none" w:sz="0" w:space="0" w:color="auto"/>
            <w:bottom w:val="none" w:sz="0" w:space="0" w:color="auto"/>
            <w:right w:val="none" w:sz="0" w:space="0" w:color="auto"/>
          </w:divBdr>
        </w:div>
        <w:div w:id="1437871938">
          <w:marLeft w:val="640"/>
          <w:marRight w:val="0"/>
          <w:marTop w:val="0"/>
          <w:marBottom w:val="0"/>
          <w:divBdr>
            <w:top w:val="none" w:sz="0" w:space="0" w:color="auto"/>
            <w:left w:val="none" w:sz="0" w:space="0" w:color="auto"/>
            <w:bottom w:val="none" w:sz="0" w:space="0" w:color="auto"/>
            <w:right w:val="none" w:sz="0" w:space="0" w:color="auto"/>
          </w:divBdr>
        </w:div>
        <w:div w:id="17586514">
          <w:marLeft w:val="640"/>
          <w:marRight w:val="0"/>
          <w:marTop w:val="0"/>
          <w:marBottom w:val="0"/>
          <w:divBdr>
            <w:top w:val="none" w:sz="0" w:space="0" w:color="auto"/>
            <w:left w:val="none" w:sz="0" w:space="0" w:color="auto"/>
            <w:bottom w:val="none" w:sz="0" w:space="0" w:color="auto"/>
            <w:right w:val="none" w:sz="0" w:space="0" w:color="auto"/>
          </w:divBdr>
        </w:div>
      </w:divsChild>
    </w:div>
    <w:div w:id="1559901222">
      <w:bodyDiv w:val="1"/>
      <w:marLeft w:val="0"/>
      <w:marRight w:val="0"/>
      <w:marTop w:val="0"/>
      <w:marBottom w:val="0"/>
      <w:divBdr>
        <w:top w:val="none" w:sz="0" w:space="0" w:color="auto"/>
        <w:left w:val="none" w:sz="0" w:space="0" w:color="auto"/>
        <w:bottom w:val="none" w:sz="0" w:space="0" w:color="auto"/>
        <w:right w:val="none" w:sz="0" w:space="0" w:color="auto"/>
      </w:divBdr>
      <w:divsChild>
        <w:div w:id="2100128605">
          <w:marLeft w:val="640"/>
          <w:marRight w:val="0"/>
          <w:marTop w:val="0"/>
          <w:marBottom w:val="0"/>
          <w:divBdr>
            <w:top w:val="none" w:sz="0" w:space="0" w:color="auto"/>
            <w:left w:val="none" w:sz="0" w:space="0" w:color="auto"/>
            <w:bottom w:val="none" w:sz="0" w:space="0" w:color="auto"/>
            <w:right w:val="none" w:sz="0" w:space="0" w:color="auto"/>
          </w:divBdr>
        </w:div>
        <w:div w:id="155541454">
          <w:marLeft w:val="640"/>
          <w:marRight w:val="0"/>
          <w:marTop w:val="0"/>
          <w:marBottom w:val="0"/>
          <w:divBdr>
            <w:top w:val="none" w:sz="0" w:space="0" w:color="auto"/>
            <w:left w:val="none" w:sz="0" w:space="0" w:color="auto"/>
            <w:bottom w:val="none" w:sz="0" w:space="0" w:color="auto"/>
            <w:right w:val="none" w:sz="0" w:space="0" w:color="auto"/>
          </w:divBdr>
        </w:div>
        <w:div w:id="75398263">
          <w:marLeft w:val="640"/>
          <w:marRight w:val="0"/>
          <w:marTop w:val="0"/>
          <w:marBottom w:val="0"/>
          <w:divBdr>
            <w:top w:val="none" w:sz="0" w:space="0" w:color="auto"/>
            <w:left w:val="none" w:sz="0" w:space="0" w:color="auto"/>
            <w:bottom w:val="none" w:sz="0" w:space="0" w:color="auto"/>
            <w:right w:val="none" w:sz="0" w:space="0" w:color="auto"/>
          </w:divBdr>
        </w:div>
        <w:div w:id="67118114">
          <w:marLeft w:val="640"/>
          <w:marRight w:val="0"/>
          <w:marTop w:val="0"/>
          <w:marBottom w:val="0"/>
          <w:divBdr>
            <w:top w:val="none" w:sz="0" w:space="0" w:color="auto"/>
            <w:left w:val="none" w:sz="0" w:space="0" w:color="auto"/>
            <w:bottom w:val="none" w:sz="0" w:space="0" w:color="auto"/>
            <w:right w:val="none" w:sz="0" w:space="0" w:color="auto"/>
          </w:divBdr>
        </w:div>
        <w:div w:id="858544571">
          <w:marLeft w:val="640"/>
          <w:marRight w:val="0"/>
          <w:marTop w:val="0"/>
          <w:marBottom w:val="0"/>
          <w:divBdr>
            <w:top w:val="none" w:sz="0" w:space="0" w:color="auto"/>
            <w:left w:val="none" w:sz="0" w:space="0" w:color="auto"/>
            <w:bottom w:val="none" w:sz="0" w:space="0" w:color="auto"/>
            <w:right w:val="none" w:sz="0" w:space="0" w:color="auto"/>
          </w:divBdr>
        </w:div>
        <w:div w:id="2134864107">
          <w:marLeft w:val="640"/>
          <w:marRight w:val="0"/>
          <w:marTop w:val="0"/>
          <w:marBottom w:val="0"/>
          <w:divBdr>
            <w:top w:val="none" w:sz="0" w:space="0" w:color="auto"/>
            <w:left w:val="none" w:sz="0" w:space="0" w:color="auto"/>
            <w:bottom w:val="none" w:sz="0" w:space="0" w:color="auto"/>
            <w:right w:val="none" w:sz="0" w:space="0" w:color="auto"/>
          </w:divBdr>
        </w:div>
        <w:div w:id="159349676">
          <w:marLeft w:val="640"/>
          <w:marRight w:val="0"/>
          <w:marTop w:val="0"/>
          <w:marBottom w:val="0"/>
          <w:divBdr>
            <w:top w:val="none" w:sz="0" w:space="0" w:color="auto"/>
            <w:left w:val="none" w:sz="0" w:space="0" w:color="auto"/>
            <w:bottom w:val="none" w:sz="0" w:space="0" w:color="auto"/>
            <w:right w:val="none" w:sz="0" w:space="0" w:color="auto"/>
          </w:divBdr>
        </w:div>
        <w:div w:id="572813174">
          <w:marLeft w:val="640"/>
          <w:marRight w:val="0"/>
          <w:marTop w:val="0"/>
          <w:marBottom w:val="0"/>
          <w:divBdr>
            <w:top w:val="none" w:sz="0" w:space="0" w:color="auto"/>
            <w:left w:val="none" w:sz="0" w:space="0" w:color="auto"/>
            <w:bottom w:val="none" w:sz="0" w:space="0" w:color="auto"/>
            <w:right w:val="none" w:sz="0" w:space="0" w:color="auto"/>
          </w:divBdr>
        </w:div>
        <w:div w:id="625282155">
          <w:marLeft w:val="640"/>
          <w:marRight w:val="0"/>
          <w:marTop w:val="0"/>
          <w:marBottom w:val="0"/>
          <w:divBdr>
            <w:top w:val="none" w:sz="0" w:space="0" w:color="auto"/>
            <w:left w:val="none" w:sz="0" w:space="0" w:color="auto"/>
            <w:bottom w:val="none" w:sz="0" w:space="0" w:color="auto"/>
            <w:right w:val="none" w:sz="0" w:space="0" w:color="auto"/>
          </w:divBdr>
        </w:div>
        <w:div w:id="1954552511">
          <w:marLeft w:val="640"/>
          <w:marRight w:val="0"/>
          <w:marTop w:val="0"/>
          <w:marBottom w:val="0"/>
          <w:divBdr>
            <w:top w:val="none" w:sz="0" w:space="0" w:color="auto"/>
            <w:left w:val="none" w:sz="0" w:space="0" w:color="auto"/>
            <w:bottom w:val="none" w:sz="0" w:space="0" w:color="auto"/>
            <w:right w:val="none" w:sz="0" w:space="0" w:color="auto"/>
          </w:divBdr>
        </w:div>
        <w:div w:id="755052634">
          <w:marLeft w:val="640"/>
          <w:marRight w:val="0"/>
          <w:marTop w:val="0"/>
          <w:marBottom w:val="0"/>
          <w:divBdr>
            <w:top w:val="none" w:sz="0" w:space="0" w:color="auto"/>
            <w:left w:val="none" w:sz="0" w:space="0" w:color="auto"/>
            <w:bottom w:val="none" w:sz="0" w:space="0" w:color="auto"/>
            <w:right w:val="none" w:sz="0" w:space="0" w:color="auto"/>
          </w:divBdr>
        </w:div>
        <w:div w:id="2024234804">
          <w:marLeft w:val="640"/>
          <w:marRight w:val="0"/>
          <w:marTop w:val="0"/>
          <w:marBottom w:val="0"/>
          <w:divBdr>
            <w:top w:val="none" w:sz="0" w:space="0" w:color="auto"/>
            <w:left w:val="none" w:sz="0" w:space="0" w:color="auto"/>
            <w:bottom w:val="none" w:sz="0" w:space="0" w:color="auto"/>
            <w:right w:val="none" w:sz="0" w:space="0" w:color="auto"/>
          </w:divBdr>
        </w:div>
        <w:div w:id="1871452775">
          <w:marLeft w:val="640"/>
          <w:marRight w:val="0"/>
          <w:marTop w:val="0"/>
          <w:marBottom w:val="0"/>
          <w:divBdr>
            <w:top w:val="none" w:sz="0" w:space="0" w:color="auto"/>
            <w:left w:val="none" w:sz="0" w:space="0" w:color="auto"/>
            <w:bottom w:val="none" w:sz="0" w:space="0" w:color="auto"/>
            <w:right w:val="none" w:sz="0" w:space="0" w:color="auto"/>
          </w:divBdr>
        </w:div>
        <w:div w:id="1591432244">
          <w:marLeft w:val="640"/>
          <w:marRight w:val="0"/>
          <w:marTop w:val="0"/>
          <w:marBottom w:val="0"/>
          <w:divBdr>
            <w:top w:val="none" w:sz="0" w:space="0" w:color="auto"/>
            <w:left w:val="none" w:sz="0" w:space="0" w:color="auto"/>
            <w:bottom w:val="none" w:sz="0" w:space="0" w:color="auto"/>
            <w:right w:val="none" w:sz="0" w:space="0" w:color="auto"/>
          </w:divBdr>
        </w:div>
        <w:div w:id="2055500176">
          <w:marLeft w:val="640"/>
          <w:marRight w:val="0"/>
          <w:marTop w:val="0"/>
          <w:marBottom w:val="0"/>
          <w:divBdr>
            <w:top w:val="none" w:sz="0" w:space="0" w:color="auto"/>
            <w:left w:val="none" w:sz="0" w:space="0" w:color="auto"/>
            <w:bottom w:val="none" w:sz="0" w:space="0" w:color="auto"/>
            <w:right w:val="none" w:sz="0" w:space="0" w:color="auto"/>
          </w:divBdr>
        </w:div>
        <w:div w:id="1167213928">
          <w:marLeft w:val="640"/>
          <w:marRight w:val="0"/>
          <w:marTop w:val="0"/>
          <w:marBottom w:val="0"/>
          <w:divBdr>
            <w:top w:val="none" w:sz="0" w:space="0" w:color="auto"/>
            <w:left w:val="none" w:sz="0" w:space="0" w:color="auto"/>
            <w:bottom w:val="none" w:sz="0" w:space="0" w:color="auto"/>
            <w:right w:val="none" w:sz="0" w:space="0" w:color="auto"/>
          </w:divBdr>
        </w:div>
        <w:div w:id="1367293826">
          <w:marLeft w:val="640"/>
          <w:marRight w:val="0"/>
          <w:marTop w:val="0"/>
          <w:marBottom w:val="0"/>
          <w:divBdr>
            <w:top w:val="none" w:sz="0" w:space="0" w:color="auto"/>
            <w:left w:val="none" w:sz="0" w:space="0" w:color="auto"/>
            <w:bottom w:val="none" w:sz="0" w:space="0" w:color="auto"/>
            <w:right w:val="none" w:sz="0" w:space="0" w:color="auto"/>
          </w:divBdr>
        </w:div>
        <w:div w:id="1949435262">
          <w:marLeft w:val="640"/>
          <w:marRight w:val="0"/>
          <w:marTop w:val="0"/>
          <w:marBottom w:val="0"/>
          <w:divBdr>
            <w:top w:val="none" w:sz="0" w:space="0" w:color="auto"/>
            <w:left w:val="none" w:sz="0" w:space="0" w:color="auto"/>
            <w:bottom w:val="none" w:sz="0" w:space="0" w:color="auto"/>
            <w:right w:val="none" w:sz="0" w:space="0" w:color="auto"/>
          </w:divBdr>
        </w:div>
        <w:div w:id="826827853">
          <w:marLeft w:val="640"/>
          <w:marRight w:val="0"/>
          <w:marTop w:val="0"/>
          <w:marBottom w:val="0"/>
          <w:divBdr>
            <w:top w:val="none" w:sz="0" w:space="0" w:color="auto"/>
            <w:left w:val="none" w:sz="0" w:space="0" w:color="auto"/>
            <w:bottom w:val="none" w:sz="0" w:space="0" w:color="auto"/>
            <w:right w:val="none" w:sz="0" w:space="0" w:color="auto"/>
          </w:divBdr>
        </w:div>
        <w:div w:id="16084366">
          <w:marLeft w:val="640"/>
          <w:marRight w:val="0"/>
          <w:marTop w:val="0"/>
          <w:marBottom w:val="0"/>
          <w:divBdr>
            <w:top w:val="none" w:sz="0" w:space="0" w:color="auto"/>
            <w:left w:val="none" w:sz="0" w:space="0" w:color="auto"/>
            <w:bottom w:val="none" w:sz="0" w:space="0" w:color="auto"/>
            <w:right w:val="none" w:sz="0" w:space="0" w:color="auto"/>
          </w:divBdr>
        </w:div>
        <w:div w:id="331613081">
          <w:marLeft w:val="640"/>
          <w:marRight w:val="0"/>
          <w:marTop w:val="0"/>
          <w:marBottom w:val="0"/>
          <w:divBdr>
            <w:top w:val="none" w:sz="0" w:space="0" w:color="auto"/>
            <w:left w:val="none" w:sz="0" w:space="0" w:color="auto"/>
            <w:bottom w:val="none" w:sz="0" w:space="0" w:color="auto"/>
            <w:right w:val="none" w:sz="0" w:space="0" w:color="auto"/>
          </w:divBdr>
        </w:div>
        <w:div w:id="2124692830">
          <w:marLeft w:val="640"/>
          <w:marRight w:val="0"/>
          <w:marTop w:val="0"/>
          <w:marBottom w:val="0"/>
          <w:divBdr>
            <w:top w:val="none" w:sz="0" w:space="0" w:color="auto"/>
            <w:left w:val="none" w:sz="0" w:space="0" w:color="auto"/>
            <w:bottom w:val="none" w:sz="0" w:space="0" w:color="auto"/>
            <w:right w:val="none" w:sz="0" w:space="0" w:color="auto"/>
          </w:divBdr>
        </w:div>
        <w:div w:id="1816799494">
          <w:marLeft w:val="640"/>
          <w:marRight w:val="0"/>
          <w:marTop w:val="0"/>
          <w:marBottom w:val="0"/>
          <w:divBdr>
            <w:top w:val="none" w:sz="0" w:space="0" w:color="auto"/>
            <w:left w:val="none" w:sz="0" w:space="0" w:color="auto"/>
            <w:bottom w:val="none" w:sz="0" w:space="0" w:color="auto"/>
            <w:right w:val="none" w:sz="0" w:space="0" w:color="auto"/>
          </w:divBdr>
        </w:div>
        <w:div w:id="1631475112">
          <w:marLeft w:val="640"/>
          <w:marRight w:val="0"/>
          <w:marTop w:val="0"/>
          <w:marBottom w:val="0"/>
          <w:divBdr>
            <w:top w:val="none" w:sz="0" w:space="0" w:color="auto"/>
            <w:left w:val="none" w:sz="0" w:space="0" w:color="auto"/>
            <w:bottom w:val="none" w:sz="0" w:space="0" w:color="auto"/>
            <w:right w:val="none" w:sz="0" w:space="0" w:color="auto"/>
          </w:divBdr>
        </w:div>
        <w:div w:id="631716621">
          <w:marLeft w:val="640"/>
          <w:marRight w:val="0"/>
          <w:marTop w:val="0"/>
          <w:marBottom w:val="0"/>
          <w:divBdr>
            <w:top w:val="none" w:sz="0" w:space="0" w:color="auto"/>
            <w:left w:val="none" w:sz="0" w:space="0" w:color="auto"/>
            <w:bottom w:val="none" w:sz="0" w:space="0" w:color="auto"/>
            <w:right w:val="none" w:sz="0" w:space="0" w:color="auto"/>
          </w:divBdr>
        </w:div>
        <w:div w:id="1753624874">
          <w:marLeft w:val="640"/>
          <w:marRight w:val="0"/>
          <w:marTop w:val="0"/>
          <w:marBottom w:val="0"/>
          <w:divBdr>
            <w:top w:val="none" w:sz="0" w:space="0" w:color="auto"/>
            <w:left w:val="none" w:sz="0" w:space="0" w:color="auto"/>
            <w:bottom w:val="none" w:sz="0" w:space="0" w:color="auto"/>
            <w:right w:val="none" w:sz="0" w:space="0" w:color="auto"/>
          </w:divBdr>
        </w:div>
        <w:div w:id="596059544">
          <w:marLeft w:val="640"/>
          <w:marRight w:val="0"/>
          <w:marTop w:val="0"/>
          <w:marBottom w:val="0"/>
          <w:divBdr>
            <w:top w:val="none" w:sz="0" w:space="0" w:color="auto"/>
            <w:left w:val="none" w:sz="0" w:space="0" w:color="auto"/>
            <w:bottom w:val="none" w:sz="0" w:space="0" w:color="auto"/>
            <w:right w:val="none" w:sz="0" w:space="0" w:color="auto"/>
          </w:divBdr>
        </w:div>
        <w:div w:id="1578245177">
          <w:marLeft w:val="640"/>
          <w:marRight w:val="0"/>
          <w:marTop w:val="0"/>
          <w:marBottom w:val="0"/>
          <w:divBdr>
            <w:top w:val="none" w:sz="0" w:space="0" w:color="auto"/>
            <w:left w:val="none" w:sz="0" w:space="0" w:color="auto"/>
            <w:bottom w:val="none" w:sz="0" w:space="0" w:color="auto"/>
            <w:right w:val="none" w:sz="0" w:space="0" w:color="auto"/>
          </w:divBdr>
        </w:div>
        <w:div w:id="1312250110">
          <w:marLeft w:val="640"/>
          <w:marRight w:val="0"/>
          <w:marTop w:val="0"/>
          <w:marBottom w:val="0"/>
          <w:divBdr>
            <w:top w:val="none" w:sz="0" w:space="0" w:color="auto"/>
            <w:left w:val="none" w:sz="0" w:space="0" w:color="auto"/>
            <w:bottom w:val="none" w:sz="0" w:space="0" w:color="auto"/>
            <w:right w:val="none" w:sz="0" w:space="0" w:color="auto"/>
          </w:divBdr>
        </w:div>
        <w:div w:id="883951575">
          <w:marLeft w:val="640"/>
          <w:marRight w:val="0"/>
          <w:marTop w:val="0"/>
          <w:marBottom w:val="0"/>
          <w:divBdr>
            <w:top w:val="none" w:sz="0" w:space="0" w:color="auto"/>
            <w:left w:val="none" w:sz="0" w:space="0" w:color="auto"/>
            <w:bottom w:val="none" w:sz="0" w:space="0" w:color="auto"/>
            <w:right w:val="none" w:sz="0" w:space="0" w:color="auto"/>
          </w:divBdr>
        </w:div>
        <w:div w:id="1403140336">
          <w:marLeft w:val="640"/>
          <w:marRight w:val="0"/>
          <w:marTop w:val="0"/>
          <w:marBottom w:val="0"/>
          <w:divBdr>
            <w:top w:val="none" w:sz="0" w:space="0" w:color="auto"/>
            <w:left w:val="none" w:sz="0" w:space="0" w:color="auto"/>
            <w:bottom w:val="none" w:sz="0" w:space="0" w:color="auto"/>
            <w:right w:val="none" w:sz="0" w:space="0" w:color="auto"/>
          </w:divBdr>
        </w:div>
        <w:div w:id="1803617109">
          <w:marLeft w:val="640"/>
          <w:marRight w:val="0"/>
          <w:marTop w:val="0"/>
          <w:marBottom w:val="0"/>
          <w:divBdr>
            <w:top w:val="none" w:sz="0" w:space="0" w:color="auto"/>
            <w:left w:val="none" w:sz="0" w:space="0" w:color="auto"/>
            <w:bottom w:val="none" w:sz="0" w:space="0" w:color="auto"/>
            <w:right w:val="none" w:sz="0" w:space="0" w:color="auto"/>
          </w:divBdr>
        </w:div>
      </w:divsChild>
    </w:div>
    <w:div w:id="1717271101">
      <w:bodyDiv w:val="1"/>
      <w:marLeft w:val="0"/>
      <w:marRight w:val="0"/>
      <w:marTop w:val="0"/>
      <w:marBottom w:val="0"/>
      <w:divBdr>
        <w:top w:val="none" w:sz="0" w:space="0" w:color="auto"/>
        <w:left w:val="none" w:sz="0" w:space="0" w:color="auto"/>
        <w:bottom w:val="none" w:sz="0" w:space="0" w:color="auto"/>
        <w:right w:val="none" w:sz="0" w:space="0" w:color="auto"/>
      </w:divBdr>
    </w:div>
    <w:div w:id="1933512031">
      <w:bodyDiv w:val="1"/>
      <w:marLeft w:val="0"/>
      <w:marRight w:val="0"/>
      <w:marTop w:val="0"/>
      <w:marBottom w:val="0"/>
      <w:divBdr>
        <w:top w:val="none" w:sz="0" w:space="0" w:color="auto"/>
        <w:left w:val="none" w:sz="0" w:space="0" w:color="auto"/>
        <w:bottom w:val="none" w:sz="0" w:space="0" w:color="auto"/>
        <w:right w:val="none" w:sz="0" w:space="0" w:color="auto"/>
      </w:divBdr>
      <w:divsChild>
        <w:div w:id="1616988042">
          <w:marLeft w:val="640"/>
          <w:marRight w:val="0"/>
          <w:marTop w:val="0"/>
          <w:marBottom w:val="0"/>
          <w:divBdr>
            <w:top w:val="none" w:sz="0" w:space="0" w:color="auto"/>
            <w:left w:val="none" w:sz="0" w:space="0" w:color="auto"/>
            <w:bottom w:val="none" w:sz="0" w:space="0" w:color="auto"/>
            <w:right w:val="none" w:sz="0" w:space="0" w:color="auto"/>
          </w:divBdr>
        </w:div>
        <w:div w:id="394200820">
          <w:marLeft w:val="640"/>
          <w:marRight w:val="0"/>
          <w:marTop w:val="0"/>
          <w:marBottom w:val="0"/>
          <w:divBdr>
            <w:top w:val="none" w:sz="0" w:space="0" w:color="auto"/>
            <w:left w:val="none" w:sz="0" w:space="0" w:color="auto"/>
            <w:bottom w:val="none" w:sz="0" w:space="0" w:color="auto"/>
            <w:right w:val="none" w:sz="0" w:space="0" w:color="auto"/>
          </w:divBdr>
        </w:div>
        <w:div w:id="1311327698">
          <w:marLeft w:val="640"/>
          <w:marRight w:val="0"/>
          <w:marTop w:val="0"/>
          <w:marBottom w:val="0"/>
          <w:divBdr>
            <w:top w:val="none" w:sz="0" w:space="0" w:color="auto"/>
            <w:left w:val="none" w:sz="0" w:space="0" w:color="auto"/>
            <w:bottom w:val="none" w:sz="0" w:space="0" w:color="auto"/>
            <w:right w:val="none" w:sz="0" w:space="0" w:color="auto"/>
          </w:divBdr>
        </w:div>
        <w:div w:id="913470671">
          <w:marLeft w:val="640"/>
          <w:marRight w:val="0"/>
          <w:marTop w:val="0"/>
          <w:marBottom w:val="0"/>
          <w:divBdr>
            <w:top w:val="none" w:sz="0" w:space="0" w:color="auto"/>
            <w:left w:val="none" w:sz="0" w:space="0" w:color="auto"/>
            <w:bottom w:val="none" w:sz="0" w:space="0" w:color="auto"/>
            <w:right w:val="none" w:sz="0" w:space="0" w:color="auto"/>
          </w:divBdr>
        </w:div>
        <w:div w:id="1482501265">
          <w:marLeft w:val="640"/>
          <w:marRight w:val="0"/>
          <w:marTop w:val="0"/>
          <w:marBottom w:val="0"/>
          <w:divBdr>
            <w:top w:val="none" w:sz="0" w:space="0" w:color="auto"/>
            <w:left w:val="none" w:sz="0" w:space="0" w:color="auto"/>
            <w:bottom w:val="none" w:sz="0" w:space="0" w:color="auto"/>
            <w:right w:val="none" w:sz="0" w:space="0" w:color="auto"/>
          </w:divBdr>
        </w:div>
        <w:div w:id="1345671419">
          <w:marLeft w:val="640"/>
          <w:marRight w:val="0"/>
          <w:marTop w:val="0"/>
          <w:marBottom w:val="0"/>
          <w:divBdr>
            <w:top w:val="none" w:sz="0" w:space="0" w:color="auto"/>
            <w:left w:val="none" w:sz="0" w:space="0" w:color="auto"/>
            <w:bottom w:val="none" w:sz="0" w:space="0" w:color="auto"/>
            <w:right w:val="none" w:sz="0" w:space="0" w:color="auto"/>
          </w:divBdr>
        </w:div>
        <w:div w:id="1070349830">
          <w:marLeft w:val="640"/>
          <w:marRight w:val="0"/>
          <w:marTop w:val="0"/>
          <w:marBottom w:val="0"/>
          <w:divBdr>
            <w:top w:val="none" w:sz="0" w:space="0" w:color="auto"/>
            <w:left w:val="none" w:sz="0" w:space="0" w:color="auto"/>
            <w:bottom w:val="none" w:sz="0" w:space="0" w:color="auto"/>
            <w:right w:val="none" w:sz="0" w:space="0" w:color="auto"/>
          </w:divBdr>
        </w:div>
        <w:div w:id="1994794934">
          <w:marLeft w:val="640"/>
          <w:marRight w:val="0"/>
          <w:marTop w:val="0"/>
          <w:marBottom w:val="0"/>
          <w:divBdr>
            <w:top w:val="none" w:sz="0" w:space="0" w:color="auto"/>
            <w:left w:val="none" w:sz="0" w:space="0" w:color="auto"/>
            <w:bottom w:val="none" w:sz="0" w:space="0" w:color="auto"/>
            <w:right w:val="none" w:sz="0" w:space="0" w:color="auto"/>
          </w:divBdr>
        </w:div>
        <w:div w:id="297492748">
          <w:marLeft w:val="640"/>
          <w:marRight w:val="0"/>
          <w:marTop w:val="0"/>
          <w:marBottom w:val="0"/>
          <w:divBdr>
            <w:top w:val="none" w:sz="0" w:space="0" w:color="auto"/>
            <w:left w:val="none" w:sz="0" w:space="0" w:color="auto"/>
            <w:bottom w:val="none" w:sz="0" w:space="0" w:color="auto"/>
            <w:right w:val="none" w:sz="0" w:space="0" w:color="auto"/>
          </w:divBdr>
        </w:div>
        <w:div w:id="731738932">
          <w:marLeft w:val="640"/>
          <w:marRight w:val="0"/>
          <w:marTop w:val="0"/>
          <w:marBottom w:val="0"/>
          <w:divBdr>
            <w:top w:val="none" w:sz="0" w:space="0" w:color="auto"/>
            <w:left w:val="none" w:sz="0" w:space="0" w:color="auto"/>
            <w:bottom w:val="none" w:sz="0" w:space="0" w:color="auto"/>
            <w:right w:val="none" w:sz="0" w:space="0" w:color="auto"/>
          </w:divBdr>
        </w:div>
        <w:div w:id="1154680419">
          <w:marLeft w:val="640"/>
          <w:marRight w:val="0"/>
          <w:marTop w:val="0"/>
          <w:marBottom w:val="0"/>
          <w:divBdr>
            <w:top w:val="none" w:sz="0" w:space="0" w:color="auto"/>
            <w:left w:val="none" w:sz="0" w:space="0" w:color="auto"/>
            <w:bottom w:val="none" w:sz="0" w:space="0" w:color="auto"/>
            <w:right w:val="none" w:sz="0" w:space="0" w:color="auto"/>
          </w:divBdr>
        </w:div>
        <w:div w:id="209726105">
          <w:marLeft w:val="640"/>
          <w:marRight w:val="0"/>
          <w:marTop w:val="0"/>
          <w:marBottom w:val="0"/>
          <w:divBdr>
            <w:top w:val="none" w:sz="0" w:space="0" w:color="auto"/>
            <w:left w:val="none" w:sz="0" w:space="0" w:color="auto"/>
            <w:bottom w:val="none" w:sz="0" w:space="0" w:color="auto"/>
            <w:right w:val="none" w:sz="0" w:space="0" w:color="auto"/>
          </w:divBdr>
        </w:div>
        <w:div w:id="916591644">
          <w:marLeft w:val="640"/>
          <w:marRight w:val="0"/>
          <w:marTop w:val="0"/>
          <w:marBottom w:val="0"/>
          <w:divBdr>
            <w:top w:val="none" w:sz="0" w:space="0" w:color="auto"/>
            <w:left w:val="none" w:sz="0" w:space="0" w:color="auto"/>
            <w:bottom w:val="none" w:sz="0" w:space="0" w:color="auto"/>
            <w:right w:val="none" w:sz="0" w:space="0" w:color="auto"/>
          </w:divBdr>
        </w:div>
        <w:div w:id="2066179730">
          <w:marLeft w:val="640"/>
          <w:marRight w:val="0"/>
          <w:marTop w:val="0"/>
          <w:marBottom w:val="0"/>
          <w:divBdr>
            <w:top w:val="none" w:sz="0" w:space="0" w:color="auto"/>
            <w:left w:val="none" w:sz="0" w:space="0" w:color="auto"/>
            <w:bottom w:val="none" w:sz="0" w:space="0" w:color="auto"/>
            <w:right w:val="none" w:sz="0" w:space="0" w:color="auto"/>
          </w:divBdr>
        </w:div>
        <w:div w:id="675159828">
          <w:marLeft w:val="640"/>
          <w:marRight w:val="0"/>
          <w:marTop w:val="0"/>
          <w:marBottom w:val="0"/>
          <w:divBdr>
            <w:top w:val="none" w:sz="0" w:space="0" w:color="auto"/>
            <w:left w:val="none" w:sz="0" w:space="0" w:color="auto"/>
            <w:bottom w:val="none" w:sz="0" w:space="0" w:color="auto"/>
            <w:right w:val="none" w:sz="0" w:space="0" w:color="auto"/>
          </w:divBdr>
        </w:div>
        <w:div w:id="1197348491">
          <w:marLeft w:val="640"/>
          <w:marRight w:val="0"/>
          <w:marTop w:val="0"/>
          <w:marBottom w:val="0"/>
          <w:divBdr>
            <w:top w:val="none" w:sz="0" w:space="0" w:color="auto"/>
            <w:left w:val="none" w:sz="0" w:space="0" w:color="auto"/>
            <w:bottom w:val="none" w:sz="0" w:space="0" w:color="auto"/>
            <w:right w:val="none" w:sz="0" w:space="0" w:color="auto"/>
          </w:divBdr>
        </w:div>
        <w:div w:id="1545219119">
          <w:marLeft w:val="640"/>
          <w:marRight w:val="0"/>
          <w:marTop w:val="0"/>
          <w:marBottom w:val="0"/>
          <w:divBdr>
            <w:top w:val="none" w:sz="0" w:space="0" w:color="auto"/>
            <w:left w:val="none" w:sz="0" w:space="0" w:color="auto"/>
            <w:bottom w:val="none" w:sz="0" w:space="0" w:color="auto"/>
            <w:right w:val="none" w:sz="0" w:space="0" w:color="auto"/>
          </w:divBdr>
        </w:div>
        <w:div w:id="278149972">
          <w:marLeft w:val="640"/>
          <w:marRight w:val="0"/>
          <w:marTop w:val="0"/>
          <w:marBottom w:val="0"/>
          <w:divBdr>
            <w:top w:val="none" w:sz="0" w:space="0" w:color="auto"/>
            <w:left w:val="none" w:sz="0" w:space="0" w:color="auto"/>
            <w:bottom w:val="none" w:sz="0" w:space="0" w:color="auto"/>
            <w:right w:val="none" w:sz="0" w:space="0" w:color="auto"/>
          </w:divBdr>
        </w:div>
        <w:div w:id="212498699">
          <w:marLeft w:val="640"/>
          <w:marRight w:val="0"/>
          <w:marTop w:val="0"/>
          <w:marBottom w:val="0"/>
          <w:divBdr>
            <w:top w:val="none" w:sz="0" w:space="0" w:color="auto"/>
            <w:left w:val="none" w:sz="0" w:space="0" w:color="auto"/>
            <w:bottom w:val="none" w:sz="0" w:space="0" w:color="auto"/>
            <w:right w:val="none" w:sz="0" w:space="0" w:color="auto"/>
          </w:divBdr>
        </w:div>
        <w:div w:id="1028094867">
          <w:marLeft w:val="640"/>
          <w:marRight w:val="0"/>
          <w:marTop w:val="0"/>
          <w:marBottom w:val="0"/>
          <w:divBdr>
            <w:top w:val="none" w:sz="0" w:space="0" w:color="auto"/>
            <w:left w:val="none" w:sz="0" w:space="0" w:color="auto"/>
            <w:bottom w:val="none" w:sz="0" w:space="0" w:color="auto"/>
            <w:right w:val="none" w:sz="0" w:space="0" w:color="auto"/>
          </w:divBdr>
        </w:div>
        <w:div w:id="1790010757">
          <w:marLeft w:val="640"/>
          <w:marRight w:val="0"/>
          <w:marTop w:val="0"/>
          <w:marBottom w:val="0"/>
          <w:divBdr>
            <w:top w:val="none" w:sz="0" w:space="0" w:color="auto"/>
            <w:left w:val="none" w:sz="0" w:space="0" w:color="auto"/>
            <w:bottom w:val="none" w:sz="0" w:space="0" w:color="auto"/>
            <w:right w:val="none" w:sz="0" w:space="0" w:color="auto"/>
          </w:divBdr>
        </w:div>
        <w:div w:id="885994333">
          <w:marLeft w:val="640"/>
          <w:marRight w:val="0"/>
          <w:marTop w:val="0"/>
          <w:marBottom w:val="0"/>
          <w:divBdr>
            <w:top w:val="none" w:sz="0" w:space="0" w:color="auto"/>
            <w:left w:val="none" w:sz="0" w:space="0" w:color="auto"/>
            <w:bottom w:val="none" w:sz="0" w:space="0" w:color="auto"/>
            <w:right w:val="none" w:sz="0" w:space="0" w:color="auto"/>
          </w:divBdr>
        </w:div>
        <w:div w:id="434059435">
          <w:marLeft w:val="640"/>
          <w:marRight w:val="0"/>
          <w:marTop w:val="0"/>
          <w:marBottom w:val="0"/>
          <w:divBdr>
            <w:top w:val="none" w:sz="0" w:space="0" w:color="auto"/>
            <w:left w:val="none" w:sz="0" w:space="0" w:color="auto"/>
            <w:bottom w:val="none" w:sz="0" w:space="0" w:color="auto"/>
            <w:right w:val="none" w:sz="0" w:space="0" w:color="auto"/>
          </w:divBdr>
        </w:div>
        <w:div w:id="504125725">
          <w:marLeft w:val="640"/>
          <w:marRight w:val="0"/>
          <w:marTop w:val="0"/>
          <w:marBottom w:val="0"/>
          <w:divBdr>
            <w:top w:val="none" w:sz="0" w:space="0" w:color="auto"/>
            <w:left w:val="none" w:sz="0" w:space="0" w:color="auto"/>
            <w:bottom w:val="none" w:sz="0" w:space="0" w:color="auto"/>
            <w:right w:val="none" w:sz="0" w:space="0" w:color="auto"/>
          </w:divBdr>
        </w:div>
        <w:div w:id="1243754672">
          <w:marLeft w:val="640"/>
          <w:marRight w:val="0"/>
          <w:marTop w:val="0"/>
          <w:marBottom w:val="0"/>
          <w:divBdr>
            <w:top w:val="none" w:sz="0" w:space="0" w:color="auto"/>
            <w:left w:val="none" w:sz="0" w:space="0" w:color="auto"/>
            <w:bottom w:val="none" w:sz="0" w:space="0" w:color="auto"/>
            <w:right w:val="none" w:sz="0" w:space="0" w:color="auto"/>
          </w:divBdr>
        </w:div>
        <w:div w:id="1644458632">
          <w:marLeft w:val="640"/>
          <w:marRight w:val="0"/>
          <w:marTop w:val="0"/>
          <w:marBottom w:val="0"/>
          <w:divBdr>
            <w:top w:val="none" w:sz="0" w:space="0" w:color="auto"/>
            <w:left w:val="none" w:sz="0" w:space="0" w:color="auto"/>
            <w:bottom w:val="none" w:sz="0" w:space="0" w:color="auto"/>
            <w:right w:val="none" w:sz="0" w:space="0" w:color="auto"/>
          </w:divBdr>
        </w:div>
        <w:div w:id="1865746957">
          <w:marLeft w:val="640"/>
          <w:marRight w:val="0"/>
          <w:marTop w:val="0"/>
          <w:marBottom w:val="0"/>
          <w:divBdr>
            <w:top w:val="none" w:sz="0" w:space="0" w:color="auto"/>
            <w:left w:val="none" w:sz="0" w:space="0" w:color="auto"/>
            <w:bottom w:val="none" w:sz="0" w:space="0" w:color="auto"/>
            <w:right w:val="none" w:sz="0" w:space="0" w:color="auto"/>
          </w:divBdr>
        </w:div>
        <w:div w:id="695425971">
          <w:marLeft w:val="640"/>
          <w:marRight w:val="0"/>
          <w:marTop w:val="0"/>
          <w:marBottom w:val="0"/>
          <w:divBdr>
            <w:top w:val="none" w:sz="0" w:space="0" w:color="auto"/>
            <w:left w:val="none" w:sz="0" w:space="0" w:color="auto"/>
            <w:bottom w:val="none" w:sz="0" w:space="0" w:color="auto"/>
            <w:right w:val="none" w:sz="0" w:space="0" w:color="auto"/>
          </w:divBdr>
        </w:div>
        <w:div w:id="314801952">
          <w:marLeft w:val="640"/>
          <w:marRight w:val="0"/>
          <w:marTop w:val="0"/>
          <w:marBottom w:val="0"/>
          <w:divBdr>
            <w:top w:val="none" w:sz="0" w:space="0" w:color="auto"/>
            <w:left w:val="none" w:sz="0" w:space="0" w:color="auto"/>
            <w:bottom w:val="none" w:sz="0" w:space="0" w:color="auto"/>
            <w:right w:val="none" w:sz="0" w:space="0" w:color="auto"/>
          </w:divBdr>
        </w:div>
        <w:div w:id="720636265">
          <w:marLeft w:val="640"/>
          <w:marRight w:val="0"/>
          <w:marTop w:val="0"/>
          <w:marBottom w:val="0"/>
          <w:divBdr>
            <w:top w:val="none" w:sz="0" w:space="0" w:color="auto"/>
            <w:left w:val="none" w:sz="0" w:space="0" w:color="auto"/>
            <w:bottom w:val="none" w:sz="0" w:space="0" w:color="auto"/>
            <w:right w:val="none" w:sz="0" w:space="0" w:color="auto"/>
          </w:divBdr>
        </w:div>
        <w:div w:id="2048989162">
          <w:marLeft w:val="640"/>
          <w:marRight w:val="0"/>
          <w:marTop w:val="0"/>
          <w:marBottom w:val="0"/>
          <w:divBdr>
            <w:top w:val="none" w:sz="0" w:space="0" w:color="auto"/>
            <w:left w:val="none" w:sz="0" w:space="0" w:color="auto"/>
            <w:bottom w:val="none" w:sz="0" w:space="0" w:color="auto"/>
            <w:right w:val="none" w:sz="0" w:space="0" w:color="auto"/>
          </w:divBdr>
        </w:div>
        <w:div w:id="17257508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yperlink" Target="https://doi.org/10.1093/ecco-jcc/jjad08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EB9764-3EE8-407D-BB99-1BD5A72152CC}">
  <we:reference id="wa104382081" version="1.35.0.0" store="fr-FR" storeType="OMEX"/>
  <we:alternateReferences>
    <we:reference id="WA104382081" version="1.35.0.0" store="" storeType="OMEX"/>
  </we:alternateReferences>
  <we:properties>
    <we:property name="MENDELEY_CITATIONS" value="[{&quot;citationID&quot;:&quot;MENDELEY_CITATION_38c7bd81-8960-4d1b-8c12-8ea2ccbbd2e9&quot;,&quot;properties&quot;:{&quot;noteIndex&quot;:0},&quot;isEdited&quot;:false,&quot;manualOverride&quot;:{&quot;citeprocText&quot;:&quot;[1]&quot;,&quot;isManuallyOverridden&quot;:false,&quot;manualOverrideText&quot;:&quot;&quot;},&quot;citationTag&quot;:&quot;MENDELEY_CITATION_v3_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&quot;,&quot;citationItems&quot;:[{&quot;id&quot;:&quot;3a9fc68b-4ff4-3811-b1ed-bdc67b1c8f03&quot;,&quot;itemData&quot;:{&quot;DOI&quot;:&quot;10.1007/s11938-016-0077-z&quot;,&quot;ISSN&quot;:&quot;1092-8472 (Print)&quot;,&quot;PMID&quot;:&quot;26864745&quot;,&quot;abstract&quot;:&quot;With the expanding armamentarium in IBD the current treatment targets can be  reached. By optimally using our drugs we can avoid long-term complications in IBD. For this the therapeutic strategy has to be changed from a clinically driven approach to a target-driven strategy. Currently mucosal healing, normalization of biomarkers, histological healing, and healing on abdominal imaging are proposed targets. Correct phenotyping of the patient before initiation of therapy is mandatory. Once treatment is initiated a continuous re-evaluation with consequent adaptation of the treatment when goals are not (yet) reached is needed. Both escalation and de-escalation should be considered. Drug levels can be used as a guidance to reach these targets.&quot;,&quot;author&quot;:[{&quot;dropping-particle&quot;:&quot;&quot;,&quot;family&quot;:&quot;Bossuyt&quot;,&quot;given&quot;:&quot;Peter&quot;,&quot;non-dropping-particle&quot;:&quot;&quot;,&quot;parse-names&quot;:false,&quot;suffix&quot;:&quot;&quot;},{&quot;dropping-particle&quot;:&quot;&quot;,&quot;family&quot;:&quot;Vermeire&quot;,&quot;given&quot;:&quot;Séverine&quot;,&quot;non-dropping-particle&quot;:&quot;&quot;,&quot;parse-names&quot;:false,&quot;suffix&quot;:&quot;&quot;}],&quot;container-title&quot;:&quot;Current treatment options in gastroenterology&quot;,&quot;id&quot;:&quot;3a9fc68b-4ff4-3811-b1ed-bdc67b1c8f03&quot;,&quot;issue&quot;:&quot;1&quot;,&quot;issued&quot;:{&quot;date-parts&quot;:[[&quot;2016&quot;,&quot;3&quot;]]},&quot;language&quot;:&quot;eng&quot;,&quot;page&quot;:&quot;61-72&quot;,&quot;publisher-place&quot;:&quot;United States&quot;,&quot;title&quot;:&quot;Treat to Target in Inflammatory Bowel Disease.&quot;,&quot;type&quot;:&quot;article-journal&quot;,&quot;volume&quot;:&quot;14&quot;,&quot;container-title-short&quot;:&quot;Curr Treat Options Gastroenterol&quot;},&quot;uris&quot;:[&quot;http://www.mendeley.com/documents/?uuid=77696c36-1b7f-46ab-a891-20577ccbab7d&quot;],&quot;isTemporary&quot;:false,&quot;legacyDesktopId&quot;:&quot;77696c36-1b7f-46ab-a891-20577ccbab7d&quot;}]},{&quot;citationID&quot;:&quot;MENDELEY_CITATION_7e3823f7-cc6a-404b-b434-e738560d9783&quot;,&quot;properties&quot;:{&quot;noteIndex&quot;:0},&quot;isEdited&quot;:false,&quot;manualOverride&quot;:{&quot;citeprocText&quot;:&quot;[2–5]&quot;,&quot;isManuallyOverridden&quot;:false,&quot;manualOverrideText&quot;:&quot;&quot;},&quot;citationTag&quot;:&quot;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&quot;,&quot;citationItems&quot;:[{&quot;id&quot;:&quot;a203293e-ff40-31cf-8cd8-a7177218bd4f&quot;,&quot;itemData&quot;:{&quot;DOI&quot;:&quot;10.1159/000342732&quot;,&quot;ISSN&quot;:&quot;0257-2753&quot;,&quot;abstract&quot;:&quot;Crohn’s disease (CD) is a chronic inflammatory disorder characterized by periods of clinical remission alternating with periods of relapse defined by recurrent clinical symptoms. Persistent inflammation is believed to lead to progressive bowel damage over time, which manifests with the development of strictures, fistulae and abscesses. These disease complications frequently lead to a need for surgical resection, which in turn leads to disability. So CD can be characterized as a chronic, progressive, destructive and disabling disease. In rheumatoid arthritis, treatment paradigms have evolved beyond partial symptom control alone toward the induction and maintenance of sustained biological remission, also known as a ‘treat to target’ strategy, with the goal of improving long-term disease outcomes. In CD, there is currently no accepted, well-defined, comprehensive treatment goal that entails the treatment of both clinical symptoms and biologic inflammation. It is important that such a treatment concept begins to evolve for CD. A treatment strategy that delays or halts the progression of CD to increasing damage and disability is a priority. As a starting point, a working definition of sustained deep remission (that includes long-term biological remission and symptom control) with defined patient outcomes (including no disease progression) has been proposed. The concept of sustained deep remission represents a goal for CD management that may still evolve. It is not clear if the concept also applies to ulcerative colitis. Clinical trials are needed to evaluate whether treatment algorithms that tailor therapy to achieve deep remission in patients with CD can prevent disease progression and disability.&quot;,&quot;author&quot;:[{&quot;dropping-particle&quot;:&quot;&quot;,&quot;family&quot;:&quot;Colombel&quot;,&quot;given&quot;:&quot;J.-F.&quot;,&quot;non-dropping-particle&quot;:&quot;&quot;,&quot;parse-names&quot;:false,&quot;suffix&quot;:&quot;&quot;},{&quot;dropping-particle&quot;:&quot;&quot;,&quot;family&quot;:&quot;Louis&quot;,&quot;given&quot;:&quot;E&quot;,&quot;non-dropping-particle&quot;:&quot;&quot;,&quot;parse-names&quot;:false,&quot;suffix&quot;:&quot;&quot;},{&quot;dropping-particle&quot;:&quot;&quot;,&quot;family&quot;:&quot;Peyrin-Biroulet&quot;,&quot;given&quot;:&quot;L&quot;,&quot;non-dropping-particle&quot;:&quot;&quot;,&quot;parse-names&quot;:false,&quot;suffix&quot;:&quot;&quot;},{&quot;dropping-particle&quot;:&quot;&quot;,&quot;family&quot;:&quot;Sandborn&quot;,&quot;given&quot;:&quot;W J&quot;,&quot;non-dropping-particle&quot;:&quot;&quot;,&quot;parse-names&quot;:false,&quot;suffix&quot;:&quot;&quot;},{&quot;dropping-particle&quot;:&quot;&quot;,&quot;family&quot;:&quot;Panaccione&quot;,&quot;given&quot;:&quot;R&quot;,&quot;non-dropping-particle&quot;:&quot;&quot;,&quot;parse-names&quot;:false,&quot;suffix&quot;:&quot;&quot;}],&quot;container-title&quot;:&quot;Digestive Diseases&quot;,&quot;id&quot;:&quot;a203293e-ff40-31cf-8cd8-a7177218bd4f&quot;,&quot;issue&quot;:&quot;Suppl. 3&quot;,&quot;issued&quot;:{&quot;date-parts&quot;:[[&quot;2012&quot;]]},&quot;page&quot;:&quot;107-111&quot;,&quot;title&quot;:&quot;Deep Remission: A New Concept?&quot;,&quot;type&quot;:&quot;article-journal&quot;,&quot;volume&quot;:&quot;30(suppl 3&quot;,&quot;container-title-short&quot;:&quot;&quot;},&quot;uris&quot;:[&quot;http://www.mendeley.com/documents/?uuid=1d8a4bd4-51f3-404f-9bf4-82b7ae861cfa&quot;],&quot;isTemporary&quot;:false,&quot;legacyDesktopId&quot;:&quot;1d8a4bd4-51f3-404f-9bf4-82b7ae861cfa&quot;},{&quot;id&quot;:&quot;1f420c1d-a8e3-3ba2-8c8c-229274238285&quot;,&quot;itemData&quot;:{&quot;DOI&quot;:&quot;10.1097/MIB.0b013e318283a4b3&quot;,&quot;ISSN&quot;:&quot;1536-4844 (Electronic)&quot;,&quot;PMID&quot;:&quot;23598817&quot;,&quot;abstract&quot;:&quot;BACKGROUND: Using clinical symptoms alone to inform treatment decisions in Crohn's  disease (CD) may increase the risk of disease progression and complications. Treatment beyond symptoms may offer improved outcomes. METHODS: We explore alternative definitions of remission, beyond traditional clinical remission, incorporating more objective parameters of inflammation control, which may support prevention or delay the disease progression. These definitions could serve as a platform for future clinical research, evaluating whether treating beyond symptoms alters the natural history of CD. RESULTS: Proposed definitions may include endoscopic remission (mucosal healing), normalization of serologic or fecal markers of inflammation, and even radiographic remission, in addition to clinical remission (symptom control). Endoscopic remission is the leading candidate for inclusion because it is the best studied. The definition should include considerations for both early and late disease given that in late disease, which may be associated with operation-related symptoms or irreversible bowel damage, symptomatic remission may not achievable. Desired outcomes in early disease are complete absence of symptoms, no disease progression, no complications or disability, and normal quality of life. In late disease, there are stabilization of noninflammatory symptoms, no progression of damage or disability, and improved quality of life. CONCLUSIONS: Over time, we anticipate that a working definition of remission that includes both biological remission and clinical remission will evolve and be evaluated in clinical trials. Our proposed definition is a possible starting point for that evolution. Ultimately, the goal in evolving the definition of remission is to improve the outcomes in patients with CD.&quot;,&quot;author&quot;:[{&quot;dropping-particle&quot;:&quot;&quot;,&quot;family&quot;:&quot;Panaccione&quot;,&quot;given&quot;:&quot;Remo&quot;,&quot;non-dropping-particle&quot;:&quot;&quot;,&quot;parse-names&quot;:false,&quot;suffix&quot;:&quot;&quot;},{&quot;dropping-particle&quot;:&quot;&quot;,&quot;family&quot;:&quot;Colombel&quot;,&quot;given&quot;:&quot;Jean-Frédéric&quot;,&quot;non-dropping-particle&quot;:&quot;&quot;,&quot;parse-names&quot;:false,&quot;suffix&quot;:&quot;&quot;},{&quot;dropping-particle&quot;:&quot;&quot;,&quot;family&quot;:&quot;Louis&quot;,&quot;given&quot;:&quot;Edouard&quot;,&quot;non-dropping-particle&quot;:&quot;&quot;,&quot;parse-names&quot;:false,&quot;suffix&quot;:&quot;&quot;},{&quot;dropping-particle&quot;:&quot;&quot;,&quot;family&quot;:&quot;Peyrin-Biroulet&quot;,&quot;given&quot;:&quot;Laurent&quot;,&quot;non-dropping-particle&quot;:&quot;&quot;,&quot;parse-names&quot;:false,&quot;suffix&quot;:&quot;&quot;},{&quot;dropping-particle&quot;:&quot;&quot;,&quot;family&quot;:&quot;Sandborn&quot;,&quot;given&quot;:&quot;William J&quot;,&quot;non-dropping-particle&quot;:&quot;&quot;,&quot;parse-names&quot;:false,&quot;suffix&quot;:&quot;&quot;}],&quot;container-title&quot;:&quot;Inflammatory bowel diseases&quot;,&quot;id&quot;:&quot;1f420c1d-a8e3-3ba2-8c8c-229274238285&quot;,&quot;issue&quot;:&quot;8&quot;,&quot;issued&quot;:{&quot;date-parts&quot;:[[&quot;2013&quot;,&quot;7&quot;]]},&quot;language&quot;:&quot;eng&quot;,&quot;page&quot;:&quot;1645-1653&quot;,&quot;publisher-place&quot;:&quot;England&quot;,&quot;title&quot;:&quot;Evolving definitions of remission in Crohn's disease.&quot;,&quot;type&quot;:&quot;article-journal&quot;,&quot;volume&quot;:&quot;19&quot;,&quot;container-title-short&quot;:&quot;Inflamm Bowel Dis&quot;},&quot;uris&quot;:[&quot;http://www.mendeley.com/documents/?uuid=0275c113-016a-46ca-8e1b-edd634cafc17&quot;],&quot;isTemporary&quot;:false,&quot;legacyDesktopId&quot;:&quot;0275c113-016a-46ca-8e1b-edd634cafc17&quot;},{&quot;id&quot;:&quot;5f03044c-6d62-3c91-862c-12ad98a5c994&quot;,&quot;itemData&quot;:{&quot;DOI&quot;:&quot;10.1038/ajg.2015.233&quot;,&quot;ISSN&quot;:&quot;1572-0241 (Electronic)&quot;,&quot;PMID&quot;:&quot;26303131&quot;,&quot;abstract&quot;:&quot;OBJECTIVES: The Selecting Therapeutic Targets in Inflammatory Bowel Disease (STRIDE)  program was initiated by the International Organization for the Study of Inflammatory Bowel Diseases (IOIBD). It examined potential treatment targets for inflammatory bowel disease (IBD) to be used for a \&quot;treat-to-target\&quot; clinical management strategy using an evidence-based expert consensus process. METHODS: A Steering Committee of 28 IBD specialists developed recommendations based on a systematic literature review and expert opinion. Consensus was gained if ≥75% of participants scored the recommendation as 7-10 on a 10-point rating scale (where 10=agree completely). RESULTS: The group agreed upon 12 recommendations for ulcerative colitis (UC) and Crohn's disease (CD). The agreed target for UC was clinical/patient-reported outcome (PRO) remission (defined as resolution of rectal bleeding and diarrhea/altered bowel habit) and endoscopic remission (defined as a Mayo endoscopic subscore of 0-1). Histological remission was considered as an adjunctive goal. Clinical/PRO remission was also agreed upon as a target for CD and defined as resolution of abdominal pain and diarrhea/altered bowel habit; and endoscopic remission, defined as resolution of ulceration at ileocolonoscopy, or resolution of findings of inflammation on cross-sectional imaging in patients who cannot be adequately assessed with ileocolonoscopy. Biomarker remission (normal C-reactive protein (CRP) and calprotectin) was considered as an adjunctive target. CONCLUSIONS: Evidence- and consensus-based recommendations for selecting the goals for treat-to-target strategies in patients with IBD are made available. Prospective studies are needed to determine how these targets will change disease course and patients' quality of life.&quot;,&quot;author&quot;:[{&quot;dropping-particle&quot;:&quot;&quot;,&quot;family&quot;:&quot;Peyrin-Biroulet&quot;,&quot;given&quot;:&quot;L&quot;,&quot;non-dropping-particle&quot;:&quot;&quot;,&quot;parse-names&quot;:false,&quot;suffix&quot;:&quot;&quot;},{&quot;dropping-particle&quot;:&quot;&quot;,&quot;family&quot;:&quot;Sandborn&quot;,&quot;given&quot;:&quot;W&quot;,&quot;non-dropping-particle&quot;:&quot;&quot;,&quot;parse-names&quot;:false,&quot;suffix&quot;:&quot;&quot;},{&quot;dropping-particle&quot;:&quot;&quot;,&quot;family&quot;:&quot;Sands&quot;,&quot;given&quot;:&quot;B E&quot;,&quot;non-dropping-particle&quot;:&quot;&quot;,&quot;parse-names&quot;:false,&quot;suffix&quot;:&quot;&quot;},{&quot;dropping-particle&quot;:&quot;&quot;,&quot;family&quot;:&quot;Reinisch&quot;,&quot;given&quot;:&quot;W&quot;,&quot;non-dropping-particle&quot;:&quot;&quot;,&quot;parse-names&quot;:false,&quot;suffix&quot;:&quot;&quot;},{&quot;dropping-particle&quot;:&quot;&quot;,&quot;family&quot;:&quot;Bemelman&quot;,&quot;given&quot;:&quot;W&quot;,&quot;non-dropping-particle&quot;:&quot;&quot;,&quot;parse-names&quot;:false,&quot;suffix&quot;:&quot;&quot;},{&quot;dropping-particle&quot;:&quot;V&quot;,&quot;family&quot;:&quot;Bryant&quot;,&quot;given&quot;:&quot;R&quot;,&quot;non-dropping-particle&quot;:&quot;&quot;,&quot;parse-names&quot;:false,&quot;suffix&quot;:&quot;&quot;},{&quot;dropping-particle&quot;:&quot;&quot;,&quot;family&quot;:&quot;D'Haens&quot;,&quot;given&quot;:&quot;G&quot;,&quot;non-dropping-particle&quot;:&quot;&quot;,&quot;parse-names&quot;:false,&quot;suffix&quot;:&quot;&quot;},{&quot;dropping-particle&quot;:&quot;&quot;,&quot;family&quot;:&quot;Dotan&quot;,&quot;given&quot;:&quot;I&quot;,&quot;non-dropping-particle&quot;:&quot;&quot;,&quot;parse-names&quot;:false,&quot;suffix&quot;:&quot;&quot;},{&quot;dropping-particle&quot;:&quot;&quot;,&quot;family&quot;:&quot;Dubinsky&quot;,&quot;given&quot;:&quot;M&quot;,&quot;non-dropping-particle&quot;:&quot;&quot;,&quot;parse-names&quot;:false,&quot;suffix&quot;:&quot;&quot;},{&quot;dropping-particle&quot;:&quot;&quot;,&quot;family&quot;:&quot;Feagan&quot;,&quot;given&quot;:&quot;B&quot;,&quot;non-dropping-particle&quot;:&quot;&quot;,&quot;parse-names&quot;:false,&quot;suffix&quot;:&quot;&quot;},{&quot;dropping-particle&quot;:&quot;&quot;,&quot;family&quot;:&quot;Fiorino&quot;,&quot;given&quot;:&quot;G&quot;,&quot;non-dropping-particle&quot;:&quot;&quot;,&quot;parse-names&quot;:false,&quot;suffix&quot;:&quot;&quot;},{&quot;dropping-particle&quot;:&quot;&quot;,&quot;family&quot;:&quot;Gearry&quot;,&quot;given&quot;:&quot;R&quot;,&quot;non-dropping-particle&quot;:&quot;&quot;,&quot;parse-names&quot;:false,&quot;suffix&quot;:&quot;&quot;},{&quot;dropping-particle&quot;:&quot;&quot;,&quot;family&quot;:&quot;Krishnareddy&quot;,&quot;given&quot;:&quot;S&quot;,&quot;non-dropping-particle&quot;:&quot;&quot;,&quot;parse-names&quot;:false,&quot;suffix&quot;:&quot;&quot;},{&quot;dropping-particle&quot;:&quot;&quot;,&quot;family&quot;:&quot;Lakatos&quot;,&quot;given&quot;:&quot;P L&quot;,&quot;non-dropping-particle&quot;:&quot;&quot;,&quot;parse-names&quot;:false,&quot;suffix&quot;:&quot;&quot;},{&quot;dropping-particle&quot;:&quot;&quot;,&quot;family&quot;:&quot;Loftus&quot;,&quot;given&quot;:&quot;E V Jr&quot;,&quot;non-dropping-particle&quot;:&quot;&quot;,&quot;parse-names&quot;:false,&quot;suffix&quot;:&quot;&quot;},{&quot;dropping-particle&quot;:&quot;&quot;,&quot;family&quot;:&quot;Marteau&quot;,&quot;given&quot;:&quot;P&quot;,&quot;non-dropping-particle&quot;:&quot;&quot;,&quot;parse-names&quot;:false,&quot;suffix&quot;:&quot;&quot;},{&quot;dropping-particle&quot;:&quot;&quot;,&quot;family&quot;:&quot;Munkholm&quot;,&quot;given&quot;:&quot;P&quot;,&quot;non-dropping-particle&quot;:&quot;&quot;,&quot;parse-names&quot;:false,&quot;suffix&quot;:&quot;&quot;},{&quot;dropping-particle&quot;:&quot;&quot;,&quot;family&quot;:&quot;Murdoch&quot;,&quot;given&quot;:&quot;T B&quot;,&quot;non-dropping-particle&quot;:&quot;&quot;,&quot;parse-names&quot;:false,&quot;suffix&quot;:&quot;&quot;},{&quot;dropping-particle&quot;:&quot;&quot;,&quot;family&quot;:&quot;Ordás&quot;,&quot;given&quot;:&quot;I&quot;,&quot;non-dropping-particle&quot;:&quot;&quot;,&quot;parse-names&quot;:false,&quot;suffix&quot;:&quot;&quot;},{&quot;dropping-particle&quot;:&quot;&quot;,&quot;family&quot;:&quot;Panaccione&quot;,&quot;given&quot;:&quot;R&quot;,&quot;non-dropping-particle&quot;:&quot;&quot;,&quot;parse-names&quot;:false,&quot;suffix&quot;:&quot;&quot;},{&quot;dropping-particle&quot;:&quot;&quot;,&quot;family&quot;:&quot;Riddell&quot;,&quot;given&quot;:&quot;R H&quot;,&quot;non-dropping-particle&quot;:&quot;&quot;,&quot;parse-names&quot;:false,&quot;suffix&quot;:&quot;&quot;},{&quot;dropping-particle&quot;:&quot;&quot;,&quot;family&quot;:&quot;Ruel&quot;,&quot;given&quot;:&quot;J&quot;,&quot;non-dropping-particle&quot;:&quot;&quot;,&quot;parse-names&quot;:false,&quot;suffix&quot;:&quot;&quot;},{&quot;dropping-particle&quot;:&quot;&quot;,&quot;family&quot;:&quot;Rubin&quot;,&quot;given&quot;:&quot;D T&quot;,&quot;non-dropping-particle&quot;:&quot;&quot;,&quot;parse-names&quot;:false,&quot;suffix&quot;:&quot;&quot;},{&quot;dropping-particle&quot;:&quot;&quot;,&quot;family&quot;:&quot;Samaan&quot;,&quot;given&quot;:&quot;M&quot;,&quot;non-dropping-particle&quot;:&quot;&quot;,&quot;parse-names&quot;:false,&quot;suffix&quot;:&quot;&quot;},{&quot;dropping-particle&quot;:&quot;&quot;,&quot;family&quot;:&quot;Siegel&quot;,&quot;given&quot;:&quot;C A&quot;,&quot;non-dropping-particle&quot;:&quot;&quot;,&quot;parse-names&quot;:false,&quot;suffix&quot;:&quot;&quot;},{&quot;dropping-particle&quot;:&quot;&quot;,&quot;family&quot;:&quot;Silverberg&quot;,&quot;given&quot;:&quot;M S&quot;,&quot;non-dropping-particle&quot;:&quot;&quot;,&quot;parse-names&quot;:false,&quot;suffix&quot;:&quot;&quot;},{&quot;dropping-particle&quot;:&quot;&quot;,&quot;family&quot;:&quot;Stoker&quot;,&quot;given&quot;:&quot;J&quot;,&quot;non-dropping-particle&quot;:&quot;&quot;,&quot;parse-names&quot;:false,&quot;suffix&quot;:&quot;&quot;},{&quot;dropping-particle&quot;:&quot;&quot;,&quot;family&quot;:&quot;Schreiber&quot;,&quot;given&quot;:&quot;S&quot;,&quot;non-dropping-particle&quot;:&quot;&quot;,&quot;parse-names&quot;:false,&quot;suffix&quot;:&quot;&quot;},{&quot;dropping-particle&quot;:&quot;&quot;,&quot;family&quot;:&quot;Travis&quot;,&quot;given&quot;:&quot;S&quot;,&quot;non-dropping-particle&quot;:&quot;&quot;,&quot;parse-names&quot;:false,&quot;suffix&quot;:&quot;&quot;},{&quot;dropping-particle&quot;:&quot;&quot;,&quot;family&quot;:&quot;Assche&quot;,&quot;given&quot;:&quot;G&quot;,&quot;non-dropping-particle&quot;:&quot;Van&quot;,&quot;parse-names&quot;:false,&quot;suffix&quot;:&quot;&quot;},{&quot;dropping-particle&quot;:&quot;&quot;,&quot;family&quot;:&quot;Danese&quot;,&quot;given&quot;:&quot;S&quot;,&quot;non-dropping-particle&quot;:&quot;&quot;,&quot;parse-names&quot;:false,&quot;suffix&quot;:&quot;&quot;},{&quot;dropping-particle&quot;:&quot;&quot;,&quot;family&quot;:&quot;Panes&quot;,&quot;given&quot;:&quot;J&quot;,&quot;non-dropping-particle&quot;:&quot;&quot;,&quot;parse-names&quot;:false,&quot;suffix&quot;:&quot;&quot;},{&quot;dropping-particle&quot;:&quot;&quot;,&quot;family&quot;:&quot;Bouguen&quot;,&quot;given&quot;:&quot;G&quot;,&quot;non-dropping-particle&quot;:&quot;&quot;,&quot;parse-names&quot;:false,&quot;suffix&quot;:&quot;&quot;},{&quot;dropping-particle&quot;:&quot;&quot;,&quot;family&quot;:&quot;O'Donnell&quot;,&quot;given&quot;:&quot;S&quot;,&quot;non-dropping-particle&quot;:&quot;&quot;,&quot;parse-names&quot;:false,&quot;suffix&quot;:&quot;&quot;},{&quot;dropping-particle&quot;:&quot;&quot;,&quot;family&quot;:&quot;Pariente&quot;,&quot;given&quot;:&quot;B&quot;,&quot;non-dropping-particle&quot;:&quot;&quot;,&quot;parse-names&quot;:false,&quot;suffix&quot;:&quot;&quot;},{&quot;dropping-particle&quot;:&quot;&quot;,&quot;family&quot;:&quot;Winer&quot;,&quot;given&quot;:&quot;S&quot;,&quot;non-dropping-particle&quot;:&quot;&quot;,&quot;parse-names&quot;:false,&quot;suffix&quot;:&quot;&quot;},{&quot;dropping-particle&quot;:&quot;&quot;,&quot;family&quot;:&quot;Hanauer&quot;,&quot;given&quot;:&quot;S&quot;,&quot;non-dropping-particle&quot;:&quot;&quot;,&quot;parse-names&quot;:false,&quot;suffix&quot;:&quot;&quot;},{&quot;dropping-particle&quot;:&quot;&quot;,&quot;family&quot;:&quot;Colombel&quot;,&quot;given&quot;:&quot;J-F&quot;,&quot;non-dropping-particle&quot;:&quot;&quot;,&quot;parse-names&quot;:false,&quot;suffix&quot;:&quot;&quot;}],&quot;container-title&quot;:&quot;The American journal of gastroenterology&quot;,&quot;id&quot;:&quot;5f03044c-6d62-3c91-862c-12ad98a5c994&quot;,&quot;issue&quot;:&quot;9&quot;,&quot;issued&quot;:{&quot;date-parts&quot;:[[&quot;2015&quot;,&quot;9&quot;]]},&quot;language&quot;:&quot;eng&quot;,&quot;page&quot;:&quot;1324-1338&quot;,&quot;publisher-place&quot;:&quot;United States&quot;,&quot;title&quot;:&quot;Selecting Therapeutic Targets in Inflammatory Bowel Disease (STRIDE): Determining  Therapeutic Goals for Treat-to-Target.&quot;,&quot;type&quot;:&quot;article-journal&quot;,&quot;volume&quot;:&quot;110&quot;,&quot;container-title-short&quot;:&quot;Am J Gastroenterol&quot;},&quot;uris&quot;:[&quot;http://www.mendeley.com/documents/?uuid=121964cb-7b0f-45e5-9416-ceccb32bfe7c&quot;],&quot;isTemporary&quot;:false,&quot;legacyDesktopId&quot;:&quot;121964cb-7b0f-45e5-9416-ceccb32bfe7c&quot;},{&quot;id&quot;:&quot;ee0335e4-4aa5-3214-8a5c-ecf0e0e30e8a&quot;,&quot;itemData&quot;:{&quot;DOI&quot;:&quot;10.1053/j.gastro.2020.12.031&quot;,&quot;ISSN&quot;:&quot;1528-0012 (Electronic)&quot;,&quot;PMID&quot;:&quot;33359090&quot;,&quot;abstract&quot;:&quot;BACKGROUND: The Selecting Therapeutic Targets in Inflammatory Bowel Disease (STRIDE)  initiative of the International Organization for the Study of Inflammatory Bowel Diseases (IOIBD) has proposed treatment targets in 2015 for adult patients with inflammatory bowel disease (IBD). We aimed to update the original STRIDE statements for incorporating treatment targets in both adult and pediatric IBD. METHODS: Based on a systematic review of the literature and iterative surveys of 89 IOIBD members, recommendations were drafted and modified in 2 surveys and 2 voting rounds. Consensus was reached if ≥75% of participants scored the recommendation as 7 to 10 on a 10-point rating scale. RESULTS: In the systematic review, 11,278 manuscripts were screened, of which 435 were included. The first IOIBD survey identified the following targets as most important: clinical response and remission, endoscopic healing, and normalization of C-reactive protein/erythrocyte sedimentation rate and calprotectin. Fifteen recommendations were identified, of which 13 were endorsed. STRIDE-II confirmed STRIDE-I long-term targets of clinical remission and endoscopic healing and added absence of disability, restoration of quality of life, and normal growth in children. Symptomatic relief and normalization of serum and fecal markers have been determined as short-term targets. Transmural healing in Crohn's disease and histological healing in ulcerative colitis are not formal targets but should be assessed as measures of the remission depth. CONCLUSIONS: STRIDE-II encompasses evidence- and consensus-based recommendations for treat-to-target strategies in adults and children with IBD. This frameworkshould be adapted to individual patients and local resources to improve outcomes.&quot;,&quot;author&quot;:[{&quot;dropping-particle&quot;:&quot;&quot;,&quot;family&quot;:&quot;Turner&quot;,&quot;given&quot;:&quot;Dan&quot;,&quot;non-dropping-particle&quot;:&quot;&quot;,&quot;parse-names&quot;:false,&quot;suffix&quot;:&quot;&quot;},{&quot;dropping-particle&quot;:&quot;&quot;,&quot;family&quot;:&quot;Ricciuto&quot;,&quot;given&quot;:&quot;Amanda&quot;,&quot;non-dropping-particle&quot;:&quot;&quot;,&quot;parse-names&quot;:false,&quot;suffix&quot;:&quot;&quot;},{&quot;dropping-particle&quot;:&quot;&quot;,&quot;family&quot;:&quot;Lewis&quot;,&quot;given&quot;:&quot;Ayanna&quot;,&quot;non-dropping-particle&quot;:&quot;&quot;,&quot;parse-names&quot;:false,&quot;suffix&quot;:&quot;&quot;},{&quot;dropping-particle&quot;:&quot;&quot;,&quot;family&quot;:&quot;D'Amico&quot;,&quot;given&quot;:&quot;Ferdinando&quot;,&quot;non-dropping-particle&quot;:&quot;&quot;,&quot;parse-names&quot;:false,&quot;suffix&quot;:&quot;&quot;},{&quot;dropping-particle&quot;:&quot;&quot;,&quot;family&quot;:&quot;Dhaliwal&quot;,&quot;given&quot;:&quot;Jasbir&quot;,&quot;non-dropping-particle&quot;:&quot;&quot;,&quot;parse-names&quot;:false,&quot;suffix&quot;:&quot;&quot;},{&quot;dropping-particle&quot;:&quot;&quot;,&quot;family&quot;:&quot;Griffiths&quot;,&quot;given&quot;:&quot;Anne M&quot;,&quot;non-dropping-particle&quot;:&quot;&quot;,&quot;parse-names&quot;:false,&quot;suffix&quot;:&quot;&quot;},{&quot;dropping-particle&quot;:&quot;&quot;,&quot;family&quot;:&quot;Bettenworth&quot;,&quot;given&quot;:&quot;Dominik&quot;,&quot;non-dropping-particle&quot;:&quot;&quot;,&quot;parse-names&quot;:false,&quot;suffix&quot;:&quot;&quot;},{&quot;dropping-particle&quot;:&quot;&quot;,&quot;family&quot;:&quot;Sandborn&quot;,&quot;given&quot;:&quot;William J&quot;,&quot;non-dropping-particle&quot;:&quot;&quot;,&quot;parse-names&quot;:false,&quot;suffix&quot;:&quot;&quot;},{&quot;dropping-particle&quot;:&quot;&quot;,&quot;family&quot;:&quot;Sands&quot;,&quot;given&quot;:&quot;Bruce E&quot;,&quot;non-dropping-particle&quot;:&quot;&quot;,&quot;parse-names&quot;:false,&quot;suffix&quot;:&quot;&quot;},{&quot;dropping-particle&quot;:&quot;&quot;,&quot;family&quot;:&quot;Reinisch&quot;,&quot;given&quot;:&quot;Walter&quot;,&quot;non-dropping-particle&quot;:&quot;&quot;,&quot;parse-names&quot;:false,&quot;suffix&quot;:&quot;&quot;},{&quot;dropping-particle&quot;:&quot;&quot;,&quot;family&quot;:&quot;Schölmerich&quot;,&quot;given&quot;:&quot;Jürgen&quot;,&quot;non-dropping-particle&quot;:&quot;&quot;,&quot;parse-names&quot;:false,&quot;suffix&quot;:&quot;&quot;},{&quot;dropping-particle&quot;:&quot;&quot;,&quot;family&quot;:&quot;Bemelman&quot;,&quot;given&quot;:&quot;Willem&quot;,&quot;non-dropping-particle&quot;:&quot;&quot;,&quot;parse-names&quot;:false,&quot;suffix&quot;:&quot;&quot;},{&quot;dropping-particle&quot;:&quot;&quot;,&quot;family&quot;:&quot;Danese&quot;,&quot;given&quot;:&quot;Silvio&quot;,&quot;non-dropping-particle&quot;:&quot;&quot;,&quot;parse-names&quot;:false,&quot;suffix&quot;:&quot;&quot;},{&quot;dropping-particle&quot;:&quot;&quot;,&quot;family&quot;:&quot;Mary&quot;,&quot;given&quot;:&quot;Jean Yves&quot;,&quot;non-dropping-particle&quot;:&quot;&quot;,&quot;parse-names&quot;:false,&quot;suffix&quot;:&quot;&quot;},{&quot;dropping-particle&quot;:&quot;&quot;,&quot;family&quot;:&quot;Rubin&quot;,&quot;given&quot;:&quot;David&quot;,&quot;non-dropping-particle&quot;:&quot;&quot;,&quot;parse-names&quot;:false,&quot;suffix&quot;:&quot;&quot;},{&quot;dropping-particle&quot;:&quot;&quot;,&quot;family&quot;:&quot;Colombel&quot;,&quot;given&quot;:&quot;Jean-Frederic&quot;,&quot;non-dropping-particle&quot;:&quot;&quot;,&quot;parse-names&quot;:false,&quot;suffix&quot;:&quot;&quot;},{&quot;dropping-particle&quot;:&quot;&quot;,&quot;family&quot;:&quot;Peyrin-Biroulet&quot;,&quot;given&quot;:&quot;Laurent&quot;,&quot;non-dropping-particle&quot;:&quot;&quot;,&quot;parse-names&quot;:false,&quot;suffix&quot;:&quot;&quot;},{&quot;dropping-particle&quot;:&quot;&quot;,&quot;family&quot;:&quot;Dotan&quot;,&quot;given&quot;:&quot;Iris&quot;,&quot;non-dropping-particle&quot;:&quot;&quot;,&quot;parse-names&quot;:false,&quot;suffix&quot;:&quot;&quot;},{&quot;dropping-particle&quot;:&quot;&quot;,&quot;family&quot;:&quot;Abreu&quot;,&quot;given&quot;:&quot;Maria T&quot;,&quot;non-dropping-particle&quot;:&quot;&quot;,&quot;parse-names&quot;:false,&quot;suffix&quot;:&quot;&quot;},{&quot;dropping-particle&quot;:&quot;&quot;,&quot;family&quot;:&quot;Dignass&quot;,&quot;given&quot;:&quot;Axel&quot;,&quot;non-dropping-particle&quot;:&quot;&quot;,&quot;parse-names&quot;:false,&quot;suffix&quot;:&quot;&quot;}],&quot;container-title&quot;:&quot;Gastroenterology&quot;,&quot;id&quot;:&quot;ee0335e4-4aa5-3214-8a5c-ecf0e0e30e8a&quot;,&quot;issue&quot;:&quot;5&quot;,&quot;issued&quot;:{&quot;date-parts&quot;:[[&quot;2021&quot;,&quot;4&quot;]]},&quot;language&quot;:&quot;eng&quot;,&quot;page&quot;:&quot;1570-1583&quot;,&quot;publisher-place&quot;:&quot;United States&quot;,&quot;title&quot;:&quot;STRIDE-II: An Update on the Selecting Therapeutic Targets in Inflammatory Bowel  Disease (STRIDE) Initiative of the International Organization for the Study of IBD (IOIBD): Determining Therapeutic Goals for Treat-to-Target strategies in IBD.&quot;,&quot;type&quot;:&quot;article-journal&quot;,&quot;volume&quot;:&quot;160&quot;,&quot;container-title-short&quot;:&quot;Gastroenterology&quot;},&quot;uris&quot;:[&quot;http://www.mendeley.com/documents/?uuid=fe060cf3-41c2-4d33-9ebd-732ef2a8ad37&quot;],&quot;isTemporary&quot;:false,&quot;legacyDesktopId&quot;:&quot;fe060cf3-41c2-4d33-9ebd-732ef2a8ad37&quot;}]},{&quot;citationID&quot;:&quot;MENDELEY_CITATION_e8aeb35a-7c27-45fb-a9c2-ba79dc1097b7&quot;,&quot;properties&quot;:{&quot;noteIndex&quot;:0},&quot;isEdited&quot;:false,&quot;manualOverride&quot;:{&quot;citeprocText&quot;:&quot;[4,5]&quot;,&quot;isManuallyOverridden&quot;:false,&quot;manualOverrideText&quot;:&quot;&quot;},&quot;citationTag&quot;:&quot;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&quot;,&quot;citationItems&quot;:[{&quot;id&quot;:&quot;ee0335e4-4aa5-3214-8a5c-ecf0e0e30e8a&quot;,&quot;itemData&quot;:{&quot;DOI&quot;:&quot;10.1053/j.gastro.2020.12.031&quot;,&quot;ISSN&quot;:&quot;1528-0012 (Electronic)&quot;,&quot;PMID&quot;:&quot;33359090&quot;,&quot;abstract&quot;:&quot;BACKGROUND: The Selecting Therapeutic Targets in Inflammatory Bowel Disease (STRIDE)  initiative of the International Organization for the Study of Inflammatory Bowel Diseases (IOIBD) has proposed treatment targets in 2015 for adult patients with inflammatory bowel disease (IBD). We aimed to update the original STRIDE statements for incorporating treatment targets in both adult and pediatric IBD. METHODS: Based on a systematic review of the literature and iterative surveys of 89 IOIBD members, recommendations were drafted and modified in 2 surveys and 2 voting rounds. Consensus was reached if ≥75% of participants scored the recommendation as 7 to 10 on a 10-point rating scale. RESULTS: In the systematic review, 11,278 manuscripts were screened, of which 435 were included. The first IOIBD survey identified the following targets as most important: clinical response and remission, endoscopic healing, and normalization of C-reactive protein/erythrocyte sedimentation rate and calprotectin. Fifteen recommendations were identified, of which 13 were endorsed. STRIDE-II confirmed STRIDE-I long-term targets of clinical remission and endoscopic healing and added absence of disability, restoration of quality of life, and normal growth in children. Symptomatic relief and normalization of serum and fecal markers have been determined as short-term targets. Transmural healing in Crohn's disease and histological healing in ulcerative colitis are not formal targets but should be assessed as measures of the remission depth. CONCLUSIONS: STRIDE-II encompasses evidence- and consensus-based recommendations for treat-to-target strategies in adults and children with IBD. This frameworkshould be adapted to individual patients and local resources to improve outcomes.&quot;,&quot;author&quot;:[{&quot;dropping-particle&quot;:&quot;&quot;,&quot;family&quot;:&quot;Turner&quot;,&quot;given&quot;:&quot;Dan&quot;,&quot;non-dropping-particle&quot;:&quot;&quot;,&quot;parse-names&quot;:false,&quot;suffix&quot;:&quot;&quot;},{&quot;dropping-particle&quot;:&quot;&quot;,&quot;family&quot;:&quot;Ricciuto&quot;,&quot;given&quot;:&quot;Amanda&quot;,&quot;non-dropping-particle&quot;:&quot;&quot;,&quot;parse-names&quot;:false,&quot;suffix&quot;:&quot;&quot;},{&quot;dropping-particle&quot;:&quot;&quot;,&quot;family&quot;:&quot;Lewis&quot;,&quot;given&quot;:&quot;Ayanna&quot;,&quot;non-dropping-particle&quot;:&quot;&quot;,&quot;parse-names&quot;:false,&quot;suffix&quot;:&quot;&quot;},{&quot;dropping-particle&quot;:&quot;&quot;,&quot;family&quot;:&quot;D'Amico&quot;,&quot;given&quot;:&quot;Ferdinando&quot;,&quot;non-dropping-particle&quot;:&quot;&quot;,&quot;parse-names&quot;:false,&quot;suffix&quot;:&quot;&quot;},{&quot;dropping-particle&quot;:&quot;&quot;,&quot;family&quot;:&quot;Dhaliwal&quot;,&quot;given&quot;:&quot;Jasbir&quot;,&quot;non-dropping-particle&quot;:&quot;&quot;,&quot;parse-names&quot;:false,&quot;suffix&quot;:&quot;&quot;},{&quot;dropping-particle&quot;:&quot;&quot;,&quot;family&quot;:&quot;Griffiths&quot;,&quot;given&quot;:&quot;Anne M&quot;,&quot;non-dropping-particle&quot;:&quot;&quot;,&quot;parse-names&quot;:false,&quot;suffix&quot;:&quot;&quot;},{&quot;dropping-particle&quot;:&quot;&quot;,&quot;family&quot;:&quot;Bettenworth&quot;,&quot;given&quot;:&quot;Dominik&quot;,&quot;non-dropping-particle&quot;:&quot;&quot;,&quot;parse-names&quot;:false,&quot;suffix&quot;:&quot;&quot;},{&quot;dropping-particle&quot;:&quot;&quot;,&quot;family&quot;:&quot;Sandborn&quot;,&quot;given&quot;:&quot;William J&quot;,&quot;non-dropping-particle&quot;:&quot;&quot;,&quot;parse-names&quot;:false,&quot;suffix&quot;:&quot;&quot;},{&quot;dropping-particle&quot;:&quot;&quot;,&quot;family&quot;:&quot;Sands&quot;,&quot;given&quot;:&quot;Bruce E&quot;,&quot;non-dropping-particle&quot;:&quot;&quot;,&quot;parse-names&quot;:false,&quot;suffix&quot;:&quot;&quot;},{&quot;dropping-particle&quot;:&quot;&quot;,&quot;family&quot;:&quot;Reinisch&quot;,&quot;given&quot;:&quot;Walter&quot;,&quot;non-dropping-particle&quot;:&quot;&quot;,&quot;parse-names&quot;:false,&quot;suffix&quot;:&quot;&quot;},{&quot;dropping-particle&quot;:&quot;&quot;,&quot;family&quot;:&quot;Schölmerich&quot;,&quot;given&quot;:&quot;Jürgen&quot;,&quot;non-dropping-particle&quot;:&quot;&quot;,&quot;parse-names&quot;:false,&quot;suffix&quot;:&quot;&quot;},{&quot;dropping-particle&quot;:&quot;&quot;,&quot;family&quot;:&quot;Bemelman&quot;,&quot;given&quot;:&quot;Willem&quot;,&quot;non-dropping-particle&quot;:&quot;&quot;,&quot;parse-names&quot;:false,&quot;suffix&quot;:&quot;&quot;},{&quot;dropping-particle&quot;:&quot;&quot;,&quot;family&quot;:&quot;Danese&quot;,&quot;given&quot;:&quot;Silvio&quot;,&quot;non-dropping-particle&quot;:&quot;&quot;,&quot;parse-names&quot;:false,&quot;suffix&quot;:&quot;&quot;},{&quot;dropping-particle&quot;:&quot;&quot;,&quot;family&quot;:&quot;Mary&quot;,&quot;given&quot;:&quot;Jean Yves&quot;,&quot;non-dropping-particle&quot;:&quot;&quot;,&quot;parse-names&quot;:false,&quot;suffix&quot;:&quot;&quot;},{&quot;dropping-particle&quot;:&quot;&quot;,&quot;family&quot;:&quot;Rubin&quot;,&quot;given&quot;:&quot;David&quot;,&quot;non-dropping-particle&quot;:&quot;&quot;,&quot;parse-names&quot;:false,&quot;suffix&quot;:&quot;&quot;},{&quot;dropping-particle&quot;:&quot;&quot;,&quot;family&quot;:&quot;Colombel&quot;,&quot;given&quot;:&quot;Jean-Frederic&quot;,&quot;non-dropping-particle&quot;:&quot;&quot;,&quot;parse-names&quot;:false,&quot;suffix&quot;:&quot;&quot;},{&quot;dropping-particle&quot;:&quot;&quot;,&quot;family&quot;:&quot;Peyrin-Biroulet&quot;,&quot;given&quot;:&quot;Laurent&quot;,&quot;non-dropping-particle&quot;:&quot;&quot;,&quot;parse-names&quot;:false,&quot;suffix&quot;:&quot;&quot;},{&quot;dropping-particle&quot;:&quot;&quot;,&quot;family&quot;:&quot;Dotan&quot;,&quot;given&quot;:&quot;Iris&quot;,&quot;non-dropping-particle&quot;:&quot;&quot;,&quot;parse-names&quot;:false,&quot;suffix&quot;:&quot;&quot;},{&quot;dropping-particle&quot;:&quot;&quot;,&quot;family&quot;:&quot;Abreu&quot;,&quot;given&quot;:&quot;Maria T&quot;,&quot;non-dropping-particle&quot;:&quot;&quot;,&quot;parse-names&quot;:false,&quot;suffix&quot;:&quot;&quot;},{&quot;dropping-particle&quot;:&quot;&quot;,&quot;family&quot;:&quot;Dignass&quot;,&quot;given&quot;:&quot;Axel&quot;,&quot;non-dropping-particle&quot;:&quot;&quot;,&quot;parse-names&quot;:false,&quot;suffix&quot;:&quot;&quot;}],&quot;container-title&quot;:&quot;Gastroenterology&quot;,&quot;id&quot;:&quot;ee0335e4-4aa5-3214-8a5c-ecf0e0e30e8a&quot;,&quot;issue&quot;:&quot;5&quot;,&quot;issued&quot;:{&quot;date-parts&quot;:[[&quot;2021&quot;,&quot;4&quot;]]},&quot;language&quot;:&quot;eng&quot;,&quot;page&quot;:&quot;1570-1583&quot;,&quot;publisher-place&quot;:&quot;United States&quot;,&quot;title&quot;:&quot;STRIDE-II: An Update on the Selecting Therapeutic Targets in Inflammatory Bowel  Disease (STRIDE) Initiative of the International Organization for the Study of IBD (IOIBD): Determining Therapeutic Goals for Treat-to-Target strategies in IBD.&quot;,&quot;type&quot;:&quot;article-journal&quot;,&quot;volume&quot;:&quot;160&quot;,&quot;container-title-short&quot;:&quot;Gastroenterology&quot;},&quot;uris&quot;:[&quot;http://www.mendeley.com/documents/?uuid=fe060cf3-41c2-4d33-9ebd-732ef2a8ad37&quot;],&quot;isTemporary&quot;:false,&quot;legacyDesktopId&quot;:&quot;fe060cf3-41c2-4d33-9ebd-732ef2a8ad37&quot;},{&quot;id&quot;:&quot;5f03044c-6d62-3c91-862c-12ad98a5c994&quot;,&quot;itemData&quot;:{&quot;DOI&quot;:&quot;10.1038/ajg.2015.233&quot;,&quot;ISSN&quot;:&quot;1572-0241 (Electronic)&quot;,&quot;PMID&quot;:&quot;26303131&quot;,&quot;abstract&quot;:&quot;OBJECTIVES: The Selecting Therapeutic Targets in Inflammatory Bowel Disease (STRIDE)  program was initiated by the International Organization for the Study of Inflammatory Bowel Diseases (IOIBD). It examined potential treatment targets for inflammatory bowel disease (IBD) to be used for a \&quot;treat-to-target\&quot; clinical management strategy using an evidence-based expert consensus process. METHODS: A Steering Committee of 28 IBD specialists developed recommendations based on a systematic literature review and expert opinion. Consensus was gained if ≥75% of participants scored the recommendation as 7-10 on a 10-point rating scale (where 10=agree completely). RESULTS: The group agreed upon 12 recommendations for ulcerative colitis (UC) and Crohn's disease (CD). The agreed target for UC was clinical/patient-reported outcome (PRO) remission (defined as resolution of rectal bleeding and diarrhea/altered bowel habit) and endoscopic remission (defined as a Mayo endoscopic subscore of 0-1). Histological remission was considered as an adjunctive goal. Clinical/PRO remission was also agreed upon as a target for CD and defined as resolution of abdominal pain and diarrhea/altered bowel habit; and endoscopic remission, defined as resolution of ulceration at ileocolonoscopy, or resolution of findings of inflammation on cross-sectional imaging in patients who cannot be adequately assessed with ileocolonoscopy. Biomarker remission (normal C-reactive protein (CRP) and calprotectin) was considered as an adjunctive target. CONCLUSIONS: Evidence- and consensus-based recommendations for selecting the goals for treat-to-target strategies in patients with IBD are made available. Prospective studies are needed to determine how these targets will change disease course and patients' quality of life.&quot;,&quot;author&quot;:[{&quot;dropping-particle&quot;:&quot;&quot;,&quot;family&quot;:&quot;Peyrin-Biroulet&quot;,&quot;given&quot;:&quot;L&quot;,&quot;non-dropping-particle&quot;:&quot;&quot;,&quot;parse-names&quot;:false,&quot;suffix&quot;:&quot;&quot;},{&quot;dropping-particle&quot;:&quot;&quot;,&quot;family&quot;:&quot;Sandborn&quot;,&quot;given&quot;:&quot;W&quot;,&quot;non-dropping-particle&quot;:&quot;&quot;,&quot;parse-names&quot;:false,&quot;suffix&quot;:&quot;&quot;},{&quot;dropping-particle&quot;:&quot;&quot;,&quot;family&quot;:&quot;Sands&quot;,&quot;given&quot;:&quot;B E&quot;,&quot;non-dropping-particle&quot;:&quot;&quot;,&quot;parse-names&quot;:false,&quot;suffix&quot;:&quot;&quot;},{&quot;dropping-particle&quot;:&quot;&quot;,&quot;family&quot;:&quot;Reinisch&quot;,&quot;given&quot;:&quot;W&quot;,&quot;non-dropping-particle&quot;:&quot;&quot;,&quot;parse-names&quot;:false,&quot;suffix&quot;:&quot;&quot;},{&quot;dropping-particle&quot;:&quot;&quot;,&quot;family&quot;:&quot;Bemelman&quot;,&quot;given&quot;:&quot;W&quot;,&quot;non-dropping-particle&quot;:&quot;&quot;,&quot;parse-names&quot;:false,&quot;suffix&quot;:&quot;&quot;},{&quot;dropping-particle&quot;:&quot;V&quot;,&quot;family&quot;:&quot;Bryant&quot;,&quot;given&quot;:&quot;R&quot;,&quot;non-dropping-particle&quot;:&quot;&quot;,&quot;parse-names&quot;:false,&quot;suffix&quot;:&quot;&quot;},{&quot;dropping-particle&quot;:&quot;&quot;,&quot;family&quot;:&quot;D'Haens&quot;,&quot;given&quot;:&quot;G&quot;,&quot;non-dropping-particle&quot;:&quot;&quot;,&quot;parse-names&quot;:false,&quot;suffix&quot;:&quot;&quot;},{&quot;dropping-particle&quot;:&quot;&quot;,&quot;family&quot;:&quot;Dotan&quot;,&quot;given&quot;:&quot;I&quot;,&quot;non-dropping-particle&quot;:&quot;&quot;,&quot;parse-names&quot;:false,&quot;suffix&quot;:&quot;&quot;},{&quot;dropping-particle&quot;:&quot;&quot;,&quot;family&quot;:&quot;Dubinsky&quot;,&quot;given&quot;:&quot;M&quot;,&quot;non-dropping-particle&quot;:&quot;&quot;,&quot;parse-names&quot;:false,&quot;suffix&quot;:&quot;&quot;},{&quot;dropping-particle&quot;:&quot;&quot;,&quot;family&quot;:&quot;Feagan&quot;,&quot;given&quot;:&quot;B&quot;,&quot;non-dropping-particle&quot;:&quot;&quot;,&quot;parse-names&quot;:false,&quot;suffix&quot;:&quot;&quot;},{&quot;dropping-particle&quot;:&quot;&quot;,&quot;family&quot;:&quot;Fiorino&quot;,&quot;given&quot;:&quot;G&quot;,&quot;non-dropping-particle&quot;:&quot;&quot;,&quot;parse-names&quot;:false,&quot;suffix&quot;:&quot;&quot;},{&quot;dropping-particle&quot;:&quot;&quot;,&quot;family&quot;:&quot;Gearry&quot;,&quot;given&quot;:&quot;R&quot;,&quot;non-dropping-particle&quot;:&quot;&quot;,&quot;parse-names&quot;:false,&quot;suffix&quot;:&quot;&quot;},{&quot;dropping-particle&quot;:&quot;&quot;,&quot;family&quot;:&quot;Krishnareddy&quot;,&quot;given&quot;:&quot;S&quot;,&quot;non-dropping-particle&quot;:&quot;&quot;,&quot;parse-names&quot;:false,&quot;suffix&quot;:&quot;&quot;},{&quot;dropping-particle&quot;:&quot;&quot;,&quot;family&quot;:&quot;Lakatos&quot;,&quot;given&quot;:&quot;P L&quot;,&quot;non-dropping-particle&quot;:&quot;&quot;,&quot;parse-names&quot;:false,&quot;suffix&quot;:&quot;&quot;},{&quot;dropping-particle&quot;:&quot;&quot;,&quot;family&quot;:&quot;Loftus&quot;,&quot;given&quot;:&quot;E V Jr&quot;,&quot;non-dropping-particle&quot;:&quot;&quot;,&quot;parse-names&quot;:false,&quot;suffix&quot;:&quot;&quot;},{&quot;dropping-particle&quot;:&quot;&quot;,&quot;family&quot;:&quot;Marteau&quot;,&quot;given&quot;:&quot;P&quot;,&quot;non-dropping-particle&quot;:&quot;&quot;,&quot;parse-names&quot;:false,&quot;suffix&quot;:&quot;&quot;},{&quot;dropping-particle&quot;:&quot;&quot;,&quot;family&quot;:&quot;Munkholm&quot;,&quot;given&quot;:&quot;P&quot;,&quot;non-dropping-particle&quot;:&quot;&quot;,&quot;parse-names&quot;:false,&quot;suffix&quot;:&quot;&quot;},{&quot;dropping-particle&quot;:&quot;&quot;,&quot;family&quot;:&quot;Murdoch&quot;,&quot;given&quot;:&quot;T B&quot;,&quot;non-dropping-particle&quot;:&quot;&quot;,&quot;parse-names&quot;:false,&quot;suffix&quot;:&quot;&quot;},{&quot;dropping-particle&quot;:&quot;&quot;,&quot;family&quot;:&quot;Ordás&quot;,&quot;given&quot;:&quot;I&quot;,&quot;non-dropping-particle&quot;:&quot;&quot;,&quot;parse-names&quot;:false,&quot;suffix&quot;:&quot;&quot;},{&quot;dropping-particle&quot;:&quot;&quot;,&quot;family&quot;:&quot;Panaccione&quot;,&quot;given&quot;:&quot;R&quot;,&quot;non-dropping-particle&quot;:&quot;&quot;,&quot;parse-names&quot;:false,&quot;suffix&quot;:&quot;&quot;},{&quot;dropping-particle&quot;:&quot;&quot;,&quot;family&quot;:&quot;Riddell&quot;,&quot;given&quot;:&quot;R H&quot;,&quot;non-dropping-particle&quot;:&quot;&quot;,&quot;parse-names&quot;:false,&quot;suffix&quot;:&quot;&quot;},{&quot;dropping-particle&quot;:&quot;&quot;,&quot;family&quot;:&quot;Ruel&quot;,&quot;given&quot;:&quot;J&quot;,&quot;non-dropping-particle&quot;:&quot;&quot;,&quot;parse-names&quot;:false,&quot;suffix&quot;:&quot;&quot;},{&quot;dropping-particle&quot;:&quot;&quot;,&quot;family&quot;:&quot;Rubin&quot;,&quot;given&quot;:&quot;D T&quot;,&quot;non-dropping-particle&quot;:&quot;&quot;,&quot;parse-names&quot;:false,&quot;suffix&quot;:&quot;&quot;},{&quot;dropping-particle&quot;:&quot;&quot;,&quot;family&quot;:&quot;Samaan&quot;,&quot;given&quot;:&quot;M&quot;,&quot;non-dropping-particle&quot;:&quot;&quot;,&quot;parse-names&quot;:false,&quot;suffix&quot;:&quot;&quot;},{&quot;dropping-particle&quot;:&quot;&quot;,&quot;family&quot;:&quot;Siegel&quot;,&quot;given&quot;:&quot;C A&quot;,&quot;non-dropping-particle&quot;:&quot;&quot;,&quot;parse-names&quot;:false,&quot;suffix&quot;:&quot;&quot;},{&quot;dropping-particle&quot;:&quot;&quot;,&quot;family&quot;:&quot;Silverberg&quot;,&quot;given&quot;:&quot;M S&quot;,&quot;non-dropping-particle&quot;:&quot;&quot;,&quot;parse-names&quot;:false,&quot;suffix&quot;:&quot;&quot;},{&quot;dropping-particle&quot;:&quot;&quot;,&quot;family&quot;:&quot;Stoker&quot;,&quot;given&quot;:&quot;J&quot;,&quot;non-dropping-particle&quot;:&quot;&quot;,&quot;parse-names&quot;:false,&quot;suffix&quot;:&quot;&quot;},{&quot;dropping-particle&quot;:&quot;&quot;,&quot;family&quot;:&quot;Schreiber&quot;,&quot;given&quot;:&quot;S&quot;,&quot;non-dropping-particle&quot;:&quot;&quot;,&quot;parse-names&quot;:false,&quot;suffix&quot;:&quot;&quot;},{&quot;dropping-particle&quot;:&quot;&quot;,&quot;family&quot;:&quot;Travis&quot;,&quot;given&quot;:&quot;S&quot;,&quot;non-dropping-particle&quot;:&quot;&quot;,&quot;parse-names&quot;:false,&quot;suffix&quot;:&quot;&quot;},{&quot;dropping-particle&quot;:&quot;&quot;,&quot;family&quot;:&quot;Assche&quot;,&quot;given&quot;:&quot;G&quot;,&quot;non-dropping-particle&quot;:&quot;Van&quot;,&quot;parse-names&quot;:false,&quot;suffix&quot;:&quot;&quot;},{&quot;dropping-particle&quot;:&quot;&quot;,&quot;family&quot;:&quot;Danese&quot;,&quot;given&quot;:&quot;S&quot;,&quot;non-dropping-particle&quot;:&quot;&quot;,&quot;parse-names&quot;:false,&quot;suffix&quot;:&quot;&quot;},{&quot;dropping-particle&quot;:&quot;&quot;,&quot;family&quot;:&quot;Panes&quot;,&quot;given&quot;:&quot;J&quot;,&quot;non-dropping-particle&quot;:&quot;&quot;,&quot;parse-names&quot;:false,&quot;suffix&quot;:&quot;&quot;},{&quot;dropping-particle&quot;:&quot;&quot;,&quot;family&quot;:&quot;Bouguen&quot;,&quot;given&quot;:&quot;G&quot;,&quot;non-dropping-particle&quot;:&quot;&quot;,&quot;parse-names&quot;:false,&quot;suffix&quot;:&quot;&quot;},{&quot;dropping-particle&quot;:&quot;&quot;,&quot;family&quot;:&quot;O'Donnell&quot;,&quot;given&quot;:&quot;S&quot;,&quot;non-dropping-particle&quot;:&quot;&quot;,&quot;parse-names&quot;:false,&quot;suffix&quot;:&quot;&quot;},{&quot;dropping-particle&quot;:&quot;&quot;,&quot;family&quot;:&quot;Pariente&quot;,&quot;given&quot;:&quot;B&quot;,&quot;non-dropping-particle&quot;:&quot;&quot;,&quot;parse-names&quot;:false,&quot;suffix&quot;:&quot;&quot;},{&quot;dropping-particle&quot;:&quot;&quot;,&quot;family&quot;:&quot;Winer&quot;,&quot;given&quot;:&quot;S&quot;,&quot;non-dropping-particle&quot;:&quot;&quot;,&quot;parse-names&quot;:false,&quot;suffix&quot;:&quot;&quot;},{&quot;dropping-particle&quot;:&quot;&quot;,&quot;family&quot;:&quot;Hanauer&quot;,&quot;given&quot;:&quot;S&quot;,&quot;non-dropping-particle&quot;:&quot;&quot;,&quot;parse-names&quot;:false,&quot;suffix&quot;:&quot;&quot;},{&quot;dropping-particle&quot;:&quot;&quot;,&quot;family&quot;:&quot;Colombel&quot;,&quot;given&quot;:&quot;J-F&quot;,&quot;non-dropping-particle&quot;:&quot;&quot;,&quot;parse-names&quot;:false,&quot;suffix&quot;:&quot;&quot;}],&quot;container-title&quot;:&quot;The American journal of gastroenterology&quot;,&quot;id&quot;:&quot;5f03044c-6d62-3c91-862c-12ad98a5c994&quot;,&quot;issue&quot;:&quot;9&quot;,&quot;issued&quot;:{&quot;date-parts&quot;:[[&quot;2015&quot;,&quot;9&quot;]]},&quot;language&quot;:&quot;eng&quot;,&quot;page&quot;:&quot;1324-1338&quot;,&quot;publisher-place&quot;:&quot;United States&quot;,&quot;title&quot;:&quot;Selecting Therapeutic Targets in Inflammatory Bowel Disease (STRIDE): Determining  Therapeutic Goals for Treat-to-Target.&quot;,&quot;type&quot;:&quot;article-journal&quot;,&quot;volume&quot;:&quot;110&quot;,&quot;container-title-short&quot;:&quot;Am J Gastroenterol&quot;},&quot;uris&quot;:[&quot;http://www.mendeley.com/documents/?uuid=121964cb-7b0f-45e5-9416-ceccb32bfe7c&quot;],&quot;isTemporary&quot;:false,&quot;legacyDesktopId&quot;:&quot;121964cb-7b0f-45e5-9416-ceccb32bfe7c&quot;}]},{&quot;citationID&quot;:&quot;MENDELEY_CITATION_aab2384c-7b76-4419-95b8-9260b4515fd3&quot;,&quot;properties&quot;:{&quot;noteIndex&quot;:0},&quot;isEdited&quot;:false,&quot;manualOverride&quot;:{&quot;citeprocText&quot;:&quot;[6]&quot;,&quot;isManuallyOverridden&quot;:false,&quot;manualOverrideText&quot;:&quot;&quot;},&quot;citationTag&quot;:&quot;MENDELEY_CITATION_v3_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&quot;,&quot;citationItems&quot;:[{&quot;id&quot;:&quot;b9d43156-45f6-3340-b123-1e1b28a39742&quot;,&quot;itemData&quot;:{&quot;DOI&quot;:&quot;10.1016/j.cgh.2013.09.006&quot;,&quot;ISSN&quot;:&quot;1542-7714 (Electronic)&quot;,&quot;PMID&quot;:&quot;24036054&quot;,&quot;abstract&quot;:&quot;The traditional management of Crohn's disease, which is based on progressive,  step-wise treatment intensification with re-evaluation of response according to symptoms, does not improve long-term outcomes of Crohn's disease and places patients at risk for bowel damage. The introduction of novel therapies and the development of new approaches to treatment in rheumatoid arthritis led to better outcomes for patients. Prominent among these is a \&quot;treat to target\&quot; strategy that is based on regular assessment of disease activity by using objective clinical and biological outcome measures and the subsequent adjustment of treatments. This approach is complementary to the concept of early intervention in high-risk patients. This review evaluates current literature on this topic and proposes a definition for the concept of treating to targets for Crohn's disease.&quot;,&quot;author&quot;:[{&quot;dropping-particle&quot;:&quot;&quot;,&quot;family&quot;:&quot;Bouguen&quot;,&quot;given&quot;:&quot;Guillaume&quot;,&quot;non-dropping-particle&quot;:&quot;&quot;,&quot;parse-names&quot;:false,&quot;suffix&quot;:&quot;&quot;},{&quot;dropping-particle&quot;:&quot;&quot;,&quot;family&quot;:&quot;Levesque&quot;,&quot;given&quot;:&quot;Barrett G&quot;,&quot;non-dropping-particle&quot;:&quot;&quot;,&quot;parse-names&quot;:false,&quot;suffix&quot;:&quot;&quot;},{&quot;dropping-particle&quot;:&quot;&quot;,&quot;family&quot;:&quot;Feagan&quot;,&quot;given&quot;:&quot;Brian G&quot;,&quot;non-dropping-particle&quot;:&quot;&quot;,&quot;parse-names&quot;:false,&quot;suffix&quot;:&quot;&quot;},{&quot;dropping-particle&quot;:&quot;&quot;,&quot;family&quot;:&quot;Kavanaugh&quot;,&quot;given&quot;:&quot;Arthur&quot;,&quot;non-dropping-particle&quot;:&quot;&quot;,&quot;parse-names&quot;:false,&quot;suffix&quot;:&quot;&quot;},{&quot;dropping-particle&quot;:&quot;&quot;,&quot;family&quot;:&quot;Peyrin-Biroulet&quot;,&quot;given&quot;:&quot;Laurent&quot;,&quot;non-dropping-particle&quot;:&quot;&quot;,&quot;parse-names&quot;:false,&quot;suffix&quot;:&quot;&quot;},{&quot;dropping-particle&quot;:&quot;&quot;,&quot;family&quot;:&quot;Colombel&quot;,&quot;given&quot;:&quot;Jean-Frederic&quot;,&quot;non-dropping-particle&quot;:&quot;&quot;,&quot;parse-names&quot;:false,&quot;suffix&quot;:&quot;&quot;},{&quot;dropping-particle&quot;:&quot;&quot;,&quot;family&quot;:&quot;Hanauer&quot;,&quot;given&quot;:&quot;Stephen B&quot;,&quot;non-dropping-particle&quot;:&quot;&quot;,&quot;parse-names&quot;:false,&quot;suffix&quot;:&quot;&quot;},{&quot;dropping-particle&quot;:&quot;&quot;,&quot;family&quot;:&quot;Sandborn&quot;,&quot;given&quot;:&quot;William J&quot;,&quot;non-dropping-particle&quot;:&quot;&quot;,&quot;parse-names&quot;:false,&quot;suffix&quot;:&quot;&quot;}],&quot;container-title&quot;:&quot;Clinical gastroenterology and hepatology : the official clinical practice journal of  the American Gastroenterological Association&quot;,&quot;id&quot;:&quot;b9d43156-45f6-3340-b123-1e1b28a39742&quot;,&quot;issue&quot;:&quot;6&quot;,&quot;issued&quot;:{&quot;date-parts&quot;:[[&quot;2015&quot;,&quot;6&quot;]]},&quot;language&quot;:&quot;eng&quot;,&quot;page&quot;:&quot;1042-50.e2&quot;,&quot;publisher-place&quot;:&quot;United States&quot;,&quot;title&quot;:&quot;Treat to target: a proposed new paradigm for the management of Crohn's disease.&quot;,&quot;type&quot;:&quot;article-journal&quot;,&quot;volume&quot;:&quot;13&quot;,&quot;container-title-short&quot;:&quot;Clin Gastroenterol Hepatol&quot;},&quot;uris&quot;:[&quot;http://www.mendeley.com/documents/?uuid=793224a6-375e-460e-ad87-d646c5be640a&quot;],&quot;isTemporary&quot;:false,&quot;legacyDesktopId&quot;:&quot;793224a6-375e-460e-ad87-d646c5be640a&quot;}]},{&quot;citationID&quot;:&quot;MENDELEY_CITATION_e726a4ea-d363-4b2b-83e8-d3065e2792d1&quot;,&quot;properties&quot;:{&quot;noteIndex&quot;:0},&quot;isEdited&quot;:false,&quot;manualOverride&quot;:{&quot;citeprocText&quot;:&quot;[4]&quot;,&quot;isManuallyOverridden&quot;:false,&quot;manualOverrideText&quot;:&quot;&quot;},&quot;citationTag&quot;:&quot;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&quot;,&quot;citationItems&quot;:[{&quot;id&quot;:&quot;5f03044c-6d62-3c91-862c-12ad98a5c994&quot;,&quot;itemData&quot;:{&quot;DOI&quot;:&quot;10.1038/ajg.2015.233&quot;,&quot;ISSN&quot;:&quot;1572-0241 (Electronic)&quot;,&quot;PMID&quot;:&quot;26303131&quot;,&quot;abstract&quot;:&quot;OBJECTIVES: The Selecting Therapeutic Targets in Inflammatory Bowel Disease (STRIDE)  program was initiated by the International Organization for the Study of Inflammatory Bowel Diseases (IOIBD). It examined potential treatment targets for inflammatory bowel disease (IBD) to be used for a \&quot;treat-to-target\&quot; clinical management strategy using an evidence-based expert consensus process. METHODS: A Steering Committee of 28 IBD specialists developed recommendations based on a systematic literature review and expert opinion. Consensus was gained if ≥75% of participants scored the recommendation as 7-10 on a 10-point rating scale (where 10=agree completely). RESULTS: The group agreed upon 12 recommendations for ulcerative colitis (UC) and Crohn's disease (CD). The agreed target for UC was clinical/patient-reported outcome (PRO) remission (defined as resolution of rectal bleeding and diarrhea/altered bowel habit) and endoscopic remission (defined as a Mayo endoscopic subscore of 0-1). Histological remission was considered as an adjunctive goal. Clinical/PRO remission was also agreed upon as a target for CD and defined as resolution of abdominal pain and diarrhea/altered bowel habit; and endoscopic remission, defined as resolution of ulceration at ileocolonoscopy, or resolution of findings of inflammation on cross-sectional imaging in patients who cannot be adequately assessed with ileocolonoscopy. Biomarker remission (normal C-reactive protein (CRP) and calprotectin) was considered as an adjunctive target. CONCLUSIONS: Evidence- and consensus-based recommendations for selecting the goals for treat-to-target strategies in patients with IBD are made available. Prospective studies are needed to determine how these targets will change disease course and patients' quality of life.&quot;,&quot;author&quot;:[{&quot;dropping-particle&quot;:&quot;&quot;,&quot;family&quot;:&quot;Peyrin-Biroulet&quot;,&quot;given&quot;:&quot;L&quot;,&quot;non-dropping-particle&quot;:&quot;&quot;,&quot;parse-names&quot;:false,&quot;suffix&quot;:&quot;&quot;},{&quot;dropping-particle&quot;:&quot;&quot;,&quot;family&quot;:&quot;Sandborn&quot;,&quot;given&quot;:&quot;W&quot;,&quot;non-dropping-particle&quot;:&quot;&quot;,&quot;parse-names&quot;:false,&quot;suffix&quot;:&quot;&quot;},{&quot;dropping-particle&quot;:&quot;&quot;,&quot;family&quot;:&quot;Sands&quot;,&quot;given&quot;:&quot;B E&quot;,&quot;non-dropping-particle&quot;:&quot;&quot;,&quot;parse-names&quot;:false,&quot;suffix&quot;:&quot;&quot;},{&quot;dropping-particle&quot;:&quot;&quot;,&quot;family&quot;:&quot;Reinisch&quot;,&quot;given&quot;:&quot;W&quot;,&quot;non-dropping-particle&quot;:&quot;&quot;,&quot;parse-names&quot;:false,&quot;suffix&quot;:&quot;&quot;},{&quot;dropping-particle&quot;:&quot;&quot;,&quot;family&quot;:&quot;Bemelman&quot;,&quot;given&quot;:&quot;W&quot;,&quot;non-dropping-particle&quot;:&quot;&quot;,&quot;parse-names&quot;:false,&quot;suffix&quot;:&quot;&quot;},{&quot;dropping-particle&quot;:&quot;V&quot;,&quot;family&quot;:&quot;Bryant&quot;,&quot;given&quot;:&quot;R&quot;,&quot;non-dropping-particle&quot;:&quot;&quot;,&quot;parse-names&quot;:false,&quot;suffix&quot;:&quot;&quot;},{&quot;dropping-particle&quot;:&quot;&quot;,&quot;family&quot;:&quot;D'Haens&quot;,&quot;given&quot;:&quot;G&quot;,&quot;non-dropping-particle&quot;:&quot;&quot;,&quot;parse-names&quot;:false,&quot;suffix&quot;:&quot;&quot;},{&quot;dropping-particle&quot;:&quot;&quot;,&quot;family&quot;:&quot;Dotan&quot;,&quot;given&quot;:&quot;I&quot;,&quot;non-dropping-particle&quot;:&quot;&quot;,&quot;parse-names&quot;:false,&quot;suffix&quot;:&quot;&quot;},{&quot;dropping-particle&quot;:&quot;&quot;,&quot;family&quot;:&quot;Dubinsky&quot;,&quot;given&quot;:&quot;M&quot;,&quot;non-dropping-particle&quot;:&quot;&quot;,&quot;parse-names&quot;:false,&quot;suffix&quot;:&quot;&quot;},{&quot;dropping-particle&quot;:&quot;&quot;,&quot;family&quot;:&quot;Feagan&quot;,&quot;given&quot;:&quot;B&quot;,&quot;non-dropping-particle&quot;:&quot;&quot;,&quot;parse-names&quot;:false,&quot;suffix&quot;:&quot;&quot;},{&quot;dropping-particle&quot;:&quot;&quot;,&quot;family&quot;:&quot;Fiorino&quot;,&quot;given&quot;:&quot;G&quot;,&quot;non-dropping-particle&quot;:&quot;&quot;,&quot;parse-names&quot;:false,&quot;suffix&quot;:&quot;&quot;},{&quot;dropping-particle&quot;:&quot;&quot;,&quot;family&quot;:&quot;Gearry&quot;,&quot;given&quot;:&quot;R&quot;,&quot;non-dropping-particle&quot;:&quot;&quot;,&quot;parse-names&quot;:false,&quot;suffix&quot;:&quot;&quot;},{&quot;dropping-particle&quot;:&quot;&quot;,&quot;family&quot;:&quot;Krishnareddy&quot;,&quot;given&quot;:&quot;S&quot;,&quot;non-dropping-particle&quot;:&quot;&quot;,&quot;parse-names&quot;:false,&quot;suffix&quot;:&quot;&quot;},{&quot;dropping-particle&quot;:&quot;&quot;,&quot;family&quot;:&quot;Lakatos&quot;,&quot;given&quot;:&quot;P L&quot;,&quot;non-dropping-particle&quot;:&quot;&quot;,&quot;parse-names&quot;:false,&quot;suffix&quot;:&quot;&quot;},{&quot;dropping-particle&quot;:&quot;&quot;,&quot;family&quot;:&quot;Loftus&quot;,&quot;given&quot;:&quot;E V Jr&quot;,&quot;non-dropping-particle&quot;:&quot;&quot;,&quot;parse-names&quot;:false,&quot;suffix&quot;:&quot;&quot;},{&quot;dropping-particle&quot;:&quot;&quot;,&quot;family&quot;:&quot;Marteau&quot;,&quot;given&quot;:&quot;P&quot;,&quot;non-dropping-particle&quot;:&quot;&quot;,&quot;parse-names&quot;:false,&quot;suffix&quot;:&quot;&quot;},{&quot;dropping-particle&quot;:&quot;&quot;,&quot;family&quot;:&quot;Munkholm&quot;,&quot;given&quot;:&quot;P&quot;,&quot;non-dropping-particle&quot;:&quot;&quot;,&quot;parse-names&quot;:false,&quot;suffix&quot;:&quot;&quot;},{&quot;dropping-particle&quot;:&quot;&quot;,&quot;family&quot;:&quot;Murdoch&quot;,&quot;given&quot;:&quot;T B&quot;,&quot;non-dropping-particle&quot;:&quot;&quot;,&quot;parse-names&quot;:false,&quot;suffix&quot;:&quot;&quot;},{&quot;dropping-particle&quot;:&quot;&quot;,&quot;family&quot;:&quot;Ordás&quot;,&quot;given&quot;:&quot;I&quot;,&quot;non-dropping-particle&quot;:&quot;&quot;,&quot;parse-names&quot;:false,&quot;suffix&quot;:&quot;&quot;},{&quot;dropping-particle&quot;:&quot;&quot;,&quot;family&quot;:&quot;Panaccione&quot;,&quot;given&quot;:&quot;R&quot;,&quot;non-dropping-particle&quot;:&quot;&quot;,&quot;parse-names&quot;:false,&quot;suffix&quot;:&quot;&quot;},{&quot;dropping-particle&quot;:&quot;&quot;,&quot;family&quot;:&quot;Riddell&quot;,&quot;given&quot;:&quot;R H&quot;,&quot;non-dropping-particle&quot;:&quot;&quot;,&quot;parse-names&quot;:false,&quot;suffix&quot;:&quot;&quot;},{&quot;dropping-particle&quot;:&quot;&quot;,&quot;family&quot;:&quot;Ruel&quot;,&quot;given&quot;:&quot;J&quot;,&quot;non-dropping-particle&quot;:&quot;&quot;,&quot;parse-names&quot;:false,&quot;suffix&quot;:&quot;&quot;},{&quot;dropping-particle&quot;:&quot;&quot;,&quot;family&quot;:&quot;Rubin&quot;,&quot;given&quot;:&quot;D T&quot;,&quot;non-dropping-particle&quot;:&quot;&quot;,&quot;parse-names&quot;:false,&quot;suffix&quot;:&quot;&quot;},{&quot;dropping-particle&quot;:&quot;&quot;,&quot;family&quot;:&quot;Samaan&quot;,&quot;given&quot;:&quot;M&quot;,&quot;non-dropping-particle&quot;:&quot;&quot;,&quot;parse-names&quot;:false,&quot;suffix&quot;:&quot;&quot;},{&quot;dropping-particle&quot;:&quot;&quot;,&quot;family&quot;:&quot;Siegel&quot;,&quot;given&quot;:&quot;C A&quot;,&quot;non-dropping-particle&quot;:&quot;&quot;,&quot;parse-names&quot;:false,&quot;suffix&quot;:&quot;&quot;},{&quot;dropping-particle&quot;:&quot;&quot;,&quot;family&quot;:&quot;Silverberg&quot;,&quot;given&quot;:&quot;M S&quot;,&quot;non-dropping-particle&quot;:&quot;&quot;,&quot;parse-names&quot;:false,&quot;suffix&quot;:&quot;&quot;},{&quot;dropping-particle&quot;:&quot;&quot;,&quot;family&quot;:&quot;Stoker&quot;,&quot;given&quot;:&quot;J&quot;,&quot;non-dropping-particle&quot;:&quot;&quot;,&quot;parse-names&quot;:false,&quot;suffix&quot;:&quot;&quot;},{&quot;dropping-particle&quot;:&quot;&quot;,&quot;family&quot;:&quot;Schreiber&quot;,&quot;given&quot;:&quot;S&quot;,&quot;non-dropping-particle&quot;:&quot;&quot;,&quot;parse-names&quot;:false,&quot;suffix&quot;:&quot;&quot;},{&quot;dropping-particle&quot;:&quot;&quot;,&quot;family&quot;:&quot;Travis&quot;,&quot;given&quot;:&quot;S&quot;,&quot;non-dropping-particle&quot;:&quot;&quot;,&quot;parse-names&quot;:false,&quot;suffix&quot;:&quot;&quot;},{&quot;dropping-particle&quot;:&quot;&quot;,&quot;family&quot;:&quot;Assche&quot;,&quot;given&quot;:&quot;G&quot;,&quot;non-dropping-particle&quot;:&quot;Van&quot;,&quot;parse-names&quot;:false,&quot;suffix&quot;:&quot;&quot;},{&quot;dropping-particle&quot;:&quot;&quot;,&quot;family&quot;:&quot;Danese&quot;,&quot;given&quot;:&quot;S&quot;,&quot;non-dropping-particle&quot;:&quot;&quot;,&quot;parse-names&quot;:false,&quot;suffix&quot;:&quot;&quot;},{&quot;dropping-particle&quot;:&quot;&quot;,&quot;family&quot;:&quot;Panes&quot;,&quot;given&quot;:&quot;J&quot;,&quot;non-dropping-particle&quot;:&quot;&quot;,&quot;parse-names&quot;:false,&quot;suffix&quot;:&quot;&quot;},{&quot;dropping-particle&quot;:&quot;&quot;,&quot;family&quot;:&quot;Bouguen&quot;,&quot;given&quot;:&quot;G&quot;,&quot;non-dropping-particle&quot;:&quot;&quot;,&quot;parse-names&quot;:false,&quot;suffix&quot;:&quot;&quot;},{&quot;dropping-particle&quot;:&quot;&quot;,&quot;family&quot;:&quot;O'Donnell&quot;,&quot;given&quot;:&quot;S&quot;,&quot;non-dropping-particle&quot;:&quot;&quot;,&quot;parse-names&quot;:false,&quot;suffix&quot;:&quot;&quot;},{&quot;dropping-particle&quot;:&quot;&quot;,&quot;family&quot;:&quot;Pariente&quot;,&quot;given&quot;:&quot;B&quot;,&quot;non-dropping-particle&quot;:&quot;&quot;,&quot;parse-names&quot;:false,&quot;suffix&quot;:&quot;&quot;},{&quot;dropping-particle&quot;:&quot;&quot;,&quot;family&quot;:&quot;Winer&quot;,&quot;given&quot;:&quot;S&quot;,&quot;non-dropping-particle&quot;:&quot;&quot;,&quot;parse-names&quot;:false,&quot;suffix&quot;:&quot;&quot;},{&quot;dropping-particle&quot;:&quot;&quot;,&quot;family&quot;:&quot;Hanauer&quot;,&quot;given&quot;:&quot;S&quot;,&quot;non-dropping-particle&quot;:&quot;&quot;,&quot;parse-names&quot;:false,&quot;suffix&quot;:&quot;&quot;},{&quot;dropping-particle&quot;:&quot;&quot;,&quot;family&quot;:&quot;Colombel&quot;,&quot;given&quot;:&quot;J-F&quot;,&quot;non-dropping-particle&quot;:&quot;&quot;,&quot;parse-names&quot;:false,&quot;suffix&quot;:&quot;&quot;}],&quot;container-title&quot;:&quot;The American journal of gastroenterology&quot;,&quot;id&quot;:&quot;5f03044c-6d62-3c91-862c-12ad98a5c994&quot;,&quot;issue&quot;:&quot;9&quot;,&quot;issued&quot;:{&quot;date-parts&quot;:[[&quot;2015&quot;,&quot;9&quot;]]},&quot;language&quot;:&quot;eng&quot;,&quot;page&quot;:&quot;1324-1338&quot;,&quot;publisher-place&quot;:&quot;United States&quot;,&quot;title&quot;:&quot;Selecting Therapeutic Targets in Inflammatory Bowel Disease (STRIDE): Determining  Therapeutic Goals for Treat-to-Target.&quot;,&quot;type&quot;:&quot;article-journal&quot;,&quot;volume&quot;:&quot;110&quot;,&quot;container-title-short&quot;:&quot;Am J Gastroenterol&quot;},&quot;uris&quot;:[&quot;http://www.mendeley.com/documents/?uuid=121964cb-7b0f-45e5-9416-ceccb32bfe7c&quot;],&quot;isTemporary&quot;:false,&quot;legacyDesktopId&quot;:&quot;121964cb-7b0f-45e5-9416-ceccb32bfe7c&quot;}]},{&quot;citationID&quot;:&quot;MENDELEY_CITATION_01493562-09fa-4de4-b409-eaa5d750bfcb&quot;,&quot;properties&quot;:{&quot;noteIndex&quot;:0},&quot;isEdited&quot;:false,&quot;manualOverride&quot;:{&quot;citeprocText&quot;:&quot;[4]&quot;,&quot;isManuallyOverridden&quot;:false,&quot;manualOverrideText&quot;:&quot;&quot;},&quot;citationTag&quot;:&quot;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&quot;,&quot;citationItems&quot;:[{&quot;id&quot;:&quot;5f03044c-6d62-3c91-862c-12ad98a5c994&quot;,&quot;itemData&quot;:{&quot;DOI&quot;:&quot;10.1038/ajg.2015.233&quot;,&quot;ISSN&quot;:&quot;1572-0241 (Electronic)&quot;,&quot;PMID&quot;:&quot;26303131&quot;,&quot;abstract&quot;:&quot;OBJECTIVES: The Selecting Therapeutic Targets in Inflammatory Bowel Disease (STRIDE)  program was initiated by the International Organization for the Study of Inflammatory Bowel Diseases (IOIBD). It examined potential treatment targets for inflammatory bowel disease (IBD) to be used for a \&quot;treat-to-target\&quot; clinical management strategy using an evidence-based expert consensus process. METHODS: A Steering Committee of 28 IBD specialists developed recommendations based on a systematic literature review and expert opinion. Consensus was gained if ≥75% of participants scored the recommendation as 7-10 on a 10-point rating scale (where 10=agree completely). RESULTS: The group agreed upon 12 recommendations for ulcerative colitis (UC) and Crohn's disease (CD). The agreed target for UC was clinical/patient-reported outcome (PRO) remission (defined as resolution of rectal bleeding and diarrhea/altered bowel habit) and endoscopic remission (defined as a Mayo endoscopic subscore of 0-1). Histological remission was considered as an adjunctive goal. Clinical/PRO remission was also agreed upon as a target for CD and defined as resolution of abdominal pain and diarrhea/altered bowel habit; and endoscopic remission, defined as resolution of ulceration at ileocolonoscopy, or resolution of findings of inflammation on cross-sectional imaging in patients who cannot be adequately assessed with ileocolonoscopy. Biomarker remission (normal C-reactive protein (CRP) and calprotectin) was considered as an adjunctive target. CONCLUSIONS: Evidence- and consensus-based recommendations for selecting the goals for treat-to-target strategies in patients with IBD are made available. Prospective studies are needed to determine how these targets will change disease course and patients' quality of life.&quot;,&quot;author&quot;:[{&quot;dropping-particle&quot;:&quot;&quot;,&quot;family&quot;:&quot;Peyrin-Biroulet&quot;,&quot;given&quot;:&quot;L&quot;,&quot;non-dropping-particle&quot;:&quot;&quot;,&quot;parse-names&quot;:false,&quot;suffix&quot;:&quot;&quot;},{&quot;dropping-particle&quot;:&quot;&quot;,&quot;family&quot;:&quot;Sandborn&quot;,&quot;given&quot;:&quot;W&quot;,&quot;non-dropping-particle&quot;:&quot;&quot;,&quot;parse-names&quot;:false,&quot;suffix&quot;:&quot;&quot;},{&quot;dropping-particle&quot;:&quot;&quot;,&quot;family&quot;:&quot;Sands&quot;,&quot;given&quot;:&quot;B E&quot;,&quot;non-dropping-particle&quot;:&quot;&quot;,&quot;parse-names&quot;:false,&quot;suffix&quot;:&quot;&quot;},{&quot;dropping-particle&quot;:&quot;&quot;,&quot;family&quot;:&quot;Reinisch&quot;,&quot;given&quot;:&quot;W&quot;,&quot;non-dropping-particle&quot;:&quot;&quot;,&quot;parse-names&quot;:false,&quot;suffix&quot;:&quot;&quot;},{&quot;dropping-particle&quot;:&quot;&quot;,&quot;family&quot;:&quot;Bemelman&quot;,&quot;given&quot;:&quot;W&quot;,&quot;non-dropping-particle&quot;:&quot;&quot;,&quot;parse-names&quot;:false,&quot;suffix&quot;:&quot;&quot;},{&quot;dropping-particle&quot;:&quot;V&quot;,&quot;family&quot;:&quot;Bryant&quot;,&quot;given&quot;:&quot;R&quot;,&quot;non-dropping-particle&quot;:&quot;&quot;,&quot;parse-names&quot;:false,&quot;suffix&quot;:&quot;&quot;},{&quot;dropping-particle&quot;:&quot;&quot;,&quot;family&quot;:&quot;D'Haens&quot;,&quot;given&quot;:&quot;G&quot;,&quot;non-dropping-particle&quot;:&quot;&quot;,&quot;parse-names&quot;:false,&quot;suffix&quot;:&quot;&quot;},{&quot;dropping-particle&quot;:&quot;&quot;,&quot;family&quot;:&quot;Dotan&quot;,&quot;given&quot;:&quot;I&quot;,&quot;non-dropping-particle&quot;:&quot;&quot;,&quot;parse-names&quot;:false,&quot;suffix&quot;:&quot;&quot;},{&quot;dropping-particle&quot;:&quot;&quot;,&quot;family&quot;:&quot;Dubinsky&quot;,&quot;given&quot;:&quot;M&quot;,&quot;non-dropping-particle&quot;:&quot;&quot;,&quot;parse-names&quot;:false,&quot;suffix&quot;:&quot;&quot;},{&quot;dropping-particle&quot;:&quot;&quot;,&quot;family&quot;:&quot;Feagan&quot;,&quot;given&quot;:&quot;B&quot;,&quot;non-dropping-particle&quot;:&quot;&quot;,&quot;parse-names&quot;:false,&quot;suffix&quot;:&quot;&quot;},{&quot;dropping-particle&quot;:&quot;&quot;,&quot;family&quot;:&quot;Fiorino&quot;,&quot;given&quot;:&quot;G&quot;,&quot;non-dropping-particle&quot;:&quot;&quot;,&quot;parse-names&quot;:false,&quot;suffix&quot;:&quot;&quot;},{&quot;dropping-particle&quot;:&quot;&quot;,&quot;family&quot;:&quot;Gearry&quot;,&quot;given&quot;:&quot;R&quot;,&quot;non-dropping-particle&quot;:&quot;&quot;,&quot;parse-names&quot;:false,&quot;suffix&quot;:&quot;&quot;},{&quot;dropping-particle&quot;:&quot;&quot;,&quot;family&quot;:&quot;Krishnareddy&quot;,&quot;given&quot;:&quot;S&quot;,&quot;non-dropping-particle&quot;:&quot;&quot;,&quot;parse-names&quot;:false,&quot;suffix&quot;:&quot;&quot;},{&quot;dropping-particle&quot;:&quot;&quot;,&quot;family&quot;:&quot;Lakatos&quot;,&quot;given&quot;:&quot;P L&quot;,&quot;non-dropping-particle&quot;:&quot;&quot;,&quot;parse-names&quot;:false,&quot;suffix&quot;:&quot;&quot;},{&quot;dropping-particle&quot;:&quot;&quot;,&quot;family&quot;:&quot;Loftus&quot;,&quot;given&quot;:&quot;E V Jr&quot;,&quot;non-dropping-particle&quot;:&quot;&quot;,&quot;parse-names&quot;:false,&quot;suffix&quot;:&quot;&quot;},{&quot;dropping-particle&quot;:&quot;&quot;,&quot;family&quot;:&quot;Marteau&quot;,&quot;given&quot;:&quot;P&quot;,&quot;non-dropping-particle&quot;:&quot;&quot;,&quot;parse-names&quot;:false,&quot;suffix&quot;:&quot;&quot;},{&quot;dropping-particle&quot;:&quot;&quot;,&quot;family&quot;:&quot;Munkholm&quot;,&quot;given&quot;:&quot;P&quot;,&quot;non-dropping-particle&quot;:&quot;&quot;,&quot;parse-names&quot;:false,&quot;suffix&quot;:&quot;&quot;},{&quot;dropping-particle&quot;:&quot;&quot;,&quot;family&quot;:&quot;Murdoch&quot;,&quot;given&quot;:&quot;T B&quot;,&quot;non-dropping-particle&quot;:&quot;&quot;,&quot;parse-names&quot;:false,&quot;suffix&quot;:&quot;&quot;},{&quot;dropping-particle&quot;:&quot;&quot;,&quot;family&quot;:&quot;Ordás&quot;,&quot;given&quot;:&quot;I&quot;,&quot;non-dropping-particle&quot;:&quot;&quot;,&quot;parse-names&quot;:false,&quot;suffix&quot;:&quot;&quot;},{&quot;dropping-particle&quot;:&quot;&quot;,&quot;family&quot;:&quot;Panaccione&quot;,&quot;given&quot;:&quot;R&quot;,&quot;non-dropping-particle&quot;:&quot;&quot;,&quot;parse-names&quot;:false,&quot;suffix&quot;:&quot;&quot;},{&quot;dropping-particle&quot;:&quot;&quot;,&quot;family&quot;:&quot;Riddell&quot;,&quot;given&quot;:&quot;R H&quot;,&quot;non-dropping-particle&quot;:&quot;&quot;,&quot;parse-names&quot;:false,&quot;suffix&quot;:&quot;&quot;},{&quot;dropping-particle&quot;:&quot;&quot;,&quot;family&quot;:&quot;Ruel&quot;,&quot;given&quot;:&quot;J&quot;,&quot;non-dropping-particle&quot;:&quot;&quot;,&quot;parse-names&quot;:false,&quot;suffix&quot;:&quot;&quot;},{&quot;dropping-particle&quot;:&quot;&quot;,&quot;family&quot;:&quot;Rubin&quot;,&quot;given&quot;:&quot;D T&quot;,&quot;non-dropping-particle&quot;:&quot;&quot;,&quot;parse-names&quot;:false,&quot;suffix&quot;:&quot;&quot;},{&quot;dropping-particle&quot;:&quot;&quot;,&quot;family&quot;:&quot;Samaan&quot;,&quot;given&quot;:&quot;M&quot;,&quot;non-dropping-particle&quot;:&quot;&quot;,&quot;parse-names&quot;:false,&quot;suffix&quot;:&quot;&quot;},{&quot;dropping-particle&quot;:&quot;&quot;,&quot;family&quot;:&quot;Siegel&quot;,&quot;given&quot;:&quot;C A&quot;,&quot;non-dropping-particle&quot;:&quot;&quot;,&quot;parse-names&quot;:false,&quot;suffix&quot;:&quot;&quot;},{&quot;dropping-particle&quot;:&quot;&quot;,&quot;family&quot;:&quot;Silverberg&quot;,&quot;given&quot;:&quot;M S&quot;,&quot;non-dropping-particle&quot;:&quot;&quot;,&quot;parse-names&quot;:false,&quot;suffix&quot;:&quot;&quot;},{&quot;dropping-particle&quot;:&quot;&quot;,&quot;family&quot;:&quot;Stoker&quot;,&quot;given&quot;:&quot;J&quot;,&quot;non-dropping-particle&quot;:&quot;&quot;,&quot;parse-names&quot;:false,&quot;suffix&quot;:&quot;&quot;},{&quot;dropping-particle&quot;:&quot;&quot;,&quot;family&quot;:&quot;Schreiber&quot;,&quot;given&quot;:&quot;S&quot;,&quot;non-dropping-particle&quot;:&quot;&quot;,&quot;parse-names&quot;:false,&quot;suffix&quot;:&quot;&quot;},{&quot;dropping-particle&quot;:&quot;&quot;,&quot;family&quot;:&quot;Travis&quot;,&quot;given&quot;:&quot;S&quot;,&quot;non-dropping-particle&quot;:&quot;&quot;,&quot;parse-names&quot;:false,&quot;suffix&quot;:&quot;&quot;},{&quot;dropping-particle&quot;:&quot;&quot;,&quot;family&quot;:&quot;Assche&quot;,&quot;given&quot;:&quot;G&quot;,&quot;non-dropping-particle&quot;:&quot;Van&quot;,&quot;parse-names&quot;:false,&quot;suffix&quot;:&quot;&quot;},{&quot;dropping-particle&quot;:&quot;&quot;,&quot;family&quot;:&quot;Danese&quot;,&quot;given&quot;:&quot;S&quot;,&quot;non-dropping-particle&quot;:&quot;&quot;,&quot;parse-names&quot;:false,&quot;suffix&quot;:&quot;&quot;},{&quot;dropping-particle&quot;:&quot;&quot;,&quot;family&quot;:&quot;Panes&quot;,&quot;given&quot;:&quot;J&quot;,&quot;non-dropping-particle&quot;:&quot;&quot;,&quot;parse-names&quot;:false,&quot;suffix&quot;:&quot;&quot;},{&quot;dropping-particle&quot;:&quot;&quot;,&quot;family&quot;:&quot;Bouguen&quot;,&quot;given&quot;:&quot;G&quot;,&quot;non-dropping-particle&quot;:&quot;&quot;,&quot;parse-names&quot;:false,&quot;suffix&quot;:&quot;&quot;},{&quot;dropping-particle&quot;:&quot;&quot;,&quot;family&quot;:&quot;O'Donnell&quot;,&quot;given&quot;:&quot;S&quot;,&quot;non-dropping-particle&quot;:&quot;&quot;,&quot;parse-names&quot;:false,&quot;suffix&quot;:&quot;&quot;},{&quot;dropping-particle&quot;:&quot;&quot;,&quot;family&quot;:&quot;Pariente&quot;,&quot;given&quot;:&quot;B&quot;,&quot;non-dropping-particle&quot;:&quot;&quot;,&quot;parse-names&quot;:false,&quot;suffix&quot;:&quot;&quot;},{&quot;dropping-particle&quot;:&quot;&quot;,&quot;family&quot;:&quot;Winer&quot;,&quot;given&quot;:&quot;S&quot;,&quot;non-dropping-particle&quot;:&quot;&quot;,&quot;parse-names&quot;:false,&quot;suffix&quot;:&quot;&quot;},{&quot;dropping-particle&quot;:&quot;&quot;,&quot;family&quot;:&quot;Hanauer&quot;,&quot;given&quot;:&quot;S&quot;,&quot;non-dropping-particle&quot;:&quot;&quot;,&quot;parse-names&quot;:false,&quot;suffix&quot;:&quot;&quot;},{&quot;dropping-particle&quot;:&quot;&quot;,&quot;family&quot;:&quot;Colombel&quot;,&quot;given&quot;:&quot;J-F&quot;,&quot;non-dropping-particle&quot;:&quot;&quot;,&quot;parse-names&quot;:false,&quot;suffix&quot;:&quot;&quot;}],&quot;container-title&quot;:&quot;The American journal of gastroenterology&quot;,&quot;id&quot;:&quot;5f03044c-6d62-3c91-862c-12ad98a5c994&quot;,&quot;issue&quot;:&quot;9&quot;,&quot;issued&quot;:{&quot;date-parts&quot;:[[&quot;2015&quot;,&quot;9&quot;]]},&quot;language&quot;:&quot;eng&quot;,&quot;page&quot;:&quot;1324-1338&quot;,&quot;publisher-place&quot;:&quot;United States&quot;,&quot;title&quot;:&quot;Selecting Therapeutic Targets in Inflammatory Bowel Disease (STRIDE): Determining  Therapeutic Goals for Treat-to-Target.&quot;,&quot;type&quot;:&quot;article-journal&quot;,&quot;volume&quot;:&quot;110&quot;,&quot;container-title-short&quot;:&quot;Am J Gastroenterol&quot;},&quot;uris&quot;:[&quot;http://www.mendeley.com/documents/?uuid=121964cb-7b0f-45e5-9416-ceccb32bfe7c&quot;],&quot;isTemporary&quot;:false,&quot;legacyDesktopId&quot;:&quot;121964cb-7b0f-45e5-9416-ceccb32bfe7c&quot;}]},{&quot;citationID&quot;:&quot;MENDELEY_CITATION_4b8b18bc-b513-42b5-82ad-6b9f05f767c2&quot;,&quot;properties&quot;:{&quot;noteIndex&quot;:0},&quot;isEdited&quot;:false,&quot;manualOverride&quot;:{&quot;citeprocText&quot;:&quot;[6]&quot;,&quot;isManuallyOverridden&quot;:false,&quot;manualOverrideText&quot;:&quot;&quot;},&quot;citationTag&quot;:&quot;MENDELEY_CITATION_v3_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&quot;,&quot;citationItems&quot;:[{&quot;id&quot;:&quot;b9d43156-45f6-3340-b123-1e1b28a39742&quot;,&quot;itemData&quot;:{&quot;DOI&quot;:&quot;10.1016/j.cgh.2013.09.006&quot;,&quot;ISSN&quot;:&quot;1542-7714 (Electronic)&quot;,&quot;PMID&quot;:&quot;24036054&quot;,&quot;abstract&quot;:&quot;The traditional management of Crohn's disease, which is based on progressive,  step-wise treatment intensification with re-evaluation of response according to symptoms, does not improve long-term outcomes of Crohn's disease and places patients at risk for bowel damage. The introduction of novel therapies and the development of new approaches to treatment in rheumatoid arthritis led to better outcomes for patients. Prominent among these is a \&quot;treat to target\&quot; strategy that is based on regular assessment of disease activity by using objective clinical and biological outcome measures and the subsequent adjustment of treatments. This approach is complementary to the concept of early intervention in high-risk patients. This review evaluates current literature on this topic and proposes a definition for the concept of treating to targets for Crohn's disease.&quot;,&quot;author&quot;:[{&quot;dropping-particle&quot;:&quot;&quot;,&quot;family&quot;:&quot;Bouguen&quot;,&quot;given&quot;:&quot;Guillaume&quot;,&quot;non-dropping-particle&quot;:&quot;&quot;,&quot;parse-names&quot;:false,&quot;suffix&quot;:&quot;&quot;},{&quot;dropping-particle&quot;:&quot;&quot;,&quot;family&quot;:&quot;Levesque&quot;,&quot;given&quot;:&quot;Barrett G&quot;,&quot;non-dropping-particle&quot;:&quot;&quot;,&quot;parse-names&quot;:false,&quot;suffix&quot;:&quot;&quot;},{&quot;dropping-particle&quot;:&quot;&quot;,&quot;family&quot;:&quot;Feagan&quot;,&quot;given&quot;:&quot;Brian G&quot;,&quot;non-dropping-particle&quot;:&quot;&quot;,&quot;parse-names&quot;:false,&quot;suffix&quot;:&quot;&quot;},{&quot;dropping-particle&quot;:&quot;&quot;,&quot;family&quot;:&quot;Kavanaugh&quot;,&quot;given&quot;:&quot;Arthur&quot;,&quot;non-dropping-particle&quot;:&quot;&quot;,&quot;parse-names&quot;:false,&quot;suffix&quot;:&quot;&quot;},{&quot;dropping-particle&quot;:&quot;&quot;,&quot;family&quot;:&quot;Peyrin-Biroulet&quot;,&quot;given&quot;:&quot;Laurent&quot;,&quot;non-dropping-particle&quot;:&quot;&quot;,&quot;parse-names&quot;:false,&quot;suffix&quot;:&quot;&quot;},{&quot;dropping-particle&quot;:&quot;&quot;,&quot;family&quot;:&quot;Colombel&quot;,&quot;given&quot;:&quot;Jean-Frederic&quot;,&quot;non-dropping-particle&quot;:&quot;&quot;,&quot;parse-names&quot;:false,&quot;suffix&quot;:&quot;&quot;},{&quot;dropping-particle&quot;:&quot;&quot;,&quot;family&quot;:&quot;Hanauer&quot;,&quot;given&quot;:&quot;Stephen B&quot;,&quot;non-dropping-particle&quot;:&quot;&quot;,&quot;parse-names&quot;:false,&quot;suffix&quot;:&quot;&quot;},{&quot;dropping-particle&quot;:&quot;&quot;,&quot;family&quot;:&quot;Sandborn&quot;,&quot;given&quot;:&quot;William J&quot;,&quot;non-dropping-particle&quot;:&quot;&quot;,&quot;parse-names&quot;:false,&quot;suffix&quot;:&quot;&quot;}],&quot;container-title&quot;:&quot;Clinical gastroenterology and hepatology : the official clinical practice journal of  the American Gastroenterological Association&quot;,&quot;id&quot;:&quot;b9d43156-45f6-3340-b123-1e1b28a39742&quot;,&quot;issue&quot;:&quot;6&quot;,&quot;issued&quot;:{&quot;date-parts&quot;:[[&quot;2015&quot;,&quot;6&quot;]]},&quot;language&quot;:&quot;eng&quot;,&quot;page&quot;:&quot;1042-50.e2&quot;,&quot;publisher-place&quot;:&quot;United States&quot;,&quot;title&quot;:&quot;Treat to target: a proposed new paradigm for the management of Crohn's disease.&quot;,&quot;type&quot;:&quot;article-journal&quot;,&quot;volume&quot;:&quot;13&quot;,&quot;container-title-short&quot;:&quot;Clin Gastroenterol Hepatol&quot;},&quot;uris&quot;:[&quot;http://www.mendeley.com/documents/?uuid=793224a6-375e-460e-ad87-d646c5be640a&quot;],&quot;isTemporary&quot;:false,&quot;legacyDesktopId&quot;:&quot;793224a6-375e-460e-ad87-d646c5be640a&quot;}]},{&quot;citationID&quot;:&quot;MENDELEY_CITATION_8de9591e-d16a-48f6-964e-4c6c8b791a44&quot;,&quot;properties&quot;:{&quot;noteIndex&quot;:0},&quot;isEdited&quot;:false,&quot;manualOverride&quot;:{&quot;citeprocText&quot;:&quot;[4]&quot;,&quot;isManuallyOverridden&quot;:false,&quot;manualOverrideText&quot;:&quot;&quot;},&quot;citationTag&quot;:&quot;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&quot;,&quot;citationItems&quot;:[{&quot;id&quot;:&quot;5f03044c-6d62-3c91-862c-12ad98a5c994&quot;,&quot;itemData&quot;:{&quot;DOI&quot;:&quot;10.1038/ajg.2015.233&quot;,&quot;ISSN&quot;:&quot;1572-0241 (Electronic)&quot;,&quot;PMID&quot;:&quot;26303131&quot;,&quot;abstract&quot;:&quot;OBJECTIVES: The Selecting Therapeutic Targets in Inflammatory Bowel Disease (STRIDE)  program was initiated by the International Organization for the Study of Inflammatory Bowel Diseases (IOIBD). It examined potential treatment targets for inflammatory bowel disease (IBD) to be used for a \&quot;treat-to-target\&quot; clinical management strategy using an evidence-based expert consensus process. METHODS: A Steering Committee of 28 IBD specialists developed recommendations based on a systematic literature review and expert opinion. Consensus was gained if ≥75% of participants scored the recommendation as 7-10 on a 10-point rating scale (where 10=agree completely). RESULTS: The group agreed upon 12 recommendations for ulcerative colitis (UC) and Crohn's disease (CD). The agreed target for UC was clinical/patient-reported outcome (PRO) remission (defined as resolution of rectal bleeding and diarrhea/altered bowel habit) and endoscopic remission (defined as a Mayo endoscopic subscore of 0-1). Histological remission was considered as an adjunctive goal. Clinical/PRO remission was also agreed upon as a target for CD and defined as resolution of abdominal pain and diarrhea/altered bowel habit; and endoscopic remission, defined as resolution of ulceration at ileocolonoscopy, or resolution of findings of inflammation on cross-sectional imaging in patients who cannot be adequately assessed with ileocolonoscopy. Biomarker remission (normal C-reactive protein (CRP) and calprotectin) was considered as an adjunctive target. CONCLUSIONS: Evidence- and consensus-based recommendations for selecting the goals for treat-to-target strategies in patients with IBD are made available. Prospective studies are needed to determine how these targets will change disease course and patients' quality of life.&quot;,&quot;author&quot;:[{&quot;dropping-particle&quot;:&quot;&quot;,&quot;family&quot;:&quot;Peyrin-Biroulet&quot;,&quot;given&quot;:&quot;L&quot;,&quot;non-dropping-particle&quot;:&quot;&quot;,&quot;parse-names&quot;:false,&quot;suffix&quot;:&quot;&quot;},{&quot;dropping-particle&quot;:&quot;&quot;,&quot;family&quot;:&quot;Sandborn&quot;,&quot;given&quot;:&quot;W&quot;,&quot;non-dropping-particle&quot;:&quot;&quot;,&quot;parse-names&quot;:false,&quot;suffix&quot;:&quot;&quot;},{&quot;dropping-particle&quot;:&quot;&quot;,&quot;family&quot;:&quot;Sands&quot;,&quot;given&quot;:&quot;B E&quot;,&quot;non-dropping-particle&quot;:&quot;&quot;,&quot;parse-names&quot;:false,&quot;suffix&quot;:&quot;&quot;},{&quot;dropping-particle&quot;:&quot;&quot;,&quot;family&quot;:&quot;Reinisch&quot;,&quot;given&quot;:&quot;W&quot;,&quot;non-dropping-particle&quot;:&quot;&quot;,&quot;parse-names&quot;:false,&quot;suffix&quot;:&quot;&quot;},{&quot;dropping-particle&quot;:&quot;&quot;,&quot;family&quot;:&quot;Bemelman&quot;,&quot;given&quot;:&quot;W&quot;,&quot;non-dropping-particle&quot;:&quot;&quot;,&quot;parse-names&quot;:false,&quot;suffix&quot;:&quot;&quot;},{&quot;dropping-particle&quot;:&quot;V&quot;,&quot;family&quot;:&quot;Bryant&quot;,&quot;given&quot;:&quot;R&quot;,&quot;non-dropping-particle&quot;:&quot;&quot;,&quot;parse-names&quot;:false,&quot;suffix&quot;:&quot;&quot;},{&quot;dropping-particle&quot;:&quot;&quot;,&quot;family&quot;:&quot;D'Haens&quot;,&quot;given&quot;:&quot;G&quot;,&quot;non-dropping-particle&quot;:&quot;&quot;,&quot;parse-names&quot;:false,&quot;suffix&quot;:&quot;&quot;},{&quot;dropping-particle&quot;:&quot;&quot;,&quot;family&quot;:&quot;Dotan&quot;,&quot;given&quot;:&quot;I&quot;,&quot;non-dropping-particle&quot;:&quot;&quot;,&quot;parse-names&quot;:false,&quot;suffix&quot;:&quot;&quot;},{&quot;dropping-particle&quot;:&quot;&quot;,&quot;family&quot;:&quot;Dubinsky&quot;,&quot;given&quot;:&quot;M&quot;,&quot;non-dropping-particle&quot;:&quot;&quot;,&quot;parse-names&quot;:false,&quot;suffix&quot;:&quot;&quot;},{&quot;dropping-particle&quot;:&quot;&quot;,&quot;family&quot;:&quot;Feagan&quot;,&quot;given&quot;:&quot;B&quot;,&quot;non-dropping-particle&quot;:&quot;&quot;,&quot;parse-names&quot;:false,&quot;suffix&quot;:&quot;&quot;},{&quot;dropping-particle&quot;:&quot;&quot;,&quot;family&quot;:&quot;Fiorino&quot;,&quot;given&quot;:&quot;G&quot;,&quot;non-dropping-particle&quot;:&quot;&quot;,&quot;parse-names&quot;:false,&quot;suffix&quot;:&quot;&quot;},{&quot;dropping-particle&quot;:&quot;&quot;,&quot;family&quot;:&quot;Gearry&quot;,&quot;given&quot;:&quot;R&quot;,&quot;non-dropping-particle&quot;:&quot;&quot;,&quot;parse-names&quot;:false,&quot;suffix&quot;:&quot;&quot;},{&quot;dropping-particle&quot;:&quot;&quot;,&quot;family&quot;:&quot;Krishnareddy&quot;,&quot;given&quot;:&quot;S&quot;,&quot;non-dropping-particle&quot;:&quot;&quot;,&quot;parse-names&quot;:false,&quot;suffix&quot;:&quot;&quot;},{&quot;dropping-particle&quot;:&quot;&quot;,&quot;family&quot;:&quot;Lakatos&quot;,&quot;given&quot;:&quot;P L&quot;,&quot;non-dropping-particle&quot;:&quot;&quot;,&quot;parse-names&quot;:false,&quot;suffix&quot;:&quot;&quot;},{&quot;dropping-particle&quot;:&quot;&quot;,&quot;family&quot;:&quot;Loftus&quot;,&quot;given&quot;:&quot;E V Jr&quot;,&quot;non-dropping-particle&quot;:&quot;&quot;,&quot;parse-names&quot;:false,&quot;suffix&quot;:&quot;&quot;},{&quot;dropping-particle&quot;:&quot;&quot;,&quot;family&quot;:&quot;Marteau&quot;,&quot;given&quot;:&quot;P&quot;,&quot;non-dropping-particle&quot;:&quot;&quot;,&quot;parse-names&quot;:false,&quot;suffix&quot;:&quot;&quot;},{&quot;dropping-particle&quot;:&quot;&quot;,&quot;family&quot;:&quot;Munkholm&quot;,&quot;given&quot;:&quot;P&quot;,&quot;non-dropping-particle&quot;:&quot;&quot;,&quot;parse-names&quot;:false,&quot;suffix&quot;:&quot;&quot;},{&quot;dropping-particle&quot;:&quot;&quot;,&quot;family&quot;:&quot;Murdoch&quot;,&quot;given&quot;:&quot;T B&quot;,&quot;non-dropping-particle&quot;:&quot;&quot;,&quot;parse-names&quot;:false,&quot;suffix&quot;:&quot;&quot;},{&quot;dropping-particle&quot;:&quot;&quot;,&quot;family&quot;:&quot;Ordás&quot;,&quot;given&quot;:&quot;I&quot;,&quot;non-dropping-particle&quot;:&quot;&quot;,&quot;parse-names&quot;:false,&quot;suffix&quot;:&quot;&quot;},{&quot;dropping-particle&quot;:&quot;&quot;,&quot;family&quot;:&quot;Panaccione&quot;,&quot;given&quot;:&quot;R&quot;,&quot;non-dropping-particle&quot;:&quot;&quot;,&quot;parse-names&quot;:false,&quot;suffix&quot;:&quot;&quot;},{&quot;dropping-particle&quot;:&quot;&quot;,&quot;family&quot;:&quot;Riddell&quot;,&quot;given&quot;:&quot;R H&quot;,&quot;non-dropping-particle&quot;:&quot;&quot;,&quot;parse-names&quot;:false,&quot;suffix&quot;:&quot;&quot;},{&quot;dropping-particle&quot;:&quot;&quot;,&quot;family&quot;:&quot;Ruel&quot;,&quot;given&quot;:&quot;J&quot;,&quot;non-dropping-particle&quot;:&quot;&quot;,&quot;parse-names&quot;:false,&quot;suffix&quot;:&quot;&quot;},{&quot;dropping-particle&quot;:&quot;&quot;,&quot;family&quot;:&quot;Rubin&quot;,&quot;given&quot;:&quot;D T&quot;,&quot;non-dropping-particle&quot;:&quot;&quot;,&quot;parse-names&quot;:false,&quot;suffix&quot;:&quot;&quot;},{&quot;dropping-particle&quot;:&quot;&quot;,&quot;family&quot;:&quot;Samaan&quot;,&quot;given&quot;:&quot;M&quot;,&quot;non-dropping-particle&quot;:&quot;&quot;,&quot;parse-names&quot;:false,&quot;suffix&quot;:&quot;&quot;},{&quot;dropping-particle&quot;:&quot;&quot;,&quot;family&quot;:&quot;Siegel&quot;,&quot;given&quot;:&quot;C A&quot;,&quot;non-dropping-particle&quot;:&quot;&quot;,&quot;parse-names&quot;:false,&quot;suffix&quot;:&quot;&quot;},{&quot;dropping-particle&quot;:&quot;&quot;,&quot;family&quot;:&quot;Silverberg&quot;,&quot;given&quot;:&quot;M S&quot;,&quot;non-dropping-particle&quot;:&quot;&quot;,&quot;parse-names&quot;:false,&quot;suffix&quot;:&quot;&quot;},{&quot;dropping-particle&quot;:&quot;&quot;,&quot;family&quot;:&quot;Stoker&quot;,&quot;given&quot;:&quot;J&quot;,&quot;non-dropping-particle&quot;:&quot;&quot;,&quot;parse-names&quot;:false,&quot;suffix&quot;:&quot;&quot;},{&quot;dropping-particle&quot;:&quot;&quot;,&quot;family&quot;:&quot;Schreiber&quot;,&quot;given&quot;:&quot;S&quot;,&quot;non-dropping-particle&quot;:&quot;&quot;,&quot;parse-names&quot;:false,&quot;suffix&quot;:&quot;&quot;},{&quot;dropping-particle&quot;:&quot;&quot;,&quot;family&quot;:&quot;Travis&quot;,&quot;given&quot;:&quot;S&quot;,&quot;non-dropping-particle&quot;:&quot;&quot;,&quot;parse-names&quot;:false,&quot;suffix&quot;:&quot;&quot;},{&quot;dropping-particle&quot;:&quot;&quot;,&quot;family&quot;:&quot;Assche&quot;,&quot;given&quot;:&quot;G&quot;,&quot;non-dropping-particle&quot;:&quot;Van&quot;,&quot;parse-names&quot;:false,&quot;suffix&quot;:&quot;&quot;},{&quot;dropping-particle&quot;:&quot;&quot;,&quot;family&quot;:&quot;Danese&quot;,&quot;given&quot;:&quot;S&quot;,&quot;non-dropping-particle&quot;:&quot;&quot;,&quot;parse-names&quot;:false,&quot;suffix&quot;:&quot;&quot;},{&quot;dropping-particle&quot;:&quot;&quot;,&quot;family&quot;:&quot;Panes&quot;,&quot;given&quot;:&quot;J&quot;,&quot;non-dropping-particle&quot;:&quot;&quot;,&quot;parse-names&quot;:false,&quot;suffix&quot;:&quot;&quot;},{&quot;dropping-particle&quot;:&quot;&quot;,&quot;family&quot;:&quot;Bouguen&quot;,&quot;given&quot;:&quot;G&quot;,&quot;non-dropping-particle&quot;:&quot;&quot;,&quot;parse-names&quot;:false,&quot;suffix&quot;:&quot;&quot;},{&quot;dropping-particle&quot;:&quot;&quot;,&quot;family&quot;:&quot;O'Donnell&quot;,&quot;given&quot;:&quot;S&quot;,&quot;non-dropping-particle&quot;:&quot;&quot;,&quot;parse-names&quot;:false,&quot;suffix&quot;:&quot;&quot;},{&quot;dropping-particle&quot;:&quot;&quot;,&quot;family&quot;:&quot;Pariente&quot;,&quot;given&quot;:&quot;B&quot;,&quot;non-dropping-particle&quot;:&quot;&quot;,&quot;parse-names&quot;:false,&quot;suffix&quot;:&quot;&quot;},{&quot;dropping-particle&quot;:&quot;&quot;,&quot;family&quot;:&quot;Winer&quot;,&quot;given&quot;:&quot;S&quot;,&quot;non-dropping-particle&quot;:&quot;&quot;,&quot;parse-names&quot;:false,&quot;suffix&quot;:&quot;&quot;},{&quot;dropping-particle&quot;:&quot;&quot;,&quot;family&quot;:&quot;Hanauer&quot;,&quot;given&quot;:&quot;S&quot;,&quot;non-dropping-particle&quot;:&quot;&quot;,&quot;parse-names&quot;:false,&quot;suffix&quot;:&quot;&quot;},{&quot;dropping-particle&quot;:&quot;&quot;,&quot;family&quot;:&quot;Colombel&quot;,&quot;given&quot;:&quot;J-F&quot;,&quot;non-dropping-particle&quot;:&quot;&quot;,&quot;parse-names&quot;:false,&quot;suffix&quot;:&quot;&quot;}],&quot;container-title&quot;:&quot;The American journal of gastroenterology&quot;,&quot;id&quot;:&quot;5f03044c-6d62-3c91-862c-12ad98a5c994&quot;,&quot;issue&quot;:&quot;9&quot;,&quot;issued&quot;:{&quot;date-parts&quot;:[[&quot;2015&quot;,&quot;9&quot;]]},&quot;language&quot;:&quot;eng&quot;,&quot;page&quot;:&quot;1324-1338&quot;,&quot;publisher-place&quot;:&quot;United States&quot;,&quot;title&quot;:&quot;Selecting Therapeutic Targets in Inflammatory Bowel Disease (STRIDE): Determining  Therapeutic Goals for Treat-to-Target.&quot;,&quot;type&quot;:&quot;article-journal&quot;,&quot;volume&quot;:&quot;110&quot;,&quot;container-title-short&quot;:&quot;Am J Gastroenterol&quot;},&quot;uris&quot;:[&quot;http://www.mendeley.com/documents/?uuid=121964cb-7b0f-45e5-9416-ceccb32bfe7c&quot;],&quot;isTemporary&quot;:false,&quot;legacyDesktopId&quot;:&quot;121964cb-7b0f-45e5-9416-ceccb32bfe7c&quot;}]},{&quot;citationID&quot;:&quot;MENDELEY_CITATION_ae2bef92-2902-4c09-a5be-efc4a5a5b16a&quot;,&quot;properties&quot;:{&quot;noteIndex&quot;:0},&quot;isEdited&quot;:false,&quot;manualOverride&quot;:{&quot;citeprocText&quot;:&quot;[7]&quot;,&quot;isManuallyOverridden&quot;:false,&quot;manualOverrideText&quot;:&quot;&quot;},&quot;citationTag&quot;:&quot;MENDELEY_CITATION_v3_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&quot;,&quot;citationItems&quot;:[{&quot;id&quot;:&quot;b48227af-7f79-3628-8fa0-081e8badebbd&quot;,&quot;itemData&quot;:{&quot;DOI&quot;:&quot;10.1093/ecco-jcc/jjy097&quot;,&quot;ISSN&quot;:&quot;1876-4479 (Electronic)&quot;,&quot;PMID&quot;:&quot;29982528&quot;,&quot;abstract&quot;:&quot;Endoscopic remission is the cornerstone of drug development and the guidance for  daily clinical practice in Crohn's disease [CD]. However, although scoring systems for endoscopic activity in CD have been available for more than three decades, no consensus exists on the definition of endoscopic remission. In this viewpoint we describe the shortcomings of the current definition of endoscopic remission in ileocolonic CD and the essential requirements for a newly developed endoscopic scoring tool for endoscopic remission in CD.&quot;,&quot;author&quot;:[{&quot;dropping-particle&quot;:&quot;&quot;,&quot;family&quot;:&quot;Bossuyt&quot;,&quot;given&quot;:&quot;Peter&quot;,&quot;non-dropping-particle&quot;:&quot;&quot;,&quot;parse-names&quot;:false,&quot;suffix&quot;:&quot;&quot;},{&quot;dropping-particle&quot;:&quot;&quot;,&quot;family&quot;:&quot;Louis&quot;,&quot;given&quot;:&quot;Edouard&quot;,&quot;non-dropping-particle&quot;:&quot;&quot;,&quot;parse-names&quot;:false,&quot;suffix&quot;:&quot;&quot;},{&quot;dropping-particle&quot;:&quot;&quot;,&quot;family&quot;:&quot;Mary&quot;,&quot;given&quot;:&quot;Jean-Yves&quot;,&quot;non-dropping-particle&quot;:&quot;&quot;,&quot;parse-names&quot;:false,&quot;suffix&quot;:&quot;&quot;},{&quot;dropping-particle&quot;:&quot;&quot;,&quot;family&quot;:&quot;Vermeire&quot;,&quot;given&quot;:&quot;Séverine&quot;,&quot;non-dropping-particle&quot;:&quot;&quot;,&quot;parse-names&quot;:false,&quot;suffix&quot;:&quot;&quot;},{&quot;dropping-particle&quot;:&quot;&quot;,&quot;family&quot;:&quot;Bouhnik&quot;,&quot;given&quot;:&quot;Yoram&quot;,&quot;non-dropping-particle&quot;:&quot;&quot;,&quot;parse-names&quot;:false,&quot;suffix&quot;:&quot;&quot;}],&quot;container-title&quot;:&quot;Journal of Crohn's &amp; colitis&quot;,&quot;id&quot;:&quot;b48227af-7f79-3628-8fa0-081e8badebbd&quot;,&quot;issue&quot;:&quot;10&quot;,&quot;issued&quot;:{&quot;date-parts&quot;:[[&quot;2018&quot;,&quot;11&quot;]]},&quot;language&quot;:&quot;eng&quot;,&quot;page&quot;:&quot;1245-1248&quot;,&quot;publisher-place&quot;:&quot;England&quot;,&quot;title&quot;:&quot;Defining Endoscopic Remission in Ileocolonic Crohn's Disease: Let's Start from  Scratch.&quot;,&quot;type&quot;:&quot;article-journal&quot;,&quot;volume&quot;:&quot;12&quot;,&quot;container-title-short&quot;:&quot;J Crohns Colitis&quot;},&quot;uris&quot;:[&quot;http://www.mendeley.com/documents/?uuid=79851091-3e59-4f52-bf04-a0f8bd424e77&quot;],&quot;isTemporary&quot;:false,&quot;legacyDesktopId&quot;:&quot;79851091-3e59-4f52-bf04-a0f8bd424e77&quot;}]},{&quot;citationID&quot;:&quot;MENDELEY_CITATION_d42b5c57-2f16-4aaa-9da8-46ced11b2213&quot;,&quot;properties&quot;:{&quot;noteIndex&quot;:0},&quot;isEdited&quot;:false,&quot;manualOverride&quot;:{&quot;citeprocText&quot;:&quot;[8]&quot;,&quot;isManuallyOverridden&quot;:false,&quot;manualOverrideText&quot;:&quot;&quot;},&quot;citationTag&quot;:&quot;MENDELEY_CITATION_v3_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&quot;,&quot;citationItems&quot;:[{&quot;id&quot;:&quot;613e0eb0-9be9-3338-beb6-a8bdef7c3bc8&quot;,&quot;itemData&quot;:{&quot;DOI&quot;:&quot;10.1136/gutjnl-2012-302830&quot;,&quot;ISSN&quot;:&quot;1468-3288 (Electronic)&quot;,&quot;PMID&quot;:&quot;22842618&quot;,&quot;abstract&quot;:&quot;Recent studies have identified mucosal healing on endoscopy as a key prognostic  parameter in the management of inflammatory bowel diseases (IBD), thus highlighting the role of endoscopy for monitoring of disease activity in IBD. In fact, mucosal healing has emerged as a key treatment goal in IBD that predicts sustained clinical remission and resection-free survival of patients. The structural basis of mucosal healing is an intact barrier function of the gut epithelium that prevents translocation of commensal bacteria into the mucosa and submucosa with subsequent immune cell activation. Thus, mucosal healing should be considered as an initial event in the suppression of inflammation of deeper layers of the bowel wall, rather than as a sign of complete healing of gut inflammation. In this systematic review, the clinical studies on mucosal healing are summarised and the effects of anti-inflammatory or immunosuppressive drugs such as 5-aminosalicylates, corticosteroids, azathioprine, ciclosporin and anti-TNF antibodies (adalimumab, certolizumab pegol, infliximab) on mucosal healing are discussed. Finally, the implications of mucosal healing for subsequent clinical management in patients with IBD are highlighted.&quot;,&quot;author&quot;:[{&quot;dropping-particle&quot;:&quot;&quot;,&quot;family&quot;:&quot;Neurath&quot;,&quot;given&quot;:&quot;Markus F&quot;,&quot;non-dropping-particle&quot;:&quot;&quot;,&quot;parse-names&quot;:false,&quot;suffix&quot;:&quot;&quot;},{&quot;dropping-particle&quot;:&quot;&quot;,&quot;family&quot;:&quot;Travis&quot;,&quot;given&quot;:&quot;Simon P L&quot;,&quot;non-dropping-particle&quot;:&quot;&quot;,&quot;parse-names&quot;:false,&quot;suffix&quot;:&quot;&quot;}],&quot;container-title&quot;:&quot;Gut&quot;,&quot;id&quot;:&quot;613e0eb0-9be9-3338-beb6-a8bdef7c3bc8&quot;,&quot;issue&quot;:&quot;11&quot;,&quot;issued&quot;:{&quot;date-parts&quot;:[[&quot;2012&quot;,&quot;11&quot;]]},&quot;language&quot;:&quot;eng&quot;,&quot;page&quot;:&quot;1619-1635&quot;,&quot;publisher-place&quot;:&quot;England&quot;,&quot;title&quot;:&quot;Mucosal healing in inflammatory bowel diseases: a systematic review.&quot;,&quot;type&quot;:&quot;article-journal&quot;,&quot;volume&quot;:&quot;61&quot;,&quot;container-title-short&quot;:&quot;Gut&quot;},&quot;uris&quot;:[&quot;http://www.mendeley.com/documents/?uuid=3ac14734-2a92-458f-bec0-0d3efbf7b638&quot;],&quot;isTemporary&quot;:false,&quot;legacyDesktopId&quot;:&quot;3ac14734-2a92-458f-bec0-0d3efbf7b638&quot;}]},{&quot;citationID&quot;:&quot;MENDELEY_CITATION_7228b0a7-12c0-48af-a2db-3957f78e9199&quot;,&quot;properties&quot;:{&quot;noteIndex&quot;:0},&quot;isEdited&quot;:false,&quot;manualOverride&quot;:{&quot;citeprocText&quot;:&quot;[9]&quot;,&quot;isManuallyOverridden&quot;:false,&quot;manualOverrideText&quot;:&quot;&quot;},&quot;citationTag&quot;:&quot;MENDELEY_CITATION_v3_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&quot;,&quot;citationItems&quot;:[{&quot;id&quot;:&quot;3b7bc26d-3a15-37bb-bdcb-f1667e0d6ed9&quot;,&quot;itemData&quot;:{&quot;DOI&quot;:&quot;10.1111/apt.15013&quot;,&quot;ISSN&quot;:&quot;1365-2036 (Electronic)&quot;,&quot;PMID&quot;:&quot;30345577&quot;,&quot;abstract&quot;:&quot;BACKGROUND: In Crohn's disease, it is essential to distinguish between persistent  damage and abnormalities that can heal with anti-inflammatory therapy. AIM: To assess magnetic resonance enterography (MRE) lesions that persist in patients in long-standing endoscopic remission, analyse their relationship with baseline characteristics, and determine their prognostic implications. METHODS: We systematically reviewed pre- and post-treatment MRE findings in patients with Crohn's disease and severe inflammation (segmental CDEIS ≥ 7 or ulcers in at least one segment) who achieved endoscopic remission (CDEIS &lt; 2) after 1 year of treatment with TNF-inhibitors or autologous haematopoietic stem-cell transplantation. Logistic regression analysis was used to identify predictors of persistent abnormalities. RESULTS: Endoscopic remission was achieved in 73 intestinal segments in 28 patients (69% females; 9.95 years disease duration, 67.9% inflammatory phenotype; 39.3% ileal location). Creeping fat and intestinal wall fat deposits were unchanged on pre- and post-treatment MRE despite the endoscopic remission. Luminal strictures persisted in 6 out of the 8 segments with baseline strictures, and wall thickening in 23 out of the 72 of segments with thickening at baseline. Predictors of persistent mural thickening were pre-treatment wall thickness &gt; 5.9 mm (OR = 4.38, P = 0.027) and refractory disease prior to baseline (OR = 2.35, P = 0.001). Creeping fat was the only predictor for persistence of creeping fat (OR = 36.43, P &lt; 0.001). Persistence of strictures at MRE is associated with earlier recurrence (P = 0.014). CONCLUSIONS: Persistent MRE abnormalities are frequent in patients with Crohn's disease despite achieving endoscopic remission. Significant wall thickening, intestinal fat deposition, strictures, and creeping fat at baseline MRE are signs of established damage.&quot;,&quot;author&quot;:[{&quot;dropping-particle&quot;:&quot;&quot;,&quot;family&quot;:&quot;Rimola&quot;,&quot;given&quot;:&quot;Jordi&quot;,&quot;non-dropping-particle&quot;:&quot;&quot;,&quot;parse-names&quot;:false,&quot;suffix&quot;:&quot;&quot;},{&quot;dropping-particle&quot;:&quot;&quot;,&quot;family&quot;:&quot;Alfaro&quot;,&quot;given&quot;:&quot;Ignacio&quot;,&quot;non-dropping-particle&quot;:&quot;&quot;,&quot;parse-names&quot;:false,&quot;suffix&quot;:&quot;&quot;},{&quot;dropping-particle&quot;:&quot;&quot;,&quot;family&quot;:&quot;Fernández-Clotet&quot;,&quot;given&quot;:&quot;Agnès&quot;,&quot;non-dropping-particle&quot;:&quot;&quot;,&quot;parse-names&quot;:false,&quot;suffix&quot;:&quot;&quot;},{&quot;dropping-particle&quot;:&quot;&quot;,&quot;family&quot;:&quot;Castro-Poceiro&quot;,&quot;given&quot;:&quot;Jesús&quot;,&quot;non-dropping-particle&quot;:&quot;&quot;,&quot;parse-names&quot;:false,&quot;suffix&quot;:&quot;&quot;},{&quot;dropping-particle&quot;:&quot;&quot;,&quot;family&quot;:&quot;Vas&quot;,&quot;given&quot;:&quot;Daniel&quot;,&quot;non-dropping-particle&quot;:&quot;&quot;,&quot;parse-names&quot;:false,&quot;suffix&quot;:&quot;&quot;},{&quot;dropping-particle&quot;:&quot;&quot;,&quot;family&quot;:&quot;Rodríguez&quot;,&quot;given&quot;:&quot;Sonia&quot;,&quot;non-dropping-particle&quot;:&quot;&quot;,&quot;parse-names&quot;:false,&quot;suffix&quot;:&quot;&quot;},{&quot;dropping-particle&quot;:&quot;&quot;,&quot;family&quot;:&quot;Masamunt&quot;,&quot;given&quot;:&quot;Maria Carme&quot;,&quot;non-dropping-particle&quot;:&quot;&quot;,&quot;parse-names&quot;:false,&quot;suffix&quot;:&quot;&quot;},{&quot;dropping-particle&quot;:&quot;&quot;,&quot;family&quot;:&quot;Ordás&quot;,&quot;given&quot;:&quot;Ingrid&quot;,&quot;non-dropping-particle&quot;:&quot;&quot;,&quot;parse-names&quot;:false,&quot;suffix&quot;:&quot;&quot;},{&quot;dropping-particle&quot;:&quot;&quot;,&quot;family&quot;:&quot;Ricart&quot;,&quot;given&quot;:&quot;Elena&quot;,&quot;non-dropping-particle&quot;:&quot;&quot;,&quot;parse-names&quot;:false,&quot;suffix&quot;:&quot;&quot;},{&quot;dropping-particle&quot;:&quot;&quot;,&quot;family&quot;:&quot;Panés&quot;,&quot;given&quot;:&quot;Julián&quot;,&quot;non-dropping-particle&quot;:&quot;&quot;,&quot;parse-names&quot;:false,&quot;suffix&quot;:&quot;&quot;}],&quot;container-title&quot;:&quot;Alimentary pharmacology &amp; therapeutics&quot;,&quot;id&quot;:&quot;3b7bc26d-3a15-37bb-bdcb-f1667e0d6ed9&quot;,&quot;issue&quot;:&quot;11-12&quot;,&quot;issued&quot;:{&quot;date-parts&quot;:[[&quot;2018&quot;,&quot;12&quot;]]},&quot;language&quot;:&quot;eng&quot;,&quot;page&quot;:&quot;1232-1241&quot;,&quot;publisher-place&quot;:&quot;England&quot;,&quot;title&quot;:&quot;Persistent damage on magnetic resonance enterography in patients with Crohn's  disease in endoscopic remission.&quot;,&quot;type&quot;:&quot;article-journal&quot;,&quot;volume&quot;:&quot;48&quot;,&quot;container-title-short&quot;:&quot;Aliment Pharmacol Ther&quot;},&quot;uris&quot;:[&quot;http://www.mendeley.com/documents/?uuid=35ea28a8-f767-4319-815d-efb0c9b3daf2&quot;],&quot;isTemporary&quot;:false,&quot;legacyDesktopId&quot;:&quot;35ea28a8-f767-4319-815d-efb0c9b3daf2&quot;}]},{&quot;citationID&quot;:&quot;MENDELEY_CITATION_7c88b1aa-af68-4927-b1d0-7925478f044f&quot;,&quot;properties&quot;:{&quot;noteIndex&quot;:0},&quot;isEdited&quot;:false,&quot;manualOverride&quot;:{&quot;citeprocText&quot;:&quot;[4,5]&quot;,&quot;isManuallyOverridden&quot;:false,&quot;manualOverrideText&quot;:&quot;&quot;},&quot;citationTag&quot;:&quot;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&quot;,&quot;citationItems&quot;:[{&quot;id&quot;:&quot;ee0335e4-4aa5-3214-8a5c-ecf0e0e30e8a&quot;,&quot;itemData&quot;:{&quot;DOI&quot;:&quot;10.1053/j.gastro.2020.12.031&quot;,&quot;ISSN&quot;:&quot;1528-0012 (Electronic)&quot;,&quot;PMID&quot;:&quot;33359090&quot;,&quot;abstract&quot;:&quot;BACKGROUND: The Selecting Therapeutic Targets in Inflammatory Bowel Disease (STRIDE)  initiative of the International Organization for the Study of Inflammatory Bowel Diseases (IOIBD) has proposed treatment targets in 2015 for adult patients with inflammatory bowel disease (IBD). We aimed to update the original STRIDE statements for incorporating treatment targets in both adult and pediatric IBD. METHODS: Based on a systematic review of the literature and iterative surveys of 89 IOIBD members, recommendations were drafted and modified in 2 surveys and 2 voting rounds. Consensus was reached if ≥75% of participants scored the recommendation as 7 to 10 on a 10-point rating scale. RESULTS: In the systematic review, 11,278 manuscripts were screened, of which 435 were included. The first IOIBD survey identified the following targets as most important: clinical response and remission, endoscopic healing, and normalization of C-reactive protein/erythrocyte sedimentation rate and calprotectin. Fifteen recommendations were identified, of which 13 were endorsed. STRIDE-II confirmed STRIDE-I long-term targets of clinical remission and endoscopic healing and added absence of disability, restoration of quality of life, and normal growth in children. Symptomatic relief and normalization of serum and fecal markers have been determined as short-term targets. Transmural healing in Crohn's disease and histological healing in ulcerative colitis are not formal targets but should be assessed as measures of the remission depth. CONCLUSIONS: STRIDE-II encompasses evidence- and consensus-based recommendations for treat-to-target strategies in adults and children with IBD. This frameworkshould be adapted to individual patients and local resources to improve outcomes.&quot;,&quot;author&quot;:[{&quot;dropping-particle&quot;:&quot;&quot;,&quot;family&quot;:&quot;Turner&quot;,&quot;given&quot;:&quot;Dan&quot;,&quot;non-dropping-particle&quot;:&quot;&quot;,&quot;parse-names&quot;:false,&quot;suffix&quot;:&quot;&quot;},{&quot;dropping-particle&quot;:&quot;&quot;,&quot;family&quot;:&quot;Ricciuto&quot;,&quot;given&quot;:&quot;Amanda&quot;,&quot;non-dropping-particle&quot;:&quot;&quot;,&quot;parse-names&quot;:false,&quot;suffix&quot;:&quot;&quot;},{&quot;dropping-particle&quot;:&quot;&quot;,&quot;family&quot;:&quot;Lewis&quot;,&quot;given&quot;:&quot;Ayanna&quot;,&quot;non-dropping-particle&quot;:&quot;&quot;,&quot;parse-names&quot;:false,&quot;suffix&quot;:&quot;&quot;},{&quot;dropping-particle&quot;:&quot;&quot;,&quot;family&quot;:&quot;D'Amico&quot;,&quot;given&quot;:&quot;Ferdinando&quot;,&quot;non-dropping-particle&quot;:&quot;&quot;,&quot;parse-names&quot;:false,&quot;suffix&quot;:&quot;&quot;},{&quot;dropping-particle&quot;:&quot;&quot;,&quot;family&quot;:&quot;Dhaliwal&quot;,&quot;given&quot;:&quot;Jasbir&quot;,&quot;non-dropping-particle&quot;:&quot;&quot;,&quot;parse-names&quot;:false,&quot;suffix&quot;:&quot;&quot;},{&quot;dropping-particle&quot;:&quot;&quot;,&quot;family&quot;:&quot;Griffiths&quot;,&quot;given&quot;:&quot;Anne M&quot;,&quot;non-dropping-particle&quot;:&quot;&quot;,&quot;parse-names&quot;:false,&quot;suffix&quot;:&quot;&quot;},{&quot;dropping-particle&quot;:&quot;&quot;,&quot;family&quot;:&quot;Bettenworth&quot;,&quot;given&quot;:&quot;Dominik&quot;,&quot;non-dropping-particle&quot;:&quot;&quot;,&quot;parse-names&quot;:false,&quot;suffix&quot;:&quot;&quot;},{&quot;dropping-particle&quot;:&quot;&quot;,&quot;family&quot;:&quot;Sandborn&quot;,&quot;given&quot;:&quot;William J&quot;,&quot;non-dropping-particle&quot;:&quot;&quot;,&quot;parse-names&quot;:false,&quot;suffix&quot;:&quot;&quot;},{&quot;dropping-particle&quot;:&quot;&quot;,&quot;family&quot;:&quot;Sands&quot;,&quot;given&quot;:&quot;Bruce E&quot;,&quot;non-dropping-particle&quot;:&quot;&quot;,&quot;parse-names&quot;:false,&quot;suffix&quot;:&quot;&quot;},{&quot;dropping-particle&quot;:&quot;&quot;,&quot;family&quot;:&quot;Reinisch&quot;,&quot;given&quot;:&quot;Walter&quot;,&quot;non-dropping-particle&quot;:&quot;&quot;,&quot;parse-names&quot;:false,&quot;suffix&quot;:&quot;&quot;},{&quot;dropping-particle&quot;:&quot;&quot;,&quot;family&quot;:&quot;Schölmerich&quot;,&quot;given&quot;:&quot;Jürgen&quot;,&quot;non-dropping-particle&quot;:&quot;&quot;,&quot;parse-names&quot;:false,&quot;suffix&quot;:&quot;&quot;},{&quot;dropping-particle&quot;:&quot;&quot;,&quot;family&quot;:&quot;Bemelman&quot;,&quot;given&quot;:&quot;Willem&quot;,&quot;non-dropping-particle&quot;:&quot;&quot;,&quot;parse-names&quot;:false,&quot;suffix&quot;:&quot;&quot;},{&quot;dropping-particle&quot;:&quot;&quot;,&quot;family&quot;:&quot;Danese&quot;,&quot;given&quot;:&quot;Silvio&quot;,&quot;non-dropping-particle&quot;:&quot;&quot;,&quot;parse-names&quot;:false,&quot;suffix&quot;:&quot;&quot;},{&quot;dropping-particle&quot;:&quot;&quot;,&quot;family&quot;:&quot;Mary&quot;,&quot;given&quot;:&quot;Jean Yves&quot;,&quot;non-dropping-particle&quot;:&quot;&quot;,&quot;parse-names&quot;:false,&quot;suffix&quot;:&quot;&quot;},{&quot;dropping-particle&quot;:&quot;&quot;,&quot;family&quot;:&quot;Rubin&quot;,&quot;given&quot;:&quot;David&quot;,&quot;non-dropping-particle&quot;:&quot;&quot;,&quot;parse-names&quot;:false,&quot;suffix&quot;:&quot;&quot;},{&quot;dropping-particle&quot;:&quot;&quot;,&quot;family&quot;:&quot;Colombel&quot;,&quot;given&quot;:&quot;Jean-Frederic&quot;,&quot;non-dropping-particle&quot;:&quot;&quot;,&quot;parse-names&quot;:false,&quot;suffix&quot;:&quot;&quot;},{&quot;dropping-particle&quot;:&quot;&quot;,&quot;family&quot;:&quot;Peyrin-Biroulet&quot;,&quot;given&quot;:&quot;Laurent&quot;,&quot;non-dropping-particle&quot;:&quot;&quot;,&quot;parse-names&quot;:false,&quot;suffix&quot;:&quot;&quot;},{&quot;dropping-particle&quot;:&quot;&quot;,&quot;family&quot;:&quot;Dotan&quot;,&quot;given&quot;:&quot;Iris&quot;,&quot;non-dropping-particle&quot;:&quot;&quot;,&quot;parse-names&quot;:false,&quot;suffix&quot;:&quot;&quot;},{&quot;dropping-particle&quot;:&quot;&quot;,&quot;family&quot;:&quot;Abreu&quot;,&quot;given&quot;:&quot;Maria T&quot;,&quot;non-dropping-particle&quot;:&quot;&quot;,&quot;parse-names&quot;:false,&quot;suffix&quot;:&quot;&quot;},{&quot;dropping-particle&quot;:&quot;&quot;,&quot;family&quot;:&quot;Dignass&quot;,&quot;given&quot;:&quot;Axel&quot;,&quot;non-dropping-particle&quot;:&quot;&quot;,&quot;parse-names&quot;:false,&quot;suffix&quot;:&quot;&quot;}],&quot;container-title&quot;:&quot;Gastroenterology&quot;,&quot;id&quot;:&quot;ee0335e4-4aa5-3214-8a5c-ecf0e0e30e8a&quot;,&quot;issue&quot;:&quot;5&quot;,&quot;issued&quot;:{&quot;date-parts&quot;:[[&quot;2021&quot;,&quot;4&quot;]]},&quot;language&quot;:&quot;eng&quot;,&quot;page&quot;:&quot;1570-1583&quot;,&quot;publisher-place&quot;:&quot;United States&quot;,&quot;title&quot;:&quot;STRIDE-II: An Update on the Selecting Therapeutic Targets in Inflammatory Bowel  Disease (STRIDE) Initiative of the International Organization for the Study of IBD (IOIBD): Determining Therapeutic Goals for Treat-to-Target strategies in IBD.&quot;,&quot;type&quot;:&quot;article-journal&quot;,&quot;volume&quot;:&quot;160&quot;,&quot;container-title-short&quot;:&quot;Gastroenterology&quot;},&quot;uris&quot;:[&quot;http://www.mendeley.com/documents/?uuid=fe060cf3-41c2-4d33-9ebd-732ef2a8ad37&quot;],&quot;isTemporary&quot;:false,&quot;legacyDesktopId&quot;:&quot;fe060cf3-41c2-4d33-9ebd-732ef2a8ad37&quot;},{&quot;id&quot;:&quot;5f03044c-6d62-3c91-862c-12ad98a5c994&quot;,&quot;itemData&quot;:{&quot;DOI&quot;:&quot;10.1038/ajg.2015.233&quot;,&quot;ISSN&quot;:&quot;1572-0241 (Electronic)&quot;,&quot;PMID&quot;:&quot;26303131&quot;,&quot;abstract&quot;:&quot;OBJECTIVES: The Selecting Therapeutic Targets in Inflammatory Bowel Disease (STRIDE)  program was initiated by the International Organization for the Study of Inflammatory Bowel Diseases (IOIBD). It examined potential treatment targets for inflammatory bowel disease (IBD) to be used for a \&quot;treat-to-target\&quot; clinical management strategy using an evidence-based expert consensus process. METHODS: A Steering Committee of 28 IBD specialists developed recommendations based on a systematic literature review and expert opinion. Consensus was gained if ≥75% of participants scored the recommendation as 7-10 on a 10-point rating scale (where 10=agree completely). RESULTS: The group agreed upon 12 recommendations for ulcerative colitis (UC) and Crohn's disease (CD). The agreed target for UC was clinical/patient-reported outcome (PRO) remission (defined as resolution of rectal bleeding and diarrhea/altered bowel habit) and endoscopic remission (defined as a Mayo endoscopic subscore of 0-1). Histological remission was considered as an adjunctive goal. Clinical/PRO remission was also agreed upon as a target for CD and defined as resolution of abdominal pain and diarrhea/altered bowel habit; and endoscopic remission, defined as resolution of ulceration at ileocolonoscopy, or resolution of findings of inflammation on cross-sectional imaging in patients who cannot be adequately assessed with ileocolonoscopy. Biomarker remission (normal C-reactive protein (CRP) and calprotectin) was considered as an adjunctive target. CONCLUSIONS: Evidence- and consensus-based recommendations for selecting the goals for treat-to-target strategies in patients with IBD are made available. Prospective studies are needed to determine how these targets will change disease course and patients' quality of life.&quot;,&quot;author&quot;:[{&quot;dropping-particle&quot;:&quot;&quot;,&quot;family&quot;:&quot;Peyrin-Biroulet&quot;,&quot;given&quot;:&quot;L&quot;,&quot;non-dropping-particle&quot;:&quot;&quot;,&quot;parse-names&quot;:false,&quot;suffix&quot;:&quot;&quot;},{&quot;dropping-particle&quot;:&quot;&quot;,&quot;family&quot;:&quot;Sandborn&quot;,&quot;given&quot;:&quot;W&quot;,&quot;non-dropping-particle&quot;:&quot;&quot;,&quot;parse-names&quot;:false,&quot;suffix&quot;:&quot;&quot;},{&quot;dropping-particle&quot;:&quot;&quot;,&quot;family&quot;:&quot;Sands&quot;,&quot;given&quot;:&quot;B E&quot;,&quot;non-dropping-particle&quot;:&quot;&quot;,&quot;parse-names&quot;:false,&quot;suffix&quot;:&quot;&quot;},{&quot;dropping-particle&quot;:&quot;&quot;,&quot;family&quot;:&quot;Reinisch&quot;,&quot;given&quot;:&quot;W&quot;,&quot;non-dropping-particle&quot;:&quot;&quot;,&quot;parse-names&quot;:false,&quot;suffix&quot;:&quot;&quot;},{&quot;dropping-particle&quot;:&quot;&quot;,&quot;family&quot;:&quot;Bemelman&quot;,&quot;given&quot;:&quot;W&quot;,&quot;non-dropping-particle&quot;:&quot;&quot;,&quot;parse-names&quot;:false,&quot;suffix&quot;:&quot;&quot;},{&quot;dropping-particle&quot;:&quot;V&quot;,&quot;family&quot;:&quot;Bryant&quot;,&quot;given&quot;:&quot;R&quot;,&quot;non-dropping-particle&quot;:&quot;&quot;,&quot;parse-names&quot;:false,&quot;suffix&quot;:&quot;&quot;},{&quot;dropping-particle&quot;:&quot;&quot;,&quot;family&quot;:&quot;D'Haens&quot;,&quot;given&quot;:&quot;G&quot;,&quot;non-dropping-particle&quot;:&quot;&quot;,&quot;parse-names&quot;:false,&quot;suffix&quot;:&quot;&quot;},{&quot;dropping-particle&quot;:&quot;&quot;,&quot;family&quot;:&quot;Dotan&quot;,&quot;given&quot;:&quot;I&quot;,&quot;non-dropping-particle&quot;:&quot;&quot;,&quot;parse-names&quot;:false,&quot;suffix&quot;:&quot;&quot;},{&quot;dropping-particle&quot;:&quot;&quot;,&quot;family&quot;:&quot;Dubinsky&quot;,&quot;given&quot;:&quot;M&quot;,&quot;non-dropping-particle&quot;:&quot;&quot;,&quot;parse-names&quot;:false,&quot;suffix&quot;:&quot;&quot;},{&quot;dropping-particle&quot;:&quot;&quot;,&quot;family&quot;:&quot;Feagan&quot;,&quot;given&quot;:&quot;B&quot;,&quot;non-dropping-particle&quot;:&quot;&quot;,&quot;parse-names&quot;:false,&quot;suffix&quot;:&quot;&quot;},{&quot;dropping-particle&quot;:&quot;&quot;,&quot;family&quot;:&quot;Fiorino&quot;,&quot;given&quot;:&quot;G&quot;,&quot;non-dropping-particle&quot;:&quot;&quot;,&quot;parse-names&quot;:false,&quot;suffix&quot;:&quot;&quot;},{&quot;dropping-particle&quot;:&quot;&quot;,&quot;family&quot;:&quot;Gearry&quot;,&quot;given&quot;:&quot;R&quot;,&quot;non-dropping-particle&quot;:&quot;&quot;,&quot;parse-names&quot;:false,&quot;suffix&quot;:&quot;&quot;},{&quot;dropping-particle&quot;:&quot;&quot;,&quot;family&quot;:&quot;Krishnareddy&quot;,&quot;given&quot;:&quot;S&quot;,&quot;non-dropping-particle&quot;:&quot;&quot;,&quot;parse-names&quot;:false,&quot;suffix&quot;:&quot;&quot;},{&quot;dropping-particle&quot;:&quot;&quot;,&quot;family&quot;:&quot;Lakatos&quot;,&quot;given&quot;:&quot;P L&quot;,&quot;non-dropping-particle&quot;:&quot;&quot;,&quot;parse-names&quot;:false,&quot;suffix&quot;:&quot;&quot;},{&quot;dropping-particle&quot;:&quot;&quot;,&quot;family&quot;:&quot;Loftus&quot;,&quot;given&quot;:&quot;E V Jr&quot;,&quot;non-dropping-particle&quot;:&quot;&quot;,&quot;parse-names&quot;:false,&quot;suffix&quot;:&quot;&quot;},{&quot;dropping-particle&quot;:&quot;&quot;,&quot;family&quot;:&quot;Marteau&quot;,&quot;given&quot;:&quot;P&quot;,&quot;non-dropping-particle&quot;:&quot;&quot;,&quot;parse-names&quot;:false,&quot;suffix&quot;:&quot;&quot;},{&quot;dropping-particle&quot;:&quot;&quot;,&quot;family&quot;:&quot;Munkholm&quot;,&quot;given&quot;:&quot;P&quot;,&quot;non-dropping-particle&quot;:&quot;&quot;,&quot;parse-names&quot;:false,&quot;suffix&quot;:&quot;&quot;},{&quot;dropping-particle&quot;:&quot;&quot;,&quot;family&quot;:&quot;Murdoch&quot;,&quot;given&quot;:&quot;T B&quot;,&quot;non-dropping-particle&quot;:&quot;&quot;,&quot;parse-names&quot;:false,&quot;suffix&quot;:&quot;&quot;},{&quot;dropping-particle&quot;:&quot;&quot;,&quot;family&quot;:&quot;Ordás&quot;,&quot;given&quot;:&quot;I&quot;,&quot;non-dropping-particle&quot;:&quot;&quot;,&quot;parse-names&quot;:false,&quot;suffix&quot;:&quot;&quot;},{&quot;dropping-particle&quot;:&quot;&quot;,&quot;family&quot;:&quot;Panaccione&quot;,&quot;given&quot;:&quot;R&quot;,&quot;non-dropping-particle&quot;:&quot;&quot;,&quot;parse-names&quot;:false,&quot;suffix&quot;:&quot;&quot;},{&quot;dropping-particle&quot;:&quot;&quot;,&quot;family&quot;:&quot;Riddell&quot;,&quot;given&quot;:&quot;R H&quot;,&quot;non-dropping-particle&quot;:&quot;&quot;,&quot;parse-names&quot;:false,&quot;suffix&quot;:&quot;&quot;},{&quot;dropping-particle&quot;:&quot;&quot;,&quot;family&quot;:&quot;Ruel&quot;,&quot;given&quot;:&quot;J&quot;,&quot;non-dropping-particle&quot;:&quot;&quot;,&quot;parse-names&quot;:false,&quot;suffix&quot;:&quot;&quot;},{&quot;dropping-particle&quot;:&quot;&quot;,&quot;family&quot;:&quot;Rubin&quot;,&quot;given&quot;:&quot;D T&quot;,&quot;non-dropping-particle&quot;:&quot;&quot;,&quot;parse-names&quot;:false,&quot;suffix&quot;:&quot;&quot;},{&quot;dropping-particle&quot;:&quot;&quot;,&quot;family&quot;:&quot;Samaan&quot;,&quot;given&quot;:&quot;M&quot;,&quot;non-dropping-particle&quot;:&quot;&quot;,&quot;parse-names&quot;:false,&quot;suffix&quot;:&quot;&quot;},{&quot;dropping-particle&quot;:&quot;&quot;,&quot;family&quot;:&quot;Siegel&quot;,&quot;given&quot;:&quot;C A&quot;,&quot;non-dropping-particle&quot;:&quot;&quot;,&quot;parse-names&quot;:false,&quot;suffix&quot;:&quot;&quot;},{&quot;dropping-particle&quot;:&quot;&quot;,&quot;family&quot;:&quot;Silverberg&quot;,&quot;given&quot;:&quot;M S&quot;,&quot;non-dropping-particle&quot;:&quot;&quot;,&quot;parse-names&quot;:false,&quot;suffix&quot;:&quot;&quot;},{&quot;dropping-particle&quot;:&quot;&quot;,&quot;family&quot;:&quot;Stoker&quot;,&quot;given&quot;:&quot;J&quot;,&quot;non-dropping-particle&quot;:&quot;&quot;,&quot;parse-names&quot;:false,&quot;suffix&quot;:&quot;&quot;},{&quot;dropping-particle&quot;:&quot;&quot;,&quot;family&quot;:&quot;Schreiber&quot;,&quot;given&quot;:&quot;S&quot;,&quot;non-dropping-particle&quot;:&quot;&quot;,&quot;parse-names&quot;:false,&quot;suffix&quot;:&quot;&quot;},{&quot;dropping-particle&quot;:&quot;&quot;,&quot;family&quot;:&quot;Travis&quot;,&quot;given&quot;:&quot;S&quot;,&quot;non-dropping-particle&quot;:&quot;&quot;,&quot;parse-names&quot;:false,&quot;suffix&quot;:&quot;&quot;},{&quot;dropping-particle&quot;:&quot;&quot;,&quot;family&quot;:&quot;Assche&quot;,&quot;given&quot;:&quot;G&quot;,&quot;non-dropping-particle&quot;:&quot;Van&quot;,&quot;parse-names&quot;:false,&quot;suffix&quot;:&quot;&quot;},{&quot;dropping-particle&quot;:&quot;&quot;,&quot;family&quot;:&quot;Danese&quot;,&quot;given&quot;:&quot;S&quot;,&quot;non-dropping-particle&quot;:&quot;&quot;,&quot;parse-names&quot;:false,&quot;suffix&quot;:&quot;&quot;},{&quot;dropping-particle&quot;:&quot;&quot;,&quot;family&quot;:&quot;Panes&quot;,&quot;given&quot;:&quot;J&quot;,&quot;non-dropping-particle&quot;:&quot;&quot;,&quot;parse-names&quot;:false,&quot;suffix&quot;:&quot;&quot;},{&quot;dropping-particle&quot;:&quot;&quot;,&quot;family&quot;:&quot;Bouguen&quot;,&quot;given&quot;:&quot;G&quot;,&quot;non-dropping-particle&quot;:&quot;&quot;,&quot;parse-names&quot;:false,&quot;suffix&quot;:&quot;&quot;},{&quot;dropping-particle&quot;:&quot;&quot;,&quot;family&quot;:&quot;O'Donnell&quot;,&quot;given&quot;:&quot;S&quot;,&quot;non-dropping-particle&quot;:&quot;&quot;,&quot;parse-names&quot;:false,&quot;suffix&quot;:&quot;&quot;},{&quot;dropping-particle&quot;:&quot;&quot;,&quot;family&quot;:&quot;Pariente&quot;,&quot;given&quot;:&quot;B&quot;,&quot;non-dropping-particle&quot;:&quot;&quot;,&quot;parse-names&quot;:false,&quot;suffix&quot;:&quot;&quot;},{&quot;dropping-particle&quot;:&quot;&quot;,&quot;family&quot;:&quot;Winer&quot;,&quot;given&quot;:&quot;S&quot;,&quot;non-dropping-particle&quot;:&quot;&quot;,&quot;parse-names&quot;:false,&quot;suffix&quot;:&quot;&quot;},{&quot;dropping-particle&quot;:&quot;&quot;,&quot;family&quot;:&quot;Hanauer&quot;,&quot;given&quot;:&quot;S&quot;,&quot;non-dropping-particle&quot;:&quot;&quot;,&quot;parse-names&quot;:false,&quot;suffix&quot;:&quot;&quot;},{&quot;dropping-particle&quot;:&quot;&quot;,&quot;family&quot;:&quot;Colombel&quot;,&quot;given&quot;:&quot;J-F&quot;,&quot;non-dropping-particle&quot;:&quot;&quot;,&quot;parse-names&quot;:false,&quot;suffix&quot;:&quot;&quot;}],&quot;container-title&quot;:&quot;The American journal of gastroenterology&quot;,&quot;id&quot;:&quot;5f03044c-6d62-3c91-862c-12ad98a5c994&quot;,&quot;issue&quot;:&quot;9&quot;,&quot;issued&quot;:{&quot;date-parts&quot;:[[&quot;2015&quot;,&quot;9&quot;]]},&quot;language&quot;:&quot;eng&quot;,&quot;page&quot;:&quot;1324-1338&quot;,&quot;publisher-place&quot;:&quot;United States&quot;,&quot;title&quot;:&quot;Selecting Therapeutic Targets in Inflammatory Bowel Disease (STRIDE): Determining  Therapeutic Goals for Treat-to-Target.&quot;,&quot;type&quot;:&quot;article-journal&quot;,&quot;volume&quot;:&quot;110&quot;,&quot;container-title-short&quot;:&quot;Am J Gastroenterol&quot;},&quot;uris&quot;:[&quot;http://www.mendeley.com/documents/?uuid=121964cb-7b0f-45e5-9416-ceccb32bfe7c&quot;],&quot;isTemporary&quot;:false,&quot;legacyDesktopId&quot;:&quot;121964cb-7b0f-45e5-9416-ceccb32bfe7c&quot;}]},{&quot;citationID&quot;:&quot;MENDELEY_CITATION_eba7c966-935a-4b2a-b791-b246b8e3eae4&quot;,&quot;properties&quot;:{&quot;noteIndex&quot;:0},&quot;isEdited&quot;:false,&quot;manualOverride&quot;:{&quot;citeprocText&quot;:&quot;[5]&quot;,&quot;isManuallyOverridden&quot;:false,&quot;manualOverrideText&quot;:&quot;&quot;},&quot;citationTag&quot;:&quot;MENDELEY_CITATION_v3_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&quot;,&quot;citationItems&quot;:[{&quot;id&quot;:&quot;ee0335e4-4aa5-3214-8a5c-ecf0e0e30e8a&quot;,&quot;itemData&quot;:{&quot;DOI&quot;:&quot;10.1053/j.gastro.2020.12.031&quot;,&quot;ISSN&quot;:&quot;1528-0012 (Electronic)&quot;,&quot;PMID&quot;:&quot;33359090&quot;,&quot;abstract&quot;:&quot;BACKGROUND: The Selecting Therapeutic Targets in Inflammatory Bowel Disease (STRIDE)  initiative of the International Organization for the Study of Inflammatory Bowel Diseases (IOIBD) has proposed treatment targets in 2015 for adult patients with inflammatory bowel disease (IBD). We aimed to update the original STRIDE statements for incorporating treatment targets in both adult and pediatric IBD. METHODS: Based on a systematic review of the literature and iterative surveys of 89 IOIBD members, recommendations were drafted and modified in 2 surveys and 2 voting rounds. Consensus was reached if ≥75% of participants scored the recommendation as 7 to 10 on a 10-point rating scale. RESULTS: In the systematic review, 11,278 manuscripts were screened, of which 435 were included. The first IOIBD survey identified the following targets as most important: clinical response and remission, endoscopic healing, and normalization of C-reactive protein/erythrocyte sedimentation rate and calprotectin. Fifteen recommendations were identified, of which 13 were endorsed. STRIDE-II confirmed STRIDE-I long-term targets of clinical remission and endoscopic healing and added absence of disability, restoration of quality of life, and normal growth in children. Symptomatic relief and normalization of serum and fecal markers have been determined as short-term targets. Transmural healing in Crohn's disease and histological healing in ulcerative colitis are not formal targets but should be assessed as measures of the remission depth. CONCLUSIONS: STRIDE-II encompasses evidence- and consensus-based recommendations for treat-to-target strategies in adults and children with IBD. This frameworkshould be adapted to individual patients and local resources to improve outcomes.&quot;,&quot;author&quot;:[{&quot;dropping-particle&quot;:&quot;&quot;,&quot;family&quot;:&quot;Turner&quot;,&quot;given&quot;:&quot;Dan&quot;,&quot;non-dropping-particle&quot;:&quot;&quot;,&quot;parse-names&quot;:false,&quot;suffix&quot;:&quot;&quot;},{&quot;dropping-particle&quot;:&quot;&quot;,&quot;family&quot;:&quot;Ricciuto&quot;,&quot;given&quot;:&quot;Amanda&quot;,&quot;non-dropping-particle&quot;:&quot;&quot;,&quot;parse-names&quot;:false,&quot;suffix&quot;:&quot;&quot;},{&quot;dropping-particle&quot;:&quot;&quot;,&quot;family&quot;:&quot;Lewis&quot;,&quot;given&quot;:&quot;Ayanna&quot;,&quot;non-dropping-particle&quot;:&quot;&quot;,&quot;parse-names&quot;:false,&quot;suffix&quot;:&quot;&quot;},{&quot;dropping-particle&quot;:&quot;&quot;,&quot;family&quot;:&quot;D'Amico&quot;,&quot;given&quot;:&quot;Ferdinando&quot;,&quot;non-dropping-particle&quot;:&quot;&quot;,&quot;parse-names&quot;:false,&quot;suffix&quot;:&quot;&quot;},{&quot;dropping-particle&quot;:&quot;&quot;,&quot;family&quot;:&quot;Dhaliwal&quot;,&quot;given&quot;:&quot;Jasbir&quot;,&quot;non-dropping-particle&quot;:&quot;&quot;,&quot;parse-names&quot;:false,&quot;suffix&quot;:&quot;&quot;},{&quot;dropping-particle&quot;:&quot;&quot;,&quot;family&quot;:&quot;Griffiths&quot;,&quot;given&quot;:&quot;Anne M&quot;,&quot;non-dropping-particle&quot;:&quot;&quot;,&quot;parse-names&quot;:false,&quot;suffix&quot;:&quot;&quot;},{&quot;dropping-particle&quot;:&quot;&quot;,&quot;family&quot;:&quot;Bettenworth&quot;,&quot;given&quot;:&quot;Dominik&quot;,&quot;non-dropping-particle&quot;:&quot;&quot;,&quot;parse-names&quot;:false,&quot;suffix&quot;:&quot;&quot;},{&quot;dropping-particle&quot;:&quot;&quot;,&quot;family&quot;:&quot;Sandborn&quot;,&quot;given&quot;:&quot;William J&quot;,&quot;non-dropping-particle&quot;:&quot;&quot;,&quot;parse-names&quot;:false,&quot;suffix&quot;:&quot;&quot;},{&quot;dropping-particle&quot;:&quot;&quot;,&quot;family&quot;:&quot;Sands&quot;,&quot;given&quot;:&quot;Bruce E&quot;,&quot;non-dropping-particle&quot;:&quot;&quot;,&quot;parse-names&quot;:false,&quot;suffix&quot;:&quot;&quot;},{&quot;dropping-particle&quot;:&quot;&quot;,&quot;family&quot;:&quot;Reinisch&quot;,&quot;given&quot;:&quot;Walter&quot;,&quot;non-dropping-particle&quot;:&quot;&quot;,&quot;parse-names&quot;:false,&quot;suffix&quot;:&quot;&quot;},{&quot;dropping-particle&quot;:&quot;&quot;,&quot;family&quot;:&quot;Schölmerich&quot;,&quot;given&quot;:&quot;Jürgen&quot;,&quot;non-dropping-particle&quot;:&quot;&quot;,&quot;parse-names&quot;:false,&quot;suffix&quot;:&quot;&quot;},{&quot;dropping-particle&quot;:&quot;&quot;,&quot;family&quot;:&quot;Bemelman&quot;,&quot;given&quot;:&quot;Willem&quot;,&quot;non-dropping-particle&quot;:&quot;&quot;,&quot;parse-names&quot;:false,&quot;suffix&quot;:&quot;&quot;},{&quot;dropping-particle&quot;:&quot;&quot;,&quot;family&quot;:&quot;Danese&quot;,&quot;given&quot;:&quot;Silvio&quot;,&quot;non-dropping-particle&quot;:&quot;&quot;,&quot;parse-names&quot;:false,&quot;suffix&quot;:&quot;&quot;},{&quot;dropping-particle&quot;:&quot;&quot;,&quot;family&quot;:&quot;Mary&quot;,&quot;given&quot;:&quot;Jean Yves&quot;,&quot;non-dropping-particle&quot;:&quot;&quot;,&quot;parse-names&quot;:false,&quot;suffix&quot;:&quot;&quot;},{&quot;dropping-particle&quot;:&quot;&quot;,&quot;family&quot;:&quot;Rubin&quot;,&quot;given&quot;:&quot;David&quot;,&quot;non-dropping-particle&quot;:&quot;&quot;,&quot;parse-names&quot;:false,&quot;suffix&quot;:&quot;&quot;},{&quot;dropping-particle&quot;:&quot;&quot;,&quot;family&quot;:&quot;Colombel&quot;,&quot;given&quot;:&quot;Jean-Frederic&quot;,&quot;non-dropping-particle&quot;:&quot;&quot;,&quot;parse-names&quot;:false,&quot;suffix&quot;:&quot;&quot;},{&quot;dropping-particle&quot;:&quot;&quot;,&quot;family&quot;:&quot;Peyrin-Biroulet&quot;,&quot;given&quot;:&quot;Laurent&quot;,&quot;non-dropping-particle&quot;:&quot;&quot;,&quot;parse-names&quot;:false,&quot;suffix&quot;:&quot;&quot;},{&quot;dropping-particle&quot;:&quot;&quot;,&quot;family&quot;:&quot;Dotan&quot;,&quot;given&quot;:&quot;Iris&quot;,&quot;non-dropping-particle&quot;:&quot;&quot;,&quot;parse-names&quot;:false,&quot;suffix&quot;:&quot;&quot;},{&quot;dropping-particle&quot;:&quot;&quot;,&quot;family&quot;:&quot;Abreu&quot;,&quot;given&quot;:&quot;Maria T&quot;,&quot;non-dropping-particle&quot;:&quot;&quot;,&quot;parse-names&quot;:false,&quot;suffix&quot;:&quot;&quot;},{&quot;dropping-particle&quot;:&quot;&quot;,&quot;family&quot;:&quot;Dignass&quot;,&quot;given&quot;:&quot;Axel&quot;,&quot;non-dropping-particle&quot;:&quot;&quot;,&quot;parse-names&quot;:false,&quot;suffix&quot;:&quot;&quot;}],&quot;container-title&quot;:&quot;Gastroenterology&quot;,&quot;id&quot;:&quot;ee0335e4-4aa5-3214-8a5c-ecf0e0e30e8a&quot;,&quot;issue&quot;:&quot;5&quot;,&quot;issued&quot;:{&quot;date-parts&quot;:[[&quot;2021&quot;,&quot;4&quot;]]},&quot;language&quot;:&quot;eng&quot;,&quot;page&quot;:&quot;1570-1583&quot;,&quot;publisher-place&quot;:&quot;United States&quot;,&quot;title&quot;:&quot;STRIDE-II: An Update on the Selecting Therapeutic Targets in Inflammatory Bowel  Disease (STRIDE) Initiative of the International Organization for the Study of IBD (IOIBD): Determining Therapeutic Goals for Treat-to-Target strategies in IBD.&quot;,&quot;type&quot;:&quot;article-journal&quot;,&quot;volume&quot;:&quot;160&quot;,&quot;container-title-short&quot;:&quot;Gastroenterology&quot;},&quot;uris&quot;:[&quot;http://www.mendeley.com/documents/?uuid=fe060cf3-41c2-4d33-9ebd-732ef2a8ad37&quot;],&quot;isTemporary&quot;:false,&quot;legacyDesktopId&quot;:&quot;fe060cf3-41c2-4d33-9ebd-732ef2a8ad37&quot;}]},{&quot;citationID&quot;:&quot;MENDELEY_CITATION_24408f4d-39bf-4640-95b9-f298e355c469&quot;,&quot;properties&quot;:{&quot;noteIndex&quot;:0},&quot;isEdited&quot;:false,&quot;manualOverride&quot;:{&quot;citeprocText&quot;:&quot;[10]&quot;,&quot;isManuallyOverridden&quot;:false,&quot;manualOverrideText&quot;:&quot;&quot;},&quot;citationTag&quot;:&quot;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&quot;,&quot;citationItems&quot;:[{&quot;id&quot;:&quot;3511e6aa-e948-3d80-bade-0bba63a2c146&quot;,&quot;itemData&quot;:{&quot;DOI&quot;:&quot;10.1016/S0140-6736(17)32641-7&quot;,&quot;ISSN&quot;:&quot;1474-547X (Electronic)&quot;,&quot;PMID&quot;:&quot;29096949&quot;,&quot;abstract&quot;:&quot;BACKGROUND: Biomarkers of intestinal inflammation, such as faecal calprotectin and  C-reactive protein, have been recommended for monitoring patients with Crohn's disease, but whether their use in treatment decisions improves outcomes is unknown. We aimed to compare endoscopic and clinical outcomes in patients with moderate to severe Crohn's disease who were managed with a tight control algorithm, using clinical symptoms and biomarkers, versus patients managed with a clinical management algorithm. METHODS: CALM was an open-label, randomised, controlled phase 3 study, done in 22 countries at 74 hospitals and outpatient centres, which evaluated adult patients (aged 18-75 years) with active endoscopic Crohn's disease (Crohn's Disease Endoscopic Index of Severity [CDEIS] &gt;6; sum of CDEIS subscores of &gt;6 in one or more segments with ulcers), a Crohn's Disease Activity Index (CDAI) of 150-450 depending on dose of prednisone at baseline, and no previous use of immunomodulators or biologics. Patients were randomly assigned at a 1:1 ratio to tight control or clinical management groups, stratified by smoking status (yes or no), weight (&lt;70 kg or ≥70 kg), and disease duration (≤2 years or &gt;2 years) after 8 weeks of prednisone induction therapy, or earlier if they had active disease. In both groups, treatment was escalated in a stepwise manner, from no treatment, to adalimumab induction followed by adalimumab every other week, adalimumab every week, and lastly to both weekly adalimumab and daily azathioprine. This escalation was based on meeting treatment failure criteria, which differed between groups (tight control group before and after random assignment: faecal calprotectin ≥250 μg/g, C-reactive protein ≥5mg/L, CDAI ≥150, or prednisone use in the previous week; clinical management group before random assignment: CDAI decrease of &lt;70 points compared with baseline or CDAI &gt;200; clinical management group after random assignment: CDAI decrease of &lt;100 points compared with baseline or CDAI ≥200, or prednisone use in the previous week). De-escalation was possible for patients receiving weekly adalimumab and azathioprine or weekly adalimumab alone if failure criteria were not met. The primary endpoint was mucosal healing (CDEIS &lt;4) with absence of deep ulcers 48 weeks after randomisation. Primary and safety analyses were done in the intention-to-treat population. This trial has been completed, and is registered with ClinicalTrials.gov, number NCT01235689. FINDINGS: Be…&quot;,&quot;author&quot;:[{&quot;dropping-particle&quot;:&quot;&quot;,&quot;family&quot;:&quot;Colombel&quot;,&quot;given&quot;:&quot;Jean-Frederic&quot;,&quot;non-dropping-particle&quot;:&quot;&quot;,&quot;parse-names&quot;:false,&quot;suffix&quot;:&quot;&quot;},{&quot;dropping-particle&quot;:&quot;&quot;,&quot;family&quot;:&quot;Panaccione&quot;,&quot;given&quot;:&quot;Remo&quot;,&quot;non-dropping-particle&quot;:&quot;&quot;,&quot;parse-names&quot;:false,&quot;suffix&quot;:&quot;&quot;},{&quot;dropping-particle&quot;:&quot;&quot;,&quot;family&quot;:&quot;Bossuyt&quot;,&quot;given&quot;:&quot;Peter&quot;,&quot;non-dropping-particle&quot;:&quot;&quot;,&quot;parse-names&quot;:false,&quot;suffix&quot;:&quot;&quot;},{&quot;dropping-particle&quot;:&quot;&quot;,&quot;family&quot;:&quot;Lukas&quot;,&quot;given&quot;:&quot;Milan&quot;,&quot;non-dropping-particle&quot;:&quot;&quot;,&quot;parse-names&quot;:false,&quot;suffix&quot;:&quot;&quot;},{&quot;dropping-particle&quot;:&quot;&quot;,&quot;family&quot;:&quot;Baert&quot;,&quot;given&quot;:&quot;Filip&quot;,&quot;non-dropping-particle&quot;:&quot;&quot;,&quot;parse-names&quot;:false,&quot;suffix&quot;:&quot;&quot;},{&quot;dropping-particle&quot;:&quot;&quot;,&quot;family&quot;:&quot;Vaňásek&quot;,&quot;given&quot;:&quot;Tomas&quot;,&quot;non-dropping-particle&quot;:&quot;&quot;,&quot;parse-names&quot;:false,&quot;suffix&quot;:&quot;&quot;},{&quot;dropping-particle&quot;:&quot;&quot;,&quot;family&quot;:&quot;Danalioglu&quot;,&quot;given&quot;:&quot;Ahmet&quot;,&quot;non-dropping-particle&quot;:&quot;&quot;,&quot;parse-names&quot;:false,&quot;suffix&quot;:&quot;&quot;},{&quot;dropping-particle&quot;:&quot;&quot;,&quot;family&quot;:&quot;Novacek&quot;,&quot;given&quot;:&quot;Gottfried&quot;,&quot;non-dropping-particle&quot;:&quot;&quot;,&quot;parse-names&quot;:false,&quot;suffix&quot;:&quot;&quot;},{&quot;dropping-particle&quot;:&quot;&quot;,&quot;family&quot;:&quot;Armuzzi&quot;,&quot;given&quot;:&quot;Alessandro&quot;,&quot;non-dropping-particle&quot;:&quot;&quot;,&quot;parse-names&quot;:false,&quot;suffix&quot;:&quot;&quot;},{&quot;dropping-particle&quot;:&quot;&quot;,&quot;family&quot;:&quot;Hébuterne&quot;,&quot;given&quot;:&quot;Xavier&quot;,&quot;non-dropping-particle&quot;:&quot;&quot;,&quot;parse-names&quot;:false,&quot;suffix&quot;:&quot;&quot;},{&quot;dropping-particle&quot;:&quot;&quot;,&quot;family&quot;:&quot;Travis&quot;,&quot;given&quot;:&quot;Simon&quot;,&quot;non-dropping-particle&quot;:&quot;&quot;,&quot;parse-names&quot;:false,&quot;suffix&quot;:&quot;&quot;},{&quot;dropping-particle&quot;:&quot;&quot;,&quot;family&quot;:&quot;Danese&quot;,&quot;given&quot;:&quot;Silvio&quot;,&quot;non-dropping-particle&quot;:&quot;&quot;,&quot;parse-names&quot;:false,&quot;suffix&quot;:&quot;&quot;},{&quot;dropping-particle&quot;:&quot;&quot;,&quot;family&quot;:&quot;Reinisch&quot;,&quot;given&quot;:&quot;Walter&quot;,&quot;non-dropping-particle&quot;:&quot;&quot;,&quot;parse-names&quot;:false,&quot;suffix&quot;:&quot;&quot;},{&quot;dropping-particle&quot;:&quot;&quot;,&quot;family&quot;:&quot;Sandborn&quot;,&quot;given&quot;:&quot;William J&quot;,&quot;non-dropping-particle&quot;:&quot;&quot;,&quot;parse-names&quot;:false,&quot;suffix&quot;:&quot;&quot;},{&quot;dropping-particle&quot;:&quot;&quot;,&quot;family&quot;:&quot;Rutgeerts&quot;,&quot;given&quot;:&quot;Paul&quot;,&quot;non-dropping-particle&quot;:&quot;&quot;,&quot;parse-names&quot;:false,&quot;suffix&quot;:&quot;&quot;},{&quot;dropping-particle&quot;:&quot;&quot;,&quot;family&quot;:&quot;Hommes&quot;,&quot;given&quot;:&quot;Daniel&quot;,&quot;non-dropping-particle&quot;:&quot;&quot;,&quot;parse-names&quot;:false,&quot;suffix&quot;:&quot;&quot;},{&quot;dropping-particle&quot;:&quot;&quot;,&quot;family&quot;:&quot;Schreiber&quot;,&quot;given&quot;:&quot;Stefan&quot;,&quot;non-dropping-particle&quot;:&quot;&quot;,&quot;parse-names&quot;:false,&quot;suffix&quot;:&quot;&quot;},{&quot;dropping-particle&quot;:&quot;&quot;,&quot;family&quot;:&quot;Neimark&quot;,&quot;given&quot;:&quot;Ezequiel&quot;,&quot;non-dropping-particle&quot;:&quot;&quot;,&quot;parse-names&quot;:false,&quot;suffix&quot;:&quot;&quot;},{&quot;dropping-particle&quot;:&quot;&quot;,&quot;family&quot;:&quot;Huang&quot;,&quot;given&quot;:&quot;Bidan&quot;,&quot;non-dropping-particle&quot;:&quot;&quot;,&quot;parse-names&quot;:false,&quot;suffix&quot;:&quot;&quot;},{&quot;dropping-particle&quot;:&quot;&quot;,&quot;family&quot;:&quot;Zhou&quot;,&quot;given&quot;:&quot;Qian&quot;,&quot;non-dropping-particle&quot;:&quot;&quot;,&quot;parse-names&quot;:false,&quot;suffix&quot;:&quot;&quot;},{&quot;dropping-particle&quot;:&quot;&quot;,&quot;family&quot;:&quot;Mendez&quot;,&quot;given&quot;:&quot;Paloma&quot;,&quot;non-dropping-particle&quot;:&quot;&quot;,&quot;parse-names&quot;:false,&quot;suffix&quot;:&quot;&quot;},{&quot;dropping-particle&quot;:&quot;&quot;,&quot;family&quot;:&quot;Petersson&quot;,&quot;given&quot;:&quot;Joel&quot;,&quot;non-dropping-particle&quot;:&quot;&quot;,&quot;parse-names&quot;:false,&quot;suffix&quot;:&quot;&quot;},{&quot;dropping-particle&quot;:&quot;&quot;,&quot;family&quot;:&quot;Wallace&quot;,&quot;given&quot;:&quot;Kori&quot;,&quot;non-dropping-particle&quot;:&quot;&quot;,&quot;parse-names&quot;:false,&quot;suffix&quot;:&quot;&quot;},{&quot;dropping-particle&quot;:&quot;&quot;,&quot;family&quot;:&quot;Robinson&quot;,&quot;given&quot;:&quot;Anne M&quot;,&quot;non-dropping-particle&quot;:&quot;&quot;,&quot;parse-names&quot;:false,&quot;suffix&quot;:&quot;&quot;},{&quot;dropping-particle&quot;:&quot;&quot;,&quot;family&quot;:&quot;Thakkar&quot;,&quot;given&quot;:&quot;Roopal B&quot;,&quot;non-dropping-particle&quot;:&quot;&quot;,&quot;parse-names&quot;:false,&quot;suffix&quot;:&quot;&quot;},{&quot;dropping-particle&quot;:&quot;&quot;,&quot;family&quot;:&quot;D'Haens&quot;,&quot;given&quot;:&quot;Geert&quot;,&quot;non-dropping-particle&quot;:&quot;&quot;,&quot;parse-names&quot;:false,&quot;suffix&quot;:&quot;&quot;}],&quot;container-title&quot;:&quot;Lancet (London, England)&quot;,&quot;id&quot;:&quot;3511e6aa-e948-3d80-bade-0bba63a2c146&quot;,&quot;issue&quot;:&quot;10114&quot;,&quot;issued&quot;:{&quot;date-parts&quot;:[[&quot;2017&quot;,&quot;12&quot;]]},&quot;language&quot;:&quot;eng&quot;,&quot;page&quot;:&quot;2779-2789&quot;,&quot;publisher-place&quot;:&quot;England&quot;,&quot;title&quot;:&quot;Effect of tight control management on Crohn's disease (CALM): a multicentre,  randomised, controlled phase 3 trial.&quot;,&quot;type&quot;:&quot;article-journal&quot;,&quot;volume&quot;:&quot;390&quot;,&quot;container-title-short&quot;:&quot;Lancet&quot;},&quot;uris&quot;:[&quot;http://www.mendeley.com/documents/?uuid=284ab321-4ef7-4f21-a2f9-118353cffeec&quot;],&quot;isTemporary&quot;:false,&quot;legacyDesktopId&quot;:&quot;284ab321-4ef7-4f21-a2f9-118353cffeec&quot;}]},{&quot;citationID&quot;:&quot;MENDELEY_CITATION_9a394531-081d-45c9-98ae-01cf9b87a2a5&quot;,&quot;properties&quot;:{&quot;noteIndex&quot;:0},&quot;isEdited&quot;:false,&quot;manualOverride&quot;:{&quot;citeprocText&quot;:&quot;[11]&quot;,&quot;isManuallyOverridden&quot;:false,&quot;manualOverrideText&quot;:&quot;&quot;},&quot;citationTag&quot;:&quot;MENDELEY_CITATION_v3_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&quot;,&quot;citationItems&quot;:[{&quot;id&quot;:&quot;f64be2e1-caf8-3dd1-9a69-9b57ca0fab5a&quot;,&quot;itemData&quot;:{&quot;DOI&quot;:&quot;10.1080/17474124.2019.1563481&quot;,&quot;ISSN&quot;:&quot;1747-4132 (Electronic)&quot;,&quot;PMID&quot;:&quot;30791776&quot;,&quot;abstract&quot;:&quot;'Treat-to-target' paradigms in Crohn's disease (CD) directed at suppressing  intestinal inflammation require accurate and reliable measures of disease activity. Although endoscopy has traditionally been considered a gold standard, cost, complexity, resource limitations, and invasiveness are important limitations. Hence, substantial interest exists for non-invasive serum and fecal biomarkers, namely C-reactive protein (CRP) and fecal calprotectin (FC), in the diagnosis, monitoring, and treatment of CD. Areas covered: We review the evidence for using serum CRP and FC in distinguishing patients with CD from those with irritable bowel syndrome, categorizing disease activity among patients with an established diagnosis of CD, predicting the likelihood of treatment response, identifying asymptomatic patients in medically or surgically induced remission who are at risk for disease relapse, and as treatment targets. Expert commentary: Accurate interpretation of CRP and FC is dependent on several factors including the clinical context, the performance characteristics of the assay, the specified test cut-offs, and the pre-test probability of disease. Emerging evidence indicates that CRP and FC are valuable adjuncts for the management of CD in specific circumstances described in this review.&quot;,&quot;author&quot;:[{&quot;dropping-particle&quot;:&quot;&quot;,&quot;family&quot;:&quot;Ma&quot;,&quot;given&quot;:&quot;Christopher&quot;,&quot;non-dropping-particle&quot;:&quot;&quot;,&quot;parse-names&quot;:false,&quot;suffix&quot;:&quot;&quot;},{&quot;dropping-particle&quot;:&quot;&quot;,&quot;family&quot;:&quot;Battat&quot;,&quot;given&quot;:&quot;Robert&quot;,&quot;non-dropping-particle&quot;:&quot;&quot;,&quot;parse-names&quot;:false,&quot;suffix&quot;:&quot;&quot;},{&quot;dropping-particle&quot;:&quot;&quot;,&quot;family&quot;:&quot;Parker&quot;,&quot;given&quot;:&quot;Claire E&quot;,&quot;non-dropping-particle&quot;:&quot;&quot;,&quot;parse-names&quot;:false,&quot;suffix&quot;:&quot;&quot;},{&quot;dropping-particle&quot;:&quot;&quot;,&quot;family&quot;:&quot;Khanna&quot;,&quot;given&quot;:&quot;Reena&quot;,&quot;non-dropping-particle&quot;:&quot;&quot;,&quot;parse-names&quot;:false,&quot;suffix&quot;:&quot;&quot;},{&quot;dropping-particle&quot;:&quot;&quot;,&quot;family&quot;:&quot;Jairath&quot;,&quot;given&quot;:&quot;Vipul&quot;,&quot;non-dropping-particle&quot;:&quot;&quot;,&quot;parse-names&quot;:false,&quot;suffix&quot;:&quot;&quot;},{&quot;dropping-particle&quot;:&quot;&quot;,&quot;family&quot;:&quot;Feagan&quot;,&quot;given&quot;:&quot;Brian Gordon&quot;,&quot;non-dropping-particle&quot;:&quot;&quot;,&quot;parse-names&quot;:false,&quot;suffix&quot;:&quot;&quot;}],&quot;container-title&quot;:&quot;Expert review of gastroenterology &amp; hepatology&quot;,&quot;id&quot;:&quot;f64be2e1-caf8-3dd1-9a69-9b57ca0fab5a&quot;,&quot;issue&quot;:&quot;4&quot;,&quot;issued&quot;:{&quot;date-parts&quot;:[[&quot;2019&quot;,&quot;4&quot;]]},&quot;language&quot;:&quot;eng&quot;,&quot;page&quot;:&quot;319-330&quot;,&quot;publisher-place&quot;:&quot;England&quot;,&quot;title&quot;:&quot;Update on C-reactive protein and fecal calprotectin: are they accurate measures  of disease activity in Crohn's disease?&quot;,&quot;type&quot;:&quot;article-journal&quot;,&quot;volume&quot;:&quot;13&quot;,&quot;container-title-short&quot;:&quot;Expert Rev Gastroenterol Hepatol&quot;},&quot;uris&quot;:[&quot;http://www.mendeley.com/documents/?uuid=cd675010-306c-41ca-9a1c-f9e90d0d5ade&quot;],&quot;isTemporary&quot;:false,&quot;legacyDesktopId&quot;:&quot;cd675010-306c-41ca-9a1c-f9e90d0d5ade&quot;}]},{&quot;citationID&quot;:&quot;MENDELEY_CITATION_8b3e782f-2845-4632-b9d3-60627b9b96ad&quot;,&quot;properties&quot;:{&quot;noteIndex&quot;:0},&quot;isEdited&quot;:false,&quot;manualOverride&quot;:{&quot;citeprocText&quot;:&quot;[12]&quot;,&quot;isManuallyOverridden&quot;:false,&quot;manualOverrideText&quot;:&quot;&quot;},&quot;citationTag&quot;:&quot;MENDELEY_CITATION_v3_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&quot;,&quot;citationItems&quot;:[{&quot;id&quot;:&quot;13130f6e-34c3-35d5-a4f3-0b48cbd6779a&quot;,&quot;itemData&quot;:{&quot;DOI&quot;:&quot;10.1177/2050640616686517&quot;,&quot;ISSN&quot;:&quot;2050-6406 (Print)&quot;,&quot;PMID&quot;:&quot;28815034&quot;,&quot;abstract&quot;:&quot;BACKGROUND: We investigated, for the first time, levels of compliance with faecal  calprotectin test in inflammatory bowel disease patients. METHODS: All consecutive adult inflammatory bowel disease patients having been prescribed an faecal calprotectin test between December 2014-July 2015 were included. At their next visit to the hospital, patients had to return a stool sample for the faecal calprotectin test and answer a simple questionnaire: 'Have you brought a stool sample? If not, why not? If so, did you encounter any difficulties when collecting the sample? Were you aware of faecal calprotectin before being asked to take the test?'. RESULTS: One hundred and one patients were included (50 men; 77 patients with Crohn's disease). The range age was 40 years (19-68). Eighty-nine patients were being treated with infliximab, 10 were on vedolizumab, and two were not being treated with a biologic. Thirty-seven patients (35%) had performed the faecal calprotectin test. Eighty-one patients (80%) had not been aware of faecal calprotectin before being asked to take the test. Of the 64 patients who did not take the test, the prime reasons for non-compliance were forgetfulness (n = 49, 76.6%), a lack of perceived benefit for the test (n = 7, 11%), constipation (n = 5, 7.8%), refusal to handle faeces (n = 2, 3.1%), and difficulty collecting the stool sample (n = 1, 1.5%). CONCLUSION: Only one-third of the patients performed the faecal calprotectin test. The main reason for non-compliance was forgetfulness. Our present results emphasise the need for better patient education on the importance of complying with faecal calprotectin testing and the future of faecal calprotectin testing at home.&quot;,&quot;author&quot;:[{&quot;dropping-particle&quot;:&quot;&quot;,&quot;family&quot;:&quot;Maréchal&quot;,&quot;given&quot;:&quot;Chloé&quot;,&quot;non-dropping-particle&quot;:&quot;&quot;,&quot;parse-names&quot;:false,&quot;suffix&quot;:&quot;&quot;},{&quot;dropping-particle&quot;:&quot;&quot;,&quot;family&quot;:&quot;Aimone-Gastin&quot;,&quot;given&quot;:&quot;Isabelle&quot;,&quot;non-dropping-particle&quot;:&quot;&quot;,&quot;parse-names&quot;:false,&quot;suffix&quot;:&quot;&quot;},{&quot;dropping-particle&quot;:&quot;&quot;,&quot;family&quot;:&quot;Baumann&quot;,&quot;given&quot;:&quot;Cédric&quot;,&quot;non-dropping-particle&quot;:&quot;&quot;,&quot;parse-names&quot;:false,&quot;suffix&quot;:&quot;&quot;},{&quot;dropping-particle&quot;:&quot;&quot;,&quot;family&quot;:&quot;Dirrenberger&quot;,&quot;given&quot;:&quot;Bastien&quot;,&quot;non-dropping-particle&quot;:&quot;&quot;,&quot;parse-names&quot;:false,&quot;suffix&quot;:&quot;&quot;},{&quot;dropping-particle&quot;:&quot;&quot;,&quot;family&quot;:&quot;Guéant&quot;,&quot;given&quot;:&quot;Jean-Louis&quot;,&quot;non-dropping-particle&quot;:&quot;&quot;,&quot;parse-names&quot;:false,&quot;suffix&quot;:&quot;&quot;},{&quot;dropping-particle&quot;:&quot;&quot;,&quot;family&quot;:&quot;Peyrin-Biroulet&quot;,&quot;given&quot;:&quot;Laurent&quot;,&quot;non-dropping-particle&quot;:&quot;&quot;,&quot;parse-names&quot;:false,&quot;suffix&quot;:&quot;&quot;}],&quot;container-title&quot;:&quot;United European gastroenterology journal&quot;,&quot;id&quot;:&quot;13130f6e-34c3-35d5-a4f3-0b48cbd6779a&quot;,&quot;issue&quot;:&quot;5&quot;,&quot;issued&quot;:{&quot;date-parts&quot;:[[&quot;2017&quot;,&quot;8&quot;]]},&quot;language&quot;:&quot;eng&quot;,&quot;page&quot;:&quot;702-707&quot;,&quot;title&quot;:&quot;Compliance with the faecal calprotectin test in patients with inflammatory bowel  disease.&quot;,&quot;type&quot;:&quot;article-journal&quot;,&quot;volume&quot;:&quot;5&quot;,&quot;container-title-short&quot;:&quot;United European Gastroenterol J&quot;},&quot;uris&quot;:[&quot;http://www.mendeley.com/documents/?uuid=0dd23723-03f6-4404-9955-dc213bbe43c2&quot;],&quot;isTemporary&quot;:false,&quot;legacyDesktopId&quot;:&quot;0dd23723-03f6-4404-9955-dc213bbe43c2&quot;}]},{&quot;citationID&quot;:&quot;MENDELEY_CITATION_efe9863f-bdbe-4fb4-8444-7d83f2670f03&quot;,&quot;properties&quot;:{&quot;noteIndex&quot;:0},&quot;isEdited&quot;:false,&quot;manualOverride&quot;:{&quot;citeprocText&quot;:&quot;[13,14]&quot;,&quot;isManuallyOverridden&quot;:false,&quot;manualOverrideText&quot;:&quot;&quot;},&quot;citationTag&quot;:&quot;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&quot;,&quot;citationItems&quot;:[{&quot;id&quot;:&quot;c6fd6274-fa72-364d-9592-4228b58d191c&quot;,&quot;itemData&quot;:{&quot;DOI&quot;:&quot;10.1177/2050640613518201&quot;,&quot;ISSN&quot;:&quot;2050-6406&quot;,&quot;abstract&quot;:&quot;BACKGROUND AND OBJECTIVES: Faecal calprotectin is a valuable noninvasive marker for inflammatory bowel disease (IBD). The aim of our study was to determine the correlation between six different calprotectin assays and compare their performance for diagnosis and follow up of IBD. METHODS: Thirty-one patients with suspected IBD and 31 patients in follow up were included. We determined calprotectin by means of three rapid immmunochromatographic tests, two enzyme-linked immunosorbent assays, and one automated fluoroimmunoassay. Results were correlated with endoscopic and histological findings. RESULTS: Although all methods correlated significantly, slopes and intercepts differed extensively, with up to 5-fold quantitative differences between assays. Sensitivity and specificity for diagnosis of IBD were 82-83 and 84-89%, respectively. For follow up, sensitivity in detecting mild ulcerative colitis was 71-100%. In moderate-to-severe ulcerative colitis, sensitivity was 100% for all assays. Specificity was 67-86% in both subgroups. In Crohn's disease, only moderate-to-severe disease could be differentiated from remission, with sensitivity 83-86% and specificity 75% for all tests. CONCLUSIONS: All calprotectin assays showed comparable clinical performance for diagnosis of IBD. For follow up, performance was acceptable, except for mild Crohn's disease. Because of the large quantitative differences, further efforts are needed to standardize calprotectin assays.&quot;,&quot;author&quot;:[{&quot;dropping-particle&quot;:&quot;&quot;,&quot;family&quot;:&quot;Labaere&quot;,&quot;given&quot;:&quot;Delphine&quot;,&quot;non-dropping-particle&quot;:&quot;&quot;,&quot;parse-names&quot;:false,&quot;suffix&quot;:&quot;&quot;},{&quot;dropping-particle&quot;:&quot;&quot;,&quot;family&quot;:&quot;Smismans&quot;,&quot;given&quot;:&quot;Annick&quot;,&quot;non-dropping-particle&quot;:&quot;&quot;,&quot;parse-names&quot;:false,&quot;suffix&quot;:&quot;&quot;},{&quot;dropping-particle&quot;:&quot;&quot;,&quot;family&quot;:&quot;Olmen&quot;,&quot;given&quot;:&quot;August&quot;,&quot;non-dropping-particle&quot;:&quot;Van&quot;,&quot;parse-names&quot;:false,&quot;suffix&quot;:&quot;&quot;},{&quot;dropping-particle&quot;:&quot;&quot;,&quot;family&quot;:&quot;Christiaens&quot;,&quot;given&quot;:&quot;Paul&quot;,&quot;non-dropping-particle&quot;:&quot;&quot;,&quot;parse-names&quot;:false,&quot;suffix&quot;:&quot;&quot;},{&quot;dropping-particle&quot;:&quot;&quot;,&quot;family&quot;:&quot;D'Haens&quot;,&quot;given&quot;:&quot;Geert&quot;,&quot;non-dropping-particle&quot;:&quot;&quot;,&quot;parse-names&quot;:false,&quot;suffix&quot;:&quot;&quot;},{&quot;dropping-particle&quot;:&quot;&quot;,&quot;family&quot;:&quot;Moons&quot;,&quot;given&quot;:&quot;Veerle&quot;,&quot;non-dropping-particle&quot;:&quot;&quot;,&quot;parse-names&quot;:false,&quot;suffix&quot;:&quot;&quot;},{&quot;dropping-particle&quot;:&quot;&quot;,&quot;family&quot;:&quot;Cuyle&quot;,&quot;given&quot;:&quot;Pieter-Jan&quot;,&quot;non-dropping-particle&quot;:&quot;&quot;,&quot;parse-names&quot;:false,&quot;suffix&quot;:&quot;&quot;},{&quot;dropping-particle&quot;:&quot;&quot;,&quot;family&quot;:&quot;Frans&quot;,&quot;given&quot;:&quot;Johan&quot;,&quot;non-dropping-particle&quot;:&quot;&quot;,&quot;parse-names&quot;:false,&quot;suffix&quot;:&quot;&quot;},{&quot;dropping-particle&quot;:&quot;&quot;,&quot;family&quot;:&quot;Bossuyt&quot;,&quot;given&quot;:&quot;Peter&quot;,&quot;non-dropping-particle&quot;:&quot;&quot;,&quot;parse-names&quot;:false,&quot;suffix&quot;:&quot;&quot;}],&quot;container-title&quot;:&quot;United European gastroenterology journal&quot;,&quot;id&quot;:&quot;c6fd6274-fa72-364d-9592-4228b58d191c&quot;,&quot;issue&quot;:&quot;1&quot;,&quot;issued&quot;:{&quot;date-parts&quot;:[[&quot;2014&quot;,&quot;2&quot;]]},&quot;language&quot;:&quot;eng&quot;,&quot;page&quot;:&quot;30-37&quot;,&quot;publisher&quot;:&quot;SAGE Publications&quot;,&quot;title&quot;:&quot;Comparison of six different calprotectin assays for the assessment of inflammatory bowel disease&quot;,&quot;type&quot;:&quot;article-journal&quot;,&quot;volume&quot;:&quot;2&quot;,&quot;container-title-short&quot;:&quot;United European Gastroenterol J&quot;},&quot;uris&quot;:[&quot;http://www.mendeley.com/documents/?uuid=4edda73c-7776-4364-8723-34b84a492df9&quot;],&quot;isTemporary&quot;:false,&quot;legacyDesktopId&quot;:&quot;4edda73c-7776-4364-8723-34b84a492df9&quot;},{&quot;id&quot;:&quot;f88a3f97-4f0d-31b5-b5b7-a088f45c7838&quot;,&quot;itemData&quot;:{&quot;DOI&quot;:&quot;10.1258/acb.2012.011272&quot;,&quot;ISSN&quot;:&quot;1758-1001 (Electronic)&quot;,&quot;PMID&quot;:&quot;23129721&quot;,&quot;abstract&quot;:&quot;BACKGROUND: Faecal calprotectin (f-Cp), a marker of intestinal inflammation, can  be used to distinguish between functional and organic bowel disease. F-Cp, following extraction, is commonly quantified using enzyme-linked immunosorbent assays (ELISAs) but there are no data comparing the different f-Cp assays or sample extraction devices. We, therefore, evaluated and compared the performance of the Immunodiagnostik, Bühlmann and Eurospital f-Cp ELISA assays as well as the Roche, Immunodiagnostik and ScheBo Biotech commercial faecal extraction devices. We also briefly report results from a pilot f-Cp external quality assurance (EQA) scheme. METHODS: Imprecision, linearity, recovery, drift and limit of quantitation of the f-Cp assays were evaluated and between-assay variability assessed. The three commercial sample extraction devices were compared with the manual weighing method. Four faecal samples were distributed as part of a pilot EQA scheme to 15 laboratories using quantitative ELISA f-Cp assays. RESULTS: The three f-Cp assays demonstrated adequate intra-/interbatch imprecision, linearity and recovery. The cross-comparison study and EQA data demonstrated that, for the same sample, the Bühlmann assay reports up to 3.8 times higher f-Cp concentrations than the Immunodiagnostik and Eurospital assays. On average, the commercial extraction devices led to a 7.8-28.1% under-recovery of f-Cp in comparison to the manual weighing method. CONCLUSIONS: Laboratories should be aware of the lack of the assay standardization, as demonstrated by the between-assay variability. A comparison between f-Cp concentrations reported by these assays and clinical markers of disease severity is required in order to determine their diagnostic accuracy. The EQA scheme represents the first available programme for f-Cp.&quot;,&quot;author&quot;:[{&quot;dropping-particle&quot;:&quot;&quot;,&quot;family&quot;:&quot;Whitehead&quot;,&quot;given&quot;:&quot;S J&quot;,&quot;non-dropping-particle&quot;:&quot;&quot;,&quot;parse-names&quot;:false,&quot;suffix&quot;:&quot;&quot;},{&quot;dropping-particle&quot;:&quot;&quot;,&quot;family&quot;:&quot;French&quot;,&quot;given&quot;:&quot;J&quot;,&quot;non-dropping-particle&quot;:&quot;&quot;,&quot;parse-names&quot;:false,&quot;suffix&quot;:&quot;&quot;},{&quot;dropping-particle&quot;:&quot;&quot;,&quot;family&quot;:&quot;Brookes&quot;,&quot;given&quot;:&quot;M J&quot;,&quot;non-dropping-particle&quot;:&quot;&quot;,&quot;parse-names&quot;:false,&quot;suffix&quot;:&quot;&quot;},{&quot;dropping-particle&quot;:&quot;&quot;,&quot;family&quot;:&quot;Ford&quot;,&quot;given&quot;:&quot;C&quot;,&quot;non-dropping-particle&quot;:&quot;&quot;,&quot;parse-names&quot;:false,&quot;suffix&quot;:&quot;&quot;},{&quot;dropping-particle&quot;:&quot;&quot;,&quot;family&quot;:&quot;Gama&quot;,&quot;given&quot;:&quot;R&quot;,&quot;non-dropping-particle&quot;:&quot;&quot;,&quot;parse-names&quot;:false,&quot;suffix&quot;:&quot;&quot;}],&quot;container-title&quot;:&quot;Annals of clinical biochemistry&quot;,&quot;id&quot;:&quot;f88a3f97-4f0d-31b5-b5b7-a088f45c7838&quot;,&quot;issue&quot;:&quot;Pt 1&quot;,&quot;issued&quot;:{&quot;date-parts&quot;:[[&quot;2013&quot;,&quot;1&quot;]]},&quot;language&quot;:&quot;eng&quot;,&quot;page&quot;:&quot;53-61&quot;,&quot;publisher-place&quot;:&quot;England&quot;,&quot;title&quot;:&quot;Between-assay variability of faecal calprotectin enzyme-linked immunosorbent  assay kits.&quot;,&quot;type&quot;:&quot;article-journal&quot;,&quot;volume&quot;:&quot;50&quot;,&quot;container-title-short&quot;:&quot;Ann Clin Biochem&quot;},&quot;uris&quot;:[&quot;http://www.mendeley.com/documents/?uuid=4412cb16-1af6-4f76-ad75-59d160eec4a1&quot;],&quot;isTemporary&quot;:false,&quot;legacyDesktopId&quot;:&quot;4412cb16-1af6-4f76-ad75-59d160eec4a1&quot;}]},{&quot;citationID&quot;:&quot;MENDELEY_CITATION_b2a471ef-2225-42fd-923f-d34c5c207bdd&quot;,&quot;properties&quot;:{&quot;noteIndex&quot;:0},&quot;isEdited&quot;:false,&quot;manualOverride&quot;:{&quot;citeprocText&quot;:&quot;[15]&quot;,&quot;isManuallyOverridden&quot;:false,&quot;manualOverrideText&quot;:&quot;&quot;},&quot;citationTag&quot;:&quot;MENDELEY_CITATION_v3_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&quot;,&quot;citationItems&quot;:[{&quot;id&quot;:&quot;c3a068a5-4abe-3783-8f96-9a2d7a3fd608&quot;,&quot;itemData&quot;:{&quot;DOI&quot;:&quot;10.1016/j.crohns.2014.06.002&quot;,&quot;ISSN&quot;:&quot;1873-9946&quot;,&quot;abstract&quot;:&quot;Leukocyte-derived proteins in faeces, especially calprotectin, are increasingly used to assess disease activity in ulcerative colitis. The objectives of the present study were to assess the importance of factors related to the stool sampling procedure.For 2 days, patients with active ulcerative colitis collected two stool samples at each bowel movement. The time of defecation, consistency and presence of blood were self-recorded in a diary. The variability in the concentrations of calprotectin during the day and between two consecutive days was assessed, as was the stability of calprotectin concentrations in samples stored at room temperature.Altogether, 18 patients collected 287 stool samples. The intraclass correlation coefficient in pairs of samples from 132 bowel movements was 0.79 (95% CI 0.48–0.90). The median individual coefficient of variation in samples collected during the same day was 52% (4–178). There was a correlation between the level of calprotectin and the time between bowel movements (r = 0.5; p = 0.013). After 3 days at room temperature the calprotectin concentrations in stool samples were unchanged, but after 7 days a significant (p &amp;lt; 0.01) decrease was found (mean 28%; 95% CI 0.10–0.47).The present data reveal a great variability in the concentrations of calprotectin in stool samples collected during a single day. Since the levels of calprotectin increased with longer time between the bowel movements, it seems most appropriate to analyse stool from the first bowel movement in the morning. Moreover, storage of stool samples at room temperature for more than 3 days is not advisable.&quot;,&quot;author&quot;:[{&quot;dropping-particle&quot;:&quot;&quot;,&quot;family&quot;:&quot;Lasson&quot;,&quot;given&quot;:&quot;Anders&quot;,&quot;non-dropping-particle&quot;:&quot;&quot;,&quot;parse-names&quot;:false,&quot;suffix&quot;:&quot;&quot;},{&quot;dropping-particle&quot;:&quot;&quot;,&quot;family&quot;:&quot;Stotzer&quot;,&quot;given&quot;:&quot;Per-Ove&quot;,&quot;non-dropping-particle&quot;:&quot;&quot;,&quot;parse-names&quot;:false,&quot;suffix&quot;:&quot;&quot;},{&quot;dropping-particle&quot;:&quot;&quot;,&quot;family&quot;:&quot;Öhman&quot;,&quot;given&quot;:&quot;Lena&quot;,&quot;non-dropping-particle&quot;:&quot;&quot;,&quot;parse-names&quot;:false,&quot;suffix&quot;:&quot;&quot;},{&quot;dropping-particle&quot;:&quot;&quot;,&quot;family&quot;:&quot;Isaksson&quot;,&quot;given&quot;:&quot;Stefan&quot;,&quot;non-dropping-particle&quot;:&quot;&quot;,&quot;parse-names&quot;:false,&quot;suffix&quot;:&quot;&quot;},{&quot;dropping-particle&quot;:&quot;&quot;,&quot;family&quot;:&quot;Sapnara&quot;,&quot;given&quot;:&quot;Maria&quot;,&quot;non-dropping-particle&quot;:&quot;&quot;,&quot;parse-names&quot;:false,&quot;suffix&quot;:&quot;&quot;},{&quot;dropping-particle&quot;:&quot;&quot;,&quot;family&quot;:&quot;Strid&quot;,&quot;given&quot;:&quot;Hans&quot;,&quot;non-dropping-particle&quot;:&quot;&quot;,&quot;parse-names&quot;:false,&quot;suffix&quot;:&quot;&quot;}],&quot;container-title&quot;:&quot;Journal of Crohn's and Colitis&quot;,&quot;id&quot;:&quot;c3a068a5-4abe-3783-8f96-9a2d7a3fd608&quot;,&quot;issue&quot;:&quot;1&quot;,&quot;issued&quot;:{&quot;date-parts&quot;:[[&quot;2015&quot;,&quot;1&quot;,&quot;1&quot;]]},&quot;page&quot;:&quot;26-32&quot;,&quot;title&quot;:&quot;The Intra-Individual Variability of Faecal Calprotectin: A Prospective Study In Patients With Active Ulcerative Colitis&quot;,&quot;type&quot;:&quot;article-journal&quot;,&quot;volume&quot;:&quot;9&quot;,&quot;container-title-short&quot;:&quot;J Crohns Colitis&quot;},&quot;uris&quot;:[&quot;http://www.mendeley.com/documents/?uuid=2a90429d-bb60-458a-9167-125330e3897a&quot;],&quot;isTemporary&quot;:false,&quot;legacyDesktopId&quot;:&quot;2a90429d-bb60-458a-9167-125330e3897a&quot;}]},{&quot;citationID&quot;:&quot;MENDELEY_CITATION_7a7a7eb9-561f-4322-8e40-4b81886b392c&quot;,&quot;properties&quot;:{&quot;noteIndex&quot;:0},&quot;isEdited&quot;:false,&quot;manualOverride&quot;:{&quot;citeprocText&quot;:&quot;[16]&quot;,&quot;isManuallyOverridden&quot;:false,&quot;manualOverrideText&quot;:&quot;&quot;},&quot;citationTag&quot;:&quot;MENDELEY_CITATION_v3_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&quot;,&quot;citationItems&quot;:[{&quot;id&quot;:&quot;ab6bb4d5-63a4-37f3-bc55-6caad1ce73f6&quot;,&quot;itemData&quot;:{&quot;DOI&quot;:&quot;10.1093/ecco-jcc/jju012&quot;,&quot;ISSN&quot;:&quot;1876-4479 (Electronic)&quot;,&quot;PMID&quot;:&quot;25536671&quot;,&quot;author&quot;:[{&quot;dropping-particle&quot;:&quot;&quot;,&quot;family&quot;:&quot;Louis&quot;,&quot;given&quot;:&quot;Edouard&quot;,&quot;non-dropping-particle&quot;:&quot;&quot;,&quot;parse-names&quot;:false,&quot;suffix&quot;:&quot;&quot;}],&quot;container-title&quot;:&quot;Journal of Crohn's &amp; colitis&quot;,&quot;id&quot;:&quot;ab6bb4d5-63a4-37f3-bc55-6caad1ce73f6&quot;,&quot;issue&quot;:&quot;1&quot;,&quot;issued&quot;:{&quot;date-parts&quot;:[[&quot;2015&quot;,&quot;1&quot;]]},&quot;language&quot;:&quot;eng&quot;,&quot;page&quot;:&quot;1-3&quot;,&quot;publisher-place&quot;:&quot;England&quot;,&quot;title&quot;:&quot;Fecal calprotectin: towards a standardized use for inflammatory bowel disease management in routine practice.&quot;,&quot;type&quot;:&quot;article&quot;,&quot;volume&quot;:&quot;9&quot;,&quot;container-title-short&quot;:&quot;J Crohns Colitis&quot;},&quot;uris&quot;:[&quot;http://www.mendeley.com/documents/?uuid=07ce4078-e708-42aa-8437-157c796783c2&quot;],&quot;isTemporary&quot;:false,&quot;legacyDesktopId&quot;:&quot;07ce4078-e708-42aa-8437-157c796783c2&quot;}]},{&quot;citationID&quot;:&quot;MENDELEY_CITATION_e2664aac-777d-4fcc-ac26-37ee37ccc820&quot;,&quot;properties&quot;:{&quot;noteIndex&quot;:0},&quot;isEdited&quot;:false,&quot;manualOverride&quot;:{&quot;citeprocText&quot;:&quot;[11,17]&quot;,&quot;isManuallyOverridden&quot;:false,&quot;manualOverrideText&quot;:&quot;&quot;},&quot;citationTag&quot;:&quot;MENDELEY_CITATION_v3_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&quot;,&quot;citationItems&quot;:[{&quot;id&quot;:&quot;f64be2e1-caf8-3dd1-9a69-9b57ca0fab5a&quot;,&quot;itemData&quot;:{&quot;DOI&quot;:&quot;10.1080/17474124.2019.1563481&quot;,&quot;ISSN&quot;:&quot;1747-4132 (Electronic)&quot;,&quot;PMID&quot;:&quot;30791776&quot;,&quot;abstract&quot;:&quot;'Treat-to-target' paradigms in Crohn's disease (CD) directed at suppressing  intestinal inflammation require accurate and reliable measures of disease activity. Although endoscopy has traditionally been considered a gold standard, cost, complexity, resource limitations, and invasiveness are important limitations. Hence, substantial interest exists for non-invasive serum and fecal biomarkers, namely C-reactive protein (CRP) and fecal calprotectin (FC), in the diagnosis, monitoring, and treatment of CD. Areas covered: We review the evidence for using serum CRP and FC in distinguishing patients with CD from those with irritable bowel syndrome, categorizing disease activity among patients with an established diagnosis of CD, predicting the likelihood of treatment response, identifying asymptomatic patients in medically or surgically induced remission who are at risk for disease relapse, and as treatment targets. Expert commentary: Accurate interpretation of CRP and FC is dependent on several factors including the clinical context, the performance characteristics of the assay, the specified test cut-offs, and the pre-test probability of disease. Emerging evidence indicates that CRP and FC are valuable adjuncts for the management of CD in specific circumstances described in this review.&quot;,&quot;author&quot;:[{&quot;dropping-particle&quot;:&quot;&quot;,&quot;family&quot;:&quot;Ma&quot;,&quot;given&quot;:&quot;Christopher&quot;,&quot;non-dropping-particle&quot;:&quot;&quot;,&quot;parse-names&quot;:false,&quot;suffix&quot;:&quot;&quot;},{&quot;dropping-particle&quot;:&quot;&quot;,&quot;family&quot;:&quot;Battat&quot;,&quot;given&quot;:&quot;Robert&quot;,&quot;non-dropping-particle&quot;:&quot;&quot;,&quot;parse-names&quot;:false,&quot;suffix&quot;:&quot;&quot;},{&quot;dropping-particle&quot;:&quot;&quot;,&quot;family&quot;:&quot;Parker&quot;,&quot;given&quot;:&quot;Claire E&quot;,&quot;non-dropping-particle&quot;:&quot;&quot;,&quot;parse-names&quot;:false,&quot;suffix&quot;:&quot;&quot;},{&quot;dropping-particle&quot;:&quot;&quot;,&quot;family&quot;:&quot;Khanna&quot;,&quot;given&quot;:&quot;Reena&quot;,&quot;non-dropping-particle&quot;:&quot;&quot;,&quot;parse-names&quot;:false,&quot;suffix&quot;:&quot;&quot;},{&quot;dropping-particle&quot;:&quot;&quot;,&quot;family&quot;:&quot;Jairath&quot;,&quot;given&quot;:&quot;Vipul&quot;,&quot;non-dropping-particle&quot;:&quot;&quot;,&quot;parse-names&quot;:false,&quot;suffix&quot;:&quot;&quot;},{&quot;dropping-particle&quot;:&quot;&quot;,&quot;family&quot;:&quot;Feagan&quot;,&quot;given&quot;:&quot;Brian Gordon&quot;,&quot;non-dropping-particle&quot;:&quot;&quot;,&quot;parse-names&quot;:false,&quot;suffix&quot;:&quot;&quot;}],&quot;container-title&quot;:&quot;Expert review of gastroenterology &amp; hepatology&quot;,&quot;id&quot;:&quot;f64be2e1-caf8-3dd1-9a69-9b57ca0fab5a&quot;,&quot;issue&quot;:&quot;4&quot;,&quot;issued&quot;:{&quot;date-parts&quot;:[[&quot;2019&quot;,&quot;4&quot;]]},&quot;language&quot;:&quot;eng&quot;,&quot;page&quot;:&quot;319-330&quot;,&quot;publisher-place&quot;:&quot;England&quot;,&quot;title&quot;:&quot;Update on C-reactive protein and fecal calprotectin: are they accurate measures  of disease activity in Crohn's disease?&quot;,&quot;type&quot;:&quot;article-journal&quot;,&quot;volume&quot;:&quot;13&quot;,&quot;container-title-short&quot;:&quot;Expert Rev Gastroenterol Hepatol&quot;},&quot;uris&quot;:[&quot;http://www.mendeley.com/documents/?uuid=cd675010-306c-41ca-9a1c-f9e90d0d5ade&quot;],&quot;isTemporary&quot;:false,&quot;legacyDesktopId&quot;:&quot;cd675010-306c-41ca-9a1c-f9e90d0d5ade&quot;},{&quot;id&quot;:&quot;e921ed2d-8a92-3cad-bb05-73fbdd2110e8&quot;,&quot;itemData&quot;:{&quot;DOI&quot;:&quot;10.1111/apt.16536&quot;,&quot;ISSN&quot;:&quot;1365-2036 (Electronic)&quot;,&quot;PMID&quot;:&quot;34297423&quot;,&quot;abstract&quot;:&quot;BACKGROUND: Ileal and colonic Crohn's disease seem to be two separate entities.  AIMS: To describe the main physiological distinctions between the small and the large intestine and to analyse the differences between ileal and colonic Crohn's disease. METHODS: The relevant literature was critically examined and synthesised. RESULTS: The small and large intestine have fundamental distinctions (anatomy, cellular populations, immune defence, microbiota). The differences between ileal and colonic Crohn's disease are highlighted by a heterogeneous body of evidence including clinical features (natural history of the disease, efficacy of treatments, and monitoring), epidemiological data (smoking status, age, gender) and biological data (genetics, microbiota, immunity, mesenteric fat). However, the contribution of these factors to disease location remains poorly understood. CONCLUSION: The classification of ileal and colonic Crohn's disease as distinct subphenotypes is well supported by the literature. Understanding of these differences could be exploited to develop more individualised patient care.&quot;,&quot;author&quot;:[{&quot;dropping-particle&quot;:&quot;&quot;,&quot;family&quot;:&quot;Pierre&quot;,&quot;given&quot;:&quot;Nicolas&quot;,&quot;non-dropping-particle&quot;:&quot;&quot;,&quot;parse-names&quot;:false,&quot;suffix&quot;:&quot;&quot;},{&quot;dropping-particle&quot;:&quot;&quot;,&quot;family&quot;:&quot;Salée&quot;,&quot;given&quot;:&quot;Catherine&quot;,&quot;non-dropping-particle&quot;:&quot;&quot;,&quot;parse-names&quot;:false,&quot;suffix&quot;:&quot;&quot;},{&quot;dropping-particle&quot;:&quot;&quot;,&quot;family&quot;:&quot;Vieujean&quot;,&quot;given&quot;:&quot;Sophie&quot;,&quot;non-dropping-particle&quot;:&quot;&quot;,&quot;parse-names&quot;:false,&quot;suffix&quot;:&quot;&quot;},{&quot;dropping-particle&quot;:&quot;&quot;,&quot;family&quot;:&quot;Bequet&quot;,&quot;given&quot;:&quot;Emeline&quot;,&quot;non-dropping-particle&quot;:&quot;&quot;,&quot;parse-names&quot;:false,&quot;suffix&quot;:&quot;&quot;},{&quot;dropping-particle&quot;:&quot;&quot;,&quot;family&quot;:&quot;Merli&quot;,&quot;given&quot;:&quot;Angela-Maria&quot;,&quot;non-dropping-particle&quot;:&quot;&quot;,&quot;parse-names&quot;:false,&quot;suffix&quot;:&quot;&quot;},{&quot;dropping-particle&quot;:&quot;&quot;,&quot;family&quot;:&quot;Siegmund&quot;,&quot;given&quot;:&quot;Britta&quot;,&quot;non-dropping-particle&quot;:&quot;&quot;,&quot;parse-names&quot;:false,&quot;suffix&quot;:&quot;&quot;},{&quot;dropping-particle&quot;:&quot;&quot;,&quot;family&quot;:&quot;Meuwis&quot;,&quot;given&quot;:&quot;Marie-Alice&quot;,&quot;non-dropping-particle&quot;:&quot;&quot;,&quot;parse-names&quot;:false,&quot;suffix&quot;:&quot;&quot;},{&quot;dropping-particle&quot;:&quot;&quot;,&quot;family&quot;:&quot;Louis&quot;,&quot;given&quot;:&quot;Edouard&quot;,&quot;non-dropping-particle&quot;:&quot;&quot;,&quot;parse-names&quot;:false,&quot;suffix&quot;:&quot;&quot;}],&quot;container-title&quot;:&quot;Alimentary pharmacology &amp; therapeutics&quot;,&quot;id&quot;:&quot;e921ed2d-8a92-3cad-bb05-73fbdd2110e8&quot;,&quot;issue&quot;:&quot;6&quot;,&quot;issued&quot;:{&quot;date-parts&quot;:[[&quot;2021&quot;,&quot;9&quot;]]},&quot;language&quot;:&quot;eng&quot;,&quot;page&quot;:&quot;779-791&quot;,&quot;publisher-place&quot;:&quot;England&quot;,&quot;title&quot;:&quot;Review article: distinctions between ileal and colonic Crohn's disease: from  physiology to pathology.&quot;,&quot;type&quot;:&quot;article-journal&quot;,&quot;volume&quot;:&quot;54&quot;,&quot;container-title-short&quot;:&quot;Aliment Pharmacol Ther&quot;},&quot;uris&quot;:[&quot;http://www.mendeley.com/documents/?uuid=5a7e98fd-489c-4451-97df-2cc3be2c357e&quot;],&quot;isTemporary&quot;:false,&quot;legacyDesktopId&quot;:&quot;5a7e98fd-489c-4451-97df-2cc3be2c357e&quot;}]},{&quot;citationID&quot;:&quot;MENDELEY_CITATION_d9d8e7db-ccd7-4a3a-9027-1d93f3252b5f&quot;,&quot;properties&quot;:{&quot;noteIndex&quot;:0},&quot;isEdited&quot;:false,&quot;manualOverride&quot;:{&quot;citeprocText&quot;:&quot;[18]&quot;,&quot;isManuallyOverridden&quot;:false,&quot;manualOverrideText&quot;:&quot;&quot;},&quot;citationTag&quot;:&quot;MENDELEY_CITATION_v3_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&quot;,&quot;citationItems&quot;:[{&quot;id&quot;:&quot;eed340d8-7042-3f2f-9423-eec7329d7adf&quot;,&quot;itemData&quot;:{&quot;DOI&quot;:&quot;10.1016/j.cgh.2019.12.014&quot;,&quot;ISSN&quot;:&quot;1542-7714 (Electronic)&quot;,&quot;PMID&quot;:&quot;31881273&quot;,&quot;abstract&quot;:&quot;BACKGROUND &amp; AIMS: Endoscopic healing, an important target of treatment for Crohn's  disease (CD), requires ileocolonoscopy, which is costly and burdensome. We investigated whether published noninvasive models (based on symptoms and biomarkers) to evaluate CD activity have sufficient accuracy to replace ileocolonoscopy. METHODS: We performed a systematic review of published noninvasive diagnostic models to evaluate CD activity that used endoscopic features of activity (endoscopic activity) or healing as the reference standard. We externally validated these models for the outcome endoscopic activity (CD endoscopic index of severity scores, ≥3) using data from the a randomized controlled trial investigating tailored treatment with infliximab for active luminal Crohn's disease (TAILORIX) study (346 ileocolonoscopies in 155 patients) and the Utrecht Activity Index (UAI) study (93 ileocolonoscopies in 82 patients). We calculated the area under the receiver operating characteristic curves (AUROCs) for the models using data from these studies, and compared the performance of these models against measurements of fecal calprotectin (FC) and C-reactive protein (CRP). RESULTS: We screened 5303 articles and identified 27 models (from 21 studies) for our analysis. Seven models could be validated externally; in the TAILORIX data set, these models identified patients with endoscopic activity with AUROC values ranging from 0.61 (95% CI, 0.51-0.70) to 0.81 (95% CI, 0.76-0.86). In this data set, the AUROC value for FC concentration was 0.79 (95% CI, 0.74-0.85) and the AUROC value for CRP level was 0.72 (95% CI, 0.66-0.77). The AUROC values for the validation in the UAI data set were similar. In the TAILORIX and/or UAI data set, 4 of the 7 models, as well as the FC and CRP assays, were able to identify patients with endoscopic activity with positive predictive values of 90% or more. Two of the 7 models (but not the FC or CRP values) identified patients without endoscopic activity with a negative predictive value (NPV) of 90% or more, leading to correct prediction of endoscopic healing in 3.2% to 11.3% of all patients. For example, applying the Herranz-Bachiller model (1 of 7 models) at a NPV of 92.1% and a positive predictive value of 91.9% correctly identified 35.7% of all patients in whom ileocolonoscopy could be avoided for expected endoscopic activity or healing but incorrectly identified 3.2% of all patients. Most ileocolonoscopies (66.5% in TAILORIX and 72.6% in the…&quot;,&quot;author&quot;:[{&quot;dropping-particle&quot;:&quot;&quot;,&quot;family&quot;:&quot;Brand&quot;,&quot;given&quot;:&quot;Eelco C&quot;,&quot;non-dropping-particle&quot;:&quot;&quot;,&quot;parse-names&quot;:false,&quot;suffix&quot;:&quot;&quot;},{&quot;dropping-particle&quot;:&quot;&quot;,&quot;family&quot;:&quot;Elias&quot;,&quot;given&quot;:&quot;Sjoerd G&quot;,&quot;non-dropping-particle&quot;:&quot;&quot;,&quot;parse-names&quot;:false,&quot;suffix&quot;:&quot;&quot;},{&quot;dropping-particle&quot;:&quot;&quot;,&quot;family&quot;:&quot;Minderhoud&quot;,&quot;given&quot;:&quot;Itta M&quot;,&quot;non-dropping-particle&quot;:&quot;&quot;,&quot;parse-names&quot;:false,&quot;suffix&quot;:&quot;&quot;},{&quot;dropping-particle&quot;:&quot;&quot;,&quot;family&quot;:&quot;Veen&quot;,&quot;given&quot;:&quot;Julius J&quot;,&quot;non-dropping-particle&quot;:&quot;van der&quot;,&quot;parse-names&quot;:false,&quot;suffix&quot;:&quot;&quot;},{&quot;dropping-particle&quot;:&quot;&quot;,&quot;family&quot;:&quot;Baert&quot;,&quot;given&quot;:&quot;Filip J&quot;,&quot;non-dropping-particle&quot;:&quot;&quot;,&quot;parse-names&quot;:false,&quot;suffix&quot;:&quot;&quot;},{&quot;dropping-particle&quot;:&quot;&quot;,&quot;family&quot;:&quot;Laharie&quot;,&quot;given&quot;:&quot;David&quot;,&quot;non-dropping-particle&quot;:&quot;&quot;,&quot;parse-names&quot;:false,&quot;suffix&quot;:&quot;&quot;},{&quot;dropping-particle&quot;:&quot;&quot;,&quot;family&quot;:&quot;Bossuyt&quot;,&quot;given&quot;:&quot;Peter&quot;,&quot;non-dropping-particle&quot;:&quot;&quot;,&quot;parse-names&quot;:false,&quot;suffix&quot;:&quot;&quot;},{&quot;dropping-particle&quot;:&quot;&quot;,&quot;family&quot;:&quot;Bouhnik&quot;,&quot;given&quot;:&quot;Yoram&quot;,&quot;non-dropping-particle&quot;:&quot;&quot;,&quot;parse-names&quot;:false,&quot;suffix&quot;:&quot;&quot;},{&quot;dropping-particle&quot;:&quot;&quot;,&quot;family&quot;:&quot;Buisson&quot;,&quot;given&quot;:&quot;Anthony&quot;,&quot;non-dropping-particle&quot;:&quot;&quot;,&quot;parse-names&quot;:false,&quot;suffix&quot;:&quot;&quot;},{&quot;dropping-particle&quot;:&quot;&quot;,&quot;family&quot;:&quot;Lambrecht&quot;,&quot;given&quot;:&quot;Guy&quot;,&quot;non-dropping-particle&quot;:&quot;&quot;,&quot;parse-names&quot;:false,&quot;suffix&quot;:&quot;&quot;},{&quot;dropping-particle&quot;:&quot;&quot;,&quot;family&quot;:&quot;Louis&quot;,&quot;given&quot;:&quot;Edouard&quot;,&quot;non-dropping-particle&quot;:&quot;&quot;,&quot;parse-names&quot;:false,&quot;suffix&quot;:&quot;&quot;},{&quot;dropping-particle&quot;:&quot;&quot;,&quot;family&quot;:&quot;Pariente&quot;,&quot;given&quot;:&quot;Benjamin&quot;,&quot;non-dropping-particle&quot;:&quot;&quot;,&quot;parse-names&quot;:false,&quot;suffix&quot;:&quot;&quot;},{&quot;dropping-particle&quot;:&quot;&quot;,&quot;family&quot;:&quot;Pierik&quot;,&quot;given&quot;:&quot;Marieke J&quot;,&quot;non-dropping-particle&quot;:&quot;&quot;,&quot;parse-names&quot;:false,&quot;suffix&quot;:&quot;&quot;},{&quot;dropping-particle&quot;:&quot;&quot;,&quot;family&quot;:&quot;Woude&quot;,&quot;given&quot;:&quot;C Janneke&quot;,&quot;non-dropping-particle&quot;:&quot;van der&quot;,&quot;parse-names&quot;:false,&quot;suffix&quot;:&quot;&quot;},{&quot;dropping-particle&quot;:&quot;&quot;,&quot;family&quot;:&quot;D'Haens&quot;,&quot;given&quot;:&quot;Geert R A M&quot;,&quot;non-dropping-particle&quot;:&quot;&quot;,&quot;parse-names&quot;:false,&quot;suffix&quot;:&quot;&quot;},{&quot;dropping-particle&quot;:&quot;&quot;,&quot;family&quot;:&quot;Vermeire&quot;,&quot;given&quot;:&quot;Séverine&quot;,&quot;non-dropping-particle&quot;:&quot;&quot;,&quot;parse-names&quot;:false,&quot;suffix&quot;:&quot;&quot;},{&quot;dropping-particle&quot;:&quot;&quot;,&quot;family&quot;:&quot;Oldenburg&quot;,&quot;given&quot;:&quot;Bas&quot;,&quot;non-dropping-particle&quot;:&quot;&quot;,&quot;parse-names&quot;:false,&quot;suffix&quot;:&quot;&quot;}],&quot;container-title&quot;:&quot;Clinical gastroenterology and hepatology : the official clinical practice journal of  the American Gastroenterological Association&quot;,&quot;id&quot;:&quot;eed340d8-7042-3f2f-9423-eec7329d7adf&quot;,&quot;issue&quot;:&quot;8&quot;,&quot;issued&quot;:{&quot;date-parts&quot;:[[&quot;2020&quot;,&quot;7&quot;]]},&quot;language&quot;:&quot;eng&quot;,&quot;page&quot;:&quot;1704-1718&quot;,&quot;publisher-place&quot;:&quot;United States&quot;,&quot;title&quot;:&quot;Systematic Review and External Validation of Prediction Models Based on Symptoms and  Biomarkers for Identifying Endoscopic Activity in Crohn's Disease.&quot;,&quot;type&quot;:&quot;article-journal&quot;,&quot;volume&quot;:&quot;18&quot;,&quot;container-title-short&quot;:&quot;Clin Gastroenterol Hepatol&quot;},&quot;uris&quot;:[&quot;http://www.mendeley.com/documents/?uuid=a282a778-d1f1-4a8f-ab83-7c1a8d976557&quot;],&quot;isTemporary&quot;:false,&quot;legacyDesktopId&quot;:&quot;a282a778-d1f1-4a8f-ab83-7c1a8d976557&quot;}]},{&quot;citationID&quot;:&quot;MENDELEY_CITATION_14907d6d-ae54-4c0c-96dd-b29e89fdd9ec&quot;,&quot;properties&quot;:{&quot;noteIndex&quot;:0},&quot;isEdited&quot;:false,&quot;manualOverride&quot;:{&quot;citeprocText&quot;:&quot;[19]&quot;,&quot;isManuallyOverridden&quot;:false,&quot;manualOverrideText&quot;:&quot;&quot;},&quot;citationTag&quot;:&quot;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&quot;,&quot;citationItems&quot;:[{&quot;id&quot;:&quot;c2bf0e13-327e-3025-aedf-58db53b4926f&quot;,&quot;itemData&quot;:{&quot;DOI&quot;:&quot;10.1053/j.gastro.2019.10.034&quot;,&quot;ISSN&quot;:&quot;1528-0012 (Electronic)&quot;,&quot;PMID&quot;:&quot;31711925&quot;,&quot;abstract&quot;:&quot;BACKGROUND &amp; AIMS: Noninvasive tests to measure endoscopic activity in patients  with Crohn's disease (CD) have limitations. We aimed to develop a test to identify patients in remission, based on endoscopic analysis, and monitor CD activity based on serum levels of proteins. METHODS: We developed a test to measure 13 proteins in blood (ANG1, ANG2, CRP, SAA1, IL7, EMMPRIN, MMP1, MMP2, MMP3, MMP9, TGFA, CEACAM1, and VCAM1), called the endoscopic healing index [EHI], using samples from 278 patients with CD from a multinational training cohort. We validated the test using 2 independent cohorts of patients with CD: 116 biologic-naive patients with early-stage CD (validation cohort 1) and 195 biologic-exposed patients with chronic CD (validation cohort 2). The ability of the test to identify patients with active disease vs patients in remission (defined as a simple endoscopic score for CD of ≤2 and ≤1 in each segment, or a total CD endoscopic index of severity score &lt;3) was assessed by using area under receiver operating characteristic curve (AUROC) analysis. The diagnostic accuracy of the test was compared with that of measurement of serum C-reactive protein (CRP) and fecal calprotectin. RESULTS: The EHI scores range from 0 to 100 units; higher scores indicate more severe CD activity, based on endoscopy findings. The EHI identified patients in remission with an AUROC of 0.962 in validation cohort 1 (95% confidence interval, 0.942-0.982) and an AUROC of 0.693 in validation cohort 2 (95% confidence interval, 0.619-0.767), regardless of CD location or phenotype. A cutoff value of 20 points identified patients in remission with the highest level of sensitivity (97.1% in validation cohort 1 and 83.2% in validation cohort 2), with specificity values of 69.0% and 36.6%, respectively. A cutoff value of 50 points identified patients in remission with the highest level of specificity (100% in validation cohort 1 and 87.8% in validation cohort 2), with sensitivity values of 37.3% and 30.0%, respectively. The EHI identified patients in remission with a significantly higher AUROC value than the test for CRP (0.876, P &lt; .001 in validation cohort 1 and 0.624, P = .109 in validation cohort 2). In analysis of patients with available FC measurements, the AUROC value for the EHI did not differ significantly from that of measurement of FC (AUROC, 0.950 for EHI vs AUROC, 0.923 for FC; P = .147 in validation cohort 1 and AUROC, 0.803 for EHI vs AUROC, 0.854 for FC; P = .298 in va…&quot;,&quot;author&quot;:[{&quot;dropping-particle&quot;:&quot;&quot;,&quot;family&quot;:&quot;D'Haens&quot;,&quot;given&quot;:&quot;Geert&quot;,&quot;non-dropping-particle&quot;:&quot;&quot;,&quot;parse-names&quot;:false,&quot;suffix&quot;:&quot;&quot;},{&quot;dropping-particle&quot;:&quot;&quot;,&quot;family&quot;:&quot;Kelly&quot;,&quot;given&quot;:&quot;Orlaith&quot;,&quot;non-dropping-particle&quot;:&quot;&quot;,&quot;parse-names&quot;:false,&quot;suffix&quot;:&quot;&quot;},{&quot;dropping-particle&quot;:&quot;&quot;,&quot;family&quot;:&quot;Battat&quot;,&quot;given&quot;:&quot;Robert&quot;,&quot;non-dropping-particle&quot;:&quot;&quot;,&quot;parse-names&quot;:false,&quot;suffix&quot;:&quot;&quot;},{&quot;dropping-particle&quot;:&quot;&quot;,&quot;family&quot;:&quot;Silverberg&quot;,&quot;given&quot;:&quot;Mark S&quot;,&quot;non-dropping-particle&quot;:&quot;&quot;,&quot;parse-names&quot;:false,&quot;suffix&quot;:&quot;&quot;},{&quot;dropping-particle&quot;:&quot;&quot;,&quot;family&quot;:&quot;Laharie&quot;,&quot;given&quot;:&quot;David&quot;,&quot;non-dropping-particle&quot;:&quot;&quot;,&quot;parse-names&quot;:false,&quot;suffix&quot;:&quot;&quot;},{&quot;dropping-particle&quot;:&quot;&quot;,&quot;family&quot;:&quot;Louis&quot;,&quot;given&quot;:&quot;Edouard&quot;,&quot;non-dropping-particle&quot;:&quot;&quot;,&quot;parse-names&quot;:false,&quot;suffix&quot;:&quot;&quot;},{&quot;dropping-particle&quot;:&quot;&quot;,&quot;family&quot;:&quot;Savarino&quot;,&quot;given&quot;:&quot;Edoardo&quot;,&quot;non-dropping-particle&quot;:&quot;&quot;,&quot;parse-names&quot;:false,&quot;suffix&quot;:&quot;&quot;},{&quot;dropping-particle&quot;:&quot;&quot;,&quot;family&quot;:&quot;Bodini&quot;,&quot;given&quot;:&quot;Giorgia&quot;,&quot;non-dropping-particle&quot;:&quot;&quot;,&quot;parse-names&quot;:false,&quot;suffix&quot;:&quot;&quot;},{&quot;dropping-particle&quot;:&quot;&quot;,&quot;family&quot;:&quot;Yarur&quot;,&quot;given&quot;:&quot;Andres&quot;,&quot;non-dropping-particle&quot;:&quot;&quot;,&quot;parse-names&quot;:false,&quot;suffix&quot;:&quot;&quot;},{&quot;dropping-particle&quot;:&quot;&quot;,&quot;family&quot;:&quot;Boland&quot;,&quot;given&quot;:&quot;Brigid S&quot;,&quot;non-dropping-particle&quot;:&quot;&quot;,&quot;parse-names&quot;:false,&quot;suffix&quot;:&quot;&quot;},{&quot;dropping-particle&quot;:&quot;&quot;,&quot;family&quot;:&quot;Afif&quot;,&quot;given&quot;:&quot;Waqqas&quot;,&quot;non-dropping-particle&quot;:&quot;&quot;,&quot;parse-names&quot;:false,&quot;suffix&quot;:&quot;&quot;},{&quot;dropping-particle&quot;:&quot;&quot;,&quot;family&quot;:&quot;Li&quot;,&quot;given&quot;:&quot;Xiao-Jun&quot;,&quot;non-dropping-particle&quot;:&quot;&quot;,&quot;parse-names&quot;:false,&quot;suffix&quot;:&quot;&quot;},{&quot;dropping-particle&quot;:&quot;&quot;,&quot;family&quot;:&quot;Hale&quot;,&quot;given&quot;:&quot;Michael&quot;,&quot;non-dropping-particle&quot;:&quot;&quot;,&quot;parse-names&quot;:false,&quot;suffix&quot;:&quot;&quot;},{&quot;dropping-particle&quot;:&quot;&quot;,&quot;family&quot;:&quot;Ho&quot;,&quot;given&quot;:&quot;Jessica&quot;,&quot;non-dropping-particle&quot;:&quot;&quot;,&quot;parse-names&quot;:false,&quot;suffix&quot;:&quot;&quot;},{&quot;dropping-particle&quot;:&quot;&quot;,&quot;family&quot;:&quot;Kondragunta&quot;,&quot;given&quot;:&quot;Venkateswarlu&quot;,&quot;non-dropping-particle&quot;:&quot;&quot;,&quot;parse-names&quot;:false,&quot;suffix&quot;:&quot;&quot;},{&quot;dropping-particle&quot;:&quot;&quot;,&quot;family&quot;:&quot;Huang&quot;,&quot;given&quot;:&quot;Benjamin&quot;,&quot;non-dropping-particle&quot;:&quot;&quot;,&quot;parse-names&quot;:false,&quot;suffix&quot;:&quot;&quot;},{&quot;dropping-particle&quot;:&quot;&quot;,&quot;family&quot;:&quot;Kuy&quot;,&quot;given&quot;:&quot;Crystal&quot;,&quot;non-dropping-particle&quot;:&quot;&quot;,&quot;parse-names&quot;:false,&quot;suffix&quot;:&quot;&quot;},{&quot;dropping-particle&quot;:&quot;&quot;,&quot;family&quot;:&quot;Okada&quot;,&quot;given&quot;:&quot;Lauren&quot;,&quot;non-dropping-particle&quot;:&quot;&quot;,&quot;parse-names&quot;:false,&quot;suffix&quot;:&quot;&quot;},{&quot;dropping-particle&quot;:&quot;&quot;,&quot;family&quot;:&quot;Hester&quot;,&quot;given&quot;:&quot;Kelly D&quot;,&quot;non-dropping-particle&quot;:&quot;&quot;,&quot;parse-names&quot;:false,&quot;suffix&quot;:&quot;&quot;},{&quot;dropping-particle&quot;:&quot;&quot;,&quot;family&quot;:&quot;Bray&quot;,&quot;given&quot;:&quot;Kurtis R&quot;,&quot;non-dropping-particle&quot;:&quot;&quot;,&quot;parse-names&quot;:false,&quot;suffix&quot;:&quot;&quot;},{&quot;dropping-particle&quot;:&quot;&quot;,&quot;family&quot;:&quot;Mimms&quot;,&quot;given&quot;:&quot;Larry&quot;,&quot;non-dropping-particle&quot;:&quot;&quot;,&quot;parse-names&quot;:false,&quot;suffix&quot;:&quot;&quot;},{&quot;dropping-particle&quot;:&quot;&quot;,&quot;family&quot;:&quot;Jain&quot;,&quot;given&quot;:&quot;Anjali&quot;,&quot;non-dropping-particle&quot;:&quot;&quot;,&quot;parse-names&quot;:false,&quot;suffix&quot;:&quot;&quot;},{&quot;dropping-particle&quot;:&quot;&quot;,&quot;family&quot;:&quot;Singh&quot;,&quot;given&quot;:&quot;Siddharth&quot;,&quot;non-dropping-particle&quot;:&quot;&quot;,&quot;parse-names&quot;:false,&quot;suffix&quot;:&quot;&quot;},{&quot;dropping-particle&quot;:&quot;&quot;,&quot;family&quot;:&quot;Collins&quot;,&quot;given&quot;:&quot;Angelina&quot;,&quot;non-dropping-particle&quot;:&quot;&quot;,&quot;parse-names&quot;:false,&quot;suffix&quot;:&quot;&quot;},{&quot;dropping-particle&quot;:&quot;&quot;,&quot;family&quot;:&quot;Valasek&quot;,&quot;given&quot;:&quot;Mark A&quot;,&quot;non-dropping-particle&quot;:&quot;&quot;,&quot;parse-names&quot;:false,&quot;suffix&quot;:&quot;&quot;},{&quot;dropping-particle&quot;:&quot;&quot;,&quot;family&quot;:&quot;Sandborn&quot;,&quot;given&quot;:&quot;William J&quot;,&quot;non-dropping-particle&quot;:&quot;&quot;,&quot;parse-names&quot;:false,&quot;suffix&quot;:&quot;&quot;},{&quot;dropping-particle&quot;:&quot;&quot;,&quot;family&quot;:&quot;Vermeire&quot;,&quot;given&quot;:&quot;Severine&quot;,&quot;non-dropping-particle&quot;:&quot;&quot;,&quot;parse-names&quot;:false,&quot;suffix&quot;:&quot;&quot;},{&quot;dropping-particle&quot;:&quot;&quot;,&quot;family&quot;:&quot;Dulai&quot;,&quot;given&quot;:&quot;Parambir S&quot;,&quot;non-dropping-particle&quot;:&quot;&quot;,&quot;parse-names&quot;:false,&quot;suffix&quot;:&quot;&quot;}],&quot;container-title&quot;:&quot;Gastroenterology&quot;,&quot;id&quot;:&quot;c2bf0e13-327e-3025-aedf-58db53b4926f&quot;,&quot;issue&quot;:&quot;3&quot;,&quot;issued&quot;:{&quot;date-parts&quot;:[[&quot;2020&quot;,&quot;2&quot;]]},&quot;language&quot;:&quot;eng&quot;,&quot;page&quot;:&quot;515-526.e10&quot;,&quot;publisher-place&quot;:&quot;United States&quot;,&quot;title&quot;:&quot;Development and Validation of a Test to Monitor Endoscopic Activity in Patients  With Crohn's Disease Based on Serum Levels of Proteins.&quot;,&quot;type&quot;:&quot;article-journal&quot;,&quot;volume&quot;:&quot;158&quot;,&quot;container-title-short&quot;:&quot;Gastroenterology&quot;},&quot;uris&quot;:[&quot;http://www.mendeley.com/documents/?uuid=2d2ae476-87cc-4be2-bf34-c2ab0c781664&quot;],&quot;isTemporary&quot;:false,&quot;legacyDesktopId&quot;:&quot;2d2ae476-87cc-4be2-bf34-c2ab0c781664&quot;}]},{&quot;citationID&quot;:&quot;MENDELEY_CITATION_5099354d-361e-486a-8164-cbd7625cfb82&quot;,&quot;properties&quot;:{&quot;noteIndex&quot;:0},&quot;isEdited&quot;:false,&quot;manualOverride&quot;:{&quot;citeprocText&quot;:&quot;[18,19]&quot;,&quot;isManuallyOverridden&quot;:false,&quot;manualOverrideText&quot;:&quot;&quot;},&quot;citationTag&quot;:&quot;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&quot;,&quot;citationItems&quot;:[{&quot;id&quot;:&quot;eed340d8-7042-3f2f-9423-eec7329d7adf&quot;,&quot;itemData&quot;:{&quot;DOI&quot;:&quot;10.1016/j.cgh.2019.12.014&quot;,&quot;ISSN&quot;:&quot;1542-7714 (Electronic)&quot;,&quot;PMID&quot;:&quot;31881273&quot;,&quot;abstract&quot;:&quot;BACKGROUND &amp; AIMS: Endoscopic healing, an important target of treatment for Crohn's  disease (CD), requires ileocolonoscopy, which is costly and burdensome. We investigated whether published noninvasive models (based on symptoms and biomarkers) to evaluate CD activity have sufficient accuracy to replace ileocolonoscopy. METHODS: We performed a systematic review of published noninvasive diagnostic models to evaluate CD activity that used endoscopic features of activity (endoscopic activity) or healing as the reference standard. We externally validated these models for the outcome endoscopic activity (CD endoscopic index of severity scores, ≥3) using data from the a randomized controlled trial investigating tailored treatment with infliximab for active luminal Crohn's disease (TAILORIX) study (346 ileocolonoscopies in 155 patients) and the Utrecht Activity Index (UAI) study (93 ileocolonoscopies in 82 patients). We calculated the area under the receiver operating characteristic curves (AUROCs) for the models using data from these studies, and compared the performance of these models against measurements of fecal calprotectin (FC) and C-reactive protein (CRP). RESULTS: We screened 5303 articles and identified 27 models (from 21 studies) for our analysis. Seven models could be validated externally; in the TAILORIX data set, these models identified patients with endoscopic activity with AUROC values ranging from 0.61 (95% CI, 0.51-0.70) to 0.81 (95% CI, 0.76-0.86). In this data set, the AUROC value for FC concentration was 0.79 (95% CI, 0.74-0.85) and the AUROC value for CRP level was 0.72 (95% CI, 0.66-0.77). The AUROC values for the validation in the UAI data set were similar. In the TAILORIX and/or UAI data set, 4 of the 7 models, as well as the FC and CRP assays, were able to identify patients with endoscopic activity with positive predictive values of 90% or more. Two of the 7 models (but not the FC or CRP values) identified patients without endoscopic activity with a negative predictive value (NPV) of 90% or more, leading to correct prediction of endoscopic healing in 3.2% to 11.3% of all patients. For example, applying the Herranz-Bachiller model (1 of 7 models) at a NPV of 92.1% and a positive predictive value of 91.9% correctly identified 35.7% of all patients in whom ileocolonoscopy could be avoided for expected endoscopic activity or healing but incorrectly identified 3.2% of all patients. Most ileocolonoscopies (66.5% in TAILORIX and 72.6% in the…&quot;,&quot;author&quot;:[{&quot;dropping-particle&quot;:&quot;&quot;,&quot;family&quot;:&quot;Brand&quot;,&quot;given&quot;:&quot;Eelco C&quot;,&quot;non-dropping-particle&quot;:&quot;&quot;,&quot;parse-names&quot;:false,&quot;suffix&quot;:&quot;&quot;},{&quot;dropping-particle&quot;:&quot;&quot;,&quot;family&quot;:&quot;Elias&quot;,&quot;given&quot;:&quot;Sjoerd G&quot;,&quot;non-dropping-particle&quot;:&quot;&quot;,&quot;parse-names&quot;:false,&quot;suffix&quot;:&quot;&quot;},{&quot;dropping-particle&quot;:&quot;&quot;,&quot;family&quot;:&quot;Minderhoud&quot;,&quot;given&quot;:&quot;Itta M&quot;,&quot;non-dropping-particle&quot;:&quot;&quot;,&quot;parse-names&quot;:false,&quot;suffix&quot;:&quot;&quot;},{&quot;dropping-particle&quot;:&quot;&quot;,&quot;family&quot;:&quot;Veen&quot;,&quot;given&quot;:&quot;Julius J&quot;,&quot;non-dropping-particle&quot;:&quot;van der&quot;,&quot;parse-names&quot;:false,&quot;suffix&quot;:&quot;&quot;},{&quot;dropping-particle&quot;:&quot;&quot;,&quot;family&quot;:&quot;Baert&quot;,&quot;given&quot;:&quot;Filip J&quot;,&quot;non-dropping-particle&quot;:&quot;&quot;,&quot;parse-names&quot;:false,&quot;suffix&quot;:&quot;&quot;},{&quot;dropping-particle&quot;:&quot;&quot;,&quot;family&quot;:&quot;Laharie&quot;,&quot;given&quot;:&quot;David&quot;,&quot;non-dropping-particle&quot;:&quot;&quot;,&quot;parse-names&quot;:false,&quot;suffix&quot;:&quot;&quot;},{&quot;dropping-particle&quot;:&quot;&quot;,&quot;family&quot;:&quot;Bossuyt&quot;,&quot;given&quot;:&quot;Peter&quot;,&quot;non-dropping-particle&quot;:&quot;&quot;,&quot;parse-names&quot;:false,&quot;suffix&quot;:&quot;&quot;},{&quot;dropping-particle&quot;:&quot;&quot;,&quot;family&quot;:&quot;Bouhnik&quot;,&quot;given&quot;:&quot;Yoram&quot;,&quot;non-dropping-particle&quot;:&quot;&quot;,&quot;parse-names&quot;:false,&quot;suffix&quot;:&quot;&quot;},{&quot;dropping-particle&quot;:&quot;&quot;,&quot;family&quot;:&quot;Buisson&quot;,&quot;given&quot;:&quot;Anthony&quot;,&quot;non-dropping-particle&quot;:&quot;&quot;,&quot;parse-names&quot;:false,&quot;suffix&quot;:&quot;&quot;},{&quot;dropping-particle&quot;:&quot;&quot;,&quot;family&quot;:&quot;Lambrecht&quot;,&quot;given&quot;:&quot;Guy&quot;,&quot;non-dropping-particle&quot;:&quot;&quot;,&quot;parse-names&quot;:false,&quot;suffix&quot;:&quot;&quot;},{&quot;dropping-particle&quot;:&quot;&quot;,&quot;family&quot;:&quot;Louis&quot;,&quot;given&quot;:&quot;Edouard&quot;,&quot;non-dropping-particle&quot;:&quot;&quot;,&quot;parse-names&quot;:false,&quot;suffix&quot;:&quot;&quot;},{&quot;dropping-particle&quot;:&quot;&quot;,&quot;family&quot;:&quot;Pariente&quot;,&quot;given&quot;:&quot;Benjamin&quot;,&quot;non-dropping-particle&quot;:&quot;&quot;,&quot;parse-names&quot;:false,&quot;suffix&quot;:&quot;&quot;},{&quot;dropping-particle&quot;:&quot;&quot;,&quot;family&quot;:&quot;Pierik&quot;,&quot;given&quot;:&quot;Marieke J&quot;,&quot;non-dropping-particle&quot;:&quot;&quot;,&quot;parse-names&quot;:false,&quot;suffix&quot;:&quot;&quot;},{&quot;dropping-particle&quot;:&quot;&quot;,&quot;family&quot;:&quot;Woude&quot;,&quot;given&quot;:&quot;C Janneke&quot;,&quot;non-dropping-particle&quot;:&quot;van der&quot;,&quot;parse-names&quot;:false,&quot;suffix&quot;:&quot;&quot;},{&quot;dropping-particle&quot;:&quot;&quot;,&quot;family&quot;:&quot;D'Haens&quot;,&quot;given&quot;:&quot;Geert R A M&quot;,&quot;non-dropping-particle&quot;:&quot;&quot;,&quot;parse-names&quot;:false,&quot;suffix&quot;:&quot;&quot;},{&quot;dropping-particle&quot;:&quot;&quot;,&quot;family&quot;:&quot;Vermeire&quot;,&quot;given&quot;:&quot;Séverine&quot;,&quot;non-dropping-particle&quot;:&quot;&quot;,&quot;parse-names&quot;:false,&quot;suffix&quot;:&quot;&quot;},{&quot;dropping-particle&quot;:&quot;&quot;,&quot;family&quot;:&quot;Oldenburg&quot;,&quot;given&quot;:&quot;Bas&quot;,&quot;non-dropping-particle&quot;:&quot;&quot;,&quot;parse-names&quot;:false,&quot;suffix&quot;:&quot;&quot;}],&quot;container-title&quot;:&quot;Clinical gastroenterology and hepatology : the official clinical practice journal of  the American Gastroenterological Association&quot;,&quot;id&quot;:&quot;eed340d8-7042-3f2f-9423-eec7329d7adf&quot;,&quot;issue&quot;:&quot;8&quot;,&quot;issued&quot;:{&quot;date-parts&quot;:[[&quot;2020&quot;,&quot;7&quot;]]},&quot;language&quot;:&quot;eng&quot;,&quot;page&quot;:&quot;1704-1718&quot;,&quot;publisher-place&quot;:&quot;United States&quot;,&quot;title&quot;:&quot;Systematic Review and External Validation of Prediction Models Based on Symptoms and  Biomarkers for Identifying Endoscopic Activity in Crohn's Disease.&quot;,&quot;type&quot;:&quot;article-journal&quot;,&quot;volume&quot;:&quot;18&quot;,&quot;container-title-short&quot;:&quot;Clin Gastroenterol Hepatol&quot;},&quot;uris&quot;:[&quot;http://www.mendeley.com/documents/?uuid=a282a778-d1f1-4a8f-ab83-7c1a8d976557&quot;],&quot;isTemporary&quot;:false,&quot;legacyDesktopId&quot;:&quot;a282a778-d1f1-4a8f-ab83-7c1a8d976557&quot;},{&quot;id&quot;:&quot;c2bf0e13-327e-3025-aedf-58db53b4926f&quot;,&quot;itemData&quot;:{&quot;DOI&quot;:&quot;10.1053/j.gastro.2019.10.034&quot;,&quot;ISSN&quot;:&quot;1528-0012 (Electronic)&quot;,&quot;PMID&quot;:&quot;31711925&quot;,&quot;abstract&quot;:&quot;BACKGROUND &amp; AIMS: Noninvasive tests to measure endoscopic activity in patients  with Crohn's disease (CD) have limitations. We aimed to develop a test to identify patients in remission, based on endoscopic analysis, and monitor CD activity based on serum levels of proteins. METHODS: We developed a test to measure 13 proteins in blood (ANG1, ANG2, CRP, SAA1, IL7, EMMPRIN, MMP1, MMP2, MMP3, MMP9, TGFA, CEACAM1, and VCAM1), called the endoscopic healing index [EHI], using samples from 278 patients with CD from a multinational training cohort. We validated the test using 2 independent cohorts of patients with CD: 116 biologic-naive patients with early-stage CD (validation cohort 1) and 195 biologic-exposed patients with chronic CD (validation cohort 2). The ability of the test to identify patients with active disease vs patients in remission (defined as a simple endoscopic score for CD of ≤2 and ≤1 in each segment, or a total CD endoscopic index of severity score &lt;3) was assessed by using area under receiver operating characteristic curve (AUROC) analysis. The diagnostic accuracy of the test was compared with that of measurement of serum C-reactive protein (CRP) and fecal calprotectin. RESULTS: The EHI scores range from 0 to 100 units; higher scores indicate more severe CD activity, based on endoscopy findings. The EHI identified patients in remission with an AUROC of 0.962 in validation cohort 1 (95% confidence interval, 0.942-0.982) and an AUROC of 0.693 in validation cohort 2 (95% confidence interval, 0.619-0.767), regardless of CD location or phenotype. A cutoff value of 20 points identified patients in remission with the highest level of sensitivity (97.1% in validation cohort 1 and 83.2% in validation cohort 2), with specificity values of 69.0% and 36.6%, respectively. A cutoff value of 50 points identified patients in remission with the highest level of specificity (100% in validation cohort 1 and 87.8% in validation cohort 2), with sensitivity values of 37.3% and 30.0%, respectively. The EHI identified patients in remission with a significantly higher AUROC value than the test for CRP (0.876, P &lt; .001 in validation cohort 1 and 0.624, P = .109 in validation cohort 2). In analysis of patients with available FC measurements, the AUROC value for the EHI did not differ significantly from that of measurement of FC (AUROC, 0.950 for EHI vs AUROC, 0.923 for FC; P = .147 in validation cohort 1 and AUROC, 0.803 for EHI vs AUROC, 0.854 for FC; P = .298 in va…&quot;,&quot;author&quot;:[{&quot;dropping-particle&quot;:&quot;&quot;,&quot;family&quot;:&quot;D'Haens&quot;,&quot;given&quot;:&quot;Geert&quot;,&quot;non-dropping-particle&quot;:&quot;&quot;,&quot;parse-names&quot;:false,&quot;suffix&quot;:&quot;&quot;},{&quot;dropping-particle&quot;:&quot;&quot;,&quot;family&quot;:&quot;Kelly&quot;,&quot;given&quot;:&quot;Orlaith&quot;,&quot;non-dropping-particle&quot;:&quot;&quot;,&quot;parse-names&quot;:false,&quot;suffix&quot;:&quot;&quot;},{&quot;dropping-particle&quot;:&quot;&quot;,&quot;family&quot;:&quot;Battat&quot;,&quot;given&quot;:&quot;Robert&quot;,&quot;non-dropping-particle&quot;:&quot;&quot;,&quot;parse-names&quot;:false,&quot;suffix&quot;:&quot;&quot;},{&quot;dropping-particle&quot;:&quot;&quot;,&quot;family&quot;:&quot;Silverberg&quot;,&quot;given&quot;:&quot;Mark S&quot;,&quot;non-dropping-particle&quot;:&quot;&quot;,&quot;parse-names&quot;:false,&quot;suffix&quot;:&quot;&quot;},{&quot;dropping-particle&quot;:&quot;&quot;,&quot;family&quot;:&quot;Laharie&quot;,&quot;given&quot;:&quot;David&quot;,&quot;non-dropping-particle&quot;:&quot;&quot;,&quot;parse-names&quot;:false,&quot;suffix&quot;:&quot;&quot;},{&quot;dropping-particle&quot;:&quot;&quot;,&quot;family&quot;:&quot;Louis&quot;,&quot;given&quot;:&quot;Edouard&quot;,&quot;non-dropping-particle&quot;:&quot;&quot;,&quot;parse-names&quot;:false,&quot;suffix&quot;:&quot;&quot;},{&quot;dropping-particle&quot;:&quot;&quot;,&quot;family&quot;:&quot;Savarino&quot;,&quot;given&quot;:&quot;Edoardo&quot;,&quot;non-dropping-particle&quot;:&quot;&quot;,&quot;parse-names&quot;:false,&quot;suffix&quot;:&quot;&quot;},{&quot;dropping-particle&quot;:&quot;&quot;,&quot;family&quot;:&quot;Bodini&quot;,&quot;given&quot;:&quot;Giorgia&quot;,&quot;non-dropping-particle&quot;:&quot;&quot;,&quot;parse-names&quot;:false,&quot;suffix&quot;:&quot;&quot;},{&quot;dropping-particle&quot;:&quot;&quot;,&quot;family&quot;:&quot;Yarur&quot;,&quot;given&quot;:&quot;Andres&quot;,&quot;non-dropping-particle&quot;:&quot;&quot;,&quot;parse-names&quot;:false,&quot;suffix&quot;:&quot;&quot;},{&quot;dropping-particle&quot;:&quot;&quot;,&quot;family&quot;:&quot;Boland&quot;,&quot;given&quot;:&quot;Brigid S&quot;,&quot;non-dropping-particle&quot;:&quot;&quot;,&quot;parse-names&quot;:false,&quot;suffix&quot;:&quot;&quot;},{&quot;dropping-particle&quot;:&quot;&quot;,&quot;family&quot;:&quot;Afif&quot;,&quot;given&quot;:&quot;Waqqas&quot;,&quot;non-dropping-particle&quot;:&quot;&quot;,&quot;parse-names&quot;:false,&quot;suffix&quot;:&quot;&quot;},{&quot;dropping-particle&quot;:&quot;&quot;,&quot;family&quot;:&quot;Li&quot;,&quot;given&quot;:&quot;Xiao-Jun&quot;,&quot;non-dropping-particle&quot;:&quot;&quot;,&quot;parse-names&quot;:false,&quot;suffix&quot;:&quot;&quot;},{&quot;dropping-particle&quot;:&quot;&quot;,&quot;family&quot;:&quot;Hale&quot;,&quot;given&quot;:&quot;Michael&quot;,&quot;non-dropping-particle&quot;:&quot;&quot;,&quot;parse-names&quot;:false,&quot;suffix&quot;:&quot;&quot;},{&quot;dropping-particle&quot;:&quot;&quot;,&quot;family&quot;:&quot;Ho&quot;,&quot;given&quot;:&quot;Jessica&quot;,&quot;non-dropping-particle&quot;:&quot;&quot;,&quot;parse-names&quot;:false,&quot;suffix&quot;:&quot;&quot;},{&quot;dropping-particle&quot;:&quot;&quot;,&quot;family&quot;:&quot;Kondragunta&quot;,&quot;given&quot;:&quot;Venkateswarlu&quot;,&quot;non-dropping-particle&quot;:&quot;&quot;,&quot;parse-names&quot;:false,&quot;suffix&quot;:&quot;&quot;},{&quot;dropping-particle&quot;:&quot;&quot;,&quot;family&quot;:&quot;Huang&quot;,&quot;given&quot;:&quot;Benjamin&quot;,&quot;non-dropping-particle&quot;:&quot;&quot;,&quot;parse-names&quot;:false,&quot;suffix&quot;:&quot;&quot;},{&quot;dropping-particle&quot;:&quot;&quot;,&quot;family&quot;:&quot;Kuy&quot;,&quot;given&quot;:&quot;Crystal&quot;,&quot;non-dropping-particle&quot;:&quot;&quot;,&quot;parse-names&quot;:false,&quot;suffix&quot;:&quot;&quot;},{&quot;dropping-particle&quot;:&quot;&quot;,&quot;family&quot;:&quot;Okada&quot;,&quot;given&quot;:&quot;Lauren&quot;,&quot;non-dropping-particle&quot;:&quot;&quot;,&quot;parse-names&quot;:false,&quot;suffix&quot;:&quot;&quot;},{&quot;dropping-particle&quot;:&quot;&quot;,&quot;family&quot;:&quot;Hester&quot;,&quot;given&quot;:&quot;Kelly D&quot;,&quot;non-dropping-particle&quot;:&quot;&quot;,&quot;parse-names&quot;:false,&quot;suffix&quot;:&quot;&quot;},{&quot;dropping-particle&quot;:&quot;&quot;,&quot;family&quot;:&quot;Bray&quot;,&quot;given&quot;:&quot;Kurtis R&quot;,&quot;non-dropping-particle&quot;:&quot;&quot;,&quot;parse-names&quot;:false,&quot;suffix&quot;:&quot;&quot;},{&quot;dropping-particle&quot;:&quot;&quot;,&quot;family&quot;:&quot;Mimms&quot;,&quot;given&quot;:&quot;Larry&quot;,&quot;non-dropping-particle&quot;:&quot;&quot;,&quot;parse-names&quot;:false,&quot;suffix&quot;:&quot;&quot;},{&quot;dropping-particle&quot;:&quot;&quot;,&quot;family&quot;:&quot;Jain&quot;,&quot;given&quot;:&quot;Anjali&quot;,&quot;non-dropping-particle&quot;:&quot;&quot;,&quot;parse-names&quot;:false,&quot;suffix&quot;:&quot;&quot;},{&quot;dropping-particle&quot;:&quot;&quot;,&quot;family&quot;:&quot;Singh&quot;,&quot;given&quot;:&quot;Siddharth&quot;,&quot;non-dropping-particle&quot;:&quot;&quot;,&quot;parse-names&quot;:false,&quot;suffix&quot;:&quot;&quot;},{&quot;dropping-particle&quot;:&quot;&quot;,&quot;family&quot;:&quot;Collins&quot;,&quot;given&quot;:&quot;Angelina&quot;,&quot;non-dropping-particle&quot;:&quot;&quot;,&quot;parse-names&quot;:false,&quot;suffix&quot;:&quot;&quot;},{&quot;dropping-particle&quot;:&quot;&quot;,&quot;family&quot;:&quot;Valasek&quot;,&quot;given&quot;:&quot;Mark A&quot;,&quot;non-dropping-particle&quot;:&quot;&quot;,&quot;parse-names&quot;:false,&quot;suffix&quot;:&quot;&quot;},{&quot;dropping-particle&quot;:&quot;&quot;,&quot;family&quot;:&quot;Sandborn&quot;,&quot;given&quot;:&quot;William J&quot;,&quot;non-dropping-particle&quot;:&quot;&quot;,&quot;parse-names&quot;:false,&quot;suffix&quot;:&quot;&quot;},{&quot;dropping-particle&quot;:&quot;&quot;,&quot;family&quot;:&quot;Vermeire&quot;,&quot;given&quot;:&quot;Severine&quot;,&quot;non-dropping-particle&quot;:&quot;&quot;,&quot;parse-names&quot;:false,&quot;suffix&quot;:&quot;&quot;},{&quot;dropping-particle&quot;:&quot;&quot;,&quot;family&quot;:&quot;Dulai&quot;,&quot;given&quot;:&quot;Parambir S&quot;,&quot;non-dropping-particle&quot;:&quot;&quot;,&quot;parse-names&quot;:false,&quot;suffix&quot;:&quot;&quot;}],&quot;container-title&quot;:&quot;Gastroenterology&quot;,&quot;id&quot;:&quot;c2bf0e13-327e-3025-aedf-58db53b4926f&quot;,&quot;issue&quot;:&quot;3&quot;,&quot;issued&quot;:{&quot;date-parts&quot;:[[&quot;2020&quot;,&quot;2&quot;]]},&quot;language&quot;:&quot;eng&quot;,&quot;page&quot;:&quot;515-526.e10&quot;,&quot;publisher-place&quot;:&quot;United States&quot;,&quot;title&quot;:&quot;Development and Validation of a Test to Monitor Endoscopic Activity in Patients  With Crohn's Disease Based on Serum Levels of Proteins.&quot;,&quot;type&quot;:&quot;article-journal&quot;,&quot;volume&quot;:&quot;158&quot;,&quot;container-title-short&quot;:&quot;Gastroenterology&quot;},&quot;uris&quot;:[&quot;http://www.mendeley.com/documents/?uuid=2d2ae476-87cc-4be2-bf34-c2ab0c781664&quot;],&quot;isTemporary&quot;:false,&quot;legacyDesktopId&quot;:&quot;2d2ae476-87cc-4be2-bf34-c2ab0c781664&quot;}]},{&quot;citationID&quot;:&quot;MENDELEY_CITATION_4388365b-7789-4bd3-8b09-06be1f495353&quot;,&quot;properties&quot;:{&quot;noteIndex&quot;:0},&quot;isEdited&quot;:false,&quot;manualOverride&quot;:{&quot;citeprocText&quot;:&quot;[20]&quot;,&quot;isManuallyOverridden&quot;:false,&quot;manualOverrideText&quot;:&quot;&quot;},&quot;citationTag&quot;:&quot;MENDELEY_CITATION_v3_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&quot;,&quot;citationItems&quot;:[{&quot;id&quot;:&quot;d0b95329-dbd4-359e-a20d-924d403b2bfe&quot;,&quot;itemData&quot;:{&quot;DOI&quot;:&quot;10.1016/S0140-6736(12)60026-9&quot;,&quot;ISSN&quot;:&quot;1474-547X (Electronic)&quot;,&quot;PMID&quot;:&quot;22914295&quot;,&quot;abstract&quot;:&quot;Crohn's disease is a relapsing systemic inflammatory disease, mainly affecting the  gastrointestinal tract with extraintestinal manifestations and associated immune disorders. Genome wide association studies identified susceptibility loci that--triggered by environmental factors--result in a disturbed innate (ie, disturbed intestinal barrier, Paneth cell dysfunction, endoplasmic reticulum stress, defective unfolded protein response and autophagy, impaired recognition of microbes by pattern recognition receptors, such as nucleotide binding domain and Toll like receptors on dendritic cells and macrophages) and adaptive (ie, imbalance of effector and regulatory T cells and cytokines, migration and retention of leukocytes) immune response towards a diminished diversity of commensal microbiota. We discuss the epidemiology, immunobiology, amd natural history of Crohn's disease; describe new treatment goals and risk stratification of patients; and provide an evidence based rational approach to diagnosis (ie, work-up algorithm, new imaging methods [ie, enhanced endoscopy, ultrasound, MRI and CT] and biomarkers), management, evolving therapeutic targets (ie, integrins, chemokine receptors, cell-based and stem-cell-based therapies), prevention, and surveillance.&quot;,&quot;author&quot;:[{&quot;dropping-particle&quot;:&quot;&quot;,&quot;family&quot;:&quot;Baumgart&quot;,&quot;given&quot;:&quot;Daniel C&quot;,&quot;non-dropping-particle&quot;:&quot;&quot;,&quot;parse-names&quot;:false,&quot;suffix&quot;:&quot;&quot;},{&quot;dropping-particle&quot;:&quot;&quot;,&quot;family&quot;:&quot;Sandborn&quot;,&quot;given&quot;:&quot;William J&quot;,&quot;non-dropping-particle&quot;:&quot;&quot;,&quot;parse-names&quot;:false,&quot;suffix&quot;:&quot;&quot;}],&quot;container-title&quot;:&quot;Lancet (London, England)&quot;,&quot;id&quot;:&quot;d0b95329-dbd4-359e-a20d-924d403b2bfe&quot;,&quot;issue&quot;:&quot;9853&quot;,&quot;issued&quot;:{&quot;date-parts&quot;:[[&quot;2012&quot;,&quot;11&quot;]]},&quot;language&quot;:&quot;eng&quot;,&quot;page&quot;:&quot;1590-1605&quot;,&quot;publisher-place&quot;:&quot;England&quot;,&quot;title&quot;:&quot;Crohn's disease.&quot;,&quot;type&quot;:&quot;article-journal&quot;,&quot;volume&quot;:&quot;380&quot;,&quot;container-title-short&quot;:&quot;Lancet&quot;},&quot;uris&quot;:[&quot;http://www.mendeley.com/documents/?uuid=ca9b5831-209a-40f0-bc37-6fa34be1ec76&quot;],&quot;isTemporary&quot;:false,&quot;legacyDesktopId&quot;:&quot;ca9b5831-209a-40f0-bc37-6fa34be1ec76&quot;}]},{&quot;citationID&quot;:&quot;MENDELEY_CITATION_6afc7a42-9aa0-42db-bf7a-07836a4dc4f8&quot;,&quot;properties&quot;:{&quot;noteIndex&quot;:0},&quot;isEdited&quot;:false,&quot;manualOverride&quot;:{&quot;citeprocText&quot;:&quot;[21,22]&quot;,&quot;isManuallyOverridden&quot;:false,&quot;manualOverrideText&quot;:&quot;&quot;},&quot;citationTag&quot;:&quot;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&quot;,&quot;citationItems&quot;:[{&quot;id&quot;:&quot;ac659070-186d-3c95-8a3c-b67bbb00837d&quot;,&quot;itemData&quot;:{&quot;DOI&quot;:&quot;10.1136/gutjnl-2020-322100&quot;,&quot;abstract&quot;:&quot;Objective A subset of Crohn’s disease (CD) patients experiences mid/long-term remission after infliximab withdrawal. Biomarkers are needed to identify those patients.Design New biomarkers of relapse were searched in the baseline serum of CD patients stopping infliximab when they were under combined therapy (antimetabolite and infliximab) and stable clinical remission (diSconTinuation in CrOhn’s disease patients in stable Remission on combined therapy with Immunosuppressors cohort, n=102). From shotgun proteomics experiment (discovery step), biomarker candidates were identified and further targeted by selected reaction monitoring (verification step). The dataset was stratified to search for markers of short-term (&amp;amp;lt;6 months) or mid/long-term relapse (&amp;amp;gt;6 months). The risk of relapse and the predicting capacity associated with biomarker candidates were evaluated using univariate Cox model and log-rank statistic, respectively. To test their complementary predicting capacity, biomarker candidates were systematically combined in pairs.Results Distinct biomarker candidates were associated with the risk (HR) of short-term (15 proteins, 2.9&amp;amp;lt;HR&amp;amp;lt;16.1, p&amp;amp;lt;0.05) and mid/long-term (17 proteins, 2.1&amp;amp;lt;HR&amp;amp;lt;4.7, p&amp;amp;lt;0.05) relapse, they reflect different pathophysiological processes. In stratified and non-stratified datasets, novel marker combinations exhibited a high predicting capacity as shown by their higher Z-scores (false discovery rate &amp;amp;lt;0.001) than C reactive protein and faecal calprotectin (current references in predicting relapse).Conclusion We identified for the first time circulating biomarker candidates associated with the risk of mid/long-term relapse in CD patients stopping infliximab. We also highlight a sequence of pathophysiological processes leading to relapse, this could help to better understand the disease progression. Our findings may pave the way for a better non-invasive evaluation of the risk of relapse when contemplating antitumour necrosis factor α withdrawal in CD patients.Data are available in a public, open access repository. All data relevant to the study are included in the article or uploaded as supplementary information. All the raw data and results of the discovery step have been deposited in the ProteomeXchange Consortium via the PRIDE partner repository with the dataset identifier PXD019008. For the verification step, all the SRM raw files and the Skyline files (including those o…&quot;,&quot;author&quot;:[{&quot;dropping-particle&quot;:&quot;&quot;,&quot;family&quot;:&quot;Pierre&quot;,&quot;given&quot;:&quot;Nicolas&quot;,&quot;non-dropping-particle&quot;:&quot;&quot;,&quot;parse-names&quot;:false,&quot;suffix&quot;:&quot;&quot;},{&quot;dropping-particle&quot;:&quot;&quot;,&quot;family&quot;:&quot;Baiwir&quot;,&quot;given&quot;:&quot;Dominique&quot;,&quot;non-dropping-particle&quot;:&quot;&quot;,&quot;parse-names&quot;:false,&quot;suffix&quot;:&quot;&quot;},{&quot;dropping-particle&quot;:&quot;&quot;,&quot;family&quot;:&quot;Huynh-Thu&quot;,&quot;given&quot;:&quot;Vân Anh&quot;,&quot;non-dropping-particle&quot;:&quot;&quot;,&quot;parse-names&quot;:false,&quot;suffix&quot;:&quot;&quot;},{&quot;dropping-particle&quot;:&quot;&quot;,&quot;family&quot;:&quot;Mazzucchelli&quot;,&quot;given&quot;:&quot;Gabriel&quot;,&quot;non-dropping-particle&quot;:&quot;&quot;,&quot;parse-names&quot;:false,&quot;suffix&quot;:&quot;&quot;},{&quot;dropping-particle&quot;:&quot;&quot;,&quot;family&quot;:&quot;Smargiasso&quot;,&quot;given&quot;:&quot;Nicolas&quot;,&quot;non-dropping-particle&quot;:&quot;&quot;,&quot;parse-names&quot;:false,&quot;suffix&quot;:&quot;&quot;},{&quot;dropping-particle&quot;:&quot;&quot;,&quot;family&quot;:&quot;Pauw&quot;,&quot;given&quot;:&quot;Edwin&quot;,&quot;non-dropping-particle&quot;:&quot;De&quot;,&quot;parse-names&quot;:false,&quot;suffix&quot;:&quot;&quot;},{&quot;dropping-particle&quot;:&quot;&quot;,&quot;family&quot;:&quot;Bouhnik&quot;,&quot;given&quot;:&quot;Yoram&quot;,&quot;non-dropping-particle&quot;:&quot;&quot;,&quot;parse-names&quot;:false,&quot;suffix&quot;:&quot;&quot;},{&quot;dropping-particle&quot;:&quot;&quot;,&quot;family&quot;:&quot;Laharie&quot;,&quot;given&quot;:&quot;David&quot;,&quot;non-dropping-particle&quot;:&quot;&quot;,&quot;parse-names&quot;:false,&quot;suffix&quot;:&quot;&quot;},{&quot;dropping-particle&quot;:&quot;&quot;,&quot;family&quot;:&quot;Colombel&quot;,&quot;given&quot;:&quot;Jean-Frédéric&quot;,&quot;non-dropping-particle&quot;:&quot;&quot;,&quot;parse-names&quot;:false,&quot;suffix&quot;:&quot;&quot;},{&quot;dropping-particle&quot;:&quot;&quot;,&quot;family&quot;:&quot;Meuwis&quot;,&quot;given&quot;:&quot;Marie-Alice&quot;,&quot;non-dropping-particle&quot;:&quot;&quot;,&quot;parse-names&quot;:false,&quot;suffix&quot;:&quot;&quot;},{&quot;dropping-particle&quot;:&quot;&quot;,&quot;family&quot;:&quot;Louis&quot;,&quot;given&quot;:&quot;Edouard&quot;,&quot;non-dropping-particle&quot;:&quot;&quot;,&quot;parse-names&quot;:false,&quot;suffix&quot;:&quot;&quot;}],&quot;container-title&quot;:&quot;Gut&quot;,&quot;id&quot;:&quot;ac659070-186d-3c95-8a3c-b67bbb00837d&quot;,&quot;issue&quot;:&quot;8&quot;,&quot;issued&quot;:{&quot;date-parts&quot;:[[&quot;2021&quot;,&quot;8&quot;,&quot;1&quot;]]},&quot;page&quot;:&quot;1450 LP  - 1457&quot;,&quot;title&quot;:&quot;Discovery of biomarker candidates associated with the risk of short-term and mid/long-term relapse after infliximab withdrawal in Crohn’s patients: a proteomics-based study&quot;,&quot;type&quot;:&quot;article-journal&quot;,&quot;volume&quot;:&quot;70&quot;,&quot;container-title-short&quot;:&quot;Gut&quot;},&quot;uris&quot;:[&quot;http://www.mendeley.com/documents/?uuid=1a2fdbbf-05e3-4b49-af4f-aff08c156e23&quot;],&quot;isTemporary&quot;:false,&quot;legacyDesktopId&quot;:&quot;1a2fdbbf-05e3-4b49-af4f-aff08c156e23&quot;},{&quot;id&quot;:&quot;5c5bbb35-bb31-3314-acd0-b378262884fe&quot;,&quot;itemData&quot;:{&quot;DOI&quot;:&quot;10.1136/gutjnl-2022-327321&quot;,&quot;ISSN&quot;:&quot;1468-3288 (Electronic)&quot;,&quot;PMID&quot;:&quot;36008101&quot;,&quot;abstract&quot;:&quot;OBJECTIVE: Despite being in sustained and stable remission, patients with Crohn's  disease (CD) stopping anti-tumour necrosis factor α (TNFα) show a high rate of relapse (~50% within 2 years). Characterising non-invasively the biological profiles of those patients is needed to better guide the decision of anti-TNFα withdrawal. DESIGN: Ninety-two immune-related proteins were measured by proximity extension assay in serum of patients with CD (n=102) in sustained steroid-free remission and stopping anti-TNFα (infliximab). As previously shown, a stratification based on time to clinical relapse was used to characterise the distinct biological profiles of relapsers (short-term relapsers: &lt;6 months vs mid/long-term relapsers: &gt;6 months). Associations between protein levels and time to clinical relapse were determined by univariable Cox model. RESULTS: The risk (HR) of mid/long-term clinical relapse was specifically associated with a high serum level of proteins mainly expressed in lymphocytes (LAG3, SH2B3, SIT1; HR: 2.2-4.5; p&lt;0.05), a low serum level of anti-inflammatory effectors (IL-10, HSD11B1; HR: 0.2-0.3; p&lt;0.05) and cellular junction proteins (CDSN, CNTNAP2, CXADR, ITGA11; HR: 0.4; p&lt;0.05). The risk of short-term clinical relapse was specifically associated with a high serum level of pro-inflammatory effectors (IL-6, IL12RB1; HR: 3.5-3.6; p&lt;0.05) and a low or high serum level of proteins mainly expressed in antigen presenting cells (CLEC4A, CLEC4C, CLEC7A, LAMP3; HR: 0.4-4.1; p&lt;0.05). CONCLUSION: We identified distinct blood protein profiles associated with the risk of short-term and mid/long-term clinical relapse in patients with CD stopping infliximab. These findings constitute an advance for the development of non-invasive biomarkers guiding the decision of anti-TNFα withdrawal.&quot;,&quot;author&quot;:[{&quot;dropping-particle&quot;:&quot;&quot;,&quot;family&quot;:&quot;Pierre&quot;,&quot;given&quot;:&quot;Nicolas&quot;,&quot;non-dropping-particle&quot;:&quot;&quot;,&quot;parse-names&quot;:false,&quot;suffix&quot;:&quot;&quot;},{&quot;dropping-particle&quot;:&quot;&quot;,&quot;family&quot;:&quot;Huynh-Thu&quot;,&quot;given&quot;:&quot;Vân Anh&quot;,&quot;non-dropping-particle&quot;:&quot;&quot;,&quot;parse-names&quot;:false,&quot;suffix&quot;:&quot;&quot;},{&quot;dropping-particle&quot;:&quot;&quot;,&quot;family&quot;:&quot;Marichal&quot;,&quot;given&quot;:&quot;Thomas&quot;,&quot;non-dropping-particle&quot;:&quot;&quot;,&quot;parse-names&quot;:false,&quot;suffix&quot;:&quot;&quot;},{&quot;dropping-particle&quot;:&quot;&quot;,&quot;family&quot;:&quot;Allez&quot;,&quot;given&quot;:&quot;Matthieu&quot;,&quot;non-dropping-particle&quot;:&quot;&quot;,&quot;parse-names&quot;:false,&quot;suffix&quot;:&quot;&quot;},{&quot;dropping-particle&quot;:&quot;&quot;,&quot;family&quot;:&quot;Bouhnik&quot;,&quot;given&quot;:&quot;Yoram&quot;,&quot;non-dropping-particle&quot;:&quot;&quot;,&quot;parse-names&quot;:false,&quot;suffix&quot;:&quot;&quot;},{&quot;dropping-particle&quot;:&quot;&quot;,&quot;family&quot;:&quot;Laharie&quot;,&quot;given&quot;:&quot;David&quot;,&quot;non-dropping-particle&quot;:&quot;&quot;,&quot;parse-names&quot;:false,&quot;suffix&quot;:&quot;&quot;},{&quot;dropping-particle&quot;:&quot;&quot;,&quot;family&quot;:&quot;Bourreille&quot;,&quot;given&quot;:&quot;Arnaud&quot;,&quot;non-dropping-particle&quot;:&quot;&quot;,&quot;parse-names&quot;:false,&quot;suffix&quot;:&quot;&quot;},{&quot;dropping-particle&quot;:&quot;&quot;,&quot;family&quot;:&quot;Colombel&quot;,&quot;given&quot;:&quot;Jean-Frédéric&quot;,&quot;non-dropping-particle&quot;:&quot;&quot;,&quot;parse-names&quot;:false,&quot;suffix&quot;:&quot;&quot;},{&quot;dropping-particle&quot;:&quot;&quot;,&quot;family&quot;:&quot;Meuwis&quot;,&quot;given&quot;:&quot;Marie-Alice&quot;,&quot;non-dropping-particle&quot;:&quot;&quot;,&quot;parse-names&quot;:false,&quot;suffix&quot;:&quot;&quot;},{&quot;dropping-particle&quot;:&quot;&quot;,&quot;family&quot;:&quot;Louis&quot;,&quot;given&quot;:&quot;Edouard&quot;,&quot;non-dropping-particle&quot;:&quot;&quot;,&quot;parse-names&quot;:false,&quot;suffix&quot;:&quot;&quot;}],&quot;container-title&quot;:&quot;Gut&quot;,&quot;id&quot;:&quot;5c5bbb35-bb31-3314-acd0-b378262884fe&quot;,&quot;issued&quot;:{&quot;date-parts&quot;:[[&quot;2022&quot;,&quot;8&quot;]]},&quot;language&quot;:&quot;eng&quot;,&quot;publisher-place&quot;:&quot;England&quot;,&quot;title&quot;:&quot;Distinct blood protein profiles associated with the risk of short-term and  mid/long-term clinical relapse in patients with Crohn's disease stopping infliximab: when the remission state hides different types of residual disease activity.&quot;,&quot;type&quot;:&quot;article-journal&quot;,&quot;container-title-short&quot;:&quot;Gut&quot;},&quot;uris&quot;:[&quot;http://www.mendeley.com/documents/?uuid=993b5000-f766-452f-96b5-bc8555dd68bc&quot;],&quot;isTemporary&quot;:false,&quot;legacyDesktopId&quot;:&quot;993b5000-f766-452f-96b5-bc8555dd68bc&quot;}]},{&quot;citationID&quot;:&quot;MENDELEY_CITATION_5c154804-baf6-47ad-8e02-763078ac0859&quot;,&quot;properties&quot;:{&quot;noteIndex&quot;:0},&quot;isEdited&quot;:false,&quot;manualOverride&quot;:{&quot;citeprocText&quot;:&quot;[22]&quot;,&quot;isManuallyOverridden&quot;:false,&quot;manualOverrideText&quot;:&quot;&quot;},&quot;citationTag&quot;:&quot;MENDELEY_CITATION_v3_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&quot;,&quot;citationItems&quot;:[{&quot;id&quot;:&quot;5c5bbb35-bb31-3314-acd0-b378262884fe&quot;,&quot;itemData&quot;:{&quot;DOI&quot;:&quot;10.1136/gutjnl-2022-327321&quot;,&quot;ISSN&quot;:&quot;1468-3288 (Electronic)&quot;,&quot;PMID&quot;:&quot;36008101&quot;,&quot;abstract&quot;:&quot;OBJECTIVE: Despite being in sustained and stable remission, patients with Crohn's  disease (CD) stopping anti-tumour necrosis factor α (TNFα) show a high rate of relapse (~50% within 2 years). Characterising non-invasively the biological profiles of those patients is needed to better guide the decision of anti-TNFα withdrawal. DESIGN: Ninety-two immune-related proteins were measured by proximity extension assay in serum of patients with CD (n=102) in sustained steroid-free remission and stopping anti-TNFα (infliximab). As previously shown, a stratification based on time to clinical relapse was used to characterise the distinct biological profiles of relapsers (short-term relapsers: &lt;6 months vs mid/long-term relapsers: &gt;6 months). Associations between protein levels and time to clinical relapse were determined by univariable Cox model. RESULTS: The risk (HR) of mid/long-term clinical relapse was specifically associated with a high serum level of proteins mainly expressed in lymphocytes (LAG3, SH2B3, SIT1; HR: 2.2-4.5; p&lt;0.05), a low serum level of anti-inflammatory effectors (IL-10, HSD11B1; HR: 0.2-0.3; p&lt;0.05) and cellular junction proteins (CDSN, CNTNAP2, CXADR, ITGA11; HR: 0.4; p&lt;0.05). The risk of short-term clinical relapse was specifically associated with a high serum level of pro-inflammatory effectors (IL-6, IL12RB1; HR: 3.5-3.6; p&lt;0.05) and a low or high serum level of proteins mainly expressed in antigen presenting cells (CLEC4A, CLEC4C, CLEC7A, LAMP3; HR: 0.4-4.1; p&lt;0.05). CONCLUSION: We identified distinct blood protein profiles associated with the risk of short-term and mid/long-term clinical relapse in patients with CD stopping infliximab. These findings constitute an advance for the development of non-invasive biomarkers guiding the decision of anti-TNFα withdrawal.&quot;,&quot;author&quot;:[{&quot;dropping-particle&quot;:&quot;&quot;,&quot;family&quot;:&quot;Pierre&quot;,&quot;given&quot;:&quot;Nicolas&quot;,&quot;non-dropping-particle&quot;:&quot;&quot;,&quot;parse-names&quot;:false,&quot;suffix&quot;:&quot;&quot;},{&quot;dropping-particle&quot;:&quot;&quot;,&quot;family&quot;:&quot;Huynh-Thu&quot;,&quot;given&quot;:&quot;Vân Anh&quot;,&quot;non-dropping-particle&quot;:&quot;&quot;,&quot;parse-names&quot;:false,&quot;suffix&quot;:&quot;&quot;},{&quot;dropping-particle&quot;:&quot;&quot;,&quot;family&quot;:&quot;Marichal&quot;,&quot;given&quot;:&quot;Thomas&quot;,&quot;non-dropping-particle&quot;:&quot;&quot;,&quot;parse-names&quot;:false,&quot;suffix&quot;:&quot;&quot;},{&quot;dropping-particle&quot;:&quot;&quot;,&quot;family&quot;:&quot;Allez&quot;,&quot;given&quot;:&quot;Matthieu&quot;,&quot;non-dropping-particle&quot;:&quot;&quot;,&quot;parse-names&quot;:false,&quot;suffix&quot;:&quot;&quot;},{&quot;dropping-particle&quot;:&quot;&quot;,&quot;family&quot;:&quot;Bouhnik&quot;,&quot;given&quot;:&quot;Yoram&quot;,&quot;non-dropping-particle&quot;:&quot;&quot;,&quot;parse-names&quot;:false,&quot;suffix&quot;:&quot;&quot;},{&quot;dropping-particle&quot;:&quot;&quot;,&quot;family&quot;:&quot;Laharie&quot;,&quot;given&quot;:&quot;David&quot;,&quot;non-dropping-particle&quot;:&quot;&quot;,&quot;parse-names&quot;:false,&quot;suffix&quot;:&quot;&quot;},{&quot;dropping-particle&quot;:&quot;&quot;,&quot;family&quot;:&quot;Bourreille&quot;,&quot;given&quot;:&quot;Arnaud&quot;,&quot;non-dropping-particle&quot;:&quot;&quot;,&quot;parse-names&quot;:false,&quot;suffix&quot;:&quot;&quot;},{&quot;dropping-particle&quot;:&quot;&quot;,&quot;family&quot;:&quot;Colombel&quot;,&quot;given&quot;:&quot;Jean-Frédéric&quot;,&quot;non-dropping-particle&quot;:&quot;&quot;,&quot;parse-names&quot;:false,&quot;suffix&quot;:&quot;&quot;},{&quot;dropping-particle&quot;:&quot;&quot;,&quot;family&quot;:&quot;Meuwis&quot;,&quot;given&quot;:&quot;Marie-Alice&quot;,&quot;non-dropping-particle&quot;:&quot;&quot;,&quot;parse-names&quot;:false,&quot;suffix&quot;:&quot;&quot;},{&quot;dropping-particle&quot;:&quot;&quot;,&quot;family&quot;:&quot;Louis&quot;,&quot;given&quot;:&quot;Edouard&quot;,&quot;non-dropping-particle&quot;:&quot;&quot;,&quot;parse-names&quot;:false,&quot;suffix&quot;:&quot;&quot;}],&quot;container-title&quot;:&quot;Gut&quot;,&quot;id&quot;:&quot;5c5bbb35-bb31-3314-acd0-b378262884fe&quot;,&quot;issued&quot;:{&quot;date-parts&quot;:[[&quot;2022&quot;,&quot;8&quot;]]},&quot;language&quot;:&quot;eng&quot;,&quot;publisher-place&quot;:&quot;England&quot;,&quot;title&quot;:&quot;Distinct blood protein profiles associated with the risk of short-term and  mid/long-term clinical relapse in patients with Crohn's disease stopping infliximab: when the remission state hides different types of residual disease activity.&quot;,&quot;type&quot;:&quot;article-journal&quot;,&quot;container-title-short&quot;:&quot;Gut&quot;},&quot;uris&quot;:[&quot;http://www.mendeley.com/documents/?uuid=993b5000-f766-452f-96b5-bc8555dd68bc&quot;],&quot;isTemporary&quot;:false,&quot;legacyDesktopId&quot;:&quot;993b5000-f766-452f-96b5-bc8555dd68bc&quot;}]},{&quot;citationID&quot;:&quot;MENDELEY_CITATION_ddd87547-8158-4d48-91c5-29712ccf5942&quot;,&quot;properties&quot;:{&quot;noteIndex&quot;:0},&quot;isEdited&quot;:false,&quot;manualOverride&quot;:{&quot;citeprocText&quot;:&quot;[21,22]&quot;,&quot;isManuallyOverridden&quot;:false,&quot;manualOverrideText&quot;:&quot;&quot;},&quot;citationTag&quot;:&quot;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&quot;,&quot;citationItems&quot;:[{&quot;id&quot;:&quot;ac659070-186d-3c95-8a3c-b67bbb00837d&quot;,&quot;itemData&quot;:{&quot;DOI&quot;:&quot;10.1136/gutjnl-2020-322100&quot;,&quot;abstract&quot;:&quot;Objective A subset of Crohn’s disease (CD) patients experiences mid/long-term remission after infliximab withdrawal. Biomarkers are needed to identify those patients.Design New biomarkers of relapse were searched in the baseline serum of CD patients stopping infliximab when they were under combined therapy (antimetabolite and infliximab) and stable clinical remission (diSconTinuation in CrOhn’s disease patients in stable Remission on combined therapy with Immunosuppressors cohort, n=102). From shotgun proteomics experiment (discovery step), biomarker candidates were identified and further targeted by selected reaction monitoring (verification step). The dataset was stratified to search for markers of short-term (&amp;amp;lt;6 months) or mid/long-term relapse (&amp;amp;gt;6 months). The risk of relapse and the predicting capacity associated with biomarker candidates were evaluated using univariate Cox model and log-rank statistic, respectively. To test their complementary predicting capacity, biomarker candidates were systematically combined in pairs.Results Distinct biomarker candidates were associated with the risk (HR) of short-term (15 proteins, 2.9&amp;amp;lt;HR&amp;amp;lt;16.1, p&amp;amp;lt;0.05) and mid/long-term (17 proteins, 2.1&amp;amp;lt;HR&amp;amp;lt;4.7, p&amp;amp;lt;0.05) relapse, they reflect different pathophysiological processes. In stratified and non-stratified datasets, novel marker combinations exhibited a high predicting capacity as shown by their higher Z-scores (false discovery rate &amp;amp;lt;0.001) than C reactive protein and faecal calprotectin (current references in predicting relapse).Conclusion We identified for the first time circulating biomarker candidates associated with the risk of mid/long-term relapse in CD patients stopping infliximab. We also highlight a sequence of pathophysiological processes leading to relapse, this could help to better understand the disease progression. Our findings may pave the way for a better non-invasive evaluation of the risk of relapse when contemplating antitumour necrosis factor α withdrawal in CD patients.Data are available in a public, open access repository. All data relevant to the study are included in the article or uploaded as supplementary information. All the raw data and results of the discovery step have been deposited in the ProteomeXchange Consortium via the PRIDE partner repository with the dataset identifier PXD019008. For the verification step, all the SRM raw files and the Skyline files (including those o…&quot;,&quot;author&quot;:[{&quot;dropping-particle&quot;:&quot;&quot;,&quot;family&quot;:&quot;Pierre&quot;,&quot;given&quot;:&quot;Nicolas&quot;,&quot;non-dropping-particle&quot;:&quot;&quot;,&quot;parse-names&quot;:false,&quot;suffix&quot;:&quot;&quot;},{&quot;dropping-particle&quot;:&quot;&quot;,&quot;family&quot;:&quot;Baiwir&quot;,&quot;given&quot;:&quot;Dominique&quot;,&quot;non-dropping-particle&quot;:&quot;&quot;,&quot;parse-names&quot;:false,&quot;suffix&quot;:&quot;&quot;},{&quot;dropping-particle&quot;:&quot;&quot;,&quot;family&quot;:&quot;Huynh-Thu&quot;,&quot;given&quot;:&quot;Vân Anh&quot;,&quot;non-dropping-particle&quot;:&quot;&quot;,&quot;parse-names&quot;:false,&quot;suffix&quot;:&quot;&quot;},{&quot;dropping-particle&quot;:&quot;&quot;,&quot;family&quot;:&quot;Mazzucchelli&quot;,&quot;given&quot;:&quot;Gabriel&quot;,&quot;non-dropping-particle&quot;:&quot;&quot;,&quot;parse-names&quot;:false,&quot;suffix&quot;:&quot;&quot;},{&quot;dropping-particle&quot;:&quot;&quot;,&quot;family&quot;:&quot;Smargiasso&quot;,&quot;given&quot;:&quot;Nicolas&quot;,&quot;non-dropping-particle&quot;:&quot;&quot;,&quot;parse-names&quot;:false,&quot;suffix&quot;:&quot;&quot;},{&quot;dropping-particle&quot;:&quot;&quot;,&quot;family&quot;:&quot;Pauw&quot;,&quot;given&quot;:&quot;Edwin&quot;,&quot;non-dropping-particle&quot;:&quot;De&quot;,&quot;parse-names&quot;:false,&quot;suffix&quot;:&quot;&quot;},{&quot;dropping-particle&quot;:&quot;&quot;,&quot;family&quot;:&quot;Bouhnik&quot;,&quot;given&quot;:&quot;Yoram&quot;,&quot;non-dropping-particle&quot;:&quot;&quot;,&quot;parse-names&quot;:false,&quot;suffix&quot;:&quot;&quot;},{&quot;dropping-particle&quot;:&quot;&quot;,&quot;family&quot;:&quot;Laharie&quot;,&quot;given&quot;:&quot;David&quot;,&quot;non-dropping-particle&quot;:&quot;&quot;,&quot;parse-names&quot;:false,&quot;suffix&quot;:&quot;&quot;},{&quot;dropping-particle&quot;:&quot;&quot;,&quot;family&quot;:&quot;Colombel&quot;,&quot;given&quot;:&quot;Jean-Frédéric&quot;,&quot;non-dropping-particle&quot;:&quot;&quot;,&quot;parse-names&quot;:false,&quot;suffix&quot;:&quot;&quot;},{&quot;dropping-particle&quot;:&quot;&quot;,&quot;family&quot;:&quot;Meuwis&quot;,&quot;given&quot;:&quot;Marie-Alice&quot;,&quot;non-dropping-particle&quot;:&quot;&quot;,&quot;parse-names&quot;:false,&quot;suffix&quot;:&quot;&quot;},{&quot;dropping-particle&quot;:&quot;&quot;,&quot;family&quot;:&quot;Louis&quot;,&quot;given&quot;:&quot;Edouard&quot;,&quot;non-dropping-particle&quot;:&quot;&quot;,&quot;parse-names&quot;:false,&quot;suffix&quot;:&quot;&quot;}],&quot;container-title&quot;:&quot;Gut&quot;,&quot;id&quot;:&quot;ac659070-186d-3c95-8a3c-b67bbb00837d&quot;,&quot;issue&quot;:&quot;8&quot;,&quot;issued&quot;:{&quot;date-parts&quot;:[[&quot;2021&quot;,&quot;8&quot;,&quot;1&quot;]]},&quot;page&quot;:&quot;1450 LP  - 1457&quot;,&quot;title&quot;:&quot;Discovery of biomarker candidates associated with the risk of short-term and mid/long-term relapse after infliximab withdrawal in Crohn’s patients: a proteomics-based study&quot;,&quot;type&quot;:&quot;article-journal&quot;,&quot;volume&quot;:&quot;70&quot;,&quot;container-title-short&quot;:&quot;Gut&quot;},&quot;uris&quot;:[&quot;http://www.mendeley.com/documents/?uuid=1a2fdbbf-05e3-4b49-af4f-aff08c156e23&quot;],&quot;isTemporary&quot;:false,&quot;legacyDesktopId&quot;:&quot;1a2fdbbf-05e3-4b49-af4f-aff08c156e23&quot;},{&quot;id&quot;:&quot;5c5bbb35-bb31-3314-acd0-b378262884fe&quot;,&quot;itemData&quot;:{&quot;DOI&quot;:&quot;10.1136/gutjnl-2022-327321&quot;,&quot;ISSN&quot;:&quot;1468-3288 (Electronic)&quot;,&quot;PMID&quot;:&quot;36008101&quot;,&quot;abstract&quot;:&quot;OBJECTIVE: Despite being in sustained and stable remission, patients with Crohn's  disease (CD) stopping anti-tumour necrosis factor α (TNFα) show a high rate of relapse (~50% within 2 years). Characterising non-invasively the biological profiles of those patients is needed to better guide the decision of anti-TNFα withdrawal. DESIGN: Ninety-two immune-related proteins were measured by proximity extension assay in serum of patients with CD (n=102) in sustained steroid-free remission and stopping anti-TNFα (infliximab). As previously shown, a stratification based on time to clinical relapse was used to characterise the distinct biological profiles of relapsers (short-term relapsers: &lt;6 months vs mid/long-term relapsers: &gt;6 months). Associations between protein levels and time to clinical relapse were determined by univariable Cox model. RESULTS: The risk (HR) of mid/long-term clinical relapse was specifically associated with a high serum level of proteins mainly expressed in lymphocytes (LAG3, SH2B3, SIT1; HR: 2.2-4.5; p&lt;0.05), a low serum level of anti-inflammatory effectors (IL-10, HSD11B1; HR: 0.2-0.3; p&lt;0.05) and cellular junction proteins (CDSN, CNTNAP2, CXADR, ITGA11; HR: 0.4; p&lt;0.05). The risk of short-term clinical relapse was specifically associated with a high serum level of pro-inflammatory effectors (IL-6, IL12RB1; HR: 3.5-3.6; p&lt;0.05) and a low or high serum level of proteins mainly expressed in antigen presenting cells (CLEC4A, CLEC4C, CLEC7A, LAMP3; HR: 0.4-4.1; p&lt;0.05). CONCLUSION: We identified distinct blood protein profiles associated with the risk of short-term and mid/long-term clinical relapse in patients with CD stopping infliximab. These findings constitute an advance for the development of non-invasive biomarkers guiding the decision of anti-TNFα withdrawal.&quot;,&quot;author&quot;:[{&quot;dropping-particle&quot;:&quot;&quot;,&quot;family&quot;:&quot;Pierre&quot;,&quot;given&quot;:&quot;Nicolas&quot;,&quot;non-dropping-particle&quot;:&quot;&quot;,&quot;parse-names&quot;:false,&quot;suffix&quot;:&quot;&quot;},{&quot;dropping-particle&quot;:&quot;&quot;,&quot;family&quot;:&quot;Huynh-Thu&quot;,&quot;given&quot;:&quot;Vân Anh&quot;,&quot;non-dropping-particle&quot;:&quot;&quot;,&quot;parse-names&quot;:false,&quot;suffix&quot;:&quot;&quot;},{&quot;dropping-particle&quot;:&quot;&quot;,&quot;family&quot;:&quot;Marichal&quot;,&quot;given&quot;:&quot;Thomas&quot;,&quot;non-dropping-particle&quot;:&quot;&quot;,&quot;parse-names&quot;:false,&quot;suffix&quot;:&quot;&quot;},{&quot;dropping-particle&quot;:&quot;&quot;,&quot;family&quot;:&quot;Allez&quot;,&quot;given&quot;:&quot;Matthieu&quot;,&quot;non-dropping-particle&quot;:&quot;&quot;,&quot;parse-names&quot;:false,&quot;suffix&quot;:&quot;&quot;},{&quot;dropping-particle&quot;:&quot;&quot;,&quot;family&quot;:&quot;Bouhnik&quot;,&quot;given&quot;:&quot;Yoram&quot;,&quot;non-dropping-particle&quot;:&quot;&quot;,&quot;parse-names&quot;:false,&quot;suffix&quot;:&quot;&quot;},{&quot;dropping-particle&quot;:&quot;&quot;,&quot;family&quot;:&quot;Laharie&quot;,&quot;given&quot;:&quot;David&quot;,&quot;non-dropping-particle&quot;:&quot;&quot;,&quot;parse-names&quot;:false,&quot;suffix&quot;:&quot;&quot;},{&quot;dropping-particle&quot;:&quot;&quot;,&quot;family&quot;:&quot;Bourreille&quot;,&quot;given&quot;:&quot;Arnaud&quot;,&quot;non-dropping-particle&quot;:&quot;&quot;,&quot;parse-names&quot;:false,&quot;suffix&quot;:&quot;&quot;},{&quot;dropping-particle&quot;:&quot;&quot;,&quot;family&quot;:&quot;Colombel&quot;,&quot;given&quot;:&quot;Jean-Frédéric&quot;,&quot;non-dropping-particle&quot;:&quot;&quot;,&quot;parse-names&quot;:false,&quot;suffix&quot;:&quot;&quot;},{&quot;dropping-particle&quot;:&quot;&quot;,&quot;family&quot;:&quot;Meuwis&quot;,&quot;given&quot;:&quot;Marie-Alice&quot;,&quot;non-dropping-particle&quot;:&quot;&quot;,&quot;parse-names&quot;:false,&quot;suffix&quot;:&quot;&quot;},{&quot;dropping-particle&quot;:&quot;&quot;,&quot;family&quot;:&quot;Louis&quot;,&quot;given&quot;:&quot;Edouard&quot;,&quot;non-dropping-particle&quot;:&quot;&quot;,&quot;parse-names&quot;:false,&quot;suffix&quot;:&quot;&quot;}],&quot;container-title&quot;:&quot;Gut&quot;,&quot;id&quot;:&quot;5c5bbb35-bb31-3314-acd0-b378262884fe&quot;,&quot;issued&quot;:{&quot;date-parts&quot;:[[&quot;2022&quot;,&quot;8&quot;]]},&quot;language&quot;:&quot;eng&quot;,&quot;publisher-place&quot;:&quot;England&quot;,&quot;title&quot;:&quot;Distinct blood protein profiles associated with the risk of short-term and  mid/long-term clinical relapse in patients with Crohn's disease stopping infliximab: when the remission state hides different types of residual disease activity.&quot;,&quot;type&quot;:&quot;article-journal&quot;,&quot;container-title-short&quot;:&quot;Gut&quot;},&quot;uris&quot;:[&quot;http://www.mendeley.com/documents/?uuid=993b5000-f766-452f-96b5-bc8555dd68bc&quot;],&quot;isTemporary&quot;:false,&quot;legacyDesktopId&quot;:&quot;993b5000-f766-452f-96b5-bc8555dd68bc&quot;}]},{&quot;citationID&quot;:&quot;MENDELEY_CITATION_183a6a51-bba4-448f-8433-8632f5d0904f&quot;,&quot;properties&quot;:{&quot;noteIndex&quot;:0},&quot;isEdited&quot;:false,&quot;manualOverride&quot;:{&quot;citeprocText&quot;:&quot;[23–26]&quot;,&quot;isManuallyOverridden&quot;:false,&quot;manualOverrideText&quot;:&quot;&quot;},&quot;citationTag&quot;:&quot;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&quot;,&quot;citationItems&quot;:[{&quot;id&quot;:&quot;b92a0e9b-abca-3531-bc2d-35d2162168e3&quot;,&quot;itemData&quot;:{&quot;DOI&quot;:&quot;10.2147/CEG.S6440&quot;,&quot;ISSN&quot;:&quot;1178-7023 (Electronic)&quot;,&quot;PMID&quot;:&quot;22016584&quot;,&quot;abstract&quot;:&quot;Crohn's disease (CD) is a chronic inflammatory disease of the gastrointestinal tract characterized by recurring flares followed by periods of inactive disease and remission. The etiology is unknown, although the common opinion is that the disease arises from a disordered immune response to the gut contents in genetically predisposed individuals. Infliximab (IFX), a chimeric immunoglobulin G1 monoclonal antibody to tumor necrosis factor, has dramatically changed the approach to managing patients with CD and improving their treatment, by achieving treatment goals, such as mucosal healing, and decreasing the need for hospitalizations and surgeries. This review provides an update on existing evidence for the use of IFX in CD, taking into account the safety profile in clinical practice and special situations such as pregnancy. Antitumor necrosis factor therapy has been evaluated as an induction and maintenance therapy in CD in several randomized controlled trials and meta-analyses, showing efficacy in both clinical settings. Early use of biologics may improve patient outcomes in active CD. However, a widespread use of a \&quot;top-down\&quot; approach in all CD patients cannot be recommended. Clinical factors at diagnosis may predict poor outcome in CD, and should be taken into account when determining the initial therapeutic approach.&quot;,&quot;author&quot;:[{&quot;dropping-particle&quot;:&quot;&quot;,&quot;family&quot;:&quot;Cottone&quot;,&quot;given&quot;:&quot;M&quot;,&quot;non-dropping-particle&quot;:&quot;&quot;,&quot;parse-names&quot;:false,&quot;suffix&quot;:&quot;&quot;},{&quot;dropping-particle&quot;:&quot;&quot;,&quot;family&quot;:&quot;Criscuoli&quot;,&quot;given&quot;:&quot;V&quot;,&quot;non-dropping-particle&quot;:&quot;&quot;,&quot;parse-names&quot;:false,&quot;suffix&quot;:&quot;&quot;}],&quot;container-title&quot;:&quot;Clinical and experimental gastroenterology&quot;,&quot;id&quot;:&quot;b92a0e9b-abca-3531-bc2d-35d2162168e3&quot;,&quot;issued&quot;:{&quot;date-parts&quot;:[[&quot;2011&quot;]]},&quot;language&quot;:&quot;eng&quot;,&quot;page&quot;:&quot;227-238&quot;,&quot;publisher-place&quot;:&quot;New Zealand&quot;,&quot;title&quot;:&quot;Infliximab to treat Crohn's disease: an update.&quot;,&quot;type&quot;:&quot;article-journal&quot;,&quot;volume&quot;:&quot;4&quot;,&quot;container-title-short&quot;:&quot;Clin Exp Gastroenterol&quot;},&quot;uris&quot;:[&quot;http://www.mendeley.com/documents/?uuid=02454b68-2894-4264-8cb8-3f93e8c72732&quot;],&quot;isTemporary&quot;:false,&quot;legacyDesktopId&quot;:&quot;02454b68-2894-4264-8cb8-3f93e8c72732&quot;},{&quot;id&quot;:&quot;e54a801a-b2fc-3b05-a33d-c7d057dbbb81&quot;,&quot;itemData&quot;:{&quot;DOI&quot;:&quot;10.1136/annrheumdis-2011-201244&quot;,&quot;ISSN&quot;:&quot;1468-2060 (Electronic)&quot;,&quot;PMID&quot;:&quot;22562972&quot;,&quot;abstract&quot;:&quot;BACKGROUND: As long-term treatment with antitumour necrosis factor (TNF) drugs becomes accepted practice, the risk assessment requires an understanding of anti-TNF long-term safety. Registry safety data in rheumatoid arthritis (RA) are available, but these patients may not be monitored as closely as patients in a clinical trial. Cross-indication safety reviews of available anti-TNF agents are limited. OBJECTIVE: To analyse the long-term safety of adalimumab treatment. METHODS: This analysis included 23 458 patients exposed to adalimumab in 71 global clinical trials in RA, juvenile idiopathic arthritis, ankylosing spondylitis (AS), psoriatic arthritis, psoriasis (Ps) and Crohn's disease (CD). Events per 100 patient-years were calculated using events reported after the first dose through 70 days after the last dose. Standardised incidence rates for malignancies were calculated using a National Cancer Institute database. Standardised death rates were calculated using WHO data. RESULTS: The most frequently reported serious adverse events across indications were infections with greatest incidence in RA and CD trials. Overall malignancy rates for adalimumab-treated patients were as expected for the general population; the incidence of lymphoma was increased in patients with RA, but within the range expected in RA without anti-TNF therapy; non-melanoma skin cancer incidence was raised in RA, Ps and CD. In all indications, death rates were lower than, or equivalent to, those expected in the general population. CONCLUSIONS: Analysis of adverse events of interest through nearly 12 years of adalimumab exposure in clinical trials across indications demonstrated individual differences in rates by disease populations, no new safety signals and a safety profile consistent with known information about the anti-TNF class.&quot;,&quot;author&quot;:[{&quot;dropping-particle&quot;:&quot;&quot;,&quot;family&quot;:&quot;Burmester&quot;,&quot;given&quot;:&quot;Gerd R&quot;,&quot;non-dropping-particle&quot;:&quot;&quot;,&quot;parse-names&quot;:false,&quot;suffix&quot;:&quot;&quot;},{&quot;dropping-particle&quot;:&quot;&quot;,&quot;family&quot;:&quot;Panaccione&quot;,&quot;given&quot;:&quot;Remo&quot;,&quot;non-dropping-particle&quot;:&quot;&quot;,&quot;parse-names&quot;:false,&quot;suffix&quot;:&quot;&quot;},{&quot;dropping-particle&quot;:&quot;&quot;,&quot;family&quot;:&quot;Gordon&quot;,&quot;given&quot;:&quot;Kenneth B&quot;,&quot;non-dropping-particle&quot;:&quot;&quot;,&quot;parse-names&quot;:false,&quot;suffix&quot;:&quot;&quot;},{&quot;dropping-particle&quot;:&quot;&quot;,&quot;family&quot;:&quot;McIlraith&quot;,&quot;given&quot;:&quot;Melissa J&quot;,&quot;non-dropping-particle&quot;:&quot;&quot;,&quot;parse-names&quot;:false,&quot;suffix&quot;:&quot;&quot;},{&quot;dropping-particle&quot;:&quot;&quot;,&quot;family&quot;:&quot;Lacerda&quot;,&quot;given&quot;:&quot;Ana P M&quot;,&quot;non-dropping-particle&quot;:&quot;&quot;,&quot;parse-names&quot;:false,&quot;suffix&quot;:&quot;&quot;}],&quot;container-title&quot;:&quot;Annals of the rheumatic diseases&quot;,&quot;id&quot;:&quot;e54a801a-b2fc-3b05-a33d-c7d057dbbb81&quot;,&quot;issue&quot;:&quot;4&quot;,&quot;issued&quot;:{&quot;date-parts&quot;:[[&quot;2013&quot;,&quot;4&quot;]]},&quot;language&quot;:&quot;eng&quot;,&quot;page&quot;:&quot;517-524&quot;,&quot;publisher-place&quot;:&quot;England&quot;,&quot;title&quot;:&quot;Adalimumab: long-term safety in 23 458 patients from global clinical trials in rheumatoid arthritis, juvenile idiopathic arthritis, ankylosing spondylitis, psoriatic arthritis, psoriasis and Crohn's disease.&quot;,&quot;type&quot;:&quot;article-journal&quot;,&quot;volume&quot;:&quot;72&quot;,&quot;container-title-short&quot;:&quot;Ann Rheum Dis&quot;},&quot;uris&quot;:[&quot;http://www.mendeley.com/documents/?uuid=10ef8caf-3332-4a9f-81b0-1af740307bb2&quot;],&quot;isTemporary&quot;:false,&quot;legacyDesktopId&quot;:&quot;10ef8caf-3332-4a9f-81b0-1af740307bb2&quot;},{&quot;id&quot;:&quot;bc4c28dc-7509-34ab-aded-c8469201d7a0&quot;,&quot;itemData&quot;:{&quot;DOI&quot;:&quot;10.1016/j.cgh.2009.01.004&quot;,&quot;ISSN&quot;:&quot;1542-7714 (Electronic)&quot;,&quot;PMID&quot;:&quot;19558997&quot;,&quot;abstract&quot;:&quot;BACKGROUND &amp; AIMS: Although anti-tumor necrosis factor (TNF) therapy can effectively treat Crohn's disease (CD), there is concern that it might increase the risk of non-Hodgkin's lymphoma (NHL). A meta-analysis was performed to determine the rate of NHL in adult CD patients who have received anti-TNF therapy and to compare this rate with that of a population-based registry and a population of CD patients treated with immunomodulators. METHODS: MEDLINE, EMBASE, Cochrane Collaboration, and Web of Science were searched. Inclusion criteria included randomized controlled trials, cohort studies, or case series reporting on anti-TNF therapy in adult CD patients. Standardized incidence ratios (SIR) were calculated by comparing the pooled rate of NHL with the expected rate of NHL derived from the Surveillance Epidemiology &amp; End Results (SEER) database and a meta-analysis of CD patients treated with immunomodulators. RESULTS: Twenty-six studies involving 8905 patients and 21,178 patient-years of follow-up were included. Among anti-TNF treated subjects, 13 cases of NHL were reported (6.1 per 10,000 patient-years). The majority of these patients had previous immunomodulator exposure. Compared with the expected rate of NHL in the SEER database (1.9 per 10,000 patient-years), anti-TNF treated subjects had a significantly elevated risk (SIR, 3.23; 95% confidence interval, 1.5-6.9). When compared with the NHL rate in CD patients treated with immunomodulators alone (4 per 10,000 patient-years), the SIR was 1.7 (95% confidence interval, 0.5-7.1). CONCLUSIONS: The use of anti-TNF agents with immunomodulators is associated with an increased risk of NHL in adult CD patients, but the absolute rate of these events remains low and should be weighed against the substantial benefits associated with treatment.&quot;,&quot;author&quot;:[{&quot;dropping-particle&quot;:&quot;&quot;,&quot;family&quot;:&quot;Siegel&quot;,&quot;given&quot;:&quot;Corey A&quot;,&quot;non-dropping-particle&quot;:&quot;&quot;,&quot;parse-names&quot;:false,&quot;suffix&quot;:&quot;&quot;},{&quot;dropping-particle&quot;:&quot;&quot;,&quot;family&quot;:&quot;Marden&quot;,&quot;given&quot;:&quot;Sadie M&quot;,&quot;non-dropping-particle&quot;:&quot;&quot;,&quot;parse-names&quot;:false,&quot;suffix&quot;:&quot;&quot;},{&quot;dropping-particle&quot;:&quot;&quot;,&quot;family&quot;:&quot;Persing&quot;,&quot;given&quot;:&quot;Sarah M&quot;,&quot;non-dropping-particle&quot;:&quot;&quot;,&quot;parse-names&quot;:false,&quot;suffix&quot;:&quot;&quot;},{&quot;dropping-particle&quot;:&quot;&quot;,&quot;family&quot;:&quot;Larson&quot;,&quot;given&quot;:&quot;Robin J&quot;,&quot;non-dropping-particle&quot;:&quot;&quot;,&quot;parse-names&quot;:false,&quot;suffix&quot;:&quot;&quot;},{&quot;dropping-particle&quot;:&quot;&quot;,&quot;family&quot;:&quot;Sands&quot;,&quot;given&quot;:&quot;Bruce E&quot;,&quot;non-dropping-particle&quot;:&quot;&quot;,&quot;parse-names&quot;:false,&quot;suffix&quot;:&quot;&quot;}],&quot;container-title&quot;:&quot;Clinical gastroenterology and hepatology : the official clinical practice journal of the American Gastroenterological Association&quot;,&quot;id&quot;:&quot;bc4c28dc-7509-34ab-aded-c8469201d7a0&quot;,&quot;issue&quot;:&quot;8&quot;,&quot;issued&quot;:{&quot;date-parts&quot;:[[&quot;2009&quot;,&quot;8&quot;]]},&quot;language&quot;:&quot;eng&quot;,&quot;page&quot;:&quot;874-881&quot;,&quot;publisher-place&quot;:&quot;United States&quot;,&quot;title&quot;:&quot;Risk of lymphoma associated with combination anti-tumor necrosis factor and immunomodulator therapy for the treatment of Crohn's disease: a meta-analysis.&quot;,&quot;type&quot;:&quot;article-journal&quot;,&quot;volume&quot;:&quot;7&quot;,&quot;container-title-short&quot;:&quot;Clin Gastroenterol Hepatol&quot;},&quot;uris&quot;:[&quot;http://www.mendeley.com/documents/?uuid=7cf58604-58b8-4ec4-b184-666b88370362&quot;],&quot;isTemporary&quot;:false,&quot;legacyDesktopId&quot;:&quot;7cf58604-58b8-4ec4-b184-666b88370362&quot;},{&quot;id&quot;:&quot;4e043d0c-7d80-3905-9aaa-fd82c612a610&quot;,&quot;itemData&quot;:{&quot;DOI&quot;:&quot;10.1053/j.gastro.2012.05.004&quot;,&quot;ISSN&quot;:&quot;1528-0012&quot;,&quot;abstract&quot;:&quot;BACKGROUND &amp; AIMS: Patients with inflammatory bowel disease (IBD) are at risk for certain malignancies. We aimed to determine the risk of melanoma and nonmelanoma skin cancer (NMSC) in patients with IBD and how medications affect these risks. METHODS: We performed retrospective cohort and nested case-control studies using administrative data from the LifeLink Health Plan Claims Database from 1997 to 2009. The cohort comprised 108,579 patients with IBD, and each was matched to 4 individuals without IBD. The risk of melanoma and NMSC was evaluated by incidence rate ratio (IRR) and by adjusted Cox proportional hazard ratio (HR) modeling. In nested case-control studies, patients with melanoma or NMSC were matched to 4 patients with IBD without melanoma or NMSC. Conditional logistic regression was used to determine associations between medications and both skin cancers. RESULTS: In the cohort, IBD was associated with an increased incidence of melanoma (IRR, 1.29; 95% confidence interval [CI], 1.09-1.53). Risk was greatest among individuals with Crohn's disease (IRR, 1.45; 95% CI, 1.13-1.85; adjusted HR, 1.28; 95% CI, 1.00-1.64). The incidence of NMSC also increased among patients with IBD (IRR, 1.46; 95% CI, 1.40-1.53) and was greatest among those with CD (IRR, 1.64; 95% CI, 1.54-1.74). In the nested case-control studies, therapy with biologics increased the risk of melanoma (odds ratio [OR], 1.88; 95% CI, 1.08-3.29). Patients who had been treated with thiopurines had an increased risk of NMSC (OR, 1.85; 95% CI, 1.66-2.05). CONCLUSIONS: Immunosuppression increases the risk of melanoma and NMSC among patients with IBD. The risk of melanoma is increased by use of biologics, and the risk of NMSC is increased by use of thiopurines. Patients with IBD should be counseled and monitored for skin cancer.&quot;,&quot;author&quot;:[{&quot;dropping-particle&quot;:&quot;&quot;,&quot;family&quot;:&quot;Long&quot;,&quot;given&quot;:&quot;Millie D&quot;,&quot;non-dropping-particle&quot;:&quot;&quot;,&quot;parse-names&quot;:false,&quot;suffix&quot;:&quot;&quot;},{&quot;dropping-particle&quot;:&quot;&quot;,&quot;family&quot;:&quot;Martin&quot;,&quot;given&quot;:&quot;Christopher F&quot;,&quot;non-dropping-particle&quot;:&quot;&quot;,&quot;parse-names&quot;:false,&quot;suffix&quot;:&quot;&quot;},{&quot;dropping-particle&quot;:&quot;&quot;,&quot;family&quot;:&quot;Pipkin&quot;,&quot;given&quot;:&quot;Clare A&quot;,&quot;non-dropping-particle&quot;:&quot;&quot;,&quot;parse-names&quot;:false,&quot;suffix&quot;:&quot;&quot;},{&quot;dropping-particle&quot;:&quot;&quot;,&quot;family&quot;:&quot;Herfarth&quot;,&quot;given&quot;:&quot;Hans H&quot;,&quot;non-dropping-particle&quot;:&quot;&quot;,&quot;parse-names&quot;:false,&quot;suffix&quot;:&quot;&quot;},{&quot;dropping-particle&quot;:&quot;&quot;,&quot;family&quot;:&quot;Sandler&quot;,&quot;given&quot;:&quot;Robert S&quot;,&quot;non-dropping-particle&quot;:&quot;&quot;,&quot;parse-names&quot;:false,&quot;suffix&quot;:&quot;&quot;},{&quot;dropping-particle&quot;:&quot;&quot;,&quot;family&quot;:&quot;Kappelman&quot;,&quot;given&quot;:&quot;Michael D&quot;,&quot;non-dropping-particle&quot;:&quot;&quot;,&quot;parse-names&quot;:false,&quot;suffix&quot;:&quot;&quot;}],&quot;container-title&quot;:&quot;Gastroenterology&quot;,&quot;edition&quot;:&quot;2012/05/11&quot;,&quot;id&quot;:&quot;4e043d0c-7d80-3905-9aaa-fd82c612a610&quot;,&quot;issue&quot;:&quot;2&quot;,&quot;issued&quot;:{&quot;date-parts&quot;:[[&quot;2012&quot;,&quot;8&quot;]]},&quot;language&quot;:&quot;eng&quot;,&quot;page&quot;:&quot;390-399.e1&quot;,&quot;title&quot;:&quot;Risk of melanoma and nonmelanoma skin cancer among patients with inflammatory bowel disease&quot;,&quot;type&quot;:&quot;article-journal&quot;,&quot;volume&quot;:&quot;143&quot;,&quot;container-title-short&quot;:&quot;Gastroenterology&quot;},&quot;uris&quot;:[&quot;http://www.mendeley.com/documents/?uuid=4177ea4d-d920-4f40-acc8-9530c9c5c0a1&quot;],&quot;isTemporary&quot;:false,&quot;legacyDesktopId&quot;:&quot;4177ea4d-d920-4f40-acc8-9530c9c5c0a1&quot;}]},{&quot;citationID&quot;:&quot;MENDELEY_CITATION_52d09590-b395-4567-8c0c-70e44effb798&quot;,&quot;properties&quot;:{&quot;noteIndex&quot;:0},&quot;isEdited&quot;:false,&quot;manualOverride&quot;:{&quot;citeprocText&quot;:&quot;[27]&quot;,&quot;isManuallyOverridden&quot;:false,&quot;manualOverrideText&quot;:&quot;&quot;},&quot;citationTag&quot;:&quot;MENDELEY_CITATION_v3_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&quot;,&quot;citationItems&quot;:[{&quot;id&quot;:&quot;fbb1596c-bc26-3aa5-b8f0-f2e419543ddd&quot;,&quot;itemData&quot;:{&quot;DOI&quot;:&quot;10.3748/wjg.v23.i34.6294&quot;,&quot;ISSN&quot;:&quot;2219-2840 (Electronic)&quot;,&quot;PMID&quot;:&quot;28974896&quot;,&quot;abstract&quot;:&quot;AIM: To analyze access (availability, affordability and acceptability) to  biologicals for Crohn's disease (CD) in ten European countries and to explore the associations between these dimensions, the uptake of biologicals and economic development. METHODS: A questionnaire-based survey combined with desk research was carried out in May 2016. Gastroenterologists from the Czech Republic, France, Germany, Hungary, Latvia, Poland, Romania, Slovakia, Spain and Sweden were invited to participate and provide data on the availability of biologicals/biosimilars, reimbursement criteria, clinical practice and prices, and use of biologicals. An availability score was developed to evaluate the restrictiveness of eligibility and administrative criteria applied in the countries. Affordability was defined as the annual cost of treatment as a share of gross domestic product (GDP) per capita. Correlations with the uptake of biologicals, dimensions of access and GDP per capita were calculated. RESULTS: At the time of the survey, infliximab and adalimumab were reimbursed in all ten countries, and vedolizumab was reimbursed in five countries (France, Germany, Latvia, Slovakia, Sweden). Reimbursement criteria were the least strict in Sweden and Germany, and the strictest in Hungary, Poland and Slovakia. Between countries, the annual cost of different biological treatments differed 1.6-3.3-fold. Treatments were the most affordable in Sweden (13%-37% of the GDP per capita) and the least affordable in the Central and Eastern European countries, especially in Hungary (87%-124%) and Romania (141%-277%). Biosimilars made treatments more affordable by driving down the annual costs. The number of patients with CD on biologicals per 100000 population was strongly correlated with GDP per capita (0.91), although substantial differences were found in the uptake among countries with similar economic development. Correlation between the number of patients with CD on biologicals per 100000 population and the availability and affordability was also strong (-0.75, -0.69 respectively). CONCLUSION: Substantial inequalities in access to biologicals were largely associated with GDP. To explain differences in access among countries with similar development needs further research on acceptance.&quot;,&quot;author&quot;:[{&quot;dropping-particle&quot;:&quot;&quot;,&quot;family&quot;:&quot;Péntek&quot;,&quot;given&quot;:&quot;Márta&quot;,&quot;non-dropping-particle&quot;:&quot;&quot;,&quot;parse-names&quot;:false,&quot;suffix&quot;:&quot;&quot;},{&quot;dropping-particle&quot;:&quot;&quot;,&quot;family&quot;:&quot;Lakatos&quot;,&quot;given&quot;:&quot;Peter L&quot;,&quot;non-dropping-particle&quot;:&quot;&quot;,&quot;parse-names&quot;:false,&quot;suffix&quot;:&quot;&quot;},{&quot;dropping-particle&quot;:&quot;&quot;,&quot;family&quot;:&quot;Oorsprong&quot;,&quot;given&quot;:&quot;Talitha&quot;,&quot;non-dropping-particle&quot;:&quot;&quot;,&quot;parse-names&quot;:false,&quot;suffix&quot;:&quot;&quot;},{&quot;dropping-particle&quot;:&quot;&quot;,&quot;family&quot;:&quot;Gulácsi&quot;,&quot;given&quot;:&quot;László&quot;,&quot;non-dropping-particle&quot;:&quot;&quot;,&quot;parse-names&quot;:false,&quot;suffix&quot;:&quot;&quot;},{&quot;dropping-particle&quot;:&quot;&quot;,&quot;family&quot;:&quot;Pavlova&quot;,&quot;given&quot;:&quot;Milena&quot;,&quot;non-dropping-particle&quot;:&quot;&quot;,&quot;parse-names&quot;:false,&quot;suffix&quot;:&quot;&quot;},{&quot;dropping-particle&quot;:&quot;&quot;,&quot;family&quot;:&quot;Groot&quot;,&quot;given&quot;:&quot;Wim&quot;,&quot;non-dropping-particle&quot;:&quot;&quot;,&quot;parse-names&quot;:false,&quot;suffix&quot;:&quot;&quot;},{&quot;dropping-particle&quot;:&quot;&quot;,&quot;family&quot;:&quot;Rencz&quot;,&quot;given&quot;:&quot;Fanni&quot;,&quot;non-dropping-particle&quot;:&quot;&quot;,&quot;parse-names&quot;:false,&quot;suffix&quot;:&quot;&quot;},{&quot;dropping-particle&quot;:&quot;&quot;,&quot;family&quot;:&quot;Brodszky&quot;,&quot;given&quot;:&quot;Valentin&quot;,&quot;non-dropping-particle&quot;:&quot;&quot;,&quot;parse-names&quot;:false,&quot;suffix&quot;:&quot;&quot;},{&quot;dropping-particle&quot;:&quot;&quot;,&quot;family&quot;:&quot;Baji&quot;,&quot;given&quot;:&quot;Petra&quot;,&quot;non-dropping-particle&quot;:&quot;&quot;,&quot;parse-names&quot;:false,&quot;suffix&quot;:&quot;&quot;},{&quot;dropping-particle&quot;:&quot;&quot;,&quot;family&quot;:&quot;Group&quot;,&quot;given&quot;:&quot;Crohn's Disease Research&quot;,&quot;non-dropping-particle&quot;:&quot;&quot;,&quot;parse-names&quot;:false,&quot;suffix&quot;:&quot;&quot;}],&quot;container-title&quot;:&quot;World journal of gastroenterology&quot;,&quot;id&quot;:&quot;fbb1596c-bc26-3aa5-b8f0-f2e419543ddd&quot;,&quot;issue&quot;:&quot;34&quot;,&quot;issued&quot;:{&quot;date-parts&quot;:[[&quot;2017&quot;,&quot;9&quot;]]},&quot;language&quot;:&quot;eng&quot;,&quot;page&quot;:&quot;6294-6305&quot;,&quot;title&quot;:&quot;Access to biologicals in Crohn's disease in ten European countries.&quot;,&quot;type&quot;:&quot;article-journal&quot;,&quot;volume&quot;:&quot;23&quot;,&quot;container-title-short&quot;:&quot;World J Gastroenterol&quot;},&quot;uris&quot;:[&quot;http://www.mendeley.com/documents/?uuid=c0c408d2-d520-4502-a0bf-068549944dfd&quot;],&quot;isTemporary&quot;:false,&quot;legacyDesktopId&quot;:&quot;c0c408d2-d520-4502-a0bf-068549944dfd&quot;}]},{&quot;citationID&quot;:&quot;MENDELEY_CITATION_2a144292-e786-451f-baba-05ce13883bf4&quot;,&quot;properties&quot;:{&quot;noteIndex&quot;:0},&quot;isEdited&quot;:false,&quot;manualOverride&quot;:{&quot;citeprocText&quot;:&quot;[28]&quot;,&quot;isManuallyOverridden&quot;:false,&quot;manualOverrideText&quot;:&quot;&quot;},&quot;citationTag&quot;:&quot;MENDELEY_CITATION_v3_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&quot;,&quot;citationItems&quot;:[{&quot;id&quot;:&quot;7468da7b-12f4-31c8-8a47-ad64e1e64d3f&quot;,&quot;itemData&quot;:{&quot;DOI&quot;:&quot;10.1111/apt.13547&quot;,&quot;ISSN&quot;:&quot;1365-2036 (Electronic)&quot;,&quot;PMID&quot;:&quot;26892328&quot;,&quot;abstract&quot;:&quot;BACKGROUND: Infliximab and adalimumab have established roles in inflammatory bowel  disease (IBD) therapy. UK regulators mandate reassessment after 12 months' anti-TNF therapy for IBD, with consideration of treatment withdrawal. There is a need for more data to establish the relapse rates following treatment cessation. AIM: To establish outcomes following anti-TNF withdrawal for sustained remission using new data from a large UK cohort, and assimilation of all available literature for systematic review and meta-analysis. METHODS: A retrospective observational study was performed on 166 patients with IBD (146 with Crohn's disease (CD) and 20 with ulcerative colitis [UC) and IBD unclassified (IBDU)] withdrawn from anti-TNF for sustained remission. Meta-analysis was undertaken of all published studies incorporating 11 further cohorts totalling 746 patients (624 CD, 122 UC). RESULTS: Relapse rates in the UK cohort were 36% by 1 year and 56% by 2 years for CD, and 42% by 1 year and 47% by 2 years for UC/IBDU. Increased relapse risk in CD was associated with age at diagnosis [hazard ratio (HR) 2.78 for age &lt;22 years], white cell count (HR 3.22 for &gt;5.25 × 10(9) /L) and faecal calprotectin (HR 2.95 for &gt;50 μg/g) at drug withdrawal. Neither continued immunomodulators nor endoscopic remission were predictors. In the meta-analysis, estimated 1-year relapse rates were 39% and 35% for CD and UC/IBDU respectively. Retreatment with anti-TNF was successful in 88% for CD and 76% UC/IBDU. CONCLUSIONS: Assimilation of all available data reveals remarkable homogeneity. Approximately one-third of patients with IBD flare within 12 months of withdrawal of anti-TNF therapy for sustained remission.&quot;,&quot;author&quot;:[{&quot;dropping-particle&quot;:&quot;&quot;,&quot;family&quot;:&quot;Kennedy&quot;,&quot;given&quot;:&quot;N A&quot;,&quot;non-dropping-particle&quot;:&quot;&quot;,&quot;parse-names&quot;:false,&quot;suffix&quot;:&quot;&quot;},{&quot;dropping-particle&quot;:&quot;&quot;,&quot;family&quot;:&quot;Warner&quot;,&quot;given&quot;:&quot;B&quot;,&quot;non-dropping-particle&quot;:&quot;&quot;,&quot;parse-names&quot;:false,&quot;suffix&quot;:&quot;&quot;},{&quot;dropping-particle&quot;:&quot;&quot;,&quot;family&quot;:&quot;Johnston&quot;,&quot;given&quot;:&quot;E L&quot;,&quot;non-dropping-particle&quot;:&quot;&quot;,&quot;parse-names&quot;:false,&quot;suffix&quot;:&quot;&quot;},{&quot;dropping-particle&quot;:&quot;&quot;,&quot;family&quot;:&quot;Flanders&quot;,&quot;given&quot;:&quot;L&quot;,&quot;non-dropping-particle&quot;:&quot;&quot;,&quot;parse-names&quot;:false,&quot;suffix&quot;:&quot;&quot;},{&quot;dropping-particle&quot;:&quot;&quot;,&quot;family&quot;:&quot;Hendy&quot;,&quot;given&quot;:&quot;P&quot;,&quot;non-dropping-particle&quot;:&quot;&quot;,&quot;parse-names&quot;:false,&quot;suffix&quot;:&quot;&quot;},{&quot;dropping-particle&quot;:&quot;&quot;,&quot;family&quot;:&quot;Ding&quot;,&quot;given&quot;:&quot;N S&quot;,&quot;non-dropping-particle&quot;:&quot;&quot;,&quot;parse-names&quot;:false,&quot;suffix&quot;:&quot;&quot;},{&quot;dropping-particle&quot;:&quot;&quot;,&quot;family&quot;:&quot;Harris&quot;,&quot;given&quot;:&quot;R&quot;,&quot;non-dropping-particle&quot;:&quot;&quot;,&quot;parse-names&quot;:false,&quot;suffix&quot;:&quot;&quot;},{&quot;dropping-particle&quot;:&quot;&quot;,&quot;family&quot;:&quot;Fadra&quot;,&quot;given&quot;:&quot;A S&quot;,&quot;non-dropping-particle&quot;:&quot;&quot;,&quot;parse-names&quot;:false,&quot;suffix&quot;:&quot;&quot;},{&quot;dropping-particle&quot;:&quot;&quot;,&quot;family&quot;:&quot;Basquill&quot;,&quot;given&quot;:&quot;C&quot;,&quot;non-dropping-particle&quot;:&quot;&quot;,&quot;parse-names&quot;:false,&quot;suffix&quot;:&quot;&quot;},{&quot;dropping-particle&quot;:&quot;&quot;,&quot;family&quot;:&quot;Lamb&quot;,&quot;given&quot;:&quot;C A&quot;,&quot;non-dropping-particle&quot;:&quot;&quot;,&quot;parse-names&quot;:false,&quot;suffix&quot;:&quot;&quot;},{&quot;dropping-particle&quot;:&quot;&quot;,&quot;family&quot;:&quot;Cameron&quot;,&quot;given&quot;:&quot;F L&quot;,&quot;non-dropping-particle&quot;:&quot;&quot;,&quot;parse-names&quot;:false,&quot;suffix&quot;:&quot;&quot;},{&quot;dropping-particle&quot;:&quot;&quot;,&quot;family&quot;:&quot;Murray&quot;,&quot;given&quot;:&quot;C D&quot;,&quot;non-dropping-particle&quot;:&quot;&quot;,&quot;parse-names&quot;:false,&quot;suffix&quot;:&quot;&quot;},{&quot;dropping-particle&quot;:&quot;&quot;,&quot;family&quot;:&quot;Parkes&quot;,&quot;given&quot;:&quot;M&quot;,&quot;non-dropping-particle&quot;:&quot;&quot;,&quot;parse-names&quot;:false,&quot;suffix&quot;:&quot;&quot;},{&quot;dropping-particle&quot;:&quot;&quot;,&quot;family&quot;:&quot;Gooding&quot;,&quot;given&quot;:&quot;I&quot;,&quot;non-dropping-particle&quot;:&quot;&quot;,&quot;parse-names&quot;:false,&quot;suffix&quot;:&quot;&quot;},{&quot;dropping-particle&quot;:&quot;&quot;,&quot;family&quot;:&quot;Ahmad&quot;,&quot;given&quot;:&quot;T&quot;,&quot;non-dropping-particle&quot;:&quot;&quot;,&quot;parse-names&quot;:false,&quot;suffix&quot;:&quot;&quot;},{&quot;dropping-particle&quot;:&quot;&quot;,&quot;family&quot;:&quot;Gaya&quot;,&quot;given&quot;:&quot;D R&quot;,&quot;non-dropping-particle&quot;:&quot;&quot;,&quot;parse-names&quot;:false,&quot;suffix&quot;:&quot;&quot;},{&quot;dropping-particle&quot;:&quot;&quot;,&quot;family&quot;:&quot;Mann&quot;,&quot;given&quot;:&quot;S&quot;,&quot;non-dropping-particle&quot;:&quot;&quot;,&quot;parse-names&quot;:false,&quot;suffix&quot;:&quot;&quot;},{&quot;dropping-particle&quot;:&quot;&quot;,&quot;family&quot;:&quot;Lindsay&quot;,&quot;given&quot;:&quot;J O&quot;,&quot;non-dropping-particle&quot;:&quot;&quot;,&quot;parse-names&quot;:false,&quot;suffix&quot;:&quot;&quot;},{&quot;dropping-particle&quot;:&quot;&quot;,&quot;family&quot;:&quot;Gordon&quot;,&quot;given&quot;:&quot;J&quot;,&quot;non-dropping-particle&quot;:&quot;&quot;,&quot;parse-names&quot;:false,&quot;suffix&quot;:&quot;&quot;},{&quot;dropping-particle&quot;:&quot;&quot;,&quot;family&quot;:&quot;Satsangi&quot;,&quot;given&quot;:&quot;J&quot;,&quot;non-dropping-particle&quot;:&quot;&quot;,&quot;parse-names&quot;:false,&quot;suffix&quot;:&quot;&quot;},{&quot;dropping-particle&quot;:&quot;&quot;,&quot;family&quot;:&quot;Hart&quot;,&quot;given&quot;:&quot;A&quot;,&quot;non-dropping-particle&quot;:&quot;&quot;,&quot;parse-names&quot;:false,&quot;suffix&quot;:&quot;&quot;},{&quot;dropping-particle&quot;:&quot;&quot;,&quot;family&quot;:&quot;McCartney&quot;,&quot;given&quot;:&quot;S&quot;,&quot;non-dropping-particle&quot;:&quot;&quot;,&quot;parse-names&quot;:false,&quot;suffix&quot;:&quot;&quot;},{&quot;dropping-particle&quot;:&quot;&quot;,&quot;family&quot;:&quot;Irving&quot;,&quot;given&quot;:&quot;P&quot;,&quot;non-dropping-particle&quot;:&quot;&quot;,&quot;parse-names&quot;:false,&quot;suffix&quot;:&quot;&quot;},{&quot;dropping-particle&quot;:&quot;&quot;,&quot;family&quot;:&quot;Lees&quot;,&quot;given&quot;:&quot;C W&quot;,&quot;non-dropping-particle&quot;:&quot;&quot;,&quot;parse-names&quot;:false,&quot;suffix&quot;:&quot;&quot;}],&quot;container-title&quot;:&quot;Alimentary pharmacology &amp; therapeutics&quot;,&quot;id&quot;:&quot;7468da7b-12f4-31c8-8a47-ad64e1e64d3f&quot;,&quot;issue&quot;:&quot;8&quot;,&quot;issued&quot;:{&quot;date-parts&quot;:[[&quot;2016&quot;,&quot;4&quot;]]},&quot;language&quot;:&quot;eng&quot;,&quot;page&quot;:&quot;910-923&quot;,&quot;title&quot;:&quot;Relapse after withdrawal from anti-TNF therapy for inflammatory bowel disease: an  observational study, plus systematic review and meta-analysis.&quot;,&quot;type&quot;:&quot;article-journal&quot;,&quot;volume&quot;:&quot;43&quot;,&quot;container-title-short&quot;:&quot;Aliment Pharmacol Ther&quot;},&quot;uris&quot;:[&quot;http://www.mendeley.com/documents/?uuid=7ff258ae-182d-4889-82c1-9477518afaa2&quot;],&quot;isTemporary&quot;:false,&quot;legacyDesktopId&quot;:&quot;7ff258ae-182d-4889-82c1-9477518afaa2&quot;}]},{&quot;citationID&quot;:&quot;MENDELEY_CITATION_8ced5de8-0f6c-4d6e-91de-ebe2257a395d&quot;,&quot;properties&quot;:{&quot;noteIndex&quot;:0},&quot;isEdited&quot;:false,&quot;manualOverride&quot;:{&quot;citeprocText&quot;:&quot;[28]&quot;,&quot;isManuallyOverridden&quot;:false,&quot;manualOverrideText&quot;:&quot;&quot;},&quot;citationTag&quot;:&quot;MENDELEY_CITATION_v3_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&quot;,&quot;citationItems&quot;:[{&quot;id&quot;:&quot;7468da7b-12f4-31c8-8a47-ad64e1e64d3f&quot;,&quot;itemData&quot;:{&quot;DOI&quot;:&quot;10.1111/apt.13547&quot;,&quot;ISSN&quot;:&quot;1365-2036 (Electronic)&quot;,&quot;PMID&quot;:&quot;26892328&quot;,&quot;abstract&quot;:&quot;BACKGROUND: Infliximab and adalimumab have established roles in inflammatory bowel  disease (IBD) therapy. UK regulators mandate reassessment after 12 months' anti-TNF therapy for IBD, with consideration of treatment withdrawal. There is a need for more data to establish the relapse rates following treatment cessation. AIM: To establish outcomes following anti-TNF withdrawal for sustained remission using new data from a large UK cohort, and assimilation of all available literature for systematic review and meta-analysis. METHODS: A retrospective observational study was performed on 166 patients with IBD (146 with Crohn's disease (CD) and 20 with ulcerative colitis [UC) and IBD unclassified (IBDU)] withdrawn from anti-TNF for sustained remission. Meta-analysis was undertaken of all published studies incorporating 11 further cohorts totalling 746 patients (624 CD, 122 UC). RESULTS: Relapse rates in the UK cohort were 36% by 1 year and 56% by 2 years for CD, and 42% by 1 year and 47% by 2 years for UC/IBDU. Increased relapse risk in CD was associated with age at diagnosis [hazard ratio (HR) 2.78 for age &lt;22 years], white cell count (HR 3.22 for &gt;5.25 × 10(9) /L) and faecal calprotectin (HR 2.95 for &gt;50 μg/g) at drug withdrawal. Neither continued immunomodulators nor endoscopic remission were predictors. In the meta-analysis, estimated 1-year relapse rates were 39% and 35% for CD and UC/IBDU respectively. Retreatment with anti-TNF was successful in 88% for CD and 76% UC/IBDU. CONCLUSIONS: Assimilation of all available data reveals remarkable homogeneity. Approximately one-third of patients with IBD flare within 12 months of withdrawal of anti-TNF therapy for sustained remission.&quot;,&quot;author&quot;:[{&quot;dropping-particle&quot;:&quot;&quot;,&quot;family&quot;:&quot;Kennedy&quot;,&quot;given&quot;:&quot;N A&quot;,&quot;non-dropping-particle&quot;:&quot;&quot;,&quot;parse-names&quot;:false,&quot;suffix&quot;:&quot;&quot;},{&quot;dropping-particle&quot;:&quot;&quot;,&quot;family&quot;:&quot;Warner&quot;,&quot;given&quot;:&quot;B&quot;,&quot;non-dropping-particle&quot;:&quot;&quot;,&quot;parse-names&quot;:false,&quot;suffix&quot;:&quot;&quot;},{&quot;dropping-particle&quot;:&quot;&quot;,&quot;family&quot;:&quot;Johnston&quot;,&quot;given&quot;:&quot;E L&quot;,&quot;non-dropping-particle&quot;:&quot;&quot;,&quot;parse-names&quot;:false,&quot;suffix&quot;:&quot;&quot;},{&quot;dropping-particle&quot;:&quot;&quot;,&quot;family&quot;:&quot;Flanders&quot;,&quot;given&quot;:&quot;L&quot;,&quot;non-dropping-particle&quot;:&quot;&quot;,&quot;parse-names&quot;:false,&quot;suffix&quot;:&quot;&quot;},{&quot;dropping-particle&quot;:&quot;&quot;,&quot;family&quot;:&quot;Hendy&quot;,&quot;given&quot;:&quot;P&quot;,&quot;non-dropping-particle&quot;:&quot;&quot;,&quot;parse-names&quot;:false,&quot;suffix&quot;:&quot;&quot;},{&quot;dropping-particle&quot;:&quot;&quot;,&quot;family&quot;:&quot;Ding&quot;,&quot;given&quot;:&quot;N S&quot;,&quot;non-dropping-particle&quot;:&quot;&quot;,&quot;parse-names&quot;:false,&quot;suffix&quot;:&quot;&quot;},{&quot;dropping-particle&quot;:&quot;&quot;,&quot;family&quot;:&quot;Harris&quot;,&quot;given&quot;:&quot;R&quot;,&quot;non-dropping-particle&quot;:&quot;&quot;,&quot;parse-names&quot;:false,&quot;suffix&quot;:&quot;&quot;},{&quot;dropping-particle&quot;:&quot;&quot;,&quot;family&quot;:&quot;Fadra&quot;,&quot;given&quot;:&quot;A S&quot;,&quot;non-dropping-particle&quot;:&quot;&quot;,&quot;parse-names&quot;:false,&quot;suffix&quot;:&quot;&quot;},{&quot;dropping-particle&quot;:&quot;&quot;,&quot;family&quot;:&quot;Basquill&quot;,&quot;given&quot;:&quot;C&quot;,&quot;non-dropping-particle&quot;:&quot;&quot;,&quot;parse-names&quot;:false,&quot;suffix&quot;:&quot;&quot;},{&quot;dropping-particle&quot;:&quot;&quot;,&quot;family&quot;:&quot;Lamb&quot;,&quot;given&quot;:&quot;C A&quot;,&quot;non-dropping-particle&quot;:&quot;&quot;,&quot;parse-names&quot;:false,&quot;suffix&quot;:&quot;&quot;},{&quot;dropping-particle&quot;:&quot;&quot;,&quot;family&quot;:&quot;Cameron&quot;,&quot;given&quot;:&quot;F L&quot;,&quot;non-dropping-particle&quot;:&quot;&quot;,&quot;parse-names&quot;:false,&quot;suffix&quot;:&quot;&quot;},{&quot;dropping-particle&quot;:&quot;&quot;,&quot;family&quot;:&quot;Murray&quot;,&quot;given&quot;:&quot;C D&quot;,&quot;non-dropping-particle&quot;:&quot;&quot;,&quot;parse-names&quot;:false,&quot;suffix&quot;:&quot;&quot;},{&quot;dropping-particle&quot;:&quot;&quot;,&quot;family&quot;:&quot;Parkes&quot;,&quot;given&quot;:&quot;M&quot;,&quot;non-dropping-particle&quot;:&quot;&quot;,&quot;parse-names&quot;:false,&quot;suffix&quot;:&quot;&quot;},{&quot;dropping-particle&quot;:&quot;&quot;,&quot;family&quot;:&quot;Gooding&quot;,&quot;given&quot;:&quot;I&quot;,&quot;non-dropping-particle&quot;:&quot;&quot;,&quot;parse-names&quot;:false,&quot;suffix&quot;:&quot;&quot;},{&quot;dropping-particle&quot;:&quot;&quot;,&quot;family&quot;:&quot;Ahmad&quot;,&quot;given&quot;:&quot;T&quot;,&quot;non-dropping-particle&quot;:&quot;&quot;,&quot;parse-names&quot;:false,&quot;suffix&quot;:&quot;&quot;},{&quot;dropping-particle&quot;:&quot;&quot;,&quot;family&quot;:&quot;Gaya&quot;,&quot;given&quot;:&quot;D R&quot;,&quot;non-dropping-particle&quot;:&quot;&quot;,&quot;parse-names&quot;:false,&quot;suffix&quot;:&quot;&quot;},{&quot;dropping-particle&quot;:&quot;&quot;,&quot;family&quot;:&quot;Mann&quot;,&quot;given&quot;:&quot;S&quot;,&quot;non-dropping-particle&quot;:&quot;&quot;,&quot;parse-names&quot;:false,&quot;suffix&quot;:&quot;&quot;},{&quot;dropping-particle&quot;:&quot;&quot;,&quot;family&quot;:&quot;Lindsay&quot;,&quot;given&quot;:&quot;J O&quot;,&quot;non-dropping-particle&quot;:&quot;&quot;,&quot;parse-names&quot;:false,&quot;suffix&quot;:&quot;&quot;},{&quot;dropping-particle&quot;:&quot;&quot;,&quot;family&quot;:&quot;Gordon&quot;,&quot;given&quot;:&quot;J&quot;,&quot;non-dropping-particle&quot;:&quot;&quot;,&quot;parse-names&quot;:false,&quot;suffix&quot;:&quot;&quot;},{&quot;dropping-particle&quot;:&quot;&quot;,&quot;family&quot;:&quot;Satsangi&quot;,&quot;given&quot;:&quot;J&quot;,&quot;non-dropping-particle&quot;:&quot;&quot;,&quot;parse-names&quot;:false,&quot;suffix&quot;:&quot;&quot;},{&quot;dropping-particle&quot;:&quot;&quot;,&quot;family&quot;:&quot;Hart&quot;,&quot;given&quot;:&quot;A&quot;,&quot;non-dropping-particle&quot;:&quot;&quot;,&quot;parse-names&quot;:false,&quot;suffix&quot;:&quot;&quot;},{&quot;dropping-particle&quot;:&quot;&quot;,&quot;family&quot;:&quot;McCartney&quot;,&quot;given&quot;:&quot;S&quot;,&quot;non-dropping-particle&quot;:&quot;&quot;,&quot;parse-names&quot;:false,&quot;suffix&quot;:&quot;&quot;},{&quot;dropping-particle&quot;:&quot;&quot;,&quot;family&quot;:&quot;Irving&quot;,&quot;given&quot;:&quot;P&quot;,&quot;non-dropping-particle&quot;:&quot;&quot;,&quot;parse-names&quot;:false,&quot;suffix&quot;:&quot;&quot;},{&quot;dropping-particle&quot;:&quot;&quot;,&quot;family&quot;:&quot;Lees&quot;,&quot;given&quot;:&quot;C W&quot;,&quot;non-dropping-particle&quot;:&quot;&quot;,&quot;parse-names&quot;:false,&quot;suffix&quot;:&quot;&quot;}],&quot;container-title&quot;:&quot;Alimentary pharmacology &amp; therapeutics&quot;,&quot;id&quot;:&quot;7468da7b-12f4-31c8-8a47-ad64e1e64d3f&quot;,&quot;issue&quot;:&quot;8&quot;,&quot;issued&quot;:{&quot;date-parts&quot;:[[&quot;2016&quot;,&quot;4&quot;]]},&quot;language&quot;:&quot;eng&quot;,&quot;page&quot;:&quot;910-923&quot;,&quot;title&quot;:&quot;Relapse after withdrawal from anti-TNF therapy for inflammatory bowel disease: an  observational study, plus systematic review and meta-analysis.&quot;,&quot;type&quot;:&quot;article-journal&quot;,&quot;volume&quot;:&quot;43&quot;,&quot;container-title-short&quot;:&quot;Aliment Pharmacol Ther&quot;},&quot;uris&quot;:[&quot;http://www.mendeley.com/documents/?uuid=7ff258ae-182d-4889-82c1-9477518afaa2&quot;],&quot;isTemporary&quot;:false,&quot;legacyDesktopId&quot;:&quot;7ff258ae-182d-4889-82c1-9477518afaa2&quot;}]},{&quot;citationID&quot;:&quot;MENDELEY_CITATION_f7042cdb-5c6c-41e9-b1c9-c7e0c61f1da7&quot;,&quot;properties&quot;:{&quot;noteIndex&quot;:0},&quot;isEdited&quot;:false,&quot;manualOverride&quot;:{&quot;citeprocText&quot;:&quot;[29]&quot;,&quot;isManuallyOverridden&quot;:false,&quot;manualOverrideText&quot;:&quot;&quot;},&quot;citationTag&quot;:&quot;MENDELEY_CITATION_v3_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&quot;,&quot;citationItems&quot;:[{&quot;id&quot;:&quot;edc2411a-11b2-3f7b-bde0-d00ed1b86a07&quot;,&quot;itemData&quot;:{&quot;DOI&quot;:&quot;10.1093/ecco-jcc/jjz063&quot;,&quot;ISSN&quot;:&quot;1876-4479 (Electronic)&quot;,&quot;PMID&quot;:&quot;30893421&quot;,&quot;abstract&quot;:&quot;OBJECTIVES: To examine the cost-effectiveness of continued treatment for patients with moderate-severe Crohn's disease in clinical remission, with a combination of anti-tumour necrosis factor alpha [anti-TNFalpha] [infliximab] and immunomodulator therapy compared with two different withdrawal strategies: [1] withdrawal of the anti-TNFalpha therapy; and [2] withdrawal of the immunomodulator therapy, respectively. METHODS: A decision-tree model was constructed mimicking three treatment arms: [1] continued combination therapy with infliximab and immunomodulator; [2] withdrawal of infliximab; or [3] withdrawal of the immunomodulator. Relapses in each arm are managed with treatment intensification and re-institution of the de-escalated drug according to a prespecified algorithm. State-dependent relapse risks, remission probabilities, and quality of life weights were collected from previous published studies. RESULTS: Combination therapy was less costly and more efficient than the withdrawal of the immunomodulator, and more costly and more efficient than withdrawal of infliximab. Whether or not combination therapy is cost-effective, compared with the alternatives, depends primarily on current pharmaceutical prices and the willingness-to-pay per additional quality-adjusted life-year [QALY]. CONCLUSIONS: Combination therapy using a combination of anti-TNFalpha [infliximab] and an immunomodulator is cost-effective in the treatment of Crohn's disease compared with treatment cycles in which the immunomodulator is withdrawn. Combination treatment is cost-effective compared with treatment cycles in which infliximab is withdrawn, at prices of infliximab beloweuro192/100 mg, given a willingness-to-pay threshold ateuro49 020 [Sweden] per additional QALY.&quot;,&quot;author&quot;:[{&quot;dropping-particle&quot;:&quot;&quot;,&quot;family&quot;:&quot;Bolin&quot;,&quot;given&quot;:&quot;Kristian&quot;,&quot;non-dropping-particle&quot;:&quot;&quot;,&quot;parse-names&quot;:false,&quot;suffix&quot;:&quot;&quot;},{&quot;dropping-particle&quot;:&quot;&quot;,&quot;family&quot;:&quot;Hertervig&quot;,&quot;given&quot;:&quot;Erik&quot;,&quot;non-dropping-particle&quot;:&quot;&quot;,&quot;parse-names&quot;:false,&quot;suffix&quot;:&quot;&quot;},{&quot;dropping-particle&quot;:&quot;&quot;,&quot;family&quot;:&quot;Louis&quot;,&quot;given&quot;:&quot;Edouard&quot;,&quot;non-dropping-particle&quot;:&quot;&quot;,&quot;parse-names&quot;:false,&quot;suffix&quot;:&quot;&quot;}],&quot;container-title&quot;:&quot;Journal of Crohn's &amp; colitis&quot;,&quot;id&quot;:&quot;edc2411a-11b2-3f7b-bde0-d00ed1b86a07&quot;,&quot;issue&quot;:&quot;10&quot;,&quot;issued&quot;:{&quot;date-parts&quot;:[[&quot;2019&quot;,&quot;9&quot;]]},&quot;language&quot;:&quot;eng&quot;,&quot;page&quot;:&quot;1323-1333&quot;,&quot;publisher-place&quot;:&quot;England&quot;,&quot;title&quot;:&quot;The Cost-effectiveness of Biological Therapy Cycles in the Management of Crohn's  Disease.&quot;,&quot;type&quot;:&quot;article-journal&quot;,&quot;volume&quot;:&quot;13&quot;,&quot;container-title-short&quot;:&quot;J Crohns Colitis&quot;},&quot;uris&quot;:[&quot;http://www.mendeley.com/documents/?uuid=54b997d7-b9eb-4411-9efa-82c89362b959&quot;],&quot;isTemporary&quot;:false,&quot;legacyDesktopId&quot;:&quot;54b997d7-b9eb-4411-9efa-82c89362b959&quot;}]},{&quot;citationID&quot;:&quot;MENDELEY_CITATION_1f7e73c3-90d2-499e-b358-bfe7b6e351ff&quot;,&quot;properties&quot;:{&quot;noteIndex&quot;:0},&quot;isEdited&quot;:false,&quot;manualOverride&quot;:{&quot;citeprocText&quot;:&quot;[5]&quot;,&quot;isManuallyOverridden&quot;:false,&quot;manualOverrideText&quot;:&quot;&quot;},&quot;citationTag&quot;:&quot;MENDELEY_CITATION_v3_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&quot;,&quot;citationItems&quot;:[{&quot;id&quot;:&quot;ee0335e4-4aa5-3214-8a5c-ecf0e0e30e8a&quot;,&quot;itemData&quot;:{&quot;DOI&quot;:&quot;10.1053/j.gastro.2020.12.031&quot;,&quot;ISSN&quot;:&quot;1528-0012 (Electronic)&quot;,&quot;PMID&quot;:&quot;33359090&quot;,&quot;abstract&quot;:&quot;BACKGROUND: The Selecting Therapeutic Targets in Inflammatory Bowel Disease (STRIDE)  initiative of the International Organization for the Study of Inflammatory Bowel Diseases (IOIBD) has proposed treatment targets in 2015 for adult patients with inflammatory bowel disease (IBD). We aimed to update the original STRIDE statements for incorporating treatment targets in both adult and pediatric IBD. METHODS: Based on a systematic review of the literature and iterative surveys of 89 IOIBD members, recommendations were drafted and modified in 2 surveys and 2 voting rounds. Consensus was reached if ≥75% of participants scored the recommendation as 7 to 10 on a 10-point rating scale. RESULTS: In the systematic review, 11,278 manuscripts were screened, of which 435 were included. The first IOIBD survey identified the following targets as most important: clinical response and remission, endoscopic healing, and normalization of C-reactive protein/erythrocyte sedimentation rate and calprotectin. Fifteen recommendations were identified, of which 13 were endorsed. STRIDE-II confirmed STRIDE-I long-term targets of clinical remission and endoscopic healing and added absence of disability, restoration of quality of life, and normal growth in children. Symptomatic relief and normalization of serum and fecal markers have been determined as short-term targets. Transmural healing in Crohn's disease and histological healing in ulcerative colitis are not formal targets but should be assessed as measures of the remission depth. CONCLUSIONS: STRIDE-II encompasses evidence- and consensus-based recommendations for treat-to-target strategies in adults and children with IBD. This frameworkshould be adapted to individual patients and local resources to improve outcomes.&quot;,&quot;author&quot;:[{&quot;dropping-particle&quot;:&quot;&quot;,&quot;family&quot;:&quot;Turner&quot;,&quot;given&quot;:&quot;Dan&quot;,&quot;non-dropping-particle&quot;:&quot;&quot;,&quot;parse-names&quot;:false,&quot;suffix&quot;:&quot;&quot;},{&quot;dropping-particle&quot;:&quot;&quot;,&quot;family&quot;:&quot;Ricciuto&quot;,&quot;given&quot;:&quot;Amanda&quot;,&quot;non-dropping-particle&quot;:&quot;&quot;,&quot;parse-names&quot;:false,&quot;suffix&quot;:&quot;&quot;},{&quot;dropping-particle&quot;:&quot;&quot;,&quot;family&quot;:&quot;Lewis&quot;,&quot;given&quot;:&quot;Ayanna&quot;,&quot;non-dropping-particle&quot;:&quot;&quot;,&quot;parse-names&quot;:false,&quot;suffix&quot;:&quot;&quot;},{&quot;dropping-particle&quot;:&quot;&quot;,&quot;family&quot;:&quot;D'Amico&quot;,&quot;given&quot;:&quot;Ferdinando&quot;,&quot;non-dropping-particle&quot;:&quot;&quot;,&quot;parse-names&quot;:false,&quot;suffix&quot;:&quot;&quot;},{&quot;dropping-particle&quot;:&quot;&quot;,&quot;family&quot;:&quot;Dhaliwal&quot;,&quot;given&quot;:&quot;Jasbir&quot;,&quot;non-dropping-particle&quot;:&quot;&quot;,&quot;parse-names&quot;:false,&quot;suffix&quot;:&quot;&quot;},{&quot;dropping-particle&quot;:&quot;&quot;,&quot;family&quot;:&quot;Griffiths&quot;,&quot;given&quot;:&quot;Anne M&quot;,&quot;non-dropping-particle&quot;:&quot;&quot;,&quot;parse-names&quot;:false,&quot;suffix&quot;:&quot;&quot;},{&quot;dropping-particle&quot;:&quot;&quot;,&quot;family&quot;:&quot;Bettenworth&quot;,&quot;given&quot;:&quot;Dominik&quot;,&quot;non-dropping-particle&quot;:&quot;&quot;,&quot;parse-names&quot;:false,&quot;suffix&quot;:&quot;&quot;},{&quot;dropping-particle&quot;:&quot;&quot;,&quot;family&quot;:&quot;Sandborn&quot;,&quot;given&quot;:&quot;William J&quot;,&quot;non-dropping-particle&quot;:&quot;&quot;,&quot;parse-names&quot;:false,&quot;suffix&quot;:&quot;&quot;},{&quot;dropping-particle&quot;:&quot;&quot;,&quot;family&quot;:&quot;Sands&quot;,&quot;given&quot;:&quot;Bruce E&quot;,&quot;non-dropping-particle&quot;:&quot;&quot;,&quot;parse-names&quot;:false,&quot;suffix&quot;:&quot;&quot;},{&quot;dropping-particle&quot;:&quot;&quot;,&quot;family&quot;:&quot;Reinisch&quot;,&quot;given&quot;:&quot;Walter&quot;,&quot;non-dropping-particle&quot;:&quot;&quot;,&quot;parse-names&quot;:false,&quot;suffix&quot;:&quot;&quot;},{&quot;dropping-particle&quot;:&quot;&quot;,&quot;family&quot;:&quot;Schölmerich&quot;,&quot;given&quot;:&quot;Jürgen&quot;,&quot;non-dropping-particle&quot;:&quot;&quot;,&quot;parse-names&quot;:false,&quot;suffix&quot;:&quot;&quot;},{&quot;dropping-particle&quot;:&quot;&quot;,&quot;family&quot;:&quot;Bemelman&quot;,&quot;given&quot;:&quot;Willem&quot;,&quot;non-dropping-particle&quot;:&quot;&quot;,&quot;parse-names&quot;:false,&quot;suffix&quot;:&quot;&quot;},{&quot;dropping-particle&quot;:&quot;&quot;,&quot;family&quot;:&quot;Danese&quot;,&quot;given&quot;:&quot;Silvio&quot;,&quot;non-dropping-particle&quot;:&quot;&quot;,&quot;parse-names&quot;:false,&quot;suffix&quot;:&quot;&quot;},{&quot;dropping-particle&quot;:&quot;&quot;,&quot;family&quot;:&quot;Mary&quot;,&quot;given&quot;:&quot;Jean Yves&quot;,&quot;non-dropping-particle&quot;:&quot;&quot;,&quot;parse-names&quot;:false,&quot;suffix&quot;:&quot;&quot;},{&quot;dropping-particle&quot;:&quot;&quot;,&quot;family&quot;:&quot;Rubin&quot;,&quot;given&quot;:&quot;David&quot;,&quot;non-dropping-particle&quot;:&quot;&quot;,&quot;parse-names&quot;:false,&quot;suffix&quot;:&quot;&quot;},{&quot;dropping-particle&quot;:&quot;&quot;,&quot;family&quot;:&quot;Colombel&quot;,&quot;given&quot;:&quot;Jean-Frederic&quot;,&quot;non-dropping-particle&quot;:&quot;&quot;,&quot;parse-names&quot;:false,&quot;suffix&quot;:&quot;&quot;},{&quot;dropping-particle&quot;:&quot;&quot;,&quot;family&quot;:&quot;Peyrin-Biroulet&quot;,&quot;given&quot;:&quot;Laurent&quot;,&quot;non-dropping-particle&quot;:&quot;&quot;,&quot;parse-names&quot;:false,&quot;suffix&quot;:&quot;&quot;},{&quot;dropping-particle&quot;:&quot;&quot;,&quot;family&quot;:&quot;Dotan&quot;,&quot;given&quot;:&quot;Iris&quot;,&quot;non-dropping-particle&quot;:&quot;&quot;,&quot;parse-names&quot;:false,&quot;suffix&quot;:&quot;&quot;},{&quot;dropping-particle&quot;:&quot;&quot;,&quot;family&quot;:&quot;Abreu&quot;,&quot;given&quot;:&quot;Maria T&quot;,&quot;non-dropping-particle&quot;:&quot;&quot;,&quot;parse-names&quot;:false,&quot;suffix&quot;:&quot;&quot;},{&quot;dropping-particle&quot;:&quot;&quot;,&quot;family&quot;:&quot;Dignass&quot;,&quot;given&quot;:&quot;Axel&quot;,&quot;non-dropping-particle&quot;:&quot;&quot;,&quot;parse-names&quot;:false,&quot;suffix&quot;:&quot;&quot;}],&quot;container-title&quot;:&quot;Gastroenterology&quot;,&quot;id&quot;:&quot;ee0335e4-4aa5-3214-8a5c-ecf0e0e30e8a&quot;,&quot;issue&quot;:&quot;5&quot;,&quot;issued&quot;:{&quot;date-parts&quot;:[[&quot;2021&quot;,&quot;4&quot;]]},&quot;language&quot;:&quot;eng&quot;,&quot;page&quot;:&quot;1570-1583&quot;,&quot;publisher-place&quot;:&quot;United States&quot;,&quot;title&quot;:&quot;STRIDE-II: An Update on the Selecting Therapeutic Targets in Inflammatory Bowel  Disease (STRIDE) Initiative of the International Organization for the Study of IBD (IOIBD): Determining Therapeutic Goals for Treat-to-Target strategies in IBD.&quot;,&quot;type&quot;:&quot;article-journal&quot;,&quot;volume&quot;:&quot;160&quot;,&quot;container-title-short&quot;:&quot;Gastroenterology&quot;},&quot;uris&quot;:[&quot;http://www.mendeley.com/documents/?uuid=fe060cf3-41c2-4d33-9ebd-732ef2a8ad37&quot;],&quot;isTemporary&quot;:false,&quot;legacyDesktopId&quot;:&quot;fe060cf3-41c2-4d33-9ebd-732ef2a8ad37&quot;}]},{&quot;citationID&quot;:&quot;MENDELEY_CITATION_8b312665-ae5d-4eea-bede-efa8a43d98f9&quot;,&quot;properties&quot;:{&quot;noteIndex&quot;:0},&quot;isEdited&quot;:false,&quot;manualOverride&quot;:{&quot;citeprocText&quot;:&quot;[30]&quot;,&quot;isManuallyOverridden&quot;:false,&quot;manualOverrideText&quot;:&quot;&quot;},&quot;citationTag&quot;:&quot;MENDELEY_CITATION_v3_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&quot;,&quot;citationItems&quot;:[{&quot;id&quot;:&quot;adc8edd4-ab71-32df-86ab-b1e371fe9e25&quot;,&quot;itemData&quot;:{&quot;DOI&quot;:&quot;10.1093/ecco-jcc/jjab173&quot;,&quot;ISSN&quot;:&quot;1876-4479 (Electronic)&quot;,&quot;PMID&quot;:&quot;34614172&quot;,&quot;abstract&quot;:&quot;BACKGROUND AND AIMS: No consensus exists on defining intestinal ultrasound response,  transmural healing, or transmural remission in inflammatory bowel disease, nor clear guidance for optimal timing of assessment during treatment. This systematic review and expert consensus study aimed to define such recommendations, along with key parameters included in response reporting. METHODS: Electronic databases were searched from inception to July 26, 2021, using pre-defined terms. Studies were eligible if at least two intestinal ultrasound assessments at different time points during treatment were reported, along with an appropriate reference standard. The QUADAS-2 tool was used to examine study-level risk of bias. An international panel of experts (n=18) rated an initial 196 statements (RAND/UCLA process, scale 1-9). Two videoconferences were conducted, resulting in additional ratings of 149 and 13 statements, respectively. RESULTS: Out of 5826 records, 31 full-text articles, 16 abstracts, and one research letter were included. 83% (40/48) of included studies showed a low concern of applicability, while 96% (46/48) had a high risk of bias. A consensus was reached on 41 statements, with clear definitions of IUS treatment response, transmural healing, transmural remission, timing of assessment, and general considerations when using intestinal ultrasound in inflammatory bowel disease. CONCLUSIONS: Response criteria and time-points of response assessment varied between studies complicating direct comparison of parameter changes and their relation to treatment outcomes. To ensure a unified approach in routine care and clinical trials, we provide recommendations and definitions for key parameters for intestinal ultrasound response to incorporate into future prospective studies.&quot;,&quot;author&quot;:[{&quot;dropping-particle&quot;:&quot;&quot;,&quot;family&quot;:&quot;Ilvemark&quot;,&quot;given&quot;:&quot;Johan F K F&quot;,&quot;non-dropping-particle&quot;:&quot;&quot;,&quot;parse-names&quot;:false,&quot;suffix&quot;:&quot;&quot;},{&quot;dropping-particle&quot;:&quot;&quot;,&quot;family&quot;:&quot;Hansen&quot;,&quot;given&quot;:&quot;Tawnya&quot;,&quot;non-dropping-particle&quot;:&quot;&quot;,&quot;parse-names&quot;:false,&quot;suffix&quot;:&quot;&quot;},{&quot;dropping-particle&quot;:&quot;&quot;,&quot;family&quot;:&quot;Goodsall&quot;,&quot;given&quot;:&quot;Thomas M&quot;,&quot;non-dropping-particle&quot;:&quot;&quot;,&quot;parse-names&quot;:false,&quot;suffix&quot;:&quot;&quot;},{&quot;dropping-particle&quot;:&quot;&quot;,&quot;family&quot;:&quot;Seidelin&quot;,&quot;given&quot;:&quot;Jakob B&quot;,&quot;non-dropping-particle&quot;:&quot;&quot;,&quot;parse-names&quot;:false,&quot;suffix&quot;:&quot;&quot;},{&quot;dropping-particle&quot;:&quot;&quot;,&quot;family&quot;:&quot;Al-Farhan&quot;,&quot;given&quot;:&quot;Heba&quot;,&quot;non-dropping-particle&quot;:&quot;&quot;,&quot;parse-names&quot;:false,&quot;suffix&quot;:&quot;&quot;},{&quot;dropping-particle&quot;:&quot;&quot;,&quot;family&quot;:&quot;Allocca&quot;,&quot;given&quot;:&quot;Mariangela&quot;,&quot;non-dropping-particle&quot;:&quot;&quot;,&quot;parse-names&quot;:false,&quot;suffix&quot;:&quot;&quot;},{&quot;dropping-particle&quot;:&quot;&quot;,&quot;family&quot;:&quot;Begun&quot;,&quot;given&quot;:&quot;Jakob&quot;,&quot;non-dropping-particle&quot;:&quot;&quot;,&quot;parse-names&quot;:false,&quot;suffix&quot;:&quot;&quot;},{&quot;dropping-particle&quot;:&quot;V&quot;,&quot;family&quot;:&quot;Bryant&quot;,&quot;given&quot;:&quot;Robert&quot;,&quot;non-dropping-particle&quot;:&quot;&quot;,&quot;parse-names&quot;:false,&quot;suffix&quot;:&quot;&quot;},{&quot;dropping-particle&quot;:&quot;&quot;,&quot;family&quot;:&quot;Carter&quot;,&quot;given&quot;:&quot;Dan&quot;,&quot;non-dropping-particle&quot;:&quot;&quot;,&quot;parse-names&quot;:false,&quot;suffix&quot;:&quot;&quot;},{&quot;dropping-particle&quot;:&quot;&quot;,&quot;family&quot;:&quot;Christensen&quot;,&quot;given&quot;:&quot;Britt&quot;,&quot;non-dropping-particle&quot;:&quot;&quot;,&quot;parse-names&quot;:false,&quot;suffix&quot;:&quot;&quot;},{&quot;dropping-particle&quot;:&quot;&quot;,&quot;family&quot;:&quot;Dubinsky&quot;,&quot;given&quot;:&quot;Marla C&quot;,&quot;non-dropping-particle&quot;:&quot;&quot;,&quot;parse-names&quot;:false,&quot;suffix&quot;:&quot;&quot;},{&quot;dropping-particle&quot;:&quot;&quot;,&quot;family&quot;:&quot;Gecse&quot;,&quot;given&quot;:&quot;Krisztina B&quot;,&quot;non-dropping-particle&quot;:&quot;&quot;,&quot;parse-names&quot;:false,&quot;suffix&quot;:&quot;&quot;},{&quot;dropping-particle&quot;:&quot;&quot;,&quot;family&quot;:&quot;Kucharzik&quot;,&quot;given&quot;:&quot;Torsten&quot;,&quot;non-dropping-particle&quot;:&quot;&quot;,&quot;parse-names&quot;:false,&quot;suffix&quot;:&quot;&quot;},{&quot;dropping-particle&quot;:&quot;&quot;,&quot;family&quot;:&quot;Lu&quot;,&quot;given&quot;:&quot;Cathy&quot;,&quot;non-dropping-particle&quot;:&quot;&quot;,&quot;parse-names&quot;:false,&quot;suffix&quot;:&quot;&quot;},{&quot;dropping-particle&quot;:&quot;&quot;,&quot;family&quot;:&quot;Maaser&quot;,&quot;given&quot;:&quot;Christian&quot;,&quot;non-dropping-particle&quot;:&quot;&quot;,&quot;parse-names&quot;:false,&quot;suffix&quot;:&quot;&quot;},{&quot;dropping-particle&quot;:&quot;&quot;,&quot;family&quot;:&quot;Maconi&quot;,&quot;given&quot;:&quot;Giovanni&quot;,&quot;non-dropping-particle&quot;:&quot;&quot;,&quot;parse-names&quot;:false,&quot;suffix&quot;:&quot;&quot;},{&quot;dropping-particle&quot;:&quot;&quot;,&quot;family&quot;:&quot;Nylund&quot;,&quot;given&quot;:&quot;Kim&quot;,&quot;non-dropping-particle&quot;:&quot;&quot;,&quot;parse-names&quot;:false,&quot;suffix&quot;:&quot;&quot;},{&quot;dropping-particle&quot;:&quot;&quot;,&quot;family&quot;:&quot;Palmela&quot;,&quot;given&quot;:&quot;Carolina&quot;,&quot;non-dropping-particle&quot;:&quot;&quot;,&quot;parse-names&quot;:false,&quot;suffix&quot;:&quot;&quot;},{&quot;dropping-particle&quot;:&quot;&quot;,&quot;family&quot;:&quot;Wilson&quot;,&quot;given&quot;:&quot;Stephanie R&quot;,&quot;non-dropping-particle&quot;:&quot;&quot;,&quot;parse-names&quot;:false,&quot;suffix&quot;:&quot;&quot;},{&quot;dropping-particle&quot;:&quot;&quot;,&quot;family&quot;:&quot;Novak&quot;,&quot;given&quot;:&quot;Kerri&quot;,&quot;non-dropping-particle&quot;:&quot;&quot;,&quot;parse-names&quot;:false,&quot;suffix&quot;:&quot;&quot;},{&quot;dropping-particle&quot;:&quot;&quot;,&quot;family&quot;:&quot;Wilkens&quot;,&quot;given&quot;:&quot;Rune&quot;,&quot;non-dropping-particle&quot;:&quot;&quot;,&quot;parse-names&quot;:false,&quot;suffix&quot;:&quot;&quot;}],&quot;container-title&quot;:&quot;Journal of Crohn's &amp; colitis&quot;,&quot;id&quot;:&quot;adc8edd4-ab71-32df-86ab-b1e371fe9e25&quot;,&quot;issued&quot;:{&quot;date-parts&quot;:[[&quot;2021&quot;,&quot;10&quot;]]},&quot;language&quot;:&quot;eng&quot;,&quot;publisher-place&quot;:&quot;England&quot;,&quot;title&quot;:&quot;Defining transabdominal Intestinal Ultrasound treatment response and remission in  Inflammatory Bowel Disease: Systematic review and expert consensus statement.&quot;,&quot;type&quot;:&quot;article-journal&quot;,&quot;container-title-short&quot;:&quot;J Crohns Colitis&quot;},&quot;uris&quot;:[&quot;http://www.mendeley.com/documents/?uuid=96c343e9-96e5-4269-9365-4e7cd1349c10&quot;],&quot;isTemporary&quot;:false,&quot;legacyDesktopId&quot;:&quot;96c343e9-96e5-4269-9365-4e7cd1349c10&quot;}]},{&quot;citationID&quot;:&quot;MENDELEY_CITATION_44cae95a-7cc6-4134-a4ec-cd73cea7a6db&quot;,&quot;properties&quot;:{&quot;noteIndex&quot;:0},&quot;isEdited&quot;:false,&quot;manualOverride&quot;:{&quot;citeprocText&quot;:&quot;[31]&quot;,&quot;isManuallyOverridden&quot;:false,&quot;manualOverrideText&quot;:&quot;&quot;},&quot;citationTag&quot;:&quot;MENDELEY_CITATION_v3_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&quot;,&quot;citationItems&quot;:[{&quot;id&quot;:&quot;471ca573-9b30-3d34-862b-278cf9cc33be&quot;,&quot;itemData&quot;:{&quot;DOI&quot;:&quot;10.1007/s11938-013-0008-1&quot;,&quot;ISSN&quot;:&quot;1092-8472 (Print)&quot;,&quot;PMID&quot;:&quot;24395615&quot;,&quot;abstract&quot;:&quot;Mucosal healing is a promising therapeutic endpoint in the treatment of inflammatory  bowel disease. Currently, the treatment of IBD focuses predominantly on clinical remission, without requiring a demonstration of mucosal healing. However, recent studies suggest that achieving mucosal healing engenders better outcomes. In this review, we will examine the concept of mucosal healing, including its definitions and assessment techniques, and will evaluate the data regarding the potential benefits of achieving mucosal healing in the treatment of IBD. Furthermore, we will discuss how often mucosal healing can be expected with each of the therapies for IBD. While achieving mucosal healing is an ideal outcome, it may not be practical or feasible in any given patient. Although we suggest that mucosal healing be discussed with all patients, the practicing physician should realize that this goal may not be possible and should manage the patient accordingly.&quot;,&quot;author&quot;:[{&quot;dropping-particle&quot;:&quot;&quot;,&quot;family&quot;:&quot;Vaughn&quot;,&quot;given&quot;:&quot;Byron P&quot;,&quot;non-dropping-particle&quot;:&quot;&quot;,&quot;parse-names&quot;:false,&quot;suffix&quot;:&quot;&quot;},{&quot;dropping-particle&quot;:&quot;&quot;,&quot;family&quot;:&quot;Shah&quot;,&quot;given&quot;:&quot;Sveta&quot;,&quot;non-dropping-particle&quot;:&quot;&quot;,&quot;parse-names&quot;:false,&quot;suffix&quot;:&quot;&quot;},{&quot;dropping-particle&quot;:&quot;&quot;,&quot;family&quot;:&quot;Cheifetz&quot;,&quot;given&quot;:&quot;Adam S&quot;,&quot;non-dropping-particle&quot;:&quot;&quot;,&quot;parse-names&quot;:false,&quot;suffix&quot;:&quot;&quot;}],&quot;container-title&quot;:&quot;Current treatment options in gastroenterology&quot;,&quot;id&quot;:&quot;471ca573-9b30-3d34-862b-278cf9cc33be&quot;,&quot;issue&quot;:&quot;1&quot;,&quot;issued&quot;:{&quot;date-parts&quot;:[[&quot;2014&quot;,&quot;3&quot;]]},&quot;language&quot;:&quot;eng&quot;,&quot;page&quot;:&quot;103-117&quot;,&quot;title&quot;:&quot;The role of mucosal healing in the treatment of patients with inflammatory bowel  disease.&quot;,&quot;type&quot;:&quot;article-journal&quot;,&quot;volume&quot;:&quot;12&quot;,&quot;container-title-short&quot;:&quot;Curr Treat Options Gastroenterol&quot;},&quot;uris&quot;:[&quot;http://www.mendeley.com/documents/?uuid=9d35281c-d197-4838-9282-8491df90f4ff&quot;],&quot;isTemporary&quot;:false,&quot;legacyDesktopId&quot;:&quot;9d35281c-d197-4838-9282-8491df90f4ff&quot;}]},{&quot;citationID&quot;:&quot;MENDELEY_CITATION_57c54a63-de94-4e10-b780-ea421d7c7ddc&quot;,&quot;properties&quot;:{&quot;noteIndex&quot;:0},&quot;isEdited&quot;:false,&quot;manualOverride&quot;:{&quot;citeprocText&quot;:&quot;[32]&quot;,&quot;isManuallyOverridden&quot;:false,&quot;manualOverrideText&quot;:&quot;&quot;},&quot;citationTag&quot;:&quot;MENDELEY_CITATION_v3_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&quot;,&quot;citationItems&quot;:[{&quot;id&quot;:&quot;8f695c9e-3b28-3f81-82d9-24fcb154b575&quot;,&quot;itemData&quot;:{&quot;DOI&quot;:&quot;10.1038/nbt1235&quot;,&quot;ISBN&quot;:&quot;1087-0156 (Print)\\n1087-0156 (Linking)&quot;,&quot;ISSN&quot;:&quot;10870156&quot;,&quot;PMID&quot;:&quot;16900146&quot;,&quot;abstract&quot;:&quot;Better biomarkers are urgently needed to improve diagnosis, guide molecularly targeted therapy and monitor activity and therapeutic response across a wide spectrum of disease. Proteomics methods based on mass spectrometry hold special promise for the discovery of novel biomarkers that might form the foundation for new clinical blood tests, but to date their contribution to the diagnostic armamentarium has been disappointing. This is due in part to the lack of a coherent pipeline connecting marker discovery with well-established methods for validation. Advances in methods and technology now enable construction of a comprehensive biomarker pipeline from six essential process components: candidate discovery, qualification, verification, research assay optimization, biomarker validation and commercialization. Better understanding of the overall process of biomarker discovery and validation and of the challenges and strategies inherent in each phase should improve experimental study design, in turn increasing the efficiency of biomarker development and facilitating the delivery and deployment of novel clinical tests.&quot;,&quot;author&quot;:[{&quot;dropping-particle&quot;:&quot;&quot;,&quot;family&quot;:&quot;Rifai&quot;,&quot;given&quot;:&quot;Nader&quot;,&quot;non-dropping-particle&quot;:&quot;&quot;,&quot;parse-names&quot;:false,&quot;suffix&quot;:&quot;&quot;},{&quot;dropping-particle&quot;:&quot;&quot;,&quot;family&quot;:&quot;Gillette&quot;,&quot;given&quot;:&quot;Michael A.&quot;,&quot;non-dropping-particle&quot;:&quot;&quot;,&quot;parse-names&quot;:false,&quot;suffix&quot;:&quot;&quot;},{&quot;dropping-particle&quot;:&quot;&quot;,&quot;family&quot;:&quot;Carr&quot;,&quot;given&quot;:&quot;Steven A.&quot;,&quot;non-dropping-particle&quot;:&quot;&quot;,&quot;parse-names&quot;:false,&quot;suffix&quot;:&quot;&quot;}],&quot;container-title&quot;:&quot;Nature Biotechnology&quot;,&quot;id&quot;:&quot;8f695c9e-3b28-3f81-82d9-24fcb154b575&quot;,&quot;issue&quot;:&quot;8&quot;,&quot;issued&quot;:{&quot;date-parts&quot;:[[&quot;2006&quot;]]},&quot;page&quot;:&quot;971-983&quot;,&quot;title&quot;:&quot;Protein biomarker discovery and validation: The long and uncertain path to clinical utility&quot;,&quot;type&quot;:&quot;article-journal&quot;,&quot;volume&quot;:&quot;24&quot;,&quot;container-title-short&quot;:&quot;Nat Biotechnol&quot;},&quot;uris&quot;:[&quot;http://www.mendeley.com/documents/?uuid=ab3e1e30-2e7e-485d-94fd-86870b6192ee&quot;],&quot;isTemporary&quot;:false,&quot;legacyDesktopId&quot;:&quot;ab3e1e30-2e7e-485d-94fd-86870b6192ee&quot;}]}]"/>
    <we:property name="MENDELEY_CITATIONS_LOCALE_CODE" value="&quot;en-GB&quot;"/>
    <we:property name="MENDELEY_CITATIONS_STYLE" value="{&quot;id&quot;:&quot;https://www.zotero.org/styles/gut&quot;,&quot;title&quot;:&quot;Gut&quot;,&quot;format&quot;:&quot;numeric&quot;,&quot;defaultLocale&quot;:&quot;en-G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53965-5FDD-4F02-B1F1-3D44E59A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17</Pages>
  <Words>39269</Words>
  <Characters>215983</Characters>
  <Application>Microsoft Office Word</Application>
  <DocSecurity>0</DocSecurity>
  <Lines>1799</Lines>
  <Paragraphs>509</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254743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Merli</dc:creator>
  <cp:keywords/>
  <dc:description/>
  <cp:lastModifiedBy>Pierre Nicolas</cp:lastModifiedBy>
  <cp:revision>355</cp:revision>
  <dcterms:created xsi:type="dcterms:W3CDTF">2023-03-15T13:46:00Z</dcterms:created>
  <dcterms:modified xsi:type="dcterms:W3CDTF">2023-06-02T20:41:00Z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f0a6d7e3-f23c-3f5a-a0ad-a8537a678e57</vt:lpwstr>
  </property>
  <property fmtid="{D5CDD505-2E9C-101B-9397-08002B2CF9AE}" pid="4" name="Mendeley Citation Style_1">
    <vt:lpwstr>https://csl.mendeley.com/styles/511964821/JCCNP</vt:lpwstr>
  </property>
  <property fmtid="{D5CDD505-2E9C-101B-9397-08002B2CF9AE}" pid="5" name="Mendeley Recent Style Id 0_1">
    <vt:lpwstr>http://csl.mendeley.com/styles/511964821/bmj</vt:lpwstr>
  </property>
  <property fmtid="{D5CDD505-2E9C-101B-9397-08002B2CF9AE}" pid="6" name="Mendeley Recent Style Name 0_1">
    <vt:lpwstr>BMJ - Nicolas Pierre</vt:lpwstr>
  </property>
  <property fmtid="{D5CDD505-2E9C-101B-9397-08002B2CF9AE}" pid="7" name="Mendeley Recent Style Id 1_1">
    <vt:lpwstr>https://csl.mendeley.com/styles/511964821/bmj</vt:lpwstr>
  </property>
  <property fmtid="{D5CDD505-2E9C-101B-9397-08002B2CF9AE}" pid="8" name="Mendeley Recent Style Name 1_1">
    <vt:lpwstr>BMJ - Nicolas Pierre</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http://www.zotero.org/styles/gastroenterology</vt:lpwstr>
  </property>
  <property fmtid="{D5CDD505-2E9C-101B-9397-08002B2CF9AE}" pid="12" name="Mendeley Recent Style Name 3_1">
    <vt:lpwstr>Gastroenterology</vt:lpwstr>
  </property>
  <property fmtid="{D5CDD505-2E9C-101B-9397-08002B2CF9AE}" pid="13" name="Mendeley Recent Style Id 4_1">
    <vt:lpwstr>http://www.zotero.org/styles/gut</vt:lpwstr>
  </property>
  <property fmtid="{D5CDD505-2E9C-101B-9397-08002B2CF9AE}" pid="14" name="Mendeley Recent Style Name 4_1">
    <vt:lpwstr>Gut</vt:lpwstr>
  </property>
  <property fmtid="{D5CDD505-2E9C-101B-9397-08002B2CF9AE}" pid="15" name="Mendeley Recent Style Id 5_1">
    <vt:lpwstr>http://csl.mendeley.com/styles/511964821/JCCNP</vt:lpwstr>
  </property>
  <property fmtid="{D5CDD505-2E9C-101B-9397-08002B2CF9AE}" pid="16" name="Mendeley Recent Style Name 5_1">
    <vt:lpwstr>Journal of Crohn's and Colitis - Nicolas Pierre</vt:lpwstr>
  </property>
  <property fmtid="{D5CDD505-2E9C-101B-9397-08002B2CF9AE}" pid="17" name="Mendeley Recent Style Id 6_1">
    <vt:lpwstr>https://csl.mendeley.com/styles/511964821/JCCNP</vt:lpwstr>
  </property>
  <property fmtid="{D5CDD505-2E9C-101B-9397-08002B2CF9AE}" pid="18" name="Mendeley Recent Style Name 6_1">
    <vt:lpwstr>Journal of Crohn's and Colitis - Nicolas Pierre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http://csl.mendeley.com/styles/511964821/nature-2</vt:lpwstr>
  </property>
  <property fmtid="{D5CDD505-2E9C-101B-9397-08002B2CF9AE}" pid="22" name="Mendeley Recent Style Name 8_1">
    <vt:lpwstr>Nature - Nicolas Pierre</vt:lpwstr>
  </property>
  <property fmtid="{D5CDD505-2E9C-101B-9397-08002B2CF9AE}" pid="23" name="Mendeley Recent Style Id 9_1">
    <vt:lpwstr>http://www.zotero.org/styles/science</vt:lpwstr>
  </property>
  <property fmtid="{D5CDD505-2E9C-101B-9397-08002B2CF9AE}" pid="24" name="Mendeley Recent Style Name 9_1">
    <vt:lpwstr>Science</vt:lpwstr>
  </property>
</Properties>
</file>