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0EE" w:rsidRDefault="00DC250F" w:rsidP="00F240EE">
      <w:pPr>
        <w:jc w:val="center"/>
        <w:rPr>
          <w:b/>
        </w:rPr>
      </w:pPr>
      <w:r>
        <w:rPr>
          <w:b/>
        </w:rPr>
        <w:t>D. Leclercq (20</w:t>
      </w:r>
      <w:r w:rsidR="00492F60">
        <w:rPr>
          <w:b/>
        </w:rPr>
        <w:t>18</w:t>
      </w:r>
      <w:r>
        <w:rPr>
          <w:b/>
        </w:rPr>
        <w:t xml:space="preserve">) </w:t>
      </w:r>
      <w:r w:rsidR="00F240EE" w:rsidRPr="00B15D0D">
        <w:rPr>
          <w:b/>
        </w:rPr>
        <w:t xml:space="preserve">Solutions Générales </w:t>
      </w:r>
      <w:r w:rsidR="00315954">
        <w:rPr>
          <w:b/>
        </w:rPr>
        <w:t xml:space="preserve">Explicites (SGE) et </w:t>
      </w:r>
      <w:r w:rsidR="00F240EE" w:rsidRPr="00B15D0D">
        <w:rPr>
          <w:b/>
        </w:rPr>
        <w:t xml:space="preserve">Implicites (SGI) dans </w:t>
      </w:r>
      <w:r w:rsidR="00B15D0D">
        <w:rPr>
          <w:b/>
        </w:rPr>
        <w:t>l</w:t>
      </w:r>
      <w:r w:rsidR="00F240EE" w:rsidRPr="00B15D0D">
        <w:rPr>
          <w:b/>
        </w:rPr>
        <w:t>es QCM</w:t>
      </w:r>
    </w:p>
    <w:p w:rsidR="00552C7C" w:rsidRPr="00552C7C" w:rsidRDefault="00552C7C" w:rsidP="00F240EE">
      <w:pPr>
        <w:jc w:val="center"/>
        <w:rPr>
          <w:sz w:val="18"/>
        </w:rPr>
      </w:pPr>
      <w:bookmarkStart w:id="0" w:name="_GoBack"/>
      <w:bookmarkEnd w:id="0"/>
      <w:r w:rsidRPr="00552C7C">
        <w:rPr>
          <w:sz w:val="18"/>
        </w:rPr>
        <w:t xml:space="preserve">Professeur émérite Université de Liège. Chercheur associé au LEPS EA 3412 </w:t>
      </w:r>
      <w:proofErr w:type="spellStart"/>
      <w:r w:rsidRPr="00552C7C">
        <w:rPr>
          <w:sz w:val="18"/>
        </w:rPr>
        <w:t>Univ</w:t>
      </w:r>
      <w:proofErr w:type="spellEnd"/>
      <w:r w:rsidRPr="00552C7C">
        <w:rPr>
          <w:sz w:val="18"/>
        </w:rPr>
        <w:t>. Sorbonne Paris Nord</w:t>
      </w:r>
    </w:p>
    <w:p w:rsidR="00F240EE" w:rsidRDefault="00F240EE" w:rsidP="00552C7C">
      <w:pPr>
        <w:spacing w:after="0"/>
        <w:ind w:left="709" w:hanging="709"/>
      </w:pPr>
      <w:r>
        <w:t>Le principe des SG</w:t>
      </w:r>
      <w:r w:rsidR="00552C7C">
        <w:t xml:space="preserve"> (SGE et SGI)</w:t>
      </w:r>
      <w:r>
        <w:t xml:space="preserve"> a été exposé dans chapitre 4 </w:t>
      </w:r>
      <w:r w:rsidRPr="002704B1">
        <w:t xml:space="preserve">(p. 117 à 145) </w:t>
      </w:r>
      <w:r>
        <w:t xml:space="preserve">du livre </w:t>
      </w:r>
    </w:p>
    <w:p w:rsidR="00F240EE" w:rsidRDefault="00F240EE" w:rsidP="00552C7C">
      <w:pPr>
        <w:jc w:val="center"/>
      </w:pPr>
      <w:r>
        <w:t>D. Leclercq (</w:t>
      </w:r>
      <w:r w:rsidRPr="00492F60">
        <w:rPr>
          <w:b/>
        </w:rPr>
        <w:t>1986</w:t>
      </w:r>
      <w:r>
        <w:t xml:space="preserve">). </w:t>
      </w:r>
      <w:r w:rsidRPr="00492F60">
        <w:rPr>
          <w:b/>
        </w:rPr>
        <w:t>La conception des QCM</w:t>
      </w:r>
      <w:r>
        <w:t>. Bruxelles : Labor.</w:t>
      </w:r>
    </w:p>
    <w:p w:rsidR="00F240EE" w:rsidRDefault="00F240EE" w:rsidP="00F240EE">
      <w:pPr>
        <w:jc w:val="center"/>
      </w:pPr>
      <w:r w:rsidRPr="00F240EE">
        <w:rPr>
          <w:noProof/>
          <w:lang w:eastAsia="fr-BE"/>
        </w:rPr>
        <w:drawing>
          <wp:inline distT="0" distB="0" distL="0" distR="0">
            <wp:extent cx="5756910" cy="401320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7275"/>
                    <a:stretch/>
                  </pic:blipFill>
                  <pic:spPr bwMode="auto">
                    <a:xfrm>
                      <a:off x="0" y="0"/>
                      <a:ext cx="5762525" cy="4017114"/>
                    </a:xfrm>
                    <a:prstGeom prst="rect">
                      <a:avLst/>
                    </a:prstGeom>
                    <a:noFill/>
                    <a:ln>
                      <a:noFill/>
                    </a:ln>
                    <a:extLst>
                      <a:ext uri="{53640926-AAD7-44D8-BBD7-CCE9431645EC}">
                        <a14:shadowObscured xmlns:a14="http://schemas.microsoft.com/office/drawing/2010/main"/>
                      </a:ext>
                    </a:extLst>
                  </pic:spPr>
                </pic:pic>
              </a:graphicData>
            </a:graphic>
          </wp:inline>
        </w:drawing>
      </w:r>
    </w:p>
    <w:p w:rsidR="00F240EE" w:rsidRDefault="00F240EE" w:rsidP="00F240EE">
      <w:r>
        <w:t xml:space="preserve">Il s’agit d’une </w:t>
      </w:r>
      <w:r w:rsidRPr="004251EF">
        <w:rPr>
          <w:b/>
        </w:rPr>
        <w:t>consigne particulière</w:t>
      </w:r>
      <w:r>
        <w:t xml:space="preserve"> appliquée aux QCM</w:t>
      </w:r>
      <w:r w:rsidR="004251EF">
        <w:t xml:space="preserve"> où la consigne annonce </w:t>
      </w:r>
      <w:r w:rsidR="004251EF" w:rsidRPr="004251EF">
        <w:rPr>
          <w:b/>
        </w:rPr>
        <w:t>qu’UNE SEULE des solutions proposées est correcte</w:t>
      </w:r>
      <w:r w:rsidR="004251EF">
        <w:rPr>
          <w:b/>
        </w:rPr>
        <w:t xml:space="preserve"> et que l’on ne peut donner qu’UNE Réponse</w:t>
      </w:r>
      <w:r w:rsidR="004251EF">
        <w:t>. Co</w:t>
      </w:r>
      <w:r w:rsidR="00DC250F">
        <w:t xml:space="preserve">nsigne que voici dans une version compacte et </w:t>
      </w:r>
      <w:r w:rsidR="004251EF">
        <w:t>modernisée :</w:t>
      </w:r>
    </w:p>
    <w:tbl>
      <w:tblPr>
        <w:tblStyle w:val="Grilledutableau"/>
        <w:tblW w:w="0" w:type="auto"/>
        <w:tblLook w:val="04A0" w:firstRow="1" w:lastRow="0" w:firstColumn="1" w:lastColumn="0" w:noHBand="0" w:noVBand="1"/>
      </w:tblPr>
      <w:tblGrid>
        <w:gridCol w:w="9060"/>
      </w:tblGrid>
      <w:tr w:rsidR="00F240EE" w:rsidRPr="005B6AB5" w:rsidTr="0081668A">
        <w:tc>
          <w:tcPr>
            <w:tcW w:w="9060" w:type="dxa"/>
          </w:tcPr>
          <w:p w:rsidR="00F240EE" w:rsidRPr="002704B1" w:rsidRDefault="00F240EE" w:rsidP="0081668A">
            <w:r w:rsidRPr="002704B1">
              <w:rPr>
                <w:b/>
              </w:rPr>
              <w:t>Consigne</w:t>
            </w:r>
            <w:r w:rsidR="004251EF">
              <w:rPr>
                <w:b/>
              </w:rPr>
              <w:t xml:space="preserve"> </w:t>
            </w:r>
            <w:proofErr w:type="gramStart"/>
            <w:r w:rsidR="004251EF">
              <w:rPr>
                <w:b/>
              </w:rPr>
              <w:t xml:space="preserve">SG </w:t>
            </w:r>
            <w:r w:rsidRPr="002704B1">
              <w:t> :</w:t>
            </w:r>
            <w:proofErr w:type="gramEnd"/>
            <w:r w:rsidRPr="002704B1">
              <w:t xml:space="preserve"> Une seule réponse est permise pour chaque question. Celle-ci ne comporte qu’une seule solution correcte. Cependant, cette solution correcte pourrait être </w:t>
            </w:r>
          </w:p>
          <w:p w:rsidR="00F240EE" w:rsidRPr="002704B1" w:rsidRDefault="00F240EE" w:rsidP="0081668A">
            <w:pPr>
              <w:ind w:left="708"/>
            </w:pPr>
            <w:r w:rsidRPr="002704B1">
              <w:rPr>
                <w:b/>
                <w:sz w:val="24"/>
              </w:rPr>
              <w:t>6. Aucune</w:t>
            </w:r>
            <w:r w:rsidRPr="002704B1">
              <w:rPr>
                <w:sz w:val="24"/>
              </w:rPr>
              <w:t xml:space="preserve"> </w:t>
            </w:r>
            <w:r w:rsidRPr="002704B1">
              <w:t xml:space="preserve">(des solutions proposées de façon explicite) parce que </w:t>
            </w:r>
            <w:r w:rsidRPr="002704B1">
              <w:rPr>
                <w:b/>
              </w:rPr>
              <w:t>Autre</w:t>
            </w:r>
          </w:p>
          <w:p w:rsidR="00F240EE" w:rsidRPr="002704B1" w:rsidRDefault="00F240EE" w:rsidP="0081668A">
            <w:pPr>
              <w:ind w:left="708"/>
            </w:pPr>
            <w:r w:rsidRPr="002704B1">
              <w:rPr>
                <w:b/>
                <w:sz w:val="24"/>
              </w:rPr>
              <w:t>7. Toutes</w:t>
            </w:r>
            <w:r w:rsidRPr="002704B1">
              <w:rPr>
                <w:sz w:val="24"/>
              </w:rPr>
              <w:t xml:space="preserve"> </w:t>
            </w:r>
            <w:r w:rsidRPr="002704B1">
              <w:t>(les solutions proposées de façon explicite).</w:t>
            </w:r>
            <w:r w:rsidR="004651CD">
              <w:t xml:space="preserve"> NB : L’énoncé pourra tendre le </w:t>
            </w:r>
            <w:r w:rsidR="004651CD" w:rsidRPr="004651CD">
              <w:rPr>
                <w:u w:val="single"/>
              </w:rPr>
              <w:t>piège du singulier</w:t>
            </w:r>
            <w:r w:rsidR="004651CD">
              <w:t xml:space="preserve"> (Quel est </w:t>
            </w:r>
            <w:proofErr w:type="gramStart"/>
            <w:r w:rsidR="004651CD">
              <w:t>le….</w:t>
            </w:r>
            <w:proofErr w:type="gramEnd"/>
            <w:r w:rsidR="004651CD">
              <w:t xml:space="preserve"> ?) alors que la RC (Réponses Correcte) est </w:t>
            </w:r>
            <w:r w:rsidR="004651CD" w:rsidRPr="004651CD">
              <w:rPr>
                <w:i/>
              </w:rPr>
              <w:t>7. Toutes</w:t>
            </w:r>
            <w:r w:rsidR="004651CD">
              <w:t xml:space="preserve">. </w:t>
            </w:r>
          </w:p>
          <w:p w:rsidR="00F240EE" w:rsidRPr="002704B1" w:rsidRDefault="00F240EE" w:rsidP="0081668A"/>
          <w:p w:rsidR="00F240EE" w:rsidRPr="002704B1" w:rsidRDefault="00F240EE" w:rsidP="0081668A">
            <w:pPr>
              <w:ind w:left="708"/>
            </w:pPr>
            <w:r w:rsidRPr="002704B1">
              <w:t xml:space="preserve">Ces deux solutions (6 et 7) sont dites </w:t>
            </w:r>
          </w:p>
          <w:p w:rsidR="00F240EE" w:rsidRPr="002704B1" w:rsidRDefault="00F240EE" w:rsidP="0081668A">
            <w:pPr>
              <w:ind w:left="1418" w:hanging="709"/>
            </w:pPr>
            <w:proofErr w:type="gramStart"/>
            <w:r w:rsidRPr="002704B1">
              <w:t>-«</w:t>
            </w:r>
            <w:proofErr w:type="gramEnd"/>
            <w:r w:rsidRPr="002704B1">
              <w:t> </w:t>
            </w:r>
            <w:r w:rsidRPr="002704B1">
              <w:rPr>
                <w:b/>
              </w:rPr>
              <w:t>Générales</w:t>
            </w:r>
            <w:r w:rsidRPr="002704B1">
              <w:t> » car elles sont valables pour toutes les questions du test, et font gagner de la place en occupation du papier eu de l’écran</w:t>
            </w:r>
          </w:p>
          <w:p w:rsidR="00F240EE" w:rsidRPr="002704B1" w:rsidRDefault="00F240EE" w:rsidP="0081668A">
            <w:pPr>
              <w:ind w:left="1418" w:hanging="709"/>
            </w:pPr>
            <w:proofErr w:type="gramStart"/>
            <w:r w:rsidRPr="002704B1">
              <w:t>-«</w:t>
            </w:r>
            <w:proofErr w:type="gramEnd"/>
            <w:r w:rsidRPr="002704B1">
              <w:t> </w:t>
            </w:r>
            <w:r w:rsidRPr="002704B1">
              <w:rPr>
                <w:b/>
              </w:rPr>
              <w:t>Implicites</w:t>
            </w:r>
            <w:r w:rsidRPr="002704B1">
              <w:t xml:space="preserve"> » parce qu’elles ne sont pas rappelées dans chaque question, ce qui force le testé à la </w:t>
            </w:r>
            <w:r w:rsidRPr="001D221B">
              <w:rPr>
                <w:b/>
              </w:rPr>
              <w:t>vigilance cognitive</w:t>
            </w:r>
            <w:r w:rsidRPr="002704B1">
              <w:t xml:space="preserve"> (penser spontanément à ces deux solutions qu’il n’a pas sous les yeux). </w:t>
            </w:r>
          </w:p>
          <w:p w:rsidR="00F240EE" w:rsidRPr="002704B1" w:rsidRDefault="00F240EE" w:rsidP="0081668A">
            <w:pPr>
              <w:ind w:left="1418" w:hanging="709"/>
            </w:pPr>
            <w:r w:rsidRPr="002704B1">
              <w:t xml:space="preserve">Cette modalité de QCM, est appelée </w:t>
            </w:r>
            <w:r w:rsidRPr="002704B1">
              <w:rPr>
                <w:b/>
              </w:rPr>
              <w:t>QCM à SGI</w:t>
            </w:r>
            <w:r w:rsidRPr="002704B1">
              <w:t xml:space="preserve"> (QCM </w:t>
            </w:r>
            <w:r w:rsidRPr="002704B1">
              <w:rPr>
                <w:b/>
              </w:rPr>
              <w:t>à Solutions Générales Implicites</w:t>
            </w:r>
            <w:r w:rsidRPr="002704B1">
              <w:t xml:space="preserve">) </w:t>
            </w:r>
          </w:p>
          <w:p w:rsidR="00F240EE" w:rsidRPr="002704B1" w:rsidRDefault="00F240EE" w:rsidP="0081668A"/>
          <w:p w:rsidR="00F240EE" w:rsidRPr="002704B1" w:rsidRDefault="00F240EE" w:rsidP="00152175">
            <w:pPr>
              <w:ind w:left="708"/>
            </w:pPr>
            <w:r w:rsidRPr="002704B1">
              <w:t xml:space="preserve">Les numéros (6 et 7) gardent la même signification (6=Aucune ou Autre et 7=Toutes) quel que soit le nombre de solutions proposées </w:t>
            </w:r>
            <w:r w:rsidR="00DC250F">
              <w:t xml:space="preserve">(entre 2 et 5) </w:t>
            </w:r>
            <w:r w:rsidR="00152175">
              <w:t>dans la QCM</w:t>
            </w:r>
            <w:r w:rsidRPr="002704B1">
              <w:t>.</w:t>
            </w:r>
          </w:p>
        </w:tc>
      </w:tr>
    </w:tbl>
    <w:p w:rsidR="00152175" w:rsidRDefault="00152175">
      <w:r>
        <w:br w:type="page"/>
      </w:r>
    </w:p>
    <w:p w:rsidR="00F240EE" w:rsidRDefault="00F240EE" w:rsidP="00F240EE">
      <w:r>
        <w:lastRenderedPageBreak/>
        <w:t xml:space="preserve">Dans le livre de 1986 « La conception des QCM », je propose </w:t>
      </w:r>
      <w:r w:rsidRPr="004251EF">
        <w:rPr>
          <w:b/>
        </w:rPr>
        <w:t>deux autres SG</w:t>
      </w:r>
      <w:r>
        <w:t xml:space="preserve"> : </w:t>
      </w:r>
    </w:p>
    <w:tbl>
      <w:tblPr>
        <w:tblStyle w:val="Grilledutableau"/>
        <w:tblW w:w="0" w:type="auto"/>
        <w:tblLook w:val="04A0" w:firstRow="1" w:lastRow="0" w:firstColumn="1" w:lastColumn="0" w:noHBand="0" w:noVBand="1"/>
      </w:tblPr>
      <w:tblGrid>
        <w:gridCol w:w="9062"/>
      </w:tblGrid>
      <w:tr w:rsidR="00152175" w:rsidTr="00152175">
        <w:tc>
          <w:tcPr>
            <w:tcW w:w="9062" w:type="dxa"/>
          </w:tcPr>
          <w:p w:rsidR="00152175" w:rsidRDefault="00152175" w:rsidP="00152175">
            <w:r w:rsidRPr="005F5240">
              <w:rPr>
                <w:b/>
              </w:rPr>
              <w:t>8. Manque de données</w:t>
            </w:r>
            <w:r>
              <w:t xml:space="preserve"> pour </w:t>
            </w:r>
            <w:r w:rsidR="004251EF">
              <w:t xml:space="preserve">que l’on puisse </w:t>
            </w:r>
            <w:r>
              <w:t xml:space="preserve">choisir 1 seule solution correcte (excluant les autres) car plusieurs solutions pourraient être correctes (mais pas en même temps, et exclure les autres) en fonction de </w:t>
            </w:r>
            <w:r w:rsidRPr="005F5240">
              <w:rPr>
                <w:u w:val="single"/>
              </w:rPr>
              <w:t>précisions qui ne sont pas fournies dans l’énoncé</w:t>
            </w:r>
            <w:r>
              <w:t xml:space="preserve"> de la question. </w:t>
            </w:r>
          </w:p>
          <w:p w:rsidR="00152175" w:rsidRDefault="00152175" w:rsidP="00152175">
            <w:pPr>
              <w:ind w:left="708"/>
            </w:pPr>
            <w:r w:rsidRPr="00DC250F">
              <w:rPr>
                <w:b/>
              </w:rPr>
              <w:t>Exemple</w:t>
            </w:r>
            <w:r>
              <w:t xml:space="preserve"> : Dans l’expression (lue dans un article) « Cette observation nous a </w:t>
            </w:r>
            <w:proofErr w:type="spellStart"/>
            <w:proofErr w:type="gramStart"/>
            <w:r w:rsidRPr="005F5240">
              <w:rPr>
                <w:b/>
              </w:rPr>
              <w:t>étonn</w:t>
            </w:r>
            <w:proofErr w:type="spellEnd"/>
            <w:r w:rsidRPr="005F5240">
              <w:rPr>
                <w:b/>
              </w:rPr>
              <w:t>….</w:t>
            </w:r>
            <w:proofErr w:type="gramEnd"/>
            <w:r>
              <w:t xml:space="preserve"> », le dernier mot doit être orthographié    1. </w:t>
            </w:r>
            <w:proofErr w:type="gramStart"/>
            <w:r>
              <w:t>étonné</w:t>
            </w:r>
            <w:proofErr w:type="gramEnd"/>
            <w:r>
              <w:t xml:space="preserve">     2. </w:t>
            </w:r>
            <w:proofErr w:type="gramStart"/>
            <w:r>
              <w:t>étonnée</w:t>
            </w:r>
            <w:proofErr w:type="gramEnd"/>
            <w:r>
              <w:t xml:space="preserve">     3. </w:t>
            </w:r>
            <w:proofErr w:type="gramStart"/>
            <w:r>
              <w:t>étonnés</w:t>
            </w:r>
            <w:proofErr w:type="gramEnd"/>
            <w:r>
              <w:t xml:space="preserve">     4. </w:t>
            </w:r>
            <w:proofErr w:type="gramStart"/>
            <w:r>
              <w:t>étonnées</w:t>
            </w:r>
            <w:proofErr w:type="gramEnd"/>
          </w:p>
          <w:p w:rsidR="00152175" w:rsidRDefault="00152175" w:rsidP="00152175">
            <w:pPr>
              <w:ind w:left="708"/>
            </w:pPr>
            <w:r>
              <w:t xml:space="preserve">La réponse correcte est </w:t>
            </w:r>
            <w:r w:rsidRPr="005F5240">
              <w:rPr>
                <w:b/>
              </w:rPr>
              <w:t>8. Manque de données</w:t>
            </w:r>
            <w:r>
              <w:t xml:space="preserve"> car il n’est pas précisé </w:t>
            </w:r>
            <w:r w:rsidRPr="005F5240">
              <w:rPr>
                <w:b/>
              </w:rPr>
              <w:t xml:space="preserve">qui est ce </w:t>
            </w:r>
            <w:r>
              <w:rPr>
                <w:b/>
              </w:rPr>
              <w:t>« n</w:t>
            </w:r>
            <w:r w:rsidRPr="005F5240">
              <w:rPr>
                <w:b/>
              </w:rPr>
              <w:t>ous</w:t>
            </w:r>
            <w:r>
              <w:rPr>
                <w:b/>
              </w:rPr>
              <w:t> »</w:t>
            </w:r>
            <w:r>
              <w:t>.</w:t>
            </w:r>
          </w:p>
          <w:p w:rsidR="00152175" w:rsidRDefault="00152175" w:rsidP="00152175">
            <w:pPr>
              <w:ind w:left="1416"/>
            </w:pPr>
            <w:r>
              <w:t>-un homme ? Si oui, alors la RC = 1</w:t>
            </w:r>
          </w:p>
          <w:p w:rsidR="00152175" w:rsidRDefault="00152175" w:rsidP="00152175">
            <w:pPr>
              <w:ind w:left="1416"/>
            </w:pPr>
            <w:r>
              <w:t>-une dame ? Si oui, alors la RC = 2</w:t>
            </w:r>
          </w:p>
          <w:p w:rsidR="00152175" w:rsidRDefault="00152175" w:rsidP="00152175">
            <w:pPr>
              <w:ind w:left="1416"/>
            </w:pPr>
            <w:r>
              <w:t>-une équipe de plusieurs personnes dont on ne connaît pas les genres ? Si oui, alors la RC = 3.</w:t>
            </w:r>
          </w:p>
          <w:p w:rsidR="00152175" w:rsidRDefault="00152175" w:rsidP="00152175">
            <w:pPr>
              <w:ind w:left="1416"/>
            </w:pPr>
            <w:r>
              <w:t>-une équipe de plusieurs personnes toutes du genre féminin ? Si oui, alors la RC = 4</w:t>
            </w:r>
          </w:p>
          <w:p w:rsidR="00152175" w:rsidRPr="002704B1" w:rsidRDefault="00152175" w:rsidP="00152175">
            <w:pPr>
              <w:ind w:left="708"/>
            </w:pPr>
            <w:r>
              <w:t xml:space="preserve">Remarquez que ces solutions s’excluent l’une l’autre. </w:t>
            </w:r>
          </w:p>
          <w:p w:rsidR="004251EF" w:rsidRDefault="004251EF" w:rsidP="00152175">
            <w:pPr>
              <w:rPr>
                <w:b/>
              </w:rPr>
            </w:pPr>
          </w:p>
          <w:p w:rsidR="00152175" w:rsidRDefault="00152175" w:rsidP="00152175">
            <w:r w:rsidRPr="005F5240">
              <w:rPr>
                <w:b/>
              </w:rPr>
              <w:t>9. Absurdité dans l’énoncé</w:t>
            </w:r>
            <w:r>
              <w:t xml:space="preserve"> – </w:t>
            </w:r>
            <w:r w:rsidRPr="004651CD">
              <w:rPr>
                <w:b/>
              </w:rPr>
              <w:t>refus</w:t>
            </w:r>
            <w:r>
              <w:t xml:space="preserve"> de considérer la question comme valable, qui englobe les questions contenant des erreurs factuelles qui rendent la question sans objet, ou des questions trop invasives de la vie privée, ou des questions immorales, etc. </w:t>
            </w:r>
          </w:p>
          <w:p w:rsidR="00152175" w:rsidRDefault="00152175" w:rsidP="00152175">
            <w:pPr>
              <w:ind w:left="1418" w:hanging="709"/>
            </w:pPr>
            <w:r>
              <w:t>Cette réponse ABSURDITE est repérable dès l’énonce, avant même d’avoir lu les solutions proposées).</w:t>
            </w:r>
          </w:p>
          <w:p w:rsidR="00152175" w:rsidRDefault="00152175" w:rsidP="00152175">
            <w:pPr>
              <w:ind w:left="1418" w:hanging="709"/>
            </w:pPr>
            <w:r>
              <w:t xml:space="preserve">Elle </w:t>
            </w:r>
            <w:r w:rsidR="004251EF">
              <w:t xml:space="preserve">doit être donnée (dénoncée) </w:t>
            </w:r>
            <w:r>
              <w:t xml:space="preserve">EN PRIORITE sur « Aucune – Autre » qui signifierait « Il existe une réponse correcte mais elle n’est pas parmi les solutions explicites ». </w:t>
            </w:r>
          </w:p>
          <w:p w:rsidR="00152175" w:rsidRPr="00B15D0D" w:rsidRDefault="00152175" w:rsidP="00152175">
            <w:pPr>
              <w:ind w:left="708"/>
              <w:rPr>
                <w:b/>
              </w:rPr>
            </w:pPr>
            <w:r w:rsidRPr="00B15D0D">
              <w:rPr>
                <w:b/>
              </w:rPr>
              <w:t xml:space="preserve">Exemples : </w:t>
            </w:r>
          </w:p>
          <w:p w:rsidR="00152175" w:rsidRDefault="00152175" w:rsidP="00152175">
            <w:pPr>
              <w:ind w:left="708"/>
            </w:pPr>
            <w:proofErr w:type="gramStart"/>
            <w:r>
              <w:t>-«</w:t>
            </w:r>
            <w:proofErr w:type="gramEnd"/>
            <w:r>
              <w:t xml:space="preserve"> En quelle année Napoléon </w:t>
            </w:r>
            <w:proofErr w:type="spellStart"/>
            <w:r>
              <w:t>a-t-il</w:t>
            </w:r>
            <w:proofErr w:type="spellEnd"/>
            <w:r>
              <w:t xml:space="preserve"> rencontré Cléopâtre ? 1789    1802   1815    1821 »</w:t>
            </w:r>
          </w:p>
          <w:p w:rsidR="00152175" w:rsidRDefault="00152175" w:rsidP="00152175">
            <w:pPr>
              <w:ind w:left="1416"/>
            </w:pPr>
            <w:r>
              <w:t xml:space="preserve">(Impossibilité logique </w:t>
            </w:r>
            <w:r w:rsidRPr="00552C7C">
              <w:rPr>
                <w:u w:val="single"/>
              </w:rPr>
              <w:t>dès l’énoncé</w:t>
            </w:r>
            <w:r>
              <w:t>)</w:t>
            </w:r>
          </w:p>
          <w:p w:rsidR="00152175" w:rsidRDefault="00152175" w:rsidP="00152175">
            <w:pPr>
              <w:ind w:left="1418" w:hanging="709"/>
            </w:pPr>
            <w:proofErr w:type="gramStart"/>
            <w:r>
              <w:t>-«</w:t>
            </w:r>
            <w:proofErr w:type="gramEnd"/>
            <w:r>
              <w:t> Quelle est la différence de potentiel (le voltage) qu’il faut administrer aux deux oreilles d’une personne pour qu’elle avoue….     110 Volts     220 Volts     380 volts ? »</w:t>
            </w:r>
          </w:p>
          <w:p w:rsidR="00152175" w:rsidRDefault="00152175" w:rsidP="00152175">
            <w:pPr>
              <w:ind w:left="1416"/>
            </w:pPr>
            <w:r>
              <w:t>(Inacceptable moralement </w:t>
            </w:r>
            <w:r w:rsidR="00552C7C" w:rsidRPr="00552C7C">
              <w:rPr>
                <w:u w:val="single"/>
              </w:rPr>
              <w:t>dès l’énoncé</w:t>
            </w:r>
            <w:r w:rsidR="00552C7C">
              <w:t xml:space="preserve"> </w:t>
            </w:r>
            <w:r>
              <w:t>: on ne torture pas, même avec 1 volt)</w:t>
            </w:r>
          </w:p>
          <w:p w:rsidR="00152175" w:rsidRDefault="00152175" w:rsidP="00152175">
            <w:pPr>
              <w:ind w:left="708"/>
            </w:pPr>
            <w:proofErr w:type="gramStart"/>
            <w:r>
              <w:t>-«</w:t>
            </w:r>
            <w:proofErr w:type="gramEnd"/>
            <w:r>
              <w:t xml:space="preserve"> Quel est le périmètre d’un triangle </w:t>
            </w:r>
            <w:r w:rsidR="00552C7C">
              <w:t xml:space="preserve">de </w:t>
            </w:r>
            <w:r>
              <w:t xml:space="preserve">côtés  2m, 3m et 6m ?  </w:t>
            </w:r>
            <w:r w:rsidR="00552C7C">
              <w:t xml:space="preserve">  </w:t>
            </w:r>
            <w:r>
              <w:t xml:space="preserve">10m </w:t>
            </w:r>
            <w:r w:rsidR="00552C7C">
              <w:t xml:space="preserve">     </w:t>
            </w:r>
            <w:r>
              <w:t xml:space="preserve"> 11m </w:t>
            </w:r>
            <w:r w:rsidR="00552C7C">
              <w:t xml:space="preserve">      </w:t>
            </w:r>
            <w:r>
              <w:t xml:space="preserve"> 12m ? »</w:t>
            </w:r>
          </w:p>
          <w:p w:rsidR="00152175" w:rsidRPr="004251EF" w:rsidRDefault="00152175" w:rsidP="00552C7C">
            <w:pPr>
              <w:ind w:left="1416"/>
            </w:pPr>
            <w:r w:rsidRPr="00552C7C">
              <w:t>(</w:t>
            </w:r>
            <w:r w:rsidR="00552C7C" w:rsidRPr="00552C7C">
              <w:t>Absurdité</w:t>
            </w:r>
            <w:r w:rsidRPr="00552C7C">
              <w:t xml:space="preserve"> logique </w:t>
            </w:r>
            <w:r w:rsidR="00552C7C" w:rsidRPr="00552C7C">
              <w:rPr>
                <w:u w:val="single"/>
              </w:rPr>
              <w:t>dès l’énoncé</w:t>
            </w:r>
            <w:r w:rsidR="00552C7C" w:rsidRPr="00552C7C">
              <w:t> :</w:t>
            </w:r>
            <w:r w:rsidRPr="00552C7C">
              <w:t xml:space="preserve"> il est impossible de créer un tel triangle (Essayez</w:t>
            </w:r>
            <w:r w:rsidRPr="00552C7C">
              <w:rPr>
                <w:sz w:val="24"/>
              </w:rPr>
              <w:t xml:space="preserve">)  </w:t>
            </w:r>
          </w:p>
        </w:tc>
      </w:tr>
    </w:tbl>
    <w:p w:rsidR="00152175" w:rsidRDefault="00152175" w:rsidP="00F240EE">
      <w:pPr>
        <w:rPr>
          <w:b/>
        </w:rPr>
      </w:pPr>
    </w:p>
    <w:p w:rsidR="00F3530C" w:rsidRDefault="00F240EE" w:rsidP="00F240EE">
      <w:r w:rsidRPr="002D1EC1">
        <w:rPr>
          <w:b/>
        </w:rPr>
        <w:t>Les questions isotopes</w:t>
      </w:r>
      <w:r w:rsidR="00DC250F">
        <w:t xml:space="preserve"> : </w:t>
      </w:r>
      <w:r w:rsidR="00B15D0D">
        <w:t>I</w:t>
      </w:r>
      <w:r>
        <w:t xml:space="preserve">l est </w:t>
      </w:r>
      <w:r w:rsidR="00152175">
        <w:t>facile</w:t>
      </w:r>
      <w:r>
        <w:t xml:space="preserve"> de constituer une </w:t>
      </w:r>
      <w:r w:rsidRPr="00B15D0D">
        <w:rPr>
          <w:b/>
        </w:rPr>
        <w:t>banque de questions</w:t>
      </w:r>
      <w:r>
        <w:t xml:space="preserve"> en créant assez rapidement des questions « fausses-jumelles » entre elles, qui ne diffèrent que par quelques </w:t>
      </w:r>
      <w:proofErr w:type="gramStart"/>
      <w:r>
        <w:t>mots….</w:t>
      </w:r>
      <w:proofErr w:type="gramEnd"/>
      <w:r w:rsidRPr="00B15D0D">
        <w:rPr>
          <w:b/>
        </w:rPr>
        <w:t>et par la réponse correcte</w:t>
      </w:r>
      <w:r>
        <w:t xml:space="preserve">, ce qui force le étudiants à lire les questions attentivement !  </w:t>
      </w:r>
    </w:p>
    <w:p w:rsidR="00386313" w:rsidRDefault="00596DA9" w:rsidP="00386313">
      <w:pPr>
        <w:spacing w:after="0"/>
      </w:pPr>
      <w:r w:rsidRPr="00596DA9">
        <w:rPr>
          <w:b/>
        </w:rPr>
        <w:t xml:space="preserve">PROGRESSIVITE </w:t>
      </w:r>
      <w:r>
        <w:t xml:space="preserve">: Pour habituer les étudiants à ce genre de consigne, on peut commencer à introduire ces solutions 6 ; 7 ; 8 et 9 de façon </w:t>
      </w:r>
      <w:r w:rsidRPr="00596DA9">
        <w:rPr>
          <w:b/>
          <w:sz w:val="28"/>
        </w:rPr>
        <w:t>EXPLICITE</w:t>
      </w:r>
      <w:r>
        <w:t xml:space="preserve">, en les rappelant parmi les solutions de chaque question, mais cela sollicite moins la </w:t>
      </w:r>
      <w:r w:rsidRPr="001D221B">
        <w:rPr>
          <w:b/>
        </w:rPr>
        <w:t>vigilance cognitive</w:t>
      </w:r>
      <w:r>
        <w:t>.</w:t>
      </w:r>
      <w:r w:rsidR="00631D23">
        <w:t xml:space="preserve"> </w:t>
      </w:r>
    </w:p>
    <w:p w:rsidR="00DC250F" w:rsidRDefault="00DC250F" w:rsidP="00F240EE">
      <w:r>
        <w:t xml:space="preserve">On n’introduira pas </w:t>
      </w:r>
      <w:r w:rsidR="00386313">
        <w:t>les</w:t>
      </w:r>
      <w:r>
        <w:t xml:space="preserve"> diverses SG en</w:t>
      </w:r>
      <w:r w:rsidR="00386313">
        <w:t xml:space="preserve"> un coup</w:t>
      </w:r>
      <w:r>
        <w:t xml:space="preserve"> auprès d’étudiants qui n’y sont pas habitués.</w:t>
      </w:r>
    </w:p>
    <w:p w:rsidR="00631D23" w:rsidRDefault="00631D23" w:rsidP="00F240EE">
      <w:r>
        <w:t xml:space="preserve">Pour les </w:t>
      </w:r>
      <w:r w:rsidRPr="00631D23">
        <w:rPr>
          <w:b/>
        </w:rPr>
        <w:t>QRO</w:t>
      </w:r>
      <w:r>
        <w:t xml:space="preserve"> (Q à réponses Ouvertes), certaines SG sont possibles. Pour les </w:t>
      </w:r>
      <w:r w:rsidRPr="00631D23">
        <w:rPr>
          <w:b/>
        </w:rPr>
        <w:t xml:space="preserve">QVF </w:t>
      </w:r>
      <w:r>
        <w:t>(Q Vrai-Faux), seule la SG « Manque » est possible</w:t>
      </w:r>
      <w:r w:rsidR="00386313">
        <w:t>. C’est</w:t>
      </w:r>
      <w:r>
        <w:t xml:space="preserve"> une faiblesse regrettable</w:t>
      </w:r>
      <w:r w:rsidR="00386313">
        <w:t xml:space="preserve"> pour entraîner la </w:t>
      </w:r>
      <w:r w:rsidR="00386313" w:rsidRPr="001D221B">
        <w:rPr>
          <w:b/>
        </w:rPr>
        <w:t>vigilance cognitive</w:t>
      </w:r>
      <w:r>
        <w:t xml:space="preserve">. </w:t>
      </w:r>
    </w:p>
    <w:p w:rsidR="00152175" w:rsidRDefault="00152175" w:rsidP="00152175">
      <w:pPr>
        <w:pStyle w:val="PrformatHTML"/>
        <w:rPr>
          <w:lang w:val="fr-BE" w:eastAsia="fr-BE"/>
        </w:rPr>
      </w:pPr>
      <w:r w:rsidRPr="00152175">
        <w:rPr>
          <w:rFonts w:asciiTheme="minorHAnsi" w:eastAsiaTheme="minorHAnsi" w:hAnsiTheme="minorHAnsi" w:cstheme="minorBidi"/>
          <w:b/>
          <w:sz w:val="22"/>
          <w:szCs w:val="22"/>
          <w:lang w:val="fr-BE" w:eastAsia="en-US"/>
        </w:rPr>
        <w:t>DEBAT obligatoire</w:t>
      </w:r>
      <w:r w:rsidRPr="00152175">
        <w:rPr>
          <w:rFonts w:asciiTheme="minorHAnsi" w:eastAsiaTheme="minorHAnsi" w:hAnsiTheme="minorHAnsi" w:cstheme="minorBidi"/>
          <w:sz w:val="22"/>
          <w:szCs w:val="22"/>
          <w:lang w:val="fr-BE" w:eastAsia="en-US"/>
        </w:rPr>
        <w:t xml:space="preserve"> : Plus les processus mentaux impliqués sont élevés (les SG visent à mesurer la compréhension et l’analyse, plus la discussion </w:t>
      </w:r>
      <w:r>
        <w:rPr>
          <w:rFonts w:asciiTheme="minorHAnsi" w:eastAsiaTheme="minorHAnsi" w:hAnsiTheme="minorHAnsi" w:cstheme="minorBidi"/>
          <w:sz w:val="22"/>
          <w:szCs w:val="22"/>
          <w:lang w:val="fr-BE" w:eastAsia="en-US"/>
        </w:rPr>
        <w:t xml:space="preserve">avec les étudiants </w:t>
      </w:r>
      <w:r w:rsidRPr="00152175">
        <w:rPr>
          <w:rFonts w:asciiTheme="minorHAnsi" w:eastAsiaTheme="minorHAnsi" w:hAnsiTheme="minorHAnsi" w:cstheme="minorBidi"/>
          <w:sz w:val="22"/>
          <w:szCs w:val="22"/>
          <w:lang w:val="fr-BE" w:eastAsia="en-US"/>
        </w:rPr>
        <w:t xml:space="preserve">sur les réponses « correctes s’impose » (voir TSM dans Leclercq 2014 </w:t>
      </w:r>
      <w:hyperlink r:id="rId7" w:tgtFrame="_blank" w:history="1">
        <w:r w:rsidRPr="00152175">
          <w:rPr>
            <w:rStyle w:val="Lienhypertexte"/>
            <w:lang w:val="fr-BE"/>
          </w:rPr>
          <w:t>http://hdl.handle.net/2268/173494</w:t>
        </w:r>
      </w:hyperlink>
      <w:r w:rsidRPr="00152175">
        <w:rPr>
          <w:rStyle w:val="Lienhypertexte"/>
          <w:lang w:val="fr-BE"/>
        </w:rPr>
        <w:t xml:space="preserve"> </w:t>
      </w:r>
      <w:r w:rsidRPr="00152175">
        <w:rPr>
          <w:rFonts w:asciiTheme="minorHAnsi" w:eastAsiaTheme="minorHAnsi" w:hAnsiTheme="minorHAnsi" w:cstheme="minorBidi"/>
          <w:sz w:val="22"/>
          <w:szCs w:val="22"/>
          <w:lang w:val="fr-BE" w:eastAsia="en-US"/>
        </w:rPr>
        <w:t xml:space="preserve">et dans </w:t>
      </w:r>
      <w:proofErr w:type="spellStart"/>
      <w:r w:rsidRPr="00152175">
        <w:rPr>
          <w:rFonts w:asciiTheme="minorHAnsi" w:eastAsiaTheme="minorHAnsi" w:hAnsiTheme="minorHAnsi" w:cstheme="minorBidi"/>
          <w:sz w:val="22"/>
          <w:szCs w:val="22"/>
          <w:lang w:val="fr-BE" w:eastAsia="en-US"/>
        </w:rPr>
        <w:t>Guemazi-Kheff</w:t>
      </w:r>
      <w:r w:rsidR="00631D23">
        <w:rPr>
          <w:rFonts w:asciiTheme="minorHAnsi" w:eastAsiaTheme="minorHAnsi" w:hAnsiTheme="minorHAnsi" w:cstheme="minorBidi"/>
          <w:sz w:val="22"/>
          <w:szCs w:val="22"/>
          <w:lang w:val="fr-BE" w:eastAsia="en-US"/>
        </w:rPr>
        <w:t>i</w:t>
      </w:r>
      <w:proofErr w:type="spellEnd"/>
      <w:r>
        <w:rPr>
          <w:rFonts w:asciiTheme="minorHAnsi" w:eastAsiaTheme="minorHAnsi" w:hAnsiTheme="minorHAnsi" w:cstheme="minorBidi"/>
          <w:sz w:val="22"/>
          <w:szCs w:val="22"/>
          <w:lang w:val="fr-BE" w:eastAsia="en-US"/>
        </w:rPr>
        <w:t xml:space="preserve">, </w:t>
      </w:r>
      <w:proofErr w:type="spellStart"/>
      <w:r>
        <w:rPr>
          <w:rFonts w:asciiTheme="minorHAnsi" w:eastAsiaTheme="minorHAnsi" w:hAnsiTheme="minorHAnsi" w:cstheme="minorBidi"/>
          <w:sz w:val="22"/>
          <w:szCs w:val="22"/>
          <w:lang w:val="fr-BE" w:eastAsia="en-US"/>
        </w:rPr>
        <w:t>Gagnayre</w:t>
      </w:r>
      <w:proofErr w:type="spellEnd"/>
      <w:r>
        <w:rPr>
          <w:rFonts w:asciiTheme="minorHAnsi" w:eastAsiaTheme="minorHAnsi" w:hAnsiTheme="minorHAnsi" w:cstheme="minorBidi"/>
          <w:sz w:val="22"/>
          <w:szCs w:val="22"/>
          <w:lang w:val="fr-BE" w:eastAsia="en-US"/>
        </w:rPr>
        <w:t xml:space="preserve"> et </w:t>
      </w:r>
      <w:proofErr w:type="spellStart"/>
      <w:r>
        <w:rPr>
          <w:rFonts w:asciiTheme="minorHAnsi" w:eastAsiaTheme="minorHAnsi" w:hAnsiTheme="minorHAnsi" w:cstheme="minorBidi"/>
          <w:sz w:val="22"/>
          <w:szCs w:val="22"/>
          <w:lang w:val="fr-BE" w:eastAsia="en-US"/>
        </w:rPr>
        <w:t>Leclercq</w:t>
      </w:r>
      <w:r w:rsidRPr="00152175">
        <w:rPr>
          <w:rFonts w:asciiTheme="minorHAnsi" w:eastAsiaTheme="minorHAnsi" w:hAnsiTheme="minorHAnsi" w:cstheme="minorBidi"/>
          <w:sz w:val="22"/>
          <w:szCs w:val="22"/>
          <w:lang w:val="fr-BE" w:eastAsia="en-US"/>
        </w:rPr>
        <w:t>i</w:t>
      </w:r>
      <w:proofErr w:type="spellEnd"/>
      <w:r w:rsidRPr="00152175">
        <w:rPr>
          <w:rFonts w:asciiTheme="minorHAnsi" w:eastAsiaTheme="minorHAnsi" w:hAnsiTheme="minorHAnsi" w:cstheme="minorBidi"/>
          <w:sz w:val="22"/>
          <w:szCs w:val="22"/>
          <w:lang w:val="fr-BE" w:eastAsia="en-US"/>
        </w:rPr>
        <w:t xml:space="preserve"> 2022</w:t>
      </w:r>
      <w:r w:rsidRPr="00152175">
        <w:rPr>
          <w:lang w:val="fr-BE"/>
        </w:rPr>
        <w:t xml:space="preserve"> </w:t>
      </w:r>
      <w:hyperlink r:id="rId8" w:history="1">
        <w:r w:rsidRPr="00521546">
          <w:rPr>
            <w:rStyle w:val="Lienhypertexte"/>
            <w:lang w:val="fr-BE"/>
          </w:rPr>
          <w:t>http://hdl.handle.net/2268/268128</w:t>
        </w:r>
      </w:hyperlink>
    </w:p>
    <w:p w:rsidR="00631D23" w:rsidRDefault="00631D23" w:rsidP="00525033">
      <w:pPr>
        <w:pStyle w:val="somm30"/>
        <w:ind w:left="0" w:hanging="431"/>
        <w:rPr>
          <w:szCs w:val="24"/>
        </w:rPr>
      </w:pPr>
    </w:p>
    <w:p w:rsidR="00DC250F" w:rsidRPr="00DC250F" w:rsidRDefault="00525033" w:rsidP="00FC3927">
      <w:pPr>
        <w:pStyle w:val="somm30"/>
        <w:ind w:left="0" w:hanging="431"/>
        <w:rPr>
          <w:b/>
          <w:color w:val="000000" w:themeColor="text1"/>
          <w:lang w:val="fr-BE"/>
        </w:rPr>
      </w:pPr>
      <w:r w:rsidRPr="00525033">
        <w:rPr>
          <w:szCs w:val="24"/>
        </w:rPr>
        <w:t>Pour aller plus loin sur les QCM</w:t>
      </w:r>
      <w:r w:rsidR="00631D23">
        <w:rPr>
          <w:szCs w:val="24"/>
        </w:rPr>
        <w:t> : voir</w:t>
      </w:r>
      <w:r w:rsidRPr="00525033">
        <w:rPr>
          <w:szCs w:val="24"/>
        </w:rPr>
        <w:t xml:space="preserve"> </w:t>
      </w:r>
      <w:r w:rsidRPr="00FF0584">
        <w:rPr>
          <w:b/>
          <w:szCs w:val="24"/>
        </w:rPr>
        <w:t xml:space="preserve">Leclercq, D. (2006) L’évolution des QCM. </w:t>
      </w:r>
      <w:hyperlink r:id="rId9" w:history="1">
        <w:r w:rsidRPr="004A24E9">
          <w:rPr>
            <w:rStyle w:val="Lienhypertexte"/>
            <w:lang w:val="fr-BE"/>
          </w:rPr>
          <w:t>http://hdl.handle.net/2268/10124</w:t>
        </w:r>
      </w:hyperlink>
      <w:r w:rsidR="00631D23">
        <w:rPr>
          <w:rStyle w:val="Lienhypertexte"/>
          <w:lang w:val="fr-BE"/>
        </w:rPr>
        <w:t xml:space="preserve">  </w:t>
      </w:r>
      <w:r w:rsidR="00152175">
        <w:rPr>
          <w:rStyle w:val="Lienhypertexte"/>
          <w:color w:val="000000" w:themeColor="text1"/>
          <w:u w:val="none"/>
          <w:lang w:val="fr-BE"/>
        </w:rPr>
        <w:t xml:space="preserve">Ce </w:t>
      </w:r>
      <w:r w:rsidR="00DC250F">
        <w:rPr>
          <w:rStyle w:val="Lienhypertexte"/>
          <w:color w:val="000000" w:themeColor="text1"/>
          <w:u w:val="none"/>
          <w:lang w:val="fr-BE"/>
        </w:rPr>
        <w:t>document</w:t>
      </w:r>
      <w:r w:rsidR="00DC250F" w:rsidRPr="00DC250F">
        <w:rPr>
          <w:rStyle w:val="Lienhypertexte"/>
          <w:color w:val="000000" w:themeColor="text1"/>
          <w:u w:val="none"/>
          <w:lang w:val="fr-BE"/>
        </w:rPr>
        <w:t xml:space="preserve"> </w:t>
      </w:r>
      <w:r w:rsidR="00DC250F">
        <w:rPr>
          <w:rStyle w:val="Lienhypertexte"/>
          <w:color w:val="000000" w:themeColor="text1"/>
          <w:u w:val="none"/>
          <w:lang w:val="fr-BE"/>
        </w:rPr>
        <w:t>expos</w:t>
      </w:r>
      <w:r w:rsidR="00152175">
        <w:rPr>
          <w:rStyle w:val="Lienhypertexte"/>
          <w:color w:val="000000" w:themeColor="text1"/>
          <w:u w:val="none"/>
          <w:lang w:val="fr-BE"/>
        </w:rPr>
        <w:t>e</w:t>
      </w:r>
      <w:r w:rsidR="00DC250F">
        <w:rPr>
          <w:rStyle w:val="Lienhypertexte"/>
          <w:color w:val="000000" w:themeColor="text1"/>
          <w:u w:val="none"/>
          <w:lang w:val="fr-BE"/>
        </w:rPr>
        <w:t xml:space="preserve"> pour la première fois les qualités ETICPRAD des évaluations pédagogiques</w:t>
      </w:r>
      <w:r w:rsidR="00631D23">
        <w:rPr>
          <w:rStyle w:val="Lienhypertexte"/>
          <w:color w:val="000000" w:themeColor="text1"/>
          <w:u w:val="none"/>
          <w:lang w:val="fr-BE"/>
        </w:rPr>
        <w:t xml:space="preserve"> (qualité illustrées sur l’évolution des QCM)</w:t>
      </w:r>
      <w:r w:rsidR="00DC250F">
        <w:rPr>
          <w:rStyle w:val="Lienhypertexte"/>
          <w:color w:val="000000" w:themeColor="text1"/>
          <w:u w:val="none"/>
          <w:lang w:val="fr-BE"/>
        </w:rPr>
        <w:t xml:space="preserve">. </w:t>
      </w:r>
    </w:p>
    <w:sectPr w:rsidR="00DC250F" w:rsidRPr="00DC250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532" w:rsidRDefault="00665532" w:rsidP="00F240EE">
      <w:pPr>
        <w:spacing w:after="0" w:line="240" w:lineRule="auto"/>
      </w:pPr>
      <w:r>
        <w:separator/>
      </w:r>
    </w:p>
  </w:endnote>
  <w:endnote w:type="continuationSeparator" w:id="0">
    <w:p w:rsidR="00665532" w:rsidRDefault="00665532" w:rsidP="00F2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9313199"/>
      <w:docPartObj>
        <w:docPartGallery w:val="Page Numbers (Bottom of Page)"/>
        <w:docPartUnique/>
      </w:docPartObj>
    </w:sdtPr>
    <w:sdtEndPr/>
    <w:sdtContent>
      <w:p w:rsidR="00B52FEC" w:rsidRDefault="00B15D0D" w:rsidP="00B52FEC">
        <w:pPr>
          <w:pStyle w:val="Pieddepage"/>
          <w:jc w:val="center"/>
        </w:pPr>
        <w:r>
          <w:t>D. Leclercq (20</w:t>
        </w:r>
        <w:r w:rsidR="00B52FEC">
          <w:t>18</w:t>
        </w:r>
        <w:r>
          <w:t>). Les Solutions Générales Implicites dans les QCM</w:t>
        </w:r>
        <w:r w:rsidR="00B52FEC">
          <w:t>.</w:t>
        </w:r>
      </w:p>
      <w:p w:rsidR="00B15D0D" w:rsidRDefault="00B52FEC" w:rsidP="00B52FEC">
        <w:pPr>
          <w:pStyle w:val="Pieddepage"/>
          <w:jc w:val="center"/>
        </w:pPr>
        <w:r>
          <w:t xml:space="preserve">                                                      </w:t>
        </w:r>
        <w:proofErr w:type="spellStart"/>
        <w:r>
          <w:t>ULiège</w:t>
        </w:r>
        <w:proofErr w:type="spellEnd"/>
        <w:r>
          <w:t>. LEPS - USPN (Sorbonne Paris Nord)</w:t>
        </w:r>
        <w:r w:rsidR="00B15D0D">
          <w:t xml:space="preserve">                              </w:t>
        </w:r>
        <w:r w:rsidR="00B15D0D">
          <w:fldChar w:fldCharType="begin"/>
        </w:r>
        <w:r w:rsidR="00B15D0D">
          <w:instrText>PAGE   \* MERGEFORMAT</w:instrText>
        </w:r>
        <w:r w:rsidR="00B15D0D">
          <w:fldChar w:fldCharType="separate"/>
        </w:r>
        <w:r w:rsidR="00315954" w:rsidRPr="00315954">
          <w:rPr>
            <w:noProof/>
            <w:lang w:val="fr-FR"/>
          </w:rPr>
          <w:t>1</w:t>
        </w:r>
        <w:r w:rsidR="00B15D0D">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532" w:rsidRDefault="00665532" w:rsidP="00F240EE">
      <w:pPr>
        <w:spacing w:after="0" w:line="240" w:lineRule="auto"/>
      </w:pPr>
      <w:r>
        <w:separator/>
      </w:r>
    </w:p>
  </w:footnote>
  <w:footnote w:type="continuationSeparator" w:id="0">
    <w:p w:rsidR="00665532" w:rsidRDefault="00665532" w:rsidP="00F240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30C"/>
    <w:rsid w:val="00091E51"/>
    <w:rsid w:val="00152175"/>
    <w:rsid w:val="001D221B"/>
    <w:rsid w:val="00315954"/>
    <w:rsid w:val="00386313"/>
    <w:rsid w:val="00414E87"/>
    <w:rsid w:val="004251EF"/>
    <w:rsid w:val="00426F40"/>
    <w:rsid w:val="00446BF6"/>
    <w:rsid w:val="004651CD"/>
    <w:rsid w:val="00492F60"/>
    <w:rsid w:val="00525033"/>
    <w:rsid w:val="00552C7C"/>
    <w:rsid w:val="00596DA9"/>
    <w:rsid w:val="005E2434"/>
    <w:rsid w:val="00631D23"/>
    <w:rsid w:val="00665532"/>
    <w:rsid w:val="009508E2"/>
    <w:rsid w:val="00B15D0D"/>
    <w:rsid w:val="00B52FEC"/>
    <w:rsid w:val="00DC250F"/>
    <w:rsid w:val="00EC1351"/>
    <w:rsid w:val="00F240EE"/>
    <w:rsid w:val="00F3530C"/>
    <w:rsid w:val="00FC392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52C074"/>
  <w15:chartTrackingRefBased/>
  <w15:docId w15:val="{5A1B1AB6-94DD-4423-B232-DCA5E3DF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F24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ppelnotedebasdep">
    <w:name w:val="footnote reference"/>
    <w:basedOn w:val="Policepardfaut"/>
    <w:uiPriority w:val="99"/>
    <w:semiHidden/>
    <w:unhideWhenUsed/>
    <w:rsid w:val="00F240EE"/>
    <w:rPr>
      <w:vertAlign w:val="superscript"/>
    </w:rPr>
  </w:style>
  <w:style w:type="paragraph" w:styleId="En-tte">
    <w:name w:val="header"/>
    <w:basedOn w:val="Normal"/>
    <w:link w:val="En-tteCar"/>
    <w:uiPriority w:val="99"/>
    <w:unhideWhenUsed/>
    <w:rsid w:val="00B15D0D"/>
    <w:pPr>
      <w:tabs>
        <w:tab w:val="center" w:pos="4536"/>
        <w:tab w:val="right" w:pos="9072"/>
      </w:tabs>
      <w:spacing w:after="0" w:line="240" w:lineRule="auto"/>
    </w:pPr>
  </w:style>
  <w:style w:type="character" w:customStyle="1" w:styleId="En-tteCar">
    <w:name w:val="En-tête Car"/>
    <w:basedOn w:val="Policepardfaut"/>
    <w:link w:val="En-tte"/>
    <w:uiPriority w:val="99"/>
    <w:rsid w:val="00B15D0D"/>
  </w:style>
  <w:style w:type="paragraph" w:styleId="Pieddepage">
    <w:name w:val="footer"/>
    <w:basedOn w:val="Normal"/>
    <w:link w:val="PieddepageCar"/>
    <w:uiPriority w:val="99"/>
    <w:unhideWhenUsed/>
    <w:rsid w:val="00B15D0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15D0D"/>
  </w:style>
  <w:style w:type="paragraph" w:customStyle="1" w:styleId="somm30">
    <w:name w:val="somm 3 0"/>
    <w:link w:val="somm30Car"/>
    <w:rsid w:val="00525033"/>
    <w:pPr>
      <w:tabs>
        <w:tab w:val="left" w:pos="432"/>
      </w:tabs>
      <w:spacing w:after="0" w:line="240" w:lineRule="auto"/>
      <w:ind w:left="432" w:hanging="432"/>
      <w:jc w:val="both"/>
    </w:pPr>
    <w:rPr>
      <w:rFonts w:ascii="Tms Rmn" w:eastAsia="Times New Roman" w:hAnsi="Tms Rmn" w:cs="Times New Roman"/>
      <w:sz w:val="24"/>
      <w:szCs w:val="20"/>
      <w:lang w:val="fr-FR" w:eastAsia="fr-FR"/>
    </w:rPr>
  </w:style>
  <w:style w:type="character" w:styleId="Lienhypertexte">
    <w:name w:val="Hyperlink"/>
    <w:rsid w:val="00525033"/>
    <w:rPr>
      <w:color w:val="0000FF"/>
      <w:u w:val="single"/>
    </w:rPr>
  </w:style>
  <w:style w:type="character" w:customStyle="1" w:styleId="somm30Car">
    <w:name w:val="somm 3 0 Car"/>
    <w:link w:val="somm30"/>
    <w:rsid w:val="00525033"/>
    <w:rPr>
      <w:rFonts w:ascii="Tms Rmn" w:eastAsia="Times New Roman" w:hAnsi="Tms Rmn" w:cs="Times New Roman"/>
      <w:sz w:val="24"/>
      <w:szCs w:val="20"/>
      <w:lang w:val="fr-FR" w:eastAsia="fr-FR"/>
    </w:rPr>
  </w:style>
  <w:style w:type="paragraph" w:styleId="PrformatHTML">
    <w:name w:val="HTML Preformatted"/>
    <w:basedOn w:val="Normal"/>
    <w:link w:val="PrformatHTMLCar"/>
    <w:uiPriority w:val="99"/>
    <w:unhideWhenUsed/>
    <w:rsid w:val="00152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CL" w:eastAsia="es-CL"/>
    </w:rPr>
  </w:style>
  <w:style w:type="character" w:customStyle="1" w:styleId="PrformatHTMLCar">
    <w:name w:val="Préformaté HTML Car"/>
    <w:basedOn w:val="Policepardfaut"/>
    <w:link w:val="PrformatHTML"/>
    <w:uiPriority w:val="99"/>
    <w:rsid w:val="00152175"/>
    <w:rPr>
      <w:rFonts w:ascii="Courier New" w:eastAsia="Times New Roman" w:hAnsi="Courier New" w:cs="Courier New"/>
      <w:sz w:val="20"/>
      <w:szCs w:val="20"/>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dl.handle.net/2268/268128" TargetMode="External"/><Relationship Id="rId3" Type="http://schemas.openxmlformats.org/officeDocument/2006/relationships/webSettings" Target="webSettings.xml"/><Relationship Id="rId7" Type="http://schemas.openxmlformats.org/officeDocument/2006/relationships/hyperlink" Target="http://hdl.handle.net/2268/17349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hdl.handle.net/2268/1012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809</Words>
  <Characters>4453</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d.leclercq@uliege.be</dc:creator>
  <cp:keywords/>
  <dc:description/>
  <cp:lastModifiedBy>Dieudo</cp:lastModifiedBy>
  <cp:revision>15</cp:revision>
  <dcterms:created xsi:type="dcterms:W3CDTF">2020-04-13T09:21:00Z</dcterms:created>
  <dcterms:modified xsi:type="dcterms:W3CDTF">2023-05-06T09:46:00Z</dcterms:modified>
</cp:coreProperties>
</file>