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B0E2" w14:textId="77777777" w:rsidR="006D0586" w:rsidRPr="006D0586" w:rsidRDefault="006D0586" w:rsidP="006D0586">
      <w:pPr>
        <w:rPr>
          <w:rStyle w:val="BookTitle"/>
          <w:bCs w:val="0"/>
          <w:spacing w:val="0"/>
          <w:sz w:val="36"/>
        </w:rPr>
      </w:pPr>
      <w:r w:rsidRPr="006D0586">
        <w:rPr>
          <w:rStyle w:val="BookTitle"/>
          <w:bCs w:val="0"/>
          <w:spacing w:val="0"/>
          <w:sz w:val="36"/>
        </w:rPr>
        <w:t>Exploring different high</w:t>
      </w:r>
      <w:r w:rsidRPr="006D0586">
        <w:rPr>
          <w:rStyle w:val="BookTitle"/>
          <w:rFonts w:ascii="Cambria Math" w:hAnsi="Cambria Math" w:cs="Cambria Math"/>
          <w:bCs w:val="0"/>
          <w:spacing w:val="0"/>
          <w:sz w:val="36"/>
        </w:rPr>
        <w:t>‑</w:t>
      </w:r>
      <w:r w:rsidRPr="006D0586">
        <w:rPr>
          <w:rStyle w:val="BookTitle"/>
          <w:bCs w:val="0"/>
          <w:spacing w:val="0"/>
          <w:sz w:val="36"/>
        </w:rPr>
        <w:t>capacity tools and extraction modes</w:t>
      </w:r>
    </w:p>
    <w:p w14:paraId="0880F689" w14:textId="6FA095CD" w:rsidR="00737CFB" w:rsidRDefault="006D0586" w:rsidP="006D0586">
      <w:pPr>
        <w:rPr>
          <w:rStyle w:val="BookTitle"/>
          <w:bCs w:val="0"/>
          <w:spacing w:val="0"/>
          <w:sz w:val="36"/>
        </w:rPr>
      </w:pPr>
      <w:r w:rsidRPr="006D0586">
        <w:rPr>
          <w:rStyle w:val="BookTitle"/>
          <w:bCs w:val="0"/>
          <w:spacing w:val="0"/>
          <w:sz w:val="36"/>
        </w:rPr>
        <w:t>to characterize the aroma of brewed coffee</w:t>
      </w:r>
    </w:p>
    <w:p w14:paraId="52BF926D" w14:textId="77777777" w:rsidR="006D0586" w:rsidRDefault="006D0586" w:rsidP="006D0586">
      <w:pPr>
        <w:rPr>
          <w:lang w:val="fr-BE"/>
        </w:rPr>
      </w:pPr>
    </w:p>
    <w:p w14:paraId="22B6A364" w14:textId="0129D97C" w:rsidR="006D0586" w:rsidRDefault="006D0586" w:rsidP="006D0586">
      <w:pPr>
        <w:rPr>
          <w:lang w:val="fr-BE"/>
        </w:rPr>
      </w:pPr>
      <w:r w:rsidRPr="006D0586">
        <w:rPr>
          <w:lang w:val="fr-BE"/>
        </w:rPr>
        <w:t>Damien Eggermont1 · Natasha Damiana Spadafora2 · Juan Aspromonte3 · Rocío Pellegrino3 · Giorgia Purcaro</w:t>
      </w:r>
      <w:r>
        <w:rPr>
          <w:lang w:val="fr-BE"/>
        </w:rPr>
        <w:t>1</w:t>
      </w:r>
    </w:p>
    <w:p w14:paraId="0DE98E3A" w14:textId="1D2EB981" w:rsidR="006D0586" w:rsidRPr="006D0586" w:rsidRDefault="006D0586" w:rsidP="006D0586">
      <w:pPr>
        <w:pStyle w:val="Affiliation"/>
        <w:numPr>
          <w:ilvl w:val="0"/>
          <w:numId w:val="5"/>
        </w:numPr>
        <w:rPr>
          <w:lang w:val="en-GB"/>
        </w:rPr>
      </w:pPr>
      <w:r w:rsidRPr="006D0586">
        <w:rPr>
          <w:lang w:val="en-GB"/>
        </w:rPr>
        <w:t>Gembloux Agro-Bio Tech, University of Liege, Bat. G1</w:t>
      </w:r>
      <w:r>
        <w:rPr>
          <w:lang w:val="en-GB"/>
        </w:rPr>
        <w:t xml:space="preserve"> </w:t>
      </w:r>
      <w:r w:rsidRPr="006D0586">
        <w:rPr>
          <w:lang w:val="en-GB"/>
        </w:rPr>
        <w:t xml:space="preserve">Chimie </w:t>
      </w:r>
      <w:proofErr w:type="gramStart"/>
      <w:r w:rsidRPr="006D0586">
        <w:rPr>
          <w:lang w:val="en-GB"/>
        </w:rPr>
        <w:t>Des</w:t>
      </w:r>
      <w:proofErr w:type="gramEnd"/>
      <w:r w:rsidRPr="006D0586">
        <w:rPr>
          <w:lang w:val="en-GB"/>
        </w:rPr>
        <w:t xml:space="preserve"> Agro</w:t>
      </w:r>
      <w:r w:rsidRPr="006D0586">
        <w:rPr>
          <w:rFonts w:ascii="Cambria Math" w:hAnsi="Cambria Math" w:cs="Cambria Math"/>
          <w:lang w:val="en-GB"/>
        </w:rPr>
        <w:t>‑</w:t>
      </w:r>
      <w:r w:rsidRPr="006D0586">
        <w:rPr>
          <w:lang w:val="en-GB"/>
        </w:rPr>
        <w:t>Biosystemes, Passage Des Deportes 2,</w:t>
      </w:r>
      <w:r>
        <w:rPr>
          <w:lang w:val="en-GB"/>
        </w:rPr>
        <w:t xml:space="preserve"> </w:t>
      </w:r>
      <w:r w:rsidRPr="006D0586">
        <w:rPr>
          <w:lang w:val="en-GB"/>
        </w:rPr>
        <w:t>5030 Gembloux, Belgium</w:t>
      </w:r>
    </w:p>
    <w:p w14:paraId="6AFE3E24" w14:textId="36EFD1A1" w:rsidR="006D0586" w:rsidRPr="006D0586" w:rsidRDefault="006D0586" w:rsidP="006D0586">
      <w:pPr>
        <w:pStyle w:val="Affiliation"/>
        <w:numPr>
          <w:ilvl w:val="0"/>
          <w:numId w:val="5"/>
        </w:numPr>
        <w:rPr>
          <w:lang w:val="en-GB"/>
        </w:rPr>
      </w:pPr>
      <w:r w:rsidRPr="006D0586">
        <w:rPr>
          <w:lang w:val="en-GB"/>
        </w:rPr>
        <w:t>Department of Chemical, Pharmaceutical and Agricultural</w:t>
      </w:r>
      <w:r>
        <w:rPr>
          <w:lang w:val="en-GB"/>
        </w:rPr>
        <w:t xml:space="preserve"> </w:t>
      </w:r>
      <w:r w:rsidRPr="006D0586">
        <w:rPr>
          <w:lang w:val="en-GB"/>
        </w:rPr>
        <w:t>Sciences, University of Ferrara, 44121 Ferrara, Italy</w:t>
      </w:r>
    </w:p>
    <w:p w14:paraId="567EAC5A" w14:textId="1082BC13" w:rsidR="00737CFB" w:rsidRPr="000E0E80" w:rsidRDefault="006D0586" w:rsidP="00447930">
      <w:pPr>
        <w:pStyle w:val="Affiliation"/>
        <w:numPr>
          <w:ilvl w:val="0"/>
          <w:numId w:val="5"/>
        </w:numPr>
      </w:pPr>
      <w:r w:rsidRPr="006D0586">
        <w:rPr>
          <w:lang w:val="en-GB"/>
        </w:rPr>
        <w:t>Laboratorio de Investigacion Y Desarrollo de Metodos</w:t>
      </w:r>
      <w:r w:rsidRPr="006D0586">
        <w:rPr>
          <w:lang w:val="en-GB"/>
        </w:rPr>
        <w:t xml:space="preserve"> </w:t>
      </w:r>
      <w:r w:rsidRPr="006D0586">
        <w:rPr>
          <w:lang w:val="en-GB"/>
        </w:rPr>
        <w:t>Analiticos, LIDMA, Facultad de Ciencias Exactas</w:t>
      </w:r>
      <w:r>
        <w:rPr>
          <w:lang w:val="en-GB"/>
        </w:rPr>
        <w:t xml:space="preserve"> </w:t>
      </w:r>
      <w:r w:rsidRPr="006D0586">
        <w:rPr>
          <w:lang w:val="en-GB"/>
        </w:rPr>
        <w:t>(Universidad Nacional de La Plata, CIC-PBA, CONICET),</w:t>
      </w:r>
      <w:r w:rsidRPr="006D0586">
        <w:rPr>
          <w:lang w:val="en-GB"/>
        </w:rPr>
        <w:t xml:space="preserve"> </w:t>
      </w:r>
      <w:r w:rsidRPr="006D0586">
        <w:rPr>
          <w:lang w:val="en-GB"/>
        </w:rPr>
        <w:t>1900 La Plata, Argentina</w:t>
      </w:r>
    </w:p>
    <w:p w14:paraId="54A6D694" w14:textId="77777777" w:rsidR="00737CFB" w:rsidRPr="00737CFB" w:rsidRDefault="00737CFB" w:rsidP="00737CFB">
      <w:pPr>
        <w:shd w:val="clear" w:color="auto" w:fill="FFFFFF"/>
        <w:rPr>
          <w:b/>
          <w:iCs/>
          <w:smallCaps/>
        </w:rPr>
      </w:pPr>
    </w:p>
    <w:p w14:paraId="1F82DC76" w14:textId="6E904D2F" w:rsidR="001B279E" w:rsidRPr="004235D5" w:rsidRDefault="001B279E" w:rsidP="006D0586">
      <w:pPr>
        <w:shd w:val="clear" w:color="auto" w:fill="FFFFFF"/>
        <w:rPr>
          <w:rFonts w:ascii="Arial" w:hAnsi="Arial" w:cs="Arial"/>
          <w:sz w:val="24"/>
          <w:szCs w:val="24"/>
        </w:rPr>
      </w:pPr>
      <w:r w:rsidRPr="004235D5">
        <w:rPr>
          <w:b/>
          <w:iCs/>
        </w:rPr>
        <w:t>Keywords:</w:t>
      </w:r>
      <w:r w:rsidRPr="004235D5">
        <w:rPr>
          <w:iCs/>
        </w:rPr>
        <w:t xml:space="preserve"> </w:t>
      </w:r>
      <w:r w:rsidR="006D0586" w:rsidRPr="006D0586">
        <w:rPr>
          <w:iCs/>
        </w:rPr>
        <w:t xml:space="preserve">High capacity (HC) HiSorb </w:t>
      </w:r>
      <w:proofErr w:type="gramStart"/>
      <w:r w:rsidR="006D0586" w:rsidRPr="006D0586">
        <w:rPr>
          <w:iCs/>
        </w:rPr>
        <w:t>Solid-phase</w:t>
      </w:r>
      <w:proofErr w:type="gramEnd"/>
      <w:r w:rsidR="006D0586" w:rsidRPr="006D0586">
        <w:rPr>
          <w:iCs/>
        </w:rPr>
        <w:t xml:space="preserve"> microextraction (SPME) Multi-cumulative trapping (MCT)</w:t>
      </w:r>
      <w:r w:rsidR="006D0586">
        <w:rPr>
          <w:iCs/>
        </w:rPr>
        <w:t xml:space="preserve"> </w:t>
      </w:r>
      <w:r w:rsidR="006D0586" w:rsidRPr="006D0586">
        <w:rPr>
          <w:iCs/>
        </w:rPr>
        <w:t>Multidimensional comprehensive gas chromatography (GC × GC) Coffee</w:t>
      </w:r>
    </w:p>
    <w:p w14:paraId="2EC8BD9F" w14:textId="7B4159DE" w:rsidR="00AF7D31" w:rsidRPr="00E75B05" w:rsidRDefault="001B279E" w:rsidP="00AF7D31">
      <w:pPr>
        <w:rPr>
          <w:b/>
          <w:lang w:val="fr-BE"/>
        </w:rPr>
      </w:pPr>
      <w:r w:rsidRPr="004235D5">
        <w:rPr>
          <w:b/>
          <w:lang w:val="fr-BE"/>
        </w:rPr>
        <w:t>Abstract</w:t>
      </w:r>
    </w:p>
    <w:p w14:paraId="3A98C48D" w14:textId="100732EE" w:rsidR="004A4A69" w:rsidRDefault="004A4A69" w:rsidP="004A4A69">
      <w:pPr>
        <w:spacing w:after="250"/>
        <w:ind w:left="8"/>
      </w:pPr>
      <w:r>
        <w:t xml:space="preserve">In the present work, the potential benefit of using multi-cumulative trapping headspace extraction was explored by comparing the results using solid-phase microextraction (SPME) coated with divinylbenzene/carboxen/polydimethylsiloxane and a probe-like tool coated with polydimethylsiloxane. The efficiency of a single 30-min extraction, already explored in previous work, was compared with that of multiple shorter extractions. We evaluated three different conditions, i.e., three repeated extractions for 10 min each from different sample vials (for both the probe-like tool and SPME) or from the same vial (for SPME) containing brewed coffee. The entire study was performed using comprehensive two-dimensional gas chromatography coupled with mass spectrometry. The two-dimensional plots were aligned and integrated using a tile-sum approach before any statistical analysis. A detailed comparison of all the tested conditions was performed on a set of 25 targeted compounds. Although a single 30-min extraction using the probe-like tool provided a significantly higher compound intensity than SPME single extraction, the use of multiple shorter extractions with SPME showed similar results. However, multiple extractions with the probe-like tool showed a greater increase in the number of extracted compounds. Furthermore, an untargeted </w:t>
      </w:r>
      <w:r w:rsidR="00DE5450">
        <w:t>cross sample</w:t>
      </w:r>
      <w:r>
        <w:t xml:space="preserve"> comparison was performed to evaluate the ability of the two tested tools and the different extraction procedures in differentiating between espresso-brewed coffee samples obtained from capsules made of different packaging materials (i.e., compostable capsules, aluminum capsules, aluminum multilayer pack). The highest explained variance was obtained using the probe-like tool and multiple extractions (91.6% compared to 83.9% of the single extraction); nevertheless, SPME multiple extractions showed similar results with 88.3% of variance explained.</w:t>
      </w:r>
    </w:p>
    <w:p w14:paraId="661F5699" w14:textId="77777777" w:rsidR="00AF7D31" w:rsidRDefault="00AF7D31" w:rsidP="00AF7D31"/>
    <w:p w14:paraId="5B4A239E" w14:textId="77777777" w:rsidR="00AF7D31" w:rsidRDefault="00AF7D31" w:rsidP="00AF7D31"/>
    <w:p w14:paraId="46453DCA" w14:textId="08340958" w:rsidR="00737CFB" w:rsidRDefault="00DE5450" w:rsidP="00AF7D31">
      <w:pPr>
        <w:pStyle w:val="Heading1"/>
      </w:pPr>
      <w:r>
        <w:lastRenderedPageBreak/>
        <w:t>Introduction</w:t>
      </w:r>
    </w:p>
    <w:p w14:paraId="7DDCF9C2" w14:textId="77777777" w:rsidR="00DE5450" w:rsidRDefault="00DE5450" w:rsidP="00DE5450">
      <w:pPr>
        <w:ind w:left="8"/>
      </w:pPr>
      <w:r>
        <w:t xml:space="preserve">Headspace (HS) analysis mediated </w:t>
      </w:r>
      <w:proofErr w:type="gramStart"/>
      <w:r>
        <w:t>by the use of</w:t>
      </w:r>
      <w:proofErr w:type="gramEnd"/>
      <w:r>
        <w:t xml:space="preserve"> high-capacity (HC) tools for the analysis of volatile and semi-volatile compounds is a highly explored technique in various fields of application such as clinical [</w:t>
      </w:r>
      <w:r>
        <w:rPr>
          <w:color w:val="0000FF"/>
        </w:rPr>
        <w:t>1</w:t>
      </w:r>
      <w:r>
        <w:t xml:space="preserve">, </w:t>
      </w:r>
      <w:r>
        <w:rPr>
          <w:color w:val="0000FF"/>
        </w:rPr>
        <w:t>2</w:t>
      </w:r>
      <w:r>
        <w:t>], environmental [</w:t>
      </w:r>
      <w:r>
        <w:rPr>
          <w:color w:val="0000FF"/>
        </w:rPr>
        <w:t>3</w:t>
      </w:r>
      <w:r>
        <w:t xml:space="preserve">, </w:t>
      </w:r>
      <w:r>
        <w:rPr>
          <w:color w:val="0000FF"/>
        </w:rPr>
        <w:t>4</w:t>
      </w:r>
      <w:r>
        <w:t>], and food [</w:t>
      </w:r>
      <w:r>
        <w:rPr>
          <w:color w:val="0000FF"/>
        </w:rPr>
        <w:t>5</w:t>
      </w:r>
      <w:r>
        <w:t>–</w:t>
      </w:r>
      <w:r>
        <w:rPr>
          <w:color w:val="0000FF"/>
        </w:rPr>
        <w:t>7</w:t>
      </w:r>
      <w:r>
        <w:t>]. In fact, HC tools are easy to use, solvent free, and, in some cases, easy to automate [</w:t>
      </w:r>
      <w:r>
        <w:rPr>
          <w:color w:val="0000FF"/>
        </w:rPr>
        <w:t>8</w:t>
      </w:r>
      <w:r>
        <w:t xml:space="preserve">]. Among the different HC techniques, </w:t>
      </w:r>
      <w:proofErr w:type="gramStart"/>
      <w:r>
        <w:t>solid-phase</w:t>
      </w:r>
      <w:proofErr w:type="gramEnd"/>
      <w:r>
        <w:t xml:space="preserve"> microextraction (SPME) is the most widely applied and the most versatile. Nevertheless, over the years, different HC tools have been developed, including stir-bar sorptive extraction (SBSE) [</w:t>
      </w:r>
      <w:r>
        <w:rPr>
          <w:color w:val="0000FF"/>
        </w:rPr>
        <w:t>9</w:t>
      </w:r>
      <w:r>
        <w:t>], SPME Arrow [</w:t>
      </w:r>
      <w:r>
        <w:rPr>
          <w:color w:val="0000FF"/>
        </w:rPr>
        <w:t>10</w:t>
      </w:r>
      <w:r>
        <w:t>–</w:t>
      </w:r>
      <w:r>
        <w:rPr>
          <w:color w:val="0000FF"/>
        </w:rPr>
        <w:t>13</w:t>
      </w:r>
      <w:r>
        <w:t>], a probe-like tool (commercially available with the name of HiSorb) [</w:t>
      </w:r>
      <w:r>
        <w:rPr>
          <w:color w:val="0000FF"/>
        </w:rPr>
        <w:t>14</w:t>
      </w:r>
      <w:r>
        <w:t xml:space="preserve">, </w:t>
      </w:r>
      <w:r>
        <w:rPr>
          <w:color w:val="0000FF"/>
        </w:rPr>
        <w:t>15</w:t>
      </w:r>
      <w:r>
        <w:t>], and thin-film solid-phase microextraction (TF-SPME) [</w:t>
      </w:r>
      <w:r>
        <w:rPr>
          <w:color w:val="0000FF"/>
        </w:rPr>
        <w:t>16</w:t>
      </w:r>
      <w:r>
        <w:t xml:space="preserve">]. The main difference among these HC tools is the sorbent volume, which is positively related to the extraction yield according to the equation </w:t>
      </w:r>
      <w:r>
        <w:rPr>
          <w:i/>
        </w:rPr>
        <w:t>R</w:t>
      </w:r>
      <w:r>
        <w:t xml:space="preserve"> = </w:t>
      </w:r>
      <w:r>
        <w:rPr>
          <w:i/>
        </w:rPr>
        <w:t>Eβ</w:t>
      </w:r>
      <w:r>
        <w:t xml:space="preserve">, where </w:t>
      </w:r>
      <w:r>
        <w:rPr>
          <w:i/>
        </w:rPr>
        <w:t>R</w:t>
      </w:r>
      <w:r>
        <w:t xml:space="preserve"> is the recovery, </w:t>
      </w:r>
      <w:r>
        <w:rPr>
          <w:i/>
        </w:rPr>
        <w:t>E</w:t>
      </w:r>
      <w:r>
        <w:t xml:space="preserve"> is the enrichment factor, and </w:t>
      </w:r>
      <w:r>
        <w:rPr>
          <w:i/>
        </w:rPr>
        <w:t>β</w:t>
      </w:r>
      <w:r>
        <w:t xml:space="preserve"> is the phase ratio (</w:t>
      </w:r>
      <w:r>
        <w:rPr>
          <w:i/>
        </w:rPr>
        <w:t>β</w:t>
      </w:r>
      <w:r>
        <w:t xml:space="preserve"> = </w:t>
      </w:r>
      <w:r>
        <w:rPr>
          <w:i/>
        </w:rPr>
        <w:t>V</w:t>
      </w:r>
      <w:r>
        <w:rPr>
          <w:vertAlign w:val="subscript"/>
        </w:rPr>
        <w:t>e</w:t>
      </w:r>
      <w:r>
        <w:t>/</w:t>
      </w:r>
      <w:r>
        <w:rPr>
          <w:i/>
        </w:rPr>
        <w:t>V</w:t>
      </w:r>
      <w:r>
        <w:rPr>
          <w:vertAlign w:val="subscript"/>
        </w:rPr>
        <w:t>s</w:t>
      </w:r>
      <w:r>
        <w:t xml:space="preserve">, where </w:t>
      </w:r>
      <w:r>
        <w:rPr>
          <w:i/>
        </w:rPr>
        <w:t>V</w:t>
      </w:r>
      <w:r>
        <w:rPr>
          <w:vertAlign w:val="subscript"/>
        </w:rPr>
        <w:t>e</w:t>
      </w:r>
      <w:r>
        <w:t xml:space="preserve"> is the volume of the extractant or sorbent and </w:t>
      </w:r>
      <w:r>
        <w:rPr>
          <w:i/>
        </w:rPr>
        <w:t>V</w:t>
      </w:r>
      <w:r>
        <w:rPr>
          <w:vertAlign w:val="subscript"/>
        </w:rPr>
        <w:t>s</w:t>
      </w:r>
      <w:r>
        <w:t xml:space="preserve"> the volume of the sample) [</w:t>
      </w:r>
      <w:r>
        <w:rPr>
          <w:color w:val="0000FF"/>
        </w:rPr>
        <w:t>17</w:t>
      </w:r>
      <w:r>
        <w:t>]. The sorbent volume of the different tools is around 0.6 µL for SPME (PDMS 100 µm), 24–126 µL for SBSE, 3.8–11.8 µL for SPME Arrow, 63 µL for HiSorb, and 40 µL for TF-SPME. The latter tool, along with a higher sorbent volume, has the advantage of a significantly higher surface-to-volume ratio leading to much faster extraction kinetics [</w:t>
      </w:r>
      <w:r>
        <w:rPr>
          <w:color w:val="0000FF"/>
        </w:rPr>
        <w:t>18</w:t>
      </w:r>
      <w:r>
        <w:t>]. Nevertheless, the two tools exhibiting the highest sorbent volume, i.e., SBSE and TF-SPME, are penalized by a lack of full automation.</w:t>
      </w:r>
    </w:p>
    <w:p w14:paraId="21668D00" w14:textId="77777777" w:rsidR="00DE5450" w:rsidRDefault="00DE5450" w:rsidP="00DE5450">
      <w:pPr>
        <w:ind w:left="-2" w:firstLine="227"/>
      </w:pPr>
      <w:r>
        <w:t xml:space="preserve">On the other hand, alternative approaches have been used to improve the extraction kinetics and the extraction yield of HS-HC. Besides the most </w:t>
      </w:r>
      <w:proofErr w:type="gramStart"/>
      <w:r>
        <w:t>classical</w:t>
      </w:r>
      <w:proofErr w:type="gramEnd"/>
      <w:r>
        <w:t xml:space="preserve"> approach of adjusting the stirring rate and extraction temperature, some attractive alternatives have been suggested. For instance, Psillakis et al. systematically investigated the use of reduced-pressure conditions, named Vac-HS, and formulated its underlying principle [</w:t>
      </w:r>
      <w:r>
        <w:rPr>
          <w:color w:val="0000FF"/>
        </w:rPr>
        <w:t>19</w:t>
      </w:r>
      <w:r>
        <w:t>–</w:t>
      </w:r>
      <w:r>
        <w:rPr>
          <w:color w:val="0000FF"/>
        </w:rPr>
        <w:t>23</w:t>
      </w:r>
      <w:r>
        <w:t>]. Another interesting approach is the use of multi-cumulative trapping (MCT). This approach was presented for the first time in 2000 by Lipinski and collaborators in direct-immersion SPME to enhance the sensitivity for the analysis of pesticides in water [</w:t>
      </w:r>
      <w:r>
        <w:rPr>
          <w:color w:val="0000FF"/>
        </w:rPr>
        <w:t>24</w:t>
      </w:r>
      <w:r>
        <w:t>]. Later, Chin et al. trapped multiple extractions using a cold trap at the head of the chromatographic column to increase the detection limit in GC-O for screening of wine aroma [</w:t>
      </w:r>
      <w:r>
        <w:rPr>
          <w:color w:val="0000FF"/>
        </w:rPr>
        <w:t>25</w:t>
      </w:r>
      <w:r>
        <w:t>]. More recently, the MCT-SPME technique has been successfully applied to discriminate between extra-virgin olive oil, virgin and lampante oil, and among different geographical origins [</w:t>
      </w:r>
      <w:r>
        <w:rPr>
          <w:color w:val="0000FF"/>
        </w:rPr>
        <w:t>26</w:t>
      </w:r>
      <w:r>
        <w:t>–</w:t>
      </w:r>
      <w:r>
        <w:rPr>
          <w:color w:val="0000FF"/>
        </w:rPr>
        <w:t>28</w:t>
      </w:r>
      <w:r>
        <w:t>]. When applying the MCT-SPME approach, multiple sequential extractions from the same vial (or different ones) are cumulated in a cryo-trap and then released together into the GC system. Similarly to vacuum SPME, MCT-SPME applied to a single vial significantly increased the extraction of the semi-volatile and more polar compounds [</w:t>
      </w:r>
      <w:r>
        <w:rPr>
          <w:color w:val="0000FF"/>
        </w:rPr>
        <w:t>27</w:t>
      </w:r>
      <w:r>
        <w:t>]. When working under non-saturated HS conditions, the first extraction reduces the amount of the most volatile analytes, positively changing the equilibrium toward the less volatile ones and reducing the displacement effect when adsorption sorbents are used (e.g., the DVB/CAR/PDMS coating used in the cited studies). This beneficial depletion of the most volatile compounds was reported as an interesting strategy also for the use of TF-SPME, coupling with different coatings [</w:t>
      </w:r>
      <w:r>
        <w:rPr>
          <w:color w:val="0000FF"/>
        </w:rPr>
        <w:t>29</w:t>
      </w:r>
      <w:r>
        <w:t>]. The increased extraction of less volatile compounds improved the discrimination capability for olive oil quality and authenticity by using a fingerprinting approach [</w:t>
      </w:r>
      <w:r>
        <w:rPr>
          <w:color w:val="0000FF"/>
        </w:rPr>
        <w:t>28</w:t>
      </w:r>
      <w:r>
        <w:t>].</w:t>
      </w:r>
    </w:p>
    <w:p w14:paraId="2C01F86D" w14:textId="763C06D9" w:rsidR="00737CFB" w:rsidRDefault="00DE5450" w:rsidP="00DE5450">
      <w:pPr>
        <w:rPr>
          <w:i/>
        </w:rPr>
      </w:pPr>
      <w:r>
        <w:t xml:space="preserve">The goal of this study is to explore the use of MCT using a HiSorb probe and compare its extraction performance with that of MCT-SPME for brewed coffee volatile characterization. The present work follows a previous one where HiSorb extraction conditions were optimized and the untargeted </w:t>
      </w:r>
      <w:r>
        <w:lastRenderedPageBreak/>
        <w:t>extraction yield was compared with that of the SPME coated with the same phase (PDMS) and another commonly used sorbent phase, namely, DVB/CAR/PDMS [</w:t>
      </w:r>
      <w:r>
        <w:rPr>
          <w:color w:val="0000FF"/>
        </w:rPr>
        <w:t>30</w:t>
      </w:r>
      <w:r>
        <w:t xml:space="preserve">]. </w:t>
      </w:r>
      <w:proofErr w:type="gramStart"/>
      <w:r>
        <w:t>The MCT</w:t>
      </w:r>
      <w:proofErr w:type="gramEnd"/>
      <w:r>
        <w:t xml:space="preserve"> or single-extraction approaches are applied to explore their potential in discriminating </w:t>
      </w:r>
      <w:proofErr w:type="gramStart"/>
      <w:r>
        <w:t>between</w:t>
      </w:r>
      <w:proofErr w:type="gramEnd"/>
      <w:r>
        <w:t xml:space="preserve"> brewed coffees obtained from different capsule materials. The results obtained using MCT in combination with HiSorb probes are compared with those obtained using SPME in MCT mode </w:t>
      </w:r>
      <w:proofErr w:type="gramStart"/>
      <w:r>
        <w:t>performed  from</w:t>
      </w:r>
      <w:proofErr w:type="gramEnd"/>
      <w:r>
        <w:t xml:space="preserve"> both multiple vials (MV) and a single vial (SV).</w:t>
      </w:r>
    </w:p>
    <w:p w14:paraId="51E451DF" w14:textId="77777777" w:rsidR="00DE5450" w:rsidRDefault="00DE5450" w:rsidP="00DE5450">
      <w:pPr>
        <w:pStyle w:val="Heading1"/>
        <w:ind w:left="8"/>
      </w:pPr>
      <w:r>
        <w:t>Materials and methods</w:t>
      </w:r>
    </w:p>
    <w:p w14:paraId="3F25A796" w14:textId="77777777" w:rsidR="00DE5450" w:rsidRDefault="00DE5450" w:rsidP="00DE5450">
      <w:pPr>
        <w:pStyle w:val="Heading2"/>
        <w:ind w:left="8"/>
      </w:pPr>
      <w:r>
        <w:t>Chemicals and reagents</w:t>
      </w:r>
    </w:p>
    <w:p w14:paraId="229AFB96" w14:textId="77777777" w:rsidR="00DE5450" w:rsidRDefault="00DE5450" w:rsidP="00DE5450">
      <w:pPr>
        <w:spacing w:after="327"/>
        <w:ind w:left="8"/>
      </w:pPr>
      <w:r>
        <w:t xml:space="preserve">n-Hexane and alkane </w:t>
      </w:r>
      <w:proofErr w:type="gramStart"/>
      <w:r>
        <w:t>mixture  (</w:t>
      </w:r>
      <w:proofErr w:type="gramEnd"/>
      <w:r>
        <w:t>C</w:t>
      </w:r>
      <w:r>
        <w:rPr>
          <w:vertAlign w:val="subscript"/>
        </w:rPr>
        <w:t>7</w:t>
      </w:r>
      <w:r>
        <w:t>–C</w:t>
      </w:r>
      <w:r>
        <w:rPr>
          <w:vertAlign w:val="subscript"/>
        </w:rPr>
        <w:t>30</w:t>
      </w:r>
      <w:r>
        <w:t>) were from MilliporeSigma® (USA). The alkane mixture was used for quality control of the instrument performance and to calculate the linear retention index (LRI) to support peak identification. The probe-like tool, commercially named HiSorb, was kindly provided by Markes International Ltd. (UK). It consisted of a probe coated with polydimethylsiloxane (PDMS) (H1-XXABC). SPME fibers coated with divinylbenzene/carboxen/polydimethylsiloxane (DVB/CAR/PDMS) df 50/30 µm/1 cm length were kindly provided by MilliporeSigma® (USA).</w:t>
      </w:r>
    </w:p>
    <w:p w14:paraId="2EB27805" w14:textId="77777777" w:rsidR="00DE5450" w:rsidRDefault="00DE5450" w:rsidP="00DE5450">
      <w:pPr>
        <w:pStyle w:val="Heading2"/>
        <w:ind w:left="8"/>
      </w:pPr>
      <w:r>
        <w:t>Coffee samples and brewing procedure</w:t>
      </w:r>
    </w:p>
    <w:p w14:paraId="0FB31915" w14:textId="77777777" w:rsidR="00DE5450" w:rsidRDefault="00DE5450" w:rsidP="00DE5450">
      <w:pPr>
        <w:ind w:left="8"/>
      </w:pPr>
      <w:r>
        <w:t>A local coffee roasting company, Charles Liégeois (Belgium), kindly provided us with 23 coffee samples, consisting of 11 aluminum-pack, 6 aluminum-capsule, and 6 compostable-capsule-packed coffee samples. For method optimization and preliminary comparison, a commercially available ground coffee sample (Arabica 100%) was prepared according to the Turkish method proposed by Bicchi et al. [</w:t>
      </w:r>
      <w:r>
        <w:rPr>
          <w:color w:val="0000FF"/>
        </w:rPr>
        <w:t>31</w:t>
      </w:r>
      <w:r>
        <w:t>] and treated as reported in [</w:t>
      </w:r>
      <w:r>
        <w:rPr>
          <w:color w:val="0000FF"/>
        </w:rPr>
        <w:t>30</w:t>
      </w:r>
      <w:r>
        <w:t>].</w:t>
      </w:r>
    </w:p>
    <w:p w14:paraId="64D5F61F" w14:textId="77777777" w:rsidR="00DE5450" w:rsidRDefault="00DE5450" w:rsidP="00DE5450">
      <w:pPr>
        <w:spacing w:after="327"/>
        <w:ind w:left="-2" w:firstLine="227"/>
      </w:pPr>
      <w:r>
        <w:t>The samples provided by the roasting company were prepared using a Nespresso Inissia coffee machine (De’Longhi Appliances S.r.l., Italy). For the coffee samples not already in capsules (named “pack” afterwards), a re-usable aluminum capsule was used to prepare the espresso using the amount of coffee determined in [</w:t>
      </w:r>
      <w:r>
        <w:rPr>
          <w:color w:val="0000FF"/>
        </w:rPr>
        <w:t>30</w:t>
      </w:r>
      <w:r>
        <w:t>].</w:t>
      </w:r>
    </w:p>
    <w:p w14:paraId="7F4FE5A4" w14:textId="77777777" w:rsidR="00DE5450" w:rsidRDefault="00DE5450" w:rsidP="00DE5450">
      <w:pPr>
        <w:pStyle w:val="Heading2"/>
        <w:ind w:left="8"/>
      </w:pPr>
      <w:r>
        <w:t>Headspace high</w:t>
      </w:r>
      <w:r>
        <w:rPr>
          <w:rFonts w:ascii="Cambria Math" w:hAnsi="Cambria Math" w:cs="Cambria Math"/>
        </w:rPr>
        <w:t>‑</w:t>
      </w:r>
      <w:r>
        <w:t>capacity multi</w:t>
      </w:r>
      <w:r>
        <w:rPr>
          <w:rFonts w:ascii="Cambria Math" w:hAnsi="Cambria Math" w:cs="Cambria Math"/>
        </w:rPr>
        <w:t>‑</w:t>
      </w:r>
      <w:r>
        <w:t>cumulative trapping extraction</w:t>
      </w:r>
    </w:p>
    <w:p w14:paraId="3729B160" w14:textId="77777777" w:rsidR="00DE5450" w:rsidRDefault="00DE5450" w:rsidP="00DE5450">
      <w:pPr>
        <w:ind w:left="8"/>
      </w:pPr>
      <w:r>
        <w:t>A Centri sample extraction and enrichment platform (Markes International Ltd., UK) was used for sample preparation. Extraction, either using HiSorb or SPME, was performed from a 20-mL vial where 1 mL of brewed coffee was added, following the procedure reported below. Triplicates were used for the MCT and tool comparison.</w:t>
      </w:r>
    </w:p>
    <w:p w14:paraId="55867FD3" w14:textId="77777777" w:rsidR="00DE5450" w:rsidRDefault="00DE5450" w:rsidP="00DE5450">
      <w:pPr>
        <w:pStyle w:val="Heading3"/>
        <w:ind w:left="8"/>
      </w:pPr>
      <w:r>
        <w:t>HiSorb probe extraction</w:t>
      </w:r>
    </w:p>
    <w:p w14:paraId="23E2943A" w14:textId="77777777" w:rsidR="00DE5450" w:rsidRDefault="00DE5450" w:rsidP="00DE5450">
      <w:pPr>
        <w:spacing w:after="498"/>
        <w:ind w:left="8"/>
      </w:pPr>
      <w:r>
        <w:t>HiSorb probes consisted of a PDMS extraction phase, and the extractions followed the previously optimized method [</w:t>
      </w:r>
      <w:r>
        <w:rPr>
          <w:color w:val="0000FF"/>
        </w:rPr>
        <w:t>30</w:t>
      </w:r>
      <w:r>
        <w:t xml:space="preserve">]. Briefly, samples were left to equilibrate for 20 min at 60 °C under agitation (350 rpm) before 30 min of extraction. The probes were dried under air flow before desorption at 270 </w:t>
      </w:r>
      <w:r>
        <w:lastRenderedPageBreak/>
        <w:t>°C for 10 min. The volatiles were focused on an electronically cooled trap (U-T12ME-2S, Markes International Ltd.) set at 0 °C before injection into the GC × GC system at 300 °C for 3 min.</w:t>
      </w:r>
    </w:p>
    <w:p w14:paraId="465D2EFD" w14:textId="77777777" w:rsidR="00DE5450" w:rsidRDefault="00DE5450" w:rsidP="00DE5450">
      <w:pPr>
        <w:pStyle w:val="Heading3"/>
        <w:ind w:left="8"/>
      </w:pPr>
      <w:r>
        <w:t>SPME extraction</w:t>
      </w:r>
    </w:p>
    <w:p w14:paraId="7FE08968" w14:textId="77777777" w:rsidR="00DE5450" w:rsidRDefault="00DE5450" w:rsidP="00DE5450">
      <w:pPr>
        <w:spacing w:after="498"/>
        <w:ind w:left="8"/>
      </w:pPr>
      <w:r>
        <w:t xml:space="preserve">SPME fibers consisted of a DVB/CAR/PDMS phase and were pre-conditioned as recommended by the manufacturer for 30 min at 270 °C. The sample preparation and extraction procedures were the same as for HiSorb, except for the drying step, which was not applied for SPME. The SPME </w:t>
      </w:r>
      <w:proofErr w:type="gramStart"/>
      <w:r>
        <w:t>desorption</w:t>
      </w:r>
      <w:proofErr w:type="gramEnd"/>
      <w:r>
        <w:t xml:space="preserve"> was limited to 4 min, verifying the absence of carryover.</w:t>
      </w:r>
    </w:p>
    <w:p w14:paraId="64045164" w14:textId="77777777" w:rsidR="00DE5450" w:rsidRDefault="00DE5450" w:rsidP="00DE5450">
      <w:pPr>
        <w:pStyle w:val="Heading3"/>
        <w:ind w:left="8"/>
      </w:pPr>
      <w:r>
        <w:t>Multi</w:t>
      </w:r>
      <w:r>
        <w:rPr>
          <w:rFonts w:ascii="Cambria Math" w:hAnsi="Cambria Math" w:cs="Cambria Math"/>
        </w:rPr>
        <w:t>‑</w:t>
      </w:r>
      <w:r>
        <w:t>cumulative trapping</w:t>
      </w:r>
    </w:p>
    <w:p w14:paraId="14B357DA" w14:textId="77777777" w:rsidR="00DE5450" w:rsidRDefault="00DE5450" w:rsidP="00DE5450">
      <w:pPr>
        <w:ind w:left="8"/>
      </w:pPr>
      <w:r>
        <w:t>Multi-cumulative trapping extractions were achieved following two different approaches, namely SV-MCT (repeated extraction from the same vial) and MV-MCT (repeated extraction from different vials containing the same sample). In the first case, several extractions (as previously described) were performed on the same aliquot and trapped all together. In the latter, the extractions were performed on different aliquots of the same sample. The compounds extracted from each exposure step were desorbed at 270 °C in the injector and re-trapped on an electrically cooled focusing trap (U-T12ME-2S, Markes International Ltd.) set at 0 °C. The focusing trap was then heated up at 300 °C to inject the sum of all extractions at once.</w:t>
      </w:r>
    </w:p>
    <w:p w14:paraId="3F3DF699" w14:textId="77777777" w:rsidR="00DE5450" w:rsidRDefault="00DE5450" w:rsidP="00DE5450">
      <w:pPr>
        <w:ind w:left="-2" w:firstLine="227"/>
      </w:pPr>
      <w:r>
        <w:t>SPME fibers can use both MV and SV-MCT approaches since the pierced septum does not exhibit loss of sealing capacity for several subsequent septum piercings (tested up to 6). In the present work, 5 min of enrichment delay was used before performing a new extraction from the same vial, as reported by Mascrez and Purcaro [</w:t>
      </w:r>
      <w:r>
        <w:rPr>
          <w:color w:val="0000FF"/>
        </w:rPr>
        <w:t>26</w:t>
      </w:r>
      <w:r>
        <w:t>]. Regarding HiSorb, the size of the probe does not allow for a re-sealing of the septum and the instrument was not equipped with a re-cap tool. Therefore, only the MV-MCT approach was used for extraction with HiSorb.</w:t>
      </w:r>
    </w:p>
    <w:p w14:paraId="472A3275" w14:textId="77777777" w:rsidR="00DE5450" w:rsidRDefault="00DE5450" w:rsidP="00DE5450">
      <w:pPr>
        <w:spacing w:after="250"/>
        <w:ind w:left="-2" w:firstLine="227"/>
      </w:pPr>
      <w:r>
        <w:t>The results obtained using three extractions of 10 min (3 × 10 min) in MV (HiSorb and SPME) and SV (SPME only) for the MCT approach were compared with the previously obtained optimal single extraction of 30 min using a HiSorb probe.</w:t>
      </w:r>
    </w:p>
    <w:p w14:paraId="38DE9B67" w14:textId="77777777" w:rsidR="00DE5450" w:rsidRDefault="00DE5450" w:rsidP="00DE5450">
      <w:pPr>
        <w:pStyle w:val="Heading3"/>
        <w:spacing w:after="210"/>
      </w:pPr>
      <w:r>
        <w:rPr>
          <w:i/>
          <w:sz w:val="22"/>
        </w:rPr>
        <w:t>GC</w:t>
      </w:r>
      <w:r>
        <w:rPr>
          <w:sz w:val="22"/>
        </w:rPr>
        <w:t xml:space="preserve"> × </w:t>
      </w:r>
      <w:r>
        <w:rPr>
          <w:i/>
          <w:sz w:val="22"/>
        </w:rPr>
        <w:t>GC</w:t>
      </w:r>
      <w:r>
        <w:rPr>
          <w:rFonts w:ascii="Cambria Math" w:hAnsi="Cambria Math" w:cs="Cambria Math"/>
          <w:i/>
          <w:sz w:val="22"/>
        </w:rPr>
        <w:t>‑</w:t>
      </w:r>
      <w:r>
        <w:rPr>
          <w:i/>
          <w:sz w:val="22"/>
        </w:rPr>
        <w:t>qMS analysis</w:t>
      </w:r>
    </w:p>
    <w:p w14:paraId="339DB213" w14:textId="7593244E" w:rsidR="00DE5450" w:rsidRDefault="00DE5450" w:rsidP="00DE5450">
      <w:pPr>
        <w:ind w:left="8"/>
      </w:pPr>
      <w:r>
        <w:t>All the samples were analyzed in a Shimadzu GCMSTQ8050 NX (Shimadzu, Germany), consisting of a GC-2030 and triple-quadrupole mass spectrometer detector (TQ-MS). The system was upgraded to a comprehensive multidimensional system using an INSIGHT differential flow modulator (SepSolve Analytical Ltd., UK).</w:t>
      </w:r>
      <w:r>
        <w:t xml:space="preserve"> </w:t>
      </w:r>
      <w:r>
        <w:t>The first-dimension column (</w:t>
      </w:r>
      <w:r>
        <w:rPr>
          <w:vertAlign w:val="superscript"/>
        </w:rPr>
        <w:t>1</w:t>
      </w:r>
      <w:r>
        <w:t xml:space="preserve">D) was a 20 m × 0.18 mm i.d. × 0.18 µm SLB-5MS silphenylene polymer capillary column (practically equivalent in polarity to </w:t>
      </w:r>
      <w:proofErr w:type="gramStart"/>
      <w:r>
        <w:t>poly(</w:t>
      </w:r>
      <w:proofErr w:type="gramEnd"/>
      <w:r>
        <w:t>5% diphenyl/95% methylsiloxane)), kindly donated by MilliporeSigma (USA). The second-dimension column (</w:t>
      </w:r>
      <w:r>
        <w:rPr>
          <w:vertAlign w:val="superscript"/>
        </w:rPr>
        <w:t>2</w:t>
      </w:r>
      <w:r>
        <w:t xml:space="preserve">D) was an SLB-50 (MilliporeSigma, 5 m × 0.25 mm i.d. × 0.25 µm) equivalent to 50% phenylpolysilphenylene-50% siloxane. The eluent of the second column was diverted into the MS and a VUV detector (VGA-101, VUV Analytics, USA) with a ratio corresponding to 41% and 59%, respectively. The splitting was obtained by connecting the outlet of the second column to two uncoated capillaries, i.e., 1.1 m × 0.18 </w:t>
      </w:r>
      <w:r>
        <w:lastRenderedPageBreak/>
        <w:t xml:space="preserve">mm i.d. connected to the MS and a 20 cm × 0.25 mm i.d. to the VUV detector (data not used in this study). The splitting of the flow before entering the MS detector is anyway needed to have a flow rate compatible with the MS detector. The GC temperature program was 40 °C (held 5 min) increased to 280 °C at 6 °C/min. The carrier gas was helium. The flow was regulated through the programmed pressure mode both at the inlet and the auxiliary pressure-controlled module (to regulate the </w:t>
      </w:r>
      <w:r>
        <w:rPr>
          <w:vertAlign w:val="superscript"/>
        </w:rPr>
        <w:t>2</w:t>
      </w:r>
      <w:r>
        <w:t xml:space="preserve">D column flow), to generate 0.6 mL/ min in the </w:t>
      </w:r>
      <w:r>
        <w:rPr>
          <w:vertAlign w:val="superscript"/>
        </w:rPr>
        <w:t>1</w:t>
      </w:r>
      <w:r>
        <w:t xml:space="preserve">D column and 16 mL/min in the </w:t>
      </w:r>
      <w:r>
        <w:rPr>
          <w:vertAlign w:val="superscript"/>
        </w:rPr>
        <w:t>2</w:t>
      </w:r>
      <w:r>
        <w:t>D column. A 1 m × 0.1 mm i.d. bleeding line from the reversed fill/flush modulator was connected to an auxiliary pressure controlled to generate a 0.6 mL/min flow. Modulation time of 3.5 s was used, including 100 ms of reinjection.</w:t>
      </w:r>
    </w:p>
    <w:p w14:paraId="43C563B6" w14:textId="77777777" w:rsidR="00DE5450" w:rsidRDefault="00DE5450" w:rsidP="00DE5450">
      <w:pPr>
        <w:ind w:left="-2" w:firstLine="227"/>
      </w:pPr>
      <w:r>
        <w:t>The TQ-MS was used in single-quadrupole mode, setting the electron ionization (EI) at 70 eV. The ion source and transfer line temperatures were 200 °C and 280 °C, respectively. The scan range was set from 45 to 350 m</w:t>
      </w:r>
      <w:r>
        <w:rPr>
          <w:i/>
        </w:rPr>
        <w:t>/z</w:t>
      </w:r>
      <w:r>
        <w:t>, with an acquisition frequency of 50 Hz.</w:t>
      </w:r>
    </w:p>
    <w:p w14:paraId="068F0AAC" w14:textId="77777777" w:rsidR="00DE5450" w:rsidRDefault="00DE5450" w:rsidP="00DE5450">
      <w:pPr>
        <w:spacing w:after="248"/>
        <w:ind w:left="-2" w:firstLine="227"/>
      </w:pPr>
      <w:r>
        <w:t>Data were acquired using Shimadzu GCMSolution version 4.45 from Shimadzu.</w:t>
      </w:r>
    </w:p>
    <w:p w14:paraId="38991BE3" w14:textId="77777777" w:rsidR="00DE5450" w:rsidRDefault="00DE5450" w:rsidP="00DE5450">
      <w:pPr>
        <w:pStyle w:val="Heading2"/>
        <w:ind w:left="8"/>
      </w:pPr>
      <w:r>
        <w:t>Data treatment and statistical analysis</w:t>
      </w:r>
    </w:p>
    <w:p w14:paraId="64CF9E2B" w14:textId="77777777" w:rsidR="00DE5450" w:rsidRDefault="00DE5450" w:rsidP="00DE5450">
      <w:pPr>
        <w:spacing w:after="234"/>
        <w:ind w:left="8"/>
      </w:pPr>
      <w:r>
        <w:t xml:space="preserve">The ChromCompare + software version 2.1.4 (SepSolve Analytical Ltd., UK) was used for data elaboration after a careful alignment based on the </w:t>
      </w:r>
      <w:r>
        <w:rPr>
          <w:vertAlign w:val="superscript"/>
        </w:rPr>
        <w:t>1</w:t>
      </w:r>
      <w:r>
        <w:t xml:space="preserve">D and </w:t>
      </w:r>
      <w:r>
        <w:rPr>
          <w:vertAlign w:val="superscript"/>
        </w:rPr>
        <w:t>2</w:t>
      </w:r>
      <w:r>
        <w:t xml:space="preserve">D retention time and the spectral information. A dynamic background compensation (DBC) based on a peak width of 0.6 s was applied before the untargeted tile-based approach. A tile size of 5 modulations (18 s) in </w:t>
      </w:r>
      <w:r>
        <w:rPr>
          <w:vertAlign w:val="superscript"/>
        </w:rPr>
        <w:t>1</w:t>
      </w:r>
      <w:r>
        <w:t xml:space="preserve">D and of 1.2 s in </w:t>
      </w:r>
      <w:r>
        <w:rPr>
          <w:vertAlign w:val="superscript"/>
        </w:rPr>
        <w:t>2</w:t>
      </w:r>
      <w:r>
        <w:t>D with 25% overlap was applied. Artifacts and siloxane were removed by a careful comparison with blank samples.</w:t>
      </w:r>
    </w:p>
    <w:p w14:paraId="0BF3B523" w14:textId="77777777" w:rsidR="00DE5450" w:rsidRDefault="00DE5450" w:rsidP="00DE5450">
      <w:pPr>
        <w:pStyle w:val="Heading3"/>
        <w:ind w:left="8"/>
      </w:pPr>
      <w:r>
        <w:t>Chromatographic integration and VOC identification</w:t>
      </w:r>
    </w:p>
    <w:p w14:paraId="1F78A734" w14:textId="77777777" w:rsidR="00DE5450" w:rsidRDefault="00DE5450" w:rsidP="00DE5450">
      <w:pPr>
        <w:spacing w:after="248"/>
        <w:ind w:left="8"/>
      </w:pPr>
      <w:r>
        <w:t>Chromatograms of the samples were integrated after a DBC pretreatment via ChromSpace GC × GC data processing software (SepSolve Analytical, Peterborough, UK</w:t>
      </w:r>
      <w:proofErr w:type="gramStart"/>
      <w:r>
        <w:t>), and</w:t>
      </w:r>
      <w:proofErr w:type="gramEnd"/>
      <w:r>
        <w:t xml:space="preserve"> incorporated within the ChromCompare + analytical software. Significant compounds were putatively identified based on the NIST17 library similarity ≥ 75% and supported with the experimental linear retention index (LRI) within a ± 30 range compared to the LRI reported on the NIST17 library.</w:t>
      </w:r>
    </w:p>
    <w:p w14:paraId="72B34529" w14:textId="77777777" w:rsidR="00DE5450" w:rsidRDefault="00DE5450" w:rsidP="00DE5450">
      <w:pPr>
        <w:pStyle w:val="Heading3"/>
        <w:ind w:left="8"/>
      </w:pPr>
      <w:r>
        <w:t>Exploratory classification of the samples</w:t>
      </w:r>
    </w:p>
    <w:p w14:paraId="62713CD7" w14:textId="77777777" w:rsidR="00DE5450" w:rsidRDefault="00DE5450" w:rsidP="00DE5450">
      <w:r>
        <w:t>The probabilistic quotient normalization (PQN) [</w:t>
      </w:r>
      <w:r>
        <w:rPr>
          <w:color w:val="0000FF"/>
        </w:rPr>
        <w:t>32</w:t>
      </w:r>
      <w:r>
        <w:t xml:space="preserve">] and a logarithmic transformation were applied </w:t>
      </w:r>
      <w:proofErr w:type="gramStart"/>
      <w:r>
        <w:t>in order to</w:t>
      </w:r>
      <w:proofErr w:type="gramEnd"/>
      <w:r>
        <w:t xml:space="preserve"> make the distribution of the variables closer to normal [</w:t>
      </w:r>
      <w:r>
        <w:rPr>
          <w:color w:val="0000FF"/>
        </w:rPr>
        <w:t>33</w:t>
      </w:r>
      <w:r>
        <w:t xml:space="preserve">, </w:t>
      </w:r>
      <w:r>
        <w:rPr>
          <w:color w:val="0000FF"/>
        </w:rPr>
        <w:t>34</w:t>
      </w:r>
      <w:r>
        <w:t>]. A data reduction based on random forest (RF) was performed using 100 repetitions of 10 decision trees with 15 randomly presented samples and half of the whole features randomly picked presented at each tree with an error threshold of 0.2. The top 30 most significant features were selected. In summary, a data matrix of size 30 × 23 (features × samples) was obtained for each of the methods applied and saved in ASCII format for visualization and further analysis.</w:t>
      </w:r>
    </w:p>
    <w:p w14:paraId="2D37E331" w14:textId="5F5BC4FB" w:rsidR="00DE5450" w:rsidRDefault="00DE5450" w:rsidP="00DE5450">
      <w:r>
        <w:t xml:space="preserve">Principal component analysis (PCA) was applied to all three feature reduced datasets (single-extraction HiSorb, MCT-HiSorb, and MCT-SPME-SV), </w:t>
      </w:r>
      <w:proofErr w:type="gramStart"/>
      <w:r>
        <w:t>in order to</w:t>
      </w:r>
      <w:proofErr w:type="gramEnd"/>
      <w:r>
        <w:t xml:space="preserve"> explore the classification of the coffee samples based on the type of packaging, that is, aluminum-capsule packed, compostable</w:t>
      </w:r>
      <w:r>
        <w:t xml:space="preserve"> </w:t>
      </w:r>
      <w:r>
        <w:t xml:space="preserve">capsule packed, and </w:t>
      </w:r>
      <w:r>
        <w:lastRenderedPageBreak/>
        <w:t>multilayer aluminum pack. Score plots were constructed using the first three principal components (PC).</w:t>
      </w:r>
    </w:p>
    <w:p w14:paraId="1228A356" w14:textId="77777777" w:rsidR="00DE5450" w:rsidRDefault="00DE5450" w:rsidP="00DE5450">
      <w:pPr>
        <w:pStyle w:val="Heading3"/>
        <w:ind w:left="8"/>
      </w:pPr>
      <w:r>
        <w:t>Further statistical analysis</w:t>
      </w:r>
    </w:p>
    <w:p w14:paraId="62A43993" w14:textId="4C619693" w:rsidR="00341609" w:rsidRDefault="00DE5450" w:rsidP="00DE5450">
      <w:r>
        <w:t xml:space="preserve">Further statistical and visualization treatments were performed using Excel (Microsoft Office, version 2016), Minitab (Minitab LCC, version 19.2020.1), Morpheus </w:t>
      </w:r>
      <w:hyperlink r:id="rId8">
        <w:r>
          <w:t>(</w:t>
        </w:r>
      </w:hyperlink>
      <w:hyperlink r:id="rId9">
        <w:r>
          <w:rPr>
            <w:color w:val="0000FF"/>
          </w:rPr>
          <w:t>https://s oftware.b roa</w:t>
        </w:r>
      </w:hyperlink>
      <w:hyperlink r:id="rId10">
        <w:r>
          <w:rPr>
            <w:color w:val="0000FF"/>
          </w:rPr>
          <w:t xml:space="preserve"> </w:t>
        </w:r>
      </w:hyperlink>
      <w:hyperlink r:id="rId11">
        <w:r>
          <w:rPr>
            <w:color w:val="0000FF"/>
          </w:rPr>
          <w:t>dinstit ute</w:t>
        </w:r>
      </w:hyperlink>
      <w:hyperlink r:id="rId12">
        <w:r>
          <w:rPr>
            <w:color w:val="0000FF"/>
          </w:rPr>
          <w:t xml:space="preserve"> </w:t>
        </w:r>
      </w:hyperlink>
      <w:hyperlink r:id="rId13">
        <w:r>
          <w:rPr>
            <w:color w:val="0000FF"/>
          </w:rPr>
          <w:t>.org/m orp</w:t>
        </w:r>
      </w:hyperlink>
      <w:hyperlink r:id="rId14">
        <w:r>
          <w:rPr>
            <w:color w:val="0000FF"/>
          </w:rPr>
          <w:t xml:space="preserve"> </w:t>
        </w:r>
      </w:hyperlink>
      <w:hyperlink r:id="rId15">
        <w:r>
          <w:rPr>
            <w:color w:val="0000FF"/>
          </w:rPr>
          <w:t>heus</w:t>
        </w:r>
      </w:hyperlink>
      <w:hyperlink r:id="rId16">
        <w:r>
          <w:rPr>
            <w:color w:val="0000FF"/>
          </w:rPr>
          <w:t xml:space="preserve"> </w:t>
        </w:r>
      </w:hyperlink>
      <w:hyperlink r:id="rId17">
        <w:r>
          <w:rPr>
            <w:color w:val="0000FF"/>
          </w:rPr>
          <w:t>/</w:t>
        </w:r>
      </w:hyperlink>
      <w:hyperlink r:id="rId18">
        <w:r>
          <w:t>)</w:t>
        </w:r>
      </w:hyperlink>
      <w:r>
        <w:t>, and RStudio (RStudio PBC, version 1.4.1717, R version 4.1.0).</w:t>
      </w:r>
    </w:p>
    <w:p w14:paraId="7C38F3DA" w14:textId="77777777" w:rsidR="00DE5450" w:rsidRDefault="00DE5450" w:rsidP="000E38B2">
      <w:pPr>
        <w:pStyle w:val="Rfrencesarticle"/>
        <w:rPr>
          <w:rStyle w:val="SubtleEmphasis"/>
        </w:rPr>
      </w:pPr>
    </w:p>
    <w:p w14:paraId="5F32BEFD" w14:textId="12986A76" w:rsidR="00DE5450" w:rsidRDefault="00DE5450" w:rsidP="000E38B2">
      <w:pPr>
        <w:pStyle w:val="Rfrencesarticle"/>
        <w:rPr>
          <w:rStyle w:val="SubtleEmphasis"/>
        </w:rPr>
      </w:pPr>
      <w:r w:rsidRPr="00DE5450">
        <w:rPr>
          <w:rStyle w:val="SubtleEmphasis"/>
        </w:rPr>
        <w:t>Figure 1</w:t>
      </w:r>
    </w:p>
    <w:p w14:paraId="1FAC6D69" w14:textId="34EE2B2A" w:rsidR="00DE5450" w:rsidRDefault="00DE5450" w:rsidP="000E38B2">
      <w:pPr>
        <w:pStyle w:val="Rfrencesarticle"/>
        <w:rPr>
          <w:rStyle w:val="SubtleEmphasis"/>
        </w:rPr>
      </w:pPr>
      <w:r>
        <w:rPr>
          <w:noProof/>
        </w:rPr>
        <w:drawing>
          <wp:anchor distT="0" distB="0" distL="114300" distR="114300" simplePos="0" relativeHeight="251659264" behindDoc="0" locked="0" layoutInCell="1" allowOverlap="0" wp14:anchorId="2FFAB1D1" wp14:editId="1502CA7A">
            <wp:simplePos x="0" y="0"/>
            <wp:positionH relativeFrom="column">
              <wp:posOffset>0</wp:posOffset>
            </wp:positionH>
            <wp:positionV relativeFrom="paragraph">
              <wp:posOffset>251460</wp:posOffset>
            </wp:positionV>
            <wp:extent cx="4572000" cy="4565904"/>
            <wp:effectExtent l="0" t="0" r="0" b="0"/>
            <wp:wrapSquare wrapText="bothSides"/>
            <wp:docPr id="629" name="Picture 629" descr="A graph of different types of extractions&#10;&#10;AI-generated content may be incorrect."/>
            <wp:cNvGraphicFramePr/>
            <a:graphic xmlns:a="http://schemas.openxmlformats.org/drawingml/2006/main">
              <a:graphicData uri="http://schemas.openxmlformats.org/drawingml/2006/picture">
                <pic:pic xmlns:pic="http://schemas.openxmlformats.org/drawingml/2006/picture">
                  <pic:nvPicPr>
                    <pic:cNvPr id="629" name="Picture 629" descr="A graph of different types of extractions&#10;&#10;AI-generated content may be incorrect."/>
                    <pic:cNvPicPr/>
                  </pic:nvPicPr>
                  <pic:blipFill>
                    <a:blip r:embed="rId19"/>
                    <a:stretch>
                      <a:fillRect/>
                    </a:stretch>
                  </pic:blipFill>
                  <pic:spPr>
                    <a:xfrm>
                      <a:off x="0" y="0"/>
                      <a:ext cx="4572000" cy="4565904"/>
                    </a:xfrm>
                    <a:prstGeom prst="rect">
                      <a:avLst/>
                    </a:prstGeom>
                  </pic:spPr>
                </pic:pic>
              </a:graphicData>
            </a:graphic>
          </wp:anchor>
        </w:drawing>
      </w:r>
    </w:p>
    <w:p w14:paraId="551AB499" w14:textId="77777777" w:rsidR="00DE5450" w:rsidRPr="00DE5450" w:rsidRDefault="00DE5450" w:rsidP="00DE5450"/>
    <w:p w14:paraId="1AEF0681" w14:textId="77777777" w:rsidR="00DE5450" w:rsidRPr="00DE5450" w:rsidRDefault="00DE5450" w:rsidP="00DE5450"/>
    <w:p w14:paraId="50B85A3D" w14:textId="77777777" w:rsidR="00DE5450" w:rsidRPr="00DE5450" w:rsidRDefault="00DE5450" w:rsidP="00DE5450"/>
    <w:p w14:paraId="581F73F6" w14:textId="77777777" w:rsidR="00DE5450" w:rsidRPr="00DE5450" w:rsidRDefault="00DE5450" w:rsidP="00DE5450"/>
    <w:p w14:paraId="165BE119" w14:textId="77777777" w:rsidR="00DE5450" w:rsidRPr="00DE5450" w:rsidRDefault="00DE5450" w:rsidP="00DE5450"/>
    <w:p w14:paraId="22B89917" w14:textId="77777777" w:rsidR="00DE5450" w:rsidRPr="00DE5450" w:rsidRDefault="00DE5450" w:rsidP="00DE5450"/>
    <w:p w14:paraId="0A7E3742" w14:textId="77777777" w:rsidR="00DE5450" w:rsidRPr="00DE5450" w:rsidRDefault="00DE5450" w:rsidP="00DE5450"/>
    <w:p w14:paraId="42B8EF12" w14:textId="77777777" w:rsidR="00DE5450" w:rsidRPr="00DE5450" w:rsidRDefault="00DE5450" w:rsidP="00DE5450"/>
    <w:p w14:paraId="79B46EFA" w14:textId="77777777" w:rsidR="00DE5450" w:rsidRPr="00DE5450" w:rsidRDefault="00DE5450" w:rsidP="00DE5450"/>
    <w:p w14:paraId="50E485CE" w14:textId="77777777" w:rsidR="00DE5450" w:rsidRPr="00DE5450" w:rsidRDefault="00DE5450" w:rsidP="00DE5450"/>
    <w:p w14:paraId="6B91680B" w14:textId="77777777" w:rsidR="00DE5450" w:rsidRPr="00DE5450" w:rsidRDefault="00DE5450" w:rsidP="00DE5450"/>
    <w:p w14:paraId="018A9D09" w14:textId="77777777" w:rsidR="00DE5450" w:rsidRDefault="00DE5450" w:rsidP="00DE5450">
      <w:pPr>
        <w:rPr>
          <w:rStyle w:val="SubtleEmphasis"/>
          <w:sz w:val="20"/>
          <w:szCs w:val="20"/>
        </w:rPr>
      </w:pPr>
    </w:p>
    <w:p w14:paraId="34FDA439" w14:textId="77777777" w:rsidR="00DE5450" w:rsidRDefault="00DE5450" w:rsidP="00DE5450"/>
    <w:p w14:paraId="56C8323D" w14:textId="77777777" w:rsidR="00DE5450" w:rsidRDefault="00DE5450" w:rsidP="00DE5450"/>
    <w:p w14:paraId="75FF4C4D" w14:textId="77777777" w:rsidR="00DE5450" w:rsidRDefault="00DE5450" w:rsidP="00DE5450"/>
    <w:p w14:paraId="6CEB73F3" w14:textId="77777777" w:rsidR="00DE5450" w:rsidRDefault="00DE5450" w:rsidP="00DE5450"/>
    <w:p w14:paraId="76CCB66D" w14:textId="77777777" w:rsidR="00DE5450" w:rsidRDefault="00DE5450" w:rsidP="00DE5450"/>
    <w:p w14:paraId="012E80F2" w14:textId="77777777" w:rsidR="00DE5450" w:rsidRDefault="00DE5450" w:rsidP="00DE5450"/>
    <w:p w14:paraId="56B9E8F6" w14:textId="68AB3232" w:rsidR="00DE5450" w:rsidRDefault="00DE5450" w:rsidP="00DE5450">
      <w:r w:rsidRPr="00DE5450">
        <w:rPr>
          <w:b/>
          <w:bCs/>
        </w:rPr>
        <w:t xml:space="preserve">Fig. 1 </w:t>
      </w:r>
      <w:r>
        <w:t>Ratio of intensity obtained for 25 selected target compounds obtained with (A) MCT-HiSorb MV and (B</w:t>
      </w:r>
      <w:r>
        <w:t>) MCT-</w:t>
      </w:r>
      <w:r>
        <w:t>SPME-SV using 3 extractions of 10 min, and the reference method of a single extraction of 30 min using either HiSorb or SPME, accordingly; plotted against their log-transformed Henry’s constant</w:t>
      </w:r>
    </w:p>
    <w:p w14:paraId="02FA0F31" w14:textId="77777777" w:rsidR="00DE5450" w:rsidRDefault="00DE5450" w:rsidP="00DE5450">
      <w:pPr>
        <w:pStyle w:val="Heading1"/>
        <w:ind w:left="8"/>
      </w:pPr>
      <w:r>
        <w:lastRenderedPageBreak/>
        <w:t>Results and discussion</w:t>
      </w:r>
    </w:p>
    <w:p w14:paraId="4E258B80" w14:textId="77777777" w:rsidR="00DE5450" w:rsidRDefault="00DE5450" w:rsidP="00DE5450">
      <w:pPr>
        <w:pStyle w:val="Heading2"/>
        <w:ind w:left="8"/>
      </w:pPr>
      <w:r>
        <w:t>Study of the multi</w:t>
      </w:r>
      <w:r>
        <w:rPr>
          <w:rFonts w:ascii="Cambria Math" w:hAnsi="Cambria Math" w:cs="Cambria Math"/>
        </w:rPr>
        <w:t>‑</w:t>
      </w:r>
      <w:r>
        <w:t>trapping conditions for HiSorb and SPME</w:t>
      </w:r>
    </w:p>
    <w:p w14:paraId="116594A5" w14:textId="77777777" w:rsidR="00DE5450" w:rsidRDefault="00DE5450" w:rsidP="00DE5450">
      <w:pPr>
        <w:ind w:left="8"/>
      </w:pPr>
      <w:r>
        <w:t>In our recent publication [</w:t>
      </w:r>
      <w:r>
        <w:rPr>
          <w:color w:val="0000FF"/>
        </w:rPr>
        <w:t>27</w:t>
      </w:r>
      <w:r>
        <w:t>], HiSorb was compared, in terms of coverage and analyte response intensity, with the more commonly used SPME approach in characterizing the HS profile of brewed coffee. In this regard, HiSorb showed a higher performance.</w:t>
      </w:r>
    </w:p>
    <w:p w14:paraId="0104364B" w14:textId="77777777" w:rsidR="00DE5450" w:rsidRDefault="00DE5450" w:rsidP="00DE5450">
      <w:pPr>
        <w:ind w:left="-2" w:firstLine="227"/>
      </w:pPr>
      <w:r>
        <w:t xml:space="preserve">Recently, we also investigated the use of the MCT approach, as explained in the introduction, that can be applied to both HiSorb and SPME methodologies. The use of MCT was investigated to study the volatile profile of the espresso coffee samples previously explored using single extraction. Three extraction conditions were evaluated: MCT-SPME-MV, MCT-SPME-SV, and MCT-HiSorb (also </w:t>
      </w:r>
    </w:p>
    <w:p w14:paraId="19A37F24" w14:textId="77777777" w:rsidR="00DE5450" w:rsidRDefault="00DE5450" w:rsidP="00DE5450">
      <w:pPr>
        <w:ind w:left="8"/>
      </w:pPr>
      <w:r>
        <w:t>MV). One milliliter was used for all experiments, as reported previously [</w:t>
      </w:r>
      <w:r>
        <w:rPr>
          <w:color w:val="0000FF"/>
        </w:rPr>
        <w:t>30</w:t>
      </w:r>
      <w:r>
        <w:t>]. However, as shown by the results discussed below, where negligible differences were observed between MCT-SPME-SV and MCT-SPME-MV, 1 mL of sample led to the saturation of the HS for most of the compounds. However, by using volumes lower than 1 mL, a total volatilization of the sample is likely to occur during the conditioning and sampling times, creating a crust on the vial wall.</w:t>
      </w:r>
    </w:p>
    <w:p w14:paraId="30513BC8" w14:textId="77777777" w:rsidR="00DE5450" w:rsidRDefault="00DE5450" w:rsidP="00DE5450">
      <w:pPr>
        <w:ind w:left="-2" w:firstLine="227"/>
      </w:pPr>
      <w:r>
        <w:t xml:space="preserve">In fact, when comparing the extraction capacity between the two SPME approaches, MCT-SPME-MV and MCT-SPME-SV, the results are very comparable. Only </w:t>
      </w:r>
      <w:proofErr w:type="gramStart"/>
      <w:r>
        <w:t>few</w:t>
      </w:r>
      <w:proofErr w:type="gramEnd"/>
      <w:r>
        <w:t xml:space="preserve"> analytes with higher volatility (e.g., methyl pyrazine, 1-(acetyloxy)-2-propanone, 2-furanmethanol) are better recovered when working in MCT-SPME-MV than MCT-</w:t>
      </w:r>
    </w:p>
    <w:p w14:paraId="376F335F" w14:textId="77777777" w:rsidR="00DE5450" w:rsidRDefault="00DE5450" w:rsidP="00DE5450">
      <w:pPr>
        <w:ind w:left="8"/>
      </w:pPr>
      <w:r>
        <w:t xml:space="preserve">SPME-SV (Fig. </w:t>
      </w:r>
      <w:r>
        <w:rPr>
          <w:color w:val="0000FF"/>
        </w:rPr>
        <w:t>1</w:t>
      </w:r>
      <w:r>
        <w:t>). It is expected that the reuse of the same vial for multiple extractions will cause a depletion of the more volatile analytes, eventually improving the recovery of the less volatile ones [</w:t>
      </w:r>
      <w:r>
        <w:rPr>
          <w:color w:val="0000FF"/>
        </w:rPr>
        <w:t>27</w:t>
      </w:r>
      <w:r>
        <w:t xml:space="preserve">, </w:t>
      </w:r>
      <w:r>
        <w:rPr>
          <w:color w:val="0000FF"/>
        </w:rPr>
        <w:t>35</w:t>
      </w:r>
      <w:r>
        <w:t>]. However, in this case, MCT-SPME-SV did not show a clear benefit in the recovery of the less volatile compounds. This is an indication that the HS remained saturated for most of the compounds, and the depletion of the more volatile analytes was not fully achieved under the studied conditions. Therefore, no significative advantage of MCT-SPME-SV over MCT-SPME-MV would be expected.</w:t>
      </w:r>
    </w:p>
    <w:p w14:paraId="52666578" w14:textId="7EE0BFF8" w:rsidR="00DE5450" w:rsidRDefault="00DE5450" w:rsidP="00DE5450">
      <w:r>
        <w:t>The MCT extraction conditions were compared with those of the single-step 30-min extraction using either HiSorb or SPME. The 25 compounds already identified in the previous work, which covered a wide range of polarities and volatilities [</w:t>
      </w:r>
      <w:r>
        <w:rPr>
          <w:color w:val="0000FF"/>
        </w:rPr>
        <w:t>30</w:t>
      </w:r>
      <w:r>
        <w:t xml:space="preserve">], were used to evaluate the potential benefit of MCT. The ratio of the obtained area of these compounds when using MCT and the one obtained when using the single extraction with the same type of probe (HiSorb or SPME) was plotted against Henry’s constant of each analyte (Fig. </w:t>
      </w:r>
      <w:r>
        <w:rPr>
          <w:color w:val="0000FF"/>
        </w:rPr>
        <w:t>1</w:t>
      </w:r>
      <w:r>
        <w:t>(A and B)). The overall recoveries increased in all MCT approaches by roughly twofold (median value). HiSorb probes used with the MCT approach showed a 1–3 times</w:t>
      </w:r>
      <w:r>
        <w:t>.</w:t>
      </w:r>
    </w:p>
    <w:p w14:paraId="0F46621D" w14:textId="77777777" w:rsidR="00DE5450" w:rsidRDefault="00DE5450" w:rsidP="00DE5450">
      <w:pPr>
        <w:ind w:left="8"/>
      </w:pPr>
      <w:r>
        <w:t xml:space="preserve">higher recovery than when HiSorb probes were used in single extraction for all analytes without any </w:t>
      </w:r>
      <w:proofErr w:type="gramStart"/>
      <w:r>
        <w:t>particular trend</w:t>
      </w:r>
      <w:proofErr w:type="gramEnd"/>
      <w:r>
        <w:t xml:space="preserve"> (Fig. </w:t>
      </w:r>
      <w:r>
        <w:rPr>
          <w:color w:val="0000FF"/>
        </w:rPr>
        <w:t>1</w:t>
      </w:r>
      <w:r>
        <w:t xml:space="preserve">(A)). While SPME showed a twice median increment for both MV and SV-MCT approaches, compared to the single-step SPME (Fig. </w:t>
      </w:r>
      <w:r>
        <w:rPr>
          <w:color w:val="0000FF"/>
        </w:rPr>
        <w:t>1</w:t>
      </w:r>
      <w:r>
        <w:t xml:space="preserve">(B)). However, there is a broad variability, namely in the ~ 1–12 and 1–9 ratio ranges, for MV and SV, respectively, with a clear trend of increased signal for the more volatile compounds for both extraction modes. This improved extraction of the most volatile compounds with multiple shorter SPME extractions is due to the lower sorbent volume, which is quickly saturated in the first minutes of extraction. The renewal of the vial and concentration of the </w:t>
      </w:r>
      <w:r>
        <w:lastRenderedPageBreak/>
        <w:t>extracted compounds in the cold trap has a higher impact on sensitivity than a longer exposure time. Therefore, proper analyte extraction can be achieved within a shorter time per vial, with a net gain in the aggregate, thanks to the high capacity of the cold trap. The adsorption process is more favorable in the first few minutes; therefore, having a fresh solid phase has a higher impact on recoveries than extending the extraction time per vial. In this case, this allows for the same total extraction time for single or MCT approaches.</w:t>
      </w:r>
    </w:p>
    <w:p w14:paraId="1A2EA484" w14:textId="2147C1F4" w:rsidR="00DE5450" w:rsidRDefault="00DE5450" w:rsidP="00DE5450">
      <w:pPr>
        <w:ind w:left="-2" w:firstLine="227"/>
      </w:pPr>
      <w:r>
        <w:t>The signal of the compounds obtained with MCT</w:t>
      </w:r>
      <w:r>
        <w:t>-</w:t>
      </w:r>
      <w:r>
        <w:t>SPME (either MV or SV) compared with a single HiSorb extraction of 30 min showed a median ratio of 0.6 (ranging between 0.2 and 1.5). Furthermore, almost the same number of total peaks was extracted using MCT-SPME either in SV or MV mode compared to HiSorb 1 × 30 min. MCT</w:t>
      </w:r>
      <w:r>
        <w:t>-</w:t>
      </w:r>
      <w:r>
        <w:t xml:space="preserve">HiSorb 3 × 10 min provided an increase of about 36% of the total number of compounds extracted compared to a single 30-min extraction with HiSorb. Figure </w:t>
      </w:r>
      <w:r>
        <w:rPr>
          <w:color w:val="0000FF"/>
        </w:rPr>
        <w:t>2</w:t>
      </w:r>
      <w:r>
        <w:t xml:space="preserve"> shows the comparison between the 2D plot obtained using MCT-HiSorb 3 × 10 min and that using MCT-SPME-SV 3 × 10 min. In the insert box, the normalized (against the highest) total number of peaks for the different extraction conditions is reported. Nevertheless, when investigating the coverage of the key odorants, as reported in our previous work [</w:t>
      </w:r>
      <w:r>
        <w:rPr>
          <w:color w:val="0000FF"/>
        </w:rPr>
        <w:t>30</w:t>
      </w:r>
      <w:r>
        <w:t>], no differences were noted using HiSorb or SPME in both tested modes</w:t>
      </w:r>
      <w:r>
        <w:t>.</w:t>
      </w:r>
    </w:p>
    <w:p w14:paraId="7C98DC3F" w14:textId="0AD3EB50" w:rsidR="00DE5450" w:rsidRDefault="00DE5450" w:rsidP="00DE5450">
      <w:pPr>
        <w:rPr>
          <w:rStyle w:val="SubtleEmphasis"/>
        </w:rPr>
      </w:pPr>
      <w:r>
        <w:rPr>
          <w:rStyle w:val="SubtleEmphasis"/>
        </w:rPr>
        <w:t>Figure 2</w:t>
      </w:r>
    </w:p>
    <w:p w14:paraId="69B9B4AB" w14:textId="730890EC" w:rsidR="00DE5450" w:rsidRDefault="00DE5450" w:rsidP="00DE5450">
      <w:pPr>
        <w:rPr>
          <w:rStyle w:val="SubtleEmphasis"/>
        </w:rPr>
      </w:pPr>
      <w:r>
        <w:rPr>
          <w:noProof/>
        </w:rPr>
        <w:drawing>
          <wp:inline distT="0" distB="0" distL="0" distR="0" wp14:anchorId="2AAC99C8" wp14:editId="65672C23">
            <wp:extent cx="5760720" cy="3120513"/>
            <wp:effectExtent l="0" t="0" r="0" b="3810"/>
            <wp:docPr id="732" name="Picture 732" descr="A close-up of a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732" name="Picture 732" descr="A close-up of a screen&#10;&#10;AI-generated content may be incorrect."/>
                    <pic:cNvPicPr/>
                  </pic:nvPicPr>
                  <pic:blipFill>
                    <a:blip r:embed="rId20"/>
                    <a:stretch>
                      <a:fillRect/>
                    </a:stretch>
                  </pic:blipFill>
                  <pic:spPr>
                    <a:xfrm>
                      <a:off x="0" y="0"/>
                      <a:ext cx="5760720" cy="3120513"/>
                    </a:xfrm>
                    <a:prstGeom prst="rect">
                      <a:avLst/>
                    </a:prstGeom>
                  </pic:spPr>
                </pic:pic>
              </a:graphicData>
            </a:graphic>
          </wp:inline>
        </w:drawing>
      </w:r>
    </w:p>
    <w:p w14:paraId="42BBC3F7" w14:textId="3784960F" w:rsidR="00DE5450" w:rsidRDefault="00DE5450" w:rsidP="00DE5450">
      <w:r>
        <w:rPr>
          <w:rFonts w:cs="Calibri"/>
          <w:b/>
        </w:rPr>
        <w:t xml:space="preserve">Fig. 2  </w:t>
      </w:r>
      <w:r>
        <w:t>Comparison of the 2D plot obtained by extracting the same ber of compounds extracted using HiSorb 1 × 30 min, MCT-HiSorb brewed coffee using (A) MCT-HiSorb 3 × 10 min and (B) MCT- 3 × 10 min (A) and SPME 1 × 30 min, MCT-SPME-MV 3 × 10 min, SPME-SV 3 × 10 min. (C) Normalized comparison of the total num- MCT-SPME-SV 3 × 10 min (B)</w:t>
      </w:r>
    </w:p>
    <w:p w14:paraId="58C7B302" w14:textId="77777777" w:rsidR="00DE5450" w:rsidRDefault="00DE5450" w:rsidP="00DE5450">
      <w:pPr>
        <w:rPr>
          <w:rStyle w:val="SubtleEmphasis"/>
        </w:rPr>
      </w:pPr>
    </w:p>
    <w:p w14:paraId="0498A36C" w14:textId="3A8BAB9F" w:rsidR="00DE5450" w:rsidRDefault="00DE5450" w:rsidP="00DE5450">
      <w:pPr>
        <w:rPr>
          <w:rStyle w:val="SubtleEmphasis"/>
        </w:rPr>
      </w:pPr>
      <w:r w:rsidRPr="00DE5450">
        <w:rPr>
          <w:rStyle w:val="SubtleEmphasis"/>
        </w:rPr>
        <w:lastRenderedPageBreak/>
        <w:t>Figure 3</w:t>
      </w:r>
      <w:r>
        <w:rPr>
          <w:noProof/>
        </w:rPr>
        <w:drawing>
          <wp:anchor distT="0" distB="0" distL="114300" distR="114300" simplePos="0" relativeHeight="251661312" behindDoc="0" locked="0" layoutInCell="1" allowOverlap="0" wp14:anchorId="19F4E139" wp14:editId="1E7CF33A">
            <wp:simplePos x="0" y="0"/>
            <wp:positionH relativeFrom="column">
              <wp:posOffset>0</wp:posOffset>
            </wp:positionH>
            <wp:positionV relativeFrom="paragraph">
              <wp:posOffset>271780</wp:posOffset>
            </wp:positionV>
            <wp:extent cx="4572000" cy="3284220"/>
            <wp:effectExtent l="0" t="0" r="0" b="0"/>
            <wp:wrapSquare wrapText="bothSides"/>
            <wp:docPr id="841" name="Picture 841" descr="A diagram of different types of data&#10;&#10;AI-generated content may be incorrect."/>
            <wp:cNvGraphicFramePr/>
            <a:graphic xmlns:a="http://schemas.openxmlformats.org/drawingml/2006/main">
              <a:graphicData uri="http://schemas.openxmlformats.org/drawingml/2006/picture">
                <pic:pic xmlns:pic="http://schemas.openxmlformats.org/drawingml/2006/picture">
                  <pic:nvPicPr>
                    <pic:cNvPr id="841" name="Picture 841" descr="A diagram of different types of data&#10;&#10;AI-generated content may be incorrect."/>
                    <pic:cNvPicPr/>
                  </pic:nvPicPr>
                  <pic:blipFill>
                    <a:blip r:embed="rId21"/>
                    <a:stretch>
                      <a:fillRect/>
                    </a:stretch>
                  </pic:blipFill>
                  <pic:spPr>
                    <a:xfrm>
                      <a:off x="0" y="0"/>
                      <a:ext cx="4572000" cy="3284220"/>
                    </a:xfrm>
                    <a:prstGeom prst="rect">
                      <a:avLst/>
                    </a:prstGeom>
                  </pic:spPr>
                </pic:pic>
              </a:graphicData>
            </a:graphic>
          </wp:anchor>
        </w:drawing>
      </w:r>
    </w:p>
    <w:p w14:paraId="12DF03B0" w14:textId="77777777" w:rsidR="00DE5450" w:rsidRPr="00DE5450" w:rsidRDefault="00DE5450" w:rsidP="00DE5450"/>
    <w:p w14:paraId="7C81875C" w14:textId="77777777" w:rsidR="00DE5450" w:rsidRPr="00DE5450" w:rsidRDefault="00DE5450" w:rsidP="00DE5450"/>
    <w:p w14:paraId="09A94927" w14:textId="77777777" w:rsidR="00DE5450" w:rsidRPr="00DE5450" w:rsidRDefault="00DE5450" w:rsidP="00DE5450"/>
    <w:p w14:paraId="36EF1729" w14:textId="77777777" w:rsidR="00DE5450" w:rsidRPr="00DE5450" w:rsidRDefault="00DE5450" w:rsidP="00DE5450"/>
    <w:p w14:paraId="10B6BBA3" w14:textId="77777777" w:rsidR="00DE5450" w:rsidRPr="00DE5450" w:rsidRDefault="00DE5450" w:rsidP="00DE5450"/>
    <w:p w14:paraId="07FCDEB1" w14:textId="77777777" w:rsidR="00DE5450" w:rsidRPr="00DE5450" w:rsidRDefault="00DE5450" w:rsidP="00DE5450"/>
    <w:p w14:paraId="61119551" w14:textId="77777777" w:rsidR="00DE5450" w:rsidRPr="00DE5450" w:rsidRDefault="00DE5450" w:rsidP="00DE5450"/>
    <w:p w14:paraId="0AC64BFC" w14:textId="77777777" w:rsidR="00DE5450" w:rsidRPr="00DE5450" w:rsidRDefault="00DE5450" w:rsidP="00DE5450"/>
    <w:p w14:paraId="491A217E" w14:textId="77777777" w:rsidR="00DE5450" w:rsidRPr="00DE5450" w:rsidRDefault="00DE5450" w:rsidP="00DE5450"/>
    <w:p w14:paraId="78544777" w14:textId="77777777" w:rsidR="00DE5450" w:rsidRDefault="00DE5450" w:rsidP="00DE5450">
      <w:pPr>
        <w:rPr>
          <w:rStyle w:val="SubtleEmphasis"/>
        </w:rPr>
      </w:pPr>
    </w:p>
    <w:p w14:paraId="33EA5B0E" w14:textId="77777777" w:rsidR="00DE5450" w:rsidRDefault="00DE5450" w:rsidP="00DE5450">
      <w:pPr>
        <w:jc w:val="center"/>
      </w:pPr>
    </w:p>
    <w:p w14:paraId="548F94B5" w14:textId="77777777" w:rsidR="00DE5450" w:rsidRDefault="00DE5450" w:rsidP="00DE5450">
      <w:pPr>
        <w:jc w:val="center"/>
      </w:pPr>
    </w:p>
    <w:p w14:paraId="3C10BA30" w14:textId="77777777" w:rsidR="00DE5450" w:rsidRDefault="00DE5450" w:rsidP="00DE5450">
      <w:pPr>
        <w:jc w:val="center"/>
      </w:pPr>
    </w:p>
    <w:p w14:paraId="59360244" w14:textId="6FA217C5" w:rsidR="00DE5450" w:rsidRDefault="00DE5450" w:rsidP="00DE5450">
      <w:r>
        <w:rPr>
          <w:rFonts w:cs="Calibri"/>
          <w:b/>
        </w:rPr>
        <w:t xml:space="preserve">Fig. </w:t>
      </w:r>
      <w:r>
        <w:rPr>
          <w:rFonts w:cs="Calibri"/>
          <w:b/>
        </w:rPr>
        <w:t xml:space="preserve">3 </w:t>
      </w:r>
      <w:r>
        <w:t>3D score plot for PC1, PC2, and PC3 for (A) HiSorb single extraction, (B) MCT</w:t>
      </w:r>
      <w:r>
        <w:t>-</w:t>
      </w:r>
      <w:r>
        <w:t>HiSorb, and (C) MCT-SPME</w:t>
      </w:r>
      <w:r w:rsidR="00D55061">
        <w:t>-</w:t>
      </w:r>
      <w:r>
        <w:t>SV models using the selected features (red: aluminum multilayer pack, blue: aluminum capsule, green: biodegradable capsule</w:t>
      </w:r>
    </w:p>
    <w:p w14:paraId="3EF3ACDB" w14:textId="6C5B85D3" w:rsidR="00D55061" w:rsidRDefault="00D55061" w:rsidP="00DE5450">
      <w:pPr>
        <w:rPr>
          <w:rStyle w:val="SubtleEmphasis"/>
        </w:rPr>
      </w:pPr>
      <w:r w:rsidRPr="00D55061">
        <w:rPr>
          <w:rStyle w:val="SubtleEmphasis"/>
        </w:rPr>
        <w:t xml:space="preserve">Table 1 </w:t>
      </w:r>
    </w:p>
    <w:p w14:paraId="3C49D12F" w14:textId="01B1E130" w:rsidR="00D55061" w:rsidRPr="00D55061" w:rsidRDefault="00D55061" w:rsidP="00D55061">
      <w:pPr>
        <w:rPr>
          <w:rStyle w:val="SubtleEmphasis"/>
        </w:rPr>
      </w:pPr>
      <w:r w:rsidRPr="00D55061">
        <w:rPr>
          <w:b/>
          <w:bCs/>
        </w:rPr>
        <w:t>Tab</w:t>
      </w:r>
      <w:r>
        <w:rPr>
          <w:b/>
          <w:bCs/>
        </w:rPr>
        <w:t>l</w:t>
      </w:r>
      <w:r w:rsidRPr="00D55061">
        <w:rPr>
          <w:b/>
          <w:bCs/>
        </w:rPr>
        <w:t>e 1</w:t>
      </w:r>
      <w:r>
        <w:t xml:space="preserve"> </w:t>
      </w:r>
      <w:r>
        <w:t>Corresponding explained variance for the first three principal components for the HiSorb single extraction, MCT-HiSorb, and MCT-SPME-SV models using the selected features</w:t>
      </w:r>
    </w:p>
    <w:tbl>
      <w:tblPr>
        <w:tblStyle w:val="TableGrid0"/>
        <w:tblW w:w="4762" w:type="dxa"/>
        <w:tblInd w:w="0" w:type="dxa"/>
        <w:tblCellMar>
          <w:right w:w="10" w:type="dxa"/>
        </w:tblCellMar>
        <w:tblLook w:val="04A0" w:firstRow="1" w:lastRow="0" w:firstColumn="1" w:lastColumn="0" w:noHBand="0" w:noVBand="1"/>
      </w:tblPr>
      <w:tblGrid>
        <w:gridCol w:w="1752"/>
        <w:gridCol w:w="875"/>
        <w:gridCol w:w="875"/>
        <w:gridCol w:w="875"/>
        <w:gridCol w:w="385"/>
      </w:tblGrid>
      <w:tr w:rsidR="00D55061" w14:paraId="5E6B2558" w14:textId="77777777" w:rsidTr="00990BF4">
        <w:trPr>
          <w:trHeight w:val="330"/>
        </w:trPr>
        <w:tc>
          <w:tcPr>
            <w:tcW w:w="1751" w:type="dxa"/>
            <w:vMerge w:val="restart"/>
            <w:tcBorders>
              <w:top w:val="single" w:sz="5" w:space="0" w:color="000000"/>
              <w:left w:val="nil"/>
              <w:bottom w:val="single" w:sz="8" w:space="0" w:color="000000"/>
              <w:right w:val="nil"/>
            </w:tcBorders>
          </w:tcPr>
          <w:p w14:paraId="28A1C730" w14:textId="77777777" w:rsidR="00D55061" w:rsidRDefault="00D55061" w:rsidP="00990BF4">
            <w:pPr>
              <w:spacing w:after="0" w:line="259" w:lineRule="auto"/>
              <w:jc w:val="left"/>
            </w:pPr>
            <w:r>
              <w:rPr>
                <w:sz w:val="17"/>
              </w:rPr>
              <w:t>Mode</w:t>
            </w:r>
          </w:p>
        </w:tc>
        <w:tc>
          <w:tcPr>
            <w:tcW w:w="1750" w:type="dxa"/>
            <w:gridSpan w:val="2"/>
            <w:tcBorders>
              <w:top w:val="single" w:sz="5" w:space="0" w:color="000000"/>
              <w:left w:val="nil"/>
              <w:bottom w:val="single" w:sz="5" w:space="0" w:color="000000"/>
              <w:right w:val="nil"/>
            </w:tcBorders>
          </w:tcPr>
          <w:p w14:paraId="61633F7F" w14:textId="77777777" w:rsidR="00D55061" w:rsidRDefault="00D55061" w:rsidP="00990BF4">
            <w:pPr>
              <w:spacing w:after="0" w:line="259" w:lineRule="auto"/>
              <w:jc w:val="left"/>
            </w:pPr>
            <w:r>
              <w:rPr>
                <w:sz w:val="17"/>
              </w:rPr>
              <w:t>Explained variance (%)</w:t>
            </w:r>
          </w:p>
        </w:tc>
        <w:tc>
          <w:tcPr>
            <w:tcW w:w="875" w:type="dxa"/>
            <w:tcBorders>
              <w:top w:val="single" w:sz="5" w:space="0" w:color="000000"/>
              <w:left w:val="nil"/>
              <w:bottom w:val="single" w:sz="5" w:space="0" w:color="000000"/>
              <w:right w:val="nil"/>
            </w:tcBorders>
          </w:tcPr>
          <w:p w14:paraId="3787DAC8" w14:textId="77777777" w:rsidR="00D55061" w:rsidRDefault="00D55061" w:rsidP="00990BF4">
            <w:pPr>
              <w:spacing w:after="160" w:line="259" w:lineRule="auto"/>
              <w:jc w:val="left"/>
            </w:pPr>
          </w:p>
        </w:tc>
        <w:tc>
          <w:tcPr>
            <w:tcW w:w="385" w:type="dxa"/>
            <w:tcBorders>
              <w:top w:val="single" w:sz="5" w:space="0" w:color="000000"/>
              <w:left w:val="nil"/>
              <w:bottom w:val="single" w:sz="5" w:space="0" w:color="000000"/>
              <w:right w:val="nil"/>
            </w:tcBorders>
          </w:tcPr>
          <w:p w14:paraId="71E0F6DB" w14:textId="77777777" w:rsidR="00D55061" w:rsidRDefault="00D55061" w:rsidP="00990BF4">
            <w:pPr>
              <w:spacing w:after="160" w:line="259" w:lineRule="auto"/>
              <w:jc w:val="left"/>
            </w:pPr>
          </w:p>
        </w:tc>
      </w:tr>
      <w:tr w:rsidR="00D55061" w14:paraId="5B23CCD1" w14:textId="77777777" w:rsidTr="00990BF4">
        <w:trPr>
          <w:trHeight w:val="325"/>
        </w:trPr>
        <w:tc>
          <w:tcPr>
            <w:tcW w:w="0" w:type="auto"/>
            <w:vMerge/>
            <w:tcBorders>
              <w:top w:val="nil"/>
              <w:left w:val="nil"/>
              <w:bottom w:val="single" w:sz="8" w:space="0" w:color="000000"/>
              <w:right w:val="nil"/>
            </w:tcBorders>
          </w:tcPr>
          <w:p w14:paraId="4F848F7D" w14:textId="77777777" w:rsidR="00D55061" w:rsidRDefault="00D55061" w:rsidP="00990BF4">
            <w:pPr>
              <w:spacing w:after="160" w:line="259" w:lineRule="auto"/>
              <w:jc w:val="left"/>
            </w:pPr>
          </w:p>
        </w:tc>
        <w:tc>
          <w:tcPr>
            <w:tcW w:w="875" w:type="dxa"/>
            <w:tcBorders>
              <w:top w:val="single" w:sz="5" w:space="0" w:color="000000"/>
              <w:left w:val="nil"/>
              <w:bottom w:val="single" w:sz="8" w:space="0" w:color="000000"/>
              <w:right w:val="nil"/>
            </w:tcBorders>
          </w:tcPr>
          <w:p w14:paraId="2B81852E" w14:textId="77777777" w:rsidR="00D55061" w:rsidRDefault="00D55061" w:rsidP="00990BF4">
            <w:pPr>
              <w:spacing w:after="0" w:line="259" w:lineRule="auto"/>
              <w:jc w:val="left"/>
            </w:pPr>
            <w:r>
              <w:rPr>
                <w:b/>
                <w:sz w:val="17"/>
              </w:rPr>
              <w:t>PC1</w:t>
            </w:r>
          </w:p>
        </w:tc>
        <w:tc>
          <w:tcPr>
            <w:tcW w:w="875" w:type="dxa"/>
            <w:tcBorders>
              <w:top w:val="single" w:sz="5" w:space="0" w:color="000000"/>
              <w:left w:val="nil"/>
              <w:bottom w:val="single" w:sz="8" w:space="0" w:color="000000"/>
              <w:right w:val="nil"/>
            </w:tcBorders>
          </w:tcPr>
          <w:p w14:paraId="22DEF63A" w14:textId="77777777" w:rsidR="00D55061" w:rsidRDefault="00D55061" w:rsidP="00990BF4">
            <w:pPr>
              <w:spacing w:after="0" w:line="259" w:lineRule="auto"/>
              <w:jc w:val="left"/>
            </w:pPr>
            <w:r>
              <w:rPr>
                <w:b/>
                <w:sz w:val="17"/>
              </w:rPr>
              <w:t>PC2</w:t>
            </w:r>
          </w:p>
        </w:tc>
        <w:tc>
          <w:tcPr>
            <w:tcW w:w="875" w:type="dxa"/>
            <w:tcBorders>
              <w:top w:val="single" w:sz="5" w:space="0" w:color="000000"/>
              <w:left w:val="nil"/>
              <w:bottom w:val="single" w:sz="8" w:space="0" w:color="000000"/>
              <w:right w:val="nil"/>
            </w:tcBorders>
          </w:tcPr>
          <w:p w14:paraId="5E98D19B" w14:textId="77777777" w:rsidR="00D55061" w:rsidRDefault="00D55061" w:rsidP="00990BF4">
            <w:pPr>
              <w:spacing w:after="0" w:line="259" w:lineRule="auto"/>
              <w:jc w:val="left"/>
            </w:pPr>
            <w:r>
              <w:rPr>
                <w:b/>
                <w:sz w:val="17"/>
              </w:rPr>
              <w:t>PC3</w:t>
            </w:r>
          </w:p>
        </w:tc>
        <w:tc>
          <w:tcPr>
            <w:tcW w:w="385" w:type="dxa"/>
            <w:tcBorders>
              <w:top w:val="single" w:sz="5" w:space="0" w:color="000000"/>
              <w:left w:val="nil"/>
              <w:bottom w:val="single" w:sz="8" w:space="0" w:color="000000"/>
              <w:right w:val="nil"/>
            </w:tcBorders>
          </w:tcPr>
          <w:p w14:paraId="27AE0C8A" w14:textId="77777777" w:rsidR="00D55061" w:rsidRDefault="00D55061" w:rsidP="00990BF4">
            <w:pPr>
              <w:spacing w:after="0" w:line="259" w:lineRule="auto"/>
            </w:pPr>
            <w:r>
              <w:rPr>
                <w:b/>
                <w:sz w:val="17"/>
              </w:rPr>
              <w:t>Total</w:t>
            </w:r>
          </w:p>
        </w:tc>
      </w:tr>
      <w:tr w:rsidR="00D55061" w14:paraId="07DFABD7" w14:textId="77777777" w:rsidTr="00990BF4">
        <w:trPr>
          <w:trHeight w:val="327"/>
        </w:trPr>
        <w:tc>
          <w:tcPr>
            <w:tcW w:w="1751" w:type="dxa"/>
            <w:tcBorders>
              <w:top w:val="single" w:sz="8" w:space="0" w:color="000000"/>
              <w:left w:val="nil"/>
              <w:bottom w:val="nil"/>
              <w:right w:val="nil"/>
            </w:tcBorders>
          </w:tcPr>
          <w:p w14:paraId="07756118" w14:textId="77777777" w:rsidR="00D55061" w:rsidRDefault="00D55061" w:rsidP="00990BF4">
            <w:pPr>
              <w:spacing w:after="0" w:line="259" w:lineRule="auto"/>
              <w:jc w:val="left"/>
            </w:pPr>
            <w:r>
              <w:rPr>
                <w:b/>
                <w:sz w:val="17"/>
              </w:rPr>
              <w:t>HiSorb</w:t>
            </w:r>
          </w:p>
        </w:tc>
        <w:tc>
          <w:tcPr>
            <w:tcW w:w="875" w:type="dxa"/>
            <w:tcBorders>
              <w:top w:val="single" w:sz="8" w:space="0" w:color="000000"/>
              <w:left w:val="nil"/>
              <w:bottom w:val="nil"/>
              <w:right w:val="nil"/>
            </w:tcBorders>
          </w:tcPr>
          <w:p w14:paraId="3D1A902A" w14:textId="77777777" w:rsidR="00D55061" w:rsidRDefault="00D55061" w:rsidP="00990BF4">
            <w:pPr>
              <w:spacing w:after="0" w:line="259" w:lineRule="auto"/>
              <w:ind w:left="2"/>
              <w:jc w:val="left"/>
            </w:pPr>
            <w:r>
              <w:rPr>
                <w:sz w:val="17"/>
              </w:rPr>
              <w:t>60.8</w:t>
            </w:r>
          </w:p>
        </w:tc>
        <w:tc>
          <w:tcPr>
            <w:tcW w:w="875" w:type="dxa"/>
            <w:tcBorders>
              <w:top w:val="single" w:sz="8" w:space="0" w:color="000000"/>
              <w:left w:val="nil"/>
              <w:bottom w:val="nil"/>
              <w:right w:val="nil"/>
            </w:tcBorders>
          </w:tcPr>
          <w:p w14:paraId="3F1968CF" w14:textId="77777777" w:rsidR="00D55061" w:rsidRDefault="00D55061" w:rsidP="00990BF4">
            <w:pPr>
              <w:spacing w:after="0" w:line="259" w:lineRule="auto"/>
              <w:ind w:left="2"/>
              <w:jc w:val="left"/>
            </w:pPr>
            <w:r>
              <w:rPr>
                <w:sz w:val="17"/>
              </w:rPr>
              <w:t>14.3</w:t>
            </w:r>
          </w:p>
        </w:tc>
        <w:tc>
          <w:tcPr>
            <w:tcW w:w="875" w:type="dxa"/>
            <w:tcBorders>
              <w:top w:val="single" w:sz="8" w:space="0" w:color="000000"/>
              <w:left w:val="nil"/>
              <w:bottom w:val="nil"/>
              <w:right w:val="nil"/>
            </w:tcBorders>
          </w:tcPr>
          <w:p w14:paraId="4CD6A6F6" w14:textId="77777777" w:rsidR="00D55061" w:rsidRDefault="00D55061" w:rsidP="00990BF4">
            <w:pPr>
              <w:spacing w:after="0" w:line="259" w:lineRule="auto"/>
              <w:ind w:left="87"/>
              <w:jc w:val="left"/>
            </w:pPr>
            <w:r>
              <w:rPr>
                <w:sz w:val="17"/>
              </w:rPr>
              <w:t>8.8</w:t>
            </w:r>
          </w:p>
        </w:tc>
        <w:tc>
          <w:tcPr>
            <w:tcW w:w="385" w:type="dxa"/>
            <w:tcBorders>
              <w:top w:val="single" w:sz="8" w:space="0" w:color="000000"/>
              <w:left w:val="nil"/>
              <w:bottom w:val="nil"/>
              <w:right w:val="nil"/>
            </w:tcBorders>
          </w:tcPr>
          <w:p w14:paraId="61D01C6F" w14:textId="77777777" w:rsidR="00D55061" w:rsidRDefault="00D55061" w:rsidP="00990BF4">
            <w:pPr>
              <w:spacing w:after="0" w:line="259" w:lineRule="auto"/>
              <w:ind w:left="2"/>
              <w:jc w:val="left"/>
            </w:pPr>
            <w:r>
              <w:rPr>
                <w:sz w:val="17"/>
              </w:rPr>
              <w:t>83.9</w:t>
            </w:r>
          </w:p>
        </w:tc>
      </w:tr>
      <w:tr w:rsidR="00D55061" w14:paraId="0E175BEB" w14:textId="77777777" w:rsidTr="00990BF4">
        <w:trPr>
          <w:trHeight w:val="250"/>
        </w:trPr>
        <w:tc>
          <w:tcPr>
            <w:tcW w:w="1751" w:type="dxa"/>
            <w:tcBorders>
              <w:top w:val="nil"/>
              <w:left w:val="nil"/>
              <w:bottom w:val="nil"/>
              <w:right w:val="nil"/>
            </w:tcBorders>
          </w:tcPr>
          <w:p w14:paraId="2ACFFE98" w14:textId="77777777" w:rsidR="00D55061" w:rsidRDefault="00D55061" w:rsidP="00990BF4">
            <w:pPr>
              <w:spacing w:after="0" w:line="259" w:lineRule="auto"/>
              <w:jc w:val="left"/>
            </w:pPr>
            <w:r>
              <w:rPr>
                <w:b/>
                <w:sz w:val="17"/>
              </w:rPr>
              <w:t>MCT-HiSorb</w:t>
            </w:r>
          </w:p>
        </w:tc>
        <w:tc>
          <w:tcPr>
            <w:tcW w:w="875" w:type="dxa"/>
            <w:tcBorders>
              <w:top w:val="nil"/>
              <w:left w:val="nil"/>
              <w:bottom w:val="nil"/>
              <w:right w:val="nil"/>
            </w:tcBorders>
          </w:tcPr>
          <w:p w14:paraId="0866DC7F" w14:textId="77777777" w:rsidR="00D55061" w:rsidRDefault="00D55061" w:rsidP="00990BF4">
            <w:pPr>
              <w:spacing w:after="0" w:line="259" w:lineRule="auto"/>
              <w:ind w:left="2"/>
              <w:jc w:val="left"/>
            </w:pPr>
            <w:r>
              <w:rPr>
                <w:sz w:val="17"/>
              </w:rPr>
              <w:t>57.0</w:t>
            </w:r>
          </w:p>
        </w:tc>
        <w:tc>
          <w:tcPr>
            <w:tcW w:w="875" w:type="dxa"/>
            <w:tcBorders>
              <w:top w:val="nil"/>
              <w:left w:val="nil"/>
              <w:bottom w:val="nil"/>
              <w:right w:val="nil"/>
            </w:tcBorders>
          </w:tcPr>
          <w:p w14:paraId="6D25AE5B" w14:textId="77777777" w:rsidR="00D55061" w:rsidRDefault="00D55061" w:rsidP="00990BF4">
            <w:pPr>
              <w:spacing w:after="0" w:line="259" w:lineRule="auto"/>
              <w:ind w:left="2"/>
              <w:jc w:val="left"/>
            </w:pPr>
            <w:r>
              <w:rPr>
                <w:sz w:val="17"/>
              </w:rPr>
              <w:t>24.3</w:t>
            </w:r>
          </w:p>
        </w:tc>
        <w:tc>
          <w:tcPr>
            <w:tcW w:w="875" w:type="dxa"/>
            <w:tcBorders>
              <w:top w:val="nil"/>
              <w:left w:val="nil"/>
              <w:bottom w:val="nil"/>
              <w:right w:val="nil"/>
            </w:tcBorders>
          </w:tcPr>
          <w:p w14:paraId="599EB811" w14:textId="77777777" w:rsidR="00D55061" w:rsidRDefault="00D55061" w:rsidP="00990BF4">
            <w:pPr>
              <w:spacing w:after="0" w:line="259" w:lineRule="auto"/>
              <w:ind w:left="2"/>
              <w:jc w:val="left"/>
            </w:pPr>
            <w:r>
              <w:rPr>
                <w:sz w:val="17"/>
              </w:rPr>
              <w:t>10.3</w:t>
            </w:r>
          </w:p>
        </w:tc>
        <w:tc>
          <w:tcPr>
            <w:tcW w:w="385" w:type="dxa"/>
            <w:tcBorders>
              <w:top w:val="nil"/>
              <w:left w:val="nil"/>
              <w:bottom w:val="nil"/>
              <w:right w:val="nil"/>
            </w:tcBorders>
          </w:tcPr>
          <w:p w14:paraId="39084A4E" w14:textId="77777777" w:rsidR="00D55061" w:rsidRDefault="00D55061" w:rsidP="00990BF4">
            <w:pPr>
              <w:spacing w:after="0" w:line="259" w:lineRule="auto"/>
              <w:ind w:left="2"/>
              <w:jc w:val="left"/>
            </w:pPr>
            <w:r>
              <w:rPr>
                <w:sz w:val="17"/>
              </w:rPr>
              <w:t>91.6</w:t>
            </w:r>
          </w:p>
        </w:tc>
      </w:tr>
      <w:tr w:rsidR="00D55061" w14:paraId="4ECB471F" w14:textId="77777777" w:rsidTr="00990BF4">
        <w:trPr>
          <w:trHeight w:val="282"/>
        </w:trPr>
        <w:tc>
          <w:tcPr>
            <w:tcW w:w="1751" w:type="dxa"/>
            <w:tcBorders>
              <w:top w:val="nil"/>
              <w:left w:val="nil"/>
              <w:bottom w:val="single" w:sz="5" w:space="0" w:color="000000"/>
              <w:right w:val="nil"/>
            </w:tcBorders>
          </w:tcPr>
          <w:p w14:paraId="312E0816" w14:textId="77777777" w:rsidR="00D55061" w:rsidRDefault="00D55061" w:rsidP="00990BF4">
            <w:pPr>
              <w:spacing w:after="0" w:line="259" w:lineRule="auto"/>
              <w:jc w:val="left"/>
            </w:pPr>
            <w:r>
              <w:rPr>
                <w:b/>
                <w:sz w:val="17"/>
              </w:rPr>
              <w:t>MCT-SPME-SV</w:t>
            </w:r>
          </w:p>
        </w:tc>
        <w:tc>
          <w:tcPr>
            <w:tcW w:w="875" w:type="dxa"/>
            <w:tcBorders>
              <w:top w:val="nil"/>
              <w:left w:val="nil"/>
              <w:bottom w:val="single" w:sz="5" w:space="0" w:color="000000"/>
              <w:right w:val="nil"/>
            </w:tcBorders>
          </w:tcPr>
          <w:p w14:paraId="4DF8F2EE" w14:textId="77777777" w:rsidR="00D55061" w:rsidRDefault="00D55061" w:rsidP="00990BF4">
            <w:pPr>
              <w:spacing w:after="0" w:line="259" w:lineRule="auto"/>
              <w:ind w:left="2"/>
              <w:jc w:val="left"/>
            </w:pPr>
            <w:r>
              <w:rPr>
                <w:sz w:val="17"/>
              </w:rPr>
              <w:t>69.6</w:t>
            </w:r>
          </w:p>
        </w:tc>
        <w:tc>
          <w:tcPr>
            <w:tcW w:w="875" w:type="dxa"/>
            <w:tcBorders>
              <w:top w:val="nil"/>
              <w:left w:val="nil"/>
              <w:bottom w:val="single" w:sz="5" w:space="0" w:color="000000"/>
              <w:right w:val="nil"/>
            </w:tcBorders>
          </w:tcPr>
          <w:p w14:paraId="628C847A" w14:textId="77777777" w:rsidR="00D55061" w:rsidRDefault="00D55061" w:rsidP="00990BF4">
            <w:pPr>
              <w:spacing w:after="0" w:line="259" w:lineRule="auto"/>
              <w:ind w:left="2"/>
              <w:jc w:val="left"/>
            </w:pPr>
            <w:r>
              <w:rPr>
                <w:sz w:val="17"/>
              </w:rPr>
              <w:t>10.6</w:t>
            </w:r>
          </w:p>
        </w:tc>
        <w:tc>
          <w:tcPr>
            <w:tcW w:w="875" w:type="dxa"/>
            <w:tcBorders>
              <w:top w:val="nil"/>
              <w:left w:val="nil"/>
              <w:bottom w:val="single" w:sz="5" w:space="0" w:color="000000"/>
              <w:right w:val="nil"/>
            </w:tcBorders>
          </w:tcPr>
          <w:p w14:paraId="43C32B5D" w14:textId="77777777" w:rsidR="00D55061" w:rsidRDefault="00D55061" w:rsidP="00990BF4">
            <w:pPr>
              <w:spacing w:after="0" w:line="259" w:lineRule="auto"/>
              <w:ind w:left="87"/>
              <w:jc w:val="left"/>
            </w:pPr>
            <w:r>
              <w:rPr>
                <w:sz w:val="17"/>
              </w:rPr>
              <w:t>7.8</w:t>
            </w:r>
          </w:p>
        </w:tc>
        <w:tc>
          <w:tcPr>
            <w:tcW w:w="385" w:type="dxa"/>
            <w:tcBorders>
              <w:top w:val="nil"/>
              <w:left w:val="nil"/>
              <w:bottom w:val="single" w:sz="5" w:space="0" w:color="000000"/>
              <w:right w:val="nil"/>
            </w:tcBorders>
          </w:tcPr>
          <w:p w14:paraId="31636FF8" w14:textId="77777777" w:rsidR="00D55061" w:rsidRDefault="00D55061" w:rsidP="00990BF4">
            <w:pPr>
              <w:spacing w:after="0" w:line="259" w:lineRule="auto"/>
              <w:ind w:left="2"/>
              <w:jc w:val="left"/>
            </w:pPr>
            <w:r>
              <w:rPr>
                <w:sz w:val="17"/>
              </w:rPr>
              <w:t>88.3</w:t>
            </w:r>
          </w:p>
        </w:tc>
      </w:tr>
    </w:tbl>
    <w:p w14:paraId="775F9345" w14:textId="5B419DEB" w:rsidR="00D55061" w:rsidRDefault="00D55061" w:rsidP="00DE5450"/>
    <w:p w14:paraId="7F5435A1" w14:textId="77777777" w:rsidR="00D55061" w:rsidRDefault="00D55061">
      <w:pPr>
        <w:spacing w:after="0" w:line="240" w:lineRule="auto"/>
        <w:jc w:val="left"/>
      </w:pPr>
      <w:r>
        <w:br w:type="page"/>
      </w:r>
    </w:p>
    <w:tbl>
      <w:tblPr>
        <w:tblStyle w:val="TableGrid0"/>
        <w:tblW w:w="9865" w:type="dxa"/>
        <w:tblInd w:w="-420" w:type="dxa"/>
        <w:tblLook w:val="04A0" w:firstRow="1" w:lastRow="0" w:firstColumn="1" w:lastColumn="0" w:noHBand="0" w:noVBand="1"/>
      </w:tblPr>
      <w:tblGrid>
        <w:gridCol w:w="1960"/>
        <w:gridCol w:w="1112"/>
        <w:gridCol w:w="894"/>
        <w:gridCol w:w="3294"/>
        <w:gridCol w:w="880"/>
        <w:gridCol w:w="1080"/>
        <w:gridCol w:w="645"/>
      </w:tblGrid>
      <w:tr w:rsidR="00D55061" w14:paraId="60E898DE" w14:textId="77777777" w:rsidTr="00990BF4">
        <w:trPr>
          <w:trHeight w:val="921"/>
        </w:trPr>
        <w:tc>
          <w:tcPr>
            <w:tcW w:w="9220" w:type="dxa"/>
            <w:gridSpan w:val="6"/>
            <w:tcBorders>
              <w:top w:val="single" w:sz="8" w:space="0" w:color="000000"/>
              <w:left w:val="nil"/>
              <w:bottom w:val="single" w:sz="5" w:space="0" w:color="000000"/>
              <w:right w:val="nil"/>
            </w:tcBorders>
            <w:vAlign w:val="bottom"/>
          </w:tcPr>
          <w:p w14:paraId="5C9A6BF4" w14:textId="77777777" w:rsidR="00D55061" w:rsidRDefault="00D55061" w:rsidP="00990BF4">
            <w:pPr>
              <w:spacing w:after="0" w:line="259" w:lineRule="auto"/>
              <w:ind w:right="-645"/>
            </w:pPr>
            <w:r>
              <w:rPr>
                <w:rFonts w:ascii="Calibri" w:eastAsia="Calibri" w:hAnsi="Calibri" w:cs="Calibri"/>
                <w:b/>
                <w:sz w:val="17"/>
              </w:rPr>
              <w:lastRenderedPageBreak/>
              <w:t xml:space="preserve">Table </w:t>
            </w:r>
            <w:proofErr w:type="gramStart"/>
            <w:r>
              <w:rPr>
                <w:rFonts w:ascii="Calibri" w:eastAsia="Calibri" w:hAnsi="Calibri" w:cs="Calibri"/>
                <w:b/>
                <w:sz w:val="17"/>
              </w:rPr>
              <w:t xml:space="preserve">2  </w:t>
            </w:r>
            <w:r>
              <w:rPr>
                <w:sz w:val="17"/>
              </w:rPr>
              <w:t>Tentative</w:t>
            </w:r>
            <w:proofErr w:type="gramEnd"/>
            <w:r>
              <w:rPr>
                <w:sz w:val="17"/>
              </w:rPr>
              <w:t xml:space="preserve"> identification of the selected features, along with untargeted approach for HiSorb single extraction, HiSorb MCT, and the MS similarity and the linear retention indices calculated experi- SPME SV-MCT after removal of redundancy mentally (RI) and reported in the NIST library (NIST RI), for the </w:t>
            </w:r>
          </w:p>
        </w:tc>
        <w:tc>
          <w:tcPr>
            <w:tcW w:w="645" w:type="dxa"/>
            <w:tcBorders>
              <w:top w:val="single" w:sz="8" w:space="0" w:color="000000"/>
              <w:left w:val="nil"/>
              <w:bottom w:val="single" w:sz="5" w:space="0" w:color="000000"/>
              <w:right w:val="nil"/>
            </w:tcBorders>
          </w:tcPr>
          <w:p w14:paraId="2B2C6342" w14:textId="77777777" w:rsidR="00D55061" w:rsidRDefault="00D55061" w:rsidP="00990BF4">
            <w:pPr>
              <w:spacing w:after="160" w:line="259" w:lineRule="auto"/>
              <w:jc w:val="left"/>
            </w:pPr>
          </w:p>
        </w:tc>
      </w:tr>
      <w:tr w:rsidR="00D55061" w14:paraId="65430146" w14:textId="77777777" w:rsidTr="00990BF4">
        <w:trPr>
          <w:trHeight w:val="330"/>
        </w:trPr>
        <w:tc>
          <w:tcPr>
            <w:tcW w:w="1960" w:type="dxa"/>
            <w:tcBorders>
              <w:top w:val="single" w:sz="5" w:space="0" w:color="000000"/>
              <w:left w:val="nil"/>
              <w:bottom w:val="single" w:sz="8" w:space="0" w:color="000000"/>
              <w:right w:val="nil"/>
            </w:tcBorders>
          </w:tcPr>
          <w:p w14:paraId="563D57D6" w14:textId="77777777" w:rsidR="00D55061" w:rsidRDefault="00D55061" w:rsidP="00990BF4">
            <w:pPr>
              <w:spacing w:after="160" w:line="259" w:lineRule="auto"/>
              <w:jc w:val="left"/>
            </w:pPr>
          </w:p>
        </w:tc>
        <w:tc>
          <w:tcPr>
            <w:tcW w:w="1112" w:type="dxa"/>
            <w:tcBorders>
              <w:top w:val="single" w:sz="5" w:space="0" w:color="000000"/>
              <w:left w:val="nil"/>
              <w:bottom w:val="single" w:sz="8" w:space="0" w:color="000000"/>
              <w:right w:val="nil"/>
            </w:tcBorders>
          </w:tcPr>
          <w:p w14:paraId="0A5F88C2" w14:textId="77777777" w:rsidR="00D55061" w:rsidRDefault="00D55061" w:rsidP="00990BF4">
            <w:pPr>
              <w:spacing w:after="0" w:line="259" w:lineRule="auto"/>
              <w:jc w:val="left"/>
            </w:pPr>
            <w:r>
              <w:rPr>
                <w:b/>
                <w:sz w:val="17"/>
              </w:rPr>
              <w:t>1tr (min)</w:t>
            </w:r>
          </w:p>
        </w:tc>
        <w:tc>
          <w:tcPr>
            <w:tcW w:w="894" w:type="dxa"/>
            <w:tcBorders>
              <w:top w:val="single" w:sz="5" w:space="0" w:color="000000"/>
              <w:left w:val="nil"/>
              <w:bottom w:val="single" w:sz="8" w:space="0" w:color="000000"/>
              <w:right w:val="nil"/>
            </w:tcBorders>
          </w:tcPr>
          <w:p w14:paraId="0E0E300E" w14:textId="77777777" w:rsidR="00D55061" w:rsidRDefault="00D55061" w:rsidP="00990BF4">
            <w:pPr>
              <w:spacing w:after="0" w:line="259" w:lineRule="auto"/>
              <w:jc w:val="left"/>
            </w:pPr>
            <w:r>
              <w:rPr>
                <w:b/>
                <w:sz w:val="17"/>
              </w:rPr>
              <w:t>2tr (s)</w:t>
            </w:r>
          </w:p>
        </w:tc>
        <w:tc>
          <w:tcPr>
            <w:tcW w:w="3294" w:type="dxa"/>
            <w:tcBorders>
              <w:top w:val="single" w:sz="5" w:space="0" w:color="000000"/>
              <w:left w:val="nil"/>
              <w:bottom w:val="single" w:sz="8" w:space="0" w:color="000000"/>
              <w:right w:val="nil"/>
            </w:tcBorders>
          </w:tcPr>
          <w:p w14:paraId="515637B1" w14:textId="77777777" w:rsidR="00D55061" w:rsidRDefault="00D55061" w:rsidP="00990BF4">
            <w:pPr>
              <w:spacing w:after="0" w:line="259" w:lineRule="auto"/>
              <w:jc w:val="left"/>
            </w:pPr>
            <w:r>
              <w:rPr>
                <w:b/>
                <w:sz w:val="17"/>
              </w:rPr>
              <w:t>Features</w:t>
            </w:r>
          </w:p>
        </w:tc>
        <w:tc>
          <w:tcPr>
            <w:tcW w:w="880" w:type="dxa"/>
            <w:tcBorders>
              <w:top w:val="single" w:sz="5" w:space="0" w:color="000000"/>
              <w:left w:val="nil"/>
              <w:bottom w:val="single" w:sz="8" w:space="0" w:color="000000"/>
              <w:right w:val="nil"/>
            </w:tcBorders>
          </w:tcPr>
          <w:p w14:paraId="73A35A63" w14:textId="77777777" w:rsidR="00D55061" w:rsidRDefault="00D55061" w:rsidP="00990BF4">
            <w:pPr>
              <w:spacing w:after="0" w:line="259" w:lineRule="auto"/>
              <w:jc w:val="left"/>
            </w:pPr>
            <w:r>
              <w:rPr>
                <w:b/>
                <w:sz w:val="17"/>
              </w:rPr>
              <w:t>MS</w:t>
            </w:r>
          </w:p>
        </w:tc>
        <w:tc>
          <w:tcPr>
            <w:tcW w:w="1080" w:type="dxa"/>
            <w:tcBorders>
              <w:top w:val="single" w:sz="5" w:space="0" w:color="000000"/>
              <w:left w:val="nil"/>
              <w:bottom w:val="single" w:sz="8" w:space="0" w:color="000000"/>
              <w:right w:val="nil"/>
            </w:tcBorders>
          </w:tcPr>
          <w:p w14:paraId="5CCF870B" w14:textId="77777777" w:rsidR="00D55061" w:rsidRDefault="00D55061" w:rsidP="00990BF4">
            <w:pPr>
              <w:spacing w:after="0" w:line="259" w:lineRule="auto"/>
              <w:jc w:val="left"/>
            </w:pPr>
            <w:r>
              <w:rPr>
                <w:b/>
                <w:sz w:val="17"/>
              </w:rPr>
              <w:t>RI</w:t>
            </w:r>
          </w:p>
        </w:tc>
        <w:tc>
          <w:tcPr>
            <w:tcW w:w="645" w:type="dxa"/>
            <w:tcBorders>
              <w:top w:val="single" w:sz="5" w:space="0" w:color="000000"/>
              <w:left w:val="nil"/>
              <w:bottom w:val="single" w:sz="8" w:space="0" w:color="000000"/>
              <w:right w:val="nil"/>
            </w:tcBorders>
          </w:tcPr>
          <w:p w14:paraId="207C8D3C" w14:textId="77777777" w:rsidR="00D55061" w:rsidRDefault="00D55061" w:rsidP="00990BF4">
            <w:pPr>
              <w:spacing w:after="0" w:line="259" w:lineRule="auto"/>
            </w:pPr>
            <w:r>
              <w:rPr>
                <w:b/>
                <w:sz w:val="17"/>
              </w:rPr>
              <w:t>NIST RI</w:t>
            </w:r>
          </w:p>
        </w:tc>
      </w:tr>
      <w:tr w:rsidR="00D55061" w14:paraId="3D215ECA" w14:textId="77777777" w:rsidTr="00990BF4">
        <w:trPr>
          <w:trHeight w:val="329"/>
        </w:trPr>
        <w:tc>
          <w:tcPr>
            <w:tcW w:w="1960" w:type="dxa"/>
            <w:tcBorders>
              <w:top w:val="single" w:sz="8" w:space="0" w:color="000000"/>
              <w:left w:val="nil"/>
              <w:bottom w:val="nil"/>
              <w:right w:val="nil"/>
            </w:tcBorders>
          </w:tcPr>
          <w:p w14:paraId="5694C966" w14:textId="77777777" w:rsidR="00D55061" w:rsidRDefault="00D55061" w:rsidP="00990BF4">
            <w:pPr>
              <w:spacing w:after="0" w:line="259" w:lineRule="auto"/>
              <w:jc w:val="left"/>
            </w:pPr>
            <w:r>
              <w:rPr>
                <w:b/>
                <w:sz w:val="17"/>
              </w:rPr>
              <w:t>HiSorb single extraction</w:t>
            </w:r>
          </w:p>
        </w:tc>
        <w:tc>
          <w:tcPr>
            <w:tcW w:w="1112" w:type="dxa"/>
            <w:tcBorders>
              <w:top w:val="single" w:sz="8" w:space="0" w:color="000000"/>
              <w:left w:val="nil"/>
              <w:bottom w:val="nil"/>
              <w:right w:val="nil"/>
            </w:tcBorders>
          </w:tcPr>
          <w:p w14:paraId="24FF2845" w14:textId="77777777" w:rsidR="00D55061" w:rsidRDefault="00D55061" w:rsidP="00990BF4">
            <w:pPr>
              <w:spacing w:after="0" w:line="259" w:lineRule="auto"/>
              <w:ind w:left="87"/>
              <w:jc w:val="left"/>
            </w:pPr>
            <w:r>
              <w:rPr>
                <w:sz w:val="17"/>
              </w:rPr>
              <w:t>3.75</w:t>
            </w:r>
          </w:p>
        </w:tc>
        <w:tc>
          <w:tcPr>
            <w:tcW w:w="894" w:type="dxa"/>
            <w:tcBorders>
              <w:top w:val="single" w:sz="8" w:space="0" w:color="000000"/>
              <w:left w:val="nil"/>
              <w:bottom w:val="nil"/>
              <w:right w:val="nil"/>
            </w:tcBorders>
          </w:tcPr>
          <w:p w14:paraId="6BB8AD37" w14:textId="77777777" w:rsidR="00D55061" w:rsidRDefault="00D55061" w:rsidP="00990BF4">
            <w:pPr>
              <w:spacing w:after="0" w:line="259" w:lineRule="auto"/>
              <w:ind w:left="1"/>
              <w:jc w:val="left"/>
            </w:pPr>
            <w:r>
              <w:rPr>
                <w:sz w:val="17"/>
              </w:rPr>
              <w:t>1.5</w:t>
            </w:r>
          </w:p>
        </w:tc>
        <w:tc>
          <w:tcPr>
            <w:tcW w:w="3294" w:type="dxa"/>
            <w:tcBorders>
              <w:top w:val="single" w:sz="8" w:space="0" w:color="000000"/>
              <w:left w:val="nil"/>
              <w:bottom w:val="nil"/>
              <w:right w:val="nil"/>
            </w:tcBorders>
          </w:tcPr>
          <w:p w14:paraId="26DA0221" w14:textId="77777777" w:rsidR="00D55061" w:rsidRDefault="00D55061" w:rsidP="00990BF4">
            <w:pPr>
              <w:spacing w:after="0" w:line="259" w:lineRule="auto"/>
              <w:jc w:val="left"/>
            </w:pPr>
            <w:r>
              <w:rPr>
                <w:sz w:val="17"/>
              </w:rPr>
              <w:t>Unknown</w:t>
            </w:r>
          </w:p>
        </w:tc>
        <w:tc>
          <w:tcPr>
            <w:tcW w:w="880" w:type="dxa"/>
            <w:tcBorders>
              <w:top w:val="single" w:sz="8" w:space="0" w:color="000000"/>
              <w:left w:val="nil"/>
              <w:bottom w:val="nil"/>
              <w:right w:val="nil"/>
            </w:tcBorders>
          </w:tcPr>
          <w:p w14:paraId="14907C3D" w14:textId="77777777" w:rsidR="00D55061" w:rsidRDefault="00D55061" w:rsidP="00990BF4">
            <w:pPr>
              <w:spacing w:after="160" w:line="259" w:lineRule="auto"/>
              <w:jc w:val="left"/>
            </w:pPr>
          </w:p>
        </w:tc>
        <w:tc>
          <w:tcPr>
            <w:tcW w:w="1080" w:type="dxa"/>
            <w:tcBorders>
              <w:top w:val="single" w:sz="8" w:space="0" w:color="000000"/>
              <w:left w:val="nil"/>
              <w:bottom w:val="nil"/>
              <w:right w:val="nil"/>
            </w:tcBorders>
          </w:tcPr>
          <w:p w14:paraId="05FAF83F" w14:textId="77777777" w:rsidR="00D55061" w:rsidRDefault="00D55061" w:rsidP="00990BF4">
            <w:pPr>
              <w:spacing w:after="160" w:line="259" w:lineRule="auto"/>
              <w:jc w:val="left"/>
            </w:pPr>
          </w:p>
        </w:tc>
        <w:tc>
          <w:tcPr>
            <w:tcW w:w="645" w:type="dxa"/>
            <w:tcBorders>
              <w:top w:val="single" w:sz="8" w:space="0" w:color="000000"/>
              <w:left w:val="nil"/>
              <w:bottom w:val="nil"/>
              <w:right w:val="nil"/>
            </w:tcBorders>
          </w:tcPr>
          <w:p w14:paraId="08123253" w14:textId="77777777" w:rsidR="00D55061" w:rsidRDefault="00D55061" w:rsidP="00990BF4">
            <w:pPr>
              <w:spacing w:after="160" w:line="259" w:lineRule="auto"/>
              <w:jc w:val="left"/>
            </w:pPr>
          </w:p>
        </w:tc>
      </w:tr>
      <w:tr w:rsidR="00D55061" w14:paraId="2ED5686C" w14:textId="77777777" w:rsidTr="00990BF4">
        <w:trPr>
          <w:trHeight w:val="244"/>
        </w:trPr>
        <w:tc>
          <w:tcPr>
            <w:tcW w:w="1960" w:type="dxa"/>
            <w:tcBorders>
              <w:top w:val="nil"/>
              <w:left w:val="nil"/>
              <w:bottom w:val="nil"/>
              <w:right w:val="nil"/>
            </w:tcBorders>
          </w:tcPr>
          <w:p w14:paraId="443E2D8B" w14:textId="77777777" w:rsidR="00D55061" w:rsidRDefault="00D55061" w:rsidP="00990BF4">
            <w:pPr>
              <w:spacing w:after="160" w:line="259" w:lineRule="auto"/>
              <w:jc w:val="left"/>
            </w:pPr>
          </w:p>
        </w:tc>
        <w:tc>
          <w:tcPr>
            <w:tcW w:w="1112" w:type="dxa"/>
            <w:tcBorders>
              <w:top w:val="nil"/>
              <w:left w:val="nil"/>
              <w:bottom w:val="nil"/>
              <w:right w:val="nil"/>
            </w:tcBorders>
          </w:tcPr>
          <w:p w14:paraId="20661640" w14:textId="77777777" w:rsidR="00D55061" w:rsidRDefault="00D55061" w:rsidP="00990BF4">
            <w:pPr>
              <w:spacing w:after="0" w:line="259" w:lineRule="auto"/>
              <w:ind w:left="87"/>
              <w:jc w:val="left"/>
            </w:pPr>
            <w:r>
              <w:rPr>
                <w:sz w:val="17"/>
              </w:rPr>
              <w:t>6.23</w:t>
            </w:r>
          </w:p>
        </w:tc>
        <w:tc>
          <w:tcPr>
            <w:tcW w:w="894" w:type="dxa"/>
            <w:tcBorders>
              <w:top w:val="nil"/>
              <w:left w:val="nil"/>
              <w:bottom w:val="nil"/>
              <w:right w:val="nil"/>
            </w:tcBorders>
          </w:tcPr>
          <w:p w14:paraId="0770462F" w14:textId="77777777" w:rsidR="00D55061" w:rsidRDefault="00D55061" w:rsidP="00990BF4">
            <w:pPr>
              <w:spacing w:after="0" w:line="259" w:lineRule="auto"/>
              <w:ind w:left="1"/>
              <w:jc w:val="left"/>
            </w:pPr>
            <w:r>
              <w:rPr>
                <w:sz w:val="17"/>
              </w:rPr>
              <w:t>2.4</w:t>
            </w:r>
          </w:p>
        </w:tc>
        <w:tc>
          <w:tcPr>
            <w:tcW w:w="3294" w:type="dxa"/>
            <w:tcBorders>
              <w:top w:val="nil"/>
              <w:left w:val="nil"/>
              <w:bottom w:val="nil"/>
              <w:right w:val="nil"/>
            </w:tcBorders>
          </w:tcPr>
          <w:p w14:paraId="79411DA3" w14:textId="77777777" w:rsidR="00D55061" w:rsidRDefault="00D55061" w:rsidP="00990BF4">
            <w:pPr>
              <w:spacing w:after="0" w:line="259" w:lineRule="auto"/>
              <w:jc w:val="left"/>
            </w:pPr>
            <w:r>
              <w:rPr>
                <w:sz w:val="17"/>
              </w:rPr>
              <w:t>2,3-Pentanedione</w:t>
            </w:r>
          </w:p>
        </w:tc>
        <w:tc>
          <w:tcPr>
            <w:tcW w:w="880" w:type="dxa"/>
            <w:tcBorders>
              <w:top w:val="nil"/>
              <w:left w:val="nil"/>
              <w:bottom w:val="nil"/>
              <w:right w:val="nil"/>
            </w:tcBorders>
          </w:tcPr>
          <w:p w14:paraId="521AE8A1" w14:textId="77777777" w:rsidR="00D55061" w:rsidRDefault="00D55061" w:rsidP="00990BF4">
            <w:pPr>
              <w:spacing w:after="0" w:line="259" w:lineRule="auto"/>
              <w:jc w:val="left"/>
            </w:pPr>
            <w:r>
              <w:rPr>
                <w:sz w:val="17"/>
              </w:rPr>
              <w:t>705</w:t>
            </w:r>
          </w:p>
        </w:tc>
        <w:tc>
          <w:tcPr>
            <w:tcW w:w="1080" w:type="dxa"/>
            <w:tcBorders>
              <w:top w:val="nil"/>
              <w:left w:val="nil"/>
              <w:bottom w:val="nil"/>
              <w:right w:val="nil"/>
            </w:tcBorders>
          </w:tcPr>
          <w:p w14:paraId="6D5B5069" w14:textId="77777777" w:rsidR="00D55061" w:rsidRDefault="00D55061" w:rsidP="00990BF4">
            <w:pPr>
              <w:spacing w:after="0" w:line="259" w:lineRule="auto"/>
              <w:jc w:val="left"/>
            </w:pPr>
            <w:r>
              <w:rPr>
                <w:sz w:val="17"/>
              </w:rPr>
              <w:t>483</w:t>
            </w:r>
          </w:p>
        </w:tc>
        <w:tc>
          <w:tcPr>
            <w:tcW w:w="645" w:type="dxa"/>
            <w:tcBorders>
              <w:top w:val="nil"/>
              <w:left w:val="nil"/>
              <w:bottom w:val="nil"/>
              <w:right w:val="nil"/>
            </w:tcBorders>
          </w:tcPr>
          <w:p w14:paraId="6328C9DF" w14:textId="77777777" w:rsidR="00D55061" w:rsidRDefault="00D55061" w:rsidP="00990BF4">
            <w:pPr>
              <w:spacing w:after="0" w:line="259" w:lineRule="auto"/>
              <w:jc w:val="left"/>
            </w:pPr>
            <w:r>
              <w:rPr>
                <w:sz w:val="17"/>
              </w:rPr>
              <w:t>669</w:t>
            </w:r>
          </w:p>
        </w:tc>
      </w:tr>
      <w:tr w:rsidR="00D55061" w14:paraId="3F56640A" w14:textId="77777777" w:rsidTr="00990BF4">
        <w:trPr>
          <w:trHeight w:val="250"/>
        </w:trPr>
        <w:tc>
          <w:tcPr>
            <w:tcW w:w="1960" w:type="dxa"/>
            <w:tcBorders>
              <w:top w:val="nil"/>
              <w:left w:val="nil"/>
              <w:bottom w:val="nil"/>
              <w:right w:val="nil"/>
            </w:tcBorders>
          </w:tcPr>
          <w:p w14:paraId="4C13CD1A" w14:textId="77777777" w:rsidR="00D55061" w:rsidRDefault="00D55061" w:rsidP="00990BF4">
            <w:pPr>
              <w:spacing w:after="160" w:line="259" w:lineRule="auto"/>
              <w:jc w:val="left"/>
            </w:pPr>
          </w:p>
        </w:tc>
        <w:tc>
          <w:tcPr>
            <w:tcW w:w="1112" w:type="dxa"/>
            <w:tcBorders>
              <w:top w:val="nil"/>
              <w:left w:val="nil"/>
              <w:bottom w:val="nil"/>
              <w:right w:val="nil"/>
            </w:tcBorders>
          </w:tcPr>
          <w:p w14:paraId="2EB03E6E" w14:textId="77777777" w:rsidR="00D55061" w:rsidRDefault="00D55061" w:rsidP="00990BF4">
            <w:pPr>
              <w:spacing w:after="0" w:line="259" w:lineRule="auto"/>
              <w:ind w:left="87"/>
              <w:jc w:val="left"/>
            </w:pPr>
            <w:r>
              <w:rPr>
                <w:sz w:val="17"/>
              </w:rPr>
              <w:t>8.93</w:t>
            </w:r>
          </w:p>
        </w:tc>
        <w:tc>
          <w:tcPr>
            <w:tcW w:w="894" w:type="dxa"/>
            <w:tcBorders>
              <w:top w:val="nil"/>
              <w:left w:val="nil"/>
              <w:bottom w:val="nil"/>
              <w:right w:val="nil"/>
            </w:tcBorders>
          </w:tcPr>
          <w:p w14:paraId="3A57CF96" w14:textId="77777777" w:rsidR="00D55061" w:rsidRDefault="00D55061" w:rsidP="00990BF4">
            <w:pPr>
              <w:spacing w:after="0" w:line="259" w:lineRule="auto"/>
              <w:ind w:left="1"/>
              <w:jc w:val="left"/>
            </w:pPr>
            <w:r>
              <w:rPr>
                <w:sz w:val="17"/>
              </w:rPr>
              <w:t>0.6</w:t>
            </w:r>
          </w:p>
        </w:tc>
        <w:tc>
          <w:tcPr>
            <w:tcW w:w="3294" w:type="dxa"/>
            <w:tcBorders>
              <w:top w:val="nil"/>
              <w:left w:val="nil"/>
              <w:bottom w:val="nil"/>
              <w:right w:val="nil"/>
            </w:tcBorders>
          </w:tcPr>
          <w:p w14:paraId="55C38E39" w14:textId="77777777" w:rsidR="00D55061" w:rsidRDefault="00D55061" w:rsidP="00990BF4">
            <w:pPr>
              <w:spacing w:after="0" w:line="259" w:lineRule="auto"/>
              <w:jc w:val="left"/>
            </w:pPr>
            <w:r>
              <w:rPr>
                <w:sz w:val="17"/>
              </w:rPr>
              <w:t>Unknown</w:t>
            </w:r>
          </w:p>
        </w:tc>
        <w:tc>
          <w:tcPr>
            <w:tcW w:w="880" w:type="dxa"/>
            <w:tcBorders>
              <w:top w:val="nil"/>
              <w:left w:val="nil"/>
              <w:bottom w:val="nil"/>
              <w:right w:val="nil"/>
            </w:tcBorders>
          </w:tcPr>
          <w:p w14:paraId="4A340DA7" w14:textId="77777777" w:rsidR="00D55061" w:rsidRDefault="00D55061" w:rsidP="00990BF4">
            <w:pPr>
              <w:spacing w:after="160" w:line="259" w:lineRule="auto"/>
              <w:jc w:val="left"/>
            </w:pPr>
          </w:p>
        </w:tc>
        <w:tc>
          <w:tcPr>
            <w:tcW w:w="1080" w:type="dxa"/>
            <w:tcBorders>
              <w:top w:val="nil"/>
              <w:left w:val="nil"/>
              <w:bottom w:val="nil"/>
              <w:right w:val="nil"/>
            </w:tcBorders>
          </w:tcPr>
          <w:p w14:paraId="49FC9D8E" w14:textId="77777777" w:rsidR="00D55061" w:rsidRDefault="00D55061" w:rsidP="00990BF4">
            <w:pPr>
              <w:spacing w:after="160" w:line="259" w:lineRule="auto"/>
              <w:jc w:val="left"/>
            </w:pPr>
          </w:p>
        </w:tc>
        <w:tc>
          <w:tcPr>
            <w:tcW w:w="645" w:type="dxa"/>
            <w:tcBorders>
              <w:top w:val="nil"/>
              <w:left w:val="nil"/>
              <w:bottom w:val="nil"/>
              <w:right w:val="nil"/>
            </w:tcBorders>
          </w:tcPr>
          <w:p w14:paraId="7B351AE9" w14:textId="77777777" w:rsidR="00D55061" w:rsidRDefault="00D55061" w:rsidP="00990BF4">
            <w:pPr>
              <w:spacing w:after="160" w:line="259" w:lineRule="auto"/>
              <w:jc w:val="left"/>
            </w:pPr>
          </w:p>
        </w:tc>
      </w:tr>
      <w:tr w:rsidR="00D55061" w14:paraId="1D1C0A1E" w14:textId="77777777" w:rsidTr="00990BF4">
        <w:trPr>
          <w:trHeight w:val="250"/>
        </w:trPr>
        <w:tc>
          <w:tcPr>
            <w:tcW w:w="1960" w:type="dxa"/>
            <w:tcBorders>
              <w:top w:val="nil"/>
              <w:left w:val="nil"/>
              <w:bottom w:val="nil"/>
              <w:right w:val="nil"/>
            </w:tcBorders>
          </w:tcPr>
          <w:p w14:paraId="7048B629" w14:textId="77777777" w:rsidR="00D55061" w:rsidRDefault="00D55061" w:rsidP="00990BF4">
            <w:pPr>
              <w:spacing w:after="160" w:line="259" w:lineRule="auto"/>
              <w:jc w:val="left"/>
            </w:pPr>
          </w:p>
        </w:tc>
        <w:tc>
          <w:tcPr>
            <w:tcW w:w="1112" w:type="dxa"/>
            <w:tcBorders>
              <w:top w:val="nil"/>
              <w:left w:val="nil"/>
              <w:bottom w:val="nil"/>
              <w:right w:val="nil"/>
            </w:tcBorders>
          </w:tcPr>
          <w:p w14:paraId="30813DA1" w14:textId="77777777" w:rsidR="00D55061" w:rsidRDefault="00D55061" w:rsidP="00990BF4">
            <w:pPr>
              <w:spacing w:after="0" w:line="259" w:lineRule="auto"/>
              <w:ind w:left="87"/>
              <w:jc w:val="left"/>
            </w:pPr>
            <w:r>
              <w:rPr>
                <w:sz w:val="17"/>
              </w:rPr>
              <w:t>9.38</w:t>
            </w:r>
          </w:p>
        </w:tc>
        <w:tc>
          <w:tcPr>
            <w:tcW w:w="894" w:type="dxa"/>
            <w:tcBorders>
              <w:top w:val="nil"/>
              <w:left w:val="nil"/>
              <w:bottom w:val="nil"/>
              <w:right w:val="nil"/>
            </w:tcBorders>
          </w:tcPr>
          <w:p w14:paraId="69261158" w14:textId="77777777" w:rsidR="00D55061" w:rsidRDefault="00D55061" w:rsidP="00990BF4">
            <w:pPr>
              <w:spacing w:after="0" w:line="259" w:lineRule="auto"/>
              <w:ind w:left="1"/>
              <w:jc w:val="left"/>
            </w:pPr>
            <w:r>
              <w:rPr>
                <w:sz w:val="17"/>
              </w:rPr>
              <w:t>1.5</w:t>
            </w:r>
          </w:p>
        </w:tc>
        <w:tc>
          <w:tcPr>
            <w:tcW w:w="3294" w:type="dxa"/>
            <w:tcBorders>
              <w:top w:val="nil"/>
              <w:left w:val="nil"/>
              <w:bottom w:val="nil"/>
              <w:right w:val="nil"/>
            </w:tcBorders>
          </w:tcPr>
          <w:p w14:paraId="74743E39" w14:textId="77777777" w:rsidR="00D55061" w:rsidRDefault="00D55061" w:rsidP="00990BF4">
            <w:pPr>
              <w:spacing w:after="0" w:line="259" w:lineRule="auto"/>
              <w:jc w:val="left"/>
            </w:pPr>
            <w:r>
              <w:rPr>
                <w:sz w:val="17"/>
              </w:rPr>
              <w:t>Unknown</w:t>
            </w:r>
          </w:p>
        </w:tc>
        <w:tc>
          <w:tcPr>
            <w:tcW w:w="880" w:type="dxa"/>
            <w:tcBorders>
              <w:top w:val="nil"/>
              <w:left w:val="nil"/>
              <w:bottom w:val="nil"/>
              <w:right w:val="nil"/>
            </w:tcBorders>
          </w:tcPr>
          <w:p w14:paraId="2A840812" w14:textId="77777777" w:rsidR="00D55061" w:rsidRDefault="00D55061" w:rsidP="00990BF4">
            <w:pPr>
              <w:spacing w:after="160" w:line="259" w:lineRule="auto"/>
              <w:jc w:val="left"/>
            </w:pPr>
          </w:p>
        </w:tc>
        <w:tc>
          <w:tcPr>
            <w:tcW w:w="1080" w:type="dxa"/>
            <w:tcBorders>
              <w:top w:val="nil"/>
              <w:left w:val="nil"/>
              <w:bottom w:val="nil"/>
              <w:right w:val="nil"/>
            </w:tcBorders>
          </w:tcPr>
          <w:p w14:paraId="26365BA7" w14:textId="77777777" w:rsidR="00D55061" w:rsidRDefault="00D55061" w:rsidP="00990BF4">
            <w:pPr>
              <w:spacing w:after="160" w:line="259" w:lineRule="auto"/>
              <w:jc w:val="left"/>
            </w:pPr>
          </w:p>
        </w:tc>
        <w:tc>
          <w:tcPr>
            <w:tcW w:w="645" w:type="dxa"/>
            <w:tcBorders>
              <w:top w:val="nil"/>
              <w:left w:val="nil"/>
              <w:bottom w:val="nil"/>
              <w:right w:val="nil"/>
            </w:tcBorders>
          </w:tcPr>
          <w:p w14:paraId="0E66E997" w14:textId="77777777" w:rsidR="00D55061" w:rsidRDefault="00D55061" w:rsidP="00990BF4">
            <w:pPr>
              <w:spacing w:after="160" w:line="259" w:lineRule="auto"/>
              <w:jc w:val="left"/>
            </w:pPr>
          </w:p>
        </w:tc>
      </w:tr>
      <w:tr w:rsidR="00D55061" w14:paraId="21D85D99" w14:textId="77777777" w:rsidTr="00990BF4">
        <w:trPr>
          <w:trHeight w:val="250"/>
        </w:trPr>
        <w:tc>
          <w:tcPr>
            <w:tcW w:w="1960" w:type="dxa"/>
            <w:tcBorders>
              <w:top w:val="nil"/>
              <w:left w:val="nil"/>
              <w:bottom w:val="nil"/>
              <w:right w:val="nil"/>
            </w:tcBorders>
          </w:tcPr>
          <w:p w14:paraId="57BCE695" w14:textId="77777777" w:rsidR="00D55061" w:rsidRDefault="00D55061" w:rsidP="00990BF4">
            <w:pPr>
              <w:spacing w:after="160" w:line="259" w:lineRule="auto"/>
              <w:jc w:val="left"/>
            </w:pPr>
          </w:p>
        </w:tc>
        <w:tc>
          <w:tcPr>
            <w:tcW w:w="1112" w:type="dxa"/>
            <w:tcBorders>
              <w:top w:val="nil"/>
              <w:left w:val="nil"/>
              <w:bottom w:val="nil"/>
              <w:right w:val="nil"/>
            </w:tcBorders>
          </w:tcPr>
          <w:p w14:paraId="04E6B920" w14:textId="77777777" w:rsidR="00D55061" w:rsidRDefault="00D55061" w:rsidP="00990BF4">
            <w:pPr>
              <w:spacing w:after="0" w:line="259" w:lineRule="auto"/>
              <w:ind w:left="2"/>
              <w:jc w:val="left"/>
            </w:pPr>
            <w:r>
              <w:rPr>
                <w:sz w:val="17"/>
              </w:rPr>
              <w:t>11.40</w:t>
            </w:r>
          </w:p>
        </w:tc>
        <w:tc>
          <w:tcPr>
            <w:tcW w:w="894" w:type="dxa"/>
            <w:tcBorders>
              <w:top w:val="nil"/>
              <w:left w:val="nil"/>
              <w:bottom w:val="nil"/>
              <w:right w:val="nil"/>
            </w:tcBorders>
          </w:tcPr>
          <w:p w14:paraId="2258AFAF" w14:textId="77777777" w:rsidR="00D55061" w:rsidRDefault="00D55061" w:rsidP="00990BF4">
            <w:pPr>
              <w:spacing w:after="0" w:line="259" w:lineRule="auto"/>
              <w:ind w:left="1"/>
              <w:jc w:val="left"/>
            </w:pPr>
            <w:r>
              <w:rPr>
                <w:sz w:val="17"/>
              </w:rPr>
              <w:t>1.5</w:t>
            </w:r>
          </w:p>
        </w:tc>
        <w:tc>
          <w:tcPr>
            <w:tcW w:w="3294" w:type="dxa"/>
            <w:tcBorders>
              <w:top w:val="nil"/>
              <w:left w:val="nil"/>
              <w:bottom w:val="nil"/>
              <w:right w:val="nil"/>
            </w:tcBorders>
          </w:tcPr>
          <w:p w14:paraId="3F5882BF" w14:textId="77777777" w:rsidR="00D55061" w:rsidRDefault="00D55061" w:rsidP="00990BF4">
            <w:pPr>
              <w:spacing w:after="0" w:line="259" w:lineRule="auto"/>
              <w:ind w:left="1"/>
              <w:jc w:val="left"/>
            </w:pPr>
            <w:r>
              <w:rPr>
                <w:sz w:val="17"/>
              </w:rPr>
              <w:t>2 furanmethanol</w:t>
            </w:r>
          </w:p>
        </w:tc>
        <w:tc>
          <w:tcPr>
            <w:tcW w:w="880" w:type="dxa"/>
            <w:tcBorders>
              <w:top w:val="nil"/>
              <w:left w:val="nil"/>
              <w:bottom w:val="nil"/>
              <w:right w:val="nil"/>
            </w:tcBorders>
          </w:tcPr>
          <w:p w14:paraId="419CBFBD" w14:textId="77777777" w:rsidR="00D55061" w:rsidRDefault="00D55061" w:rsidP="00990BF4">
            <w:pPr>
              <w:spacing w:after="0" w:line="259" w:lineRule="auto"/>
              <w:jc w:val="left"/>
            </w:pPr>
            <w:r>
              <w:rPr>
                <w:sz w:val="17"/>
              </w:rPr>
              <w:t>846</w:t>
            </w:r>
          </w:p>
        </w:tc>
        <w:tc>
          <w:tcPr>
            <w:tcW w:w="1080" w:type="dxa"/>
            <w:tcBorders>
              <w:top w:val="nil"/>
              <w:left w:val="nil"/>
              <w:bottom w:val="nil"/>
              <w:right w:val="nil"/>
            </w:tcBorders>
          </w:tcPr>
          <w:p w14:paraId="35749425" w14:textId="77777777" w:rsidR="00D55061" w:rsidRDefault="00D55061" w:rsidP="00990BF4">
            <w:pPr>
              <w:spacing w:after="0" w:line="259" w:lineRule="auto"/>
              <w:jc w:val="left"/>
            </w:pPr>
            <w:r>
              <w:rPr>
                <w:sz w:val="17"/>
              </w:rPr>
              <w:t>826</w:t>
            </w:r>
          </w:p>
        </w:tc>
        <w:tc>
          <w:tcPr>
            <w:tcW w:w="645" w:type="dxa"/>
            <w:tcBorders>
              <w:top w:val="nil"/>
              <w:left w:val="nil"/>
              <w:bottom w:val="nil"/>
              <w:right w:val="nil"/>
            </w:tcBorders>
          </w:tcPr>
          <w:p w14:paraId="54642B27" w14:textId="77777777" w:rsidR="00D55061" w:rsidRDefault="00D55061" w:rsidP="00990BF4">
            <w:pPr>
              <w:spacing w:after="0" w:line="259" w:lineRule="auto"/>
              <w:jc w:val="left"/>
            </w:pPr>
            <w:r>
              <w:rPr>
                <w:sz w:val="17"/>
              </w:rPr>
              <w:t>830</w:t>
            </w:r>
          </w:p>
        </w:tc>
      </w:tr>
      <w:tr w:rsidR="00D55061" w14:paraId="7CA5087F" w14:textId="77777777" w:rsidTr="00990BF4">
        <w:trPr>
          <w:trHeight w:val="250"/>
        </w:trPr>
        <w:tc>
          <w:tcPr>
            <w:tcW w:w="1960" w:type="dxa"/>
            <w:tcBorders>
              <w:top w:val="nil"/>
              <w:left w:val="nil"/>
              <w:bottom w:val="nil"/>
              <w:right w:val="nil"/>
            </w:tcBorders>
          </w:tcPr>
          <w:p w14:paraId="048B75AD" w14:textId="77777777" w:rsidR="00D55061" w:rsidRDefault="00D55061" w:rsidP="00990BF4">
            <w:pPr>
              <w:spacing w:after="160" w:line="259" w:lineRule="auto"/>
              <w:jc w:val="left"/>
            </w:pPr>
          </w:p>
        </w:tc>
        <w:tc>
          <w:tcPr>
            <w:tcW w:w="1112" w:type="dxa"/>
            <w:tcBorders>
              <w:top w:val="nil"/>
              <w:left w:val="nil"/>
              <w:bottom w:val="nil"/>
              <w:right w:val="nil"/>
            </w:tcBorders>
          </w:tcPr>
          <w:p w14:paraId="752E1F13" w14:textId="77777777" w:rsidR="00D55061" w:rsidRDefault="00D55061" w:rsidP="00990BF4">
            <w:pPr>
              <w:spacing w:after="0" w:line="259" w:lineRule="auto"/>
              <w:ind w:left="2"/>
              <w:jc w:val="left"/>
            </w:pPr>
            <w:r>
              <w:rPr>
                <w:sz w:val="17"/>
              </w:rPr>
              <w:t>13.20</w:t>
            </w:r>
          </w:p>
        </w:tc>
        <w:tc>
          <w:tcPr>
            <w:tcW w:w="894" w:type="dxa"/>
            <w:tcBorders>
              <w:top w:val="nil"/>
              <w:left w:val="nil"/>
              <w:bottom w:val="nil"/>
              <w:right w:val="nil"/>
            </w:tcBorders>
          </w:tcPr>
          <w:p w14:paraId="056B02B5" w14:textId="77777777" w:rsidR="00D55061" w:rsidRDefault="00D55061" w:rsidP="00990BF4">
            <w:pPr>
              <w:spacing w:after="0" w:line="259" w:lineRule="auto"/>
              <w:ind w:left="1"/>
              <w:jc w:val="left"/>
            </w:pPr>
            <w:r>
              <w:rPr>
                <w:sz w:val="17"/>
              </w:rPr>
              <w:t>3.3</w:t>
            </w:r>
          </w:p>
        </w:tc>
        <w:tc>
          <w:tcPr>
            <w:tcW w:w="3294" w:type="dxa"/>
            <w:tcBorders>
              <w:top w:val="nil"/>
              <w:left w:val="nil"/>
              <w:bottom w:val="nil"/>
              <w:right w:val="nil"/>
            </w:tcBorders>
          </w:tcPr>
          <w:p w14:paraId="75539552" w14:textId="77777777" w:rsidR="00D55061" w:rsidRDefault="00D55061" w:rsidP="00990BF4">
            <w:pPr>
              <w:spacing w:after="0" w:line="259" w:lineRule="auto"/>
              <w:ind w:left="1"/>
              <w:jc w:val="left"/>
            </w:pPr>
            <w:r>
              <w:rPr>
                <w:sz w:val="17"/>
              </w:rPr>
              <w:t>Ethanone, 1-(2-furanyl)-</w:t>
            </w:r>
          </w:p>
        </w:tc>
        <w:tc>
          <w:tcPr>
            <w:tcW w:w="880" w:type="dxa"/>
            <w:tcBorders>
              <w:top w:val="nil"/>
              <w:left w:val="nil"/>
              <w:bottom w:val="nil"/>
              <w:right w:val="nil"/>
            </w:tcBorders>
          </w:tcPr>
          <w:p w14:paraId="22945424" w14:textId="77777777" w:rsidR="00D55061" w:rsidRDefault="00D55061" w:rsidP="00990BF4">
            <w:pPr>
              <w:spacing w:after="0" w:line="259" w:lineRule="auto"/>
              <w:jc w:val="left"/>
            </w:pPr>
            <w:r>
              <w:rPr>
                <w:sz w:val="17"/>
              </w:rPr>
              <w:t>862</w:t>
            </w:r>
          </w:p>
        </w:tc>
        <w:tc>
          <w:tcPr>
            <w:tcW w:w="1080" w:type="dxa"/>
            <w:tcBorders>
              <w:top w:val="nil"/>
              <w:left w:val="nil"/>
              <w:bottom w:val="nil"/>
              <w:right w:val="nil"/>
            </w:tcBorders>
          </w:tcPr>
          <w:p w14:paraId="2F6CAB8A" w14:textId="77777777" w:rsidR="00D55061" w:rsidRDefault="00D55061" w:rsidP="00990BF4">
            <w:pPr>
              <w:spacing w:after="0" w:line="259" w:lineRule="auto"/>
              <w:jc w:val="left"/>
            </w:pPr>
            <w:r>
              <w:rPr>
                <w:sz w:val="17"/>
              </w:rPr>
              <w:t>883</w:t>
            </w:r>
          </w:p>
        </w:tc>
        <w:tc>
          <w:tcPr>
            <w:tcW w:w="645" w:type="dxa"/>
            <w:tcBorders>
              <w:top w:val="nil"/>
              <w:left w:val="nil"/>
              <w:bottom w:val="nil"/>
              <w:right w:val="nil"/>
            </w:tcBorders>
          </w:tcPr>
          <w:p w14:paraId="76FDAB64" w14:textId="77777777" w:rsidR="00D55061" w:rsidRDefault="00D55061" w:rsidP="00990BF4">
            <w:pPr>
              <w:spacing w:after="0" w:line="259" w:lineRule="auto"/>
              <w:jc w:val="left"/>
            </w:pPr>
            <w:r>
              <w:rPr>
                <w:sz w:val="17"/>
              </w:rPr>
              <w:t>889</w:t>
            </w:r>
          </w:p>
        </w:tc>
      </w:tr>
      <w:tr w:rsidR="00D55061" w14:paraId="48AE5154" w14:textId="77777777" w:rsidTr="00990BF4">
        <w:trPr>
          <w:trHeight w:val="250"/>
        </w:trPr>
        <w:tc>
          <w:tcPr>
            <w:tcW w:w="1960" w:type="dxa"/>
            <w:tcBorders>
              <w:top w:val="nil"/>
              <w:left w:val="nil"/>
              <w:bottom w:val="nil"/>
              <w:right w:val="nil"/>
            </w:tcBorders>
          </w:tcPr>
          <w:p w14:paraId="6243E300" w14:textId="77777777" w:rsidR="00D55061" w:rsidRDefault="00D55061" w:rsidP="00990BF4">
            <w:pPr>
              <w:spacing w:after="160" w:line="259" w:lineRule="auto"/>
              <w:jc w:val="left"/>
            </w:pPr>
          </w:p>
        </w:tc>
        <w:tc>
          <w:tcPr>
            <w:tcW w:w="1112" w:type="dxa"/>
            <w:tcBorders>
              <w:top w:val="nil"/>
              <w:left w:val="nil"/>
              <w:bottom w:val="nil"/>
              <w:right w:val="nil"/>
            </w:tcBorders>
          </w:tcPr>
          <w:p w14:paraId="6168625F" w14:textId="77777777" w:rsidR="00D55061" w:rsidRDefault="00D55061" w:rsidP="00990BF4">
            <w:pPr>
              <w:spacing w:after="0" w:line="259" w:lineRule="auto"/>
              <w:ind w:left="2"/>
              <w:jc w:val="left"/>
            </w:pPr>
            <w:r>
              <w:rPr>
                <w:sz w:val="17"/>
              </w:rPr>
              <w:t>13.43</w:t>
            </w:r>
          </w:p>
        </w:tc>
        <w:tc>
          <w:tcPr>
            <w:tcW w:w="894" w:type="dxa"/>
            <w:tcBorders>
              <w:top w:val="nil"/>
              <w:left w:val="nil"/>
              <w:bottom w:val="nil"/>
              <w:right w:val="nil"/>
            </w:tcBorders>
          </w:tcPr>
          <w:p w14:paraId="7C92BB83" w14:textId="77777777" w:rsidR="00D55061" w:rsidRDefault="00D55061" w:rsidP="00990BF4">
            <w:pPr>
              <w:spacing w:after="0" w:line="259" w:lineRule="auto"/>
              <w:ind w:left="1"/>
              <w:jc w:val="left"/>
            </w:pPr>
            <w:r>
              <w:rPr>
                <w:sz w:val="17"/>
              </w:rPr>
              <w:t>0.6</w:t>
            </w:r>
          </w:p>
        </w:tc>
        <w:tc>
          <w:tcPr>
            <w:tcW w:w="3294" w:type="dxa"/>
            <w:tcBorders>
              <w:top w:val="nil"/>
              <w:left w:val="nil"/>
              <w:bottom w:val="nil"/>
              <w:right w:val="nil"/>
            </w:tcBorders>
          </w:tcPr>
          <w:p w14:paraId="24308B1A" w14:textId="77777777" w:rsidR="00D55061" w:rsidRDefault="00D55061" w:rsidP="00990BF4">
            <w:pPr>
              <w:spacing w:after="0" w:line="259" w:lineRule="auto"/>
              <w:ind w:left="1"/>
              <w:jc w:val="left"/>
            </w:pPr>
            <w:r>
              <w:rPr>
                <w:sz w:val="17"/>
              </w:rPr>
              <w:t>Pyrazine 2,5 dimethyl</w:t>
            </w:r>
          </w:p>
        </w:tc>
        <w:tc>
          <w:tcPr>
            <w:tcW w:w="880" w:type="dxa"/>
            <w:tcBorders>
              <w:top w:val="nil"/>
              <w:left w:val="nil"/>
              <w:bottom w:val="nil"/>
              <w:right w:val="nil"/>
            </w:tcBorders>
          </w:tcPr>
          <w:p w14:paraId="75551752" w14:textId="77777777" w:rsidR="00D55061" w:rsidRDefault="00D55061" w:rsidP="00990BF4">
            <w:pPr>
              <w:spacing w:after="0" w:line="259" w:lineRule="auto"/>
              <w:jc w:val="left"/>
            </w:pPr>
            <w:r>
              <w:rPr>
                <w:sz w:val="17"/>
              </w:rPr>
              <w:t>857</w:t>
            </w:r>
          </w:p>
        </w:tc>
        <w:tc>
          <w:tcPr>
            <w:tcW w:w="1080" w:type="dxa"/>
            <w:tcBorders>
              <w:top w:val="nil"/>
              <w:left w:val="nil"/>
              <w:bottom w:val="nil"/>
              <w:right w:val="nil"/>
            </w:tcBorders>
          </w:tcPr>
          <w:p w14:paraId="5C6C8B70" w14:textId="77777777" w:rsidR="00D55061" w:rsidRDefault="00D55061" w:rsidP="00990BF4">
            <w:pPr>
              <w:spacing w:after="0" w:line="259" w:lineRule="auto"/>
              <w:jc w:val="left"/>
            </w:pPr>
            <w:r>
              <w:rPr>
                <w:sz w:val="17"/>
              </w:rPr>
              <w:t>885</w:t>
            </w:r>
          </w:p>
        </w:tc>
        <w:tc>
          <w:tcPr>
            <w:tcW w:w="645" w:type="dxa"/>
            <w:tcBorders>
              <w:top w:val="nil"/>
              <w:left w:val="nil"/>
              <w:bottom w:val="nil"/>
              <w:right w:val="nil"/>
            </w:tcBorders>
          </w:tcPr>
          <w:p w14:paraId="4B2E4232" w14:textId="77777777" w:rsidR="00D55061" w:rsidRDefault="00D55061" w:rsidP="00990BF4">
            <w:pPr>
              <w:spacing w:after="0" w:line="259" w:lineRule="auto"/>
              <w:jc w:val="left"/>
            </w:pPr>
            <w:r>
              <w:rPr>
                <w:sz w:val="17"/>
              </w:rPr>
              <w:t>889</w:t>
            </w:r>
          </w:p>
        </w:tc>
      </w:tr>
      <w:tr w:rsidR="00D55061" w14:paraId="08DF4273" w14:textId="77777777" w:rsidTr="00990BF4">
        <w:trPr>
          <w:trHeight w:val="250"/>
        </w:trPr>
        <w:tc>
          <w:tcPr>
            <w:tcW w:w="1960" w:type="dxa"/>
            <w:tcBorders>
              <w:top w:val="nil"/>
              <w:left w:val="nil"/>
              <w:bottom w:val="nil"/>
              <w:right w:val="nil"/>
            </w:tcBorders>
          </w:tcPr>
          <w:p w14:paraId="6272E333" w14:textId="77777777" w:rsidR="00D55061" w:rsidRDefault="00D55061" w:rsidP="00990BF4">
            <w:pPr>
              <w:spacing w:after="160" w:line="259" w:lineRule="auto"/>
              <w:jc w:val="left"/>
            </w:pPr>
          </w:p>
        </w:tc>
        <w:tc>
          <w:tcPr>
            <w:tcW w:w="1112" w:type="dxa"/>
            <w:tcBorders>
              <w:top w:val="nil"/>
              <w:left w:val="nil"/>
              <w:bottom w:val="nil"/>
              <w:right w:val="nil"/>
            </w:tcBorders>
          </w:tcPr>
          <w:p w14:paraId="6C82F3A4" w14:textId="77777777" w:rsidR="00D55061" w:rsidRDefault="00D55061" w:rsidP="00990BF4">
            <w:pPr>
              <w:spacing w:after="0" w:line="259" w:lineRule="auto"/>
              <w:ind w:left="2"/>
              <w:jc w:val="left"/>
            </w:pPr>
            <w:r>
              <w:rPr>
                <w:sz w:val="17"/>
              </w:rPr>
              <w:t>14.33</w:t>
            </w:r>
          </w:p>
        </w:tc>
        <w:tc>
          <w:tcPr>
            <w:tcW w:w="894" w:type="dxa"/>
            <w:tcBorders>
              <w:top w:val="nil"/>
              <w:left w:val="nil"/>
              <w:bottom w:val="nil"/>
              <w:right w:val="nil"/>
            </w:tcBorders>
          </w:tcPr>
          <w:p w14:paraId="76C9CBCB" w14:textId="77777777" w:rsidR="00D55061" w:rsidRDefault="00D55061" w:rsidP="00990BF4">
            <w:pPr>
              <w:spacing w:after="0" w:line="259" w:lineRule="auto"/>
              <w:ind w:left="1"/>
              <w:jc w:val="left"/>
            </w:pPr>
            <w:r>
              <w:rPr>
                <w:sz w:val="17"/>
              </w:rPr>
              <w:t>0.6</w:t>
            </w:r>
          </w:p>
        </w:tc>
        <w:tc>
          <w:tcPr>
            <w:tcW w:w="3294" w:type="dxa"/>
            <w:tcBorders>
              <w:top w:val="nil"/>
              <w:left w:val="nil"/>
              <w:bottom w:val="nil"/>
              <w:right w:val="nil"/>
            </w:tcBorders>
          </w:tcPr>
          <w:p w14:paraId="369C1645"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1D0F21B8" w14:textId="77777777" w:rsidR="00D55061" w:rsidRDefault="00D55061" w:rsidP="00990BF4">
            <w:pPr>
              <w:spacing w:after="160" w:line="259" w:lineRule="auto"/>
              <w:jc w:val="left"/>
            </w:pPr>
          </w:p>
        </w:tc>
        <w:tc>
          <w:tcPr>
            <w:tcW w:w="1080" w:type="dxa"/>
            <w:tcBorders>
              <w:top w:val="nil"/>
              <w:left w:val="nil"/>
              <w:bottom w:val="nil"/>
              <w:right w:val="nil"/>
            </w:tcBorders>
          </w:tcPr>
          <w:p w14:paraId="688D62B6" w14:textId="77777777" w:rsidR="00D55061" w:rsidRDefault="00D55061" w:rsidP="00990BF4">
            <w:pPr>
              <w:spacing w:after="160" w:line="259" w:lineRule="auto"/>
              <w:jc w:val="left"/>
            </w:pPr>
          </w:p>
        </w:tc>
        <w:tc>
          <w:tcPr>
            <w:tcW w:w="645" w:type="dxa"/>
            <w:tcBorders>
              <w:top w:val="nil"/>
              <w:left w:val="nil"/>
              <w:bottom w:val="nil"/>
              <w:right w:val="nil"/>
            </w:tcBorders>
          </w:tcPr>
          <w:p w14:paraId="1310DC47" w14:textId="77777777" w:rsidR="00D55061" w:rsidRDefault="00D55061" w:rsidP="00990BF4">
            <w:pPr>
              <w:spacing w:after="160" w:line="259" w:lineRule="auto"/>
              <w:jc w:val="left"/>
            </w:pPr>
          </w:p>
        </w:tc>
      </w:tr>
      <w:tr w:rsidR="00D55061" w14:paraId="1E358252" w14:textId="77777777" w:rsidTr="00990BF4">
        <w:trPr>
          <w:trHeight w:val="250"/>
        </w:trPr>
        <w:tc>
          <w:tcPr>
            <w:tcW w:w="1960" w:type="dxa"/>
            <w:tcBorders>
              <w:top w:val="nil"/>
              <w:left w:val="nil"/>
              <w:bottom w:val="nil"/>
              <w:right w:val="nil"/>
            </w:tcBorders>
          </w:tcPr>
          <w:p w14:paraId="7804E128" w14:textId="77777777" w:rsidR="00D55061" w:rsidRDefault="00D55061" w:rsidP="00990BF4">
            <w:pPr>
              <w:spacing w:after="160" w:line="259" w:lineRule="auto"/>
              <w:jc w:val="left"/>
            </w:pPr>
          </w:p>
        </w:tc>
        <w:tc>
          <w:tcPr>
            <w:tcW w:w="1112" w:type="dxa"/>
            <w:tcBorders>
              <w:top w:val="nil"/>
              <w:left w:val="nil"/>
              <w:bottom w:val="nil"/>
              <w:right w:val="nil"/>
            </w:tcBorders>
          </w:tcPr>
          <w:p w14:paraId="6E3EC240" w14:textId="77777777" w:rsidR="00D55061" w:rsidRDefault="00D55061" w:rsidP="00990BF4">
            <w:pPr>
              <w:spacing w:after="0" w:line="259" w:lineRule="auto"/>
              <w:ind w:left="3"/>
              <w:jc w:val="left"/>
            </w:pPr>
            <w:r>
              <w:rPr>
                <w:sz w:val="17"/>
              </w:rPr>
              <w:t>15.23</w:t>
            </w:r>
          </w:p>
        </w:tc>
        <w:tc>
          <w:tcPr>
            <w:tcW w:w="894" w:type="dxa"/>
            <w:tcBorders>
              <w:top w:val="nil"/>
              <w:left w:val="nil"/>
              <w:bottom w:val="nil"/>
              <w:right w:val="nil"/>
            </w:tcBorders>
          </w:tcPr>
          <w:p w14:paraId="78AF01DD" w14:textId="77777777" w:rsidR="00D55061" w:rsidRDefault="00D55061" w:rsidP="00990BF4">
            <w:pPr>
              <w:spacing w:after="0" w:line="259" w:lineRule="auto"/>
              <w:ind w:left="2"/>
              <w:jc w:val="left"/>
            </w:pPr>
            <w:r>
              <w:rPr>
                <w:sz w:val="17"/>
              </w:rPr>
              <w:t>0.6</w:t>
            </w:r>
          </w:p>
        </w:tc>
        <w:tc>
          <w:tcPr>
            <w:tcW w:w="3294" w:type="dxa"/>
            <w:tcBorders>
              <w:top w:val="nil"/>
              <w:left w:val="nil"/>
              <w:bottom w:val="nil"/>
              <w:right w:val="nil"/>
            </w:tcBorders>
          </w:tcPr>
          <w:p w14:paraId="6CE77BC9"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0784BBA5" w14:textId="77777777" w:rsidR="00D55061" w:rsidRDefault="00D55061" w:rsidP="00990BF4">
            <w:pPr>
              <w:spacing w:after="160" w:line="259" w:lineRule="auto"/>
              <w:jc w:val="left"/>
            </w:pPr>
          </w:p>
        </w:tc>
        <w:tc>
          <w:tcPr>
            <w:tcW w:w="1080" w:type="dxa"/>
            <w:tcBorders>
              <w:top w:val="nil"/>
              <w:left w:val="nil"/>
              <w:bottom w:val="nil"/>
              <w:right w:val="nil"/>
            </w:tcBorders>
          </w:tcPr>
          <w:p w14:paraId="0A1F5288" w14:textId="77777777" w:rsidR="00D55061" w:rsidRDefault="00D55061" w:rsidP="00990BF4">
            <w:pPr>
              <w:spacing w:after="160" w:line="259" w:lineRule="auto"/>
              <w:jc w:val="left"/>
            </w:pPr>
          </w:p>
        </w:tc>
        <w:tc>
          <w:tcPr>
            <w:tcW w:w="645" w:type="dxa"/>
            <w:tcBorders>
              <w:top w:val="nil"/>
              <w:left w:val="nil"/>
              <w:bottom w:val="nil"/>
              <w:right w:val="nil"/>
            </w:tcBorders>
          </w:tcPr>
          <w:p w14:paraId="6EADD79D" w14:textId="77777777" w:rsidR="00D55061" w:rsidRDefault="00D55061" w:rsidP="00990BF4">
            <w:pPr>
              <w:spacing w:after="160" w:line="259" w:lineRule="auto"/>
              <w:jc w:val="left"/>
            </w:pPr>
          </w:p>
        </w:tc>
      </w:tr>
      <w:tr w:rsidR="00D55061" w14:paraId="279DF5BA" w14:textId="77777777" w:rsidTr="00990BF4">
        <w:trPr>
          <w:trHeight w:val="250"/>
        </w:trPr>
        <w:tc>
          <w:tcPr>
            <w:tcW w:w="1960" w:type="dxa"/>
            <w:tcBorders>
              <w:top w:val="nil"/>
              <w:left w:val="nil"/>
              <w:bottom w:val="nil"/>
              <w:right w:val="nil"/>
            </w:tcBorders>
          </w:tcPr>
          <w:p w14:paraId="05D54701" w14:textId="77777777" w:rsidR="00D55061" w:rsidRDefault="00D55061" w:rsidP="00990BF4">
            <w:pPr>
              <w:spacing w:after="160" w:line="259" w:lineRule="auto"/>
              <w:jc w:val="left"/>
            </w:pPr>
          </w:p>
        </w:tc>
        <w:tc>
          <w:tcPr>
            <w:tcW w:w="1112" w:type="dxa"/>
            <w:tcBorders>
              <w:top w:val="nil"/>
              <w:left w:val="nil"/>
              <w:bottom w:val="nil"/>
              <w:right w:val="nil"/>
            </w:tcBorders>
          </w:tcPr>
          <w:p w14:paraId="6211A237" w14:textId="77777777" w:rsidR="00D55061" w:rsidRDefault="00D55061" w:rsidP="00990BF4">
            <w:pPr>
              <w:spacing w:after="0" w:line="259" w:lineRule="auto"/>
              <w:ind w:left="3"/>
              <w:jc w:val="left"/>
            </w:pPr>
            <w:r>
              <w:rPr>
                <w:sz w:val="17"/>
              </w:rPr>
              <w:t>15.90</w:t>
            </w:r>
          </w:p>
        </w:tc>
        <w:tc>
          <w:tcPr>
            <w:tcW w:w="894" w:type="dxa"/>
            <w:tcBorders>
              <w:top w:val="nil"/>
              <w:left w:val="nil"/>
              <w:bottom w:val="nil"/>
              <w:right w:val="nil"/>
            </w:tcBorders>
          </w:tcPr>
          <w:p w14:paraId="5989024D" w14:textId="77777777" w:rsidR="00D55061" w:rsidRDefault="00D55061" w:rsidP="00990BF4">
            <w:pPr>
              <w:spacing w:after="0" w:line="259" w:lineRule="auto"/>
              <w:ind w:left="2"/>
              <w:jc w:val="left"/>
            </w:pPr>
            <w:r>
              <w:rPr>
                <w:sz w:val="17"/>
              </w:rPr>
              <w:t>3.3</w:t>
            </w:r>
          </w:p>
        </w:tc>
        <w:tc>
          <w:tcPr>
            <w:tcW w:w="3294" w:type="dxa"/>
            <w:tcBorders>
              <w:top w:val="nil"/>
              <w:left w:val="nil"/>
              <w:bottom w:val="nil"/>
              <w:right w:val="nil"/>
            </w:tcBorders>
          </w:tcPr>
          <w:p w14:paraId="782A3A82" w14:textId="77777777" w:rsidR="00D55061" w:rsidRDefault="00D55061" w:rsidP="00990BF4">
            <w:pPr>
              <w:spacing w:after="0" w:line="259" w:lineRule="auto"/>
              <w:ind w:left="1"/>
              <w:jc w:val="left"/>
            </w:pPr>
            <w:r>
              <w:rPr>
                <w:sz w:val="17"/>
              </w:rPr>
              <w:t>Pyrazine, 2-ethyl-5-methyl-</w:t>
            </w:r>
          </w:p>
        </w:tc>
        <w:tc>
          <w:tcPr>
            <w:tcW w:w="880" w:type="dxa"/>
            <w:tcBorders>
              <w:top w:val="nil"/>
              <w:left w:val="nil"/>
              <w:bottom w:val="nil"/>
              <w:right w:val="nil"/>
            </w:tcBorders>
          </w:tcPr>
          <w:p w14:paraId="071374B5" w14:textId="77777777" w:rsidR="00D55061" w:rsidRDefault="00D55061" w:rsidP="00990BF4">
            <w:pPr>
              <w:spacing w:after="0" w:line="259" w:lineRule="auto"/>
              <w:ind w:left="1"/>
              <w:jc w:val="left"/>
            </w:pPr>
            <w:r>
              <w:rPr>
                <w:sz w:val="17"/>
              </w:rPr>
              <w:t>833</w:t>
            </w:r>
          </w:p>
        </w:tc>
        <w:tc>
          <w:tcPr>
            <w:tcW w:w="1080" w:type="dxa"/>
            <w:tcBorders>
              <w:top w:val="nil"/>
              <w:left w:val="nil"/>
              <w:bottom w:val="nil"/>
              <w:right w:val="nil"/>
            </w:tcBorders>
          </w:tcPr>
          <w:p w14:paraId="1070F163" w14:textId="77777777" w:rsidR="00D55061" w:rsidRDefault="00D55061" w:rsidP="00990BF4">
            <w:pPr>
              <w:spacing w:after="0" w:line="259" w:lineRule="auto"/>
              <w:ind w:left="1"/>
              <w:jc w:val="left"/>
            </w:pPr>
            <w:r>
              <w:rPr>
                <w:sz w:val="17"/>
              </w:rPr>
              <w:t>962</w:t>
            </w:r>
          </w:p>
        </w:tc>
        <w:tc>
          <w:tcPr>
            <w:tcW w:w="645" w:type="dxa"/>
            <w:tcBorders>
              <w:top w:val="nil"/>
              <w:left w:val="nil"/>
              <w:bottom w:val="nil"/>
              <w:right w:val="nil"/>
            </w:tcBorders>
          </w:tcPr>
          <w:p w14:paraId="57E92E31" w14:textId="77777777" w:rsidR="00D55061" w:rsidRDefault="00D55061" w:rsidP="00990BF4">
            <w:pPr>
              <w:spacing w:after="0" w:line="259" w:lineRule="auto"/>
              <w:ind w:left="1"/>
              <w:jc w:val="left"/>
            </w:pPr>
            <w:r>
              <w:rPr>
                <w:sz w:val="17"/>
              </w:rPr>
              <w:t>975</w:t>
            </w:r>
          </w:p>
        </w:tc>
      </w:tr>
      <w:tr w:rsidR="00D55061" w14:paraId="3CC26520" w14:textId="77777777" w:rsidTr="00990BF4">
        <w:trPr>
          <w:trHeight w:val="250"/>
        </w:trPr>
        <w:tc>
          <w:tcPr>
            <w:tcW w:w="1960" w:type="dxa"/>
            <w:tcBorders>
              <w:top w:val="nil"/>
              <w:left w:val="nil"/>
              <w:bottom w:val="nil"/>
              <w:right w:val="nil"/>
            </w:tcBorders>
          </w:tcPr>
          <w:p w14:paraId="71E8B7EF" w14:textId="77777777" w:rsidR="00D55061" w:rsidRDefault="00D55061" w:rsidP="00990BF4">
            <w:pPr>
              <w:spacing w:after="160" w:line="259" w:lineRule="auto"/>
              <w:jc w:val="left"/>
            </w:pPr>
          </w:p>
        </w:tc>
        <w:tc>
          <w:tcPr>
            <w:tcW w:w="1112" w:type="dxa"/>
            <w:tcBorders>
              <w:top w:val="nil"/>
              <w:left w:val="nil"/>
              <w:bottom w:val="nil"/>
              <w:right w:val="nil"/>
            </w:tcBorders>
          </w:tcPr>
          <w:p w14:paraId="07E54416" w14:textId="77777777" w:rsidR="00D55061" w:rsidRDefault="00D55061" w:rsidP="00990BF4">
            <w:pPr>
              <w:spacing w:after="0" w:line="259" w:lineRule="auto"/>
              <w:ind w:left="3"/>
              <w:jc w:val="left"/>
            </w:pPr>
            <w:r>
              <w:rPr>
                <w:sz w:val="17"/>
              </w:rPr>
              <w:t>15.90</w:t>
            </w:r>
          </w:p>
        </w:tc>
        <w:tc>
          <w:tcPr>
            <w:tcW w:w="894" w:type="dxa"/>
            <w:tcBorders>
              <w:top w:val="nil"/>
              <w:left w:val="nil"/>
              <w:bottom w:val="nil"/>
              <w:right w:val="nil"/>
            </w:tcBorders>
          </w:tcPr>
          <w:p w14:paraId="0171C801" w14:textId="77777777" w:rsidR="00D55061" w:rsidRDefault="00D55061" w:rsidP="00990BF4">
            <w:pPr>
              <w:spacing w:after="0" w:line="259" w:lineRule="auto"/>
              <w:ind w:left="2"/>
              <w:jc w:val="left"/>
            </w:pPr>
            <w:r>
              <w:rPr>
                <w:sz w:val="17"/>
              </w:rPr>
              <w:t>3.3</w:t>
            </w:r>
          </w:p>
        </w:tc>
        <w:tc>
          <w:tcPr>
            <w:tcW w:w="3294" w:type="dxa"/>
            <w:tcBorders>
              <w:top w:val="nil"/>
              <w:left w:val="nil"/>
              <w:bottom w:val="nil"/>
              <w:right w:val="nil"/>
            </w:tcBorders>
          </w:tcPr>
          <w:p w14:paraId="051270D6" w14:textId="77777777" w:rsidR="00D55061" w:rsidRDefault="00D55061" w:rsidP="00990BF4">
            <w:pPr>
              <w:spacing w:after="0" w:line="259" w:lineRule="auto"/>
              <w:ind w:left="1"/>
              <w:jc w:val="left"/>
            </w:pPr>
            <w:r>
              <w:rPr>
                <w:sz w:val="17"/>
              </w:rPr>
              <w:t>Pyrazine, 2-ethyl-6-methyl-</w:t>
            </w:r>
          </w:p>
        </w:tc>
        <w:tc>
          <w:tcPr>
            <w:tcW w:w="880" w:type="dxa"/>
            <w:tcBorders>
              <w:top w:val="nil"/>
              <w:left w:val="nil"/>
              <w:bottom w:val="nil"/>
              <w:right w:val="nil"/>
            </w:tcBorders>
          </w:tcPr>
          <w:p w14:paraId="2F7F6423" w14:textId="77777777" w:rsidR="00D55061" w:rsidRDefault="00D55061" w:rsidP="00990BF4">
            <w:pPr>
              <w:spacing w:after="0" w:line="259" w:lineRule="auto"/>
              <w:ind w:left="1"/>
              <w:jc w:val="left"/>
            </w:pPr>
            <w:r>
              <w:rPr>
                <w:sz w:val="17"/>
              </w:rPr>
              <w:t>823</w:t>
            </w:r>
          </w:p>
        </w:tc>
        <w:tc>
          <w:tcPr>
            <w:tcW w:w="1080" w:type="dxa"/>
            <w:tcBorders>
              <w:top w:val="nil"/>
              <w:left w:val="nil"/>
              <w:bottom w:val="nil"/>
              <w:right w:val="nil"/>
            </w:tcBorders>
          </w:tcPr>
          <w:p w14:paraId="45316000" w14:textId="77777777" w:rsidR="00D55061" w:rsidRDefault="00D55061" w:rsidP="00990BF4">
            <w:pPr>
              <w:spacing w:after="0" w:line="259" w:lineRule="auto"/>
              <w:ind w:left="1"/>
              <w:jc w:val="left"/>
            </w:pPr>
            <w:r>
              <w:rPr>
                <w:sz w:val="17"/>
              </w:rPr>
              <w:t>967</w:t>
            </w:r>
          </w:p>
        </w:tc>
        <w:tc>
          <w:tcPr>
            <w:tcW w:w="645" w:type="dxa"/>
            <w:tcBorders>
              <w:top w:val="nil"/>
              <w:left w:val="nil"/>
              <w:bottom w:val="nil"/>
              <w:right w:val="nil"/>
            </w:tcBorders>
          </w:tcPr>
          <w:p w14:paraId="123CACEB" w14:textId="77777777" w:rsidR="00D55061" w:rsidRDefault="00D55061" w:rsidP="00990BF4">
            <w:pPr>
              <w:spacing w:after="0" w:line="259" w:lineRule="auto"/>
              <w:ind w:left="1"/>
              <w:jc w:val="left"/>
            </w:pPr>
            <w:r>
              <w:rPr>
                <w:sz w:val="17"/>
              </w:rPr>
              <w:t>976</w:t>
            </w:r>
          </w:p>
        </w:tc>
      </w:tr>
      <w:tr w:rsidR="00D55061" w14:paraId="71734F6F" w14:textId="77777777" w:rsidTr="00990BF4">
        <w:trPr>
          <w:trHeight w:val="250"/>
        </w:trPr>
        <w:tc>
          <w:tcPr>
            <w:tcW w:w="1960" w:type="dxa"/>
            <w:tcBorders>
              <w:top w:val="nil"/>
              <w:left w:val="nil"/>
              <w:bottom w:val="nil"/>
              <w:right w:val="nil"/>
            </w:tcBorders>
          </w:tcPr>
          <w:p w14:paraId="08AE477B" w14:textId="77777777" w:rsidR="00D55061" w:rsidRDefault="00D55061" w:rsidP="00990BF4">
            <w:pPr>
              <w:spacing w:after="160" w:line="259" w:lineRule="auto"/>
              <w:jc w:val="left"/>
            </w:pPr>
          </w:p>
        </w:tc>
        <w:tc>
          <w:tcPr>
            <w:tcW w:w="1112" w:type="dxa"/>
            <w:tcBorders>
              <w:top w:val="nil"/>
              <w:left w:val="nil"/>
              <w:bottom w:val="nil"/>
              <w:right w:val="nil"/>
            </w:tcBorders>
          </w:tcPr>
          <w:p w14:paraId="20F8FEC5" w14:textId="77777777" w:rsidR="00D55061" w:rsidRDefault="00D55061" w:rsidP="00990BF4">
            <w:pPr>
              <w:spacing w:after="0" w:line="259" w:lineRule="auto"/>
              <w:ind w:left="3"/>
              <w:jc w:val="left"/>
            </w:pPr>
            <w:r>
              <w:rPr>
                <w:sz w:val="17"/>
              </w:rPr>
              <w:t>16.13</w:t>
            </w:r>
          </w:p>
        </w:tc>
        <w:tc>
          <w:tcPr>
            <w:tcW w:w="894" w:type="dxa"/>
            <w:tcBorders>
              <w:top w:val="nil"/>
              <w:left w:val="nil"/>
              <w:bottom w:val="nil"/>
              <w:right w:val="nil"/>
            </w:tcBorders>
          </w:tcPr>
          <w:p w14:paraId="0B52912E" w14:textId="77777777" w:rsidR="00D55061" w:rsidRDefault="00D55061" w:rsidP="00990BF4">
            <w:pPr>
              <w:spacing w:after="0" w:line="259" w:lineRule="auto"/>
              <w:ind w:left="2"/>
              <w:jc w:val="left"/>
            </w:pPr>
            <w:r>
              <w:rPr>
                <w:sz w:val="17"/>
              </w:rPr>
              <w:t>0.6</w:t>
            </w:r>
          </w:p>
        </w:tc>
        <w:tc>
          <w:tcPr>
            <w:tcW w:w="3294" w:type="dxa"/>
            <w:tcBorders>
              <w:top w:val="nil"/>
              <w:left w:val="nil"/>
              <w:bottom w:val="nil"/>
              <w:right w:val="nil"/>
            </w:tcBorders>
          </w:tcPr>
          <w:p w14:paraId="79983B5E" w14:textId="77777777" w:rsidR="00D55061" w:rsidRDefault="00D55061" w:rsidP="00990BF4">
            <w:pPr>
              <w:spacing w:after="0" w:line="259" w:lineRule="auto"/>
              <w:ind w:left="1"/>
              <w:jc w:val="left"/>
            </w:pPr>
            <w:r>
              <w:rPr>
                <w:sz w:val="17"/>
              </w:rPr>
              <w:t>Pyrazine, 2-ethyl-3-methyl-</w:t>
            </w:r>
          </w:p>
        </w:tc>
        <w:tc>
          <w:tcPr>
            <w:tcW w:w="880" w:type="dxa"/>
            <w:tcBorders>
              <w:top w:val="nil"/>
              <w:left w:val="nil"/>
              <w:bottom w:val="nil"/>
              <w:right w:val="nil"/>
            </w:tcBorders>
          </w:tcPr>
          <w:p w14:paraId="602A850D" w14:textId="77777777" w:rsidR="00D55061" w:rsidRDefault="00D55061" w:rsidP="00990BF4">
            <w:pPr>
              <w:spacing w:after="0" w:line="259" w:lineRule="auto"/>
              <w:ind w:left="1"/>
              <w:jc w:val="left"/>
            </w:pPr>
            <w:r>
              <w:rPr>
                <w:sz w:val="17"/>
              </w:rPr>
              <w:t>850</w:t>
            </w:r>
          </w:p>
        </w:tc>
        <w:tc>
          <w:tcPr>
            <w:tcW w:w="1080" w:type="dxa"/>
            <w:tcBorders>
              <w:top w:val="nil"/>
              <w:left w:val="nil"/>
              <w:bottom w:val="nil"/>
              <w:right w:val="nil"/>
            </w:tcBorders>
          </w:tcPr>
          <w:p w14:paraId="5A3F1FF5" w14:textId="77777777" w:rsidR="00D55061" w:rsidRDefault="00D55061" w:rsidP="00990BF4">
            <w:pPr>
              <w:spacing w:after="0" w:line="259" w:lineRule="auto"/>
              <w:ind w:left="1"/>
              <w:jc w:val="left"/>
            </w:pPr>
            <w:r>
              <w:rPr>
                <w:sz w:val="17"/>
              </w:rPr>
              <w:t>978</w:t>
            </w:r>
          </w:p>
        </w:tc>
        <w:tc>
          <w:tcPr>
            <w:tcW w:w="645" w:type="dxa"/>
            <w:tcBorders>
              <w:top w:val="nil"/>
              <w:left w:val="nil"/>
              <w:bottom w:val="nil"/>
              <w:right w:val="nil"/>
            </w:tcBorders>
          </w:tcPr>
          <w:p w14:paraId="42B9EAD9" w14:textId="77777777" w:rsidR="00D55061" w:rsidRDefault="00D55061" w:rsidP="00990BF4">
            <w:pPr>
              <w:spacing w:after="0" w:line="259" w:lineRule="auto"/>
              <w:ind w:left="1"/>
              <w:jc w:val="left"/>
            </w:pPr>
            <w:r>
              <w:rPr>
                <w:sz w:val="17"/>
              </w:rPr>
              <w:t>970</w:t>
            </w:r>
          </w:p>
        </w:tc>
      </w:tr>
      <w:tr w:rsidR="00D55061" w14:paraId="71CFBD3A" w14:textId="77777777" w:rsidTr="00990BF4">
        <w:trPr>
          <w:trHeight w:val="250"/>
        </w:trPr>
        <w:tc>
          <w:tcPr>
            <w:tcW w:w="1960" w:type="dxa"/>
            <w:tcBorders>
              <w:top w:val="nil"/>
              <w:left w:val="nil"/>
              <w:bottom w:val="nil"/>
              <w:right w:val="nil"/>
            </w:tcBorders>
          </w:tcPr>
          <w:p w14:paraId="6FBB55E6" w14:textId="77777777" w:rsidR="00D55061" w:rsidRDefault="00D55061" w:rsidP="00990BF4">
            <w:pPr>
              <w:spacing w:after="160" w:line="259" w:lineRule="auto"/>
              <w:jc w:val="left"/>
            </w:pPr>
          </w:p>
        </w:tc>
        <w:tc>
          <w:tcPr>
            <w:tcW w:w="1112" w:type="dxa"/>
            <w:tcBorders>
              <w:top w:val="nil"/>
              <w:left w:val="nil"/>
              <w:bottom w:val="nil"/>
              <w:right w:val="nil"/>
            </w:tcBorders>
          </w:tcPr>
          <w:p w14:paraId="00DB4D13" w14:textId="77777777" w:rsidR="00D55061" w:rsidRDefault="00D55061" w:rsidP="00990BF4">
            <w:pPr>
              <w:spacing w:after="0" w:line="259" w:lineRule="auto"/>
              <w:ind w:left="3"/>
              <w:jc w:val="left"/>
            </w:pPr>
            <w:r>
              <w:rPr>
                <w:sz w:val="17"/>
              </w:rPr>
              <w:t>16.13</w:t>
            </w:r>
          </w:p>
        </w:tc>
        <w:tc>
          <w:tcPr>
            <w:tcW w:w="894" w:type="dxa"/>
            <w:tcBorders>
              <w:top w:val="nil"/>
              <w:left w:val="nil"/>
              <w:bottom w:val="nil"/>
              <w:right w:val="nil"/>
            </w:tcBorders>
          </w:tcPr>
          <w:p w14:paraId="78287065"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426CD01F"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63791D2F" w14:textId="77777777" w:rsidR="00D55061" w:rsidRDefault="00D55061" w:rsidP="00990BF4">
            <w:pPr>
              <w:spacing w:after="160" w:line="259" w:lineRule="auto"/>
              <w:jc w:val="left"/>
            </w:pPr>
          </w:p>
        </w:tc>
        <w:tc>
          <w:tcPr>
            <w:tcW w:w="1080" w:type="dxa"/>
            <w:tcBorders>
              <w:top w:val="nil"/>
              <w:left w:val="nil"/>
              <w:bottom w:val="nil"/>
              <w:right w:val="nil"/>
            </w:tcBorders>
          </w:tcPr>
          <w:p w14:paraId="386191CE" w14:textId="77777777" w:rsidR="00D55061" w:rsidRDefault="00D55061" w:rsidP="00990BF4">
            <w:pPr>
              <w:spacing w:after="160" w:line="259" w:lineRule="auto"/>
              <w:jc w:val="left"/>
            </w:pPr>
          </w:p>
        </w:tc>
        <w:tc>
          <w:tcPr>
            <w:tcW w:w="645" w:type="dxa"/>
            <w:tcBorders>
              <w:top w:val="nil"/>
              <w:left w:val="nil"/>
              <w:bottom w:val="nil"/>
              <w:right w:val="nil"/>
            </w:tcBorders>
          </w:tcPr>
          <w:p w14:paraId="12235DBC" w14:textId="77777777" w:rsidR="00D55061" w:rsidRDefault="00D55061" w:rsidP="00990BF4">
            <w:pPr>
              <w:spacing w:after="160" w:line="259" w:lineRule="auto"/>
              <w:jc w:val="left"/>
            </w:pPr>
          </w:p>
        </w:tc>
      </w:tr>
      <w:tr w:rsidR="00D55061" w14:paraId="5509A7C7" w14:textId="77777777" w:rsidTr="00990BF4">
        <w:trPr>
          <w:trHeight w:val="250"/>
        </w:trPr>
        <w:tc>
          <w:tcPr>
            <w:tcW w:w="1960" w:type="dxa"/>
            <w:tcBorders>
              <w:top w:val="nil"/>
              <w:left w:val="nil"/>
              <w:bottom w:val="nil"/>
              <w:right w:val="nil"/>
            </w:tcBorders>
          </w:tcPr>
          <w:p w14:paraId="499B424C" w14:textId="77777777" w:rsidR="00D55061" w:rsidRDefault="00D55061" w:rsidP="00990BF4">
            <w:pPr>
              <w:spacing w:after="160" w:line="259" w:lineRule="auto"/>
              <w:jc w:val="left"/>
            </w:pPr>
          </w:p>
        </w:tc>
        <w:tc>
          <w:tcPr>
            <w:tcW w:w="1112" w:type="dxa"/>
            <w:tcBorders>
              <w:top w:val="nil"/>
              <w:left w:val="nil"/>
              <w:bottom w:val="nil"/>
              <w:right w:val="nil"/>
            </w:tcBorders>
          </w:tcPr>
          <w:p w14:paraId="644B2A8F" w14:textId="77777777" w:rsidR="00D55061" w:rsidRDefault="00D55061" w:rsidP="00990BF4">
            <w:pPr>
              <w:spacing w:after="0" w:line="259" w:lineRule="auto"/>
              <w:ind w:left="3"/>
              <w:jc w:val="left"/>
            </w:pPr>
            <w:r>
              <w:rPr>
                <w:sz w:val="17"/>
              </w:rPr>
              <w:t>16.35</w:t>
            </w:r>
          </w:p>
        </w:tc>
        <w:tc>
          <w:tcPr>
            <w:tcW w:w="894" w:type="dxa"/>
            <w:tcBorders>
              <w:top w:val="nil"/>
              <w:left w:val="nil"/>
              <w:bottom w:val="nil"/>
              <w:right w:val="nil"/>
            </w:tcBorders>
          </w:tcPr>
          <w:p w14:paraId="32AC9EB2" w14:textId="77777777" w:rsidR="00D55061" w:rsidRDefault="00D55061" w:rsidP="00990BF4">
            <w:pPr>
              <w:spacing w:after="0" w:line="259" w:lineRule="auto"/>
              <w:ind w:left="2"/>
              <w:jc w:val="left"/>
            </w:pPr>
            <w:r>
              <w:rPr>
                <w:sz w:val="17"/>
              </w:rPr>
              <w:t>3.3</w:t>
            </w:r>
          </w:p>
        </w:tc>
        <w:tc>
          <w:tcPr>
            <w:tcW w:w="3294" w:type="dxa"/>
            <w:tcBorders>
              <w:top w:val="nil"/>
              <w:left w:val="nil"/>
              <w:bottom w:val="nil"/>
              <w:right w:val="nil"/>
            </w:tcBorders>
          </w:tcPr>
          <w:p w14:paraId="2350D7FA"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6F7A45F8" w14:textId="77777777" w:rsidR="00D55061" w:rsidRDefault="00D55061" w:rsidP="00990BF4">
            <w:pPr>
              <w:spacing w:after="160" w:line="259" w:lineRule="auto"/>
              <w:jc w:val="left"/>
            </w:pPr>
          </w:p>
        </w:tc>
        <w:tc>
          <w:tcPr>
            <w:tcW w:w="1080" w:type="dxa"/>
            <w:tcBorders>
              <w:top w:val="nil"/>
              <w:left w:val="nil"/>
              <w:bottom w:val="nil"/>
              <w:right w:val="nil"/>
            </w:tcBorders>
          </w:tcPr>
          <w:p w14:paraId="40DB251E" w14:textId="77777777" w:rsidR="00D55061" w:rsidRDefault="00D55061" w:rsidP="00990BF4">
            <w:pPr>
              <w:spacing w:after="160" w:line="259" w:lineRule="auto"/>
              <w:jc w:val="left"/>
            </w:pPr>
          </w:p>
        </w:tc>
        <w:tc>
          <w:tcPr>
            <w:tcW w:w="645" w:type="dxa"/>
            <w:tcBorders>
              <w:top w:val="nil"/>
              <w:left w:val="nil"/>
              <w:bottom w:val="nil"/>
              <w:right w:val="nil"/>
            </w:tcBorders>
          </w:tcPr>
          <w:p w14:paraId="322BCAA3" w14:textId="77777777" w:rsidR="00D55061" w:rsidRDefault="00D55061" w:rsidP="00990BF4">
            <w:pPr>
              <w:spacing w:after="160" w:line="259" w:lineRule="auto"/>
              <w:jc w:val="left"/>
            </w:pPr>
          </w:p>
        </w:tc>
      </w:tr>
      <w:tr w:rsidR="00D55061" w14:paraId="57BB0D8E" w14:textId="77777777" w:rsidTr="00990BF4">
        <w:trPr>
          <w:trHeight w:val="250"/>
        </w:trPr>
        <w:tc>
          <w:tcPr>
            <w:tcW w:w="1960" w:type="dxa"/>
            <w:tcBorders>
              <w:top w:val="nil"/>
              <w:left w:val="nil"/>
              <w:bottom w:val="nil"/>
              <w:right w:val="nil"/>
            </w:tcBorders>
          </w:tcPr>
          <w:p w14:paraId="6E7671F4" w14:textId="77777777" w:rsidR="00D55061" w:rsidRDefault="00D55061" w:rsidP="00990BF4">
            <w:pPr>
              <w:spacing w:after="160" w:line="259" w:lineRule="auto"/>
              <w:jc w:val="left"/>
            </w:pPr>
          </w:p>
        </w:tc>
        <w:tc>
          <w:tcPr>
            <w:tcW w:w="1112" w:type="dxa"/>
            <w:tcBorders>
              <w:top w:val="nil"/>
              <w:left w:val="nil"/>
              <w:bottom w:val="nil"/>
              <w:right w:val="nil"/>
            </w:tcBorders>
          </w:tcPr>
          <w:p w14:paraId="50FE96B9" w14:textId="77777777" w:rsidR="00D55061" w:rsidRDefault="00D55061" w:rsidP="00990BF4">
            <w:pPr>
              <w:spacing w:after="0" w:line="259" w:lineRule="auto"/>
              <w:ind w:left="3"/>
              <w:jc w:val="left"/>
            </w:pPr>
            <w:r>
              <w:rPr>
                <w:sz w:val="17"/>
              </w:rPr>
              <w:t>16.58</w:t>
            </w:r>
          </w:p>
        </w:tc>
        <w:tc>
          <w:tcPr>
            <w:tcW w:w="894" w:type="dxa"/>
            <w:tcBorders>
              <w:top w:val="nil"/>
              <w:left w:val="nil"/>
              <w:bottom w:val="nil"/>
              <w:right w:val="nil"/>
            </w:tcBorders>
          </w:tcPr>
          <w:p w14:paraId="51E9256D"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784DA7DA" w14:textId="77777777" w:rsidR="00D55061" w:rsidRDefault="00D55061" w:rsidP="00990BF4">
            <w:pPr>
              <w:spacing w:after="0" w:line="259" w:lineRule="auto"/>
              <w:ind w:left="1"/>
              <w:jc w:val="left"/>
            </w:pPr>
            <w:r>
              <w:rPr>
                <w:sz w:val="17"/>
              </w:rPr>
              <w:t>4(H)-Pyridine, N-acetyl-</w:t>
            </w:r>
          </w:p>
        </w:tc>
        <w:tc>
          <w:tcPr>
            <w:tcW w:w="880" w:type="dxa"/>
            <w:tcBorders>
              <w:top w:val="nil"/>
              <w:left w:val="nil"/>
              <w:bottom w:val="nil"/>
              <w:right w:val="nil"/>
            </w:tcBorders>
          </w:tcPr>
          <w:p w14:paraId="562D4D8E" w14:textId="77777777" w:rsidR="00D55061" w:rsidRDefault="00D55061" w:rsidP="00990BF4">
            <w:pPr>
              <w:spacing w:after="0" w:line="259" w:lineRule="auto"/>
              <w:ind w:left="1"/>
              <w:jc w:val="left"/>
            </w:pPr>
            <w:r>
              <w:rPr>
                <w:sz w:val="17"/>
              </w:rPr>
              <w:t>653</w:t>
            </w:r>
          </w:p>
        </w:tc>
        <w:tc>
          <w:tcPr>
            <w:tcW w:w="1080" w:type="dxa"/>
            <w:tcBorders>
              <w:top w:val="nil"/>
              <w:left w:val="nil"/>
              <w:bottom w:val="nil"/>
              <w:right w:val="nil"/>
            </w:tcBorders>
          </w:tcPr>
          <w:p w14:paraId="23052810" w14:textId="77777777" w:rsidR="00D55061" w:rsidRDefault="00D55061" w:rsidP="00990BF4">
            <w:pPr>
              <w:spacing w:after="0" w:line="259" w:lineRule="auto"/>
              <w:ind w:left="1"/>
              <w:jc w:val="left"/>
            </w:pPr>
            <w:r>
              <w:rPr>
                <w:sz w:val="17"/>
              </w:rPr>
              <w:t>991</w:t>
            </w:r>
          </w:p>
        </w:tc>
        <w:tc>
          <w:tcPr>
            <w:tcW w:w="645" w:type="dxa"/>
            <w:tcBorders>
              <w:top w:val="nil"/>
              <w:left w:val="nil"/>
              <w:bottom w:val="nil"/>
              <w:right w:val="nil"/>
            </w:tcBorders>
          </w:tcPr>
          <w:p w14:paraId="17DEC1BC" w14:textId="77777777" w:rsidR="00D55061" w:rsidRDefault="00D55061" w:rsidP="00990BF4">
            <w:pPr>
              <w:spacing w:after="0" w:line="259" w:lineRule="auto"/>
              <w:ind w:left="1"/>
              <w:jc w:val="left"/>
            </w:pPr>
            <w:r>
              <w:rPr>
                <w:sz w:val="17"/>
              </w:rPr>
              <w:t>1038*</w:t>
            </w:r>
          </w:p>
        </w:tc>
      </w:tr>
      <w:tr w:rsidR="00D55061" w14:paraId="0C09DFAA" w14:textId="77777777" w:rsidTr="00990BF4">
        <w:trPr>
          <w:trHeight w:val="250"/>
        </w:trPr>
        <w:tc>
          <w:tcPr>
            <w:tcW w:w="1960" w:type="dxa"/>
            <w:tcBorders>
              <w:top w:val="nil"/>
              <w:left w:val="nil"/>
              <w:bottom w:val="nil"/>
              <w:right w:val="nil"/>
            </w:tcBorders>
          </w:tcPr>
          <w:p w14:paraId="3E03ECA2" w14:textId="77777777" w:rsidR="00D55061" w:rsidRDefault="00D55061" w:rsidP="00990BF4">
            <w:pPr>
              <w:spacing w:after="160" w:line="259" w:lineRule="auto"/>
              <w:jc w:val="left"/>
            </w:pPr>
          </w:p>
        </w:tc>
        <w:tc>
          <w:tcPr>
            <w:tcW w:w="1112" w:type="dxa"/>
            <w:tcBorders>
              <w:top w:val="nil"/>
              <w:left w:val="nil"/>
              <w:bottom w:val="nil"/>
              <w:right w:val="nil"/>
            </w:tcBorders>
          </w:tcPr>
          <w:p w14:paraId="3799D9D8" w14:textId="77777777" w:rsidR="00D55061" w:rsidRDefault="00D55061" w:rsidP="00990BF4">
            <w:pPr>
              <w:spacing w:after="0" w:line="259" w:lineRule="auto"/>
              <w:ind w:left="3"/>
              <w:jc w:val="left"/>
            </w:pPr>
            <w:r>
              <w:rPr>
                <w:sz w:val="17"/>
              </w:rPr>
              <w:t>16.80</w:t>
            </w:r>
          </w:p>
        </w:tc>
        <w:tc>
          <w:tcPr>
            <w:tcW w:w="894" w:type="dxa"/>
            <w:tcBorders>
              <w:top w:val="nil"/>
              <w:left w:val="nil"/>
              <w:bottom w:val="nil"/>
              <w:right w:val="nil"/>
            </w:tcBorders>
          </w:tcPr>
          <w:p w14:paraId="244708E4" w14:textId="77777777" w:rsidR="00D55061" w:rsidRDefault="00D55061" w:rsidP="00990BF4">
            <w:pPr>
              <w:spacing w:after="0" w:line="259" w:lineRule="auto"/>
              <w:ind w:left="2"/>
              <w:jc w:val="left"/>
            </w:pPr>
            <w:r>
              <w:rPr>
                <w:sz w:val="17"/>
              </w:rPr>
              <w:t>0.6</w:t>
            </w:r>
          </w:p>
        </w:tc>
        <w:tc>
          <w:tcPr>
            <w:tcW w:w="3294" w:type="dxa"/>
            <w:tcBorders>
              <w:top w:val="nil"/>
              <w:left w:val="nil"/>
              <w:bottom w:val="nil"/>
              <w:right w:val="nil"/>
            </w:tcBorders>
          </w:tcPr>
          <w:p w14:paraId="542CC900"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5527EB5A" w14:textId="77777777" w:rsidR="00D55061" w:rsidRDefault="00D55061" w:rsidP="00990BF4">
            <w:pPr>
              <w:spacing w:after="160" w:line="259" w:lineRule="auto"/>
              <w:jc w:val="left"/>
            </w:pPr>
          </w:p>
        </w:tc>
        <w:tc>
          <w:tcPr>
            <w:tcW w:w="1080" w:type="dxa"/>
            <w:tcBorders>
              <w:top w:val="nil"/>
              <w:left w:val="nil"/>
              <w:bottom w:val="nil"/>
              <w:right w:val="nil"/>
            </w:tcBorders>
          </w:tcPr>
          <w:p w14:paraId="777CBA2D" w14:textId="77777777" w:rsidR="00D55061" w:rsidRDefault="00D55061" w:rsidP="00990BF4">
            <w:pPr>
              <w:spacing w:after="160" w:line="259" w:lineRule="auto"/>
              <w:jc w:val="left"/>
            </w:pPr>
          </w:p>
        </w:tc>
        <w:tc>
          <w:tcPr>
            <w:tcW w:w="645" w:type="dxa"/>
            <w:tcBorders>
              <w:top w:val="nil"/>
              <w:left w:val="nil"/>
              <w:bottom w:val="nil"/>
              <w:right w:val="nil"/>
            </w:tcBorders>
          </w:tcPr>
          <w:p w14:paraId="06FF526D" w14:textId="77777777" w:rsidR="00D55061" w:rsidRDefault="00D55061" w:rsidP="00990BF4">
            <w:pPr>
              <w:spacing w:after="160" w:line="259" w:lineRule="auto"/>
              <w:jc w:val="left"/>
            </w:pPr>
          </w:p>
        </w:tc>
      </w:tr>
      <w:tr w:rsidR="00D55061" w14:paraId="2C91E614" w14:textId="77777777" w:rsidTr="00990BF4">
        <w:trPr>
          <w:trHeight w:val="250"/>
        </w:trPr>
        <w:tc>
          <w:tcPr>
            <w:tcW w:w="1960" w:type="dxa"/>
            <w:tcBorders>
              <w:top w:val="nil"/>
              <w:left w:val="nil"/>
              <w:bottom w:val="nil"/>
              <w:right w:val="nil"/>
            </w:tcBorders>
          </w:tcPr>
          <w:p w14:paraId="71D63BD8" w14:textId="77777777" w:rsidR="00D55061" w:rsidRDefault="00D55061" w:rsidP="00990BF4">
            <w:pPr>
              <w:spacing w:after="160" w:line="259" w:lineRule="auto"/>
              <w:jc w:val="left"/>
            </w:pPr>
          </w:p>
        </w:tc>
        <w:tc>
          <w:tcPr>
            <w:tcW w:w="1112" w:type="dxa"/>
            <w:tcBorders>
              <w:top w:val="nil"/>
              <w:left w:val="nil"/>
              <w:bottom w:val="nil"/>
              <w:right w:val="nil"/>
            </w:tcBorders>
          </w:tcPr>
          <w:p w14:paraId="42C2CB6C" w14:textId="77777777" w:rsidR="00D55061" w:rsidRDefault="00D55061" w:rsidP="00990BF4">
            <w:pPr>
              <w:spacing w:after="0" w:line="259" w:lineRule="auto"/>
              <w:ind w:left="3"/>
              <w:jc w:val="left"/>
            </w:pPr>
            <w:r>
              <w:rPr>
                <w:sz w:val="17"/>
              </w:rPr>
              <w:t>17.25</w:t>
            </w:r>
          </w:p>
        </w:tc>
        <w:tc>
          <w:tcPr>
            <w:tcW w:w="894" w:type="dxa"/>
            <w:tcBorders>
              <w:top w:val="nil"/>
              <w:left w:val="nil"/>
              <w:bottom w:val="nil"/>
              <w:right w:val="nil"/>
            </w:tcBorders>
          </w:tcPr>
          <w:p w14:paraId="4602D51C"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75B67C12"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74C2A3C4" w14:textId="77777777" w:rsidR="00D55061" w:rsidRDefault="00D55061" w:rsidP="00990BF4">
            <w:pPr>
              <w:spacing w:after="160" w:line="259" w:lineRule="auto"/>
              <w:jc w:val="left"/>
            </w:pPr>
          </w:p>
        </w:tc>
        <w:tc>
          <w:tcPr>
            <w:tcW w:w="1080" w:type="dxa"/>
            <w:tcBorders>
              <w:top w:val="nil"/>
              <w:left w:val="nil"/>
              <w:bottom w:val="nil"/>
              <w:right w:val="nil"/>
            </w:tcBorders>
          </w:tcPr>
          <w:p w14:paraId="6A117F53" w14:textId="77777777" w:rsidR="00D55061" w:rsidRDefault="00D55061" w:rsidP="00990BF4">
            <w:pPr>
              <w:spacing w:after="160" w:line="259" w:lineRule="auto"/>
              <w:jc w:val="left"/>
            </w:pPr>
          </w:p>
        </w:tc>
        <w:tc>
          <w:tcPr>
            <w:tcW w:w="645" w:type="dxa"/>
            <w:tcBorders>
              <w:top w:val="nil"/>
              <w:left w:val="nil"/>
              <w:bottom w:val="nil"/>
              <w:right w:val="nil"/>
            </w:tcBorders>
          </w:tcPr>
          <w:p w14:paraId="3C4E8D5C" w14:textId="77777777" w:rsidR="00D55061" w:rsidRDefault="00D55061" w:rsidP="00990BF4">
            <w:pPr>
              <w:spacing w:after="160" w:line="259" w:lineRule="auto"/>
              <w:jc w:val="left"/>
            </w:pPr>
          </w:p>
        </w:tc>
      </w:tr>
      <w:tr w:rsidR="00D55061" w14:paraId="2F738115" w14:textId="77777777" w:rsidTr="00990BF4">
        <w:trPr>
          <w:trHeight w:val="250"/>
        </w:trPr>
        <w:tc>
          <w:tcPr>
            <w:tcW w:w="1960" w:type="dxa"/>
            <w:tcBorders>
              <w:top w:val="nil"/>
              <w:left w:val="nil"/>
              <w:bottom w:val="nil"/>
              <w:right w:val="nil"/>
            </w:tcBorders>
          </w:tcPr>
          <w:p w14:paraId="74345711" w14:textId="77777777" w:rsidR="00D55061" w:rsidRDefault="00D55061" w:rsidP="00990BF4">
            <w:pPr>
              <w:spacing w:after="160" w:line="259" w:lineRule="auto"/>
              <w:jc w:val="left"/>
            </w:pPr>
          </w:p>
        </w:tc>
        <w:tc>
          <w:tcPr>
            <w:tcW w:w="1112" w:type="dxa"/>
            <w:tcBorders>
              <w:top w:val="nil"/>
              <w:left w:val="nil"/>
              <w:bottom w:val="nil"/>
              <w:right w:val="nil"/>
            </w:tcBorders>
          </w:tcPr>
          <w:p w14:paraId="16FD2429" w14:textId="77777777" w:rsidR="00D55061" w:rsidRDefault="00D55061" w:rsidP="00990BF4">
            <w:pPr>
              <w:spacing w:after="0" w:line="259" w:lineRule="auto"/>
              <w:ind w:left="3"/>
              <w:jc w:val="left"/>
            </w:pPr>
            <w:r>
              <w:rPr>
                <w:sz w:val="17"/>
              </w:rPr>
              <w:t>18.38</w:t>
            </w:r>
          </w:p>
        </w:tc>
        <w:tc>
          <w:tcPr>
            <w:tcW w:w="894" w:type="dxa"/>
            <w:tcBorders>
              <w:top w:val="nil"/>
              <w:left w:val="nil"/>
              <w:bottom w:val="nil"/>
              <w:right w:val="nil"/>
            </w:tcBorders>
          </w:tcPr>
          <w:p w14:paraId="0860EB7A"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09364BBD" w14:textId="77777777" w:rsidR="00D55061" w:rsidRDefault="00D55061" w:rsidP="00990BF4">
            <w:pPr>
              <w:spacing w:after="0" w:line="259" w:lineRule="auto"/>
              <w:ind w:left="2"/>
              <w:jc w:val="left"/>
            </w:pPr>
            <w:r>
              <w:rPr>
                <w:sz w:val="17"/>
              </w:rPr>
              <w:t>Phenol 2 methoxy</w:t>
            </w:r>
          </w:p>
        </w:tc>
        <w:tc>
          <w:tcPr>
            <w:tcW w:w="880" w:type="dxa"/>
            <w:tcBorders>
              <w:top w:val="nil"/>
              <w:left w:val="nil"/>
              <w:bottom w:val="nil"/>
              <w:right w:val="nil"/>
            </w:tcBorders>
          </w:tcPr>
          <w:p w14:paraId="03044FC8" w14:textId="77777777" w:rsidR="00D55061" w:rsidRDefault="00D55061" w:rsidP="00990BF4">
            <w:pPr>
              <w:spacing w:after="0" w:line="259" w:lineRule="auto"/>
              <w:ind w:left="1"/>
              <w:jc w:val="left"/>
            </w:pPr>
            <w:r>
              <w:rPr>
                <w:sz w:val="17"/>
              </w:rPr>
              <w:t>817</w:t>
            </w:r>
          </w:p>
        </w:tc>
        <w:tc>
          <w:tcPr>
            <w:tcW w:w="1080" w:type="dxa"/>
            <w:tcBorders>
              <w:top w:val="nil"/>
              <w:left w:val="nil"/>
              <w:bottom w:val="nil"/>
              <w:right w:val="nil"/>
            </w:tcBorders>
          </w:tcPr>
          <w:p w14:paraId="57754F05" w14:textId="77777777" w:rsidR="00D55061" w:rsidRDefault="00D55061" w:rsidP="00990BF4">
            <w:pPr>
              <w:spacing w:after="0" w:line="259" w:lineRule="auto"/>
              <w:ind w:left="1"/>
              <w:jc w:val="left"/>
            </w:pPr>
            <w:r>
              <w:rPr>
                <w:sz w:val="17"/>
              </w:rPr>
              <w:t>1055</w:t>
            </w:r>
          </w:p>
        </w:tc>
        <w:tc>
          <w:tcPr>
            <w:tcW w:w="645" w:type="dxa"/>
            <w:tcBorders>
              <w:top w:val="nil"/>
              <w:left w:val="nil"/>
              <w:bottom w:val="nil"/>
              <w:right w:val="nil"/>
            </w:tcBorders>
          </w:tcPr>
          <w:p w14:paraId="4A6568D5" w14:textId="77777777" w:rsidR="00D55061" w:rsidRDefault="00D55061" w:rsidP="00990BF4">
            <w:pPr>
              <w:spacing w:after="0" w:line="259" w:lineRule="auto"/>
              <w:ind w:left="1"/>
              <w:jc w:val="left"/>
            </w:pPr>
            <w:r>
              <w:rPr>
                <w:sz w:val="17"/>
              </w:rPr>
              <w:t>1063</w:t>
            </w:r>
          </w:p>
        </w:tc>
      </w:tr>
      <w:tr w:rsidR="00D55061" w14:paraId="09910C74" w14:textId="77777777" w:rsidTr="00990BF4">
        <w:trPr>
          <w:trHeight w:val="250"/>
        </w:trPr>
        <w:tc>
          <w:tcPr>
            <w:tcW w:w="1960" w:type="dxa"/>
            <w:tcBorders>
              <w:top w:val="nil"/>
              <w:left w:val="nil"/>
              <w:bottom w:val="nil"/>
              <w:right w:val="nil"/>
            </w:tcBorders>
          </w:tcPr>
          <w:p w14:paraId="7D2BC3F7" w14:textId="77777777" w:rsidR="00D55061" w:rsidRDefault="00D55061" w:rsidP="00990BF4">
            <w:pPr>
              <w:spacing w:after="160" w:line="259" w:lineRule="auto"/>
              <w:jc w:val="left"/>
            </w:pPr>
          </w:p>
        </w:tc>
        <w:tc>
          <w:tcPr>
            <w:tcW w:w="1112" w:type="dxa"/>
            <w:tcBorders>
              <w:top w:val="nil"/>
              <w:left w:val="nil"/>
              <w:bottom w:val="nil"/>
              <w:right w:val="nil"/>
            </w:tcBorders>
          </w:tcPr>
          <w:p w14:paraId="1309C38F" w14:textId="77777777" w:rsidR="00D55061" w:rsidRDefault="00D55061" w:rsidP="00990BF4">
            <w:pPr>
              <w:spacing w:after="0" w:line="259" w:lineRule="auto"/>
              <w:ind w:left="3"/>
              <w:jc w:val="left"/>
            </w:pPr>
            <w:r>
              <w:rPr>
                <w:sz w:val="17"/>
              </w:rPr>
              <w:t>18.83</w:t>
            </w:r>
          </w:p>
        </w:tc>
        <w:tc>
          <w:tcPr>
            <w:tcW w:w="894" w:type="dxa"/>
            <w:tcBorders>
              <w:top w:val="nil"/>
              <w:left w:val="nil"/>
              <w:bottom w:val="nil"/>
              <w:right w:val="nil"/>
            </w:tcBorders>
          </w:tcPr>
          <w:p w14:paraId="789FFCEB" w14:textId="77777777" w:rsidR="00D55061" w:rsidRDefault="00D55061" w:rsidP="00990BF4">
            <w:pPr>
              <w:spacing w:after="0" w:line="259" w:lineRule="auto"/>
              <w:ind w:left="2"/>
              <w:jc w:val="left"/>
            </w:pPr>
            <w:r>
              <w:rPr>
                <w:sz w:val="17"/>
              </w:rPr>
              <w:t>1.5</w:t>
            </w:r>
          </w:p>
        </w:tc>
        <w:tc>
          <w:tcPr>
            <w:tcW w:w="3294" w:type="dxa"/>
            <w:tcBorders>
              <w:top w:val="nil"/>
              <w:left w:val="nil"/>
              <w:bottom w:val="nil"/>
              <w:right w:val="nil"/>
            </w:tcBorders>
          </w:tcPr>
          <w:p w14:paraId="2CB6B783" w14:textId="77777777" w:rsidR="00D55061" w:rsidRDefault="00D55061" w:rsidP="00990BF4">
            <w:pPr>
              <w:spacing w:after="0" w:line="259" w:lineRule="auto"/>
              <w:ind w:left="2"/>
              <w:jc w:val="left"/>
            </w:pPr>
            <w:r>
              <w:rPr>
                <w:sz w:val="17"/>
              </w:rPr>
              <w:t>2-Cyclopenten-1-one, 3-ethyl-2-hydroxy-</w:t>
            </w:r>
          </w:p>
        </w:tc>
        <w:tc>
          <w:tcPr>
            <w:tcW w:w="880" w:type="dxa"/>
            <w:tcBorders>
              <w:top w:val="nil"/>
              <w:left w:val="nil"/>
              <w:bottom w:val="nil"/>
              <w:right w:val="nil"/>
            </w:tcBorders>
          </w:tcPr>
          <w:p w14:paraId="78AAE50B" w14:textId="77777777" w:rsidR="00D55061" w:rsidRDefault="00D55061" w:rsidP="00990BF4">
            <w:pPr>
              <w:spacing w:after="0" w:line="259" w:lineRule="auto"/>
              <w:ind w:left="1"/>
              <w:jc w:val="left"/>
            </w:pPr>
            <w:r>
              <w:rPr>
                <w:sz w:val="17"/>
              </w:rPr>
              <w:t>830</w:t>
            </w:r>
          </w:p>
        </w:tc>
        <w:tc>
          <w:tcPr>
            <w:tcW w:w="1080" w:type="dxa"/>
            <w:tcBorders>
              <w:top w:val="nil"/>
              <w:left w:val="nil"/>
              <w:bottom w:val="nil"/>
              <w:right w:val="nil"/>
            </w:tcBorders>
          </w:tcPr>
          <w:p w14:paraId="4F21C9A3" w14:textId="77777777" w:rsidR="00D55061" w:rsidRDefault="00D55061" w:rsidP="00990BF4">
            <w:pPr>
              <w:spacing w:after="0" w:line="259" w:lineRule="auto"/>
              <w:ind w:left="1"/>
              <w:jc w:val="left"/>
            </w:pPr>
            <w:r>
              <w:rPr>
                <w:sz w:val="17"/>
              </w:rPr>
              <w:t>1065</w:t>
            </w:r>
          </w:p>
        </w:tc>
        <w:tc>
          <w:tcPr>
            <w:tcW w:w="645" w:type="dxa"/>
            <w:tcBorders>
              <w:top w:val="nil"/>
              <w:left w:val="nil"/>
              <w:bottom w:val="nil"/>
              <w:right w:val="nil"/>
            </w:tcBorders>
          </w:tcPr>
          <w:p w14:paraId="5E4148C1" w14:textId="77777777" w:rsidR="00D55061" w:rsidRDefault="00D55061" w:rsidP="00990BF4">
            <w:pPr>
              <w:spacing w:after="0" w:line="259" w:lineRule="auto"/>
              <w:ind w:left="1"/>
              <w:jc w:val="left"/>
            </w:pPr>
            <w:r>
              <w:rPr>
                <w:sz w:val="17"/>
              </w:rPr>
              <w:t>1100</w:t>
            </w:r>
          </w:p>
        </w:tc>
      </w:tr>
      <w:tr w:rsidR="00D55061" w14:paraId="431F59D5" w14:textId="77777777" w:rsidTr="00990BF4">
        <w:trPr>
          <w:trHeight w:val="250"/>
        </w:trPr>
        <w:tc>
          <w:tcPr>
            <w:tcW w:w="1960" w:type="dxa"/>
            <w:tcBorders>
              <w:top w:val="nil"/>
              <w:left w:val="nil"/>
              <w:bottom w:val="nil"/>
              <w:right w:val="nil"/>
            </w:tcBorders>
          </w:tcPr>
          <w:p w14:paraId="1C9766AE" w14:textId="77777777" w:rsidR="00D55061" w:rsidRDefault="00D55061" w:rsidP="00990BF4">
            <w:pPr>
              <w:spacing w:after="160" w:line="259" w:lineRule="auto"/>
              <w:jc w:val="left"/>
            </w:pPr>
          </w:p>
        </w:tc>
        <w:tc>
          <w:tcPr>
            <w:tcW w:w="1112" w:type="dxa"/>
            <w:tcBorders>
              <w:top w:val="nil"/>
              <w:left w:val="nil"/>
              <w:bottom w:val="nil"/>
              <w:right w:val="nil"/>
            </w:tcBorders>
          </w:tcPr>
          <w:p w14:paraId="774ADEF3" w14:textId="77777777" w:rsidR="00D55061" w:rsidRDefault="00D55061" w:rsidP="00990BF4">
            <w:pPr>
              <w:spacing w:after="0" w:line="259" w:lineRule="auto"/>
              <w:ind w:left="3"/>
              <w:jc w:val="left"/>
            </w:pPr>
            <w:r>
              <w:rPr>
                <w:sz w:val="17"/>
              </w:rPr>
              <w:t>19.73</w:t>
            </w:r>
          </w:p>
        </w:tc>
        <w:tc>
          <w:tcPr>
            <w:tcW w:w="894" w:type="dxa"/>
            <w:tcBorders>
              <w:top w:val="nil"/>
              <w:left w:val="nil"/>
              <w:bottom w:val="nil"/>
              <w:right w:val="nil"/>
            </w:tcBorders>
          </w:tcPr>
          <w:p w14:paraId="0E5803E5"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619A2628" w14:textId="77777777" w:rsidR="00D55061" w:rsidRDefault="00D55061" w:rsidP="00990BF4">
            <w:pPr>
              <w:spacing w:after="0" w:line="259" w:lineRule="auto"/>
              <w:ind w:left="2"/>
              <w:jc w:val="left"/>
            </w:pPr>
            <w:r>
              <w:rPr>
                <w:sz w:val="17"/>
              </w:rPr>
              <w:t>4C-Pyrazine</w:t>
            </w:r>
          </w:p>
        </w:tc>
        <w:tc>
          <w:tcPr>
            <w:tcW w:w="880" w:type="dxa"/>
            <w:tcBorders>
              <w:top w:val="nil"/>
              <w:left w:val="nil"/>
              <w:bottom w:val="nil"/>
              <w:right w:val="nil"/>
            </w:tcBorders>
          </w:tcPr>
          <w:p w14:paraId="71B6AEAF" w14:textId="77777777" w:rsidR="00D55061" w:rsidRDefault="00D55061" w:rsidP="00990BF4">
            <w:pPr>
              <w:spacing w:after="160" w:line="259" w:lineRule="auto"/>
              <w:jc w:val="left"/>
            </w:pPr>
          </w:p>
        </w:tc>
        <w:tc>
          <w:tcPr>
            <w:tcW w:w="1080" w:type="dxa"/>
            <w:tcBorders>
              <w:top w:val="nil"/>
              <w:left w:val="nil"/>
              <w:bottom w:val="nil"/>
              <w:right w:val="nil"/>
            </w:tcBorders>
          </w:tcPr>
          <w:p w14:paraId="08586DD5" w14:textId="77777777" w:rsidR="00D55061" w:rsidRDefault="00D55061" w:rsidP="00990BF4">
            <w:pPr>
              <w:spacing w:after="0" w:line="259" w:lineRule="auto"/>
              <w:ind w:left="2"/>
              <w:jc w:val="left"/>
            </w:pPr>
            <w:r>
              <w:rPr>
                <w:sz w:val="17"/>
              </w:rPr>
              <w:t>1095</w:t>
            </w:r>
          </w:p>
        </w:tc>
        <w:tc>
          <w:tcPr>
            <w:tcW w:w="645" w:type="dxa"/>
            <w:tcBorders>
              <w:top w:val="nil"/>
              <w:left w:val="nil"/>
              <w:bottom w:val="nil"/>
              <w:right w:val="nil"/>
            </w:tcBorders>
          </w:tcPr>
          <w:p w14:paraId="437A3A67" w14:textId="77777777" w:rsidR="00D55061" w:rsidRDefault="00D55061" w:rsidP="00990BF4">
            <w:pPr>
              <w:spacing w:after="160" w:line="259" w:lineRule="auto"/>
              <w:jc w:val="left"/>
            </w:pPr>
          </w:p>
        </w:tc>
      </w:tr>
      <w:tr w:rsidR="00D55061" w14:paraId="02D58A85" w14:textId="77777777" w:rsidTr="00990BF4">
        <w:trPr>
          <w:trHeight w:val="250"/>
        </w:trPr>
        <w:tc>
          <w:tcPr>
            <w:tcW w:w="1960" w:type="dxa"/>
            <w:tcBorders>
              <w:top w:val="nil"/>
              <w:left w:val="nil"/>
              <w:bottom w:val="nil"/>
              <w:right w:val="nil"/>
            </w:tcBorders>
          </w:tcPr>
          <w:p w14:paraId="24C6271C" w14:textId="77777777" w:rsidR="00D55061" w:rsidRDefault="00D55061" w:rsidP="00990BF4">
            <w:pPr>
              <w:spacing w:after="160" w:line="259" w:lineRule="auto"/>
              <w:jc w:val="left"/>
            </w:pPr>
          </w:p>
        </w:tc>
        <w:tc>
          <w:tcPr>
            <w:tcW w:w="1112" w:type="dxa"/>
            <w:tcBorders>
              <w:top w:val="nil"/>
              <w:left w:val="nil"/>
              <w:bottom w:val="nil"/>
              <w:right w:val="nil"/>
            </w:tcBorders>
          </w:tcPr>
          <w:p w14:paraId="60D711C5" w14:textId="77777777" w:rsidR="00D55061" w:rsidRDefault="00D55061" w:rsidP="00990BF4">
            <w:pPr>
              <w:spacing w:after="0" w:line="259" w:lineRule="auto"/>
              <w:ind w:left="4"/>
              <w:jc w:val="left"/>
            </w:pPr>
            <w:r>
              <w:rPr>
                <w:sz w:val="17"/>
              </w:rPr>
              <w:t>24.23</w:t>
            </w:r>
          </w:p>
        </w:tc>
        <w:tc>
          <w:tcPr>
            <w:tcW w:w="894" w:type="dxa"/>
            <w:tcBorders>
              <w:top w:val="nil"/>
              <w:left w:val="nil"/>
              <w:bottom w:val="nil"/>
              <w:right w:val="nil"/>
            </w:tcBorders>
          </w:tcPr>
          <w:p w14:paraId="35D1A00A" w14:textId="77777777" w:rsidR="00D55061" w:rsidRDefault="00D55061" w:rsidP="00990BF4">
            <w:pPr>
              <w:spacing w:after="0" w:line="259" w:lineRule="auto"/>
              <w:ind w:left="3"/>
              <w:jc w:val="left"/>
            </w:pPr>
            <w:r>
              <w:rPr>
                <w:sz w:val="17"/>
              </w:rPr>
              <w:t>2.4</w:t>
            </w:r>
          </w:p>
        </w:tc>
        <w:tc>
          <w:tcPr>
            <w:tcW w:w="3294" w:type="dxa"/>
            <w:tcBorders>
              <w:top w:val="nil"/>
              <w:left w:val="nil"/>
              <w:bottom w:val="nil"/>
              <w:right w:val="nil"/>
            </w:tcBorders>
          </w:tcPr>
          <w:p w14:paraId="45F56192" w14:textId="77777777" w:rsidR="00D55061" w:rsidRDefault="00D55061" w:rsidP="00990BF4">
            <w:pPr>
              <w:spacing w:after="0" w:line="259" w:lineRule="auto"/>
              <w:ind w:left="2"/>
              <w:jc w:val="left"/>
            </w:pPr>
            <w:r>
              <w:rPr>
                <w:sz w:val="17"/>
              </w:rPr>
              <w:t>2 methoxy 4 vinylphenol</w:t>
            </w:r>
          </w:p>
        </w:tc>
        <w:tc>
          <w:tcPr>
            <w:tcW w:w="880" w:type="dxa"/>
            <w:tcBorders>
              <w:top w:val="nil"/>
              <w:left w:val="nil"/>
              <w:bottom w:val="nil"/>
              <w:right w:val="nil"/>
            </w:tcBorders>
          </w:tcPr>
          <w:p w14:paraId="71ACF1E2" w14:textId="77777777" w:rsidR="00D55061" w:rsidRDefault="00D55061" w:rsidP="00990BF4">
            <w:pPr>
              <w:spacing w:after="0" w:line="259" w:lineRule="auto"/>
              <w:ind w:left="2"/>
              <w:jc w:val="left"/>
            </w:pPr>
            <w:r>
              <w:rPr>
                <w:sz w:val="17"/>
              </w:rPr>
              <w:t>834</w:t>
            </w:r>
          </w:p>
        </w:tc>
        <w:tc>
          <w:tcPr>
            <w:tcW w:w="1080" w:type="dxa"/>
            <w:tcBorders>
              <w:top w:val="nil"/>
              <w:left w:val="nil"/>
              <w:bottom w:val="nil"/>
              <w:right w:val="nil"/>
            </w:tcBorders>
          </w:tcPr>
          <w:p w14:paraId="12C84EC2" w14:textId="77777777" w:rsidR="00D55061" w:rsidRDefault="00D55061" w:rsidP="00990BF4">
            <w:pPr>
              <w:spacing w:after="0" w:line="259" w:lineRule="auto"/>
              <w:ind w:left="2"/>
              <w:jc w:val="left"/>
            </w:pPr>
            <w:r>
              <w:rPr>
                <w:sz w:val="17"/>
              </w:rPr>
              <w:t>1275</w:t>
            </w:r>
          </w:p>
        </w:tc>
        <w:tc>
          <w:tcPr>
            <w:tcW w:w="645" w:type="dxa"/>
            <w:tcBorders>
              <w:top w:val="nil"/>
              <w:left w:val="nil"/>
              <w:bottom w:val="nil"/>
              <w:right w:val="nil"/>
            </w:tcBorders>
          </w:tcPr>
          <w:p w14:paraId="2982326F" w14:textId="77777777" w:rsidR="00D55061" w:rsidRDefault="00D55061" w:rsidP="00990BF4">
            <w:pPr>
              <w:spacing w:after="0" w:line="259" w:lineRule="auto"/>
              <w:ind w:left="2"/>
              <w:jc w:val="left"/>
            </w:pPr>
            <w:r>
              <w:rPr>
                <w:sz w:val="17"/>
              </w:rPr>
              <w:t>1285</w:t>
            </w:r>
          </w:p>
        </w:tc>
      </w:tr>
      <w:tr w:rsidR="00D55061" w14:paraId="0D3D05EC" w14:textId="77777777" w:rsidTr="00990BF4">
        <w:trPr>
          <w:trHeight w:val="247"/>
        </w:trPr>
        <w:tc>
          <w:tcPr>
            <w:tcW w:w="1960" w:type="dxa"/>
            <w:tcBorders>
              <w:top w:val="nil"/>
              <w:left w:val="nil"/>
              <w:bottom w:val="nil"/>
              <w:right w:val="nil"/>
            </w:tcBorders>
          </w:tcPr>
          <w:p w14:paraId="552FBAA6" w14:textId="77777777" w:rsidR="00D55061" w:rsidRDefault="00D55061" w:rsidP="00990BF4">
            <w:pPr>
              <w:spacing w:after="160" w:line="259" w:lineRule="auto"/>
              <w:jc w:val="left"/>
            </w:pPr>
          </w:p>
        </w:tc>
        <w:tc>
          <w:tcPr>
            <w:tcW w:w="1112" w:type="dxa"/>
            <w:tcBorders>
              <w:top w:val="nil"/>
              <w:left w:val="nil"/>
              <w:bottom w:val="nil"/>
              <w:right w:val="nil"/>
            </w:tcBorders>
          </w:tcPr>
          <w:p w14:paraId="23186433" w14:textId="77777777" w:rsidR="00D55061" w:rsidRDefault="00D55061" w:rsidP="00990BF4">
            <w:pPr>
              <w:spacing w:after="0" w:line="259" w:lineRule="auto"/>
              <w:ind w:left="4"/>
              <w:jc w:val="left"/>
            </w:pPr>
            <w:r>
              <w:rPr>
                <w:sz w:val="17"/>
              </w:rPr>
              <w:t>25.80</w:t>
            </w:r>
          </w:p>
        </w:tc>
        <w:tc>
          <w:tcPr>
            <w:tcW w:w="894" w:type="dxa"/>
            <w:tcBorders>
              <w:top w:val="nil"/>
              <w:left w:val="nil"/>
              <w:bottom w:val="nil"/>
              <w:right w:val="nil"/>
            </w:tcBorders>
          </w:tcPr>
          <w:p w14:paraId="79C8C699" w14:textId="77777777" w:rsidR="00D55061" w:rsidRDefault="00D55061" w:rsidP="00990BF4">
            <w:pPr>
              <w:spacing w:after="0" w:line="259" w:lineRule="auto"/>
              <w:ind w:left="3"/>
              <w:jc w:val="left"/>
            </w:pPr>
            <w:r>
              <w:rPr>
                <w:sz w:val="17"/>
              </w:rPr>
              <w:t>0.6</w:t>
            </w:r>
          </w:p>
        </w:tc>
        <w:tc>
          <w:tcPr>
            <w:tcW w:w="3294" w:type="dxa"/>
            <w:tcBorders>
              <w:top w:val="nil"/>
              <w:left w:val="nil"/>
              <w:bottom w:val="nil"/>
              <w:right w:val="nil"/>
            </w:tcBorders>
          </w:tcPr>
          <w:p w14:paraId="2677E620" w14:textId="77777777" w:rsidR="00D55061" w:rsidRDefault="00D55061" w:rsidP="00990BF4">
            <w:pPr>
              <w:spacing w:after="0" w:line="259" w:lineRule="auto"/>
              <w:ind w:left="2"/>
              <w:jc w:val="left"/>
            </w:pPr>
            <w:r>
              <w:rPr>
                <w:sz w:val="17"/>
              </w:rPr>
              <w:t>Unknown</w:t>
            </w:r>
          </w:p>
        </w:tc>
        <w:tc>
          <w:tcPr>
            <w:tcW w:w="880" w:type="dxa"/>
            <w:tcBorders>
              <w:top w:val="nil"/>
              <w:left w:val="nil"/>
              <w:bottom w:val="nil"/>
              <w:right w:val="nil"/>
            </w:tcBorders>
          </w:tcPr>
          <w:p w14:paraId="60C42DEB" w14:textId="77777777" w:rsidR="00D55061" w:rsidRDefault="00D55061" w:rsidP="00990BF4">
            <w:pPr>
              <w:spacing w:after="160" w:line="259" w:lineRule="auto"/>
              <w:jc w:val="left"/>
            </w:pPr>
          </w:p>
        </w:tc>
        <w:tc>
          <w:tcPr>
            <w:tcW w:w="1080" w:type="dxa"/>
            <w:tcBorders>
              <w:top w:val="nil"/>
              <w:left w:val="nil"/>
              <w:bottom w:val="nil"/>
              <w:right w:val="nil"/>
            </w:tcBorders>
          </w:tcPr>
          <w:p w14:paraId="61227779" w14:textId="77777777" w:rsidR="00D55061" w:rsidRDefault="00D55061" w:rsidP="00990BF4">
            <w:pPr>
              <w:spacing w:after="160" w:line="259" w:lineRule="auto"/>
              <w:jc w:val="left"/>
            </w:pPr>
          </w:p>
        </w:tc>
        <w:tc>
          <w:tcPr>
            <w:tcW w:w="645" w:type="dxa"/>
            <w:tcBorders>
              <w:top w:val="nil"/>
              <w:left w:val="nil"/>
              <w:bottom w:val="nil"/>
              <w:right w:val="nil"/>
            </w:tcBorders>
          </w:tcPr>
          <w:p w14:paraId="024E3467" w14:textId="77777777" w:rsidR="00D55061" w:rsidRDefault="00D55061" w:rsidP="00990BF4">
            <w:pPr>
              <w:spacing w:after="160" w:line="259" w:lineRule="auto"/>
              <w:jc w:val="left"/>
            </w:pPr>
          </w:p>
        </w:tc>
      </w:tr>
      <w:tr w:rsidR="00D55061" w14:paraId="3AE276A9" w14:textId="77777777" w:rsidTr="00990BF4">
        <w:trPr>
          <w:trHeight w:val="258"/>
        </w:trPr>
        <w:tc>
          <w:tcPr>
            <w:tcW w:w="1960" w:type="dxa"/>
            <w:tcBorders>
              <w:top w:val="nil"/>
              <w:left w:val="nil"/>
              <w:bottom w:val="nil"/>
              <w:right w:val="nil"/>
            </w:tcBorders>
          </w:tcPr>
          <w:p w14:paraId="7918F28B" w14:textId="77777777" w:rsidR="00D55061" w:rsidRDefault="00D55061" w:rsidP="00990BF4">
            <w:pPr>
              <w:spacing w:after="0" w:line="259" w:lineRule="auto"/>
              <w:ind w:left="2"/>
              <w:jc w:val="left"/>
            </w:pPr>
            <w:r>
              <w:rPr>
                <w:b/>
                <w:sz w:val="17"/>
              </w:rPr>
              <w:t>HiSorb MCT</w:t>
            </w:r>
          </w:p>
        </w:tc>
        <w:tc>
          <w:tcPr>
            <w:tcW w:w="1112" w:type="dxa"/>
            <w:tcBorders>
              <w:top w:val="nil"/>
              <w:left w:val="nil"/>
              <w:bottom w:val="nil"/>
              <w:right w:val="nil"/>
            </w:tcBorders>
          </w:tcPr>
          <w:p w14:paraId="4D1DBE17" w14:textId="77777777" w:rsidR="00D55061" w:rsidRDefault="00D55061" w:rsidP="00990BF4">
            <w:pPr>
              <w:spacing w:after="0" w:line="259" w:lineRule="auto"/>
              <w:ind w:left="89"/>
              <w:jc w:val="left"/>
            </w:pPr>
            <w:r>
              <w:rPr>
                <w:sz w:val="17"/>
              </w:rPr>
              <w:t>3.75</w:t>
            </w:r>
          </w:p>
        </w:tc>
        <w:tc>
          <w:tcPr>
            <w:tcW w:w="894" w:type="dxa"/>
            <w:tcBorders>
              <w:top w:val="nil"/>
              <w:left w:val="nil"/>
              <w:bottom w:val="nil"/>
              <w:right w:val="nil"/>
            </w:tcBorders>
          </w:tcPr>
          <w:p w14:paraId="09124FCD" w14:textId="77777777" w:rsidR="00D55061" w:rsidRDefault="00D55061" w:rsidP="00990BF4">
            <w:pPr>
              <w:spacing w:after="0" w:line="259" w:lineRule="auto"/>
              <w:ind w:left="3"/>
              <w:jc w:val="left"/>
            </w:pPr>
            <w:r>
              <w:rPr>
                <w:sz w:val="17"/>
              </w:rPr>
              <w:t>2.4</w:t>
            </w:r>
          </w:p>
        </w:tc>
        <w:tc>
          <w:tcPr>
            <w:tcW w:w="3294" w:type="dxa"/>
            <w:tcBorders>
              <w:top w:val="nil"/>
              <w:left w:val="nil"/>
              <w:bottom w:val="nil"/>
              <w:right w:val="nil"/>
            </w:tcBorders>
          </w:tcPr>
          <w:p w14:paraId="1E8C1DFA" w14:textId="77777777" w:rsidR="00D55061" w:rsidRDefault="00D55061" w:rsidP="00990BF4">
            <w:pPr>
              <w:spacing w:after="0" w:line="259" w:lineRule="auto"/>
              <w:ind w:left="2"/>
              <w:jc w:val="left"/>
            </w:pPr>
            <w:r>
              <w:rPr>
                <w:sz w:val="17"/>
              </w:rPr>
              <w:t>Unknown</w:t>
            </w:r>
          </w:p>
        </w:tc>
        <w:tc>
          <w:tcPr>
            <w:tcW w:w="880" w:type="dxa"/>
            <w:tcBorders>
              <w:top w:val="nil"/>
              <w:left w:val="nil"/>
              <w:bottom w:val="nil"/>
              <w:right w:val="nil"/>
            </w:tcBorders>
          </w:tcPr>
          <w:p w14:paraId="0066C3A2" w14:textId="77777777" w:rsidR="00D55061" w:rsidRDefault="00D55061" w:rsidP="00990BF4">
            <w:pPr>
              <w:spacing w:after="160" w:line="259" w:lineRule="auto"/>
              <w:jc w:val="left"/>
            </w:pPr>
          </w:p>
        </w:tc>
        <w:tc>
          <w:tcPr>
            <w:tcW w:w="1080" w:type="dxa"/>
            <w:tcBorders>
              <w:top w:val="nil"/>
              <w:left w:val="nil"/>
              <w:bottom w:val="nil"/>
              <w:right w:val="nil"/>
            </w:tcBorders>
          </w:tcPr>
          <w:p w14:paraId="016BE018" w14:textId="77777777" w:rsidR="00D55061" w:rsidRDefault="00D55061" w:rsidP="00990BF4">
            <w:pPr>
              <w:spacing w:after="160" w:line="259" w:lineRule="auto"/>
              <w:jc w:val="left"/>
            </w:pPr>
          </w:p>
        </w:tc>
        <w:tc>
          <w:tcPr>
            <w:tcW w:w="645" w:type="dxa"/>
            <w:tcBorders>
              <w:top w:val="nil"/>
              <w:left w:val="nil"/>
              <w:bottom w:val="nil"/>
              <w:right w:val="nil"/>
            </w:tcBorders>
          </w:tcPr>
          <w:p w14:paraId="22809BB7" w14:textId="77777777" w:rsidR="00D55061" w:rsidRDefault="00D55061" w:rsidP="00990BF4">
            <w:pPr>
              <w:spacing w:after="160" w:line="259" w:lineRule="auto"/>
              <w:jc w:val="left"/>
            </w:pPr>
          </w:p>
        </w:tc>
      </w:tr>
      <w:tr w:rsidR="00D55061" w14:paraId="2042837D" w14:textId="77777777" w:rsidTr="00990BF4">
        <w:trPr>
          <w:trHeight w:val="244"/>
        </w:trPr>
        <w:tc>
          <w:tcPr>
            <w:tcW w:w="1960" w:type="dxa"/>
            <w:tcBorders>
              <w:top w:val="nil"/>
              <w:left w:val="nil"/>
              <w:bottom w:val="nil"/>
              <w:right w:val="nil"/>
            </w:tcBorders>
          </w:tcPr>
          <w:p w14:paraId="1CEF12E1" w14:textId="77777777" w:rsidR="00D55061" w:rsidRDefault="00D55061" w:rsidP="00990BF4">
            <w:pPr>
              <w:spacing w:after="160" w:line="259" w:lineRule="auto"/>
              <w:jc w:val="left"/>
            </w:pPr>
          </w:p>
        </w:tc>
        <w:tc>
          <w:tcPr>
            <w:tcW w:w="1112" w:type="dxa"/>
            <w:tcBorders>
              <w:top w:val="nil"/>
              <w:left w:val="nil"/>
              <w:bottom w:val="nil"/>
              <w:right w:val="nil"/>
            </w:tcBorders>
          </w:tcPr>
          <w:p w14:paraId="1AB40148" w14:textId="77777777" w:rsidR="00D55061" w:rsidRDefault="00D55061" w:rsidP="00990BF4">
            <w:pPr>
              <w:spacing w:after="0" w:line="259" w:lineRule="auto"/>
              <w:ind w:left="89"/>
              <w:jc w:val="left"/>
            </w:pPr>
            <w:r>
              <w:rPr>
                <w:sz w:val="17"/>
              </w:rPr>
              <w:t>4.88</w:t>
            </w:r>
          </w:p>
        </w:tc>
        <w:tc>
          <w:tcPr>
            <w:tcW w:w="894" w:type="dxa"/>
            <w:tcBorders>
              <w:top w:val="nil"/>
              <w:left w:val="nil"/>
              <w:bottom w:val="nil"/>
              <w:right w:val="nil"/>
            </w:tcBorders>
          </w:tcPr>
          <w:p w14:paraId="06A1DBD6" w14:textId="77777777" w:rsidR="00D55061" w:rsidRDefault="00D55061" w:rsidP="00990BF4">
            <w:pPr>
              <w:spacing w:after="0" w:line="259" w:lineRule="auto"/>
              <w:ind w:left="3"/>
              <w:jc w:val="left"/>
            </w:pPr>
            <w:r>
              <w:rPr>
                <w:sz w:val="17"/>
              </w:rPr>
              <w:t>2.4</w:t>
            </w:r>
          </w:p>
        </w:tc>
        <w:tc>
          <w:tcPr>
            <w:tcW w:w="3294" w:type="dxa"/>
            <w:tcBorders>
              <w:top w:val="nil"/>
              <w:left w:val="nil"/>
              <w:bottom w:val="nil"/>
              <w:right w:val="nil"/>
            </w:tcBorders>
          </w:tcPr>
          <w:p w14:paraId="0A7B4875" w14:textId="77777777" w:rsidR="00D55061" w:rsidRDefault="00D55061" w:rsidP="00990BF4">
            <w:pPr>
              <w:spacing w:after="0" w:line="259" w:lineRule="auto"/>
              <w:ind w:left="2"/>
              <w:jc w:val="left"/>
            </w:pPr>
            <w:r>
              <w:rPr>
                <w:sz w:val="17"/>
              </w:rPr>
              <w:t>Unknown</w:t>
            </w:r>
          </w:p>
        </w:tc>
        <w:tc>
          <w:tcPr>
            <w:tcW w:w="880" w:type="dxa"/>
            <w:tcBorders>
              <w:top w:val="nil"/>
              <w:left w:val="nil"/>
              <w:bottom w:val="nil"/>
              <w:right w:val="nil"/>
            </w:tcBorders>
          </w:tcPr>
          <w:p w14:paraId="36976E52" w14:textId="77777777" w:rsidR="00D55061" w:rsidRDefault="00D55061" w:rsidP="00990BF4">
            <w:pPr>
              <w:spacing w:after="160" w:line="259" w:lineRule="auto"/>
              <w:jc w:val="left"/>
            </w:pPr>
          </w:p>
        </w:tc>
        <w:tc>
          <w:tcPr>
            <w:tcW w:w="1080" w:type="dxa"/>
            <w:tcBorders>
              <w:top w:val="nil"/>
              <w:left w:val="nil"/>
              <w:bottom w:val="nil"/>
              <w:right w:val="nil"/>
            </w:tcBorders>
          </w:tcPr>
          <w:p w14:paraId="6A701402" w14:textId="77777777" w:rsidR="00D55061" w:rsidRDefault="00D55061" w:rsidP="00990BF4">
            <w:pPr>
              <w:spacing w:after="160" w:line="259" w:lineRule="auto"/>
              <w:jc w:val="left"/>
            </w:pPr>
          </w:p>
        </w:tc>
        <w:tc>
          <w:tcPr>
            <w:tcW w:w="645" w:type="dxa"/>
            <w:tcBorders>
              <w:top w:val="nil"/>
              <w:left w:val="nil"/>
              <w:bottom w:val="nil"/>
              <w:right w:val="nil"/>
            </w:tcBorders>
          </w:tcPr>
          <w:p w14:paraId="68BC70DB" w14:textId="77777777" w:rsidR="00D55061" w:rsidRDefault="00D55061" w:rsidP="00990BF4">
            <w:pPr>
              <w:spacing w:after="160" w:line="259" w:lineRule="auto"/>
              <w:jc w:val="left"/>
            </w:pPr>
          </w:p>
        </w:tc>
      </w:tr>
      <w:tr w:rsidR="00D55061" w14:paraId="3F7E8D69" w14:textId="77777777" w:rsidTr="00990BF4">
        <w:trPr>
          <w:trHeight w:val="250"/>
        </w:trPr>
        <w:tc>
          <w:tcPr>
            <w:tcW w:w="1960" w:type="dxa"/>
            <w:tcBorders>
              <w:top w:val="nil"/>
              <w:left w:val="nil"/>
              <w:bottom w:val="nil"/>
              <w:right w:val="nil"/>
            </w:tcBorders>
          </w:tcPr>
          <w:p w14:paraId="32BB048A" w14:textId="77777777" w:rsidR="00D55061" w:rsidRDefault="00D55061" w:rsidP="00990BF4">
            <w:pPr>
              <w:spacing w:after="160" w:line="259" w:lineRule="auto"/>
              <w:jc w:val="left"/>
            </w:pPr>
          </w:p>
        </w:tc>
        <w:tc>
          <w:tcPr>
            <w:tcW w:w="1112" w:type="dxa"/>
            <w:tcBorders>
              <w:top w:val="nil"/>
              <w:left w:val="nil"/>
              <w:bottom w:val="nil"/>
              <w:right w:val="nil"/>
            </w:tcBorders>
          </w:tcPr>
          <w:p w14:paraId="4BA9E977" w14:textId="77777777" w:rsidR="00D55061" w:rsidRDefault="00D55061" w:rsidP="00990BF4">
            <w:pPr>
              <w:spacing w:after="0" w:line="259" w:lineRule="auto"/>
              <w:ind w:left="89"/>
              <w:jc w:val="left"/>
            </w:pPr>
            <w:r>
              <w:rPr>
                <w:sz w:val="17"/>
              </w:rPr>
              <w:t>7.80</w:t>
            </w:r>
          </w:p>
        </w:tc>
        <w:tc>
          <w:tcPr>
            <w:tcW w:w="894" w:type="dxa"/>
            <w:tcBorders>
              <w:top w:val="nil"/>
              <w:left w:val="nil"/>
              <w:bottom w:val="nil"/>
              <w:right w:val="nil"/>
            </w:tcBorders>
          </w:tcPr>
          <w:p w14:paraId="506E5112" w14:textId="77777777" w:rsidR="00D55061" w:rsidRDefault="00D55061" w:rsidP="00990BF4">
            <w:pPr>
              <w:spacing w:after="0" w:line="259" w:lineRule="auto"/>
              <w:ind w:left="3"/>
              <w:jc w:val="left"/>
            </w:pPr>
            <w:r>
              <w:rPr>
                <w:sz w:val="17"/>
              </w:rPr>
              <w:t>3.3</w:t>
            </w:r>
          </w:p>
        </w:tc>
        <w:tc>
          <w:tcPr>
            <w:tcW w:w="3294" w:type="dxa"/>
            <w:tcBorders>
              <w:top w:val="nil"/>
              <w:left w:val="nil"/>
              <w:bottom w:val="nil"/>
              <w:right w:val="nil"/>
            </w:tcBorders>
          </w:tcPr>
          <w:p w14:paraId="33290D63" w14:textId="77777777" w:rsidR="00D55061" w:rsidRDefault="00D55061" w:rsidP="00990BF4">
            <w:pPr>
              <w:spacing w:after="0" w:line="259" w:lineRule="auto"/>
              <w:ind w:left="2"/>
              <w:jc w:val="left"/>
            </w:pPr>
            <w:r>
              <w:rPr>
                <w:sz w:val="17"/>
              </w:rPr>
              <w:t>Unknown</w:t>
            </w:r>
          </w:p>
        </w:tc>
        <w:tc>
          <w:tcPr>
            <w:tcW w:w="880" w:type="dxa"/>
            <w:tcBorders>
              <w:top w:val="nil"/>
              <w:left w:val="nil"/>
              <w:bottom w:val="nil"/>
              <w:right w:val="nil"/>
            </w:tcBorders>
          </w:tcPr>
          <w:p w14:paraId="48F34D61" w14:textId="77777777" w:rsidR="00D55061" w:rsidRDefault="00D55061" w:rsidP="00990BF4">
            <w:pPr>
              <w:spacing w:after="160" w:line="259" w:lineRule="auto"/>
              <w:jc w:val="left"/>
            </w:pPr>
          </w:p>
        </w:tc>
        <w:tc>
          <w:tcPr>
            <w:tcW w:w="1080" w:type="dxa"/>
            <w:tcBorders>
              <w:top w:val="nil"/>
              <w:left w:val="nil"/>
              <w:bottom w:val="nil"/>
              <w:right w:val="nil"/>
            </w:tcBorders>
          </w:tcPr>
          <w:p w14:paraId="38EC67D8" w14:textId="77777777" w:rsidR="00D55061" w:rsidRDefault="00D55061" w:rsidP="00990BF4">
            <w:pPr>
              <w:spacing w:after="160" w:line="259" w:lineRule="auto"/>
              <w:jc w:val="left"/>
            </w:pPr>
          </w:p>
        </w:tc>
        <w:tc>
          <w:tcPr>
            <w:tcW w:w="645" w:type="dxa"/>
            <w:tcBorders>
              <w:top w:val="nil"/>
              <w:left w:val="nil"/>
              <w:bottom w:val="nil"/>
              <w:right w:val="nil"/>
            </w:tcBorders>
          </w:tcPr>
          <w:p w14:paraId="605888A2" w14:textId="77777777" w:rsidR="00D55061" w:rsidRDefault="00D55061" w:rsidP="00990BF4">
            <w:pPr>
              <w:spacing w:after="160" w:line="259" w:lineRule="auto"/>
              <w:jc w:val="left"/>
            </w:pPr>
          </w:p>
        </w:tc>
      </w:tr>
      <w:tr w:rsidR="00D55061" w14:paraId="1359A102" w14:textId="77777777" w:rsidTr="00990BF4">
        <w:trPr>
          <w:trHeight w:val="250"/>
        </w:trPr>
        <w:tc>
          <w:tcPr>
            <w:tcW w:w="1960" w:type="dxa"/>
            <w:tcBorders>
              <w:top w:val="nil"/>
              <w:left w:val="nil"/>
              <w:bottom w:val="nil"/>
              <w:right w:val="nil"/>
            </w:tcBorders>
          </w:tcPr>
          <w:p w14:paraId="7503D7D2" w14:textId="77777777" w:rsidR="00D55061" w:rsidRDefault="00D55061" w:rsidP="00990BF4">
            <w:pPr>
              <w:spacing w:after="160" w:line="259" w:lineRule="auto"/>
              <w:jc w:val="left"/>
            </w:pPr>
          </w:p>
        </w:tc>
        <w:tc>
          <w:tcPr>
            <w:tcW w:w="1112" w:type="dxa"/>
            <w:tcBorders>
              <w:top w:val="nil"/>
              <w:left w:val="nil"/>
              <w:bottom w:val="nil"/>
              <w:right w:val="nil"/>
            </w:tcBorders>
          </w:tcPr>
          <w:p w14:paraId="2F7B9BF6" w14:textId="77777777" w:rsidR="00D55061" w:rsidRDefault="00D55061" w:rsidP="00990BF4">
            <w:pPr>
              <w:spacing w:after="0" w:line="259" w:lineRule="auto"/>
              <w:ind w:left="4"/>
              <w:jc w:val="left"/>
            </w:pPr>
            <w:r>
              <w:rPr>
                <w:sz w:val="17"/>
              </w:rPr>
              <w:t>10.28</w:t>
            </w:r>
          </w:p>
        </w:tc>
        <w:tc>
          <w:tcPr>
            <w:tcW w:w="894" w:type="dxa"/>
            <w:tcBorders>
              <w:top w:val="nil"/>
              <w:left w:val="nil"/>
              <w:bottom w:val="nil"/>
              <w:right w:val="nil"/>
            </w:tcBorders>
          </w:tcPr>
          <w:p w14:paraId="341AEBD5" w14:textId="77777777" w:rsidR="00D55061" w:rsidRDefault="00D55061" w:rsidP="00990BF4">
            <w:pPr>
              <w:spacing w:after="0" w:line="259" w:lineRule="auto"/>
              <w:ind w:left="3"/>
              <w:jc w:val="left"/>
            </w:pPr>
            <w:r>
              <w:rPr>
                <w:sz w:val="17"/>
              </w:rPr>
              <w:t>2.4</w:t>
            </w:r>
          </w:p>
        </w:tc>
        <w:tc>
          <w:tcPr>
            <w:tcW w:w="3294" w:type="dxa"/>
            <w:tcBorders>
              <w:top w:val="nil"/>
              <w:left w:val="nil"/>
              <w:bottom w:val="nil"/>
              <w:right w:val="nil"/>
            </w:tcBorders>
          </w:tcPr>
          <w:p w14:paraId="07D61E74" w14:textId="77777777" w:rsidR="00D55061" w:rsidRDefault="00D55061" w:rsidP="00990BF4">
            <w:pPr>
              <w:spacing w:after="0" w:line="259" w:lineRule="auto"/>
              <w:ind w:left="2"/>
              <w:jc w:val="left"/>
            </w:pPr>
            <w:r>
              <w:rPr>
                <w:sz w:val="17"/>
              </w:rPr>
              <w:t>Pyrazine, methyl-</w:t>
            </w:r>
          </w:p>
        </w:tc>
        <w:tc>
          <w:tcPr>
            <w:tcW w:w="880" w:type="dxa"/>
            <w:tcBorders>
              <w:top w:val="nil"/>
              <w:left w:val="nil"/>
              <w:bottom w:val="nil"/>
              <w:right w:val="nil"/>
            </w:tcBorders>
          </w:tcPr>
          <w:p w14:paraId="3C5AF3F9" w14:textId="77777777" w:rsidR="00D55061" w:rsidRDefault="00D55061" w:rsidP="00990BF4">
            <w:pPr>
              <w:spacing w:after="0" w:line="259" w:lineRule="auto"/>
              <w:ind w:left="2"/>
              <w:jc w:val="left"/>
            </w:pPr>
            <w:r>
              <w:rPr>
                <w:sz w:val="17"/>
              </w:rPr>
              <w:t>846</w:t>
            </w:r>
          </w:p>
        </w:tc>
        <w:tc>
          <w:tcPr>
            <w:tcW w:w="1080" w:type="dxa"/>
            <w:tcBorders>
              <w:top w:val="nil"/>
              <w:left w:val="nil"/>
              <w:bottom w:val="nil"/>
              <w:right w:val="nil"/>
            </w:tcBorders>
          </w:tcPr>
          <w:p w14:paraId="084E7B44" w14:textId="77777777" w:rsidR="00D55061" w:rsidRDefault="00D55061" w:rsidP="00990BF4">
            <w:pPr>
              <w:spacing w:after="0" w:line="259" w:lineRule="auto"/>
              <w:ind w:left="2"/>
              <w:jc w:val="left"/>
            </w:pPr>
            <w:r>
              <w:rPr>
                <w:sz w:val="17"/>
              </w:rPr>
              <w:t>791</w:t>
            </w:r>
          </w:p>
        </w:tc>
        <w:tc>
          <w:tcPr>
            <w:tcW w:w="645" w:type="dxa"/>
            <w:tcBorders>
              <w:top w:val="nil"/>
              <w:left w:val="nil"/>
              <w:bottom w:val="nil"/>
              <w:right w:val="nil"/>
            </w:tcBorders>
          </w:tcPr>
          <w:p w14:paraId="45DB9115" w14:textId="77777777" w:rsidR="00D55061" w:rsidRDefault="00D55061" w:rsidP="00990BF4">
            <w:pPr>
              <w:spacing w:after="0" w:line="259" w:lineRule="auto"/>
              <w:ind w:left="2"/>
              <w:jc w:val="left"/>
            </w:pPr>
            <w:r>
              <w:rPr>
                <w:sz w:val="17"/>
              </w:rPr>
              <w:t>801</w:t>
            </w:r>
          </w:p>
        </w:tc>
      </w:tr>
      <w:tr w:rsidR="00D55061" w14:paraId="312824D4" w14:textId="77777777" w:rsidTr="00990BF4">
        <w:trPr>
          <w:trHeight w:val="250"/>
        </w:trPr>
        <w:tc>
          <w:tcPr>
            <w:tcW w:w="1960" w:type="dxa"/>
            <w:tcBorders>
              <w:top w:val="nil"/>
              <w:left w:val="nil"/>
              <w:bottom w:val="nil"/>
              <w:right w:val="nil"/>
            </w:tcBorders>
          </w:tcPr>
          <w:p w14:paraId="70827D0D" w14:textId="77777777" w:rsidR="00D55061" w:rsidRDefault="00D55061" w:rsidP="00990BF4">
            <w:pPr>
              <w:spacing w:after="160" w:line="259" w:lineRule="auto"/>
              <w:jc w:val="left"/>
            </w:pPr>
          </w:p>
        </w:tc>
        <w:tc>
          <w:tcPr>
            <w:tcW w:w="1112" w:type="dxa"/>
            <w:tcBorders>
              <w:top w:val="nil"/>
              <w:left w:val="nil"/>
              <w:bottom w:val="nil"/>
              <w:right w:val="nil"/>
            </w:tcBorders>
          </w:tcPr>
          <w:p w14:paraId="590445D2" w14:textId="77777777" w:rsidR="00D55061" w:rsidRDefault="00D55061" w:rsidP="00990BF4">
            <w:pPr>
              <w:spacing w:after="0" w:line="259" w:lineRule="auto"/>
              <w:ind w:left="4"/>
              <w:jc w:val="left"/>
            </w:pPr>
            <w:r>
              <w:rPr>
                <w:sz w:val="17"/>
              </w:rPr>
              <w:t>13.43</w:t>
            </w:r>
          </w:p>
        </w:tc>
        <w:tc>
          <w:tcPr>
            <w:tcW w:w="894" w:type="dxa"/>
            <w:tcBorders>
              <w:top w:val="nil"/>
              <w:left w:val="nil"/>
              <w:bottom w:val="nil"/>
              <w:right w:val="nil"/>
            </w:tcBorders>
          </w:tcPr>
          <w:p w14:paraId="13F76AEC" w14:textId="77777777" w:rsidR="00D55061" w:rsidRDefault="00D55061" w:rsidP="00990BF4">
            <w:pPr>
              <w:spacing w:after="0" w:line="259" w:lineRule="auto"/>
              <w:ind w:left="3"/>
              <w:jc w:val="left"/>
            </w:pPr>
            <w:r>
              <w:rPr>
                <w:sz w:val="17"/>
              </w:rPr>
              <w:t>3.3</w:t>
            </w:r>
          </w:p>
        </w:tc>
        <w:tc>
          <w:tcPr>
            <w:tcW w:w="3294" w:type="dxa"/>
            <w:tcBorders>
              <w:top w:val="nil"/>
              <w:left w:val="nil"/>
              <w:bottom w:val="nil"/>
              <w:right w:val="nil"/>
            </w:tcBorders>
          </w:tcPr>
          <w:p w14:paraId="15CDAD37" w14:textId="77777777" w:rsidR="00D55061" w:rsidRDefault="00D55061" w:rsidP="00990BF4">
            <w:pPr>
              <w:spacing w:after="0" w:line="259" w:lineRule="auto"/>
              <w:ind w:left="2"/>
              <w:jc w:val="left"/>
            </w:pPr>
            <w:r>
              <w:rPr>
                <w:sz w:val="17"/>
              </w:rPr>
              <w:t>Butanoic acid, 4-hydroxy-</w:t>
            </w:r>
          </w:p>
        </w:tc>
        <w:tc>
          <w:tcPr>
            <w:tcW w:w="880" w:type="dxa"/>
            <w:tcBorders>
              <w:top w:val="nil"/>
              <w:left w:val="nil"/>
              <w:bottom w:val="nil"/>
              <w:right w:val="nil"/>
            </w:tcBorders>
          </w:tcPr>
          <w:p w14:paraId="0E7AC36B" w14:textId="77777777" w:rsidR="00D55061" w:rsidRDefault="00D55061" w:rsidP="00990BF4">
            <w:pPr>
              <w:spacing w:after="0" w:line="259" w:lineRule="auto"/>
              <w:ind w:left="2"/>
              <w:jc w:val="left"/>
            </w:pPr>
            <w:r>
              <w:rPr>
                <w:sz w:val="17"/>
              </w:rPr>
              <w:t>852</w:t>
            </w:r>
          </w:p>
        </w:tc>
        <w:tc>
          <w:tcPr>
            <w:tcW w:w="1080" w:type="dxa"/>
            <w:tcBorders>
              <w:top w:val="nil"/>
              <w:left w:val="nil"/>
              <w:bottom w:val="nil"/>
              <w:right w:val="nil"/>
            </w:tcBorders>
          </w:tcPr>
          <w:p w14:paraId="16A78856" w14:textId="77777777" w:rsidR="00D55061" w:rsidRDefault="00D55061" w:rsidP="00990BF4">
            <w:pPr>
              <w:spacing w:after="0" w:line="259" w:lineRule="auto"/>
              <w:ind w:left="2"/>
              <w:jc w:val="left"/>
            </w:pPr>
            <w:r>
              <w:rPr>
                <w:sz w:val="17"/>
              </w:rPr>
              <w:t>892</w:t>
            </w:r>
          </w:p>
        </w:tc>
        <w:tc>
          <w:tcPr>
            <w:tcW w:w="645" w:type="dxa"/>
            <w:tcBorders>
              <w:top w:val="nil"/>
              <w:left w:val="nil"/>
              <w:bottom w:val="nil"/>
              <w:right w:val="nil"/>
            </w:tcBorders>
          </w:tcPr>
          <w:p w14:paraId="34260204" w14:textId="77777777" w:rsidR="00D55061" w:rsidRDefault="00D55061" w:rsidP="00990BF4">
            <w:pPr>
              <w:spacing w:after="0" w:line="259" w:lineRule="auto"/>
              <w:ind w:left="2"/>
              <w:jc w:val="left"/>
            </w:pPr>
            <w:r>
              <w:rPr>
                <w:sz w:val="17"/>
              </w:rPr>
              <w:t>933*</w:t>
            </w:r>
          </w:p>
        </w:tc>
      </w:tr>
      <w:tr w:rsidR="00D55061" w14:paraId="51981970" w14:textId="77777777" w:rsidTr="00990BF4">
        <w:trPr>
          <w:trHeight w:val="250"/>
        </w:trPr>
        <w:tc>
          <w:tcPr>
            <w:tcW w:w="1960" w:type="dxa"/>
            <w:tcBorders>
              <w:top w:val="nil"/>
              <w:left w:val="nil"/>
              <w:bottom w:val="nil"/>
              <w:right w:val="nil"/>
            </w:tcBorders>
          </w:tcPr>
          <w:p w14:paraId="6C199688" w14:textId="77777777" w:rsidR="00D55061" w:rsidRDefault="00D55061" w:rsidP="00990BF4">
            <w:pPr>
              <w:spacing w:after="160" w:line="259" w:lineRule="auto"/>
              <w:jc w:val="left"/>
            </w:pPr>
          </w:p>
        </w:tc>
        <w:tc>
          <w:tcPr>
            <w:tcW w:w="1112" w:type="dxa"/>
            <w:tcBorders>
              <w:top w:val="nil"/>
              <w:left w:val="nil"/>
              <w:bottom w:val="nil"/>
              <w:right w:val="nil"/>
            </w:tcBorders>
          </w:tcPr>
          <w:p w14:paraId="2CB0BE1E" w14:textId="77777777" w:rsidR="00D55061" w:rsidRDefault="00D55061" w:rsidP="00990BF4">
            <w:pPr>
              <w:spacing w:after="0" w:line="259" w:lineRule="auto"/>
              <w:ind w:left="4"/>
              <w:jc w:val="left"/>
            </w:pPr>
            <w:r>
              <w:rPr>
                <w:sz w:val="17"/>
              </w:rPr>
              <w:t>15.00</w:t>
            </w:r>
          </w:p>
        </w:tc>
        <w:tc>
          <w:tcPr>
            <w:tcW w:w="894" w:type="dxa"/>
            <w:tcBorders>
              <w:top w:val="nil"/>
              <w:left w:val="nil"/>
              <w:bottom w:val="nil"/>
              <w:right w:val="nil"/>
            </w:tcBorders>
          </w:tcPr>
          <w:p w14:paraId="137A4F28" w14:textId="77777777" w:rsidR="00D55061" w:rsidRDefault="00D55061" w:rsidP="00990BF4">
            <w:pPr>
              <w:spacing w:after="0" w:line="259" w:lineRule="auto"/>
              <w:ind w:left="3"/>
              <w:jc w:val="left"/>
            </w:pPr>
            <w:r>
              <w:rPr>
                <w:sz w:val="17"/>
              </w:rPr>
              <w:t>1.5</w:t>
            </w:r>
          </w:p>
        </w:tc>
        <w:tc>
          <w:tcPr>
            <w:tcW w:w="3294" w:type="dxa"/>
            <w:tcBorders>
              <w:top w:val="nil"/>
              <w:left w:val="nil"/>
              <w:bottom w:val="nil"/>
              <w:right w:val="nil"/>
            </w:tcBorders>
          </w:tcPr>
          <w:p w14:paraId="563B653B" w14:textId="77777777" w:rsidR="00D55061" w:rsidRDefault="00D55061" w:rsidP="00990BF4">
            <w:pPr>
              <w:spacing w:after="0" w:line="259" w:lineRule="auto"/>
              <w:ind w:left="2"/>
              <w:jc w:val="left"/>
            </w:pPr>
            <w:r>
              <w:rPr>
                <w:sz w:val="17"/>
              </w:rPr>
              <w:t>Benzaldehyde</w:t>
            </w:r>
          </w:p>
        </w:tc>
        <w:tc>
          <w:tcPr>
            <w:tcW w:w="880" w:type="dxa"/>
            <w:tcBorders>
              <w:top w:val="nil"/>
              <w:left w:val="nil"/>
              <w:bottom w:val="nil"/>
              <w:right w:val="nil"/>
            </w:tcBorders>
          </w:tcPr>
          <w:p w14:paraId="3FA76F03" w14:textId="77777777" w:rsidR="00D55061" w:rsidRDefault="00D55061" w:rsidP="00990BF4">
            <w:pPr>
              <w:spacing w:after="0" w:line="259" w:lineRule="auto"/>
              <w:ind w:left="2"/>
              <w:jc w:val="left"/>
            </w:pPr>
            <w:r>
              <w:rPr>
                <w:sz w:val="17"/>
              </w:rPr>
              <w:t>833</w:t>
            </w:r>
          </w:p>
        </w:tc>
        <w:tc>
          <w:tcPr>
            <w:tcW w:w="1080" w:type="dxa"/>
            <w:tcBorders>
              <w:top w:val="nil"/>
              <w:left w:val="nil"/>
              <w:bottom w:val="nil"/>
              <w:right w:val="nil"/>
            </w:tcBorders>
          </w:tcPr>
          <w:p w14:paraId="155A931E" w14:textId="77777777" w:rsidR="00D55061" w:rsidRDefault="00D55061" w:rsidP="00990BF4">
            <w:pPr>
              <w:spacing w:after="0" w:line="259" w:lineRule="auto"/>
              <w:ind w:left="2"/>
              <w:jc w:val="left"/>
            </w:pPr>
            <w:r>
              <w:rPr>
                <w:sz w:val="17"/>
              </w:rPr>
              <w:t>936</w:t>
            </w:r>
          </w:p>
        </w:tc>
        <w:tc>
          <w:tcPr>
            <w:tcW w:w="645" w:type="dxa"/>
            <w:tcBorders>
              <w:top w:val="nil"/>
              <w:left w:val="nil"/>
              <w:bottom w:val="nil"/>
              <w:right w:val="nil"/>
            </w:tcBorders>
          </w:tcPr>
          <w:p w14:paraId="4ECAB53F" w14:textId="77777777" w:rsidR="00D55061" w:rsidRDefault="00D55061" w:rsidP="00990BF4">
            <w:pPr>
              <w:spacing w:after="0" w:line="259" w:lineRule="auto"/>
              <w:ind w:left="2"/>
              <w:jc w:val="left"/>
            </w:pPr>
            <w:r>
              <w:rPr>
                <w:sz w:val="17"/>
              </w:rPr>
              <w:t>933</w:t>
            </w:r>
          </w:p>
        </w:tc>
      </w:tr>
      <w:tr w:rsidR="00D55061" w14:paraId="01807AC8" w14:textId="77777777" w:rsidTr="00990BF4">
        <w:trPr>
          <w:trHeight w:val="250"/>
        </w:trPr>
        <w:tc>
          <w:tcPr>
            <w:tcW w:w="1960" w:type="dxa"/>
            <w:tcBorders>
              <w:top w:val="nil"/>
              <w:left w:val="nil"/>
              <w:bottom w:val="nil"/>
              <w:right w:val="nil"/>
            </w:tcBorders>
          </w:tcPr>
          <w:p w14:paraId="5314B893" w14:textId="77777777" w:rsidR="00D55061" w:rsidRDefault="00D55061" w:rsidP="00990BF4">
            <w:pPr>
              <w:spacing w:after="160" w:line="259" w:lineRule="auto"/>
              <w:jc w:val="left"/>
            </w:pPr>
          </w:p>
        </w:tc>
        <w:tc>
          <w:tcPr>
            <w:tcW w:w="1112" w:type="dxa"/>
            <w:tcBorders>
              <w:top w:val="nil"/>
              <w:left w:val="nil"/>
              <w:bottom w:val="nil"/>
              <w:right w:val="nil"/>
            </w:tcBorders>
          </w:tcPr>
          <w:p w14:paraId="5CF9C5E7" w14:textId="77777777" w:rsidR="00D55061" w:rsidRDefault="00D55061" w:rsidP="00990BF4">
            <w:pPr>
              <w:spacing w:after="0" w:line="259" w:lineRule="auto"/>
              <w:ind w:left="4"/>
              <w:jc w:val="left"/>
            </w:pPr>
            <w:r>
              <w:rPr>
                <w:sz w:val="17"/>
              </w:rPr>
              <w:t>15.00</w:t>
            </w:r>
          </w:p>
        </w:tc>
        <w:tc>
          <w:tcPr>
            <w:tcW w:w="894" w:type="dxa"/>
            <w:tcBorders>
              <w:top w:val="nil"/>
              <w:left w:val="nil"/>
              <w:bottom w:val="nil"/>
              <w:right w:val="nil"/>
            </w:tcBorders>
          </w:tcPr>
          <w:p w14:paraId="752A1B56" w14:textId="77777777" w:rsidR="00D55061" w:rsidRDefault="00D55061" w:rsidP="00990BF4">
            <w:pPr>
              <w:spacing w:after="0" w:line="259" w:lineRule="auto"/>
              <w:ind w:left="3"/>
              <w:jc w:val="left"/>
            </w:pPr>
            <w:r>
              <w:rPr>
                <w:sz w:val="17"/>
              </w:rPr>
              <w:t>1.5</w:t>
            </w:r>
          </w:p>
        </w:tc>
        <w:tc>
          <w:tcPr>
            <w:tcW w:w="3294" w:type="dxa"/>
            <w:tcBorders>
              <w:top w:val="nil"/>
              <w:left w:val="nil"/>
              <w:bottom w:val="nil"/>
              <w:right w:val="nil"/>
            </w:tcBorders>
          </w:tcPr>
          <w:p w14:paraId="6B67AC13" w14:textId="77777777" w:rsidR="00D55061" w:rsidRDefault="00D55061" w:rsidP="00990BF4">
            <w:pPr>
              <w:spacing w:after="0" w:line="259" w:lineRule="auto"/>
              <w:ind w:left="2"/>
              <w:jc w:val="left"/>
            </w:pPr>
            <w:r>
              <w:rPr>
                <w:sz w:val="17"/>
              </w:rPr>
              <w:t>2-Furancarboxaldehyde, 5-methyl-</w:t>
            </w:r>
          </w:p>
        </w:tc>
        <w:tc>
          <w:tcPr>
            <w:tcW w:w="880" w:type="dxa"/>
            <w:tcBorders>
              <w:top w:val="nil"/>
              <w:left w:val="nil"/>
              <w:bottom w:val="nil"/>
              <w:right w:val="nil"/>
            </w:tcBorders>
          </w:tcPr>
          <w:p w14:paraId="03413C3C" w14:textId="77777777" w:rsidR="00D55061" w:rsidRDefault="00D55061" w:rsidP="00990BF4">
            <w:pPr>
              <w:spacing w:after="0" w:line="259" w:lineRule="auto"/>
              <w:ind w:left="2"/>
              <w:jc w:val="left"/>
            </w:pPr>
            <w:r>
              <w:rPr>
                <w:sz w:val="17"/>
              </w:rPr>
              <w:t>833</w:t>
            </w:r>
          </w:p>
        </w:tc>
        <w:tc>
          <w:tcPr>
            <w:tcW w:w="1080" w:type="dxa"/>
            <w:tcBorders>
              <w:top w:val="nil"/>
              <w:left w:val="nil"/>
              <w:bottom w:val="nil"/>
              <w:right w:val="nil"/>
            </w:tcBorders>
          </w:tcPr>
          <w:p w14:paraId="78B0697D" w14:textId="77777777" w:rsidR="00D55061" w:rsidRDefault="00D55061" w:rsidP="00990BF4">
            <w:pPr>
              <w:spacing w:after="0" w:line="259" w:lineRule="auto"/>
              <w:ind w:left="2"/>
              <w:jc w:val="left"/>
            </w:pPr>
            <w:r>
              <w:rPr>
                <w:sz w:val="17"/>
              </w:rPr>
              <w:t>936</w:t>
            </w:r>
          </w:p>
        </w:tc>
        <w:tc>
          <w:tcPr>
            <w:tcW w:w="645" w:type="dxa"/>
            <w:tcBorders>
              <w:top w:val="nil"/>
              <w:left w:val="nil"/>
              <w:bottom w:val="nil"/>
              <w:right w:val="nil"/>
            </w:tcBorders>
          </w:tcPr>
          <w:p w14:paraId="22CBDA3F" w14:textId="77777777" w:rsidR="00D55061" w:rsidRDefault="00D55061" w:rsidP="00990BF4">
            <w:pPr>
              <w:spacing w:after="0" w:line="259" w:lineRule="auto"/>
              <w:ind w:left="2"/>
              <w:jc w:val="left"/>
            </w:pPr>
            <w:r>
              <w:rPr>
                <w:sz w:val="17"/>
              </w:rPr>
              <w:t>940</w:t>
            </w:r>
          </w:p>
        </w:tc>
      </w:tr>
      <w:tr w:rsidR="00D55061" w14:paraId="7E076BBF" w14:textId="77777777" w:rsidTr="00990BF4">
        <w:trPr>
          <w:trHeight w:val="250"/>
        </w:trPr>
        <w:tc>
          <w:tcPr>
            <w:tcW w:w="1960" w:type="dxa"/>
            <w:tcBorders>
              <w:top w:val="nil"/>
              <w:left w:val="nil"/>
              <w:bottom w:val="nil"/>
              <w:right w:val="nil"/>
            </w:tcBorders>
          </w:tcPr>
          <w:p w14:paraId="38F3009B" w14:textId="77777777" w:rsidR="00D55061" w:rsidRDefault="00D55061" w:rsidP="00990BF4">
            <w:pPr>
              <w:spacing w:after="160" w:line="259" w:lineRule="auto"/>
              <w:jc w:val="left"/>
            </w:pPr>
          </w:p>
        </w:tc>
        <w:tc>
          <w:tcPr>
            <w:tcW w:w="1112" w:type="dxa"/>
            <w:tcBorders>
              <w:top w:val="nil"/>
              <w:left w:val="nil"/>
              <w:bottom w:val="nil"/>
              <w:right w:val="nil"/>
            </w:tcBorders>
          </w:tcPr>
          <w:p w14:paraId="5D6B0BC1" w14:textId="77777777" w:rsidR="00D55061" w:rsidRDefault="00D55061" w:rsidP="00990BF4">
            <w:pPr>
              <w:spacing w:after="0" w:line="259" w:lineRule="auto"/>
              <w:ind w:left="4"/>
              <w:jc w:val="left"/>
            </w:pPr>
            <w:r>
              <w:rPr>
                <w:sz w:val="17"/>
              </w:rPr>
              <w:t>15.23</w:t>
            </w:r>
          </w:p>
        </w:tc>
        <w:tc>
          <w:tcPr>
            <w:tcW w:w="894" w:type="dxa"/>
            <w:tcBorders>
              <w:top w:val="nil"/>
              <w:left w:val="nil"/>
              <w:bottom w:val="nil"/>
              <w:right w:val="nil"/>
            </w:tcBorders>
          </w:tcPr>
          <w:p w14:paraId="6EAEE16C" w14:textId="77777777" w:rsidR="00D55061" w:rsidRDefault="00D55061" w:rsidP="00990BF4">
            <w:pPr>
              <w:spacing w:after="0" w:line="259" w:lineRule="auto"/>
              <w:ind w:left="3"/>
              <w:jc w:val="left"/>
            </w:pPr>
            <w:r>
              <w:rPr>
                <w:sz w:val="17"/>
              </w:rPr>
              <w:t>3.3</w:t>
            </w:r>
          </w:p>
        </w:tc>
        <w:tc>
          <w:tcPr>
            <w:tcW w:w="3294" w:type="dxa"/>
            <w:tcBorders>
              <w:top w:val="nil"/>
              <w:left w:val="nil"/>
              <w:bottom w:val="nil"/>
              <w:right w:val="nil"/>
            </w:tcBorders>
          </w:tcPr>
          <w:p w14:paraId="460AE52B" w14:textId="77777777" w:rsidR="00D55061" w:rsidRDefault="00D55061" w:rsidP="00990BF4">
            <w:pPr>
              <w:spacing w:after="0" w:line="259" w:lineRule="auto"/>
              <w:ind w:left="2"/>
              <w:jc w:val="left"/>
            </w:pPr>
            <w:r>
              <w:rPr>
                <w:sz w:val="17"/>
              </w:rPr>
              <w:t>Alkane</w:t>
            </w:r>
          </w:p>
        </w:tc>
        <w:tc>
          <w:tcPr>
            <w:tcW w:w="880" w:type="dxa"/>
            <w:tcBorders>
              <w:top w:val="nil"/>
              <w:left w:val="nil"/>
              <w:bottom w:val="nil"/>
              <w:right w:val="nil"/>
            </w:tcBorders>
          </w:tcPr>
          <w:p w14:paraId="2B06830E" w14:textId="77777777" w:rsidR="00D55061" w:rsidRDefault="00D55061" w:rsidP="00990BF4">
            <w:pPr>
              <w:spacing w:after="160" w:line="259" w:lineRule="auto"/>
              <w:jc w:val="left"/>
            </w:pPr>
          </w:p>
        </w:tc>
        <w:tc>
          <w:tcPr>
            <w:tcW w:w="1080" w:type="dxa"/>
            <w:tcBorders>
              <w:top w:val="nil"/>
              <w:left w:val="nil"/>
              <w:bottom w:val="nil"/>
              <w:right w:val="nil"/>
            </w:tcBorders>
          </w:tcPr>
          <w:p w14:paraId="33DE8129" w14:textId="77777777" w:rsidR="00D55061" w:rsidRDefault="00D55061" w:rsidP="00990BF4">
            <w:pPr>
              <w:spacing w:after="0" w:line="259" w:lineRule="auto"/>
              <w:ind w:left="2"/>
              <w:jc w:val="left"/>
            </w:pPr>
            <w:r>
              <w:rPr>
                <w:sz w:val="17"/>
              </w:rPr>
              <w:t>944</w:t>
            </w:r>
          </w:p>
        </w:tc>
        <w:tc>
          <w:tcPr>
            <w:tcW w:w="645" w:type="dxa"/>
            <w:tcBorders>
              <w:top w:val="nil"/>
              <w:left w:val="nil"/>
              <w:bottom w:val="nil"/>
              <w:right w:val="nil"/>
            </w:tcBorders>
          </w:tcPr>
          <w:p w14:paraId="7A0DC9E6" w14:textId="77777777" w:rsidR="00D55061" w:rsidRDefault="00D55061" w:rsidP="00990BF4">
            <w:pPr>
              <w:spacing w:after="160" w:line="259" w:lineRule="auto"/>
              <w:jc w:val="left"/>
            </w:pPr>
          </w:p>
        </w:tc>
      </w:tr>
      <w:tr w:rsidR="00D55061" w14:paraId="08912964" w14:textId="77777777" w:rsidTr="00990BF4">
        <w:trPr>
          <w:trHeight w:val="250"/>
        </w:trPr>
        <w:tc>
          <w:tcPr>
            <w:tcW w:w="1960" w:type="dxa"/>
            <w:tcBorders>
              <w:top w:val="nil"/>
              <w:left w:val="nil"/>
              <w:bottom w:val="nil"/>
              <w:right w:val="nil"/>
            </w:tcBorders>
          </w:tcPr>
          <w:p w14:paraId="7DBD6D80" w14:textId="77777777" w:rsidR="00D55061" w:rsidRDefault="00D55061" w:rsidP="00990BF4">
            <w:pPr>
              <w:spacing w:after="160" w:line="259" w:lineRule="auto"/>
              <w:jc w:val="left"/>
            </w:pPr>
          </w:p>
        </w:tc>
        <w:tc>
          <w:tcPr>
            <w:tcW w:w="1112" w:type="dxa"/>
            <w:tcBorders>
              <w:top w:val="nil"/>
              <w:left w:val="nil"/>
              <w:bottom w:val="nil"/>
              <w:right w:val="nil"/>
            </w:tcBorders>
          </w:tcPr>
          <w:p w14:paraId="671ED616" w14:textId="77777777" w:rsidR="00D55061" w:rsidRDefault="00D55061" w:rsidP="00990BF4">
            <w:pPr>
              <w:spacing w:after="0" w:line="259" w:lineRule="auto"/>
              <w:ind w:left="4"/>
              <w:jc w:val="left"/>
            </w:pPr>
            <w:r>
              <w:rPr>
                <w:sz w:val="17"/>
              </w:rPr>
              <w:t>17.93</w:t>
            </w:r>
          </w:p>
        </w:tc>
        <w:tc>
          <w:tcPr>
            <w:tcW w:w="894" w:type="dxa"/>
            <w:tcBorders>
              <w:top w:val="nil"/>
              <w:left w:val="nil"/>
              <w:bottom w:val="nil"/>
              <w:right w:val="nil"/>
            </w:tcBorders>
          </w:tcPr>
          <w:p w14:paraId="2507FD4F" w14:textId="77777777" w:rsidR="00D55061" w:rsidRDefault="00D55061" w:rsidP="00990BF4">
            <w:pPr>
              <w:spacing w:after="0" w:line="259" w:lineRule="auto"/>
              <w:ind w:left="3"/>
              <w:jc w:val="left"/>
            </w:pPr>
            <w:r>
              <w:rPr>
                <w:sz w:val="17"/>
              </w:rPr>
              <w:t>2.4</w:t>
            </w:r>
          </w:p>
        </w:tc>
        <w:tc>
          <w:tcPr>
            <w:tcW w:w="3294" w:type="dxa"/>
            <w:tcBorders>
              <w:top w:val="nil"/>
              <w:left w:val="nil"/>
              <w:bottom w:val="nil"/>
              <w:right w:val="nil"/>
            </w:tcBorders>
          </w:tcPr>
          <w:p w14:paraId="3E8D8815" w14:textId="77777777" w:rsidR="00D55061" w:rsidRDefault="00D55061" w:rsidP="00990BF4">
            <w:pPr>
              <w:spacing w:after="0" w:line="259" w:lineRule="auto"/>
              <w:ind w:left="2"/>
              <w:jc w:val="left"/>
            </w:pPr>
            <w:r>
              <w:rPr>
                <w:sz w:val="17"/>
              </w:rPr>
              <w:t>Unknown</w:t>
            </w:r>
          </w:p>
        </w:tc>
        <w:tc>
          <w:tcPr>
            <w:tcW w:w="880" w:type="dxa"/>
            <w:tcBorders>
              <w:top w:val="nil"/>
              <w:left w:val="nil"/>
              <w:bottom w:val="nil"/>
              <w:right w:val="nil"/>
            </w:tcBorders>
          </w:tcPr>
          <w:p w14:paraId="56AA52F0" w14:textId="77777777" w:rsidR="00D55061" w:rsidRDefault="00D55061" w:rsidP="00990BF4">
            <w:pPr>
              <w:spacing w:after="160" w:line="259" w:lineRule="auto"/>
              <w:jc w:val="left"/>
            </w:pPr>
          </w:p>
        </w:tc>
        <w:tc>
          <w:tcPr>
            <w:tcW w:w="1080" w:type="dxa"/>
            <w:tcBorders>
              <w:top w:val="nil"/>
              <w:left w:val="nil"/>
              <w:bottom w:val="nil"/>
              <w:right w:val="nil"/>
            </w:tcBorders>
          </w:tcPr>
          <w:p w14:paraId="5F3C9BB3" w14:textId="77777777" w:rsidR="00D55061" w:rsidRDefault="00D55061" w:rsidP="00990BF4">
            <w:pPr>
              <w:spacing w:after="160" w:line="259" w:lineRule="auto"/>
              <w:jc w:val="left"/>
            </w:pPr>
          </w:p>
        </w:tc>
        <w:tc>
          <w:tcPr>
            <w:tcW w:w="645" w:type="dxa"/>
            <w:tcBorders>
              <w:top w:val="nil"/>
              <w:left w:val="nil"/>
              <w:bottom w:val="nil"/>
              <w:right w:val="nil"/>
            </w:tcBorders>
          </w:tcPr>
          <w:p w14:paraId="332E0C0D" w14:textId="77777777" w:rsidR="00D55061" w:rsidRDefault="00D55061" w:rsidP="00990BF4">
            <w:pPr>
              <w:spacing w:after="160" w:line="259" w:lineRule="auto"/>
              <w:jc w:val="left"/>
            </w:pPr>
          </w:p>
        </w:tc>
      </w:tr>
      <w:tr w:rsidR="00D55061" w14:paraId="619CA6C3" w14:textId="77777777" w:rsidTr="00990BF4">
        <w:trPr>
          <w:trHeight w:val="250"/>
        </w:trPr>
        <w:tc>
          <w:tcPr>
            <w:tcW w:w="1960" w:type="dxa"/>
            <w:tcBorders>
              <w:top w:val="nil"/>
              <w:left w:val="nil"/>
              <w:bottom w:val="nil"/>
              <w:right w:val="nil"/>
            </w:tcBorders>
          </w:tcPr>
          <w:p w14:paraId="43ED8C90" w14:textId="77777777" w:rsidR="00D55061" w:rsidRDefault="00D55061" w:rsidP="00990BF4">
            <w:pPr>
              <w:spacing w:after="160" w:line="259" w:lineRule="auto"/>
              <w:jc w:val="left"/>
            </w:pPr>
          </w:p>
        </w:tc>
        <w:tc>
          <w:tcPr>
            <w:tcW w:w="1112" w:type="dxa"/>
            <w:tcBorders>
              <w:top w:val="nil"/>
              <w:left w:val="nil"/>
              <w:bottom w:val="nil"/>
              <w:right w:val="nil"/>
            </w:tcBorders>
          </w:tcPr>
          <w:p w14:paraId="0B3642BD" w14:textId="77777777" w:rsidR="00D55061" w:rsidRDefault="00D55061" w:rsidP="00990BF4">
            <w:pPr>
              <w:spacing w:after="0" w:line="259" w:lineRule="auto"/>
              <w:ind w:left="4"/>
              <w:jc w:val="left"/>
            </w:pPr>
            <w:r>
              <w:rPr>
                <w:sz w:val="17"/>
              </w:rPr>
              <w:t>19.50</w:t>
            </w:r>
          </w:p>
        </w:tc>
        <w:tc>
          <w:tcPr>
            <w:tcW w:w="894" w:type="dxa"/>
            <w:tcBorders>
              <w:top w:val="nil"/>
              <w:left w:val="nil"/>
              <w:bottom w:val="nil"/>
              <w:right w:val="nil"/>
            </w:tcBorders>
          </w:tcPr>
          <w:p w14:paraId="3BAAF8A5" w14:textId="77777777" w:rsidR="00D55061" w:rsidRDefault="00D55061" w:rsidP="00990BF4">
            <w:pPr>
              <w:spacing w:after="0" w:line="259" w:lineRule="auto"/>
              <w:ind w:left="3"/>
              <w:jc w:val="left"/>
            </w:pPr>
            <w:r>
              <w:rPr>
                <w:sz w:val="17"/>
              </w:rPr>
              <w:t>1.5</w:t>
            </w:r>
          </w:p>
        </w:tc>
        <w:tc>
          <w:tcPr>
            <w:tcW w:w="3294" w:type="dxa"/>
            <w:tcBorders>
              <w:top w:val="nil"/>
              <w:left w:val="nil"/>
              <w:bottom w:val="nil"/>
              <w:right w:val="nil"/>
            </w:tcBorders>
          </w:tcPr>
          <w:p w14:paraId="29119D52" w14:textId="77777777" w:rsidR="00D55061" w:rsidRDefault="00D55061" w:rsidP="00990BF4">
            <w:pPr>
              <w:spacing w:after="0" w:line="259" w:lineRule="auto"/>
              <w:ind w:left="3"/>
              <w:jc w:val="left"/>
            </w:pPr>
            <w:r>
              <w:rPr>
                <w:sz w:val="17"/>
              </w:rPr>
              <w:t>Unknown</w:t>
            </w:r>
          </w:p>
        </w:tc>
        <w:tc>
          <w:tcPr>
            <w:tcW w:w="880" w:type="dxa"/>
            <w:tcBorders>
              <w:top w:val="nil"/>
              <w:left w:val="nil"/>
              <w:bottom w:val="nil"/>
              <w:right w:val="nil"/>
            </w:tcBorders>
          </w:tcPr>
          <w:p w14:paraId="23CD224A" w14:textId="77777777" w:rsidR="00D55061" w:rsidRDefault="00D55061" w:rsidP="00990BF4">
            <w:pPr>
              <w:spacing w:after="160" w:line="259" w:lineRule="auto"/>
              <w:jc w:val="left"/>
            </w:pPr>
          </w:p>
        </w:tc>
        <w:tc>
          <w:tcPr>
            <w:tcW w:w="1080" w:type="dxa"/>
            <w:tcBorders>
              <w:top w:val="nil"/>
              <w:left w:val="nil"/>
              <w:bottom w:val="nil"/>
              <w:right w:val="nil"/>
            </w:tcBorders>
          </w:tcPr>
          <w:p w14:paraId="0FA94003" w14:textId="77777777" w:rsidR="00D55061" w:rsidRDefault="00D55061" w:rsidP="00990BF4">
            <w:pPr>
              <w:spacing w:after="160" w:line="259" w:lineRule="auto"/>
              <w:jc w:val="left"/>
            </w:pPr>
          </w:p>
        </w:tc>
        <w:tc>
          <w:tcPr>
            <w:tcW w:w="645" w:type="dxa"/>
            <w:tcBorders>
              <w:top w:val="nil"/>
              <w:left w:val="nil"/>
              <w:bottom w:val="nil"/>
              <w:right w:val="nil"/>
            </w:tcBorders>
          </w:tcPr>
          <w:p w14:paraId="6B095F5F" w14:textId="77777777" w:rsidR="00D55061" w:rsidRDefault="00D55061" w:rsidP="00990BF4">
            <w:pPr>
              <w:spacing w:after="160" w:line="259" w:lineRule="auto"/>
              <w:jc w:val="left"/>
            </w:pPr>
          </w:p>
        </w:tc>
      </w:tr>
      <w:tr w:rsidR="00D55061" w14:paraId="484EED80" w14:textId="77777777" w:rsidTr="00990BF4">
        <w:trPr>
          <w:trHeight w:val="250"/>
        </w:trPr>
        <w:tc>
          <w:tcPr>
            <w:tcW w:w="1960" w:type="dxa"/>
            <w:tcBorders>
              <w:top w:val="nil"/>
              <w:left w:val="nil"/>
              <w:bottom w:val="nil"/>
              <w:right w:val="nil"/>
            </w:tcBorders>
          </w:tcPr>
          <w:p w14:paraId="51B66C5E" w14:textId="77777777" w:rsidR="00D55061" w:rsidRDefault="00D55061" w:rsidP="00990BF4">
            <w:pPr>
              <w:spacing w:after="160" w:line="259" w:lineRule="auto"/>
              <w:jc w:val="left"/>
            </w:pPr>
          </w:p>
        </w:tc>
        <w:tc>
          <w:tcPr>
            <w:tcW w:w="1112" w:type="dxa"/>
            <w:tcBorders>
              <w:top w:val="nil"/>
              <w:left w:val="nil"/>
              <w:bottom w:val="nil"/>
              <w:right w:val="nil"/>
            </w:tcBorders>
          </w:tcPr>
          <w:p w14:paraId="5E6830B5" w14:textId="77777777" w:rsidR="00D55061" w:rsidRDefault="00D55061" w:rsidP="00990BF4">
            <w:pPr>
              <w:spacing w:after="0" w:line="259" w:lineRule="auto"/>
              <w:ind w:left="5"/>
              <w:jc w:val="left"/>
            </w:pPr>
            <w:r>
              <w:rPr>
                <w:sz w:val="17"/>
              </w:rPr>
              <w:t>20.85</w:t>
            </w:r>
          </w:p>
        </w:tc>
        <w:tc>
          <w:tcPr>
            <w:tcW w:w="894" w:type="dxa"/>
            <w:tcBorders>
              <w:top w:val="nil"/>
              <w:left w:val="nil"/>
              <w:bottom w:val="nil"/>
              <w:right w:val="nil"/>
            </w:tcBorders>
          </w:tcPr>
          <w:p w14:paraId="5E21726F" w14:textId="77777777" w:rsidR="00D55061" w:rsidRDefault="00D55061" w:rsidP="00990BF4">
            <w:pPr>
              <w:spacing w:after="0" w:line="259" w:lineRule="auto"/>
              <w:ind w:left="4"/>
              <w:jc w:val="left"/>
            </w:pPr>
            <w:r>
              <w:rPr>
                <w:sz w:val="17"/>
              </w:rPr>
              <w:t>1.5</w:t>
            </w:r>
          </w:p>
        </w:tc>
        <w:tc>
          <w:tcPr>
            <w:tcW w:w="3294" w:type="dxa"/>
            <w:tcBorders>
              <w:top w:val="nil"/>
              <w:left w:val="nil"/>
              <w:bottom w:val="nil"/>
              <w:right w:val="nil"/>
            </w:tcBorders>
          </w:tcPr>
          <w:p w14:paraId="442FEEA1" w14:textId="77777777" w:rsidR="00D55061" w:rsidRDefault="00D55061" w:rsidP="00990BF4">
            <w:pPr>
              <w:spacing w:after="0" w:line="259" w:lineRule="auto"/>
              <w:ind w:left="3"/>
              <w:jc w:val="left"/>
            </w:pPr>
            <w:r>
              <w:rPr>
                <w:sz w:val="17"/>
              </w:rPr>
              <w:t>1H-Pyrrole, 1-(2-furanylmethyl)-</w:t>
            </w:r>
          </w:p>
        </w:tc>
        <w:tc>
          <w:tcPr>
            <w:tcW w:w="880" w:type="dxa"/>
            <w:tcBorders>
              <w:top w:val="nil"/>
              <w:left w:val="nil"/>
              <w:bottom w:val="nil"/>
              <w:right w:val="nil"/>
            </w:tcBorders>
          </w:tcPr>
          <w:p w14:paraId="7DE27C50" w14:textId="77777777" w:rsidR="00D55061" w:rsidRDefault="00D55061" w:rsidP="00990BF4">
            <w:pPr>
              <w:spacing w:after="0" w:line="259" w:lineRule="auto"/>
              <w:ind w:left="3"/>
              <w:jc w:val="left"/>
            </w:pPr>
            <w:r>
              <w:rPr>
                <w:sz w:val="17"/>
              </w:rPr>
              <w:t>831</w:t>
            </w:r>
          </w:p>
        </w:tc>
        <w:tc>
          <w:tcPr>
            <w:tcW w:w="1080" w:type="dxa"/>
            <w:tcBorders>
              <w:top w:val="nil"/>
              <w:left w:val="nil"/>
              <w:bottom w:val="nil"/>
              <w:right w:val="nil"/>
            </w:tcBorders>
          </w:tcPr>
          <w:p w14:paraId="74C8037E" w14:textId="77777777" w:rsidR="00D55061" w:rsidRDefault="00D55061" w:rsidP="00990BF4">
            <w:pPr>
              <w:spacing w:after="0" w:line="259" w:lineRule="auto"/>
              <w:ind w:left="3"/>
              <w:jc w:val="left"/>
            </w:pPr>
            <w:r>
              <w:rPr>
                <w:sz w:val="17"/>
              </w:rPr>
              <w:t>1145</w:t>
            </w:r>
          </w:p>
        </w:tc>
        <w:tc>
          <w:tcPr>
            <w:tcW w:w="645" w:type="dxa"/>
            <w:tcBorders>
              <w:top w:val="nil"/>
              <w:left w:val="nil"/>
              <w:bottom w:val="nil"/>
              <w:right w:val="nil"/>
            </w:tcBorders>
          </w:tcPr>
          <w:p w14:paraId="383AF17C" w14:textId="77777777" w:rsidR="00D55061" w:rsidRDefault="00D55061" w:rsidP="00990BF4">
            <w:pPr>
              <w:spacing w:after="0" w:line="259" w:lineRule="auto"/>
              <w:ind w:left="3"/>
              <w:jc w:val="left"/>
            </w:pPr>
            <w:r>
              <w:rPr>
                <w:sz w:val="17"/>
              </w:rPr>
              <w:t>1153</w:t>
            </w:r>
          </w:p>
        </w:tc>
      </w:tr>
      <w:tr w:rsidR="00D55061" w14:paraId="557D5D00" w14:textId="77777777" w:rsidTr="00990BF4">
        <w:trPr>
          <w:trHeight w:val="250"/>
        </w:trPr>
        <w:tc>
          <w:tcPr>
            <w:tcW w:w="1960" w:type="dxa"/>
            <w:tcBorders>
              <w:top w:val="nil"/>
              <w:left w:val="nil"/>
              <w:bottom w:val="nil"/>
              <w:right w:val="nil"/>
            </w:tcBorders>
          </w:tcPr>
          <w:p w14:paraId="16FA1DF8" w14:textId="77777777" w:rsidR="00D55061" w:rsidRDefault="00D55061" w:rsidP="00990BF4">
            <w:pPr>
              <w:spacing w:after="160" w:line="259" w:lineRule="auto"/>
              <w:jc w:val="left"/>
            </w:pPr>
          </w:p>
        </w:tc>
        <w:tc>
          <w:tcPr>
            <w:tcW w:w="1112" w:type="dxa"/>
            <w:tcBorders>
              <w:top w:val="nil"/>
              <w:left w:val="nil"/>
              <w:bottom w:val="nil"/>
              <w:right w:val="nil"/>
            </w:tcBorders>
          </w:tcPr>
          <w:p w14:paraId="145C7E1A" w14:textId="77777777" w:rsidR="00D55061" w:rsidRDefault="00D55061" w:rsidP="00990BF4">
            <w:pPr>
              <w:spacing w:after="0" w:line="259" w:lineRule="auto"/>
              <w:ind w:left="5"/>
              <w:jc w:val="left"/>
            </w:pPr>
            <w:r>
              <w:rPr>
                <w:sz w:val="17"/>
              </w:rPr>
              <w:t>20.85</w:t>
            </w:r>
          </w:p>
        </w:tc>
        <w:tc>
          <w:tcPr>
            <w:tcW w:w="894" w:type="dxa"/>
            <w:tcBorders>
              <w:top w:val="nil"/>
              <w:left w:val="nil"/>
              <w:bottom w:val="nil"/>
              <w:right w:val="nil"/>
            </w:tcBorders>
          </w:tcPr>
          <w:p w14:paraId="3B5E581A" w14:textId="77777777" w:rsidR="00D55061" w:rsidRDefault="00D55061" w:rsidP="00990BF4">
            <w:pPr>
              <w:spacing w:after="0" w:line="259" w:lineRule="auto"/>
              <w:ind w:left="4"/>
              <w:jc w:val="left"/>
            </w:pPr>
            <w:r>
              <w:rPr>
                <w:sz w:val="17"/>
              </w:rPr>
              <w:t>0.6</w:t>
            </w:r>
          </w:p>
        </w:tc>
        <w:tc>
          <w:tcPr>
            <w:tcW w:w="3294" w:type="dxa"/>
            <w:tcBorders>
              <w:top w:val="nil"/>
              <w:left w:val="nil"/>
              <w:bottom w:val="nil"/>
              <w:right w:val="nil"/>
            </w:tcBorders>
          </w:tcPr>
          <w:p w14:paraId="2D66C12D" w14:textId="77777777" w:rsidR="00D55061" w:rsidRDefault="00D55061" w:rsidP="00990BF4">
            <w:pPr>
              <w:spacing w:after="0" w:line="259" w:lineRule="auto"/>
              <w:ind w:left="3"/>
              <w:jc w:val="left"/>
            </w:pPr>
            <w:r>
              <w:rPr>
                <w:sz w:val="17"/>
              </w:rPr>
              <w:t>1H-Pyrrole, 1-(2-furanylmethyl)- + unknown</w:t>
            </w:r>
          </w:p>
        </w:tc>
        <w:tc>
          <w:tcPr>
            <w:tcW w:w="880" w:type="dxa"/>
            <w:tcBorders>
              <w:top w:val="nil"/>
              <w:left w:val="nil"/>
              <w:bottom w:val="nil"/>
              <w:right w:val="nil"/>
            </w:tcBorders>
          </w:tcPr>
          <w:p w14:paraId="5A0DAC1E" w14:textId="77777777" w:rsidR="00D55061" w:rsidRDefault="00D55061" w:rsidP="00990BF4">
            <w:pPr>
              <w:spacing w:after="0" w:line="259" w:lineRule="auto"/>
              <w:ind w:left="3"/>
              <w:jc w:val="left"/>
            </w:pPr>
            <w:r>
              <w:rPr>
                <w:sz w:val="17"/>
              </w:rPr>
              <w:t>831</w:t>
            </w:r>
          </w:p>
        </w:tc>
        <w:tc>
          <w:tcPr>
            <w:tcW w:w="1080" w:type="dxa"/>
            <w:tcBorders>
              <w:top w:val="nil"/>
              <w:left w:val="nil"/>
              <w:bottom w:val="nil"/>
              <w:right w:val="nil"/>
            </w:tcBorders>
          </w:tcPr>
          <w:p w14:paraId="5990F3C2" w14:textId="77777777" w:rsidR="00D55061" w:rsidRDefault="00D55061" w:rsidP="00990BF4">
            <w:pPr>
              <w:spacing w:after="0" w:line="259" w:lineRule="auto"/>
              <w:ind w:left="3"/>
              <w:jc w:val="left"/>
            </w:pPr>
            <w:r>
              <w:rPr>
                <w:sz w:val="17"/>
              </w:rPr>
              <w:t>1145</w:t>
            </w:r>
          </w:p>
        </w:tc>
        <w:tc>
          <w:tcPr>
            <w:tcW w:w="645" w:type="dxa"/>
            <w:tcBorders>
              <w:top w:val="nil"/>
              <w:left w:val="nil"/>
              <w:bottom w:val="nil"/>
              <w:right w:val="nil"/>
            </w:tcBorders>
          </w:tcPr>
          <w:p w14:paraId="28E432CB" w14:textId="77777777" w:rsidR="00D55061" w:rsidRDefault="00D55061" w:rsidP="00990BF4">
            <w:pPr>
              <w:spacing w:after="0" w:line="259" w:lineRule="auto"/>
              <w:ind w:left="3"/>
              <w:jc w:val="left"/>
            </w:pPr>
            <w:r>
              <w:rPr>
                <w:sz w:val="17"/>
              </w:rPr>
              <w:t>1153</w:t>
            </w:r>
          </w:p>
        </w:tc>
      </w:tr>
      <w:tr w:rsidR="00D55061" w14:paraId="633EC3C4" w14:textId="77777777" w:rsidTr="00990BF4">
        <w:trPr>
          <w:trHeight w:val="250"/>
        </w:trPr>
        <w:tc>
          <w:tcPr>
            <w:tcW w:w="1960" w:type="dxa"/>
            <w:tcBorders>
              <w:top w:val="nil"/>
              <w:left w:val="nil"/>
              <w:bottom w:val="nil"/>
              <w:right w:val="nil"/>
            </w:tcBorders>
          </w:tcPr>
          <w:p w14:paraId="4565BF3D" w14:textId="77777777" w:rsidR="00D55061" w:rsidRDefault="00D55061" w:rsidP="00990BF4">
            <w:pPr>
              <w:spacing w:after="160" w:line="259" w:lineRule="auto"/>
              <w:jc w:val="left"/>
            </w:pPr>
          </w:p>
        </w:tc>
        <w:tc>
          <w:tcPr>
            <w:tcW w:w="1112" w:type="dxa"/>
            <w:tcBorders>
              <w:top w:val="nil"/>
              <w:left w:val="nil"/>
              <w:bottom w:val="nil"/>
              <w:right w:val="nil"/>
            </w:tcBorders>
          </w:tcPr>
          <w:p w14:paraId="6B6652C3" w14:textId="77777777" w:rsidR="00D55061" w:rsidRDefault="00D55061" w:rsidP="00990BF4">
            <w:pPr>
              <w:spacing w:after="0" w:line="259" w:lineRule="auto"/>
              <w:ind w:left="5"/>
              <w:jc w:val="left"/>
            </w:pPr>
            <w:r>
              <w:rPr>
                <w:sz w:val="17"/>
              </w:rPr>
              <w:t>20.85</w:t>
            </w:r>
          </w:p>
        </w:tc>
        <w:tc>
          <w:tcPr>
            <w:tcW w:w="894" w:type="dxa"/>
            <w:tcBorders>
              <w:top w:val="nil"/>
              <w:left w:val="nil"/>
              <w:bottom w:val="nil"/>
              <w:right w:val="nil"/>
            </w:tcBorders>
          </w:tcPr>
          <w:p w14:paraId="4F81E73E" w14:textId="77777777" w:rsidR="00D55061" w:rsidRDefault="00D55061" w:rsidP="00990BF4">
            <w:pPr>
              <w:spacing w:after="0" w:line="259" w:lineRule="auto"/>
              <w:ind w:left="4"/>
              <w:jc w:val="left"/>
            </w:pPr>
            <w:r>
              <w:rPr>
                <w:sz w:val="17"/>
              </w:rPr>
              <w:t>0.6</w:t>
            </w:r>
          </w:p>
        </w:tc>
        <w:tc>
          <w:tcPr>
            <w:tcW w:w="3294" w:type="dxa"/>
            <w:tcBorders>
              <w:top w:val="nil"/>
              <w:left w:val="nil"/>
              <w:bottom w:val="nil"/>
              <w:right w:val="nil"/>
            </w:tcBorders>
          </w:tcPr>
          <w:p w14:paraId="45911EA6" w14:textId="77777777" w:rsidR="00D55061" w:rsidRDefault="00D55061" w:rsidP="00990BF4">
            <w:pPr>
              <w:spacing w:after="0" w:line="259" w:lineRule="auto"/>
              <w:ind w:left="3"/>
              <w:jc w:val="left"/>
            </w:pPr>
            <w:r>
              <w:rPr>
                <w:sz w:val="17"/>
              </w:rPr>
              <w:t>Unknown</w:t>
            </w:r>
          </w:p>
        </w:tc>
        <w:tc>
          <w:tcPr>
            <w:tcW w:w="880" w:type="dxa"/>
            <w:tcBorders>
              <w:top w:val="nil"/>
              <w:left w:val="nil"/>
              <w:bottom w:val="nil"/>
              <w:right w:val="nil"/>
            </w:tcBorders>
          </w:tcPr>
          <w:p w14:paraId="6B519A12" w14:textId="77777777" w:rsidR="00D55061" w:rsidRDefault="00D55061" w:rsidP="00990BF4">
            <w:pPr>
              <w:spacing w:after="160" w:line="259" w:lineRule="auto"/>
              <w:jc w:val="left"/>
            </w:pPr>
          </w:p>
        </w:tc>
        <w:tc>
          <w:tcPr>
            <w:tcW w:w="1080" w:type="dxa"/>
            <w:tcBorders>
              <w:top w:val="nil"/>
              <w:left w:val="nil"/>
              <w:bottom w:val="nil"/>
              <w:right w:val="nil"/>
            </w:tcBorders>
          </w:tcPr>
          <w:p w14:paraId="3490A797" w14:textId="77777777" w:rsidR="00D55061" w:rsidRDefault="00D55061" w:rsidP="00990BF4">
            <w:pPr>
              <w:spacing w:after="160" w:line="259" w:lineRule="auto"/>
              <w:jc w:val="left"/>
            </w:pPr>
          </w:p>
        </w:tc>
        <w:tc>
          <w:tcPr>
            <w:tcW w:w="645" w:type="dxa"/>
            <w:tcBorders>
              <w:top w:val="nil"/>
              <w:left w:val="nil"/>
              <w:bottom w:val="nil"/>
              <w:right w:val="nil"/>
            </w:tcBorders>
          </w:tcPr>
          <w:p w14:paraId="2C7A19DB" w14:textId="77777777" w:rsidR="00D55061" w:rsidRDefault="00D55061" w:rsidP="00990BF4">
            <w:pPr>
              <w:spacing w:after="160" w:line="259" w:lineRule="auto"/>
              <w:jc w:val="left"/>
            </w:pPr>
          </w:p>
        </w:tc>
      </w:tr>
      <w:tr w:rsidR="00D55061" w14:paraId="55F2ED89" w14:textId="77777777" w:rsidTr="00990BF4">
        <w:trPr>
          <w:trHeight w:val="250"/>
        </w:trPr>
        <w:tc>
          <w:tcPr>
            <w:tcW w:w="1960" w:type="dxa"/>
            <w:tcBorders>
              <w:top w:val="nil"/>
              <w:left w:val="nil"/>
              <w:bottom w:val="nil"/>
              <w:right w:val="nil"/>
            </w:tcBorders>
          </w:tcPr>
          <w:p w14:paraId="79E934E7" w14:textId="77777777" w:rsidR="00D55061" w:rsidRDefault="00D55061" w:rsidP="00990BF4">
            <w:pPr>
              <w:spacing w:after="160" w:line="259" w:lineRule="auto"/>
              <w:jc w:val="left"/>
            </w:pPr>
          </w:p>
        </w:tc>
        <w:tc>
          <w:tcPr>
            <w:tcW w:w="1112" w:type="dxa"/>
            <w:tcBorders>
              <w:top w:val="nil"/>
              <w:left w:val="nil"/>
              <w:bottom w:val="nil"/>
              <w:right w:val="nil"/>
            </w:tcBorders>
          </w:tcPr>
          <w:p w14:paraId="029F880B" w14:textId="77777777" w:rsidR="00D55061" w:rsidRDefault="00D55061" w:rsidP="00990BF4">
            <w:pPr>
              <w:spacing w:after="0" w:line="259" w:lineRule="auto"/>
              <w:ind w:left="5"/>
              <w:jc w:val="left"/>
            </w:pPr>
            <w:r>
              <w:rPr>
                <w:sz w:val="17"/>
              </w:rPr>
              <w:t>21.75</w:t>
            </w:r>
          </w:p>
        </w:tc>
        <w:tc>
          <w:tcPr>
            <w:tcW w:w="894" w:type="dxa"/>
            <w:tcBorders>
              <w:top w:val="nil"/>
              <w:left w:val="nil"/>
              <w:bottom w:val="nil"/>
              <w:right w:val="nil"/>
            </w:tcBorders>
          </w:tcPr>
          <w:p w14:paraId="3D32C6DE" w14:textId="77777777" w:rsidR="00D55061" w:rsidRDefault="00D55061" w:rsidP="00990BF4">
            <w:pPr>
              <w:spacing w:after="0" w:line="259" w:lineRule="auto"/>
              <w:ind w:left="4"/>
              <w:jc w:val="left"/>
            </w:pPr>
            <w:r>
              <w:rPr>
                <w:sz w:val="17"/>
              </w:rPr>
              <w:t>0.6</w:t>
            </w:r>
          </w:p>
        </w:tc>
        <w:tc>
          <w:tcPr>
            <w:tcW w:w="3294" w:type="dxa"/>
            <w:tcBorders>
              <w:top w:val="nil"/>
              <w:left w:val="nil"/>
              <w:bottom w:val="nil"/>
              <w:right w:val="nil"/>
            </w:tcBorders>
          </w:tcPr>
          <w:p w14:paraId="60040751" w14:textId="77777777" w:rsidR="00D55061" w:rsidRDefault="00D55061" w:rsidP="00990BF4">
            <w:pPr>
              <w:spacing w:after="0" w:line="259" w:lineRule="auto"/>
              <w:ind w:left="3"/>
              <w:jc w:val="left"/>
            </w:pPr>
            <w:r>
              <w:rPr>
                <w:sz w:val="17"/>
              </w:rPr>
              <w:t>Unknown</w:t>
            </w:r>
          </w:p>
        </w:tc>
        <w:tc>
          <w:tcPr>
            <w:tcW w:w="880" w:type="dxa"/>
            <w:tcBorders>
              <w:top w:val="nil"/>
              <w:left w:val="nil"/>
              <w:bottom w:val="nil"/>
              <w:right w:val="nil"/>
            </w:tcBorders>
          </w:tcPr>
          <w:p w14:paraId="1599A903" w14:textId="77777777" w:rsidR="00D55061" w:rsidRDefault="00D55061" w:rsidP="00990BF4">
            <w:pPr>
              <w:spacing w:after="160" w:line="259" w:lineRule="auto"/>
              <w:jc w:val="left"/>
            </w:pPr>
          </w:p>
        </w:tc>
        <w:tc>
          <w:tcPr>
            <w:tcW w:w="1080" w:type="dxa"/>
            <w:tcBorders>
              <w:top w:val="nil"/>
              <w:left w:val="nil"/>
              <w:bottom w:val="nil"/>
              <w:right w:val="nil"/>
            </w:tcBorders>
          </w:tcPr>
          <w:p w14:paraId="42F591DC" w14:textId="77777777" w:rsidR="00D55061" w:rsidRDefault="00D55061" w:rsidP="00990BF4">
            <w:pPr>
              <w:spacing w:after="160" w:line="259" w:lineRule="auto"/>
              <w:jc w:val="left"/>
            </w:pPr>
          </w:p>
        </w:tc>
        <w:tc>
          <w:tcPr>
            <w:tcW w:w="645" w:type="dxa"/>
            <w:tcBorders>
              <w:top w:val="nil"/>
              <w:left w:val="nil"/>
              <w:bottom w:val="nil"/>
              <w:right w:val="nil"/>
            </w:tcBorders>
          </w:tcPr>
          <w:p w14:paraId="61E9807C" w14:textId="77777777" w:rsidR="00D55061" w:rsidRDefault="00D55061" w:rsidP="00990BF4">
            <w:pPr>
              <w:spacing w:after="160" w:line="259" w:lineRule="auto"/>
              <w:jc w:val="left"/>
            </w:pPr>
          </w:p>
        </w:tc>
      </w:tr>
      <w:tr w:rsidR="00D55061" w14:paraId="48C560D3" w14:textId="77777777" w:rsidTr="00990BF4">
        <w:trPr>
          <w:trHeight w:val="251"/>
        </w:trPr>
        <w:tc>
          <w:tcPr>
            <w:tcW w:w="1960" w:type="dxa"/>
            <w:tcBorders>
              <w:top w:val="nil"/>
              <w:left w:val="nil"/>
              <w:bottom w:val="single" w:sz="5" w:space="0" w:color="000000"/>
              <w:right w:val="nil"/>
            </w:tcBorders>
          </w:tcPr>
          <w:p w14:paraId="638F8E76" w14:textId="77777777" w:rsidR="00D55061" w:rsidRDefault="00D55061" w:rsidP="00990BF4">
            <w:pPr>
              <w:spacing w:after="160" w:line="259" w:lineRule="auto"/>
              <w:jc w:val="left"/>
            </w:pPr>
          </w:p>
        </w:tc>
        <w:tc>
          <w:tcPr>
            <w:tcW w:w="1112" w:type="dxa"/>
            <w:tcBorders>
              <w:top w:val="nil"/>
              <w:left w:val="nil"/>
              <w:bottom w:val="single" w:sz="5" w:space="0" w:color="000000"/>
              <w:right w:val="nil"/>
            </w:tcBorders>
          </w:tcPr>
          <w:p w14:paraId="15594213" w14:textId="77777777" w:rsidR="00D55061" w:rsidRDefault="00D55061" w:rsidP="00990BF4">
            <w:pPr>
              <w:spacing w:after="0" w:line="259" w:lineRule="auto"/>
              <w:ind w:left="5"/>
              <w:jc w:val="left"/>
            </w:pPr>
            <w:r>
              <w:rPr>
                <w:sz w:val="17"/>
              </w:rPr>
              <w:t>21.98</w:t>
            </w:r>
          </w:p>
        </w:tc>
        <w:tc>
          <w:tcPr>
            <w:tcW w:w="894" w:type="dxa"/>
            <w:tcBorders>
              <w:top w:val="nil"/>
              <w:left w:val="nil"/>
              <w:bottom w:val="single" w:sz="5" w:space="0" w:color="000000"/>
              <w:right w:val="nil"/>
            </w:tcBorders>
          </w:tcPr>
          <w:p w14:paraId="1C489A63" w14:textId="77777777" w:rsidR="00D55061" w:rsidRDefault="00D55061" w:rsidP="00990BF4">
            <w:pPr>
              <w:spacing w:after="0" w:line="259" w:lineRule="auto"/>
              <w:ind w:left="4"/>
              <w:jc w:val="left"/>
            </w:pPr>
            <w:r>
              <w:rPr>
                <w:sz w:val="17"/>
              </w:rPr>
              <w:t>0.6</w:t>
            </w:r>
          </w:p>
        </w:tc>
        <w:tc>
          <w:tcPr>
            <w:tcW w:w="3294" w:type="dxa"/>
            <w:tcBorders>
              <w:top w:val="nil"/>
              <w:left w:val="nil"/>
              <w:bottom w:val="single" w:sz="5" w:space="0" w:color="000000"/>
              <w:right w:val="nil"/>
            </w:tcBorders>
          </w:tcPr>
          <w:p w14:paraId="28578662" w14:textId="77777777" w:rsidR="00D55061" w:rsidRDefault="00D55061" w:rsidP="00990BF4">
            <w:pPr>
              <w:spacing w:after="0" w:line="259" w:lineRule="auto"/>
              <w:ind w:left="3"/>
              <w:jc w:val="left"/>
            </w:pPr>
            <w:r>
              <w:rPr>
                <w:sz w:val="17"/>
              </w:rPr>
              <w:t>Unknown</w:t>
            </w:r>
          </w:p>
        </w:tc>
        <w:tc>
          <w:tcPr>
            <w:tcW w:w="880" w:type="dxa"/>
            <w:tcBorders>
              <w:top w:val="nil"/>
              <w:left w:val="nil"/>
              <w:bottom w:val="single" w:sz="5" w:space="0" w:color="000000"/>
              <w:right w:val="nil"/>
            </w:tcBorders>
          </w:tcPr>
          <w:p w14:paraId="40CB1CD7" w14:textId="77777777" w:rsidR="00D55061" w:rsidRDefault="00D55061" w:rsidP="00990BF4">
            <w:pPr>
              <w:spacing w:after="160" w:line="259" w:lineRule="auto"/>
              <w:jc w:val="left"/>
            </w:pPr>
          </w:p>
        </w:tc>
        <w:tc>
          <w:tcPr>
            <w:tcW w:w="1080" w:type="dxa"/>
            <w:tcBorders>
              <w:top w:val="nil"/>
              <w:left w:val="nil"/>
              <w:bottom w:val="single" w:sz="5" w:space="0" w:color="000000"/>
              <w:right w:val="nil"/>
            </w:tcBorders>
          </w:tcPr>
          <w:p w14:paraId="4B1E49A2" w14:textId="77777777" w:rsidR="00D55061" w:rsidRDefault="00D55061" w:rsidP="00990BF4">
            <w:pPr>
              <w:spacing w:after="160" w:line="259" w:lineRule="auto"/>
              <w:jc w:val="left"/>
            </w:pPr>
          </w:p>
        </w:tc>
        <w:tc>
          <w:tcPr>
            <w:tcW w:w="645" w:type="dxa"/>
            <w:tcBorders>
              <w:top w:val="nil"/>
              <w:left w:val="nil"/>
              <w:bottom w:val="single" w:sz="5" w:space="0" w:color="000000"/>
              <w:right w:val="nil"/>
            </w:tcBorders>
          </w:tcPr>
          <w:p w14:paraId="63FBAA69" w14:textId="77777777" w:rsidR="00D55061" w:rsidRDefault="00D55061" w:rsidP="00990BF4">
            <w:pPr>
              <w:spacing w:after="160" w:line="259" w:lineRule="auto"/>
              <w:jc w:val="left"/>
            </w:pPr>
          </w:p>
        </w:tc>
      </w:tr>
    </w:tbl>
    <w:p w14:paraId="102AF690" w14:textId="12C0C8B9" w:rsidR="00D55061" w:rsidRDefault="00D55061" w:rsidP="00DE5450"/>
    <w:p w14:paraId="08E11822" w14:textId="77777777" w:rsidR="00D55061" w:rsidRDefault="00D55061">
      <w:pPr>
        <w:spacing w:after="0" w:line="240" w:lineRule="auto"/>
        <w:jc w:val="left"/>
      </w:pPr>
      <w:r>
        <w:br w:type="page"/>
      </w:r>
    </w:p>
    <w:tbl>
      <w:tblPr>
        <w:tblStyle w:val="TableGrid0"/>
        <w:tblpPr w:vertAnchor="text" w:horzAnchor="margin"/>
        <w:tblOverlap w:val="never"/>
        <w:tblW w:w="9865" w:type="dxa"/>
        <w:tblInd w:w="0" w:type="dxa"/>
        <w:tblCellMar>
          <w:top w:w="20" w:type="dxa"/>
          <w:bottom w:w="25" w:type="dxa"/>
          <w:right w:w="19" w:type="dxa"/>
        </w:tblCellMar>
        <w:tblLook w:val="04A0" w:firstRow="1" w:lastRow="0" w:firstColumn="1" w:lastColumn="0" w:noHBand="0" w:noVBand="1"/>
      </w:tblPr>
      <w:tblGrid>
        <w:gridCol w:w="1960"/>
        <w:gridCol w:w="1112"/>
        <w:gridCol w:w="894"/>
        <w:gridCol w:w="3294"/>
        <w:gridCol w:w="880"/>
        <w:gridCol w:w="1080"/>
        <w:gridCol w:w="645"/>
      </w:tblGrid>
      <w:tr w:rsidR="00D55061" w14:paraId="2F94B92F" w14:textId="77777777" w:rsidTr="00990BF4">
        <w:trPr>
          <w:trHeight w:val="507"/>
        </w:trPr>
        <w:tc>
          <w:tcPr>
            <w:tcW w:w="1960" w:type="dxa"/>
            <w:tcBorders>
              <w:top w:val="single" w:sz="8" w:space="0" w:color="000000"/>
              <w:left w:val="nil"/>
              <w:bottom w:val="single" w:sz="5" w:space="0" w:color="000000"/>
              <w:right w:val="nil"/>
            </w:tcBorders>
            <w:vAlign w:val="bottom"/>
          </w:tcPr>
          <w:p w14:paraId="3E67894C" w14:textId="77777777" w:rsidR="00D55061" w:rsidRDefault="00D55061" w:rsidP="00990BF4">
            <w:pPr>
              <w:spacing w:after="0" w:line="259" w:lineRule="auto"/>
              <w:jc w:val="left"/>
            </w:pPr>
            <w:r>
              <w:rPr>
                <w:rFonts w:ascii="Calibri" w:eastAsia="Calibri" w:hAnsi="Calibri" w:cs="Calibri"/>
                <w:b/>
                <w:sz w:val="17"/>
              </w:rPr>
              <w:lastRenderedPageBreak/>
              <w:t xml:space="preserve">Table </w:t>
            </w:r>
            <w:proofErr w:type="gramStart"/>
            <w:r>
              <w:rPr>
                <w:rFonts w:ascii="Calibri" w:eastAsia="Calibri" w:hAnsi="Calibri" w:cs="Calibri"/>
                <w:b/>
                <w:sz w:val="17"/>
              </w:rPr>
              <w:t xml:space="preserve">2  </w:t>
            </w:r>
            <w:r>
              <w:rPr>
                <w:sz w:val="17"/>
              </w:rPr>
              <w:t>(</w:t>
            </w:r>
            <w:proofErr w:type="gramEnd"/>
            <w:r>
              <w:rPr>
                <w:sz w:val="17"/>
              </w:rPr>
              <w:t>continued)</w:t>
            </w:r>
          </w:p>
        </w:tc>
        <w:tc>
          <w:tcPr>
            <w:tcW w:w="1112" w:type="dxa"/>
            <w:tcBorders>
              <w:top w:val="single" w:sz="8" w:space="0" w:color="000000"/>
              <w:left w:val="nil"/>
              <w:bottom w:val="single" w:sz="5" w:space="0" w:color="000000"/>
              <w:right w:val="nil"/>
            </w:tcBorders>
          </w:tcPr>
          <w:p w14:paraId="250B0440" w14:textId="77777777" w:rsidR="00D55061" w:rsidRDefault="00D55061" w:rsidP="00990BF4">
            <w:pPr>
              <w:spacing w:after="160" w:line="259" w:lineRule="auto"/>
              <w:jc w:val="left"/>
            </w:pPr>
          </w:p>
        </w:tc>
        <w:tc>
          <w:tcPr>
            <w:tcW w:w="894" w:type="dxa"/>
            <w:tcBorders>
              <w:top w:val="single" w:sz="8" w:space="0" w:color="000000"/>
              <w:left w:val="nil"/>
              <w:bottom w:val="single" w:sz="5" w:space="0" w:color="000000"/>
              <w:right w:val="nil"/>
            </w:tcBorders>
          </w:tcPr>
          <w:p w14:paraId="32AEC459" w14:textId="77777777" w:rsidR="00D55061" w:rsidRDefault="00D55061" w:rsidP="00990BF4">
            <w:pPr>
              <w:spacing w:after="160" w:line="259" w:lineRule="auto"/>
              <w:jc w:val="left"/>
            </w:pPr>
          </w:p>
        </w:tc>
        <w:tc>
          <w:tcPr>
            <w:tcW w:w="3294" w:type="dxa"/>
            <w:tcBorders>
              <w:top w:val="single" w:sz="8" w:space="0" w:color="000000"/>
              <w:left w:val="nil"/>
              <w:bottom w:val="single" w:sz="5" w:space="0" w:color="000000"/>
              <w:right w:val="nil"/>
            </w:tcBorders>
          </w:tcPr>
          <w:p w14:paraId="75AF4D8A" w14:textId="77777777" w:rsidR="00D55061" w:rsidRDefault="00D55061" w:rsidP="00990BF4">
            <w:pPr>
              <w:spacing w:after="160" w:line="259" w:lineRule="auto"/>
              <w:jc w:val="left"/>
            </w:pPr>
          </w:p>
        </w:tc>
        <w:tc>
          <w:tcPr>
            <w:tcW w:w="880" w:type="dxa"/>
            <w:tcBorders>
              <w:top w:val="single" w:sz="8" w:space="0" w:color="000000"/>
              <w:left w:val="nil"/>
              <w:bottom w:val="single" w:sz="5" w:space="0" w:color="000000"/>
              <w:right w:val="nil"/>
            </w:tcBorders>
          </w:tcPr>
          <w:p w14:paraId="613EA4B6" w14:textId="77777777" w:rsidR="00D55061" w:rsidRDefault="00D55061" w:rsidP="00990BF4">
            <w:pPr>
              <w:spacing w:after="160" w:line="259" w:lineRule="auto"/>
              <w:jc w:val="left"/>
            </w:pPr>
          </w:p>
        </w:tc>
        <w:tc>
          <w:tcPr>
            <w:tcW w:w="1080" w:type="dxa"/>
            <w:tcBorders>
              <w:top w:val="single" w:sz="8" w:space="0" w:color="000000"/>
              <w:left w:val="nil"/>
              <w:bottom w:val="single" w:sz="5" w:space="0" w:color="000000"/>
              <w:right w:val="nil"/>
            </w:tcBorders>
          </w:tcPr>
          <w:p w14:paraId="3B41C471" w14:textId="77777777" w:rsidR="00D55061" w:rsidRDefault="00D55061" w:rsidP="00990BF4">
            <w:pPr>
              <w:spacing w:after="160" w:line="259" w:lineRule="auto"/>
              <w:jc w:val="left"/>
            </w:pPr>
          </w:p>
        </w:tc>
        <w:tc>
          <w:tcPr>
            <w:tcW w:w="645" w:type="dxa"/>
            <w:tcBorders>
              <w:top w:val="single" w:sz="8" w:space="0" w:color="000000"/>
              <w:left w:val="nil"/>
              <w:bottom w:val="single" w:sz="5" w:space="0" w:color="000000"/>
              <w:right w:val="nil"/>
            </w:tcBorders>
          </w:tcPr>
          <w:p w14:paraId="6519F339" w14:textId="77777777" w:rsidR="00D55061" w:rsidRDefault="00D55061" w:rsidP="00990BF4">
            <w:pPr>
              <w:spacing w:after="160" w:line="259" w:lineRule="auto"/>
              <w:jc w:val="left"/>
            </w:pPr>
          </w:p>
        </w:tc>
      </w:tr>
      <w:tr w:rsidR="00D55061" w14:paraId="7D666994" w14:textId="77777777" w:rsidTr="00990BF4">
        <w:trPr>
          <w:trHeight w:val="330"/>
        </w:trPr>
        <w:tc>
          <w:tcPr>
            <w:tcW w:w="1960" w:type="dxa"/>
            <w:tcBorders>
              <w:top w:val="single" w:sz="5" w:space="0" w:color="000000"/>
              <w:left w:val="nil"/>
              <w:bottom w:val="single" w:sz="8" w:space="0" w:color="000000"/>
              <w:right w:val="nil"/>
            </w:tcBorders>
          </w:tcPr>
          <w:p w14:paraId="779113FE" w14:textId="77777777" w:rsidR="00D55061" w:rsidRDefault="00D55061" w:rsidP="00990BF4">
            <w:pPr>
              <w:spacing w:after="160" w:line="259" w:lineRule="auto"/>
              <w:jc w:val="left"/>
            </w:pPr>
          </w:p>
        </w:tc>
        <w:tc>
          <w:tcPr>
            <w:tcW w:w="1112" w:type="dxa"/>
            <w:tcBorders>
              <w:top w:val="single" w:sz="5" w:space="0" w:color="000000"/>
              <w:left w:val="nil"/>
              <w:bottom w:val="single" w:sz="8" w:space="0" w:color="000000"/>
              <w:right w:val="nil"/>
            </w:tcBorders>
          </w:tcPr>
          <w:p w14:paraId="13B8E1E6" w14:textId="77777777" w:rsidR="00D55061" w:rsidRDefault="00D55061" w:rsidP="00990BF4">
            <w:pPr>
              <w:spacing w:after="0" w:line="259" w:lineRule="auto"/>
              <w:jc w:val="left"/>
            </w:pPr>
            <w:r>
              <w:rPr>
                <w:b/>
                <w:sz w:val="17"/>
              </w:rPr>
              <w:t>1tr (min)</w:t>
            </w:r>
          </w:p>
        </w:tc>
        <w:tc>
          <w:tcPr>
            <w:tcW w:w="894" w:type="dxa"/>
            <w:tcBorders>
              <w:top w:val="single" w:sz="5" w:space="0" w:color="000000"/>
              <w:left w:val="nil"/>
              <w:bottom w:val="single" w:sz="8" w:space="0" w:color="000000"/>
              <w:right w:val="nil"/>
            </w:tcBorders>
          </w:tcPr>
          <w:p w14:paraId="36BEFA50" w14:textId="77777777" w:rsidR="00D55061" w:rsidRDefault="00D55061" w:rsidP="00990BF4">
            <w:pPr>
              <w:spacing w:after="0" w:line="259" w:lineRule="auto"/>
              <w:jc w:val="left"/>
            </w:pPr>
            <w:r>
              <w:rPr>
                <w:b/>
                <w:sz w:val="17"/>
              </w:rPr>
              <w:t>2tr (s)</w:t>
            </w:r>
          </w:p>
        </w:tc>
        <w:tc>
          <w:tcPr>
            <w:tcW w:w="3294" w:type="dxa"/>
            <w:tcBorders>
              <w:top w:val="single" w:sz="5" w:space="0" w:color="000000"/>
              <w:left w:val="nil"/>
              <w:bottom w:val="single" w:sz="8" w:space="0" w:color="000000"/>
              <w:right w:val="nil"/>
            </w:tcBorders>
          </w:tcPr>
          <w:p w14:paraId="5795AD05" w14:textId="77777777" w:rsidR="00D55061" w:rsidRDefault="00D55061" w:rsidP="00990BF4">
            <w:pPr>
              <w:spacing w:after="0" w:line="259" w:lineRule="auto"/>
              <w:jc w:val="left"/>
            </w:pPr>
            <w:r>
              <w:rPr>
                <w:b/>
                <w:sz w:val="17"/>
              </w:rPr>
              <w:t>Features</w:t>
            </w:r>
          </w:p>
        </w:tc>
        <w:tc>
          <w:tcPr>
            <w:tcW w:w="880" w:type="dxa"/>
            <w:tcBorders>
              <w:top w:val="single" w:sz="5" w:space="0" w:color="000000"/>
              <w:left w:val="nil"/>
              <w:bottom w:val="single" w:sz="8" w:space="0" w:color="000000"/>
              <w:right w:val="nil"/>
            </w:tcBorders>
          </w:tcPr>
          <w:p w14:paraId="241B907B" w14:textId="77777777" w:rsidR="00D55061" w:rsidRDefault="00D55061" w:rsidP="00990BF4">
            <w:pPr>
              <w:spacing w:after="0" w:line="259" w:lineRule="auto"/>
              <w:jc w:val="left"/>
            </w:pPr>
            <w:r>
              <w:rPr>
                <w:b/>
                <w:sz w:val="17"/>
              </w:rPr>
              <w:t>MS</w:t>
            </w:r>
          </w:p>
        </w:tc>
        <w:tc>
          <w:tcPr>
            <w:tcW w:w="1080" w:type="dxa"/>
            <w:tcBorders>
              <w:top w:val="single" w:sz="5" w:space="0" w:color="000000"/>
              <w:left w:val="nil"/>
              <w:bottom w:val="single" w:sz="8" w:space="0" w:color="000000"/>
              <w:right w:val="nil"/>
            </w:tcBorders>
          </w:tcPr>
          <w:p w14:paraId="5082753B" w14:textId="77777777" w:rsidR="00D55061" w:rsidRDefault="00D55061" w:rsidP="00990BF4">
            <w:pPr>
              <w:spacing w:after="0" w:line="259" w:lineRule="auto"/>
              <w:jc w:val="left"/>
            </w:pPr>
            <w:r>
              <w:rPr>
                <w:b/>
                <w:sz w:val="17"/>
              </w:rPr>
              <w:t>RI</w:t>
            </w:r>
          </w:p>
        </w:tc>
        <w:tc>
          <w:tcPr>
            <w:tcW w:w="645" w:type="dxa"/>
            <w:tcBorders>
              <w:top w:val="single" w:sz="5" w:space="0" w:color="000000"/>
              <w:left w:val="nil"/>
              <w:bottom w:val="single" w:sz="8" w:space="0" w:color="000000"/>
              <w:right w:val="nil"/>
            </w:tcBorders>
          </w:tcPr>
          <w:p w14:paraId="37D83B44" w14:textId="77777777" w:rsidR="00D55061" w:rsidRDefault="00D55061" w:rsidP="00990BF4">
            <w:pPr>
              <w:spacing w:after="0" w:line="259" w:lineRule="auto"/>
            </w:pPr>
            <w:r>
              <w:rPr>
                <w:b/>
                <w:sz w:val="17"/>
              </w:rPr>
              <w:t>NIST RI</w:t>
            </w:r>
          </w:p>
        </w:tc>
      </w:tr>
      <w:tr w:rsidR="00D55061" w14:paraId="0E270A10" w14:textId="77777777" w:rsidTr="00990BF4">
        <w:trPr>
          <w:trHeight w:val="358"/>
        </w:trPr>
        <w:tc>
          <w:tcPr>
            <w:tcW w:w="1960" w:type="dxa"/>
            <w:tcBorders>
              <w:top w:val="single" w:sz="8" w:space="0" w:color="000000"/>
              <w:left w:val="nil"/>
              <w:bottom w:val="nil"/>
              <w:right w:val="nil"/>
            </w:tcBorders>
          </w:tcPr>
          <w:p w14:paraId="5CED56B7" w14:textId="77777777" w:rsidR="00D55061" w:rsidRDefault="00D55061" w:rsidP="00990BF4">
            <w:pPr>
              <w:spacing w:after="0" w:line="259" w:lineRule="auto"/>
              <w:jc w:val="left"/>
            </w:pPr>
            <w:r>
              <w:rPr>
                <w:b/>
                <w:sz w:val="17"/>
              </w:rPr>
              <w:t>SPME SV-MCT</w:t>
            </w:r>
          </w:p>
        </w:tc>
        <w:tc>
          <w:tcPr>
            <w:tcW w:w="1112" w:type="dxa"/>
            <w:tcBorders>
              <w:top w:val="single" w:sz="8" w:space="0" w:color="000000"/>
              <w:left w:val="nil"/>
              <w:bottom w:val="nil"/>
              <w:right w:val="nil"/>
            </w:tcBorders>
          </w:tcPr>
          <w:p w14:paraId="18247F61" w14:textId="77777777" w:rsidR="00D55061" w:rsidRDefault="00D55061" w:rsidP="00990BF4">
            <w:pPr>
              <w:spacing w:after="0" w:line="259" w:lineRule="auto"/>
              <w:ind w:left="87"/>
              <w:jc w:val="left"/>
            </w:pPr>
            <w:r>
              <w:rPr>
                <w:sz w:val="17"/>
              </w:rPr>
              <w:t>7.80</w:t>
            </w:r>
          </w:p>
        </w:tc>
        <w:tc>
          <w:tcPr>
            <w:tcW w:w="894" w:type="dxa"/>
            <w:tcBorders>
              <w:top w:val="single" w:sz="8" w:space="0" w:color="000000"/>
              <w:left w:val="nil"/>
              <w:bottom w:val="nil"/>
              <w:right w:val="nil"/>
            </w:tcBorders>
          </w:tcPr>
          <w:p w14:paraId="4B3757FF" w14:textId="77777777" w:rsidR="00D55061" w:rsidRDefault="00D55061" w:rsidP="00990BF4">
            <w:pPr>
              <w:spacing w:after="0" w:line="259" w:lineRule="auto"/>
              <w:ind w:left="1"/>
              <w:jc w:val="left"/>
            </w:pPr>
            <w:r>
              <w:rPr>
                <w:sz w:val="17"/>
              </w:rPr>
              <w:t>3.3</w:t>
            </w:r>
          </w:p>
        </w:tc>
        <w:tc>
          <w:tcPr>
            <w:tcW w:w="3294" w:type="dxa"/>
            <w:tcBorders>
              <w:top w:val="single" w:sz="8" w:space="0" w:color="000000"/>
              <w:left w:val="nil"/>
              <w:bottom w:val="nil"/>
              <w:right w:val="nil"/>
            </w:tcBorders>
          </w:tcPr>
          <w:p w14:paraId="2537AE7A" w14:textId="77777777" w:rsidR="00D55061" w:rsidRDefault="00D55061" w:rsidP="00990BF4">
            <w:pPr>
              <w:spacing w:after="0" w:line="259" w:lineRule="auto"/>
              <w:jc w:val="left"/>
            </w:pPr>
            <w:r>
              <w:rPr>
                <w:sz w:val="17"/>
              </w:rPr>
              <w:t>Unknown</w:t>
            </w:r>
          </w:p>
        </w:tc>
        <w:tc>
          <w:tcPr>
            <w:tcW w:w="880" w:type="dxa"/>
            <w:tcBorders>
              <w:top w:val="single" w:sz="8" w:space="0" w:color="000000"/>
              <w:left w:val="nil"/>
              <w:bottom w:val="nil"/>
              <w:right w:val="nil"/>
            </w:tcBorders>
          </w:tcPr>
          <w:p w14:paraId="642D33D1" w14:textId="77777777" w:rsidR="00D55061" w:rsidRDefault="00D55061" w:rsidP="00990BF4">
            <w:pPr>
              <w:spacing w:after="160" w:line="259" w:lineRule="auto"/>
              <w:jc w:val="left"/>
            </w:pPr>
          </w:p>
        </w:tc>
        <w:tc>
          <w:tcPr>
            <w:tcW w:w="1080" w:type="dxa"/>
            <w:tcBorders>
              <w:top w:val="single" w:sz="8" w:space="0" w:color="000000"/>
              <w:left w:val="nil"/>
              <w:bottom w:val="nil"/>
              <w:right w:val="nil"/>
            </w:tcBorders>
          </w:tcPr>
          <w:p w14:paraId="3529CD4A" w14:textId="77777777" w:rsidR="00D55061" w:rsidRDefault="00D55061" w:rsidP="00990BF4">
            <w:pPr>
              <w:spacing w:after="160" w:line="259" w:lineRule="auto"/>
              <w:jc w:val="left"/>
            </w:pPr>
          </w:p>
        </w:tc>
        <w:tc>
          <w:tcPr>
            <w:tcW w:w="645" w:type="dxa"/>
            <w:tcBorders>
              <w:top w:val="single" w:sz="8" w:space="0" w:color="000000"/>
              <w:left w:val="nil"/>
              <w:bottom w:val="nil"/>
              <w:right w:val="nil"/>
            </w:tcBorders>
          </w:tcPr>
          <w:p w14:paraId="1FB56D19" w14:textId="77777777" w:rsidR="00D55061" w:rsidRDefault="00D55061" w:rsidP="00990BF4">
            <w:pPr>
              <w:spacing w:after="160" w:line="259" w:lineRule="auto"/>
              <w:jc w:val="left"/>
            </w:pPr>
          </w:p>
        </w:tc>
      </w:tr>
      <w:tr w:rsidR="00D55061" w14:paraId="3687F98D" w14:textId="77777777" w:rsidTr="00990BF4">
        <w:trPr>
          <w:trHeight w:val="312"/>
        </w:trPr>
        <w:tc>
          <w:tcPr>
            <w:tcW w:w="1960" w:type="dxa"/>
            <w:tcBorders>
              <w:top w:val="nil"/>
              <w:left w:val="nil"/>
              <w:bottom w:val="nil"/>
              <w:right w:val="nil"/>
            </w:tcBorders>
          </w:tcPr>
          <w:p w14:paraId="0AB9C136" w14:textId="77777777" w:rsidR="00D55061" w:rsidRDefault="00D55061" w:rsidP="00990BF4">
            <w:pPr>
              <w:spacing w:after="160" w:line="259" w:lineRule="auto"/>
              <w:jc w:val="left"/>
            </w:pPr>
          </w:p>
        </w:tc>
        <w:tc>
          <w:tcPr>
            <w:tcW w:w="1112" w:type="dxa"/>
            <w:tcBorders>
              <w:top w:val="nil"/>
              <w:left w:val="nil"/>
              <w:bottom w:val="nil"/>
              <w:right w:val="nil"/>
            </w:tcBorders>
          </w:tcPr>
          <w:p w14:paraId="1335ED57" w14:textId="77777777" w:rsidR="00D55061" w:rsidRDefault="00D55061" w:rsidP="00990BF4">
            <w:pPr>
              <w:spacing w:after="0" w:line="259" w:lineRule="auto"/>
              <w:ind w:left="87"/>
              <w:jc w:val="left"/>
            </w:pPr>
            <w:r>
              <w:rPr>
                <w:sz w:val="17"/>
              </w:rPr>
              <w:t>8.93</w:t>
            </w:r>
          </w:p>
        </w:tc>
        <w:tc>
          <w:tcPr>
            <w:tcW w:w="894" w:type="dxa"/>
            <w:tcBorders>
              <w:top w:val="nil"/>
              <w:left w:val="nil"/>
              <w:bottom w:val="nil"/>
              <w:right w:val="nil"/>
            </w:tcBorders>
          </w:tcPr>
          <w:p w14:paraId="16DEE957" w14:textId="77777777" w:rsidR="00D55061" w:rsidRDefault="00D55061" w:rsidP="00990BF4">
            <w:pPr>
              <w:spacing w:after="0" w:line="259" w:lineRule="auto"/>
              <w:ind w:left="1"/>
              <w:jc w:val="left"/>
            </w:pPr>
            <w:r>
              <w:rPr>
                <w:sz w:val="17"/>
              </w:rPr>
              <w:t>2.4</w:t>
            </w:r>
          </w:p>
        </w:tc>
        <w:tc>
          <w:tcPr>
            <w:tcW w:w="3294" w:type="dxa"/>
            <w:tcBorders>
              <w:top w:val="nil"/>
              <w:left w:val="nil"/>
              <w:bottom w:val="nil"/>
              <w:right w:val="nil"/>
            </w:tcBorders>
          </w:tcPr>
          <w:p w14:paraId="00AA7411" w14:textId="77777777" w:rsidR="00D55061" w:rsidRDefault="00D55061" w:rsidP="00990BF4">
            <w:pPr>
              <w:spacing w:after="0" w:line="259" w:lineRule="auto"/>
              <w:jc w:val="left"/>
            </w:pPr>
            <w:r>
              <w:rPr>
                <w:sz w:val="17"/>
              </w:rPr>
              <w:t>Unknown</w:t>
            </w:r>
          </w:p>
        </w:tc>
        <w:tc>
          <w:tcPr>
            <w:tcW w:w="880" w:type="dxa"/>
            <w:tcBorders>
              <w:top w:val="nil"/>
              <w:left w:val="nil"/>
              <w:bottom w:val="nil"/>
              <w:right w:val="nil"/>
            </w:tcBorders>
          </w:tcPr>
          <w:p w14:paraId="26337244" w14:textId="77777777" w:rsidR="00D55061" w:rsidRDefault="00D55061" w:rsidP="00990BF4">
            <w:pPr>
              <w:spacing w:after="160" w:line="259" w:lineRule="auto"/>
              <w:jc w:val="left"/>
            </w:pPr>
          </w:p>
        </w:tc>
        <w:tc>
          <w:tcPr>
            <w:tcW w:w="1080" w:type="dxa"/>
            <w:tcBorders>
              <w:top w:val="nil"/>
              <w:left w:val="nil"/>
              <w:bottom w:val="nil"/>
              <w:right w:val="nil"/>
            </w:tcBorders>
          </w:tcPr>
          <w:p w14:paraId="1EB35620" w14:textId="77777777" w:rsidR="00D55061" w:rsidRDefault="00D55061" w:rsidP="00990BF4">
            <w:pPr>
              <w:spacing w:after="160" w:line="259" w:lineRule="auto"/>
              <w:jc w:val="left"/>
            </w:pPr>
          </w:p>
        </w:tc>
        <w:tc>
          <w:tcPr>
            <w:tcW w:w="645" w:type="dxa"/>
            <w:tcBorders>
              <w:top w:val="nil"/>
              <w:left w:val="nil"/>
              <w:bottom w:val="nil"/>
              <w:right w:val="nil"/>
            </w:tcBorders>
          </w:tcPr>
          <w:p w14:paraId="60FBCA2D" w14:textId="77777777" w:rsidR="00D55061" w:rsidRDefault="00D55061" w:rsidP="00990BF4">
            <w:pPr>
              <w:spacing w:after="160" w:line="259" w:lineRule="auto"/>
              <w:jc w:val="left"/>
            </w:pPr>
          </w:p>
        </w:tc>
      </w:tr>
      <w:tr w:rsidR="00D55061" w14:paraId="6657D0BB" w14:textId="77777777" w:rsidTr="00990BF4">
        <w:trPr>
          <w:trHeight w:val="318"/>
        </w:trPr>
        <w:tc>
          <w:tcPr>
            <w:tcW w:w="1960" w:type="dxa"/>
            <w:tcBorders>
              <w:top w:val="nil"/>
              <w:left w:val="nil"/>
              <w:bottom w:val="nil"/>
              <w:right w:val="nil"/>
            </w:tcBorders>
          </w:tcPr>
          <w:p w14:paraId="197D6640" w14:textId="77777777" w:rsidR="00D55061" w:rsidRDefault="00D55061" w:rsidP="00990BF4">
            <w:pPr>
              <w:spacing w:after="160" w:line="259" w:lineRule="auto"/>
              <w:jc w:val="left"/>
            </w:pPr>
          </w:p>
        </w:tc>
        <w:tc>
          <w:tcPr>
            <w:tcW w:w="1112" w:type="dxa"/>
            <w:tcBorders>
              <w:top w:val="nil"/>
              <w:left w:val="nil"/>
              <w:bottom w:val="nil"/>
              <w:right w:val="nil"/>
            </w:tcBorders>
          </w:tcPr>
          <w:p w14:paraId="7AC8586C" w14:textId="77777777" w:rsidR="00D55061" w:rsidRDefault="00D55061" w:rsidP="00990BF4">
            <w:pPr>
              <w:spacing w:after="0" w:line="259" w:lineRule="auto"/>
              <w:ind w:left="2"/>
              <w:jc w:val="left"/>
            </w:pPr>
            <w:r>
              <w:rPr>
                <w:sz w:val="17"/>
              </w:rPr>
              <w:t>10.28</w:t>
            </w:r>
          </w:p>
        </w:tc>
        <w:tc>
          <w:tcPr>
            <w:tcW w:w="894" w:type="dxa"/>
            <w:tcBorders>
              <w:top w:val="nil"/>
              <w:left w:val="nil"/>
              <w:bottom w:val="nil"/>
              <w:right w:val="nil"/>
            </w:tcBorders>
          </w:tcPr>
          <w:p w14:paraId="72F529C2" w14:textId="77777777" w:rsidR="00D55061" w:rsidRDefault="00D55061" w:rsidP="00990BF4">
            <w:pPr>
              <w:spacing w:after="0" w:line="259" w:lineRule="auto"/>
              <w:ind w:left="1"/>
              <w:jc w:val="left"/>
            </w:pPr>
            <w:r>
              <w:rPr>
                <w:sz w:val="17"/>
              </w:rPr>
              <w:t>3.3</w:t>
            </w:r>
          </w:p>
        </w:tc>
        <w:tc>
          <w:tcPr>
            <w:tcW w:w="3294" w:type="dxa"/>
            <w:tcBorders>
              <w:top w:val="nil"/>
              <w:left w:val="nil"/>
              <w:bottom w:val="nil"/>
              <w:right w:val="nil"/>
            </w:tcBorders>
          </w:tcPr>
          <w:p w14:paraId="424FE180" w14:textId="77777777" w:rsidR="00D55061" w:rsidRDefault="00D55061" w:rsidP="00990BF4">
            <w:pPr>
              <w:spacing w:after="0" w:line="259" w:lineRule="auto"/>
              <w:jc w:val="left"/>
            </w:pPr>
            <w:r>
              <w:rPr>
                <w:sz w:val="17"/>
              </w:rPr>
              <w:t>Furan, 2-(methoxymethyl)-</w:t>
            </w:r>
          </w:p>
        </w:tc>
        <w:tc>
          <w:tcPr>
            <w:tcW w:w="880" w:type="dxa"/>
            <w:tcBorders>
              <w:top w:val="nil"/>
              <w:left w:val="nil"/>
              <w:bottom w:val="nil"/>
              <w:right w:val="nil"/>
            </w:tcBorders>
          </w:tcPr>
          <w:p w14:paraId="0D8AC63E" w14:textId="77777777" w:rsidR="00D55061" w:rsidRDefault="00D55061" w:rsidP="00990BF4">
            <w:pPr>
              <w:spacing w:after="0" w:line="259" w:lineRule="auto"/>
              <w:jc w:val="left"/>
            </w:pPr>
            <w:r>
              <w:rPr>
                <w:sz w:val="17"/>
              </w:rPr>
              <w:t>815</w:t>
            </w:r>
          </w:p>
        </w:tc>
        <w:tc>
          <w:tcPr>
            <w:tcW w:w="1080" w:type="dxa"/>
            <w:tcBorders>
              <w:top w:val="nil"/>
              <w:left w:val="nil"/>
              <w:bottom w:val="nil"/>
              <w:right w:val="nil"/>
            </w:tcBorders>
          </w:tcPr>
          <w:p w14:paraId="1FE3EABA" w14:textId="77777777" w:rsidR="00D55061" w:rsidRDefault="00D55061" w:rsidP="00990BF4">
            <w:pPr>
              <w:spacing w:after="0" w:line="259" w:lineRule="auto"/>
              <w:jc w:val="left"/>
            </w:pPr>
            <w:r>
              <w:rPr>
                <w:sz w:val="17"/>
              </w:rPr>
              <w:t>622</w:t>
            </w:r>
          </w:p>
        </w:tc>
        <w:tc>
          <w:tcPr>
            <w:tcW w:w="645" w:type="dxa"/>
            <w:tcBorders>
              <w:top w:val="nil"/>
              <w:left w:val="nil"/>
              <w:bottom w:val="nil"/>
              <w:right w:val="nil"/>
            </w:tcBorders>
          </w:tcPr>
          <w:p w14:paraId="05B0AFE0" w14:textId="77777777" w:rsidR="00D55061" w:rsidRDefault="00D55061" w:rsidP="00990BF4">
            <w:pPr>
              <w:spacing w:after="0" w:line="259" w:lineRule="auto"/>
              <w:jc w:val="left"/>
            </w:pPr>
            <w:r>
              <w:rPr>
                <w:sz w:val="17"/>
              </w:rPr>
              <w:t>845*</w:t>
            </w:r>
          </w:p>
        </w:tc>
      </w:tr>
      <w:tr w:rsidR="00D55061" w14:paraId="565B051A" w14:textId="77777777" w:rsidTr="00990BF4">
        <w:trPr>
          <w:trHeight w:val="318"/>
        </w:trPr>
        <w:tc>
          <w:tcPr>
            <w:tcW w:w="1960" w:type="dxa"/>
            <w:tcBorders>
              <w:top w:val="nil"/>
              <w:left w:val="nil"/>
              <w:bottom w:val="nil"/>
              <w:right w:val="nil"/>
            </w:tcBorders>
          </w:tcPr>
          <w:p w14:paraId="51EF8427" w14:textId="77777777" w:rsidR="00D55061" w:rsidRDefault="00D55061" w:rsidP="00990BF4">
            <w:pPr>
              <w:spacing w:after="160" w:line="259" w:lineRule="auto"/>
              <w:jc w:val="left"/>
            </w:pPr>
          </w:p>
        </w:tc>
        <w:tc>
          <w:tcPr>
            <w:tcW w:w="1112" w:type="dxa"/>
            <w:tcBorders>
              <w:top w:val="nil"/>
              <w:left w:val="nil"/>
              <w:bottom w:val="nil"/>
              <w:right w:val="nil"/>
            </w:tcBorders>
          </w:tcPr>
          <w:p w14:paraId="6CADAD6C" w14:textId="77777777" w:rsidR="00D55061" w:rsidRDefault="00D55061" w:rsidP="00990BF4">
            <w:pPr>
              <w:spacing w:after="0" w:line="259" w:lineRule="auto"/>
              <w:ind w:left="2"/>
              <w:jc w:val="left"/>
            </w:pPr>
            <w:r>
              <w:rPr>
                <w:sz w:val="17"/>
              </w:rPr>
              <w:t>10.95</w:t>
            </w:r>
          </w:p>
        </w:tc>
        <w:tc>
          <w:tcPr>
            <w:tcW w:w="894" w:type="dxa"/>
            <w:tcBorders>
              <w:top w:val="nil"/>
              <w:left w:val="nil"/>
              <w:bottom w:val="nil"/>
              <w:right w:val="nil"/>
            </w:tcBorders>
          </w:tcPr>
          <w:p w14:paraId="5DE2FF98" w14:textId="77777777" w:rsidR="00D55061" w:rsidRDefault="00D55061" w:rsidP="00990BF4">
            <w:pPr>
              <w:spacing w:after="0" w:line="259" w:lineRule="auto"/>
              <w:ind w:left="1"/>
              <w:jc w:val="left"/>
            </w:pPr>
            <w:r>
              <w:rPr>
                <w:sz w:val="17"/>
              </w:rPr>
              <w:t>2.4</w:t>
            </w:r>
          </w:p>
        </w:tc>
        <w:tc>
          <w:tcPr>
            <w:tcW w:w="3294" w:type="dxa"/>
            <w:tcBorders>
              <w:top w:val="nil"/>
              <w:left w:val="nil"/>
              <w:bottom w:val="nil"/>
              <w:right w:val="nil"/>
            </w:tcBorders>
          </w:tcPr>
          <w:p w14:paraId="687451B1" w14:textId="77777777" w:rsidR="00D55061" w:rsidRDefault="00D55061" w:rsidP="00990BF4">
            <w:pPr>
              <w:spacing w:after="0" w:line="259" w:lineRule="auto"/>
              <w:jc w:val="left"/>
            </w:pPr>
            <w:r>
              <w:rPr>
                <w:sz w:val="17"/>
              </w:rPr>
              <w:t>2/3 furaldehyde</w:t>
            </w:r>
          </w:p>
        </w:tc>
        <w:tc>
          <w:tcPr>
            <w:tcW w:w="880" w:type="dxa"/>
            <w:tcBorders>
              <w:top w:val="nil"/>
              <w:left w:val="nil"/>
              <w:bottom w:val="nil"/>
              <w:right w:val="nil"/>
            </w:tcBorders>
          </w:tcPr>
          <w:p w14:paraId="516EED95" w14:textId="77777777" w:rsidR="00D55061" w:rsidRDefault="00D55061" w:rsidP="00990BF4">
            <w:pPr>
              <w:spacing w:after="0" w:line="259" w:lineRule="auto"/>
              <w:jc w:val="left"/>
            </w:pPr>
            <w:r>
              <w:rPr>
                <w:sz w:val="17"/>
              </w:rPr>
              <w:t>823</w:t>
            </w:r>
          </w:p>
        </w:tc>
        <w:tc>
          <w:tcPr>
            <w:tcW w:w="1080" w:type="dxa"/>
            <w:tcBorders>
              <w:top w:val="nil"/>
              <w:left w:val="nil"/>
              <w:bottom w:val="nil"/>
              <w:right w:val="nil"/>
            </w:tcBorders>
          </w:tcPr>
          <w:p w14:paraId="279D57C1" w14:textId="77777777" w:rsidR="00D55061" w:rsidRDefault="00D55061" w:rsidP="00990BF4">
            <w:pPr>
              <w:spacing w:after="0" w:line="259" w:lineRule="auto"/>
              <w:jc w:val="left"/>
            </w:pPr>
            <w:r>
              <w:rPr>
                <w:sz w:val="17"/>
              </w:rPr>
              <w:t>689</w:t>
            </w:r>
          </w:p>
        </w:tc>
        <w:tc>
          <w:tcPr>
            <w:tcW w:w="645" w:type="dxa"/>
            <w:tcBorders>
              <w:top w:val="nil"/>
              <w:left w:val="nil"/>
              <w:bottom w:val="nil"/>
              <w:right w:val="nil"/>
            </w:tcBorders>
          </w:tcPr>
          <w:p w14:paraId="5A3C4CCC" w14:textId="77777777" w:rsidR="00D55061" w:rsidRDefault="00D55061" w:rsidP="00990BF4">
            <w:pPr>
              <w:spacing w:after="0" w:line="259" w:lineRule="auto"/>
              <w:jc w:val="left"/>
            </w:pPr>
            <w:r>
              <w:rPr>
                <w:sz w:val="17"/>
              </w:rPr>
              <w:t>804</w:t>
            </w:r>
          </w:p>
        </w:tc>
      </w:tr>
      <w:tr w:rsidR="00D55061" w14:paraId="6716F2D6" w14:textId="77777777" w:rsidTr="00990BF4">
        <w:trPr>
          <w:trHeight w:val="318"/>
        </w:trPr>
        <w:tc>
          <w:tcPr>
            <w:tcW w:w="1960" w:type="dxa"/>
            <w:tcBorders>
              <w:top w:val="nil"/>
              <w:left w:val="nil"/>
              <w:bottom w:val="nil"/>
              <w:right w:val="nil"/>
            </w:tcBorders>
          </w:tcPr>
          <w:p w14:paraId="7CDF8BDC" w14:textId="77777777" w:rsidR="00D55061" w:rsidRDefault="00D55061" w:rsidP="00990BF4">
            <w:pPr>
              <w:spacing w:after="160" w:line="259" w:lineRule="auto"/>
              <w:jc w:val="left"/>
            </w:pPr>
          </w:p>
        </w:tc>
        <w:tc>
          <w:tcPr>
            <w:tcW w:w="1112" w:type="dxa"/>
            <w:tcBorders>
              <w:top w:val="nil"/>
              <w:left w:val="nil"/>
              <w:bottom w:val="nil"/>
              <w:right w:val="nil"/>
            </w:tcBorders>
          </w:tcPr>
          <w:p w14:paraId="270579D3" w14:textId="77777777" w:rsidR="00D55061" w:rsidRDefault="00D55061" w:rsidP="00990BF4">
            <w:pPr>
              <w:spacing w:after="0" w:line="259" w:lineRule="auto"/>
              <w:ind w:left="2"/>
              <w:jc w:val="left"/>
            </w:pPr>
            <w:r>
              <w:rPr>
                <w:sz w:val="17"/>
              </w:rPr>
              <w:t>14.78</w:t>
            </w:r>
          </w:p>
        </w:tc>
        <w:tc>
          <w:tcPr>
            <w:tcW w:w="894" w:type="dxa"/>
            <w:tcBorders>
              <w:top w:val="nil"/>
              <w:left w:val="nil"/>
              <w:bottom w:val="nil"/>
              <w:right w:val="nil"/>
            </w:tcBorders>
          </w:tcPr>
          <w:p w14:paraId="181F53B8" w14:textId="77777777" w:rsidR="00D55061" w:rsidRDefault="00D55061" w:rsidP="00990BF4">
            <w:pPr>
              <w:spacing w:after="0" w:line="259" w:lineRule="auto"/>
              <w:ind w:left="1"/>
              <w:jc w:val="left"/>
            </w:pPr>
            <w:r>
              <w:rPr>
                <w:sz w:val="17"/>
              </w:rPr>
              <w:t>3.3</w:t>
            </w:r>
          </w:p>
        </w:tc>
        <w:tc>
          <w:tcPr>
            <w:tcW w:w="3294" w:type="dxa"/>
            <w:tcBorders>
              <w:top w:val="nil"/>
              <w:left w:val="nil"/>
              <w:bottom w:val="nil"/>
              <w:right w:val="nil"/>
            </w:tcBorders>
          </w:tcPr>
          <w:p w14:paraId="04DB78F0" w14:textId="77777777" w:rsidR="00D55061" w:rsidRDefault="00D55061" w:rsidP="00990BF4">
            <w:pPr>
              <w:spacing w:after="0" w:line="259" w:lineRule="auto"/>
              <w:jc w:val="left"/>
            </w:pPr>
            <w:r>
              <w:rPr>
                <w:sz w:val="17"/>
              </w:rPr>
              <w:t>2-Furancarboxaldehyde, 5 methyl</w:t>
            </w:r>
          </w:p>
        </w:tc>
        <w:tc>
          <w:tcPr>
            <w:tcW w:w="880" w:type="dxa"/>
            <w:tcBorders>
              <w:top w:val="nil"/>
              <w:left w:val="nil"/>
              <w:bottom w:val="nil"/>
              <w:right w:val="nil"/>
            </w:tcBorders>
          </w:tcPr>
          <w:p w14:paraId="72BB406A" w14:textId="77777777" w:rsidR="00D55061" w:rsidRDefault="00D55061" w:rsidP="00990BF4">
            <w:pPr>
              <w:spacing w:after="0" w:line="259" w:lineRule="auto"/>
              <w:jc w:val="left"/>
            </w:pPr>
            <w:r>
              <w:rPr>
                <w:sz w:val="17"/>
              </w:rPr>
              <w:t>869</w:t>
            </w:r>
          </w:p>
        </w:tc>
        <w:tc>
          <w:tcPr>
            <w:tcW w:w="1080" w:type="dxa"/>
            <w:tcBorders>
              <w:top w:val="nil"/>
              <w:left w:val="nil"/>
              <w:bottom w:val="nil"/>
              <w:right w:val="nil"/>
            </w:tcBorders>
          </w:tcPr>
          <w:p w14:paraId="14A30950" w14:textId="77777777" w:rsidR="00D55061" w:rsidRDefault="00D55061" w:rsidP="00990BF4">
            <w:pPr>
              <w:spacing w:after="0" w:line="259" w:lineRule="auto"/>
              <w:jc w:val="left"/>
            </w:pPr>
            <w:r>
              <w:rPr>
                <w:sz w:val="17"/>
              </w:rPr>
              <w:t>928</w:t>
            </w:r>
          </w:p>
        </w:tc>
        <w:tc>
          <w:tcPr>
            <w:tcW w:w="645" w:type="dxa"/>
            <w:tcBorders>
              <w:top w:val="nil"/>
              <w:left w:val="nil"/>
              <w:bottom w:val="nil"/>
              <w:right w:val="nil"/>
            </w:tcBorders>
          </w:tcPr>
          <w:p w14:paraId="4DA8FDA1" w14:textId="77777777" w:rsidR="00D55061" w:rsidRDefault="00D55061" w:rsidP="00990BF4">
            <w:pPr>
              <w:spacing w:after="0" w:line="259" w:lineRule="auto"/>
              <w:jc w:val="left"/>
            </w:pPr>
            <w:r>
              <w:rPr>
                <w:sz w:val="17"/>
              </w:rPr>
              <w:t>933</w:t>
            </w:r>
          </w:p>
        </w:tc>
      </w:tr>
      <w:tr w:rsidR="00D55061" w14:paraId="7A906C66" w14:textId="77777777" w:rsidTr="00990BF4">
        <w:trPr>
          <w:trHeight w:val="318"/>
        </w:trPr>
        <w:tc>
          <w:tcPr>
            <w:tcW w:w="1960" w:type="dxa"/>
            <w:tcBorders>
              <w:top w:val="nil"/>
              <w:left w:val="nil"/>
              <w:bottom w:val="nil"/>
              <w:right w:val="nil"/>
            </w:tcBorders>
          </w:tcPr>
          <w:p w14:paraId="766EE46A" w14:textId="77777777" w:rsidR="00D55061" w:rsidRDefault="00D55061" w:rsidP="00990BF4">
            <w:pPr>
              <w:spacing w:after="160" w:line="259" w:lineRule="auto"/>
              <w:jc w:val="left"/>
            </w:pPr>
          </w:p>
        </w:tc>
        <w:tc>
          <w:tcPr>
            <w:tcW w:w="1112" w:type="dxa"/>
            <w:tcBorders>
              <w:top w:val="nil"/>
              <w:left w:val="nil"/>
              <w:bottom w:val="nil"/>
              <w:right w:val="nil"/>
            </w:tcBorders>
          </w:tcPr>
          <w:p w14:paraId="173DAD32" w14:textId="77777777" w:rsidR="00D55061" w:rsidRDefault="00D55061" w:rsidP="00990BF4">
            <w:pPr>
              <w:spacing w:after="0" w:line="259" w:lineRule="auto"/>
              <w:ind w:left="2"/>
              <w:jc w:val="left"/>
            </w:pPr>
            <w:r>
              <w:rPr>
                <w:sz w:val="17"/>
              </w:rPr>
              <w:t>15.00</w:t>
            </w:r>
          </w:p>
        </w:tc>
        <w:tc>
          <w:tcPr>
            <w:tcW w:w="894" w:type="dxa"/>
            <w:tcBorders>
              <w:top w:val="nil"/>
              <w:left w:val="nil"/>
              <w:bottom w:val="nil"/>
              <w:right w:val="nil"/>
            </w:tcBorders>
          </w:tcPr>
          <w:p w14:paraId="342A2637" w14:textId="77777777" w:rsidR="00D55061" w:rsidRDefault="00D55061" w:rsidP="00990BF4">
            <w:pPr>
              <w:spacing w:after="0" w:line="259" w:lineRule="auto"/>
              <w:ind w:left="1"/>
              <w:jc w:val="left"/>
            </w:pPr>
            <w:r>
              <w:rPr>
                <w:sz w:val="17"/>
              </w:rPr>
              <w:t>3.3</w:t>
            </w:r>
          </w:p>
        </w:tc>
        <w:tc>
          <w:tcPr>
            <w:tcW w:w="3294" w:type="dxa"/>
            <w:tcBorders>
              <w:top w:val="nil"/>
              <w:left w:val="nil"/>
              <w:bottom w:val="nil"/>
              <w:right w:val="nil"/>
            </w:tcBorders>
          </w:tcPr>
          <w:p w14:paraId="5008D7A8" w14:textId="77777777" w:rsidR="00D55061" w:rsidRDefault="00D55061" w:rsidP="00990BF4">
            <w:pPr>
              <w:spacing w:after="0" w:line="259" w:lineRule="auto"/>
              <w:jc w:val="left"/>
            </w:pPr>
            <w:r>
              <w:rPr>
                <w:sz w:val="17"/>
              </w:rPr>
              <w:t>Benzaldehyde</w:t>
            </w:r>
          </w:p>
        </w:tc>
        <w:tc>
          <w:tcPr>
            <w:tcW w:w="880" w:type="dxa"/>
            <w:tcBorders>
              <w:top w:val="nil"/>
              <w:left w:val="nil"/>
              <w:bottom w:val="nil"/>
              <w:right w:val="nil"/>
            </w:tcBorders>
          </w:tcPr>
          <w:p w14:paraId="7E463366" w14:textId="77777777" w:rsidR="00D55061" w:rsidRDefault="00D55061" w:rsidP="00990BF4">
            <w:pPr>
              <w:spacing w:after="0" w:line="259" w:lineRule="auto"/>
              <w:jc w:val="left"/>
            </w:pPr>
            <w:r>
              <w:rPr>
                <w:sz w:val="17"/>
              </w:rPr>
              <w:t>865</w:t>
            </w:r>
          </w:p>
        </w:tc>
        <w:tc>
          <w:tcPr>
            <w:tcW w:w="1080" w:type="dxa"/>
            <w:tcBorders>
              <w:top w:val="nil"/>
              <w:left w:val="nil"/>
              <w:bottom w:val="nil"/>
              <w:right w:val="nil"/>
            </w:tcBorders>
          </w:tcPr>
          <w:p w14:paraId="662EDB6B" w14:textId="77777777" w:rsidR="00D55061" w:rsidRDefault="00D55061" w:rsidP="00990BF4">
            <w:pPr>
              <w:spacing w:after="0" w:line="259" w:lineRule="auto"/>
              <w:jc w:val="left"/>
            </w:pPr>
            <w:r>
              <w:rPr>
                <w:sz w:val="17"/>
              </w:rPr>
              <w:t>932</w:t>
            </w:r>
          </w:p>
        </w:tc>
        <w:tc>
          <w:tcPr>
            <w:tcW w:w="645" w:type="dxa"/>
            <w:tcBorders>
              <w:top w:val="nil"/>
              <w:left w:val="nil"/>
              <w:bottom w:val="nil"/>
              <w:right w:val="nil"/>
            </w:tcBorders>
          </w:tcPr>
          <w:p w14:paraId="2EA49261" w14:textId="77777777" w:rsidR="00D55061" w:rsidRDefault="00D55061" w:rsidP="00990BF4">
            <w:pPr>
              <w:spacing w:after="0" w:line="259" w:lineRule="auto"/>
              <w:jc w:val="left"/>
            </w:pPr>
            <w:r>
              <w:rPr>
                <w:sz w:val="17"/>
              </w:rPr>
              <w:t>933</w:t>
            </w:r>
          </w:p>
        </w:tc>
      </w:tr>
      <w:tr w:rsidR="00D55061" w14:paraId="56ACE9FA" w14:textId="77777777" w:rsidTr="00990BF4">
        <w:trPr>
          <w:trHeight w:val="318"/>
        </w:trPr>
        <w:tc>
          <w:tcPr>
            <w:tcW w:w="1960" w:type="dxa"/>
            <w:tcBorders>
              <w:top w:val="nil"/>
              <w:left w:val="nil"/>
              <w:bottom w:val="nil"/>
              <w:right w:val="nil"/>
            </w:tcBorders>
          </w:tcPr>
          <w:p w14:paraId="119B8B1B" w14:textId="77777777" w:rsidR="00D55061" w:rsidRDefault="00D55061" w:rsidP="00990BF4">
            <w:pPr>
              <w:spacing w:after="160" w:line="259" w:lineRule="auto"/>
              <w:jc w:val="left"/>
            </w:pPr>
          </w:p>
        </w:tc>
        <w:tc>
          <w:tcPr>
            <w:tcW w:w="1112" w:type="dxa"/>
            <w:tcBorders>
              <w:top w:val="nil"/>
              <w:left w:val="nil"/>
              <w:bottom w:val="nil"/>
              <w:right w:val="nil"/>
            </w:tcBorders>
          </w:tcPr>
          <w:p w14:paraId="17343CA4" w14:textId="77777777" w:rsidR="00D55061" w:rsidRDefault="00D55061" w:rsidP="00990BF4">
            <w:pPr>
              <w:spacing w:after="0" w:line="259" w:lineRule="auto"/>
              <w:ind w:left="2"/>
              <w:jc w:val="left"/>
            </w:pPr>
            <w:r>
              <w:rPr>
                <w:sz w:val="17"/>
              </w:rPr>
              <w:t>15.23</w:t>
            </w:r>
          </w:p>
        </w:tc>
        <w:tc>
          <w:tcPr>
            <w:tcW w:w="894" w:type="dxa"/>
            <w:tcBorders>
              <w:top w:val="nil"/>
              <w:left w:val="nil"/>
              <w:bottom w:val="nil"/>
              <w:right w:val="nil"/>
            </w:tcBorders>
          </w:tcPr>
          <w:p w14:paraId="4A070B09" w14:textId="77777777" w:rsidR="00D55061" w:rsidRDefault="00D55061" w:rsidP="00990BF4">
            <w:pPr>
              <w:spacing w:after="0" w:line="259" w:lineRule="auto"/>
              <w:ind w:left="1"/>
              <w:jc w:val="left"/>
            </w:pPr>
            <w:r>
              <w:rPr>
                <w:sz w:val="17"/>
              </w:rPr>
              <w:t>0.6</w:t>
            </w:r>
          </w:p>
        </w:tc>
        <w:tc>
          <w:tcPr>
            <w:tcW w:w="3294" w:type="dxa"/>
            <w:tcBorders>
              <w:top w:val="nil"/>
              <w:left w:val="nil"/>
              <w:bottom w:val="nil"/>
              <w:right w:val="nil"/>
            </w:tcBorders>
          </w:tcPr>
          <w:p w14:paraId="0B3F3F99" w14:textId="77777777" w:rsidR="00D55061" w:rsidRDefault="00D55061" w:rsidP="00990BF4">
            <w:pPr>
              <w:spacing w:after="0" w:line="259" w:lineRule="auto"/>
              <w:jc w:val="left"/>
            </w:pPr>
            <w:r>
              <w:rPr>
                <w:sz w:val="17"/>
              </w:rPr>
              <w:t>Unknown</w:t>
            </w:r>
          </w:p>
        </w:tc>
        <w:tc>
          <w:tcPr>
            <w:tcW w:w="880" w:type="dxa"/>
            <w:tcBorders>
              <w:top w:val="nil"/>
              <w:left w:val="nil"/>
              <w:bottom w:val="nil"/>
              <w:right w:val="nil"/>
            </w:tcBorders>
          </w:tcPr>
          <w:p w14:paraId="14779691" w14:textId="77777777" w:rsidR="00D55061" w:rsidRDefault="00D55061" w:rsidP="00990BF4">
            <w:pPr>
              <w:spacing w:after="160" w:line="259" w:lineRule="auto"/>
              <w:jc w:val="left"/>
            </w:pPr>
          </w:p>
        </w:tc>
        <w:tc>
          <w:tcPr>
            <w:tcW w:w="1080" w:type="dxa"/>
            <w:tcBorders>
              <w:top w:val="nil"/>
              <w:left w:val="nil"/>
              <w:bottom w:val="nil"/>
              <w:right w:val="nil"/>
            </w:tcBorders>
          </w:tcPr>
          <w:p w14:paraId="4AD8052D" w14:textId="77777777" w:rsidR="00D55061" w:rsidRDefault="00D55061" w:rsidP="00990BF4">
            <w:pPr>
              <w:spacing w:after="160" w:line="259" w:lineRule="auto"/>
              <w:jc w:val="left"/>
            </w:pPr>
          </w:p>
        </w:tc>
        <w:tc>
          <w:tcPr>
            <w:tcW w:w="645" w:type="dxa"/>
            <w:tcBorders>
              <w:top w:val="nil"/>
              <w:left w:val="nil"/>
              <w:bottom w:val="nil"/>
              <w:right w:val="nil"/>
            </w:tcBorders>
          </w:tcPr>
          <w:p w14:paraId="5C4B7AA5" w14:textId="77777777" w:rsidR="00D55061" w:rsidRDefault="00D55061" w:rsidP="00990BF4">
            <w:pPr>
              <w:spacing w:after="160" w:line="259" w:lineRule="auto"/>
              <w:jc w:val="left"/>
            </w:pPr>
          </w:p>
        </w:tc>
      </w:tr>
      <w:tr w:rsidR="00D55061" w14:paraId="44A12E10" w14:textId="77777777" w:rsidTr="00990BF4">
        <w:trPr>
          <w:trHeight w:val="318"/>
        </w:trPr>
        <w:tc>
          <w:tcPr>
            <w:tcW w:w="1960" w:type="dxa"/>
            <w:tcBorders>
              <w:top w:val="nil"/>
              <w:left w:val="nil"/>
              <w:bottom w:val="nil"/>
              <w:right w:val="nil"/>
            </w:tcBorders>
          </w:tcPr>
          <w:p w14:paraId="4298F416" w14:textId="77777777" w:rsidR="00D55061" w:rsidRDefault="00D55061" w:rsidP="00990BF4">
            <w:pPr>
              <w:spacing w:after="160" w:line="259" w:lineRule="auto"/>
              <w:jc w:val="left"/>
            </w:pPr>
          </w:p>
        </w:tc>
        <w:tc>
          <w:tcPr>
            <w:tcW w:w="1112" w:type="dxa"/>
            <w:tcBorders>
              <w:top w:val="nil"/>
              <w:left w:val="nil"/>
              <w:bottom w:val="nil"/>
              <w:right w:val="nil"/>
            </w:tcBorders>
          </w:tcPr>
          <w:p w14:paraId="00D8C8C9" w14:textId="77777777" w:rsidR="00D55061" w:rsidRDefault="00D55061" w:rsidP="00990BF4">
            <w:pPr>
              <w:spacing w:after="0" w:line="259" w:lineRule="auto"/>
              <w:ind w:left="2"/>
              <w:jc w:val="left"/>
            </w:pPr>
            <w:r>
              <w:rPr>
                <w:sz w:val="17"/>
              </w:rPr>
              <w:t>15.68</w:t>
            </w:r>
          </w:p>
        </w:tc>
        <w:tc>
          <w:tcPr>
            <w:tcW w:w="894" w:type="dxa"/>
            <w:tcBorders>
              <w:top w:val="nil"/>
              <w:left w:val="nil"/>
              <w:bottom w:val="nil"/>
              <w:right w:val="nil"/>
            </w:tcBorders>
          </w:tcPr>
          <w:p w14:paraId="179B83DD" w14:textId="77777777" w:rsidR="00D55061" w:rsidRDefault="00D55061" w:rsidP="00990BF4">
            <w:pPr>
              <w:spacing w:after="0" w:line="259" w:lineRule="auto"/>
              <w:ind w:left="1"/>
              <w:jc w:val="left"/>
            </w:pPr>
            <w:r>
              <w:rPr>
                <w:sz w:val="17"/>
              </w:rPr>
              <w:t>1.5</w:t>
            </w:r>
          </w:p>
        </w:tc>
        <w:tc>
          <w:tcPr>
            <w:tcW w:w="3294" w:type="dxa"/>
            <w:tcBorders>
              <w:top w:val="nil"/>
              <w:left w:val="nil"/>
              <w:bottom w:val="nil"/>
              <w:right w:val="nil"/>
            </w:tcBorders>
          </w:tcPr>
          <w:p w14:paraId="441E7BA5" w14:textId="77777777" w:rsidR="00D55061" w:rsidRDefault="00D55061" w:rsidP="00990BF4">
            <w:pPr>
              <w:spacing w:after="0" w:line="259" w:lineRule="auto"/>
              <w:ind w:left="1"/>
              <w:jc w:val="left"/>
            </w:pPr>
            <w:r>
              <w:rPr>
                <w:sz w:val="17"/>
              </w:rPr>
              <w:t>2-Furanmethanol, acetate</w:t>
            </w:r>
          </w:p>
        </w:tc>
        <w:tc>
          <w:tcPr>
            <w:tcW w:w="880" w:type="dxa"/>
            <w:tcBorders>
              <w:top w:val="nil"/>
              <w:left w:val="nil"/>
              <w:bottom w:val="nil"/>
              <w:right w:val="nil"/>
            </w:tcBorders>
          </w:tcPr>
          <w:p w14:paraId="607A3D6C" w14:textId="77777777" w:rsidR="00D55061" w:rsidRDefault="00D55061" w:rsidP="00990BF4">
            <w:pPr>
              <w:spacing w:after="0" w:line="259" w:lineRule="auto"/>
              <w:jc w:val="left"/>
            </w:pPr>
            <w:r>
              <w:rPr>
                <w:sz w:val="17"/>
              </w:rPr>
              <w:t>838</w:t>
            </w:r>
          </w:p>
        </w:tc>
        <w:tc>
          <w:tcPr>
            <w:tcW w:w="1080" w:type="dxa"/>
            <w:tcBorders>
              <w:top w:val="nil"/>
              <w:left w:val="nil"/>
              <w:bottom w:val="nil"/>
              <w:right w:val="nil"/>
            </w:tcBorders>
          </w:tcPr>
          <w:p w14:paraId="4C933D89" w14:textId="77777777" w:rsidR="00D55061" w:rsidRDefault="00D55061" w:rsidP="00990BF4">
            <w:pPr>
              <w:spacing w:after="0" w:line="259" w:lineRule="auto"/>
              <w:jc w:val="left"/>
            </w:pPr>
            <w:r>
              <w:rPr>
                <w:sz w:val="17"/>
              </w:rPr>
              <w:t>955</w:t>
            </w:r>
          </w:p>
        </w:tc>
        <w:tc>
          <w:tcPr>
            <w:tcW w:w="645" w:type="dxa"/>
            <w:tcBorders>
              <w:top w:val="nil"/>
              <w:left w:val="nil"/>
              <w:bottom w:val="nil"/>
              <w:right w:val="nil"/>
            </w:tcBorders>
          </w:tcPr>
          <w:p w14:paraId="47ACA0CA" w14:textId="77777777" w:rsidR="00D55061" w:rsidRDefault="00D55061" w:rsidP="00990BF4">
            <w:pPr>
              <w:spacing w:after="0" w:line="259" w:lineRule="auto"/>
              <w:jc w:val="left"/>
            </w:pPr>
            <w:r>
              <w:rPr>
                <w:sz w:val="17"/>
              </w:rPr>
              <w:t>966</w:t>
            </w:r>
          </w:p>
        </w:tc>
      </w:tr>
      <w:tr w:rsidR="00D55061" w14:paraId="3064F9BD" w14:textId="77777777" w:rsidTr="00990BF4">
        <w:trPr>
          <w:trHeight w:val="318"/>
        </w:trPr>
        <w:tc>
          <w:tcPr>
            <w:tcW w:w="1960" w:type="dxa"/>
            <w:tcBorders>
              <w:top w:val="nil"/>
              <w:left w:val="nil"/>
              <w:bottom w:val="nil"/>
              <w:right w:val="nil"/>
            </w:tcBorders>
          </w:tcPr>
          <w:p w14:paraId="7670FCFE" w14:textId="77777777" w:rsidR="00D55061" w:rsidRDefault="00D55061" w:rsidP="00990BF4">
            <w:pPr>
              <w:spacing w:after="160" w:line="259" w:lineRule="auto"/>
              <w:jc w:val="left"/>
            </w:pPr>
          </w:p>
        </w:tc>
        <w:tc>
          <w:tcPr>
            <w:tcW w:w="1112" w:type="dxa"/>
            <w:tcBorders>
              <w:top w:val="nil"/>
              <w:left w:val="nil"/>
              <w:bottom w:val="nil"/>
              <w:right w:val="nil"/>
            </w:tcBorders>
          </w:tcPr>
          <w:p w14:paraId="67A68CAA" w14:textId="77777777" w:rsidR="00D55061" w:rsidRDefault="00D55061" w:rsidP="00990BF4">
            <w:pPr>
              <w:spacing w:after="0" w:line="259" w:lineRule="auto"/>
              <w:ind w:left="2"/>
              <w:jc w:val="left"/>
            </w:pPr>
            <w:r>
              <w:rPr>
                <w:sz w:val="17"/>
              </w:rPr>
              <w:t>16.13</w:t>
            </w:r>
          </w:p>
        </w:tc>
        <w:tc>
          <w:tcPr>
            <w:tcW w:w="894" w:type="dxa"/>
            <w:tcBorders>
              <w:top w:val="nil"/>
              <w:left w:val="nil"/>
              <w:bottom w:val="nil"/>
              <w:right w:val="nil"/>
            </w:tcBorders>
          </w:tcPr>
          <w:p w14:paraId="7B6F4147" w14:textId="77777777" w:rsidR="00D55061" w:rsidRDefault="00D55061" w:rsidP="00990BF4">
            <w:pPr>
              <w:spacing w:after="0" w:line="259" w:lineRule="auto"/>
              <w:ind w:left="1"/>
              <w:jc w:val="left"/>
            </w:pPr>
            <w:r>
              <w:rPr>
                <w:sz w:val="17"/>
              </w:rPr>
              <w:t>2.4</w:t>
            </w:r>
          </w:p>
        </w:tc>
        <w:tc>
          <w:tcPr>
            <w:tcW w:w="3294" w:type="dxa"/>
            <w:tcBorders>
              <w:top w:val="nil"/>
              <w:left w:val="nil"/>
              <w:bottom w:val="nil"/>
              <w:right w:val="nil"/>
            </w:tcBorders>
          </w:tcPr>
          <w:p w14:paraId="762833BB" w14:textId="77777777" w:rsidR="00D55061" w:rsidRDefault="00D55061" w:rsidP="00990BF4">
            <w:pPr>
              <w:spacing w:after="0" w:line="259" w:lineRule="auto"/>
              <w:ind w:left="1"/>
              <w:jc w:val="left"/>
            </w:pPr>
            <w:r>
              <w:rPr>
                <w:sz w:val="17"/>
              </w:rPr>
              <w:t>Furan, 2</w:t>
            </w:r>
            <w:proofErr w:type="gramStart"/>
            <w:r>
              <w:rPr>
                <w:sz w:val="17"/>
              </w:rPr>
              <w:t>-[(</w:t>
            </w:r>
            <w:proofErr w:type="gramEnd"/>
            <w:r>
              <w:rPr>
                <w:sz w:val="17"/>
              </w:rPr>
              <w:t>methylthio)methyl]-</w:t>
            </w:r>
          </w:p>
        </w:tc>
        <w:tc>
          <w:tcPr>
            <w:tcW w:w="880" w:type="dxa"/>
            <w:tcBorders>
              <w:top w:val="nil"/>
              <w:left w:val="nil"/>
              <w:bottom w:val="nil"/>
              <w:right w:val="nil"/>
            </w:tcBorders>
          </w:tcPr>
          <w:p w14:paraId="7F557F58" w14:textId="77777777" w:rsidR="00D55061" w:rsidRDefault="00D55061" w:rsidP="00990BF4">
            <w:pPr>
              <w:spacing w:after="0" w:line="259" w:lineRule="auto"/>
              <w:jc w:val="left"/>
            </w:pPr>
            <w:r>
              <w:rPr>
                <w:sz w:val="17"/>
              </w:rPr>
              <w:t>792</w:t>
            </w:r>
          </w:p>
        </w:tc>
        <w:tc>
          <w:tcPr>
            <w:tcW w:w="1080" w:type="dxa"/>
            <w:tcBorders>
              <w:top w:val="nil"/>
              <w:left w:val="nil"/>
              <w:bottom w:val="nil"/>
              <w:right w:val="nil"/>
            </w:tcBorders>
          </w:tcPr>
          <w:p w14:paraId="0E036143" w14:textId="77777777" w:rsidR="00D55061" w:rsidRDefault="00D55061" w:rsidP="00990BF4">
            <w:pPr>
              <w:spacing w:after="0" w:line="259" w:lineRule="auto"/>
              <w:jc w:val="left"/>
            </w:pPr>
            <w:r>
              <w:rPr>
                <w:sz w:val="17"/>
              </w:rPr>
              <w:t>963</w:t>
            </w:r>
          </w:p>
        </w:tc>
        <w:tc>
          <w:tcPr>
            <w:tcW w:w="645" w:type="dxa"/>
            <w:tcBorders>
              <w:top w:val="nil"/>
              <w:left w:val="nil"/>
              <w:bottom w:val="nil"/>
              <w:right w:val="nil"/>
            </w:tcBorders>
          </w:tcPr>
          <w:p w14:paraId="32B6F86B" w14:textId="77777777" w:rsidR="00D55061" w:rsidRDefault="00D55061" w:rsidP="00990BF4">
            <w:pPr>
              <w:spacing w:after="0" w:line="259" w:lineRule="auto"/>
              <w:jc w:val="left"/>
            </w:pPr>
            <w:r>
              <w:rPr>
                <w:sz w:val="17"/>
              </w:rPr>
              <w:t>980</w:t>
            </w:r>
          </w:p>
        </w:tc>
      </w:tr>
      <w:tr w:rsidR="00D55061" w14:paraId="07A45598" w14:textId="77777777" w:rsidTr="00990BF4">
        <w:trPr>
          <w:trHeight w:val="318"/>
        </w:trPr>
        <w:tc>
          <w:tcPr>
            <w:tcW w:w="1960" w:type="dxa"/>
            <w:tcBorders>
              <w:top w:val="nil"/>
              <w:left w:val="nil"/>
              <w:bottom w:val="nil"/>
              <w:right w:val="nil"/>
            </w:tcBorders>
          </w:tcPr>
          <w:p w14:paraId="2CCD8B79" w14:textId="77777777" w:rsidR="00D55061" w:rsidRDefault="00D55061" w:rsidP="00990BF4">
            <w:pPr>
              <w:spacing w:after="160" w:line="259" w:lineRule="auto"/>
              <w:jc w:val="left"/>
            </w:pPr>
          </w:p>
        </w:tc>
        <w:tc>
          <w:tcPr>
            <w:tcW w:w="1112" w:type="dxa"/>
            <w:tcBorders>
              <w:top w:val="nil"/>
              <w:left w:val="nil"/>
              <w:bottom w:val="nil"/>
              <w:right w:val="nil"/>
            </w:tcBorders>
          </w:tcPr>
          <w:p w14:paraId="646C6331" w14:textId="77777777" w:rsidR="00D55061" w:rsidRDefault="00D55061" w:rsidP="00990BF4">
            <w:pPr>
              <w:spacing w:after="0" w:line="259" w:lineRule="auto"/>
              <w:ind w:left="2"/>
              <w:jc w:val="left"/>
            </w:pPr>
            <w:r>
              <w:rPr>
                <w:sz w:val="17"/>
              </w:rPr>
              <w:t>16.58</w:t>
            </w:r>
          </w:p>
        </w:tc>
        <w:tc>
          <w:tcPr>
            <w:tcW w:w="894" w:type="dxa"/>
            <w:tcBorders>
              <w:top w:val="nil"/>
              <w:left w:val="nil"/>
              <w:bottom w:val="nil"/>
              <w:right w:val="nil"/>
            </w:tcBorders>
          </w:tcPr>
          <w:p w14:paraId="2D263E85" w14:textId="77777777" w:rsidR="00D55061" w:rsidRDefault="00D55061" w:rsidP="00990BF4">
            <w:pPr>
              <w:spacing w:after="0" w:line="259" w:lineRule="auto"/>
              <w:ind w:left="1"/>
              <w:jc w:val="left"/>
            </w:pPr>
            <w:r>
              <w:rPr>
                <w:sz w:val="17"/>
              </w:rPr>
              <w:t>2.4</w:t>
            </w:r>
          </w:p>
        </w:tc>
        <w:tc>
          <w:tcPr>
            <w:tcW w:w="3294" w:type="dxa"/>
            <w:tcBorders>
              <w:top w:val="nil"/>
              <w:left w:val="nil"/>
              <w:bottom w:val="nil"/>
              <w:right w:val="nil"/>
            </w:tcBorders>
          </w:tcPr>
          <w:p w14:paraId="2F39477D" w14:textId="77777777" w:rsidR="00D55061" w:rsidRDefault="00D55061" w:rsidP="00990BF4">
            <w:pPr>
              <w:spacing w:after="0" w:line="259" w:lineRule="auto"/>
              <w:ind w:left="1"/>
              <w:jc w:val="left"/>
            </w:pPr>
            <w:r>
              <w:rPr>
                <w:sz w:val="17"/>
              </w:rPr>
              <w:t>4(H)-Pyridine, N-acetyl-</w:t>
            </w:r>
          </w:p>
        </w:tc>
        <w:tc>
          <w:tcPr>
            <w:tcW w:w="880" w:type="dxa"/>
            <w:tcBorders>
              <w:top w:val="nil"/>
              <w:left w:val="nil"/>
              <w:bottom w:val="nil"/>
              <w:right w:val="nil"/>
            </w:tcBorders>
          </w:tcPr>
          <w:p w14:paraId="437851B7" w14:textId="77777777" w:rsidR="00D55061" w:rsidRDefault="00D55061" w:rsidP="00990BF4">
            <w:pPr>
              <w:spacing w:after="0" w:line="259" w:lineRule="auto"/>
              <w:jc w:val="left"/>
            </w:pPr>
            <w:r>
              <w:rPr>
                <w:sz w:val="17"/>
              </w:rPr>
              <w:t>720</w:t>
            </w:r>
          </w:p>
        </w:tc>
        <w:tc>
          <w:tcPr>
            <w:tcW w:w="1080" w:type="dxa"/>
            <w:tcBorders>
              <w:top w:val="nil"/>
              <w:left w:val="nil"/>
              <w:bottom w:val="nil"/>
              <w:right w:val="nil"/>
            </w:tcBorders>
          </w:tcPr>
          <w:p w14:paraId="79E3A202" w14:textId="77777777" w:rsidR="00D55061" w:rsidRDefault="00D55061" w:rsidP="00990BF4">
            <w:pPr>
              <w:spacing w:after="0" w:line="259" w:lineRule="auto"/>
              <w:jc w:val="left"/>
            </w:pPr>
            <w:r>
              <w:rPr>
                <w:sz w:val="17"/>
              </w:rPr>
              <w:t>986</w:t>
            </w:r>
          </w:p>
        </w:tc>
        <w:tc>
          <w:tcPr>
            <w:tcW w:w="645" w:type="dxa"/>
            <w:tcBorders>
              <w:top w:val="nil"/>
              <w:left w:val="nil"/>
              <w:bottom w:val="nil"/>
              <w:right w:val="nil"/>
            </w:tcBorders>
          </w:tcPr>
          <w:p w14:paraId="2CCB2056" w14:textId="77777777" w:rsidR="00D55061" w:rsidRDefault="00D55061" w:rsidP="00990BF4">
            <w:pPr>
              <w:spacing w:after="0" w:line="259" w:lineRule="auto"/>
              <w:jc w:val="left"/>
            </w:pPr>
            <w:r>
              <w:rPr>
                <w:sz w:val="17"/>
              </w:rPr>
              <w:t>1038*</w:t>
            </w:r>
          </w:p>
        </w:tc>
      </w:tr>
      <w:tr w:rsidR="00D55061" w14:paraId="4DF922CB" w14:textId="77777777" w:rsidTr="00990BF4">
        <w:trPr>
          <w:trHeight w:val="318"/>
        </w:trPr>
        <w:tc>
          <w:tcPr>
            <w:tcW w:w="1960" w:type="dxa"/>
            <w:tcBorders>
              <w:top w:val="nil"/>
              <w:left w:val="nil"/>
              <w:bottom w:val="nil"/>
              <w:right w:val="nil"/>
            </w:tcBorders>
          </w:tcPr>
          <w:p w14:paraId="46744D3C" w14:textId="77777777" w:rsidR="00D55061" w:rsidRDefault="00D55061" w:rsidP="00990BF4">
            <w:pPr>
              <w:spacing w:after="160" w:line="259" w:lineRule="auto"/>
              <w:jc w:val="left"/>
            </w:pPr>
          </w:p>
        </w:tc>
        <w:tc>
          <w:tcPr>
            <w:tcW w:w="1112" w:type="dxa"/>
            <w:tcBorders>
              <w:top w:val="nil"/>
              <w:left w:val="nil"/>
              <w:bottom w:val="nil"/>
              <w:right w:val="nil"/>
            </w:tcBorders>
          </w:tcPr>
          <w:p w14:paraId="76C3C64B" w14:textId="77777777" w:rsidR="00D55061" w:rsidRDefault="00D55061" w:rsidP="00990BF4">
            <w:pPr>
              <w:spacing w:after="0" w:line="259" w:lineRule="auto"/>
              <w:ind w:left="2"/>
              <w:jc w:val="left"/>
            </w:pPr>
            <w:r>
              <w:rPr>
                <w:sz w:val="17"/>
              </w:rPr>
              <w:t>17.25</w:t>
            </w:r>
          </w:p>
        </w:tc>
        <w:tc>
          <w:tcPr>
            <w:tcW w:w="894" w:type="dxa"/>
            <w:tcBorders>
              <w:top w:val="nil"/>
              <w:left w:val="nil"/>
              <w:bottom w:val="nil"/>
              <w:right w:val="nil"/>
            </w:tcBorders>
          </w:tcPr>
          <w:p w14:paraId="4F9B20BC" w14:textId="77777777" w:rsidR="00D55061" w:rsidRDefault="00D55061" w:rsidP="00990BF4">
            <w:pPr>
              <w:spacing w:after="0" w:line="259" w:lineRule="auto"/>
              <w:ind w:left="1"/>
              <w:jc w:val="left"/>
            </w:pPr>
            <w:r>
              <w:rPr>
                <w:sz w:val="17"/>
              </w:rPr>
              <w:t>3.3</w:t>
            </w:r>
          </w:p>
        </w:tc>
        <w:tc>
          <w:tcPr>
            <w:tcW w:w="3294" w:type="dxa"/>
            <w:tcBorders>
              <w:top w:val="nil"/>
              <w:left w:val="nil"/>
              <w:bottom w:val="nil"/>
              <w:right w:val="nil"/>
            </w:tcBorders>
          </w:tcPr>
          <w:p w14:paraId="0D439EF2"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76356ACD" w14:textId="77777777" w:rsidR="00D55061" w:rsidRDefault="00D55061" w:rsidP="00990BF4">
            <w:pPr>
              <w:spacing w:after="160" w:line="259" w:lineRule="auto"/>
              <w:jc w:val="left"/>
            </w:pPr>
          </w:p>
        </w:tc>
        <w:tc>
          <w:tcPr>
            <w:tcW w:w="1080" w:type="dxa"/>
            <w:tcBorders>
              <w:top w:val="nil"/>
              <w:left w:val="nil"/>
              <w:bottom w:val="nil"/>
              <w:right w:val="nil"/>
            </w:tcBorders>
          </w:tcPr>
          <w:p w14:paraId="7A4F1FD9" w14:textId="77777777" w:rsidR="00D55061" w:rsidRDefault="00D55061" w:rsidP="00990BF4">
            <w:pPr>
              <w:spacing w:after="160" w:line="259" w:lineRule="auto"/>
              <w:jc w:val="left"/>
            </w:pPr>
          </w:p>
        </w:tc>
        <w:tc>
          <w:tcPr>
            <w:tcW w:w="645" w:type="dxa"/>
            <w:tcBorders>
              <w:top w:val="nil"/>
              <w:left w:val="nil"/>
              <w:bottom w:val="nil"/>
              <w:right w:val="nil"/>
            </w:tcBorders>
          </w:tcPr>
          <w:p w14:paraId="4885BEE5" w14:textId="77777777" w:rsidR="00D55061" w:rsidRDefault="00D55061" w:rsidP="00990BF4">
            <w:pPr>
              <w:spacing w:after="160" w:line="259" w:lineRule="auto"/>
              <w:jc w:val="left"/>
            </w:pPr>
          </w:p>
        </w:tc>
      </w:tr>
      <w:tr w:rsidR="00D55061" w14:paraId="35387B9B" w14:textId="77777777" w:rsidTr="00990BF4">
        <w:trPr>
          <w:trHeight w:val="318"/>
        </w:trPr>
        <w:tc>
          <w:tcPr>
            <w:tcW w:w="1960" w:type="dxa"/>
            <w:tcBorders>
              <w:top w:val="nil"/>
              <w:left w:val="nil"/>
              <w:bottom w:val="nil"/>
              <w:right w:val="nil"/>
            </w:tcBorders>
          </w:tcPr>
          <w:p w14:paraId="69B8AA26" w14:textId="77777777" w:rsidR="00D55061" w:rsidRDefault="00D55061" w:rsidP="00990BF4">
            <w:pPr>
              <w:spacing w:after="160" w:line="259" w:lineRule="auto"/>
              <w:jc w:val="left"/>
            </w:pPr>
          </w:p>
        </w:tc>
        <w:tc>
          <w:tcPr>
            <w:tcW w:w="1112" w:type="dxa"/>
            <w:tcBorders>
              <w:top w:val="nil"/>
              <w:left w:val="nil"/>
              <w:bottom w:val="nil"/>
              <w:right w:val="nil"/>
            </w:tcBorders>
          </w:tcPr>
          <w:p w14:paraId="6C645CED" w14:textId="77777777" w:rsidR="00D55061" w:rsidRDefault="00D55061" w:rsidP="00990BF4">
            <w:pPr>
              <w:spacing w:after="0" w:line="259" w:lineRule="auto"/>
              <w:ind w:left="3"/>
              <w:jc w:val="left"/>
            </w:pPr>
            <w:r>
              <w:rPr>
                <w:sz w:val="17"/>
              </w:rPr>
              <w:t>17.48</w:t>
            </w:r>
          </w:p>
        </w:tc>
        <w:tc>
          <w:tcPr>
            <w:tcW w:w="894" w:type="dxa"/>
            <w:tcBorders>
              <w:top w:val="nil"/>
              <w:left w:val="nil"/>
              <w:bottom w:val="nil"/>
              <w:right w:val="nil"/>
            </w:tcBorders>
          </w:tcPr>
          <w:p w14:paraId="614DEA3B" w14:textId="77777777" w:rsidR="00D55061" w:rsidRDefault="00D55061" w:rsidP="00990BF4">
            <w:pPr>
              <w:spacing w:after="0" w:line="259" w:lineRule="auto"/>
              <w:ind w:left="2"/>
              <w:jc w:val="left"/>
            </w:pPr>
            <w:r>
              <w:rPr>
                <w:sz w:val="17"/>
              </w:rPr>
              <w:t>3.3</w:t>
            </w:r>
          </w:p>
        </w:tc>
        <w:tc>
          <w:tcPr>
            <w:tcW w:w="3294" w:type="dxa"/>
            <w:tcBorders>
              <w:top w:val="nil"/>
              <w:left w:val="nil"/>
              <w:bottom w:val="nil"/>
              <w:right w:val="nil"/>
            </w:tcBorders>
          </w:tcPr>
          <w:p w14:paraId="051FB646"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2CA050EE" w14:textId="77777777" w:rsidR="00D55061" w:rsidRDefault="00D55061" w:rsidP="00990BF4">
            <w:pPr>
              <w:spacing w:after="160" w:line="259" w:lineRule="auto"/>
              <w:jc w:val="left"/>
            </w:pPr>
          </w:p>
        </w:tc>
        <w:tc>
          <w:tcPr>
            <w:tcW w:w="1080" w:type="dxa"/>
            <w:tcBorders>
              <w:top w:val="nil"/>
              <w:left w:val="nil"/>
              <w:bottom w:val="nil"/>
              <w:right w:val="nil"/>
            </w:tcBorders>
          </w:tcPr>
          <w:p w14:paraId="1D4D8877" w14:textId="77777777" w:rsidR="00D55061" w:rsidRDefault="00D55061" w:rsidP="00990BF4">
            <w:pPr>
              <w:spacing w:after="160" w:line="259" w:lineRule="auto"/>
              <w:jc w:val="left"/>
            </w:pPr>
          </w:p>
        </w:tc>
        <w:tc>
          <w:tcPr>
            <w:tcW w:w="645" w:type="dxa"/>
            <w:tcBorders>
              <w:top w:val="nil"/>
              <w:left w:val="nil"/>
              <w:bottom w:val="nil"/>
              <w:right w:val="nil"/>
            </w:tcBorders>
          </w:tcPr>
          <w:p w14:paraId="4278F414" w14:textId="77777777" w:rsidR="00D55061" w:rsidRDefault="00D55061" w:rsidP="00990BF4">
            <w:pPr>
              <w:spacing w:after="160" w:line="259" w:lineRule="auto"/>
              <w:jc w:val="left"/>
            </w:pPr>
          </w:p>
        </w:tc>
      </w:tr>
      <w:tr w:rsidR="00D55061" w14:paraId="6FB3BEBE" w14:textId="77777777" w:rsidTr="00990BF4">
        <w:trPr>
          <w:trHeight w:val="318"/>
        </w:trPr>
        <w:tc>
          <w:tcPr>
            <w:tcW w:w="1960" w:type="dxa"/>
            <w:tcBorders>
              <w:top w:val="nil"/>
              <w:left w:val="nil"/>
              <w:bottom w:val="nil"/>
              <w:right w:val="nil"/>
            </w:tcBorders>
          </w:tcPr>
          <w:p w14:paraId="52EAC911" w14:textId="77777777" w:rsidR="00D55061" w:rsidRDefault="00D55061" w:rsidP="00990BF4">
            <w:pPr>
              <w:spacing w:after="160" w:line="259" w:lineRule="auto"/>
              <w:jc w:val="left"/>
            </w:pPr>
          </w:p>
        </w:tc>
        <w:tc>
          <w:tcPr>
            <w:tcW w:w="1112" w:type="dxa"/>
            <w:tcBorders>
              <w:top w:val="nil"/>
              <w:left w:val="nil"/>
              <w:bottom w:val="nil"/>
              <w:right w:val="nil"/>
            </w:tcBorders>
          </w:tcPr>
          <w:p w14:paraId="14307043" w14:textId="77777777" w:rsidR="00D55061" w:rsidRDefault="00D55061" w:rsidP="00990BF4">
            <w:pPr>
              <w:spacing w:after="0" w:line="259" w:lineRule="auto"/>
              <w:ind w:left="3"/>
              <w:jc w:val="left"/>
            </w:pPr>
            <w:r>
              <w:rPr>
                <w:sz w:val="17"/>
              </w:rPr>
              <w:t>18.38</w:t>
            </w:r>
          </w:p>
        </w:tc>
        <w:tc>
          <w:tcPr>
            <w:tcW w:w="894" w:type="dxa"/>
            <w:tcBorders>
              <w:top w:val="nil"/>
              <w:left w:val="nil"/>
              <w:bottom w:val="nil"/>
              <w:right w:val="nil"/>
            </w:tcBorders>
          </w:tcPr>
          <w:p w14:paraId="214F8113" w14:textId="77777777" w:rsidR="00D55061" w:rsidRDefault="00D55061" w:rsidP="00990BF4">
            <w:pPr>
              <w:spacing w:after="0" w:line="259" w:lineRule="auto"/>
              <w:ind w:left="2"/>
              <w:jc w:val="left"/>
            </w:pPr>
            <w:r>
              <w:rPr>
                <w:sz w:val="17"/>
              </w:rPr>
              <w:t>1.5</w:t>
            </w:r>
          </w:p>
        </w:tc>
        <w:tc>
          <w:tcPr>
            <w:tcW w:w="3294" w:type="dxa"/>
            <w:tcBorders>
              <w:top w:val="nil"/>
              <w:left w:val="nil"/>
              <w:bottom w:val="nil"/>
              <w:right w:val="nil"/>
            </w:tcBorders>
          </w:tcPr>
          <w:p w14:paraId="02177B5D"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59E460DF" w14:textId="77777777" w:rsidR="00D55061" w:rsidRDefault="00D55061" w:rsidP="00990BF4">
            <w:pPr>
              <w:spacing w:after="160" w:line="259" w:lineRule="auto"/>
              <w:jc w:val="left"/>
            </w:pPr>
          </w:p>
        </w:tc>
        <w:tc>
          <w:tcPr>
            <w:tcW w:w="1080" w:type="dxa"/>
            <w:tcBorders>
              <w:top w:val="nil"/>
              <w:left w:val="nil"/>
              <w:bottom w:val="nil"/>
              <w:right w:val="nil"/>
            </w:tcBorders>
          </w:tcPr>
          <w:p w14:paraId="29652CCC" w14:textId="77777777" w:rsidR="00D55061" w:rsidRDefault="00D55061" w:rsidP="00990BF4">
            <w:pPr>
              <w:spacing w:after="160" w:line="259" w:lineRule="auto"/>
              <w:jc w:val="left"/>
            </w:pPr>
          </w:p>
        </w:tc>
        <w:tc>
          <w:tcPr>
            <w:tcW w:w="645" w:type="dxa"/>
            <w:tcBorders>
              <w:top w:val="nil"/>
              <w:left w:val="nil"/>
              <w:bottom w:val="nil"/>
              <w:right w:val="nil"/>
            </w:tcBorders>
          </w:tcPr>
          <w:p w14:paraId="29745A2A" w14:textId="77777777" w:rsidR="00D55061" w:rsidRDefault="00D55061" w:rsidP="00990BF4">
            <w:pPr>
              <w:spacing w:after="160" w:line="259" w:lineRule="auto"/>
              <w:jc w:val="left"/>
            </w:pPr>
          </w:p>
        </w:tc>
      </w:tr>
      <w:tr w:rsidR="00D55061" w14:paraId="2407DAA9" w14:textId="77777777" w:rsidTr="00990BF4">
        <w:trPr>
          <w:trHeight w:val="318"/>
        </w:trPr>
        <w:tc>
          <w:tcPr>
            <w:tcW w:w="1960" w:type="dxa"/>
            <w:tcBorders>
              <w:top w:val="nil"/>
              <w:left w:val="nil"/>
              <w:bottom w:val="nil"/>
              <w:right w:val="nil"/>
            </w:tcBorders>
          </w:tcPr>
          <w:p w14:paraId="5DA975C9" w14:textId="77777777" w:rsidR="00D55061" w:rsidRDefault="00D55061" w:rsidP="00990BF4">
            <w:pPr>
              <w:spacing w:after="160" w:line="259" w:lineRule="auto"/>
              <w:jc w:val="left"/>
            </w:pPr>
          </w:p>
        </w:tc>
        <w:tc>
          <w:tcPr>
            <w:tcW w:w="1112" w:type="dxa"/>
            <w:tcBorders>
              <w:top w:val="nil"/>
              <w:left w:val="nil"/>
              <w:bottom w:val="nil"/>
              <w:right w:val="nil"/>
            </w:tcBorders>
          </w:tcPr>
          <w:p w14:paraId="4918761D" w14:textId="77777777" w:rsidR="00D55061" w:rsidRDefault="00D55061" w:rsidP="00990BF4">
            <w:pPr>
              <w:spacing w:after="0" w:line="259" w:lineRule="auto"/>
              <w:ind w:left="3"/>
              <w:jc w:val="left"/>
            </w:pPr>
            <w:r>
              <w:rPr>
                <w:sz w:val="17"/>
              </w:rPr>
              <w:t>19.28</w:t>
            </w:r>
          </w:p>
        </w:tc>
        <w:tc>
          <w:tcPr>
            <w:tcW w:w="894" w:type="dxa"/>
            <w:tcBorders>
              <w:top w:val="nil"/>
              <w:left w:val="nil"/>
              <w:bottom w:val="nil"/>
              <w:right w:val="nil"/>
            </w:tcBorders>
          </w:tcPr>
          <w:p w14:paraId="4A78050F"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7966F812"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7E47D2C1" w14:textId="77777777" w:rsidR="00D55061" w:rsidRDefault="00D55061" w:rsidP="00990BF4">
            <w:pPr>
              <w:spacing w:after="160" w:line="259" w:lineRule="auto"/>
              <w:jc w:val="left"/>
            </w:pPr>
          </w:p>
        </w:tc>
        <w:tc>
          <w:tcPr>
            <w:tcW w:w="1080" w:type="dxa"/>
            <w:tcBorders>
              <w:top w:val="nil"/>
              <w:left w:val="nil"/>
              <w:bottom w:val="nil"/>
              <w:right w:val="nil"/>
            </w:tcBorders>
          </w:tcPr>
          <w:p w14:paraId="246D3F02" w14:textId="77777777" w:rsidR="00D55061" w:rsidRDefault="00D55061" w:rsidP="00990BF4">
            <w:pPr>
              <w:spacing w:after="160" w:line="259" w:lineRule="auto"/>
              <w:jc w:val="left"/>
            </w:pPr>
          </w:p>
        </w:tc>
        <w:tc>
          <w:tcPr>
            <w:tcW w:w="645" w:type="dxa"/>
            <w:tcBorders>
              <w:top w:val="nil"/>
              <w:left w:val="nil"/>
              <w:bottom w:val="nil"/>
              <w:right w:val="nil"/>
            </w:tcBorders>
          </w:tcPr>
          <w:p w14:paraId="0E17042D" w14:textId="77777777" w:rsidR="00D55061" w:rsidRDefault="00D55061" w:rsidP="00990BF4">
            <w:pPr>
              <w:spacing w:after="160" w:line="259" w:lineRule="auto"/>
              <w:jc w:val="left"/>
            </w:pPr>
          </w:p>
        </w:tc>
      </w:tr>
      <w:tr w:rsidR="00D55061" w14:paraId="06359641" w14:textId="77777777" w:rsidTr="00990BF4">
        <w:trPr>
          <w:trHeight w:val="318"/>
        </w:trPr>
        <w:tc>
          <w:tcPr>
            <w:tcW w:w="1960" w:type="dxa"/>
            <w:tcBorders>
              <w:top w:val="nil"/>
              <w:left w:val="nil"/>
              <w:bottom w:val="nil"/>
              <w:right w:val="nil"/>
            </w:tcBorders>
          </w:tcPr>
          <w:p w14:paraId="5C5C5498" w14:textId="77777777" w:rsidR="00D55061" w:rsidRDefault="00D55061" w:rsidP="00990BF4">
            <w:pPr>
              <w:spacing w:after="160" w:line="259" w:lineRule="auto"/>
              <w:jc w:val="left"/>
            </w:pPr>
          </w:p>
        </w:tc>
        <w:tc>
          <w:tcPr>
            <w:tcW w:w="1112" w:type="dxa"/>
            <w:tcBorders>
              <w:top w:val="nil"/>
              <w:left w:val="nil"/>
              <w:bottom w:val="nil"/>
              <w:right w:val="nil"/>
            </w:tcBorders>
          </w:tcPr>
          <w:p w14:paraId="5D2624D5" w14:textId="77777777" w:rsidR="00D55061" w:rsidRDefault="00D55061" w:rsidP="00990BF4">
            <w:pPr>
              <w:spacing w:after="0" w:line="259" w:lineRule="auto"/>
              <w:ind w:left="3"/>
              <w:jc w:val="left"/>
            </w:pPr>
            <w:r>
              <w:rPr>
                <w:sz w:val="17"/>
              </w:rPr>
              <w:t>19.50</w:t>
            </w:r>
          </w:p>
        </w:tc>
        <w:tc>
          <w:tcPr>
            <w:tcW w:w="894" w:type="dxa"/>
            <w:tcBorders>
              <w:top w:val="nil"/>
              <w:left w:val="nil"/>
              <w:bottom w:val="nil"/>
              <w:right w:val="nil"/>
            </w:tcBorders>
          </w:tcPr>
          <w:p w14:paraId="1B5FE283"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48817AFB"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2A57BC49" w14:textId="77777777" w:rsidR="00D55061" w:rsidRDefault="00D55061" w:rsidP="00990BF4">
            <w:pPr>
              <w:spacing w:after="160" w:line="259" w:lineRule="auto"/>
              <w:jc w:val="left"/>
            </w:pPr>
          </w:p>
        </w:tc>
        <w:tc>
          <w:tcPr>
            <w:tcW w:w="1080" w:type="dxa"/>
            <w:tcBorders>
              <w:top w:val="nil"/>
              <w:left w:val="nil"/>
              <w:bottom w:val="nil"/>
              <w:right w:val="nil"/>
            </w:tcBorders>
          </w:tcPr>
          <w:p w14:paraId="02DF12D7" w14:textId="77777777" w:rsidR="00D55061" w:rsidRDefault="00D55061" w:rsidP="00990BF4">
            <w:pPr>
              <w:spacing w:after="160" w:line="259" w:lineRule="auto"/>
              <w:jc w:val="left"/>
            </w:pPr>
          </w:p>
        </w:tc>
        <w:tc>
          <w:tcPr>
            <w:tcW w:w="645" w:type="dxa"/>
            <w:tcBorders>
              <w:top w:val="nil"/>
              <w:left w:val="nil"/>
              <w:bottom w:val="nil"/>
              <w:right w:val="nil"/>
            </w:tcBorders>
          </w:tcPr>
          <w:p w14:paraId="42E27F2C" w14:textId="77777777" w:rsidR="00D55061" w:rsidRDefault="00D55061" w:rsidP="00990BF4">
            <w:pPr>
              <w:spacing w:after="160" w:line="259" w:lineRule="auto"/>
              <w:jc w:val="left"/>
            </w:pPr>
          </w:p>
        </w:tc>
      </w:tr>
      <w:tr w:rsidR="00D55061" w14:paraId="285BE9AE" w14:textId="77777777" w:rsidTr="00990BF4">
        <w:trPr>
          <w:trHeight w:val="318"/>
        </w:trPr>
        <w:tc>
          <w:tcPr>
            <w:tcW w:w="1960" w:type="dxa"/>
            <w:tcBorders>
              <w:top w:val="nil"/>
              <w:left w:val="nil"/>
              <w:bottom w:val="nil"/>
              <w:right w:val="nil"/>
            </w:tcBorders>
          </w:tcPr>
          <w:p w14:paraId="50D1E8DF" w14:textId="77777777" w:rsidR="00D55061" w:rsidRDefault="00D55061" w:rsidP="00990BF4">
            <w:pPr>
              <w:spacing w:after="160" w:line="259" w:lineRule="auto"/>
              <w:jc w:val="left"/>
            </w:pPr>
          </w:p>
        </w:tc>
        <w:tc>
          <w:tcPr>
            <w:tcW w:w="1112" w:type="dxa"/>
            <w:tcBorders>
              <w:top w:val="nil"/>
              <w:left w:val="nil"/>
              <w:bottom w:val="nil"/>
              <w:right w:val="nil"/>
            </w:tcBorders>
          </w:tcPr>
          <w:p w14:paraId="1FDF81C3" w14:textId="77777777" w:rsidR="00D55061" w:rsidRDefault="00D55061" w:rsidP="00990BF4">
            <w:pPr>
              <w:spacing w:after="0" w:line="259" w:lineRule="auto"/>
              <w:ind w:left="3"/>
              <w:jc w:val="left"/>
            </w:pPr>
            <w:r>
              <w:rPr>
                <w:sz w:val="17"/>
              </w:rPr>
              <w:t>21.08</w:t>
            </w:r>
          </w:p>
        </w:tc>
        <w:tc>
          <w:tcPr>
            <w:tcW w:w="894" w:type="dxa"/>
            <w:tcBorders>
              <w:top w:val="nil"/>
              <w:left w:val="nil"/>
              <w:bottom w:val="nil"/>
              <w:right w:val="nil"/>
            </w:tcBorders>
          </w:tcPr>
          <w:p w14:paraId="5C81EC02" w14:textId="77777777" w:rsidR="00D55061" w:rsidRDefault="00D55061" w:rsidP="00990BF4">
            <w:pPr>
              <w:spacing w:after="0" w:line="259" w:lineRule="auto"/>
              <w:ind w:left="2"/>
              <w:jc w:val="left"/>
            </w:pPr>
            <w:r>
              <w:rPr>
                <w:sz w:val="17"/>
              </w:rPr>
              <w:t>2.4</w:t>
            </w:r>
          </w:p>
        </w:tc>
        <w:tc>
          <w:tcPr>
            <w:tcW w:w="3294" w:type="dxa"/>
            <w:tcBorders>
              <w:top w:val="nil"/>
              <w:left w:val="nil"/>
              <w:bottom w:val="nil"/>
              <w:right w:val="nil"/>
            </w:tcBorders>
          </w:tcPr>
          <w:p w14:paraId="7F47DE37" w14:textId="77777777" w:rsidR="00D55061" w:rsidRDefault="00D55061" w:rsidP="00990BF4">
            <w:pPr>
              <w:spacing w:after="0" w:line="259" w:lineRule="auto"/>
              <w:ind w:left="1"/>
              <w:jc w:val="left"/>
            </w:pPr>
            <w:r>
              <w:rPr>
                <w:sz w:val="17"/>
              </w:rPr>
              <w:t>Unknown</w:t>
            </w:r>
          </w:p>
        </w:tc>
        <w:tc>
          <w:tcPr>
            <w:tcW w:w="880" w:type="dxa"/>
            <w:tcBorders>
              <w:top w:val="nil"/>
              <w:left w:val="nil"/>
              <w:bottom w:val="nil"/>
              <w:right w:val="nil"/>
            </w:tcBorders>
          </w:tcPr>
          <w:p w14:paraId="0324EDDA" w14:textId="77777777" w:rsidR="00D55061" w:rsidRDefault="00D55061" w:rsidP="00990BF4">
            <w:pPr>
              <w:spacing w:after="160" w:line="259" w:lineRule="auto"/>
              <w:jc w:val="left"/>
            </w:pPr>
          </w:p>
        </w:tc>
        <w:tc>
          <w:tcPr>
            <w:tcW w:w="1080" w:type="dxa"/>
            <w:tcBorders>
              <w:top w:val="nil"/>
              <w:left w:val="nil"/>
              <w:bottom w:val="nil"/>
              <w:right w:val="nil"/>
            </w:tcBorders>
          </w:tcPr>
          <w:p w14:paraId="3AC58010" w14:textId="77777777" w:rsidR="00D55061" w:rsidRDefault="00D55061" w:rsidP="00990BF4">
            <w:pPr>
              <w:spacing w:after="160" w:line="259" w:lineRule="auto"/>
              <w:jc w:val="left"/>
            </w:pPr>
          </w:p>
        </w:tc>
        <w:tc>
          <w:tcPr>
            <w:tcW w:w="645" w:type="dxa"/>
            <w:tcBorders>
              <w:top w:val="nil"/>
              <w:left w:val="nil"/>
              <w:bottom w:val="nil"/>
              <w:right w:val="nil"/>
            </w:tcBorders>
          </w:tcPr>
          <w:p w14:paraId="45CEC4AD" w14:textId="77777777" w:rsidR="00D55061" w:rsidRDefault="00D55061" w:rsidP="00990BF4">
            <w:pPr>
              <w:spacing w:after="160" w:line="259" w:lineRule="auto"/>
              <w:jc w:val="left"/>
            </w:pPr>
          </w:p>
        </w:tc>
      </w:tr>
      <w:tr w:rsidR="00D55061" w14:paraId="48382901" w14:textId="77777777" w:rsidTr="00990BF4">
        <w:trPr>
          <w:trHeight w:val="317"/>
        </w:trPr>
        <w:tc>
          <w:tcPr>
            <w:tcW w:w="1960" w:type="dxa"/>
            <w:tcBorders>
              <w:top w:val="nil"/>
              <w:left w:val="nil"/>
              <w:bottom w:val="single" w:sz="5" w:space="0" w:color="000000"/>
              <w:right w:val="nil"/>
            </w:tcBorders>
          </w:tcPr>
          <w:p w14:paraId="692080F7" w14:textId="77777777" w:rsidR="00D55061" w:rsidRDefault="00D55061" w:rsidP="00990BF4">
            <w:pPr>
              <w:spacing w:after="160" w:line="259" w:lineRule="auto"/>
              <w:jc w:val="left"/>
            </w:pPr>
          </w:p>
        </w:tc>
        <w:tc>
          <w:tcPr>
            <w:tcW w:w="1112" w:type="dxa"/>
            <w:tcBorders>
              <w:top w:val="nil"/>
              <w:left w:val="nil"/>
              <w:bottom w:val="single" w:sz="5" w:space="0" w:color="000000"/>
              <w:right w:val="nil"/>
            </w:tcBorders>
          </w:tcPr>
          <w:p w14:paraId="1F006BE2" w14:textId="77777777" w:rsidR="00D55061" w:rsidRDefault="00D55061" w:rsidP="00990BF4">
            <w:pPr>
              <w:spacing w:after="0" w:line="259" w:lineRule="auto"/>
              <w:ind w:left="3"/>
              <w:jc w:val="left"/>
            </w:pPr>
            <w:r>
              <w:rPr>
                <w:sz w:val="17"/>
              </w:rPr>
              <w:t>24.23</w:t>
            </w:r>
          </w:p>
        </w:tc>
        <w:tc>
          <w:tcPr>
            <w:tcW w:w="894" w:type="dxa"/>
            <w:tcBorders>
              <w:top w:val="nil"/>
              <w:left w:val="nil"/>
              <w:bottom w:val="single" w:sz="5" w:space="0" w:color="000000"/>
              <w:right w:val="nil"/>
            </w:tcBorders>
          </w:tcPr>
          <w:p w14:paraId="6E378302" w14:textId="77777777" w:rsidR="00D55061" w:rsidRDefault="00D55061" w:rsidP="00990BF4">
            <w:pPr>
              <w:spacing w:after="0" w:line="259" w:lineRule="auto"/>
              <w:ind w:left="2"/>
              <w:jc w:val="left"/>
            </w:pPr>
            <w:r>
              <w:rPr>
                <w:sz w:val="17"/>
              </w:rPr>
              <w:t>2.4</w:t>
            </w:r>
          </w:p>
        </w:tc>
        <w:tc>
          <w:tcPr>
            <w:tcW w:w="3294" w:type="dxa"/>
            <w:tcBorders>
              <w:top w:val="nil"/>
              <w:left w:val="nil"/>
              <w:bottom w:val="single" w:sz="5" w:space="0" w:color="000000"/>
              <w:right w:val="nil"/>
            </w:tcBorders>
          </w:tcPr>
          <w:p w14:paraId="62A9CF9F" w14:textId="77777777" w:rsidR="00D55061" w:rsidRDefault="00D55061" w:rsidP="00990BF4">
            <w:pPr>
              <w:spacing w:after="0" w:line="259" w:lineRule="auto"/>
              <w:ind w:left="2"/>
              <w:jc w:val="left"/>
            </w:pPr>
            <w:r>
              <w:rPr>
                <w:sz w:val="17"/>
              </w:rPr>
              <w:t>2-Methoxy-4-vinylphenol</w:t>
            </w:r>
          </w:p>
        </w:tc>
        <w:tc>
          <w:tcPr>
            <w:tcW w:w="880" w:type="dxa"/>
            <w:tcBorders>
              <w:top w:val="nil"/>
              <w:left w:val="nil"/>
              <w:bottom w:val="single" w:sz="5" w:space="0" w:color="000000"/>
              <w:right w:val="nil"/>
            </w:tcBorders>
          </w:tcPr>
          <w:p w14:paraId="278EF62F" w14:textId="77777777" w:rsidR="00D55061" w:rsidRDefault="00D55061" w:rsidP="00990BF4">
            <w:pPr>
              <w:spacing w:after="0" w:line="259" w:lineRule="auto"/>
              <w:ind w:left="1"/>
              <w:jc w:val="left"/>
            </w:pPr>
            <w:r>
              <w:rPr>
                <w:sz w:val="17"/>
              </w:rPr>
              <w:t>854</w:t>
            </w:r>
          </w:p>
        </w:tc>
        <w:tc>
          <w:tcPr>
            <w:tcW w:w="1080" w:type="dxa"/>
            <w:tcBorders>
              <w:top w:val="nil"/>
              <w:left w:val="nil"/>
              <w:bottom w:val="single" w:sz="5" w:space="0" w:color="000000"/>
              <w:right w:val="nil"/>
            </w:tcBorders>
          </w:tcPr>
          <w:p w14:paraId="3287205F" w14:textId="77777777" w:rsidR="00D55061" w:rsidRDefault="00D55061" w:rsidP="00990BF4">
            <w:pPr>
              <w:spacing w:after="0" w:line="259" w:lineRule="auto"/>
              <w:ind w:left="1"/>
              <w:jc w:val="left"/>
            </w:pPr>
            <w:r>
              <w:rPr>
                <w:sz w:val="17"/>
              </w:rPr>
              <w:t>1276</w:t>
            </w:r>
          </w:p>
        </w:tc>
        <w:tc>
          <w:tcPr>
            <w:tcW w:w="645" w:type="dxa"/>
            <w:tcBorders>
              <w:top w:val="nil"/>
              <w:left w:val="nil"/>
              <w:bottom w:val="single" w:sz="5" w:space="0" w:color="000000"/>
              <w:right w:val="nil"/>
            </w:tcBorders>
          </w:tcPr>
          <w:p w14:paraId="04F1B84E" w14:textId="77777777" w:rsidR="00D55061" w:rsidRDefault="00D55061" w:rsidP="00990BF4">
            <w:pPr>
              <w:spacing w:after="0" w:line="259" w:lineRule="auto"/>
              <w:ind w:left="1"/>
              <w:jc w:val="left"/>
            </w:pPr>
            <w:r>
              <w:rPr>
                <w:sz w:val="17"/>
              </w:rPr>
              <w:t>1285</w:t>
            </w:r>
          </w:p>
        </w:tc>
      </w:tr>
    </w:tbl>
    <w:p w14:paraId="22507312" w14:textId="77777777" w:rsidR="00D55061" w:rsidRDefault="00D55061" w:rsidP="00D55061">
      <w:pPr>
        <w:spacing w:after="688" w:line="255" w:lineRule="auto"/>
        <w:ind w:left="-2"/>
      </w:pPr>
      <w:r>
        <w:rPr>
          <w:sz w:val="17"/>
          <w:vertAlign w:val="superscript"/>
        </w:rPr>
        <w:t>*</w:t>
      </w:r>
      <w:r>
        <w:rPr>
          <w:sz w:val="17"/>
        </w:rPr>
        <w:t xml:space="preserve"> NIST RI calculation based on a semi-standard non-polar column</w:t>
      </w:r>
    </w:p>
    <w:p w14:paraId="7267CA17" w14:textId="77777777" w:rsidR="00D55061" w:rsidRDefault="00D55061" w:rsidP="00DE5450"/>
    <w:p w14:paraId="1E294087" w14:textId="77777777" w:rsidR="00D55061" w:rsidRDefault="00D55061" w:rsidP="00D55061">
      <w:pPr>
        <w:pStyle w:val="Heading2"/>
        <w:ind w:left="8"/>
      </w:pPr>
      <w:r>
        <w:t>Classification of brewed coffee based on the capsule material</w:t>
      </w:r>
    </w:p>
    <w:p w14:paraId="2F9D473F" w14:textId="77777777" w:rsidR="00D55061" w:rsidRDefault="00D55061" w:rsidP="00D55061">
      <w:pPr>
        <w:ind w:left="8"/>
      </w:pPr>
      <w:r>
        <w:t>The ability to obtain an appropriate classification of the samples depending on their packaging, i.e., biodegradable capsules, aluminum capsules, and multilayer aluminum packaging, was also investigated.</w:t>
      </w:r>
    </w:p>
    <w:p w14:paraId="66C9C417" w14:textId="5CBD0A84" w:rsidR="00D55061" w:rsidRDefault="00D55061" w:rsidP="00D55061">
      <w:pPr>
        <w:ind w:left="-2" w:firstLine="227"/>
      </w:pPr>
      <w:r>
        <w:t>MCT-SPME-MV was not tested further as it provided almost superimposable results to HS-SPME-SV</w:t>
      </w:r>
      <w:r>
        <w:t xml:space="preserve"> </w:t>
      </w:r>
      <w:r>
        <w:t xml:space="preserve">(Fig. </w:t>
      </w:r>
      <w:r>
        <w:rPr>
          <w:color w:val="0000FF"/>
        </w:rPr>
        <w:t>1</w:t>
      </w:r>
      <w:r>
        <w:t>(B)). However, MCT-SPME-SV would be expected to bring more useful information than MCT-</w:t>
      </w:r>
      <w:r>
        <w:lastRenderedPageBreak/>
        <w:t>SPME-MV [</w:t>
      </w:r>
      <w:r>
        <w:rPr>
          <w:color w:val="0000FF"/>
        </w:rPr>
        <w:t>26</w:t>
      </w:r>
      <w:r>
        <w:t xml:space="preserve">, </w:t>
      </w:r>
      <w:r>
        <w:rPr>
          <w:color w:val="0000FF"/>
        </w:rPr>
        <w:t>28</w:t>
      </w:r>
      <w:r>
        <w:t>]. Therefore, only MCT-HiSorb, MCT-SPME-SV, and the previously studied single-extraction HiSorb were considered for comparison purposes through PCA.</w:t>
      </w:r>
    </w:p>
    <w:p w14:paraId="65748450" w14:textId="77777777" w:rsidR="00D55061" w:rsidRDefault="00D55061" w:rsidP="00D55061">
      <w:pPr>
        <w:ind w:left="-2" w:firstLine="227"/>
      </w:pPr>
      <w:r>
        <w:t>Comprehensive GC × GC–MS analysis is a very powerful tool when dealing with complex samples because of the wide range of information that can be obtained for each sample. However, the volume and complexity of the acquired data require the use of specific software for its interpretation. To reduce complexity, the top 30 most important features were selected for each of the data sets.</w:t>
      </w:r>
    </w:p>
    <w:p w14:paraId="4204E8B9" w14:textId="77777777" w:rsidR="00D55061" w:rsidRDefault="00D55061" w:rsidP="00D55061">
      <w:pPr>
        <w:ind w:left="-2" w:firstLine="227"/>
      </w:pPr>
      <w:r>
        <w:t xml:space="preserve">The selected features were used to explore the discrimination capacity of each of the proposed MCT techniques regarding coffee packaging by means of PCA. In all cases, the first three components accounted for more than 80% of the explained variance, while the following ones fell below 5%. Figure </w:t>
      </w:r>
      <w:r>
        <w:rPr>
          <w:color w:val="0000FF"/>
        </w:rPr>
        <w:t>3</w:t>
      </w:r>
      <w:r>
        <w:t xml:space="preserve"> shows the corresponding 3D score plots for PC1, PC2, and PC3 for each case, and Table </w:t>
      </w:r>
      <w:r>
        <w:rPr>
          <w:color w:val="0000FF"/>
        </w:rPr>
        <w:t>1</w:t>
      </w:r>
      <w:r>
        <w:t xml:space="preserve"> summarizes the explained variance of each component.</w:t>
      </w:r>
    </w:p>
    <w:p w14:paraId="5160DE1E" w14:textId="77777777" w:rsidR="00D55061" w:rsidRDefault="00D55061" w:rsidP="00D55061">
      <w:pPr>
        <w:ind w:left="-2" w:firstLine="227"/>
      </w:pPr>
      <w:r>
        <w:t>PCA analysis showed differences among the coffee packaging types, with samples from the biodegradable capsule being more easily differentiated than those from the other two types in all tested conditions. Samples from the biodegradable capsule packaging are more easily differentiated than the other two classes in all the conditions tested.</w:t>
      </w:r>
    </w:p>
    <w:p w14:paraId="0C3607BB" w14:textId="77777777" w:rsidR="00D55061" w:rsidRDefault="00D55061" w:rsidP="00D55061">
      <w:pPr>
        <w:ind w:left="-2" w:firstLine="227"/>
      </w:pPr>
      <w:r>
        <w:t>Although none of the extraction techniques achieved complete discrimination of the three classes of samples by packaging, the PCA plot for MCT-HiSorb shows an overall better discrimination among classes.</w:t>
      </w:r>
    </w:p>
    <w:p w14:paraId="0FD35AD1" w14:textId="77777777" w:rsidR="00D55061" w:rsidRDefault="00D55061" w:rsidP="00D55061">
      <w:pPr>
        <w:ind w:left="-2" w:firstLine="227"/>
      </w:pPr>
      <w:r>
        <w:t>Such a trend can be explained by considering the higher capacity of the solid phase in the HiSorb probe. This allows for the extraction of a wider range of analytes (</w:t>
      </w:r>
      <w:proofErr w:type="gramStart"/>
      <w:r>
        <w:t>in particular the</w:t>
      </w:r>
      <w:proofErr w:type="gramEnd"/>
      <w:r>
        <w:t xml:space="preserve"> more polar and less volatile ones) and suggests that a higher recovery paired with a wider variety of extracted analytes is needed to increase the discrimination capacity of the extraction technique.</w:t>
      </w:r>
    </w:p>
    <w:p w14:paraId="3A4FBB26" w14:textId="77777777" w:rsidR="00D55061" w:rsidRDefault="00D55061" w:rsidP="00D55061">
      <w:pPr>
        <w:spacing w:after="498"/>
        <w:ind w:left="-2" w:firstLine="227"/>
      </w:pPr>
      <w:r>
        <w:t xml:space="preserve">The different selected features were tentatively identified (see Table </w:t>
      </w:r>
      <w:r>
        <w:rPr>
          <w:color w:val="0000FF"/>
        </w:rPr>
        <w:t>2</w:t>
      </w:r>
      <w:r>
        <w:t>). Six components were reported to decrease due to oxidation; i.e., 2,3-pentandione, 2-methoxy-phenol, 2-methoxy-4-vinylphenol (that are 3 potent odorants [</w:t>
      </w:r>
      <w:r>
        <w:rPr>
          <w:color w:val="0000FF"/>
        </w:rPr>
        <w:t>36</w:t>
      </w:r>
      <w:r>
        <w:t>]), 1-(2-furanylmethyl)-1H-pyrrole-, N-acetyl4(H)-pyridine, and 1-(2-furanyl)-ethanone (previously found also in [</w:t>
      </w:r>
      <w:r>
        <w:rPr>
          <w:color w:val="0000FF"/>
        </w:rPr>
        <w:t>37</w:t>
      </w:r>
      <w:r>
        <w:t>–</w:t>
      </w:r>
      <w:r>
        <w:rPr>
          <w:color w:val="0000FF"/>
        </w:rPr>
        <w:t>41</w:t>
      </w:r>
      <w:r>
        <w:t>]) were found in smaller amounts in the biodegradable cap samples than in the other samples. However, 2-methoxy-4-vinylphenol was also reported to increase with storage time [</w:t>
      </w:r>
      <w:r>
        <w:rPr>
          <w:color w:val="0000FF"/>
        </w:rPr>
        <w:t>40</w:t>
      </w:r>
      <w:r>
        <w:t xml:space="preserve">, </w:t>
      </w:r>
      <w:r>
        <w:rPr>
          <w:color w:val="0000FF"/>
        </w:rPr>
        <w:t>41</w:t>
      </w:r>
      <w:r>
        <w:t>]. Furfural was present at a higher concentration in the biodegradable cap sample than in the others. Furfural is an oxidation product of furfuryl alcohol reported to increase with the storage time [</w:t>
      </w:r>
      <w:r>
        <w:rPr>
          <w:color w:val="0000FF"/>
        </w:rPr>
        <w:t>37</w:t>
      </w:r>
      <w:r>
        <w:t xml:space="preserve">, </w:t>
      </w:r>
      <w:r>
        <w:rPr>
          <w:color w:val="0000FF"/>
        </w:rPr>
        <w:t>42</w:t>
      </w:r>
      <w:r>
        <w:t>]. The biodegradable capsules are made of cellulosic material, permeable to air and oxygen, differently from the other two categories of samples. The characteristics of the capsules explain the differences in the volatile profile, characterized mainly by oxidation and a loss of odorants in the biodegradable capsules. Similar results were previously reported analyzing the grounded coffee within different types of capsules [</w:t>
      </w:r>
      <w:r>
        <w:rPr>
          <w:color w:val="0000FF"/>
        </w:rPr>
        <w:t>37</w:t>
      </w:r>
      <w:r>
        <w:t>] [</w:t>
      </w:r>
      <w:r>
        <w:rPr>
          <w:color w:val="0000FF"/>
        </w:rPr>
        <w:t>38</w:t>
      </w:r>
      <w:r>
        <w:t xml:space="preserve">]. Here, we show that the same trends can be translated into the final product, i.e., </w:t>
      </w:r>
      <w:proofErr w:type="gramStart"/>
      <w:r>
        <w:t>the brewed</w:t>
      </w:r>
      <w:proofErr w:type="gramEnd"/>
      <w:r>
        <w:t xml:space="preserve"> coffee.</w:t>
      </w:r>
    </w:p>
    <w:p w14:paraId="1FCB75A0" w14:textId="77777777" w:rsidR="00D55061" w:rsidRDefault="00D55061" w:rsidP="00D55061">
      <w:pPr>
        <w:pStyle w:val="Heading1"/>
        <w:ind w:left="8"/>
      </w:pPr>
      <w:r>
        <w:lastRenderedPageBreak/>
        <w:t>Conclusion</w:t>
      </w:r>
    </w:p>
    <w:p w14:paraId="5B6C4647" w14:textId="77777777" w:rsidR="00D55061" w:rsidRDefault="00D55061" w:rsidP="00D55061">
      <w:pPr>
        <w:ind w:left="8"/>
      </w:pPr>
      <w:r>
        <w:t>In the present paper, the comparison between HiSorb and SPME was performed using both single extraction and shorter MCT extractions. The use of the MCT approach resulted in a higher number of compounds extracted (targeted analysis) and allowed capturing useful information when the fingerprinting approach (untargeted analysis) was applied. Furthermore, the MCT-SPME extraction approach showed similar results to those obtained with HiSorb used in the single-extraction mode. Nevertheless, the use of HiSorb showed a clear advantage in the extraction of less volatile compounds compared to SPME. The employment of the extraction techniques described throughout this manuscript applied to a cross-sample comparison allowed easily discriminating coffee brewed in a compostable capsule from the other two brewing capsule materials, regardless of the tool used, mainly due to the presence of oxidation markers transferred to the brewed drink. However, MCT-HiSorb showed overall better discrimination across the classes of brewed coffee materials.</w:t>
      </w:r>
    </w:p>
    <w:p w14:paraId="63D0F2C0" w14:textId="77777777" w:rsidR="00D55061" w:rsidRDefault="00D55061" w:rsidP="00D55061">
      <w:pPr>
        <w:spacing w:after="155"/>
        <w:ind w:left="-2" w:firstLine="227"/>
      </w:pPr>
      <w:r>
        <w:t>It is important to highlight that the coatings of the two extraction tools used here, SPME and HiSorb, were not comparable, with DVB/CAR/PDMS for the first one and PDMS for the latter. New coatings for HiSorb have only recently been made commercially available. In a future scenario, it will be very interesting to evaluate their behavior with relevant food applications.</w:t>
      </w:r>
    </w:p>
    <w:p w14:paraId="61FD8B3C" w14:textId="77777777" w:rsidR="00D55061" w:rsidRDefault="00D55061" w:rsidP="00D55061">
      <w:pPr>
        <w:spacing w:after="194" w:line="255" w:lineRule="auto"/>
        <w:ind w:left="-2"/>
      </w:pPr>
      <w:r>
        <w:rPr>
          <w:rFonts w:cs="Calibri"/>
          <w:b/>
          <w:sz w:val="17"/>
        </w:rPr>
        <w:t>Acknowledgements</w:t>
      </w:r>
      <w:r>
        <w:rPr>
          <w:sz w:val="17"/>
        </w:rPr>
        <w:t xml:space="preserve"> The authors thank Shimadzu, Markes, SepSolve, and MilliporeSigma for their support. This article is based upon work from the Sample Preparation Study Group and Network, supported by the Division of Analytical Chemistry of the European Chemical Society.</w:t>
      </w:r>
    </w:p>
    <w:p w14:paraId="56D374AE" w14:textId="77777777" w:rsidR="00D55061" w:rsidRDefault="00D55061" w:rsidP="00D55061">
      <w:pPr>
        <w:spacing w:after="242" w:line="255" w:lineRule="auto"/>
        <w:ind w:left="-2"/>
      </w:pPr>
      <w:r>
        <w:rPr>
          <w:rFonts w:cs="Calibri"/>
          <w:b/>
          <w:sz w:val="17"/>
        </w:rPr>
        <w:t>Funding</w:t>
      </w:r>
      <w:r>
        <w:rPr>
          <w:sz w:val="17"/>
        </w:rPr>
        <w:t xml:space="preserve"> Natasha Damiana Spadafora benefits from funding of the program PON “Research and Innovation” 2014–2020 (PON R&amp;I), Action IV.6 “Contratti di ricerca su tematiche Green.”</w:t>
      </w:r>
    </w:p>
    <w:p w14:paraId="09302908" w14:textId="77777777" w:rsidR="00D55061" w:rsidRDefault="00D55061" w:rsidP="00D55061">
      <w:pPr>
        <w:spacing w:after="117" w:line="259" w:lineRule="auto"/>
        <w:ind w:left="8"/>
        <w:jc w:val="left"/>
      </w:pPr>
      <w:r>
        <w:rPr>
          <w:rFonts w:cs="Calibri"/>
          <w:b/>
        </w:rPr>
        <w:t xml:space="preserve">Declarations </w:t>
      </w:r>
    </w:p>
    <w:p w14:paraId="17A2C803" w14:textId="77777777" w:rsidR="00D55061" w:rsidRDefault="00D55061" w:rsidP="00D55061">
      <w:pPr>
        <w:spacing w:after="4" w:line="255" w:lineRule="auto"/>
        <w:ind w:left="-2"/>
      </w:pPr>
      <w:r>
        <w:rPr>
          <w:rFonts w:cs="Calibri"/>
          <w:b/>
          <w:sz w:val="17"/>
        </w:rPr>
        <w:t>Conflict of interest</w:t>
      </w:r>
      <w:r>
        <w:rPr>
          <w:sz w:val="17"/>
        </w:rPr>
        <w:t xml:space="preserve"> </w:t>
      </w:r>
      <w:proofErr w:type="gramStart"/>
      <w:r>
        <w:rPr>
          <w:sz w:val="17"/>
        </w:rPr>
        <w:t>The</w:t>
      </w:r>
      <w:proofErr w:type="gramEnd"/>
      <w:r>
        <w:rPr>
          <w:sz w:val="17"/>
        </w:rPr>
        <w:t xml:space="preserve"> authors declare no competing interests.</w:t>
      </w:r>
    </w:p>
    <w:p w14:paraId="488E824B" w14:textId="77777777" w:rsidR="00D55061" w:rsidRDefault="00D55061" w:rsidP="00DE5450"/>
    <w:p w14:paraId="73FC9EA3" w14:textId="77777777" w:rsidR="00D55061" w:rsidRDefault="00D55061" w:rsidP="00D55061">
      <w:pPr>
        <w:pStyle w:val="Heading1"/>
        <w:spacing w:after="134"/>
        <w:ind w:left="8"/>
      </w:pPr>
      <w:r>
        <w:rPr>
          <w:noProof/>
          <w:sz w:val="22"/>
        </w:rPr>
        <mc:AlternateContent>
          <mc:Choice Requires="wpg">
            <w:drawing>
              <wp:anchor distT="0" distB="0" distL="114300" distR="114300" simplePos="0" relativeHeight="251663360" behindDoc="0" locked="0" layoutInCell="1" allowOverlap="1" wp14:anchorId="4216B473" wp14:editId="7C1564B5">
                <wp:simplePos x="0" y="0"/>
                <wp:positionH relativeFrom="page">
                  <wp:posOffset>648000</wp:posOffset>
                </wp:positionH>
                <wp:positionV relativeFrom="page">
                  <wp:posOffset>572526</wp:posOffset>
                </wp:positionV>
                <wp:extent cx="6263996" cy="12598"/>
                <wp:effectExtent l="0" t="0" r="0" b="0"/>
                <wp:wrapTopAndBottom/>
                <wp:docPr id="21355" name="Group 21355"/>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1381" name="Shape 1381"/>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1F5777" id="Group 21355" o:spid="_x0000_s1026" style="position:absolute;margin-left:51pt;margin-top:45.1pt;width:493.25pt;height:1pt;z-index:251663360;mso-position-horizontal-relative:page;mso-position-vertical-relative:page" coordsize="626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">
                <v:shape id="Shape 1381" o:spid="_x0000_s1027" style="position:absolute;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" path="m,l6263996,e" filled="f" strokeweight=".34994mm">
                  <v:stroke miterlimit="1" joinstyle="miter"/>
                  <v:path arrowok="t" textboxrect="0,0,6263996,0"/>
                </v:shape>
                <w10:wrap type="topAndBottom" anchorx="page" anchory="page"/>
              </v:group>
            </w:pict>
          </mc:Fallback>
        </mc:AlternateContent>
      </w:r>
      <w:r>
        <w:t>References</w:t>
      </w:r>
    </w:p>
    <w:p w14:paraId="3D5EC5B5" w14:textId="77777777" w:rsidR="00D55061" w:rsidRDefault="00D55061" w:rsidP="00D55061">
      <w:pPr>
        <w:numPr>
          <w:ilvl w:val="0"/>
          <w:numId w:val="6"/>
        </w:numPr>
        <w:spacing w:after="4" w:line="255" w:lineRule="auto"/>
        <w:ind w:hanging="340"/>
      </w:pPr>
      <w:r>
        <w:rPr>
          <w:sz w:val="17"/>
        </w:rPr>
        <w:t xml:space="preserve">Souza-Silva ÉA, Reyes-Garcés N, Gómez-Ríos GA, Boyaci E, Bojko B, Pawliszyn J. A critical review of the state of the art of </w:t>
      </w:r>
      <w:proofErr w:type="gramStart"/>
      <w:r>
        <w:rPr>
          <w:sz w:val="17"/>
        </w:rPr>
        <w:t>solid-phase</w:t>
      </w:r>
      <w:proofErr w:type="gramEnd"/>
      <w:r>
        <w:rPr>
          <w:sz w:val="17"/>
        </w:rPr>
        <w:t xml:space="preserve"> microextraction of complex matrices III. Bioanalytical and clinical applications. TrAC - Trends Anal Chem. </w:t>
      </w:r>
      <w:proofErr w:type="gramStart"/>
      <w:r>
        <w:rPr>
          <w:sz w:val="17"/>
        </w:rPr>
        <w:t>2015;71:249</w:t>
      </w:r>
      <w:proofErr w:type="gramEnd"/>
      <w:r>
        <w:rPr>
          <w:sz w:val="17"/>
        </w:rPr>
        <w:t xml:space="preserve">–64. </w:t>
      </w:r>
      <w:hyperlink r:id="rId22">
        <w:r>
          <w:rPr>
            <w:color w:val="0000FF"/>
            <w:sz w:val="17"/>
          </w:rPr>
          <w:t>https:// doi. org/ 10. 1016/j. trac. 2015. 04. 017</w:t>
        </w:r>
      </w:hyperlink>
      <w:hyperlink r:id="rId23">
        <w:r>
          <w:rPr>
            <w:sz w:val="17"/>
          </w:rPr>
          <w:t>.</w:t>
        </w:r>
      </w:hyperlink>
    </w:p>
    <w:p w14:paraId="77D37935" w14:textId="77777777" w:rsidR="00D55061" w:rsidRDefault="00D55061" w:rsidP="00D55061">
      <w:pPr>
        <w:numPr>
          <w:ilvl w:val="0"/>
          <w:numId w:val="6"/>
        </w:numPr>
        <w:spacing w:after="4" w:line="255" w:lineRule="auto"/>
        <w:ind w:hanging="340"/>
      </w:pPr>
      <w:r>
        <w:rPr>
          <w:sz w:val="17"/>
        </w:rPr>
        <w:t xml:space="preserve">Roszkowska A, Miękus N, Bączek T. Application of solidphase microextraction in current biomedical research. J Sep Sci. </w:t>
      </w:r>
      <w:proofErr w:type="gramStart"/>
      <w:r>
        <w:rPr>
          <w:sz w:val="17"/>
        </w:rPr>
        <w:t>2019;42:285</w:t>
      </w:r>
      <w:proofErr w:type="gramEnd"/>
      <w:r>
        <w:rPr>
          <w:sz w:val="17"/>
        </w:rPr>
        <w:t xml:space="preserve">–302. </w:t>
      </w:r>
      <w:hyperlink r:id="rId24">
        <w:r>
          <w:rPr>
            <w:color w:val="0000FF"/>
            <w:sz w:val="17"/>
          </w:rPr>
          <w:t>https:// doi. org/ 10. 1002/ jssc. 20180 0785</w:t>
        </w:r>
      </w:hyperlink>
      <w:hyperlink r:id="rId25">
        <w:r>
          <w:rPr>
            <w:sz w:val="17"/>
          </w:rPr>
          <w:t>.</w:t>
        </w:r>
      </w:hyperlink>
    </w:p>
    <w:p w14:paraId="06DDD8E6" w14:textId="77777777" w:rsidR="00D55061" w:rsidRDefault="00D55061" w:rsidP="00D55061">
      <w:pPr>
        <w:numPr>
          <w:ilvl w:val="0"/>
          <w:numId w:val="6"/>
        </w:numPr>
        <w:spacing w:after="4" w:line="255" w:lineRule="auto"/>
        <w:ind w:hanging="340"/>
      </w:pPr>
      <w:r>
        <w:rPr>
          <w:sz w:val="17"/>
        </w:rPr>
        <w:t xml:space="preserve">Souza-Silva ÉA, Gionfriddo E, Pawliszyn J. A critical review of the state of the art of </w:t>
      </w:r>
      <w:proofErr w:type="gramStart"/>
      <w:r>
        <w:rPr>
          <w:sz w:val="17"/>
        </w:rPr>
        <w:t>solid-phase</w:t>
      </w:r>
      <w:proofErr w:type="gramEnd"/>
      <w:r>
        <w:rPr>
          <w:sz w:val="17"/>
        </w:rPr>
        <w:t xml:space="preserve"> microextraction of complex matrices II. Food analysis. TrAC - Trends Anal Chem. </w:t>
      </w:r>
    </w:p>
    <w:p w14:paraId="07D69FBD" w14:textId="77777777" w:rsidR="00D55061" w:rsidRDefault="00D55061" w:rsidP="00D55061">
      <w:pPr>
        <w:spacing w:after="0" w:line="259" w:lineRule="auto"/>
        <w:ind w:left="43"/>
        <w:jc w:val="center"/>
      </w:pPr>
      <w:proofErr w:type="gramStart"/>
      <w:r>
        <w:rPr>
          <w:sz w:val="17"/>
        </w:rPr>
        <w:t>2015;71:236</w:t>
      </w:r>
      <w:proofErr w:type="gramEnd"/>
      <w:r>
        <w:rPr>
          <w:sz w:val="17"/>
        </w:rPr>
        <w:t xml:space="preserve">–48. </w:t>
      </w:r>
      <w:hyperlink r:id="rId26">
        <w:r>
          <w:rPr>
            <w:color w:val="0000FF"/>
            <w:sz w:val="17"/>
          </w:rPr>
          <w:t>https:// doi. org/ 10. 1016/j. trac. 2015. 04. 018</w:t>
        </w:r>
      </w:hyperlink>
      <w:hyperlink r:id="rId27">
        <w:r>
          <w:rPr>
            <w:sz w:val="17"/>
          </w:rPr>
          <w:t>.</w:t>
        </w:r>
      </w:hyperlink>
    </w:p>
    <w:p w14:paraId="4FBAC145" w14:textId="77777777" w:rsidR="00D55061" w:rsidRDefault="00D55061" w:rsidP="00D55061">
      <w:pPr>
        <w:numPr>
          <w:ilvl w:val="0"/>
          <w:numId w:val="6"/>
        </w:numPr>
        <w:spacing w:after="4" w:line="255" w:lineRule="auto"/>
        <w:ind w:hanging="340"/>
      </w:pPr>
      <w:r>
        <w:rPr>
          <w:sz w:val="17"/>
        </w:rPr>
        <w:t xml:space="preserve">Llompart M, Celeiro M, García-Jares C, Dagnac T. Environmental applications of solid-phase microextraction. TrAC - Trends Anal Chem. </w:t>
      </w:r>
      <w:proofErr w:type="gramStart"/>
      <w:r>
        <w:rPr>
          <w:sz w:val="17"/>
        </w:rPr>
        <w:t>2019;112:1</w:t>
      </w:r>
      <w:proofErr w:type="gramEnd"/>
      <w:r>
        <w:rPr>
          <w:sz w:val="17"/>
        </w:rPr>
        <w:t xml:space="preserve">–12. </w:t>
      </w:r>
      <w:hyperlink r:id="rId28">
        <w:r>
          <w:rPr>
            <w:color w:val="0000FF"/>
            <w:sz w:val="17"/>
          </w:rPr>
          <w:t>https://d oi.org/1 0</w:t>
        </w:r>
      </w:hyperlink>
      <w:hyperlink r:id="rId29">
        <w:r>
          <w:rPr>
            <w:color w:val="0000FF"/>
            <w:sz w:val="17"/>
          </w:rPr>
          <w:t xml:space="preserve"> </w:t>
        </w:r>
      </w:hyperlink>
      <w:hyperlink r:id="rId30">
        <w:r>
          <w:rPr>
            <w:color w:val="0000FF"/>
            <w:sz w:val="17"/>
          </w:rPr>
          <w:t>.1016</w:t>
        </w:r>
      </w:hyperlink>
      <w:hyperlink r:id="rId31">
        <w:r>
          <w:rPr>
            <w:color w:val="0000FF"/>
            <w:sz w:val="17"/>
          </w:rPr>
          <w:t xml:space="preserve"> </w:t>
        </w:r>
      </w:hyperlink>
      <w:hyperlink r:id="rId32">
        <w:r>
          <w:rPr>
            <w:color w:val="0000FF"/>
            <w:sz w:val="17"/>
          </w:rPr>
          <w:t>/j.t rac.</w:t>
        </w:r>
      </w:hyperlink>
      <w:hyperlink r:id="rId33">
        <w:r>
          <w:rPr>
            <w:color w:val="0000FF"/>
            <w:sz w:val="17"/>
          </w:rPr>
          <w:t>2018.1 2</w:t>
        </w:r>
      </w:hyperlink>
      <w:hyperlink r:id="rId34">
        <w:r>
          <w:rPr>
            <w:color w:val="0000FF"/>
            <w:sz w:val="17"/>
          </w:rPr>
          <w:t xml:space="preserve"> </w:t>
        </w:r>
      </w:hyperlink>
      <w:hyperlink r:id="rId35">
        <w:r>
          <w:rPr>
            <w:color w:val="0000FF"/>
            <w:sz w:val="17"/>
          </w:rPr>
          <w:t>.02</w:t>
        </w:r>
      </w:hyperlink>
      <w:hyperlink r:id="rId36">
        <w:r>
          <w:rPr>
            <w:color w:val="0000FF"/>
            <w:sz w:val="17"/>
          </w:rPr>
          <w:t xml:space="preserve"> </w:t>
        </w:r>
      </w:hyperlink>
      <w:hyperlink r:id="rId37">
        <w:r>
          <w:rPr>
            <w:color w:val="0000FF"/>
            <w:sz w:val="17"/>
          </w:rPr>
          <w:t>0</w:t>
        </w:r>
      </w:hyperlink>
      <w:r>
        <w:rPr>
          <w:sz w:val="17"/>
        </w:rPr>
        <w:t>.</w:t>
      </w:r>
    </w:p>
    <w:p w14:paraId="4A9542F7" w14:textId="77777777" w:rsidR="00D55061" w:rsidRDefault="00D55061" w:rsidP="00D55061">
      <w:pPr>
        <w:numPr>
          <w:ilvl w:val="0"/>
          <w:numId w:val="6"/>
        </w:numPr>
        <w:spacing w:after="4" w:line="255" w:lineRule="auto"/>
        <w:ind w:hanging="340"/>
      </w:pPr>
      <w:r>
        <w:rPr>
          <w:sz w:val="17"/>
        </w:rPr>
        <w:t xml:space="preserve">Xu CH, Chen GS, Xiong ZH, Fan YX, Wang XC, Liu Y. Applications of </w:t>
      </w:r>
      <w:proofErr w:type="gramStart"/>
      <w:r>
        <w:rPr>
          <w:sz w:val="17"/>
        </w:rPr>
        <w:t>solid-phase</w:t>
      </w:r>
      <w:proofErr w:type="gramEnd"/>
      <w:r>
        <w:rPr>
          <w:sz w:val="17"/>
        </w:rPr>
        <w:t xml:space="preserve"> microextraction in food analysis. TrAC - Trends Anal Chem. </w:t>
      </w:r>
      <w:proofErr w:type="gramStart"/>
      <w:r>
        <w:rPr>
          <w:sz w:val="17"/>
        </w:rPr>
        <w:t>2016;80:12</w:t>
      </w:r>
      <w:proofErr w:type="gramEnd"/>
      <w:r>
        <w:rPr>
          <w:sz w:val="17"/>
        </w:rPr>
        <w:t xml:space="preserve">–29. </w:t>
      </w:r>
      <w:hyperlink r:id="rId38">
        <w:r>
          <w:rPr>
            <w:color w:val="0000FF"/>
            <w:sz w:val="17"/>
          </w:rPr>
          <w:t>https://d oi.org/1 0</w:t>
        </w:r>
      </w:hyperlink>
      <w:hyperlink r:id="rId39">
        <w:r>
          <w:rPr>
            <w:color w:val="0000FF"/>
            <w:sz w:val="17"/>
          </w:rPr>
          <w:t xml:space="preserve"> </w:t>
        </w:r>
      </w:hyperlink>
      <w:hyperlink r:id="rId40">
        <w:r>
          <w:rPr>
            <w:color w:val="0000FF"/>
            <w:sz w:val="17"/>
          </w:rPr>
          <w:t>.1016</w:t>
        </w:r>
      </w:hyperlink>
      <w:hyperlink r:id="rId41">
        <w:r>
          <w:rPr>
            <w:color w:val="0000FF"/>
            <w:sz w:val="17"/>
          </w:rPr>
          <w:t xml:space="preserve"> </w:t>
        </w:r>
      </w:hyperlink>
      <w:hyperlink r:id="rId42">
        <w:r>
          <w:rPr>
            <w:color w:val="0000FF"/>
            <w:sz w:val="17"/>
          </w:rPr>
          <w:t>/j.t rac.</w:t>
        </w:r>
      </w:hyperlink>
      <w:r>
        <w:rPr>
          <w:color w:val="0000FF"/>
          <w:sz w:val="17"/>
        </w:rPr>
        <w:t xml:space="preserve"> </w:t>
      </w:r>
      <w:hyperlink r:id="rId43">
        <w:r>
          <w:rPr>
            <w:color w:val="0000FF"/>
            <w:sz w:val="17"/>
          </w:rPr>
          <w:t>2016. 02. 022</w:t>
        </w:r>
      </w:hyperlink>
      <w:r>
        <w:rPr>
          <w:sz w:val="17"/>
        </w:rPr>
        <w:t>.</w:t>
      </w:r>
    </w:p>
    <w:p w14:paraId="5B36E1D5" w14:textId="77777777" w:rsidR="00D55061" w:rsidRDefault="00D55061" w:rsidP="00D55061">
      <w:pPr>
        <w:numPr>
          <w:ilvl w:val="0"/>
          <w:numId w:val="6"/>
        </w:numPr>
        <w:spacing w:after="4" w:line="255" w:lineRule="auto"/>
        <w:ind w:hanging="340"/>
      </w:pPr>
      <w:r>
        <w:rPr>
          <w:sz w:val="17"/>
        </w:rPr>
        <w:t xml:space="preserve">Tranchida PQ, Maimone M, Purcaro G, Dugo P, Mondello L. The penetration of green sample-preparation techniques in comprehensive two-dimensional gas chromatography. TrAC - Trends Anal Chem. </w:t>
      </w:r>
      <w:proofErr w:type="gramStart"/>
      <w:r>
        <w:rPr>
          <w:sz w:val="17"/>
        </w:rPr>
        <w:t>2015;71:74</w:t>
      </w:r>
      <w:proofErr w:type="gramEnd"/>
      <w:r>
        <w:rPr>
          <w:sz w:val="17"/>
        </w:rPr>
        <w:t xml:space="preserve">–84. </w:t>
      </w:r>
      <w:hyperlink r:id="rId44">
        <w:r>
          <w:rPr>
            <w:color w:val="0000FF"/>
            <w:sz w:val="17"/>
          </w:rPr>
          <w:t>https://d oi.org/1 0</w:t>
        </w:r>
      </w:hyperlink>
      <w:hyperlink r:id="rId45">
        <w:r>
          <w:rPr>
            <w:color w:val="0000FF"/>
            <w:sz w:val="17"/>
          </w:rPr>
          <w:t xml:space="preserve"> </w:t>
        </w:r>
      </w:hyperlink>
      <w:hyperlink r:id="rId46">
        <w:r>
          <w:rPr>
            <w:color w:val="0000FF"/>
            <w:sz w:val="17"/>
          </w:rPr>
          <w:t>.1016</w:t>
        </w:r>
      </w:hyperlink>
      <w:hyperlink r:id="rId47">
        <w:r>
          <w:rPr>
            <w:color w:val="0000FF"/>
            <w:sz w:val="17"/>
          </w:rPr>
          <w:t xml:space="preserve"> </w:t>
        </w:r>
      </w:hyperlink>
      <w:hyperlink r:id="rId48">
        <w:r>
          <w:rPr>
            <w:color w:val="0000FF"/>
            <w:sz w:val="17"/>
          </w:rPr>
          <w:t>/j.t rac.</w:t>
        </w:r>
      </w:hyperlink>
      <w:hyperlink r:id="rId49">
        <w:r>
          <w:rPr>
            <w:color w:val="0000FF"/>
            <w:sz w:val="17"/>
          </w:rPr>
          <w:t>2015.0 3</w:t>
        </w:r>
      </w:hyperlink>
      <w:hyperlink r:id="rId50">
        <w:r>
          <w:rPr>
            <w:color w:val="0000FF"/>
            <w:sz w:val="17"/>
          </w:rPr>
          <w:t xml:space="preserve"> </w:t>
        </w:r>
      </w:hyperlink>
      <w:hyperlink r:id="rId51">
        <w:r>
          <w:rPr>
            <w:color w:val="0000FF"/>
            <w:sz w:val="17"/>
          </w:rPr>
          <w:t>.01</w:t>
        </w:r>
      </w:hyperlink>
      <w:hyperlink r:id="rId52">
        <w:r>
          <w:rPr>
            <w:color w:val="0000FF"/>
            <w:sz w:val="17"/>
          </w:rPr>
          <w:t xml:space="preserve"> </w:t>
        </w:r>
      </w:hyperlink>
      <w:hyperlink r:id="rId53">
        <w:r>
          <w:rPr>
            <w:color w:val="0000FF"/>
            <w:sz w:val="17"/>
          </w:rPr>
          <w:t>1</w:t>
        </w:r>
      </w:hyperlink>
      <w:r>
        <w:rPr>
          <w:sz w:val="17"/>
        </w:rPr>
        <w:t>.</w:t>
      </w:r>
    </w:p>
    <w:p w14:paraId="63829BFE" w14:textId="77777777" w:rsidR="00D55061" w:rsidRDefault="00D55061" w:rsidP="00D55061">
      <w:pPr>
        <w:numPr>
          <w:ilvl w:val="0"/>
          <w:numId w:val="6"/>
        </w:numPr>
        <w:spacing w:after="4" w:line="255" w:lineRule="auto"/>
        <w:ind w:hanging="340"/>
      </w:pPr>
      <w:r>
        <w:rPr>
          <w:sz w:val="17"/>
        </w:rPr>
        <w:t xml:space="preserve">Tranchida PQ, Purcaro G, Maimone M, Mondello L. Impact of comprehensive two-dimensional gas chromatography with mass spectrometry on food analysis. J Sep Sci. </w:t>
      </w:r>
      <w:proofErr w:type="gramStart"/>
      <w:r>
        <w:rPr>
          <w:sz w:val="17"/>
        </w:rPr>
        <w:t>2016;39:149</w:t>
      </w:r>
      <w:proofErr w:type="gramEnd"/>
      <w:r>
        <w:rPr>
          <w:sz w:val="17"/>
        </w:rPr>
        <w:t xml:space="preserve">–61. </w:t>
      </w:r>
      <w:hyperlink r:id="rId54">
        <w:r>
          <w:rPr>
            <w:color w:val="0000FF"/>
            <w:sz w:val="17"/>
          </w:rPr>
          <w:t>https://</w:t>
        </w:r>
      </w:hyperlink>
      <w:r>
        <w:rPr>
          <w:color w:val="0000FF"/>
          <w:sz w:val="17"/>
        </w:rPr>
        <w:t xml:space="preserve"> </w:t>
      </w:r>
      <w:hyperlink r:id="rId55">
        <w:r>
          <w:rPr>
            <w:color w:val="0000FF"/>
            <w:sz w:val="17"/>
          </w:rPr>
          <w:t>doi. org/ 10. 1002/ jssc. 20150 0379</w:t>
        </w:r>
      </w:hyperlink>
      <w:r>
        <w:rPr>
          <w:sz w:val="17"/>
        </w:rPr>
        <w:t>.</w:t>
      </w:r>
    </w:p>
    <w:p w14:paraId="24A74388" w14:textId="77777777" w:rsidR="00D55061" w:rsidRDefault="00D55061" w:rsidP="00D55061">
      <w:pPr>
        <w:numPr>
          <w:ilvl w:val="0"/>
          <w:numId w:val="6"/>
        </w:numPr>
        <w:spacing w:after="4" w:line="255" w:lineRule="auto"/>
        <w:ind w:hanging="340"/>
      </w:pPr>
      <w:r>
        <w:rPr>
          <w:sz w:val="17"/>
        </w:rPr>
        <w:lastRenderedPageBreak/>
        <w:t>Pawliszyn J. Handbook of solid phase microextraction, first. London: Elsevier Inc.; 2012.</w:t>
      </w:r>
    </w:p>
    <w:p w14:paraId="3FD66D3B" w14:textId="77777777" w:rsidR="00D55061" w:rsidRDefault="00D55061" w:rsidP="00D55061">
      <w:pPr>
        <w:numPr>
          <w:ilvl w:val="0"/>
          <w:numId w:val="6"/>
        </w:numPr>
        <w:spacing w:after="4" w:line="255" w:lineRule="auto"/>
        <w:ind w:hanging="340"/>
      </w:pPr>
      <w:r>
        <w:rPr>
          <w:sz w:val="17"/>
        </w:rPr>
        <w:t xml:space="preserve">Baltussen E, Sandra P, David F, Cramers C. Stir bar sorptive extraction (SBSE), a novel extraction technique for aqueous samples: theory and principles. J Microcolumn Sep. </w:t>
      </w:r>
      <w:proofErr w:type="gramStart"/>
      <w:r>
        <w:rPr>
          <w:sz w:val="17"/>
        </w:rPr>
        <w:t>1999;11:737</w:t>
      </w:r>
      <w:proofErr w:type="gramEnd"/>
      <w:r>
        <w:rPr>
          <w:sz w:val="17"/>
        </w:rPr>
        <w:t xml:space="preserve">–47. </w:t>
      </w:r>
      <w:hyperlink r:id="rId56">
        <w:r>
          <w:rPr>
            <w:color w:val="0000FF"/>
            <w:sz w:val="17"/>
          </w:rPr>
          <w:t>https:// doi. org/ 10. 1002/ (SICI) 1520-</w:t>
        </w:r>
      </w:hyperlink>
      <w:r>
        <w:rPr>
          <w:color w:val="0000FF"/>
          <w:sz w:val="17"/>
        </w:rPr>
        <w:t xml:space="preserve"> </w:t>
      </w:r>
      <w:hyperlink r:id="rId57">
        <w:r>
          <w:rPr>
            <w:color w:val="0000FF"/>
            <w:sz w:val="17"/>
          </w:rPr>
          <w:t>667X(1999) 11: 10% 3c737:: AID- MCS7% 3e3.0. CO;2-4</w:t>
        </w:r>
      </w:hyperlink>
      <w:r>
        <w:rPr>
          <w:sz w:val="17"/>
        </w:rPr>
        <w:t>.</w:t>
      </w:r>
    </w:p>
    <w:p w14:paraId="20294C73" w14:textId="77777777" w:rsidR="00D55061" w:rsidRDefault="00D55061" w:rsidP="00D55061">
      <w:pPr>
        <w:numPr>
          <w:ilvl w:val="0"/>
          <w:numId w:val="6"/>
        </w:numPr>
        <w:spacing w:after="4" w:line="255" w:lineRule="auto"/>
        <w:ind w:hanging="340"/>
      </w:pPr>
      <w:r>
        <w:rPr>
          <w:sz w:val="17"/>
        </w:rPr>
        <w:t xml:space="preserve">Kremser A, Jochmann MA, Schmidt TC. PAL SPME Arrow - evaluation of a novel solid-phase microextraction device for freely dissolved PAHs in water. Anal Bioanal Chem. </w:t>
      </w:r>
      <w:proofErr w:type="gramStart"/>
      <w:r>
        <w:rPr>
          <w:sz w:val="17"/>
        </w:rPr>
        <w:t>2016;408:943</w:t>
      </w:r>
      <w:proofErr w:type="gramEnd"/>
      <w:r>
        <w:rPr>
          <w:sz w:val="17"/>
        </w:rPr>
        <w:t xml:space="preserve">–52. </w:t>
      </w:r>
      <w:hyperlink r:id="rId58">
        <w:r>
          <w:rPr>
            <w:color w:val="0000FF"/>
            <w:sz w:val="17"/>
          </w:rPr>
          <w:t>https://d oi.org/1 0</w:t>
        </w:r>
      </w:hyperlink>
      <w:hyperlink r:id="rId59">
        <w:r>
          <w:rPr>
            <w:color w:val="0000FF"/>
            <w:sz w:val="17"/>
          </w:rPr>
          <w:t xml:space="preserve"> </w:t>
        </w:r>
      </w:hyperlink>
      <w:hyperlink r:id="rId60">
        <w:r>
          <w:rPr>
            <w:color w:val="0000FF"/>
            <w:sz w:val="17"/>
          </w:rPr>
          <w:t>.1007</w:t>
        </w:r>
      </w:hyperlink>
      <w:hyperlink r:id="rId61">
        <w:r>
          <w:rPr>
            <w:color w:val="0000FF"/>
            <w:sz w:val="17"/>
          </w:rPr>
          <w:t xml:space="preserve"> </w:t>
        </w:r>
      </w:hyperlink>
      <w:hyperlink r:id="rId62">
        <w:r>
          <w:rPr>
            <w:color w:val="0000FF"/>
            <w:sz w:val="17"/>
          </w:rPr>
          <w:t>/s 00216-015-9 187-</w:t>
        </w:r>
      </w:hyperlink>
      <w:hyperlink r:id="rId63">
        <w:r>
          <w:rPr>
            <w:color w:val="0000FF"/>
            <w:sz w:val="17"/>
          </w:rPr>
          <w:t xml:space="preserve"> </w:t>
        </w:r>
      </w:hyperlink>
      <w:hyperlink r:id="rId64">
        <w:r>
          <w:rPr>
            <w:color w:val="0000FF"/>
            <w:sz w:val="17"/>
          </w:rPr>
          <w:t>z</w:t>
        </w:r>
      </w:hyperlink>
      <w:r>
        <w:rPr>
          <w:sz w:val="17"/>
        </w:rPr>
        <w:t>.</w:t>
      </w:r>
    </w:p>
    <w:p w14:paraId="6B668D59" w14:textId="77777777" w:rsidR="00D55061" w:rsidRDefault="00D55061" w:rsidP="00D55061">
      <w:pPr>
        <w:numPr>
          <w:ilvl w:val="0"/>
          <w:numId w:val="6"/>
        </w:numPr>
        <w:spacing w:after="4" w:line="255" w:lineRule="auto"/>
        <w:ind w:hanging="340"/>
      </w:pPr>
      <w:r>
        <w:rPr>
          <w:sz w:val="17"/>
        </w:rPr>
        <w:t xml:space="preserve">Helin A, Rönkkö T, Parshintsev J, Hartonen K, Schilling B, Läubli T, Riekkola ML. Solid phase microextraction Arrow for the sampling of volatile amines in wastewater and atmosphere. J Chromatogr A. </w:t>
      </w:r>
      <w:proofErr w:type="gramStart"/>
      <w:r>
        <w:rPr>
          <w:sz w:val="17"/>
        </w:rPr>
        <w:t>2015;1426:56</w:t>
      </w:r>
      <w:proofErr w:type="gramEnd"/>
      <w:r>
        <w:rPr>
          <w:sz w:val="17"/>
        </w:rPr>
        <w:t xml:space="preserve">–63. </w:t>
      </w:r>
      <w:hyperlink r:id="rId65">
        <w:r>
          <w:rPr>
            <w:color w:val="0000FF"/>
            <w:sz w:val="17"/>
          </w:rPr>
          <w:t>https:// doi. org/ 10. 1016/j.</w:t>
        </w:r>
      </w:hyperlink>
      <w:r>
        <w:rPr>
          <w:color w:val="0000FF"/>
          <w:sz w:val="17"/>
        </w:rPr>
        <w:t xml:space="preserve"> </w:t>
      </w:r>
      <w:hyperlink r:id="rId66">
        <w:r>
          <w:rPr>
            <w:color w:val="0000FF"/>
            <w:sz w:val="17"/>
          </w:rPr>
          <w:t>chroma. 2015. 11. 061</w:t>
        </w:r>
      </w:hyperlink>
      <w:r>
        <w:rPr>
          <w:sz w:val="17"/>
        </w:rPr>
        <w:t>.</w:t>
      </w:r>
    </w:p>
    <w:p w14:paraId="58498AAA" w14:textId="77777777" w:rsidR="00D55061" w:rsidRDefault="00D55061" w:rsidP="00D55061">
      <w:pPr>
        <w:numPr>
          <w:ilvl w:val="0"/>
          <w:numId w:val="7"/>
        </w:numPr>
        <w:spacing w:after="4" w:line="255" w:lineRule="auto"/>
        <w:ind w:hanging="176"/>
      </w:pPr>
      <w:r>
        <w:rPr>
          <w:sz w:val="17"/>
        </w:rPr>
        <w:t xml:space="preserve">. Herrington JS, Gómez-Ríos GA, Myers C, Stidsen G, Bell DS (2020) Hunting molecules in complex matrices with spme arrows: a review. Separations 7: </w:t>
      </w:r>
      <w:hyperlink r:id="rId67">
        <w:r>
          <w:rPr>
            <w:color w:val="0000FF"/>
            <w:sz w:val="17"/>
          </w:rPr>
          <w:t>https:// doi. org/ 10. 3390/ separ</w:t>
        </w:r>
      </w:hyperlink>
      <w:r>
        <w:rPr>
          <w:color w:val="0000FF"/>
          <w:sz w:val="17"/>
        </w:rPr>
        <w:t xml:space="preserve"> </w:t>
      </w:r>
      <w:hyperlink r:id="rId68">
        <w:r>
          <w:rPr>
            <w:color w:val="0000FF"/>
            <w:sz w:val="17"/>
          </w:rPr>
          <w:t>ation s7010 012.</w:t>
        </w:r>
      </w:hyperlink>
    </w:p>
    <w:p w14:paraId="18597500" w14:textId="77777777" w:rsidR="00D55061" w:rsidRDefault="00D55061" w:rsidP="00D55061">
      <w:pPr>
        <w:numPr>
          <w:ilvl w:val="0"/>
          <w:numId w:val="7"/>
        </w:numPr>
        <w:spacing w:after="4" w:line="255" w:lineRule="auto"/>
        <w:ind w:hanging="176"/>
      </w:pPr>
      <w:r>
        <w:rPr>
          <w:sz w:val="17"/>
        </w:rPr>
        <w:t>. Scheuler KH, Schilling C. Extraction device. US patent US20140220701A1. 2014.</w:t>
      </w:r>
    </w:p>
    <w:p w14:paraId="3AEA414A" w14:textId="77777777" w:rsidR="00D55061" w:rsidRDefault="00D55061" w:rsidP="00D55061">
      <w:pPr>
        <w:numPr>
          <w:ilvl w:val="0"/>
          <w:numId w:val="8"/>
        </w:numPr>
        <w:spacing w:after="4" w:line="255" w:lineRule="auto"/>
        <w:ind w:hanging="340"/>
      </w:pPr>
      <w:r>
        <w:rPr>
          <w:sz w:val="17"/>
        </w:rPr>
        <w:t xml:space="preserve">Faulkner H, O’Callaghan TF, McAuliffe S, Hennessy D, Stanton C, O’Sullivan MG, Kerry JP, Kilcawley KN. Effect of different forage types on the volatile and sensory properties of bovine milk. J Dairy Sci. </w:t>
      </w:r>
      <w:proofErr w:type="gramStart"/>
      <w:r>
        <w:rPr>
          <w:sz w:val="17"/>
        </w:rPr>
        <w:t>2018;101:1034</w:t>
      </w:r>
      <w:proofErr w:type="gramEnd"/>
      <w:r>
        <w:rPr>
          <w:sz w:val="17"/>
        </w:rPr>
        <w:t xml:space="preserve">–47. </w:t>
      </w:r>
      <w:hyperlink r:id="rId69">
        <w:r>
          <w:rPr>
            <w:color w:val="0000FF"/>
            <w:sz w:val="17"/>
          </w:rPr>
          <w:t>https:// doi. org/ 10. 3168/</w:t>
        </w:r>
      </w:hyperlink>
      <w:r>
        <w:rPr>
          <w:color w:val="0000FF"/>
          <w:sz w:val="17"/>
        </w:rPr>
        <w:t xml:space="preserve"> </w:t>
      </w:r>
      <w:hyperlink r:id="rId70">
        <w:r>
          <w:rPr>
            <w:color w:val="0000FF"/>
            <w:sz w:val="17"/>
          </w:rPr>
          <w:t>jds. 2017- 13141</w:t>
        </w:r>
      </w:hyperlink>
      <w:r>
        <w:rPr>
          <w:sz w:val="17"/>
        </w:rPr>
        <w:t>.</w:t>
      </w:r>
    </w:p>
    <w:p w14:paraId="47D787E1" w14:textId="77777777" w:rsidR="00D55061" w:rsidRDefault="00D55061" w:rsidP="00D55061">
      <w:pPr>
        <w:numPr>
          <w:ilvl w:val="0"/>
          <w:numId w:val="8"/>
        </w:numPr>
        <w:spacing w:after="4" w:line="255" w:lineRule="auto"/>
        <w:ind w:hanging="340"/>
      </w:pPr>
      <w:r>
        <w:rPr>
          <w:sz w:val="17"/>
        </w:rPr>
        <w:t xml:space="preserve">Hearn L, Cole R, Spadafora ND, Szafnauer R. Volatile and semi-volatile compounds in flavoured hard seltzer beverages: comparison of </w:t>
      </w:r>
      <w:proofErr w:type="gramStart"/>
      <w:r>
        <w:rPr>
          <w:sz w:val="17"/>
        </w:rPr>
        <w:t>high-capacity</w:t>
      </w:r>
      <w:proofErr w:type="gramEnd"/>
      <w:r>
        <w:rPr>
          <w:sz w:val="17"/>
        </w:rPr>
        <w:t xml:space="preserve"> sorptive extraction (HiSorb) methods. Adv Sample Prep. </w:t>
      </w:r>
      <w:proofErr w:type="gramStart"/>
      <w:r>
        <w:rPr>
          <w:sz w:val="17"/>
        </w:rPr>
        <w:t>2022;3:100032</w:t>
      </w:r>
      <w:proofErr w:type="gramEnd"/>
      <w:r>
        <w:rPr>
          <w:sz w:val="17"/>
        </w:rPr>
        <w:t xml:space="preserve">. </w:t>
      </w:r>
      <w:hyperlink r:id="rId71">
        <w:r>
          <w:rPr>
            <w:color w:val="0000FF"/>
            <w:sz w:val="17"/>
          </w:rPr>
          <w:t>https://d oi.org/1 0</w:t>
        </w:r>
      </w:hyperlink>
      <w:hyperlink r:id="rId72">
        <w:r>
          <w:rPr>
            <w:color w:val="0000FF"/>
            <w:sz w:val="17"/>
          </w:rPr>
          <w:t xml:space="preserve"> </w:t>
        </w:r>
      </w:hyperlink>
      <w:hyperlink r:id="rId73">
        <w:r>
          <w:rPr>
            <w:color w:val="0000FF"/>
            <w:sz w:val="17"/>
          </w:rPr>
          <w:t>.</w:t>
        </w:r>
      </w:hyperlink>
      <w:r>
        <w:rPr>
          <w:color w:val="0000FF"/>
          <w:sz w:val="17"/>
        </w:rPr>
        <w:t xml:space="preserve"> </w:t>
      </w:r>
      <w:hyperlink r:id="rId74">
        <w:r>
          <w:rPr>
            <w:color w:val="0000FF"/>
            <w:sz w:val="17"/>
          </w:rPr>
          <w:t>1016/j. sampre. 2022. 100032</w:t>
        </w:r>
      </w:hyperlink>
      <w:r>
        <w:rPr>
          <w:sz w:val="17"/>
        </w:rPr>
        <w:t>.</w:t>
      </w:r>
    </w:p>
    <w:p w14:paraId="32848DF8" w14:textId="77777777" w:rsidR="00D55061" w:rsidRDefault="00D55061" w:rsidP="00D55061">
      <w:pPr>
        <w:spacing w:after="4" w:line="255" w:lineRule="auto"/>
        <w:ind w:left="348" w:hanging="350"/>
      </w:pPr>
      <w:proofErr w:type="gramStart"/>
      <w:r>
        <w:rPr>
          <w:sz w:val="17"/>
        </w:rPr>
        <w:t>16 .</w:t>
      </w:r>
      <w:proofErr w:type="gramEnd"/>
      <w:r>
        <w:rPr>
          <w:sz w:val="17"/>
        </w:rPr>
        <w:t xml:space="preserve"> Wilcockson JB, Gobas FAPC. Thin-film solid-phase extraction to measure fugacities of organic chemicals with low volatility in biological samples. Environ Sci Technol. </w:t>
      </w:r>
      <w:proofErr w:type="gramStart"/>
      <w:r>
        <w:rPr>
          <w:sz w:val="17"/>
        </w:rPr>
        <w:t>2001;35:1425</w:t>
      </w:r>
      <w:proofErr w:type="gramEnd"/>
      <w:r>
        <w:rPr>
          <w:sz w:val="17"/>
        </w:rPr>
        <w:t xml:space="preserve">–31. </w:t>
      </w:r>
      <w:hyperlink r:id="rId75">
        <w:r>
          <w:rPr>
            <w:color w:val="0000FF"/>
            <w:sz w:val="17"/>
          </w:rPr>
          <w:t>https:// doi. org/ 10. 1021/ es001 561t</w:t>
        </w:r>
      </w:hyperlink>
      <w:r>
        <w:rPr>
          <w:sz w:val="17"/>
        </w:rPr>
        <w:t>.</w:t>
      </w:r>
    </w:p>
    <w:p w14:paraId="224724A8" w14:textId="77777777" w:rsidR="00D55061" w:rsidRDefault="00D55061" w:rsidP="00D55061">
      <w:pPr>
        <w:numPr>
          <w:ilvl w:val="0"/>
          <w:numId w:val="9"/>
        </w:numPr>
        <w:spacing w:after="4" w:line="255" w:lineRule="auto"/>
        <w:ind w:hanging="340"/>
      </w:pPr>
      <w:r>
        <w:rPr>
          <w:sz w:val="17"/>
        </w:rPr>
        <w:t xml:space="preserve">Reyes-Garcés N, Gionfriddo E, Gómez-Ríos GA, Alam MN, Boyacı E, Bojko B, Singh V, Grandy J, Pawliszyn J. Advances in solid phase microextraction and perspective on future directions. Anal Chem. </w:t>
      </w:r>
      <w:proofErr w:type="gramStart"/>
      <w:r>
        <w:rPr>
          <w:sz w:val="17"/>
        </w:rPr>
        <w:t>2018;90:302</w:t>
      </w:r>
      <w:proofErr w:type="gramEnd"/>
      <w:r>
        <w:rPr>
          <w:sz w:val="17"/>
        </w:rPr>
        <w:t xml:space="preserve">–60. </w:t>
      </w:r>
      <w:hyperlink r:id="rId76">
        <w:r>
          <w:rPr>
            <w:color w:val="0000FF"/>
            <w:sz w:val="17"/>
          </w:rPr>
          <w:t>https:// doi. org/ 10. 1021/ acs. analc</w:t>
        </w:r>
      </w:hyperlink>
      <w:r>
        <w:rPr>
          <w:color w:val="0000FF"/>
          <w:sz w:val="17"/>
        </w:rPr>
        <w:t xml:space="preserve"> </w:t>
      </w:r>
      <w:hyperlink r:id="rId77">
        <w:r>
          <w:rPr>
            <w:color w:val="0000FF"/>
            <w:sz w:val="17"/>
          </w:rPr>
          <w:t>hem. 7b045 02</w:t>
        </w:r>
      </w:hyperlink>
      <w:r>
        <w:rPr>
          <w:sz w:val="17"/>
        </w:rPr>
        <w:t>.</w:t>
      </w:r>
    </w:p>
    <w:p w14:paraId="1E561866" w14:textId="77777777" w:rsidR="00D55061" w:rsidRDefault="00D55061" w:rsidP="00D55061">
      <w:pPr>
        <w:numPr>
          <w:ilvl w:val="0"/>
          <w:numId w:val="9"/>
        </w:numPr>
        <w:spacing w:after="4" w:line="255" w:lineRule="auto"/>
        <w:ind w:hanging="340"/>
      </w:pPr>
      <w:r>
        <w:rPr>
          <w:sz w:val="17"/>
        </w:rPr>
        <w:t xml:space="preserve">Olcer YA, Tascon M, Eroglu AE, Boyacı E. Thin film microextraction: towards faster and more sensitive microextraction. TrAC - Trends Anal Chem. </w:t>
      </w:r>
      <w:proofErr w:type="gramStart"/>
      <w:r>
        <w:rPr>
          <w:sz w:val="17"/>
        </w:rPr>
        <w:t>2019;113:93</w:t>
      </w:r>
      <w:proofErr w:type="gramEnd"/>
      <w:r>
        <w:rPr>
          <w:sz w:val="17"/>
        </w:rPr>
        <w:t xml:space="preserve">–101. </w:t>
      </w:r>
      <w:hyperlink r:id="rId78">
        <w:r>
          <w:rPr>
            <w:color w:val="0000FF"/>
            <w:sz w:val="17"/>
          </w:rPr>
          <w:t>https:// doi. org/ 10. 1016/j. trac. 2019. 01. 022</w:t>
        </w:r>
      </w:hyperlink>
      <w:r>
        <w:rPr>
          <w:sz w:val="17"/>
        </w:rPr>
        <w:t>.</w:t>
      </w:r>
    </w:p>
    <w:p w14:paraId="67F2D2F3" w14:textId="77777777" w:rsidR="00D55061" w:rsidRDefault="00D55061" w:rsidP="00D55061">
      <w:pPr>
        <w:numPr>
          <w:ilvl w:val="0"/>
          <w:numId w:val="9"/>
        </w:numPr>
        <w:spacing w:after="4" w:line="255" w:lineRule="auto"/>
        <w:ind w:hanging="340"/>
      </w:pPr>
      <w:r>
        <w:rPr>
          <w:sz w:val="17"/>
        </w:rPr>
        <w:t xml:space="preserve">Psillakis E, Yiantzi E, Sanchez-Prado L, Kalogerakis N. Vacuum-assisted headspace solid phase microextraction: Improved extraction of semivolatiles by non-equilibrium headspace sampling under reduced pressure conditions. Anal Chim Acta. </w:t>
      </w:r>
    </w:p>
    <w:p w14:paraId="6993A292" w14:textId="77777777" w:rsidR="00D55061" w:rsidRDefault="00D55061" w:rsidP="00D55061">
      <w:pPr>
        <w:spacing w:after="0" w:line="259" w:lineRule="auto"/>
        <w:ind w:left="336"/>
        <w:jc w:val="left"/>
      </w:pPr>
      <w:proofErr w:type="gramStart"/>
      <w:r>
        <w:rPr>
          <w:sz w:val="17"/>
        </w:rPr>
        <w:t>2012;742:30</w:t>
      </w:r>
      <w:proofErr w:type="gramEnd"/>
      <w:r>
        <w:rPr>
          <w:sz w:val="17"/>
        </w:rPr>
        <w:t xml:space="preserve">–6. </w:t>
      </w:r>
      <w:hyperlink r:id="rId79">
        <w:r>
          <w:rPr>
            <w:color w:val="0000FF"/>
            <w:sz w:val="17"/>
          </w:rPr>
          <w:t>https:// doi. org/ 10. 1016/j. aca. 2012. 01. 019</w:t>
        </w:r>
      </w:hyperlink>
      <w:hyperlink r:id="rId80">
        <w:r>
          <w:rPr>
            <w:sz w:val="17"/>
          </w:rPr>
          <w:t>.</w:t>
        </w:r>
      </w:hyperlink>
    </w:p>
    <w:p w14:paraId="5FD0A343" w14:textId="77777777" w:rsidR="00D55061" w:rsidRDefault="00D55061" w:rsidP="00D55061">
      <w:pPr>
        <w:numPr>
          <w:ilvl w:val="0"/>
          <w:numId w:val="9"/>
        </w:numPr>
        <w:spacing w:after="4" w:line="255" w:lineRule="auto"/>
        <w:ind w:hanging="340"/>
      </w:pPr>
      <w:r>
        <w:rPr>
          <w:sz w:val="17"/>
        </w:rPr>
        <w:t xml:space="preserve">Psillakis E, Mousouraki A, Yiantzi E, Kalogerakis N. Effect of Henry’s law constant and operating parameters on vacuumassisted headspace solid phase microextraction. J Chromatogr A. </w:t>
      </w:r>
      <w:proofErr w:type="gramStart"/>
      <w:r>
        <w:rPr>
          <w:sz w:val="17"/>
        </w:rPr>
        <w:t>2012;1244:55</w:t>
      </w:r>
      <w:proofErr w:type="gramEnd"/>
      <w:r>
        <w:rPr>
          <w:sz w:val="17"/>
        </w:rPr>
        <w:t xml:space="preserve">–60. </w:t>
      </w:r>
      <w:hyperlink r:id="rId81">
        <w:r>
          <w:rPr>
            <w:color w:val="0000FF"/>
            <w:sz w:val="17"/>
          </w:rPr>
          <w:t>https://d oi.org/1 0</w:t>
        </w:r>
      </w:hyperlink>
      <w:hyperlink r:id="rId82">
        <w:r>
          <w:rPr>
            <w:color w:val="0000FF"/>
            <w:sz w:val="17"/>
          </w:rPr>
          <w:t xml:space="preserve"> </w:t>
        </w:r>
      </w:hyperlink>
      <w:hyperlink r:id="rId83">
        <w:r>
          <w:rPr>
            <w:color w:val="0000FF"/>
            <w:sz w:val="17"/>
          </w:rPr>
          <w:t>.1016</w:t>
        </w:r>
      </w:hyperlink>
      <w:hyperlink r:id="rId84">
        <w:r>
          <w:rPr>
            <w:color w:val="0000FF"/>
            <w:sz w:val="17"/>
          </w:rPr>
          <w:t xml:space="preserve"> </w:t>
        </w:r>
      </w:hyperlink>
      <w:hyperlink r:id="rId85">
        <w:r>
          <w:rPr>
            <w:color w:val="0000FF"/>
            <w:sz w:val="17"/>
          </w:rPr>
          <w:t>/j.c hroma.</w:t>
        </w:r>
      </w:hyperlink>
      <w:hyperlink r:id="rId86">
        <w:r>
          <w:rPr>
            <w:color w:val="0000FF"/>
            <w:sz w:val="17"/>
          </w:rPr>
          <w:t>2012.0 5</w:t>
        </w:r>
      </w:hyperlink>
      <w:hyperlink r:id="rId87">
        <w:r>
          <w:rPr>
            <w:color w:val="0000FF"/>
            <w:sz w:val="17"/>
          </w:rPr>
          <w:t xml:space="preserve"> </w:t>
        </w:r>
      </w:hyperlink>
      <w:hyperlink r:id="rId88">
        <w:r>
          <w:rPr>
            <w:color w:val="0000FF"/>
            <w:sz w:val="17"/>
          </w:rPr>
          <w:t>.00</w:t>
        </w:r>
      </w:hyperlink>
      <w:hyperlink r:id="rId89">
        <w:r>
          <w:rPr>
            <w:color w:val="0000FF"/>
            <w:sz w:val="17"/>
          </w:rPr>
          <w:t xml:space="preserve"> </w:t>
        </w:r>
      </w:hyperlink>
      <w:hyperlink r:id="rId90">
        <w:r>
          <w:rPr>
            <w:color w:val="0000FF"/>
            <w:sz w:val="17"/>
          </w:rPr>
          <w:t>6</w:t>
        </w:r>
      </w:hyperlink>
      <w:hyperlink r:id="rId91">
        <w:r>
          <w:rPr>
            <w:sz w:val="17"/>
          </w:rPr>
          <w:t>.</w:t>
        </w:r>
      </w:hyperlink>
    </w:p>
    <w:p w14:paraId="62143494" w14:textId="77777777" w:rsidR="00D55061" w:rsidRDefault="00D55061" w:rsidP="00D55061">
      <w:pPr>
        <w:numPr>
          <w:ilvl w:val="0"/>
          <w:numId w:val="9"/>
        </w:numPr>
        <w:spacing w:after="4" w:line="255" w:lineRule="auto"/>
        <w:ind w:hanging="340"/>
      </w:pPr>
      <w:r>
        <w:rPr>
          <w:sz w:val="17"/>
        </w:rPr>
        <w:t xml:space="preserve">Yiantzi E, Kalogerakis N, Psillakis E. Design and testing of a new sampler for simplified vacuum-assisted headspace solid-phase microextraction. Anal Chim Acta. </w:t>
      </w:r>
      <w:proofErr w:type="gramStart"/>
      <w:r>
        <w:rPr>
          <w:sz w:val="17"/>
        </w:rPr>
        <w:t>2016;927:46</w:t>
      </w:r>
      <w:proofErr w:type="gramEnd"/>
      <w:r>
        <w:rPr>
          <w:sz w:val="17"/>
        </w:rPr>
        <w:t xml:space="preserve">–54. </w:t>
      </w:r>
      <w:hyperlink r:id="rId92">
        <w:r>
          <w:rPr>
            <w:color w:val="0000FF"/>
            <w:sz w:val="17"/>
          </w:rPr>
          <w:t>https:// doi.</w:t>
        </w:r>
      </w:hyperlink>
      <w:r>
        <w:rPr>
          <w:color w:val="0000FF"/>
          <w:sz w:val="17"/>
        </w:rPr>
        <w:t xml:space="preserve"> </w:t>
      </w:r>
      <w:hyperlink r:id="rId93">
        <w:r>
          <w:rPr>
            <w:color w:val="0000FF"/>
            <w:sz w:val="17"/>
          </w:rPr>
          <w:t>org/ 10. 1016/j. aca. 2016. 05. 001</w:t>
        </w:r>
      </w:hyperlink>
      <w:r>
        <w:rPr>
          <w:sz w:val="17"/>
        </w:rPr>
        <w:t>.</w:t>
      </w:r>
    </w:p>
    <w:p w14:paraId="3C31F98B" w14:textId="77777777" w:rsidR="00D55061" w:rsidRDefault="00D55061" w:rsidP="00D55061">
      <w:pPr>
        <w:numPr>
          <w:ilvl w:val="0"/>
          <w:numId w:val="9"/>
        </w:numPr>
        <w:spacing w:after="4" w:line="255" w:lineRule="auto"/>
        <w:ind w:hanging="340"/>
      </w:pPr>
      <w:r>
        <w:rPr>
          <w:sz w:val="17"/>
        </w:rPr>
        <w:t xml:space="preserve">Psillakis E. Vacuum-assisted headspace solid-phase microextraction: a tutorial review. Anal Chim Acta. </w:t>
      </w:r>
      <w:proofErr w:type="gramStart"/>
      <w:r>
        <w:rPr>
          <w:sz w:val="17"/>
        </w:rPr>
        <w:t>2017;986:12</w:t>
      </w:r>
      <w:proofErr w:type="gramEnd"/>
      <w:r>
        <w:rPr>
          <w:sz w:val="17"/>
        </w:rPr>
        <w:t xml:space="preserve">–24. </w:t>
      </w:r>
      <w:hyperlink r:id="rId94">
        <w:r>
          <w:rPr>
            <w:color w:val="0000FF"/>
            <w:sz w:val="17"/>
          </w:rPr>
          <w:t>https://</w:t>
        </w:r>
      </w:hyperlink>
      <w:r>
        <w:rPr>
          <w:color w:val="0000FF"/>
          <w:sz w:val="17"/>
        </w:rPr>
        <w:t xml:space="preserve"> </w:t>
      </w:r>
      <w:hyperlink r:id="rId95">
        <w:r>
          <w:rPr>
            <w:color w:val="0000FF"/>
            <w:sz w:val="17"/>
          </w:rPr>
          <w:t>doi. org/ 10. 1016/j. aca. 2017. 06. 033</w:t>
        </w:r>
      </w:hyperlink>
      <w:r>
        <w:rPr>
          <w:sz w:val="17"/>
        </w:rPr>
        <w:t>.</w:t>
      </w:r>
    </w:p>
    <w:p w14:paraId="643F12ED" w14:textId="77777777" w:rsidR="00D55061" w:rsidRDefault="00D55061" w:rsidP="00D55061">
      <w:pPr>
        <w:numPr>
          <w:ilvl w:val="0"/>
          <w:numId w:val="9"/>
        </w:numPr>
        <w:spacing w:after="4" w:line="255" w:lineRule="auto"/>
        <w:ind w:hanging="340"/>
      </w:pPr>
      <w:r>
        <w:rPr>
          <w:sz w:val="17"/>
        </w:rPr>
        <w:t xml:space="preserve">Mascrez S, Psillakis E, Purcaro G. A multifaceted investigation on the effect of vacuum on the headspace </w:t>
      </w:r>
      <w:proofErr w:type="gramStart"/>
      <w:r>
        <w:rPr>
          <w:sz w:val="17"/>
        </w:rPr>
        <w:t>solid-phase</w:t>
      </w:r>
      <w:proofErr w:type="gramEnd"/>
      <w:r>
        <w:rPr>
          <w:sz w:val="17"/>
        </w:rPr>
        <w:t xml:space="preserve"> microextraction of extra-virgin olive oil. Anal Chim Acta. </w:t>
      </w:r>
      <w:proofErr w:type="gramStart"/>
      <w:r>
        <w:rPr>
          <w:sz w:val="17"/>
        </w:rPr>
        <w:t>2020;1103:106</w:t>
      </w:r>
      <w:proofErr w:type="gramEnd"/>
      <w:r>
        <w:rPr>
          <w:sz w:val="17"/>
        </w:rPr>
        <w:t xml:space="preserve">–14. </w:t>
      </w:r>
      <w:hyperlink r:id="rId96">
        <w:r>
          <w:rPr>
            <w:color w:val="0000FF"/>
            <w:sz w:val="17"/>
          </w:rPr>
          <w:t>https:// doi. org/ 10. 1016/j. aca. 2019. 12. 053</w:t>
        </w:r>
      </w:hyperlink>
      <w:r>
        <w:rPr>
          <w:sz w:val="17"/>
        </w:rPr>
        <w:t>.</w:t>
      </w:r>
    </w:p>
    <w:p w14:paraId="62C5E83C" w14:textId="77777777" w:rsidR="00D55061" w:rsidRDefault="00D55061" w:rsidP="00D55061">
      <w:pPr>
        <w:numPr>
          <w:ilvl w:val="0"/>
          <w:numId w:val="9"/>
        </w:numPr>
        <w:spacing w:after="4" w:line="255" w:lineRule="auto"/>
        <w:ind w:hanging="340"/>
      </w:pPr>
      <w:r>
        <w:rPr>
          <w:sz w:val="17"/>
        </w:rPr>
        <w:t xml:space="preserve">Lipinski J. Automated multiple solid phase micro extraction. An approach to enhance the limit of detection for the determination of pesticides in water. Fresenius J Anal Chem. </w:t>
      </w:r>
      <w:proofErr w:type="gramStart"/>
      <w:r>
        <w:rPr>
          <w:sz w:val="17"/>
        </w:rPr>
        <w:t>2000;367:445</w:t>
      </w:r>
      <w:proofErr w:type="gramEnd"/>
      <w:r>
        <w:rPr>
          <w:sz w:val="17"/>
        </w:rPr>
        <w:t xml:space="preserve">–9. </w:t>
      </w:r>
      <w:hyperlink r:id="rId97">
        <w:r>
          <w:rPr>
            <w:color w:val="0000FF"/>
            <w:sz w:val="17"/>
          </w:rPr>
          <w:t>https:// doi. org/ 10. 1007/ s0021 60000 358</w:t>
        </w:r>
      </w:hyperlink>
      <w:r>
        <w:rPr>
          <w:sz w:val="17"/>
        </w:rPr>
        <w:t>.</w:t>
      </w:r>
    </w:p>
    <w:p w14:paraId="5D6B3357" w14:textId="77777777" w:rsidR="00D55061" w:rsidRDefault="00D55061" w:rsidP="00D55061">
      <w:pPr>
        <w:numPr>
          <w:ilvl w:val="0"/>
          <w:numId w:val="9"/>
        </w:numPr>
        <w:spacing w:after="4" w:line="255" w:lineRule="auto"/>
        <w:ind w:hanging="340"/>
      </w:pPr>
      <w:r>
        <w:rPr>
          <w:sz w:val="17"/>
        </w:rPr>
        <w:t xml:space="preserve">Chin ST, Eyres GT, Marriott PJ. Cumulative solid phase microextraction sampling for gas chromatography-olfactometry of Shiraz wine. J Chromatogr A. </w:t>
      </w:r>
      <w:proofErr w:type="gramStart"/>
      <w:r>
        <w:rPr>
          <w:sz w:val="17"/>
        </w:rPr>
        <w:t>2012;1255:221</w:t>
      </w:r>
      <w:proofErr w:type="gramEnd"/>
      <w:r>
        <w:rPr>
          <w:sz w:val="17"/>
        </w:rPr>
        <w:t xml:space="preserve">–7. </w:t>
      </w:r>
      <w:hyperlink r:id="rId98">
        <w:r>
          <w:rPr>
            <w:color w:val="0000FF"/>
            <w:sz w:val="17"/>
          </w:rPr>
          <w:t>https:// doi. org/ 10.</w:t>
        </w:r>
      </w:hyperlink>
      <w:r>
        <w:rPr>
          <w:color w:val="0000FF"/>
          <w:sz w:val="17"/>
        </w:rPr>
        <w:t xml:space="preserve"> </w:t>
      </w:r>
      <w:hyperlink r:id="rId99">
        <w:r>
          <w:rPr>
            <w:color w:val="0000FF"/>
            <w:sz w:val="17"/>
          </w:rPr>
          <w:t>1016/j. chroma. 2012. 03. 084</w:t>
        </w:r>
      </w:hyperlink>
      <w:r>
        <w:rPr>
          <w:sz w:val="17"/>
        </w:rPr>
        <w:t>.</w:t>
      </w:r>
    </w:p>
    <w:p w14:paraId="749D7FDF" w14:textId="77777777" w:rsidR="00D55061" w:rsidRDefault="00D55061" w:rsidP="00D55061">
      <w:pPr>
        <w:numPr>
          <w:ilvl w:val="0"/>
          <w:numId w:val="9"/>
        </w:numPr>
        <w:spacing w:after="4" w:line="255" w:lineRule="auto"/>
        <w:ind w:hanging="340"/>
      </w:pPr>
      <w:r>
        <w:rPr>
          <w:sz w:val="17"/>
        </w:rPr>
        <w:t xml:space="preserve">Mascrez S, Purcaro G. Exploring multiple-cumulative trapping solid-phase microextraction for olive oil aroma profiling. J Sep Sci. </w:t>
      </w:r>
      <w:proofErr w:type="gramStart"/>
      <w:r>
        <w:rPr>
          <w:sz w:val="17"/>
        </w:rPr>
        <w:t>2020;43:1934</w:t>
      </w:r>
      <w:proofErr w:type="gramEnd"/>
      <w:r>
        <w:rPr>
          <w:sz w:val="17"/>
        </w:rPr>
        <w:t xml:space="preserve">–41. </w:t>
      </w:r>
      <w:hyperlink r:id="rId100">
        <w:r>
          <w:rPr>
            <w:color w:val="0000FF"/>
            <w:sz w:val="17"/>
          </w:rPr>
          <w:t>https:// doi. org/ 10. 1002/ jssc. 20200 0098</w:t>
        </w:r>
      </w:hyperlink>
      <w:r>
        <w:rPr>
          <w:sz w:val="17"/>
        </w:rPr>
        <w:t>.</w:t>
      </w:r>
    </w:p>
    <w:p w14:paraId="593F8419" w14:textId="77777777" w:rsidR="00D55061" w:rsidRDefault="00D55061" w:rsidP="00D55061">
      <w:pPr>
        <w:numPr>
          <w:ilvl w:val="0"/>
          <w:numId w:val="9"/>
        </w:numPr>
        <w:spacing w:after="4" w:line="255" w:lineRule="auto"/>
        <w:ind w:hanging="340"/>
      </w:pPr>
      <w:r>
        <w:rPr>
          <w:sz w:val="17"/>
        </w:rPr>
        <w:t xml:space="preserve">Mascrez S, Purcaro G. Enhancement of volatile profiling using multiple-cumulative trapping solid-phase microextraction. Consideration </w:t>
      </w:r>
      <w:proofErr w:type="gramStart"/>
      <w:r>
        <w:rPr>
          <w:sz w:val="17"/>
        </w:rPr>
        <w:t>on</w:t>
      </w:r>
      <w:proofErr w:type="gramEnd"/>
      <w:r>
        <w:rPr>
          <w:sz w:val="17"/>
        </w:rPr>
        <w:t xml:space="preserve"> sample volume. Anal Chim Acta. </w:t>
      </w:r>
      <w:proofErr w:type="gramStart"/>
      <w:r>
        <w:rPr>
          <w:sz w:val="17"/>
        </w:rPr>
        <w:t>2020;1122:89</w:t>
      </w:r>
      <w:proofErr w:type="gramEnd"/>
      <w:r>
        <w:rPr>
          <w:sz w:val="17"/>
        </w:rPr>
        <w:t xml:space="preserve">–96. </w:t>
      </w:r>
      <w:hyperlink r:id="rId101">
        <w:r>
          <w:rPr>
            <w:color w:val="0000FF"/>
            <w:sz w:val="17"/>
          </w:rPr>
          <w:t>https:// doi. org/ 10. 1016/j. aca. 2020. 05. 007</w:t>
        </w:r>
      </w:hyperlink>
      <w:r>
        <w:rPr>
          <w:sz w:val="17"/>
        </w:rPr>
        <w:t>.</w:t>
      </w:r>
    </w:p>
    <w:p w14:paraId="74BB971C" w14:textId="77777777" w:rsidR="00D55061" w:rsidRDefault="00D55061" w:rsidP="00D55061">
      <w:pPr>
        <w:numPr>
          <w:ilvl w:val="0"/>
          <w:numId w:val="9"/>
        </w:numPr>
        <w:spacing w:after="4" w:line="255" w:lineRule="auto"/>
        <w:ind w:hanging="340"/>
      </w:pPr>
      <w:r>
        <w:rPr>
          <w:sz w:val="17"/>
        </w:rPr>
        <w:t xml:space="preserve">Spadafora ND, Mascrez S, McGregor L, Purcaro G. Exploring multiple-cumulative trapping solid-phase microextraction coupled to gas chromatography–mass spectrometry for quality and authenticity assessment of olive oil. Food Chem. </w:t>
      </w:r>
      <w:proofErr w:type="gramStart"/>
      <w:r>
        <w:rPr>
          <w:sz w:val="17"/>
        </w:rPr>
        <w:t>2022;383:132438</w:t>
      </w:r>
      <w:proofErr w:type="gramEnd"/>
      <w:r>
        <w:rPr>
          <w:sz w:val="17"/>
        </w:rPr>
        <w:t xml:space="preserve">. </w:t>
      </w:r>
      <w:hyperlink r:id="rId102">
        <w:r>
          <w:rPr>
            <w:color w:val="0000FF"/>
            <w:sz w:val="17"/>
          </w:rPr>
          <w:t>https:// doi. org/ 10. 1016/j. foodc hem. 2022. 132438</w:t>
        </w:r>
      </w:hyperlink>
      <w:r>
        <w:rPr>
          <w:sz w:val="17"/>
        </w:rPr>
        <w:t>.</w:t>
      </w:r>
    </w:p>
    <w:p w14:paraId="5BA0F9D1" w14:textId="77777777" w:rsidR="00D55061" w:rsidRDefault="00D55061" w:rsidP="00D55061">
      <w:pPr>
        <w:numPr>
          <w:ilvl w:val="0"/>
          <w:numId w:val="9"/>
        </w:numPr>
        <w:spacing w:after="4" w:line="255" w:lineRule="auto"/>
        <w:ind w:hanging="340"/>
      </w:pPr>
      <w:r>
        <w:rPr>
          <w:sz w:val="17"/>
        </w:rPr>
        <w:t xml:space="preserve">Wieczorek MN, Zhou W, Pawliszyn J. Sequential thin film-solid phase microextraction as a new strategy for addressing displacement and saturation effects in food analysis. Food Chem. </w:t>
      </w:r>
      <w:proofErr w:type="gramStart"/>
      <w:r>
        <w:rPr>
          <w:sz w:val="17"/>
        </w:rPr>
        <w:t>2022;389:133038</w:t>
      </w:r>
      <w:proofErr w:type="gramEnd"/>
      <w:r>
        <w:rPr>
          <w:sz w:val="17"/>
        </w:rPr>
        <w:t xml:space="preserve">. </w:t>
      </w:r>
      <w:hyperlink r:id="rId103">
        <w:r>
          <w:rPr>
            <w:color w:val="0000FF"/>
            <w:sz w:val="17"/>
          </w:rPr>
          <w:t>https:// doi. org/ 10. 1016/j. foodc hem. 2022.</w:t>
        </w:r>
      </w:hyperlink>
      <w:r>
        <w:rPr>
          <w:color w:val="0000FF"/>
          <w:sz w:val="17"/>
        </w:rPr>
        <w:t xml:space="preserve"> </w:t>
      </w:r>
      <w:hyperlink r:id="rId104">
        <w:r>
          <w:rPr>
            <w:color w:val="0000FF"/>
            <w:sz w:val="17"/>
          </w:rPr>
          <w:t>133038</w:t>
        </w:r>
      </w:hyperlink>
      <w:r>
        <w:rPr>
          <w:sz w:val="17"/>
        </w:rPr>
        <w:t>.</w:t>
      </w:r>
    </w:p>
    <w:p w14:paraId="499CAF73" w14:textId="77777777" w:rsidR="00D55061" w:rsidRDefault="00D55061" w:rsidP="00D55061">
      <w:pPr>
        <w:numPr>
          <w:ilvl w:val="0"/>
          <w:numId w:val="9"/>
        </w:numPr>
        <w:spacing w:after="4" w:line="255" w:lineRule="auto"/>
        <w:ind w:hanging="340"/>
      </w:pPr>
      <w:r>
        <w:rPr>
          <w:rFonts w:cs="Calibri"/>
          <w:noProof/>
        </w:rPr>
        <mc:AlternateContent>
          <mc:Choice Requires="wpg">
            <w:drawing>
              <wp:anchor distT="0" distB="0" distL="114300" distR="114300" simplePos="0" relativeHeight="251664384" behindDoc="0" locked="0" layoutInCell="1" allowOverlap="1" wp14:anchorId="5BC57827" wp14:editId="419F4882">
                <wp:simplePos x="0" y="0"/>
                <wp:positionH relativeFrom="page">
                  <wp:posOffset>648000</wp:posOffset>
                </wp:positionH>
                <wp:positionV relativeFrom="page">
                  <wp:posOffset>572526</wp:posOffset>
                </wp:positionV>
                <wp:extent cx="6263996" cy="12598"/>
                <wp:effectExtent l="0" t="0" r="0" b="0"/>
                <wp:wrapTopAndBottom/>
                <wp:docPr id="20398" name="Group 20398"/>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1732" name="Shape 1732"/>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55796A" id="Group 20398" o:spid="_x0000_s1026" style="position:absolute;margin-left:51pt;margin-top:45.1pt;width:493.25pt;height:1pt;z-index:251664384;mso-position-horizontal-relative:page;mso-position-vertical-relative:page" coordsize="626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">
                <v:shape id="Shape 1732" o:spid="_x0000_s1027" style="position:absolute;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" path="m,l6263996,e" filled="f" strokeweight=".34994mm">
                  <v:stroke miterlimit="1" joinstyle="miter"/>
                  <v:path arrowok="t" textboxrect="0,0,6263996,0"/>
                </v:shape>
                <w10:wrap type="topAndBottom" anchorx="page" anchory="page"/>
              </v:group>
            </w:pict>
          </mc:Fallback>
        </mc:AlternateContent>
      </w:r>
      <w:r>
        <w:rPr>
          <w:sz w:val="17"/>
        </w:rPr>
        <w:t xml:space="preserve">Eggermont D, Spadafora ND, Aspromonte J, Purcaro G. Unraveling the impact of the capsule material on the aroma of brewed coffee by headspace analysis using a HiSorb probe followed by reverse fill/flush flow modulation GC×GC-MS. Anal Bioanal Chem. 2022. </w:t>
      </w:r>
      <w:hyperlink r:id="rId105">
        <w:r>
          <w:rPr>
            <w:color w:val="0000FF"/>
            <w:sz w:val="17"/>
          </w:rPr>
          <w:t>https:// doi. org/ 10. 1007/ s00216- 022- 04457-x</w:t>
        </w:r>
      </w:hyperlink>
      <w:r>
        <w:rPr>
          <w:sz w:val="17"/>
        </w:rPr>
        <w:t>.</w:t>
      </w:r>
    </w:p>
    <w:p w14:paraId="1B03B788" w14:textId="77777777" w:rsidR="00D55061" w:rsidRDefault="00D55061" w:rsidP="00D55061">
      <w:pPr>
        <w:numPr>
          <w:ilvl w:val="0"/>
          <w:numId w:val="9"/>
        </w:numPr>
        <w:spacing w:after="4" w:line="255" w:lineRule="auto"/>
        <w:ind w:hanging="340"/>
      </w:pPr>
      <w:r>
        <w:rPr>
          <w:sz w:val="17"/>
        </w:rPr>
        <w:t xml:space="preserve">Bicchi C, Iori C, Rubiolo P, Sandra P. Headspace sorptive extraction (HSSE), stir bar sorptive extraction (SBSE), and solid phase microextraction (SPME) applied to the analysis of roasted Arabica coffee and coffee brew. J Agric Food Chem. </w:t>
      </w:r>
      <w:proofErr w:type="gramStart"/>
      <w:r>
        <w:rPr>
          <w:sz w:val="17"/>
        </w:rPr>
        <w:t>2002;50:449</w:t>
      </w:r>
      <w:proofErr w:type="gramEnd"/>
      <w:r>
        <w:rPr>
          <w:sz w:val="17"/>
        </w:rPr>
        <w:t xml:space="preserve">–59. </w:t>
      </w:r>
      <w:hyperlink r:id="rId106">
        <w:r>
          <w:rPr>
            <w:color w:val="0000FF"/>
            <w:sz w:val="17"/>
          </w:rPr>
          <w:t>https:// doi. org/ 10. 1021/ jf010 877x</w:t>
        </w:r>
      </w:hyperlink>
      <w:r>
        <w:rPr>
          <w:sz w:val="17"/>
        </w:rPr>
        <w:t>.</w:t>
      </w:r>
    </w:p>
    <w:p w14:paraId="78A48D55" w14:textId="77777777" w:rsidR="00D55061" w:rsidRDefault="00D55061" w:rsidP="00D55061">
      <w:pPr>
        <w:numPr>
          <w:ilvl w:val="0"/>
          <w:numId w:val="9"/>
        </w:numPr>
        <w:spacing w:after="4" w:line="255" w:lineRule="auto"/>
        <w:ind w:hanging="340"/>
      </w:pPr>
      <w:r>
        <w:rPr>
          <w:sz w:val="17"/>
        </w:rPr>
        <w:t xml:space="preserve">Dieterle F, Ross A, Schlotterbeck G, Senn H. Probabilistic quotient normalization as robust method to account for dilution of complex biological mixtures. Application in </w:t>
      </w:r>
      <w:r>
        <w:rPr>
          <w:sz w:val="17"/>
          <w:vertAlign w:val="superscript"/>
        </w:rPr>
        <w:t>1</w:t>
      </w:r>
      <w:r>
        <w:rPr>
          <w:sz w:val="17"/>
        </w:rPr>
        <w:t xml:space="preserve"> H NMR metabonomics. Anal Chem. </w:t>
      </w:r>
      <w:proofErr w:type="gramStart"/>
      <w:r>
        <w:rPr>
          <w:sz w:val="17"/>
        </w:rPr>
        <w:t>2006;78:4281</w:t>
      </w:r>
      <w:proofErr w:type="gramEnd"/>
      <w:r>
        <w:rPr>
          <w:sz w:val="17"/>
        </w:rPr>
        <w:t xml:space="preserve">–90. </w:t>
      </w:r>
      <w:hyperlink r:id="rId107">
        <w:r>
          <w:rPr>
            <w:color w:val="0000FF"/>
            <w:sz w:val="17"/>
          </w:rPr>
          <w:t>https://d oi.org/1 0</w:t>
        </w:r>
      </w:hyperlink>
      <w:hyperlink r:id="rId108">
        <w:r>
          <w:rPr>
            <w:color w:val="0000FF"/>
            <w:sz w:val="17"/>
          </w:rPr>
          <w:t xml:space="preserve"> </w:t>
        </w:r>
      </w:hyperlink>
      <w:hyperlink r:id="rId109">
        <w:r>
          <w:rPr>
            <w:color w:val="0000FF"/>
            <w:sz w:val="17"/>
          </w:rPr>
          <w:t>.</w:t>
        </w:r>
      </w:hyperlink>
      <w:hyperlink r:id="rId110">
        <w:r>
          <w:rPr>
            <w:color w:val="0000FF"/>
            <w:sz w:val="17"/>
          </w:rPr>
          <w:t>1021</w:t>
        </w:r>
      </w:hyperlink>
      <w:hyperlink r:id="rId111">
        <w:r>
          <w:rPr>
            <w:color w:val="0000FF"/>
            <w:sz w:val="17"/>
          </w:rPr>
          <w:t xml:space="preserve"> </w:t>
        </w:r>
      </w:hyperlink>
      <w:hyperlink r:id="rId112">
        <w:r>
          <w:rPr>
            <w:color w:val="0000FF"/>
            <w:sz w:val="17"/>
          </w:rPr>
          <w:t xml:space="preserve">/ </w:t>
        </w:r>
      </w:hyperlink>
      <w:hyperlink r:id="rId113">
        <w:r>
          <w:rPr>
            <w:color w:val="0000FF"/>
            <w:sz w:val="17"/>
          </w:rPr>
          <w:t>ac051 632c</w:t>
        </w:r>
      </w:hyperlink>
      <w:hyperlink r:id="rId114">
        <w:r>
          <w:rPr>
            <w:sz w:val="17"/>
          </w:rPr>
          <w:t>.</w:t>
        </w:r>
      </w:hyperlink>
    </w:p>
    <w:p w14:paraId="5BCEE72B" w14:textId="77777777" w:rsidR="00D55061" w:rsidRDefault="00D55061" w:rsidP="00D55061">
      <w:pPr>
        <w:numPr>
          <w:ilvl w:val="0"/>
          <w:numId w:val="9"/>
        </w:numPr>
        <w:spacing w:after="4" w:line="255" w:lineRule="auto"/>
        <w:ind w:hanging="340"/>
      </w:pPr>
      <w:r>
        <w:rPr>
          <w:sz w:val="17"/>
        </w:rPr>
        <w:lastRenderedPageBreak/>
        <w:t xml:space="preserve">Massart D. </w:t>
      </w:r>
      <w:proofErr w:type="gramStart"/>
      <w:r>
        <w:rPr>
          <w:sz w:val="17"/>
        </w:rPr>
        <w:t>Chemometrics :</w:t>
      </w:r>
      <w:proofErr w:type="gramEnd"/>
      <w:r>
        <w:rPr>
          <w:sz w:val="17"/>
        </w:rPr>
        <w:t xml:space="preserve"> a textbook. New York: Elsevier Science Ltd.; 1988.</w:t>
      </w:r>
    </w:p>
    <w:p w14:paraId="2B874F0A" w14:textId="77777777" w:rsidR="00D55061" w:rsidRDefault="00D55061" w:rsidP="00D55061">
      <w:pPr>
        <w:numPr>
          <w:ilvl w:val="0"/>
          <w:numId w:val="9"/>
        </w:numPr>
        <w:spacing w:after="4" w:line="255" w:lineRule="auto"/>
        <w:ind w:hanging="340"/>
      </w:pPr>
      <w:r>
        <w:rPr>
          <w:sz w:val="17"/>
        </w:rPr>
        <w:t xml:space="preserve">Smolinska A, Hauschild A-C, Fijten RRR, Dallinga JW, Baumbach J, van Schooten FJ. Current breathomics—a review on data pre-processing techniques and machine learning in metabolomics breath analysis. J Breath Res. </w:t>
      </w:r>
      <w:proofErr w:type="gramStart"/>
      <w:r>
        <w:rPr>
          <w:sz w:val="17"/>
        </w:rPr>
        <w:t>2014;8:027105</w:t>
      </w:r>
      <w:proofErr w:type="gramEnd"/>
      <w:r>
        <w:rPr>
          <w:sz w:val="17"/>
        </w:rPr>
        <w:t xml:space="preserve">. </w:t>
      </w:r>
      <w:hyperlink r:id="rId115">
        <w:r>
          <w:rPr>
            <w:color w:val="0000FF"/>
            <w:sz w:val="17"/>
          </w:rPr>
          <w:t xml:space="preserve">https:// doi. org/ 10. </w:t>
        </w:r>
      </w:hyperlink>
      <w:hyperlink r:id="rId116">
        <w:r>
          <w:rPr>
            <w:color w:val="0000FF"/>
            <w:sz w:val="17"/>
          </w:rPr>
          <w:t>1088/ 1752- 7155/8/ 2/ 027105</w:t>
        </w:r>
      </w:hyperlink>
      <w:hyperlink r:id="rId117">
        <w:r>
          <w:rPr>
            <w:sz w:val="17"/>
          </w:rPr>
          <w:t>.</w:t>
        </w:r>
      </w:hyperlink>
    </w:p>
    <w:p w14:paraId="00EFF420" w14:textId="77777777" w:rsidR="00D55061" w:rsidRDefault="00D55061" w:rsidP="00D55061">
      <w:pPr>
        <w:numPr>
          <w:ilvl w:val="0"/>
          <w:numId w:val="9"/>
        </w:numPr>
        <w:spacing w:after="4" w:line="255" w:lineRule="auto"/>
        <w:ind w:hanging="340"/>
      </w:pPr>
      <w:r>
        <w:rPr>
          <w:sz w:val="17"/>
        </w:rPr>
        <w:t>Kolb B, Ettre LS. Static headspace–gas chromatography: theory and practice. 2nd ed. Hoboken, NJ; John Wiley &amp; Son; 2006.</w:t>
      </w:r>
    </w:p>
    <w:p w14:paraId="107519AA" w14:textId="77777777" w:rsidR="00D55061" w:rsidRDefault="00D55061" w:rsidP="00D55061">
      <w:pPr>
        <w:numPr>
          <w:ilvl w:val="0"/>
          <w:numId w:val="9"/>
        </w:numPr>
        <w:spacing w:after="4" w:line="255" w:lineRule="auto"/>
        <w:ind w:hanging="340"/>
      </w:pPr>
      <w:r>
        <w:rPr>
          <w:sz w:val="17"/>
        </w:rPr>
        <w:t xml:space="preserve">Blank I, Sen A, Grosch W. Potent odorants of the roasted powder and brew of Arabica coffee. Z Leb Unters Forsch. </w:t>
      </w:r>
      <w:proofErr w:type="gramStart"/>
      <w:r>
        <w:rPr>
          <w:sz w:val="17"/>
        </w:rPr>
        <w:t>1992;195:239</w:t>
      </w:r>
      <w:proofErr w:type="gramEnd"/>
      <w:r>
        <w:rPr>
          <w:sz w:val="17"/>
        </w:rPr>
        <w:t xml:space="preserve">– 45. </w:t>
      </w:r>
      <w:hyperlink r:id="rId118">
        <w:r>
          <w:rPr>
            <w:color w:val="0000FF"/>
            <w:sz w:val="17"/>
          </w:rPr>
          <w:t>https:// doi. org/ 10. 1007/ BF012 02802</w:t>
        </w:r>
      </w:hyperlink>
      <w:r>
        <w:rPr>
          <w:sz w:val="17"/>
        </w:rPr>
        <w:t>.</w:t>
      </w:r>
    </w:p>
    <w:p w14:paraId="77663E69" w14:textId="77777777" w:rsidR="00D55061" w:rsidRDefault="00D55061" w:rsidP="00D55061">
      <w:pPr>
        <w:numPr>
          <w:ilvl w:val="0"/>
          <w:numId w:val="9"/>
        </w:numPr>
        <w:spacing w:after="4" w:line="255" w:lineRule="auto"/>
        <w:ind w:hanging="340"/>
      </w:pPr>
      <w:r>
        <w:rPr>
          <w:sz w:val="17"/>
        </w:rPr>
        <w:t xml:space="preserve">Strocchi G, Bagnulo E, Ruosi MR, Ravaioli G, Trapani F, Bicchi C, Pellegrino G, Liberto E. Potential aroma chemical fingerprint of oxidised coffee </w:t>
      </w:r>
      <w:proofErr w:type="gramStart"/>
      <w:r>
        <w:rPr>
          <w:sz w:val="17"/>
        </w:rPr>
        <w:t>note</w:t>
      </w:r>
      <w:proofErr w:type="gramEnd"/>
      <w:r>
        <w:rPr>
          <w:sz w:val="17"/>
        </w:rPr>
        <w:t xml:space="preserve"> by HS-SPME-GC-MS and machine learning. Foods. </w:t>
      </w:r>
      <w:proofErr w:type="gramStart"/>
      <w:r>
        <w:rPr>
          <w:sz w:val="17"/>
        </w:rPr>
        <w:t>2022;11:4083</w:t>
      </w:r>
      <w:proofErr w:type="gramEnd"/>
      <w:r>
        <w:rPr>
          <w:sz w:val="17"/>
        </w:rPr>
        <w:t xml:space="preserve">. </w:t>
      </w:r>
      <w:hyperlink r:id="rId119">
        <w:r>
          <w:rPr>
            <w:color w:val="0000FF"/>
            <w:sz w:val="17"/>
          </w:rPr>
          <w:t>https:// doi. org/ 10. 3390/ foods 11244</w:t>
        </w:r>
      </w:hyperlink>
      <w:r>
        <w:rPr>
          <w:color w:val="0000FF"/>
          <w:sz w:val="17"/>
        </w:rPr>
        <w:t xml:space="preserve"> </w:t>
      </w:r>
      <w:hyperlink r:id="rId120">
        <w:r>
          <w:rPr>
            <w:color w:val="0000FF"/>
            <w:sz w:val="17"/>
          </w:rPr>
          <w:t>083</w:t>
        </w:r>
      </w:hyperlink>
      <w:r>
        <w:rPr>
          <w:sz w:val="17"/>
        </w:rPr>
        <w:t>.</w:t>
      </w:r>
    </w:p>
    <w:p w14:paraId="28753B91" w14:textId="77777777" w:rsidR="00D55061" w:rsidRDefault="00D55061" w:rsidP="00D55061">
      <w:pPr>
        <w:spacing w:after="4" w:line="255" w:lineRule="auto"/>
        <w:ind w:left="348" w:hanging="350"/>
      </w:pPr>
      <w:proofErr w:type="gramStart"/>
      <w:r>
        <w:rPr>
          <w:sz w:val="17"/>
        </w:rPr>
        <w:t>38 .</w:t>
      </w:r>
      <w:proofErr w:type="gramEnd"/>
      <w:r>
        <w:rPr>
          <w:sz w:val="17"/>
        </w:rPr>
        <w:t xml:space="preserve"> Toledo PRAB, Pezza L, Pezza HR, Toci AT. Relationship between the different aspects related to coffee quality and their volatile compounds. Compr Rev Food Sci Food Saf. </w:t>
      </w:r>
      <w:proofErr w:type="gramStart"/>
      <w:r>
        <w:rPr>
          <w:sz w:val="17"/>
        </w:rPr>
        <w:t>2016;15:705</w:t>
      </w:r>
      <w:proofErr w:type="gramEnd"/>
      <w:r>
        <w:rPr>
          <w:sz w:val="17"/>
        </w:rPr>
        <w:t xml:space="preserve">–19. </w:t>
      </w:r>
      <w:hyperlink r:id="rId121">
        <w:r>
          <w:rPr>
            <w:color w:val="0000FF"/>
            <w:sz w:val="17"/>
          </w:rPr>
          <w:t>https:// doi. org/ 10. 1111/ 1541- 4337. 12205</w:t>
        </w:r>
      </w:hyperlink>
      <w:r>
        <w:rPr>
          <w:sz w:val="17"/>
        </w:rPr>
        <w:t>.</w:t>
      </w:r>
    </w:p>
    <w:p w14:paraId="347AFDD2" w14:textId="77777777" w:rsidR="00D55061" w:rsidRDefault="00D55061" w:rsidP="00D55061">
      <w:pPr>
        <w:spacing w:after="4" w:line="255" w:lineRule="auto"/>
        <w:ind w:left="348" w:hanging="350"/>
      </w:pPr>
      <w:r>
        <w:rPr>
          <w:sz w:val="17"/>
        </w:rPr>
        <w:t xml:space="preserve"> 39. Cincotta F, Tripodi G, Merlino M, Verzera A, Condurso C. Variety and shelf-life of coffee packaged in capsules LWT - Food. Sci Technol. </w:t>
      </w:r>
      <w:proofErr w:type="gramStart"/>
      <w:r>
        <w:rPr>
          <w:sz w:val="17"/>
        </w:rPr>
        <w:t>2020;118:108718</w:t>
      </w:r>
      <w:proofErr w:type="gramEnd"/>
      <w:r>
        <w:rPr>
          <w:sz w:val="17"/>
        </w:rPr>
        <w:t xml:space="preserve">. </w:t>
      </w:r>
      <w:hyperlink r:id="rId122">
        <w:r>
          <w:rPr>
            <w:color w:val="0000FF"/>
            <w:sz w:val="17"/>
          </w:rPr>
          <w:t>https:// doi. org/ 10. 1016/j. lwt. 2019.</w:t>
        </w:r>
      </w:hyperlink>
      <w:r>
        <w:rPr>
          <w:color w:val="0000FF"/>
          <w:sz w:val="17"/>
        </w:rPr>
        <w:t xml:space="preserve"> </w:t>
      </w:r>
    </w:p>
    <w:p w14:paraId="6D683A74" w14:textId="77777777" w:rsidR="00D55061" w:rsidRDefault="00D55061" w:rsidP="00D55061">
      <w:pPr>
        <w:spacing w:after="0" w:line="259" w:lineRule="auto"/>
        <w:ind w:left="336"/>
        <w:jc w:val="left"/>
      </w:pPr>
      <w:hyperlink r:id="rId123">
        <w:r>
          <w:rPr>
            <w:color w:val="0000FF"/>
            <w:sz w:val="17"/>
          </w:rPr>
          <w:t>108718</w:t>
        </w:r>
      </w:hyperlink>
      <w:r>
        <w:rPr>
          <w:sz w:val="17"/>
        </w:rPr>
        <w:t>.</w:t>
      </w:r>
    </w:p>
    <w:p w14:paraId="529753D3" w14:textId="77777777" w:rsidR="00D55061" w:rsidRDefault="00D55061" w:rsidP="00D55061">
      <w:pPr>
        <w:spacing w:after="4" w:line="255" w:lineRule="auto"/>
        <w:ind w:left="348" w:hanging="350"/>
      </w:pPr>
      <w:proofErr w:type="gramStart"/>
      <w:r>
        <w:rPr>
          <w:sz w:val="17"/>
        </w:rPr>
        <w:t>40 .</w:t>
      </w:r>
      <w:proofErr w:type="gramEnd"/>
      <w:r>
        <w:rPr>
          <w:sz w:val="17"/>
        </w:rPr>
        <w:t xml:space="preserve"> Tressl R, Gruenewald KG, Kamperschroeer H, Silwar R. Verhalten einiger schwerfluchtiger Aromastoffe während der Alterung von Röstkaffee. Chem Mikrobiol Technol Leb. </w:t>
      </w:r>
      <w:proofErr w:type="gramStart"/>
      <w:r>
        <w:rPr>
          <w:sz w:val="17"/>
        </w:rPr>
        <w:t>1979;6:52</w:t>
      </w:r>
      <w:proofErr w:type="gramEnd"/>
      <w:r>
        <w:rPr>
          <w:sz w:val="17"/>
        </w:rPr>
        <w:t>–7.</w:t>
      </w:r>
    </w:p>
    <w:p w14:paraId="12779DD9" w14:textId="77777777" w:rsidR="00D55061" w:rsidRDefault="00D55061" w:rsidP="00D55061">
      <w:pPr>
        <w:numPr>
          <w:ilvl w:val="0"/>
          <w:numId w:val="10"/>
        </w:numPr>
        <w:spacing w:after="4" w:line="255" w:lineRule="auto"/>
        <w:ind w:hanging="340"/>
      </w:pPr>
      <w:r>
        <w:rPr>
          <w:sz w:val="17"/>
        </w:rPr>
        <w:t xml:space="preserve">Kallio H, Leino M, Koullias K, Kallio S, Kaitaranta J. Headspace of roasted ground coffee as an indicator of storage time. Food Chem. </w:t>
      </w:r>
      <w:proofErr w:type="gramStart"/>
      <w:r>
        <w:rPr>
          <w:sz w:val="17"/>
        </w:rPr>
        <w:t>1990;36:135</w:t>
      </w:r>
      <w:proofErr w:type="gramEnd"/>
      <w:r>
        <w:rPr>
          <w:sz w:val="17"/>
        </w:rPr>
        <w:t xml:space="preserve">–48. </w:t>
      </w:r>
      <w:hyperlink r:id="rId124">
        <w:r>
          <w:rPr>
            <w:color w:val="0000FF"/>
            <w:sz w:val="17"/>
          </w:rPr>
          <w:t>https:// doi. org/ 10. 1016/ 0308- 8146(90)</w:t>
        </w:r>
      </w:hyperlink>
      <w:r>
        <w:rPr>
          <w:color w:val="0000FF"/>
          <w:sz w:val="17"/>
        </w:rPr>
        <w:t xml:space="preserve"> </w:t>
      </w:r>
      <w:hyperlink r:id="rId125">
        <w:r>
          <w:rPr>
            <w:color w:val="0000FF"/>
            <w:sz w:val="17"/>
          </w:rPr>
          <w:t>90097-N</w:t>
        </w:r>
      </w:hyperlink>
      <w:r>
        <w:rPr>
          <w:sz w:val="17"/>
        </w:rPr>
        <w:t>.</w:t>
      </w:r>
    </w:p>
    <w:p w14:paraId="11EF394B" w14:textId="77777777" w:rsidR="00D55061" w:rsidRDefault="00D55061" w:rsidP="00D55061">
      <w:pPr>
        <w:numPr>
          <w:ilvl w:val="0"/>
          <w:numId w:val="10"/>
        </w:numPr>
        <w:spacing w:after="199" w:line="255" w:lineRule="auto"/>
        <w:ind w:hanging="340"/>
      </w:pPr>
      <w:r>
        <w:rPr>
          <w:sz w:val="17"/>
        </w:rPr>
        <w:t xml:space="preserve">Makri E, Tsimogiannis D, Dermesonluoglu EK, Taoukisa PS. Modeling of Greek coffee aroma loss during storage at different temperatures and water activities. Procedia Food Sci. </w:t>
      </w:r>
      <w:proofErr w:type="gramStart"/>
      <w:r>
        <w:rPr>
          <w:sz w:val="17"/>
        </w:rPr>
        <w:t>2011;1:1111</w:t>
      </w:r>
      <w:proofErr w:type="gramEnd"/>
      <w:r>
        <w:rPr>
          <w:sz w:val="17"/>
        </w:rPr>
        <w:t xml:space="preserve">–7. </w:t>
      </w:r>
      <w:hyperlink r:id="rId126">
        <w:r>
          <w:rPr>
            <w:color w:val="0000FF"/>
            <w:sz w:val="17"/>
          </w:rPr>
          <w:t>https:// doi. org/ 10. 1016/j. profoo. 2011. 09. 166</w:t>
        </w:r>
      </w:hyperlink>
      <w:r>
        <w:rPr>
          <w:sz w:val="17"/>
        </w:rPr>
        <w:t>.</w:t>
      </w:r>
    </w:p>
    <w:p w14:paraId="2175B336" w14:textId="77777777" w:rsidR="00D55061" w:rsidRDefault="00D55061" w:rsidP="00D55061">
      <w:pPr>
        <w:spacing w:after="192" w:line="255" w:lineRule="auto"/>
        <w:ind w:left="-2"/>
      </w:pPr>
      <w:r>
        <w:rPr>
          <w:rFonts w:cs="Calibri"/>
          <w:b/>
          <w:sz w:val="17"/>
        </w:rPr>
        <w:t>Publisher's Note</w:t>
      </w:r>
      <w:r>
        <w:rPr>
          <w:sz w:val="17"/>
        </w:rPr>
        <w:t xml:space="preserve"> Springer Nature remains neutral </w:t>
      </w:r>
      <w:proofErr w:type="gramStart"/>
      <w:r>
        <w:rPr>
          <w:sz w:val="17"/>
        </w:rPr>
        <w:t>with regard to</w:t>
      </w:r>
      <w:proofErr w:type="gramEnd"/>
      <w:r>
        <w:rPr>
          <w:sz w:val="17"/>
        </w:rPr>
        <w:t xml:space="preserve"> jurisdictional claims in published maps and institutional affiliations.</w:t>
      </w:r>
    </w:p>
    <w:p w14:paraId="3B68E49A" w14:textId="77777777" w:rsidR="00D55061" w:rsidRDefault="00D55061" w:rsidP="00D55061">
      <w:pPr>
        <w:spacing w:after="4" w:line="255" w:lineRule="auto"/>
        <w:ind w:left="-2"/>
      </w:pPr>
      <w:r>
        <w:rPr>
          <w:sz w:val="17"/>
        </w:rPr>
        <w:t>Springer Nature or its licensor (e.g. a society or other partner) holds exclusive rights to this article under a publishing agreement with the author(s) or other rightsholder(s); author self-archiving of the accepted manuscript version of this article is solely governed by the terms of such publishing agreement and applicable law.</w:t>
      </w:r>
    </w:p>
    <w:p w14:paraId="5F69AC1C" w14:textId="77777777" w:rsidR="00D55061" w:rsidRPr="00DE5450" w:rsidRDefault="00D55061" w:rsidP="00DE5450"/>
    <w:sectPr w:rsidR="00D55061" w:rsidRPr="00DE5450" w:rsidSect="0070127C">
      <w:headerReference w:type="default" r:id="rId127"/>
      <w:footerReference w:type="default" r:id="rId1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CDB1" w14:textId="77777777" w:rsidR="007B6C59" w:rsidRDefault="007B6C59" w:rsidP="001B279E">
      <w:r>
        <w:separator/>
      </w:r>
    </w:p>
  </w:endnote>
  <w:endnote w:type="continuationSeparator" w:id="0">
    <w:p w14:paraId="13E7F1E3" w14:textId="77777777" w:rsidR="007B6C59" w:rsidRDefault="007B6C59" w:rsidP="001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0322" w14:textId="77777777" w:rsidR="00ED3F71" w:rsidRDefault="00ED3F71" w:rsidP="00BF0F6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AB2B" w14:textId="77777777" w:rsidR="007B6C59" w:rsidRDefault="007B6C59" w:rsidP="001B279E">
      <w:r>
        <w:separator/>
      </w:r>
    </w:p>
  </w:footnote>
  <w:footnote w:type="continuationSeparator" w:id="0">
    <w:p w14:paraId="30D179BF" w14:textId="77777777" w:rsidR="007B6C59" w:rsidRDefault="007B6C59" w:rsidP="001B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34" w:type="dxa"/>
      <w:tblLook w:val="04A0" w:firstRow="1" w:lastRow="0" w:firstColumn="1" w:lastColumn="0" w:noHBand="0" w:noVBand="1"/>
    </w:tblPr>
    <w:tblGrid>
      <w:gridCol w:w="6946"/>
      <w:gridCol w:w="2552"/>
    </w:tblGrid>
    <w:tr w:rsidR="0032376E" w14:paraId="5A966EBA" w14:textId="77777777" w:rsidTr="00633381">
      <w:trPr>
        <w:trHeight w:val="1135"/>
      </w:trPr>
      <w:tc>
        <w:tcPr>
          <w:tcW w:w="6946" w:type="dxa"/>
          <w:shd w:val="clear" w:color="auto" w:fill="auto"/>
        </w:tcPr>
        <w:p w14:paraId="1D0800A6" w14:textId="5619A558" w:rsidR="00737CFB" w:rsidRDefault="0032376E" w:rsidP="00A44770">
          <w:pPr>
            <w:pStyle w:val="Header"/>
            <w:jc w:val="left"/>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5615A6" w:rsidRPr="005615A6">
            <w:rPr>
              <w:i/>
              <w:iCs/>
              <w:sz w:val="18"/>
              <w:szCs w:val="18"/>
            </w:rPr>
            <w:t>Anal Bioanal Chem</w:t>
          </w:r>
          <w:r w:rsidR="005615A6" w:rsidRPr="005615A6">
            <w:rPr>
              <w:i/>
              <w:sz w:val="18"/>
              <w:szCs w:val="18"/>
            </w:rPr>
            <w:t> </w:t>
          </w:r>
          <w:r w:rsidR="005615A6" w:rsidRPr="005615A6">
            <w:rPr>
              <w:b/>
              <w:bCs/>
              <w:i/>
              <w:sz w:val="18"/>
              <w:szCs w:val="18"/>
            </w:rPr>
            <w:t>415</w:t>
          </w:r>
          <w:r w:rsidR="005615A6" w:rsidRPr="005615A6">
            <w:rPr>
              <w:i/>
              <w:sz w:val="18"/>
              <w:szCs w:val="18"/>
            </w:rPr>
            <w:t>, 4501–4510 (2023)</w:t>
          </w:r>
        </w:p>
        <w:p w14:paraId="570D99C6" w14:textId="62500433" w:rsidR="0032376E" w:rsidRPr="00A44770" w:rsidRDefault="0032376E" w:rsidP="00A44770">
          <w:pPr>
            <w:pStyle w:val="Header"/>
            <w:jc w:val="left"/>
            <w:rPr>
              <w:i/>
              <w:sz w:val="18"/>
              <w:szCs w:val="18"/>
            </w:rPr>
          </w:pPr>
          <w:r w:rsidRPr="00A44770">
            <w:rPr>
              <w:i/>
              <w:sz w:val="18"/>
              <w:szCs w:val="18"/>
            </w:rPr>
            <w:t>DOI:</w:t>
          </w:r>
          <w:r w:rsidR="00737CFB" w:rsidRPr="00737CFB">
            <w:rPr>
              <w:i/>
              <w:sz w:val="18"/>
              <w:szCs w:val="18"/>
            </w:rPr>
            <w:t xml:space="preserve"> </w:t>
          </w:r>
          <w:r w:rsidR="005615A6" w:rsidRPr="005615A6">
            <w:rPr>
              <w:i/>
              <w:sz w:val="18"/>
              <w:szCs w:val="18"/>
            </w:rPr>
            <w:t>10.1007/s00216-023-04654-2</w:t>
          </w:r>
        </w:p>
        <w:p w14:paraId="3FD126FB" w14:textId="77777777" w:rsidR="0032376E" w:rsidRPr="00A44770" w:rsidRDefault="0032376E" w:rsidP="00A44770">
          <w:pPr>
            <w:pStyle w:val="Header"/>
            <w:jc w:val="left"/>
            <w:rPr>
              <w:i/>
            </w:rPr>
          </w:pPr>
          <w:proofErr w:type="gramStart"/>
          <w:r w:rsidRPr="00A44770">
            <w:rPr>
              <w:i/>
              <w:sz w:val="18"/>
              <w:szCs w:val="18"/>
            </w:rPr>
            <w:t>Status :</w:t>
          </w:r>
          <w:proofErr w:type="gramEnd"/>
          <w:r w:rsidRPr="00A44770">
            <w:rPr>
              <w:i/>
              <w:sz w:val="18"/>
              <w:szCs w:val="18"/>
            </w:rPr>
            <w:t xml:space="preserve"> Postprint (Author’s version) </w:t>
          </w:r>
        </w:p>
      </w:tc>
      <w:tc>
        <w:tcPr>
          <w:tcW w:w="2552" w:type="dxa"/>
          <w:shd w:val="clear" w:color="auto" w:fill="auto"/>
        </w:tcPr>
        <w:p w14:paraId="55D15428" w14:textId="665F0382" w:rsidR="0032376E" w:rsidRDefault="006846B9" w:rsidP="00A44770">
          <w:pPr>
            <w:pStyle w:val="Header"/>
            <w:jc w:val="right"/>
          </w:pPr>
          <w:r>
            <w:rPr>
              <w:noProof/>
            </w:rPr>
            <w:drawing>
              <wp:inline distT="0" distB="0" distL="0" distR="0" wp14:anchorId="2BC6235E" wp14:editId="697FC96B">
                <wp:extent cx="1272540" cy="594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14:paraId="5822BA7F" w14:textId="77777777" w:rsidR="001B279E" w:rsidRPr="001B279E" w:rsidRDefault="001B279E" w:rsidP="001B2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EB2"/>
    <w:multiLevelType w:val="multilevel"/>
    <w:tmpl w:val="051C5190"/>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1E1E1B"/>
        <w:spacing w:val="0"/>
        <w:w w:val="100"/>
        <w:position w:val="0"/>
        <w:sz w:val="28"/>
        <w:szCs w:val="28"/>
        <w:u w:val="none"/>
        <w:shd w:val="clear" w:color="auto" w:fill="auto"/>
        <w:lang w:val="en-US" w:eastAsia="en-US" w:bidi="en-US"/>
      </w:rPr>
    </w:lvl>
    <w:lvl w:ilvl="2">
      <w:start w:val="1"/>
      <w:numFmt w:val="decimal"/>
      <w:lvlText w:val="%1.%2.%3"/>
      <w:lvlJc w:val="left"/>
      <w:rPr>
        <w:rFonts w:ascii="Arial" w:eastAsia="Arial" w:hAnsi="Arial" w:cs="Arial"/>
        <w:b/>
        <w:bCs/>
        <w:i w:val="0"/>
        <w:iCs w:val="0"/>
        <w:smallCaps w:val="0"/>
        <w:strike w:val="0"/>
        <w:color w:val="1E1E1B"/>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244F6"/>
    <w:multiLevelType w:val="hybridMultilevel"/>
    <w:tmpl w:val="B7C44B22"/>
    <w:lvl w:ilvl="0" w:tplc="C4B6101E">
      <w:start w:val="14"/>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7760B26">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2B8ACB6A">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40BA87B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18AD06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AD4E3DA">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FCC963C">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C5C7DDC">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38AB1AE">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1872715"/>
    <w:multiLevelType w:val="multilevel"/>
    <w:tmpl w:val="09F2D294"/>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D3633"/>
    <w:multiLevelType w:val="hybridMultilevel"/>
    <w:tmpl w:val="153CE41C"/>
    <w:lvl w:ilvl="0" w:tplc="82D2361A">
      <w:start w:val="12"/>
      <w:numFmt w:val="decimal"/>
      <w:lvlText w:val="%1"/>
      <w:lvlJc w:val="left"/>
      <w:pPr>
        <w:ind w:left="17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CCEAE5A6">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EFE9A6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44D8762C">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D6D8B3B6">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CA941136">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8466330">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905245F2">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13445B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2BB50A46"/>
    <w:multiLevelType w:val="hybridMultilevel"/>
    <w:tmpl w:val="B0A2C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95D6A"/>
    <w:multiLevelType w:val="hybridMultilevel"/>
    <w:tmpl w:val="D21AED48"/>
    <w:lvl w:ilvl="0" w:tplc="7128639C">
      <w:start w:val="41"/>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7FA8C66">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3706D7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DD861B20">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3EEBB7C">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C96CDC6">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D0647D4">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AAAF04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A02FFA2">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1F00556"/>
    <w:multiLevelType w:val="multilevel"/>
    <w:tmpl w:val="C2F829C0"/>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D5EB6"/>
    <w:multiLevelType w:val="hybridMultilevel"/>
    <w:tmpl w:val="54EEB0C6"/>
    <w:lvl w:ilvl="0" w:tplc="0FC442F8">
      <w:start w:val="1"/>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8680CF4">
      <w:start w:val="1"/>
      <w:numFmt w:val="lowerLetter"/>
      <w:lvlText w:val="%2"/>
      <w:lvlJc w:val="left"/>
      <w:pPr>
        <w:ind w:left="11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6D48F17A">
      <w:start w:val="1"/>
      <w:numFmt w:val="lowerRoman"/>
      <w:lvlText w:val="%3"/>
      <w:lvlJc w:val="left"/>
      <w:pPr>
        <w:ind w:left="18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642E992A">
      <w:start w:val="1"/>
      <w:numFmt w:val="decimal"/>
      <w:lvlText w:val="%4"/>
      <w:lvlJc w:val="left"/>
      <w:pPr>
        <w:ind w:left="25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46823EB6">
      <w:start w:val="1"/>
      <w:numFmt w:val="lowerLetter"/>
      <w:lvlText w:val="%5"/>
      <w:lvlJc w:val="left"/>
      <w:pPr>
        <w:ind w:left="3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9AA7B4A">
      <w:start w:val="1"/>
      <w:numFmt w:val="lowerRoman"/>
      <w:lvlText w:val="%6"/>
      <w:lvlJc w:val="left"/>
      <w:pPr>
        <w:ind w:left="40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998F5D2">
      <w:start w:val="1"/>
      <w:numFmt w:val="decimal"/>
      <w:lvlText w:val="%7"/>
      <w:lvlJc w:val="left"/>
      <w:pPr>
        <w:ind w:left="47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DBE7532">
      <w:start w:val="1"/>
      <w:numFmt w:val="lowerLetter"/>
      <w:lvlText w:val="%8"/>
      <w:lvlJc w:val="left"/>
      <w:pPr>
        <w:ind w:left="54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C9E5B14">
      <w:start w:val="1"/>
      <w:numFmt w:val="lowerRoman"/>
      <w:lvlText w:val="%9"/>
      <w:lvlJc w:val="left"/>
      <w:pPr>
        <w:ind w:left="61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4BEC6BFF"/>
    <w:multiLevelType w:val="hybridMultilevel"/>
    <w:tmpl w:val="EB641FB6"/>
    <w:lvl w:ilvl="0" w:tplc="ED9628FA">
      <w:start w:val="17"/>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697673CE">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485ED36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D5271B4">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9156171E">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228B60C">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E2C2B22">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F7CE8C6">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112E644">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77A71167"/>
    <w:multiLevelType w:val="multilevel"/>
    <w:tmpl w:val="9992FB26"/>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437792">
    <w:abstractNumId w:val="0"/>
  </w:num>
  <w:num w:numId="2" w16cid:durableId="1950622609">
    <w:abstractNumId w:val="6"/>
  </w:num>
  <w:num w:numId="3" w16cid:durableId="955479588">
    <w:abstractNumId w:val="2"/>
  </w:num>
  <w:num w:numId="4" w16cid:durableId="77559134">
    <w:abstractNumId w:val="9"/>
  </w:num>
  <w:num w:numId="5" w16cid:durableId="1442217773">
    <w:abstractNumId w:val="4"/>
  </w:num>
  <w:num w:numId="6" w16cid:durableId="1244803586">
    <w:abstractNumId w:val="7"/>
  </w:num>
  <w:num w:numId="7" w16cid:durableId="1197036453">
    <w:abstractNumId w:val="3"/>
  </w:num>
  <w:num w:numId="8" w16cid:durableId="1187982157">
    <w:abstractNumId w:val="1"/>
  </w:num>
  <w:num w:numId="9" w16cid:durableId="267743129">
    <w:abstractNumId w:val="8"/>
  </w:num>
  <w:num w:numId="10" w16cid:durableId="215506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9E"/>
    <w:rsid w:val="00092C41"/>
    <w:rsid w:val="000E0E80"/>
    <w:rsid w:val="000E38B2"/>
    <w:rsid w:val="0010430B"/>
    <w:rsid w:val="00164A9C"/>
    <w:rsid w:val="00185833"/>
    <w:rsid w:val="00195CFA"/>
    <w:rsid w:val="001A4540"/>
    <w:rsid w:val="001B10D6"/>
    <w:rsid w:val="001B279E"/>
    <w:rsid w:val="00217CCF"/>
    <w:rsid w:val="00257235"/>
    <w:rsid w:val="002F5630"/>
    <w:rsid w:val="0032376E"/>
    <w:rsid w:val="00340480"/>
    <w:rsid w:val="00341609"/>
    <w:rsid w:val="00371B3E"/>
    <w:rsid w:val="00387CC5"/>
    <w:rsid w:val="003B5C97"/>
    <w:rsid w:val="003D710E"/>
    <w:rsid w:val="003E710F"/>
    <w:rsid w:val="003F01E7"/>
    <w:rsid w:val="004235D5"/>
    <w:rsid w:val="0043061F"/>
    <w:rsid w:val="004642F4"/>
    <w:rsid w:val="00466F60"/>
    <w:rsid w:val="00480FFB"/>
    <w:rsid w:val="004A4A69"/>
    <w:rsid w:val="004A5AB6"/>
    <w:rsid w:val="004B1A3C"/>
    <w:rsid w:val="004B66EF"/>
    <w:rsid w:val="004D7D10"/>
    <w:rsid w:val="00513A03"/>
    <w:rsid w:val="00517B48"/>
    <w:rsid w:val="005569B0"/>
    <w:rsid w:val="005615A6"/>
    <w:rsid w:val="00567C99"/>
    <w:rsid w:val="006250CC"/>
    <w:rsid w:val="00633381"/>
    <w:rsid w:val="0064176C"/>
    <w:rsid w:val="00681C0E"/>
    <w:rsid w:val="006846B9"/>
    <w:rsid w:val="006A2335"/>
    <w:rsid w:val="006D0586"/>
    <w:rsid w:val="0070127C"/>
    <w:rsid w:val="00711008"/>
    <w:rsid w:val="00737511"/>
    <w:rsid w:val="00737CFB"/>
    <w:rsid w:val="007473D0"/>
    <w:rsid w:val="00753BF5"/>
    <w:rsid w:val="00767A19"/>
    <w:rsid w:val="00796E06"/>
    <w:rsid w:val="007A2CD7"/>
    <w:rsid w:val="007B6C59"/>
    <w:rsid w:val="007C250D"/>
    <w:rsid w:val="00813E80"/>
    <w:rsid w:val="00832ED2"/>
    <w:rsid w:val="00845DCD"/>
    <w:rsid w:val="00861AB7"/>
    <w:rsid w:val="008B11E0"/>
    <w:rsid w:val="008E565A"/>
    <w:rsid w:val="00983688"/>
    <w:rsid w:val="009D67C3"/>
    <w:rsid w:val="009F174B"/>
    <w:rsid w:val="00A44770"/>
    <w:rsid w:val="00A54802"/>
    <w:rsid w:val="00A73F1F"/>
    <w:rsid w:val="00A97E66"/>
    <w:rsid w:val="00AD06C7"/>
    <w:rsid w:val="00AE5754"/>
    <w:rsid w:val="00AE76FD"/>
    <w:rsid w:val="00AF4B89"/>
    <w:rsid w:val="00AF7353"/>
    <w:rsid w:val="00AF7D31"/>
    <w:rsid w:val="00B16FAC"/>
    <w:rsid w:val="00B473A1"/>
    <w:rsid w:val="00B6752F"/>
    <w:rsid w:val="00BF0B82"/>
    <w:rsid w:val="00BF0F6B"/>
    <w:rsid w:val="00BF2AF5"/>
    <w:rsid w:val="00BF56CB"/>
    <w:rsid w:val="00BF6251"/>
    <w:rsid w:val="00BF64A3"/>
    <w:rsid w:val="00BF74E0"/>
    <w:rsid w:val="00C24B33"/>
    <w:rsid w:val="00C955E5"/>
    <w:rsid w:val="00CC643B"/>
    <w:rsid w:val="00D1080C"/>
    <w:rsid w:val="00D33C82"/>
    <w:rsid w:val="00D55061"/>
    <w:rsid w:val="00DB2948"/>
    <w:rsid w:val="00DB4C7F"/>
    <w:rsid w:val="00DE5450"/>
    <w:rsid w:val="00DF26FC"/>
    <w:rsid w:val="00E04D03"/>
    <w:rsid w:val="00E32040"/>
    <w:rsid w:val="00E40646"/>
    <w:rsid w:val="00E75B05"/>
    <w:rsid w:val="00EC69B3"/>
    <w:rsid w:val="00ED3F71"/>
    <w:rsid w:val="00F1126E"/>
    <w:rsid w:val="00F345B7"/>
    <w:rsid w:val="00F627A4"/>
    <w:rsid w:val="00F84971"/>
    <w:rsid w:val="00FC5E3D"/>
    <w:rsid w:val="00FD32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F0A4"/>
  <w15:chartTrackingRefBased/>
  <w15:docId w15:val="{C6125292-5CE4-48A2-822A-75F90301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D5"/>
    <w:pPr>
      <w:spacing w:after="120" w:line="276" w:lineRule="auto"/>
      <w:jc w:val="both"/>
    </w:pPr>
    <w:rPr>
      <w:sz w:val="22"/>
      <w:szCs w:val="22"/>
      <w:lang w:val="en-US" w:eastAsia="en-US"/>
    </w:rPr>
  </w:style>
  <w:style w:type="paragraph" w:styleId="Heading1">
    <w:name w:val="heading 1"/>
    <w:basedOn w:val="Normal"/>
    <w:next w:val="Normal"/>
    <w:link w:val="Heading1Char"/>
    <w:uiPriority w:val="9"/>
    <w:qFormat/>
    <w:rsid w:val="008B11E0"/>
    <w:pPr>
      <w:keepNext/>
      <w:keepLines/>
      <w:spacing w:before="600" w:after="200"/>
      <w:outlineLvl w:val="0"/>
    </w:pPr>
    <w:rPr>
      <w:rFonts w:eastAsia="Times New Roman"/>
      <w:b/>
      <w:bCs/>
      <w:color w:val="007983"/>
      <w:sz w:val="36"/>
      <w:szCs w:val="28"/>
      <w:lang w:val="fr-FR"/>
    </w:rPr>
  </w:style>
  <w:style w:type="paragraph" w:styleId="Heading2">
    <w:name w:val="heading 2"/>
    <w:basedOn w:val="Normal"/>
    <w:next w:val="Normal"/>
    <w:link w:val="Heading2Char"/>
    <w:uiPriority w:val="9"/>
    <w:unhideWhenUsed/>
    <w:qFormat/>
    <w:rsid w:val="0070127C"/>
    <w:pPr>
      <w:keepNext/>
      <w:keepLines/>
      <w:spacing w:before="360"/>
      <w:jc w:val="left"/>
      <w:outlineLvl w:val="1"/>
    </w:pPr>
    <w:rPr>
      <w:rFonts w:eastAsia="Times New Roman"/>
      <w:b/>
      <w:bCs/>
      <w:caps/>
      <w:sz w:val="26"/>
      <w:szCs w:val="26"/>
    </w:rPr>
  </w:style>
  <w:style w:type="paragraph" w:styleId="Heading3">
    <w:name w:val="heading 3"/>
    <w:next w:val="Normal"/>
    <w:link w:val="Heading3Char"/>
    <w:uiPriority w:val="9"/>
    <w:unhideWhenUsed/>
    <w:qFormat/>
    <w:rsid w:val="008B11E0"/>
    <w:pPr>
      <w:spacing w:before="240" w:after="80" w:line="276" w:lineRule="auto"/>
      <w:outlineLvl w:val="2"/>
    </w:pPr>
    <w:rPr>
      <w:rFonts w:ascii="Source Sans Pro Light" w:eastAsia="Times New Roman" w:hAnsi="Source Sans Pro Light"/>
      <w:b/>
      <w:bCs/>
      <w:caps/>
      <w:sz w:val="24"/>
      <w:szCs w:val="26"/>
      <w:lang w:eastAsia="en-US"/>
    </w:rPr>
  </w:style>
  <w:style w:type="paragraph" w:styleId="Heading4">
    <w:name w:val="heading 4"/>
    <w:basedOn w:val="Normal"/>
    <w:next w:val="Normal"/>
    <w:link w:val="Heading4Char"/>
    <w:uiPriority w:val="9"/>
    <w:unhideWhenUsed/>
    <w:qFormat/>
    <w:rsid w:val="008B11E0"/>
    <w:pPr>
      <w:keepNext/>
      <w:keepLines/>
      <w:spacing w:before="200" w:after="40"/>
      <w:outlineLvl w:val="3"/>
    </w:pPr>
    <w:rPr>
      <w:rFonts w:eastAsia="Times New Roman"/>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C4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C955E5"/>
    <w:pPr>
      <w:numPr>
        <w:ilvl w:val="1"/>
      </w:numPr>
    </w:pPr>
    <w:rPr>
      <w:rFonts w:ascii="Source Sans Pro Light" w:eastAsia="Times New Roman" w:hAnsi="Source Sans Pro Light"/>
      <w:i/>
      <w:iCs/>
      <w:spacing w:val="15"/>
      <w:sz w:val="56"/>
      <w:szCs w:val="24"/>
    </w:rPr>
  </w:style>
  <w:style w:type="character" w:customStyle="1" w:styleId="SubtitleChar">
    <w:name w:val="Subtitle Char"/>
    <w:link w:val="Subtitle"/>
    <w:uiPriority w:val="11"/>
    <w:rsid w:val="00C955E5"/>
    <w:rPr>
      <w:rFonts w:ascii="Source Sans Pro Light" w:eastAsia="Times New Roman" w:hAnsi="Source Sans Pro Light" w:cs="Times New Roman"/>
      <w:i/>
      <w:iCs/>
      <w:spacing w:val="15"/>
      <w:sz w:val="56"/>
      <w:szCs w:val="24"/>
    </w:rPr>
  </w:style>
  <w:style w:type="paragraph" w:styleId="Title">
    <w:name w:val="Title"/>
    <w:basedOn w:val="Normal"/>
    <w:next w:val="Normal"/>
    <w:link w:val="TitleChar"/>
    <w:uiPriority w:val="10"/>
    <w:rsid w:val="00C955E5"/>
    <w:rPr>
      <w:b/>
      <w:caps/>
      <w:color w:val="007983"/>
      <w:sz w:val="100"/>
    </w:rPr>
  </w:style>
  <w:style w:type="character" w:customStyle="1" w:styleId="TitleChar">
    <w:name w:val="Title Char"/>
    <w:link w:val="Title"/>
    <w:uiPriority w:val="10"/>
    <w:rsid w:val="00C955E5"/>
    <w:rPr>
      <w:rFonts w:ascii="Source Sans Pro" w:hAnsi="Source Sans Pro"/>
      <w:b/>
      <w:caps/>
      <w:color w:val="007983"/>
      <w:sz w:val="100"/>
    </w:rPr>
  </w:style>
  <w:style w:type="character" w:customStyle="1" w:styleId="BalloonTextChar">
    <w:name w:val="Balloon Text Char"/>
    <w:link w:val="BalloonText"/>
    <w:uiPriority w:val="99"/>
    <w:semiHidden/>
    <w:rsid w:val="00092C41"/>
    <w:rPr>
      <w:rFonts w:ascii="Tahoma" w:hAnsi="Tahoma" w:cs="Tahoma"/>
      <w:sz w:val="16"/>
      <w:szCs w:val="16"/>
    </w:rPr>
  </w:style>
  <w:style w:type="paragraph" w:styleId="Header">
    <w:name w:val="header"/>
    <w:basedOn w:val="Normal"/>
    <w:link w:val="HeaderChar"/>
    <w:uiPriority w:val="99"/>
    <w:unhideWhenUsed/>
    <w:rsid w:val="00E04D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D03"/>
  </w:style>
  <w:style w:type="paragraph" w:styleId="Footer">
    <w:name w:val="footer"/>
    <w:basedOn w:val="Normal"/>
    <w:link w:val="FooterChar"/>
    <w:uiPriority w:val="99"/>
    <w:unhideWhenUsed/>
    <w:rsid w:val="00E04D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D03"/>
  </w:style>
  <w:style w:type="character" w:customStyle="1" w:styleId="Heading1Char">
    <w:name w:val="Heading 1 Char"/>
    <w:link w:val="Heading1"/>
    <w:uiPriority w:val="9"/>
    <w:rsid w:val="008B11E0"/>
    <w:rPr>
      <w:rFonts w:ascii="Source Sans Pro" w:eastAsia="Times New Roman" w:hAnsi="Source Sans Pro"/>
      <w:b/>
      <w:bCs/>
      <w:color w:val="007983"/>
      <w:sz w:val="36"/>
      <w:szCs w:val="28"/>
      <w:lang w:val="fr-FR" w:eastAsia="en-US"/>
    </w:rPr>
  </w:style>
  <w:style w:type="paragraph" w:styleId="Quote">
    <w:name w:val="Quote"/>
    <w:basedOn w:val="Normal"/>
    <w:next w:val="Normal"/>
    <w:link w:val="QuoteChar"/>
    <w:uiPriority w:val="29"/>
    <w:qFormat/>
    <w:rsid w:val="00AD06C7"/>
    <w:rPr>
      <w:b/>
      <w:i/>
      <w:color w:val="007983"/>
      <w:sz w:val="32"/>
    </w:rPr>
  </w:style>
  <w:style w:type="character" w:customStyle="1" w:styleId="QuoteChar">
    <w:name w:val="Quote Char"/>
    <w:link w:val="Quote"/>
    <w:uiPriority w:val="29"/>
    <w:rsid w:val="00AD06C7"/>
    <w:rPr>
      <w:rFonts w:ascii="Source Sans Pro" w:hAnsi="Source Sans Pro"/>
      <w:b/>
      <w:i/>
      <w:color w:val="007983"/>
      <w:sz w:val="32"/>
    </w:rPr>
  </w:style>
  <w:style w:type="paragraph" w:customStyle="1" w:styleId="Introduction">
    <w:name w:val="Introduction"/>
    <w:basedOn w:val="Quote"/>
    <w:qFormat/>
    <w:rsid w:val="00AD06C7"/>
    <w:rPr>
      <w:sz w:val="22"/>
    </w:rPr>
  </w:style>
  <w:style w:type="paragraph" w:styleId="NormalWeb">
    <w:name w:val="Normal (Web)"/>
    <w:basedOn w:val="Normal"/>
    <w:uiPriority w:val="99"/>
    <w:semiHidden/>
    <w:unhideWhenUsed/>
    <w:rsid w:val="00845DCD"/>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Heading2Char">
    <w:name w:val="Heading 2 Char"/>
    <w:link w:val="Heading2"/>
    <w:uiPriority w:val="9"/>
    <w:rsid w:val="0070127C"/>
    <w:rPr>
      <w:rFonts w:ascii="Source Sans Pro" w:eastAsia="Times New Roman" w:hAnsi="Source Sans Pro"/>
      <w:b/>
      <w:bCs/>
      <w:caps/>
      <w:sz w:val="26"/>
      <w:szCs w:val="26"/>
      <w:lang w:val="en-US" w:eastAsia="en-US"/>
    </w:rPr>
  </w:style>
  <w:style w:type="paragraph" w:styleId="Caption">
    <w:name w:val="caption"/>
    <w:basedOn w:val="Normal"/>
    <w:next w:val="Normal"/>
    <w:uiPriority w:val="34"/>
    <w:qFormat/>
    <w:rsid w:val="00517B48"/>
    <w:pPr>
      <w:spacing w:after="360" w:line="240" w:lineRule="auto"/>
    </w:pPr>
    <w:rPr>
      <w:bCs/>
      <w:color w:val="000000"/>
      <w:sz w:val="18"/>
      <w:szCs w:val="18"/>
    </w:rPr>
  </w:style>
  <w:style w:type="character" w:customStyle="1" w:styleId="Heading3Char">
    <w:name w:val="Heading 3 Char"/>
    <w:link w:val="Heading3"/>
    <w:uiPriority w:val="9"/>
    <w:rsid w:val="008B11E0"/>
    <w:rPr>
      <w:rFonts w:ascii="Source Sans Pro Light" w:eastAsia="Times New Roman" w:hAnsi="Source Sans Pro Light"/>
      <w:b/>
      <w:bCs/>
      <w:caps/>
      <w:sz w:val="24"/>
      <w:szCs w:val="26"/>
      <w:lang w:eastAsia="en-US"/>
    </w:rPr>
  </w:style>
  <w:style w:type="character" w:customStyle="1" w:styleId="Heading4Char">
    <w:name w:val="Heading 4 Char"/>
    <w:link w:val="Heading4"/>
    <w:uiPriority w:val="9"/>
    <w:rsid w:val="008B11E0"/>
    <w:rPr>
      <w:rFonts w:ascii="Source Sans Pro" w:eastAsia="Times New Roman" w:hAnsi="Source Sans Pro"/>
      <w:b/>
      <w:bCs/>
      <w:i/>
      <w:iCs/>
      <w:sz w:val="22"/>
      <w:szCs w:val="22"/>
      <w:lang w:val="en-US" w:eastAsia="en-US"/>
    </w:rPr>
  </w:style>
  <w:style w:type="character" w:styleId="Hyperlink">
    <w:name w:val="Hyperlink"/>
    <w:uiPriority w:val="99"/>
    <w:unhideWhenUsed/>
    <w:rsid w:val="001A4540"/>
    <w:rPr>
      <w:rFonts w:ascii="Source Sans Pro" w:hAnsi="Source Sans Pro"/>
      <w:color w:val="007983"/>
      <w:sz w:val="22"/>
      <w:u w:val="single"/>
    </w:rPr>
  </w:style>
  <w:style w:type="character" w:styleId="BookTitle">
    <w:name w:val="Book Title"/>
    <w:uiPriority w:val="33"/>
    <w:qFormat/>
    <w:rsid w:val="001B279E"/>
    <w:rPr>
      <w:bCs/>
      <w:smallCaps/>
      <w:color w:val="auto"/>
      <w:spacing w:val="5"/>
      <w:sz w:val="32"/>
    </w:rPr>
  </w:style>
  <w:style w:type="paragraph" w:customStyle="1" w:styleId="Affiliation">
    <w:name w:val="Affiliation"/>
    <w:basedOn w:val="Normal"/>
    <w:qFormat/>
    <w:rsid w:val="00AE5754"/>
    <w:pPr>
      <w:spacing w:before="120" w:after="240" w:line="240" w:lineRule="auto"/>
      <w:contextualSpacing/>
    </w:pPr>
    <w:rPr>
      <w:i/>
      <w:sz w:val="20"/>
    </w:rPr>
  </w:style>
  <w:style w:type="table" w:styleId="TableGrid">
    <w:name w:val="Table Grid"/>
    <w:basedOn w:val="TableNormal"/>
    <w:uiPriority w:val="59"/>
    <w:rsid w:val="0032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incipal">
    <w:name w:val="Titre principal"/>
    <w:basedOn w:val="Normal"/>
    <w:qFormat/>
    <w:rsid w:val="00681C0E"/>
    <w:pPr>
      <w:spacing w:before="240" w:after="840"/>
      <w:jc w:val="center"/>
    </w:pPr>
    <w:rPr>
      <w:smallCaps/>
      <w:sz w:val="36"/>
    </w:rPr>
  </w:style>
  <w:style w:type="paragraph" w:customStyle="1" w:styleId="Rfrencesarticle">
    <w:name w:val="Références article"/>
    <w:basedOn w:val="Normal"/>
    <w:qFormat/>
    <w:rsid w:val="000E38B2"/>
    <w:pPr>
      <w:tabs>
        <w:tab w:val="left" w:pos="567"/>
      </w:tabs>
    </w:pPr>
    <w:rPr>
      <w:sz w:val="20"/>
      <w:szCs w:val="20"/>
    </w:rPr>
  </w:style>
  <w:style w:type="paragraph" w:styleId="Bibliography">
    <w:name w:val="Bibliography"/>
    <w:basedOn w:val="Normal"/>
    <w:next w:val="Normal"/>
    <w:uiPriority w:val="37"/>
    <w:semiHidden/>
    <w:unhideWhenUsed/>
    <w:rsid w:val="00517B48"/>
    <w:rPr>
      <w:sz w:val="20"/>
    </w:rPr>
  </w:style>
  <w:style w:type="character" w:customStyle="1" w:styleId="Texteducorps">
    <w:name w:val="Texte du corps_"/>
    <w:link w:val="Texteducorps0"/>
    <w:rsid w:val="00737CFB"/>
    <w:rPr>
      <w:rFonts w:ascii="Times New Roman" w:eastAsia="Times New Roman" w:hAnsi="Times New Roman"/>
      <w:color w:val="1E1E1B"/>
    </w:rPr>
  </w:style>
  <w:style w:type="character" w:customStyle="1" w:styleId="Titre3">
    <w:name w:val="Titre #3_"/>
    <w:link w:val="Titre30"/>
    <w:rsid w:val="00737CFB"/>
    <w:rPr>
      <w:rFonts w:ascii="Arial" w:eastAsia="Arial" w:hAnsi="Arial" w:cs="Arial"/>
      <w:b/>
      <w:bCs/>
      <w:color w:val="1E1E1B"/>
      <w:sz w:val="26"/>
      <w:szCs w:val="26"/>
    </w:rPr>
  </w:style>
  <w:style w:type="paragraph" w:customStyle="1" w:styleId="Texteducorps0">
    <w:name w:val="Texte du corps"/>
    <w:basedOn w:val="Normal"/>
    <w:link w:val="Texteducorps"/>
    <w:rsid w:val="00737CFB"/>
    <w:pPr>
      <w:widowControl w:val="0"/>
      <w:spacing w:after="0" w:line="240" w:lineRule="auto"/>
      <w:jc w:val="left"/>
    </w:pPr>
    <w:rPr>
      <w:rFonts w:ascii="Times New Roman" w:eastAsia="Times New Roman" w:hAnsi="Times New Roman"/>
      <w:color w:val="1E1E1B"/>
      <w:sz w:val="20"/>
      <w:szCs w:val="20"/>
      <w:lang w:eastAsia="ja-JP"/>
    </w:rPr>
  </w:style>
  <w:style w:type="paragraph" w:customStyle="1" w:styleId="Titre30">
    <w:name w:val="Titre #3"/>
    <w:basedOn w:val="Normal"/>
    <w:link w:val="Titre3"/>
    <w:rsid w:val="00737CFB"/>
    <w:pPr>
      <w:widowControl w:val="0"/>
      <w:spacing w:after="220" w:line="240" w:lineRule="auto"/>
      <w:jc w:val="left"/>
      <w:outlineLvl w:val="2"/>
    </w:pPr>
    <w:rPr>
      <w:rFonts w:ascii="Arial" w:eastAsia="Arial" w:hAnsi="Arial" w:cs="Arial"/>
      <w:b/>
      <w:bCs/>
      <w:color w:val="1E1E1B"/>
      <w:sz w:val="26"/>
      <w:szCs w:val="26"/>
      <w:lang w:eastAsia="ja-JP"/>
    </w:rPr>
  </w:style>
  <w:style w:type="character" w:customStyle="1" w:styleId="Autres">
    <w:name w:val="Autres_"/>
    <w:link w:val="Autres0"/>
    <w:rsid w:val="00737CFB"/>
    <w:rPr>
      <w:rFonts w:ascii="Times New Roman" w:eastAsia="Times New Roman" w:hAnsi="Times New Roman"/>
      <w:color w:val="1E1E1B"/>
    </w:rPr>
  </w:style>
  <w:style w:type="paragraph" w:customStyle="1" w:styleId="Autres0">
    <w:name w:val="Autres"/>
    <w:basedOn w:val="Normal"/>
    <w:link w:val="Autres"/>
    <w:rsid w:val="00737CFB"/>
    <w:pPr>
      <w:widowControl w:val="0"/>
      <w:spacing w:after="0" w:line="240" w:lineRule="auto"/>
      <w:jc w:val="left"/>
    </w:pPr>
    <w:rPr>
      <w:rFonts w:ascii="Times New Roman" w:eastAsia="Times New Roman" w:hAnsi="Times New Roman"/>
      <w:color w:val="1E1E1B"/>
      <w:sz w:val="20"/>
      <w:szCs w:val="20"/>
      <w:lang w:eastAsia="ja-JP"/>
    </w:rPr>
  </w:style>
  <w:style w:type="character" w:styleId="SubtleEmphasis">
    <w:name w:val="Subtle Emphasis"/>
    <w:basedOn w:val="DefaultParagraphFont"/>
    <w:uiPriority w:val="19"/>
    <w:qFormat/>
    <w:rsid w:val="00DE5450"/>
    <w:rPr>
      <w:i/>
      <w:iCs/>
      <w:color w:val="404040" w:themeColor="text1" w:themeTint="BF"/>
    </w:rPr>
  </w:style>
  <w:style w:type="table" w:customStyle="1" w:styleId="TableGrid0">
    <w:name w:val="TableGrid"/>
    <w:rsid w:val="00D55061"/>
    <w:rPr>
      <w:rFonts w:asciiTheme="minorHAnsi" w:eastAsiaTheme="minorEastAsia" w:hAnsiTheme="minorHAnsi" w:cstheme="minorBidi"/>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0777">
      <w:bodyDiv w:val="1"/>
      <w:marLeft w:val="0"/>
      <w:marRight w:val="0"/>
      <w:marTop w:val="0"/>
      <w:marBottom w:val="0"/>
      <w:divBdr>
        <w:top w:val="none" w:sz="0" w:space="0" w:color="auto"/>
        <w:left w:val="none" w:sz="0" w:space="0" w:color="auto"/>
        <w:bottom w:val="none" w:sz="0" w:space="0" w:color="auto"/>
        <w:right w:val="none" w:sz="0" w:space="0" w:color="auto"/>
      </w:divBdr>
    </w:div>
    <w:div w:id="503397296">
      <w:bodyDiv w:val="1"/>
      <w:marLeft w:val="0"/>
      <w:marRight w:val="0"/>
      <w:marTop w:val="0"/>
      <w:marBottom w:val="0"/>
      <w:divBdr>
        <w:top w:val="none" w:sz="0" w:space="0" w:color="auto"/>
        <w:left w:val="none" w:sz="0" w:space="0" w:color="auto"/>
        <w:bottom w:val="none" w:sz="0" w:space="0" w:color="auto"/>
        <w:right w:val="none" w:sz="0" w:space="0" w:color="auto"/>
      </w:divBdr>
    </w:div>
    <w:div w:id="696976046">
      <w:bodyDiv w:val="1"/>
      <w:marLeft w:val="0"/>
      <w:marRight w:val="0"/>
      <w:marTop w:val="0"/>
      <w:marBottom w:val="0"/>
      <w:divBdr>
        <w:top w:val="none" w:sz="0" w:space="0" w:color="auto"/>
        <w:left w:val="none" w:sz="0" w:space="0" w:color="auto"/>
        <w:bottom w:val="none" w:sz="0" w:space="0" w:color="auto"/>
        <w:right w:val="none" w:sz="0" w:space="0" w:color="auto"/>
      </w:divBdr>
    </w:div>
    <w:div w:id="756949597">
      <w:bodyDiv w:val="1"/>
      <w:marLeft w:val="0"/>
      <w:marRight w:val="0"/>
      <w:marTop w:val="0"/>
      <w:marBottom w:val="0"/>
      <w:divBdr>
        <w:top w:val="none" w:sz="0" w:space="0" w:color="auto"/>
        <w:left w:val="none" w:sz="0" w:space="0" w:color="auto"/>
        <w:bottom w:val="none" w:sz="0" w:space="0" w:color="auto"/>
        <w:right w:val="none" w:sz="0" w:space="0" w:color="auto"/>
      </w:divBdr>
    </w:div>
    <w:div w:id="1231816078">
      <w:bodyDiv w:val="1"/>
      <w:marLeft w:val="0"/>
      <w:marRight w:val="0"/>
      <w:marTop w:val="0"/>
      <w:marBottom w:val="0"/>
      <w:divBdr>
        <w:top w:val="none" w:sz="0" w:space="0" w:color="auto"/>
        <w:left w:val="none" w:sz="0" w:space="0" w:color="auto"/>
        <w:bottom w:val="none" w:sz="0" w:space="0" w:color="auto"/>
        <w:right w:val="none" w:sz="0" w:space="0" w:color="auto"/>
      </w:divBdr>
    </w:div>
    <w:div w:id="1422603285">
      <w:bodyDiv w:val="1"/>
      <w:marLeft w:val="0"/>
      <w:marRight w:val="0"/>
      <w:marTop w:val="0"/>
      <w:marBottom w:val="0"/>
      <w:divBdr>
        <w:top w:val="none" w:sz="0" w:space="0" w:color="auto"/>
        <w:left w:val="none" w:sz="0" w:space="0" w:color="auto"/>
        <w:bottom w:val="none" w:sz="0" w:space="0" w:color="auto"/>
        <w:right w:val="none" w:sz="0" w:space="0" w:color="auto"/>
      </w:divBdr>
    </w:div>
    <w:div w:id="1757901559">
      <w:bodyDiv w:val="1"/>
      <w:marLeft w:val="0"/>
      <w:marRight w:val="0"/>
      <w:marTop w:val="0"/>
      <w:marBottom w:val="0"/>
      <w:divBdr>
        <w:top w:val="none" w:sz="0" w:space="0" w:color="auto"/>
        <w:left w:val="none" w:sz="0" w:space="0" w:color="auto"/>
        <w:bottom w:val="none" w:sz="0" w:space="0" w:color="auto"/>
        <w:right w:val="none" w:sz="0" w:space="0" w:color="auto"/>
      </w:divBdr>
      <w:divsChild>
        <w:div w:id="84771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8/1752-7155/8/2/027105" TargetMode="External"/><Relationship Id="rId21" Type="http://schemas.openxmlformats.org/officeDocument/2006/relationships/image" Target="media/image3.jpg"/><Relationship Id="rId42" Type="http://schemas.openxmlformats.org/officeDocument/2006/relationships/hyperlink" Target="https://doi.org/10.1016/j.trac.2016.02.022" TargetMode="External"/><Relationship Id="rId47" Type="http://schemas.openxmlformats.org/officeDocument/2006/relationships/hyperlink" Target="https://doi.org/10.1016/j.trac.2015.03.011" TargetMode="External"/><Relationship Id="rId63" Type="http://schemas.openxmlformats.org/officeDocument/2006/relationships/hyperlink" Target="https://doi.org/10.1007/s00216-015-9187-z" TargetMode="External"/><Relationship Id="rId68" Type="http://schemas.openxmlformats.org/officeDocument/2006/relationships/hyperlink" Target="https://doi.org/10.3390/separations7010012." TargetMode="External"/><Relationship Id="rId84" Type="http://schemas.openxmlformats.org/officeDocument/2006/relationships/hyperlink" Target="https://doi.org/10.1016/j.chroma.2012.05.006" TargetMode="External"/><Relationship Id="rId89" Type="http://schemas.openxmlformats.org/officeDocument/2006/relationships/hyperlink" Target="https://doi.org/10.1016/j.chroma.2012.05.006" TargetMode="External"/><Relationship Id="rId112" Type="http://schemas.openxmlformats.org/officeDocument/2006/relationships/hyperlink" Target="https://doi.org/10.1021/ac051632c" TargetMode="External"/><Relationship Id="rId16" Type="http://schemas.openxmlformats.org/officeDocument/2006/relationships/hyperlink" Target="https://software.broadinstitute.org/morpheus/" TargetMode="External"/><Relationship Id="rId107" Type="http://schemas.openxmlformats.org/officeDocument/2006/relationships/hyperlink" Target="https://doi.org/10.1021/ac051632c" TargetMode="External"/><Relationship Id="rId11" Type="http://schemas.openxmlformats.org/officeDocument/2006/relationships/hyperlink" Target="https://software.broadinstitute.org/morpheus/" TargetMode="External"/><Relationship Id="rId32" Type="http://schemas.openxmlformats.org/officeDocument/2006/relationships/hyperlink" Target="https://doi.org/10.1016/j.trac.2018.12.020" TargetMode="External"/><Relationship Id="rId37" Type="http://schemas.openxmlformats.org/officeDocument/2006/relationships/hyperlink" Target="https://doi.org/10.1016/j.trac.2018.12.020" TargetMode="External"/><Relationship Id="rId53" Type="http://schemas.openxmlformats.org/officeDocument/2006/relationships/hyperlink" Target="https://doi.org/10.1016/j.trac.2015.03.011" TargetMode="External"/><Relationship Id="rId58" Type="http://schemas.openxmlformats.org/officeDocument/2006/relationships/hyperlink" Target="https://doi.org/10.1007/s00216-015-9187-z" TargetMode="External"/><Relationship Id="rId74" Type="http://schemas.openxmlformats.org/officeDocument/2006/relationships/hyperlink" Target="https://doi.org/10.1016/j.sampre.2022.100032" TargetMode="External"/><Relationship Id="rId79" Type="http://schemas.openxmlformats.org/officeDocument/2006/relationships/hyperlink" Target="https://doi.org/10.1016/j.aca.2012.01.019" TargetMode="External"/><Relationship Id="rId102" Type="http://schemas.openxmlformats.org/officeDocument/2006/relationships/hyperlink" Target="https://doi.org/10.1016/j.foodchem.2022.132438" TargetMode="External"/><Relationship Id="rId123" Type="http://schemas.openxmlformats.org/officeDocument/2006/relationships/hyperlink" Target="https://doi.org/10.1016/j.lwt.2019.108718"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doi.org/10.1016/j.chroma.2012.05.006" TargetMode="External"/><Relationship Id="rId95" Type="http://schemas.openxmlformats.org/officeDocument/2006/relationships/hyperlink" Target="https://doi.org/10.1016/j.aca.2017.06.033" TargetMode="External"/><Relationship Id="rId22" Type="http://schemas.openxmlformats.org/officeDocument/2006/relationships/hyperlink" Target="https://doi.org/10.1016/j.trac.2015.04.017" TargetMode="External"/><Relationship Id="rId27" Type="http://schemas.openxmlformats.org/officeDocument/2006/relationships/hyperlink" Target="https://doi.org/10.1016/j.trac.2015.04.018" TargetMode="External"/><Relationship Id="rId43" Type="http://schemas.openxmlformats.org/officeDocument/2006/relationships/hyperlink" Target="https://doi.org/10.1016/j.trac.2016.02.022" TargetMode="External"/><Relationship Id="rId48" Type="http://schemas.openxmlformats.org/officeDocument/2006/relationships/hyperlink" Target="https://doi.org/10.1016/j.trac.2015.03.011" TargetMode="External"/><Relationship Id="rId64" Type="http://schemas.openxmlformats.org/officeDocument/2006/relationships/hyperlink" Target="https://doi.org/10.1007/s00216-015-9187-z" TargetMode="External"/><Relationship Id="rId69" Type="http://schemas.openxmlformats.org/officeDocument/2006/relationships/hyperlink" Target="https://doi.org/10.3168/jds.2017-13141" TargetMode="External"/><Relationship Id="rId113" Type="http://schemas.openxmlformats.org/officeDocument/2006/relationships/hyperlink" Target="https://doi.org/10.1021/ac051632c" TargetMode="External"/><Relationship Id="rId118" Type="http://schemas.openxmlformats.org/officeDocument/2006/relationships/hyperlink" Target="https://doi.org/10.1007/BF01202802" TargetMode="External"/><Relationship Id="rId80" Type="http://schemas.openxmlformats.org/officeDocument/2006/relationships/hyperlink" Target="https://doi.org/10.1016/j.aca.2012.01.019" TargetMode="External"/><Relationship Id="rId85" Type="http://schemas.openxmlformats.org/officeDocument/2006/relationships/hyperlink" Target="https://doi.org/10.1016/j.chroma.2012.05.006" TargetMode="External"/><Relationship Id="rId12" Type="http://schemas.openxmlformats.org/officeDocument/2006/relationships/hyperlink" Target="https://software.broadinstitute.org/morpheus/" TargetMode="External"/><Relationship Id="rId17" Type="http://schemas.openxmlformats.org/officeDocument/2006/relationships/hyperlink" Target="https://software.broadinstitute.org/morpheus/" TargetMode="External"/><Relationship Id="rId33" Type="http://schemas.openxmlformats.org/officeDocument/2006/relationships/hyperlink" Target="https://doi.org/10.1016/j.trac.2018.12.020" TargetMode="External"/><Relationship Id="rId38" Type="http://schemas.openxmlformats.org/officeDocument/2006/relationships/hyperlink" Target="https://doi.org/10.1016/j.trac.2016.02.022" TargetMode="External"/><Relationship Id="rId59" Type="http://schemas.openxmlformats.org/officeDocument/2006/relationships/hyperlink" Target="https://doi.org/10.1007/s00216-015-9187-z" TargetMode="External"/><Relationship Id="rId103" Type="http://schemas.openxmlformats.org/officeDocument/2006/relationships/hyperlink" Target="https://doi.org/10.1016/j.foodchem.2022.133038" TargetMode="External"/><Relationship Id="rId108" Type="http://schemas.openxmlformats.org/officeDocument/2006/relationships/hyperlink" Target="https://doi.org/10.1021/ac051632c" TargetMode="External"/><Relationship Id="rId124" Type="http://schemas.openxmlformats.org/officeDocument/2006/relationships/hyperlink" Target="https://doi.org/10.1016/0308-8146(90)90097-N" TargetMode="External"/><Relationship Id="rId129" Type="http://schemas.openxmlformats.org/officeDocument/2006/relationships/fontTable" Target="fontTable.xml"/><Relationship Id="rId54" Type="http://schemas.openxmlformats.org/officeDocument/2006/relationships/hyperlink" Target="https://doi.org/10.1002/jssc.201500379" TargetMode="External"/><Relationship Id="rId70" Type="http://schemas.openxmlformats.org/officeDocument/2006/relationships/hyperlink" Target="https://doi.org/10.3168/jds.2017-13141" TargetMode="External"/><Relationship Id="rId75" Type="http://schemas.openxmlformats.org/officeDocument/2006/relationships/hyperlink" Target="https://doi.org/10.1021/es001561t" TargetMode="External"/><Relationship Id="rId91" Type="http://schemas.openxmlformats.org/officeDocument/2006/relationships/hyperlink" Target="https://doi.org/10.1016/j.chroma.2012.05.006" TargetMode="External"/><Relationship Id="rId96" Type="http://schemas.openxmlformats.org/officeDocument/2006/relationships/hyperlink" Target="https://doi.org/10.1016/j.aca.2019.12.05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trac.2015.04.017" TargetMode="External"/><Relationship Id="rId28" Type="http://schemas.openxmlformats.org/officeDocument/2006/relationships/hyperlink" Target="https://doi.org/10.1016/j.trac.2018.12.020" TargetMode="External"/><Relationship Id="rId49" Type="http://schemas.openxmlformats.org/officeDocument/2006/relationships/hyperlink" Target="https://doi.org/10.1016/j.trac.2015.03.011" TargetMode="External"/><Relationship Id="rId114" Type="http://schemas.openxmlformats.org/officeDocument/2006/relationships/hyperlink" Target="https://doi.org/10.1021/ac051632c" TargetMode="External"/><Relationship Id="rId119" Type="http://schemas.openxmlformats.org/officeDocument/2006/relationships/hyperlink" Target="https://doi.org/10.3390/foods11244083" TargetMode="External"/><Relationship Id="rId44" Type="http://schemas.openxmlformats.org/officeDocument/2006/relationships/hyperlink" Target="https://doi.org/10.1016/j.trac.2015.03.011" TargetMode="External"/><Relationship Id="rId60" Type="http://schemas.openxmlformats.org/officeDocument/2006/relationships/hyperlink" Target="https://doi.org/10.1007/s00216-015-9187-z" TargetMode="External"/><Relationship Id="rId65" Type="http://schemas.openxmlformats.org/officeDocument/2006/relationships/hyperlink" Target="https://doi.org/10.1016/j.chroma.2015.11.061" TargetMode="External"/><Relationship Id="rId81" Type="http://schemas.openxmlformats.org/officeDocument/2006/relationships/hyperlink" Target="https://doi.org/10.1016/j.chroma.2012.05.006" TargetMode="External"/><Relationship Id="rId86" Type="http://schemas.openxmlformats.org/officeDocument/2006/relationships/hyperlink" Target="https://doi.org/10.1016/j.chroma.2012.05.006" TargetMode="External"/><Relationship Id="rId130" Type="http://schemas.openxmlformats.org/officeDocument/2006/relationships/theme" Target="theme/theme1.xml"/><Relationship Id="rId13" Type="http://schemas.openxmlformats.org/officeDocument/2006/relationships/hyperlink" Target="https://software.broadinstitute.org/morpheus/" TargetMode="External"/><Relationship Id="rId18" Type="http://schemas.openxmlformats.org/officeDocument/2006/relationships/hyperlink" Target="https://software.broadinstitute.org/morpheus/" TargetMode="External"/><Relationship Id="rId39" Type="http://schemas.openxmlformats.org/officeDocument/2006/relationships/hyperlink" Target="https://doi.org/10.1016/j.trac.2016.02.022" TargetMode="External"/><Relationship Id="rId109" Type="http://schemas.openxmlformats.org/officeDocument/2006/relationships/hyperlink" Target="https://doi.org/10.1021/ac051632c" TargetMode="External"/><Relationship Id="rId34" Type="http://schemas.openxmlformats.org/officeDocument/2006/relationships/hyperlink" Target="https://doi.org/10.1016/j.trac.2018.12.020" TargetMode="External"/><Relationship Id="rId50" Type="http://schemas.openxmlformats.org/officeDocument/2006/relationships/hyperlink" Target="https://doi.org/10.1016/j.trac.2015.03.011" TargetMode="External"/><Relationship Id="rId55" Type="http://schemas.openxmlformats.org/officeDocument/2006/relationships/hyperlink" Target="https://doi.org/10.1002/jssc.201500379" TargetMode="External"/><Relationship Id="rId76" Type="http://schemas.openxmlformats.org/officeDocument/2006/relationships/hyperlink" Target="https://doi.org/10.1021/acs.analchem.7b04502" TargetMode="External"/><Relationship Id="rId97" Type="http://schemas.openxmlformats.org/officeDocument/2006/relationships/hyperlink" Target="https://doi.org/10.1007/s002160000358" TargetMode="External"/><Relationship Id="rId104" Type="http://schemas.openxmlformats.org/officeDocument/2006/relationships/hyperlink" Target="https://doi.org/10.1016/j.foodchem.2022.133038" TargetMode="External"/><Relationship Id="rId120" Type="http://schemas.openxmlformats.org/officeDocument/2006/relationships/hyperlink" Target="https://doi.org/10.3390/foods11244083" TargetMode="External"/><Relationship Id="rId125" Type="http://schemas.openxmlformats.org/officeDocument/2006/relationships/hyperlink" Target="https://doi.org/10.1016/0308-8146(90)90097-N" TargetMode="External"/><Relationship Id="rId7" Type="http://schemas.openxmlformats.org/officeDocument/2006/relationships/endnotes" Target="endnotes.xml"/><Relationship Id="rId71" Type="http://schemas.openxmlformats.org/officeDocument/2006/relationships/hyperlink" Target="https://doi.org/10.1016/j.sampre.2022.100032" TargetMode="External"/><Relationship Id="rId92" Type="http://schemas.openxmlformats.org/officeDocument/2006/relationships/hyperlink" Target="https://doi.org/10.1016/j.aca.2016.05.001" TargetMode="External"/><Relationship Id="rId2" Type="http://schemas.openxmlformats.org/officeDocument/2006/relationships/numbering" Target="numbering.xml"/><Relationship Id="rId29" Type="http://schemas.openxmlformats.org/officeDocument/2006/relationships/hyperlink" Target="https://doi.org/10.1016/j.trac.2018.12.020" TargetMode="External"/><Relationship Id="rId24" Type="http://schemas.openxmlformats.org/officeDocument/2006/relationships/hyperlink" Target="https://doi.org/10.1002/jssc.201800785" TargetMode="External"/><Relationship Id="rId40" Type="http://schemas.openxmlformats.org/officeDocument/2006/relationships/hyperlink" Target="https://doi.org/10.1016/j.trac.2016.02.022" TargetMode="External"/><Relationship Id="rId45" Type="http://schemas.openxmlformats.org/officeDocument/2006/relationships/hyperlink" Target="https://doi.org/10.1016/j.trac.2015.03.011" TargetMode="External"/><Relationship Id="rId66" Type="http://schemas.openxmlformats.org/officeDocument/2006/relationships/hyperlink" Target="https://doi.org/10.1016/j.chroma.2015.11.061" TargetMode="External"/><Relationship Id="rId87" Type="http://schemas.openxmlformats.org/officeDocument/2006/relationships/hyperlink" Target="https://doi.org/10.1016/j.chroma.2012.05.006" TargetMode="External"/><Relationship Id="rId110" Type="http://schemas.openxmlformats.org/officeDocument/2006/relationships/hyperlink" Target="https://doi.org/10.1021/ac051632c" TargetMode="External"/><Relationship Id="rId115" Type="http://schemas.openxmlformats.org/officeDocument/2006/relationships/hyperlink" Target="https://doi.org/10.1088/1752-7155/8/2/027105" TargetMode="External"/><Relationship Id="rId61" Type="http://schemas.openxmlformats.org/officeDocument/2006/relationships/hyperlink" Target="https://doi.org/10.1007/s00216-015-9187-z" TargetMode="External"/><Relationship Id="rId82" Type="http://schemas.openxmlformats.org/officeDocument/2006/relationships/hyperlink" Target="https://doi.org/10.1016/j.chroma.2012.05.006" TargetMode="External"/><Relationship Id="rId19" Type="http://schemas.openxmlformats.org/officeDocument/2006/relationships/image" Target="media/image1.jpg"/><Relationship Id="rId14" Type="http://schemas.openxmlformats.org/officeDocument/2006/relationships/hyperlink" Target="https://software.broadinstitute.org/morpheus/" TargetMode="External"/><Relationship Id="rId30" Type="http://schemas.openxmlformats.org/officeDocument/2006/relationships/hyperlink" Target="https://doi.org/10.1016/j.trac.2018.12.020" TargetMode="External"/><Relationship Id="rId35" Type="http://schemas.openxmlformats.org/officeDocument/2006/relationships/hyperlink" Target="https://doi.org/10.1016/j.trac.2018.12.020" TargetMode="External"/><Relationship Id="rId56" Type="http://schemas.openxmlformats.org/officeDocument/2006/relationships/hyperlink" Target="https://doi.org/10.1002/(SICI)1520-667X(1999)11:10%3c737::AID-MCS7%3e3.0.CO;2-4" TargetMode="External"/><Relationship Id="rId77" Type="http://schemas.openxmlformats.org/officeDocument/2006/relationships/hyperlink" Target="https://doi.org/10.1021/acs.analchem.7b04502" TargetMode="External"/><Relationship Id="rId100" Type="http://schemas.openxmlformats.org/officeDocument/2006/relationships/hyperlink" Target="https://doi.org/10.1002/jssc.202000098" TargetMode="External"/><Relationship Id="rId105" Type="http://schemas.openxmlformats.org/officeDocument/2006/relationships/hyperlink" Target="https://doi.org/10.1007/s00216-022-04457-x" TargetMode="External"/><Relationship Id="rId126" Type="http://schemas.openxmlformats.org/officeDocument/2006/relationships/hyperlink" Target="https://doi.org/10.1016/j.profoo.2011.09.166" TargetMode="External"/><Relationship Id="rId8" Type="http://schemas.openxmlformats.org/officeDocument/2006/relationships/hyperlink" Target="https://software.broadinstitute.org/morpheus/" TargetMode="External"/><Relationship Id="rId51" Type="http://schemas.openxmlformats.org/officeDocument/2006/relationships/hyperlink" Target="https://doi.org/10.1016/j.trac.2015.03.011" TargetMode="External"/><Relationship Id="rId72" Type="http://schemas.openxmlformats.org/officeDocument/2006/relationships/hyperlink" Target="https://doi.org/10.1016/j.sampre.2022.100032" TargetMode="External"/><Relationship Id="rId93" Type="http://schemas.openxmlformats.org/officeDocument/2006/relationships/hyperlink" Target="https://doi.org/10.1016/j.aca.2016.05.001" TargetMode="External"/><Relationship Id="rId98" Type="http://schemas.openxmlformats.org/officeDocument/2006/relationships/hyperlink" Target="https://doi.org/10.1016/j.chroma.2012.03.084" TargetMode="External"/><Relationship Id="rId121" Type="http://schemas.openxmlformats.org/officeDocument/2006/relationships/hyperlink" Target="https://doi.org/10.1111/1541-4337.12205" TargetMode="External"/><Relationship Id="rId3" Type="http://schemas.openxmlformats.org/officeDocument/2006/relationships/styles" Target="styles.xml"/><Relationship Id="rId25" Type="http://schemas.openxmlformats.org/officeDocument/2006/relationships/hyperlink" Target="https://doi.org/10.1002/jssc.201800785" TargetMode="External"/><Relationship Id="rId46" Type="http://schemas.openxmlformats.org/officeDocument/2006/relationships/hyperlink" Target="https://doi.org/10.1016/j.trac.2015.03.011" TargetMode="External"/><Relationship Id="rId67" Type="http://schemas.openxmlformats.org/officeDocument/2006/relationships/hyperlink" Target="https://doi.org/10.3390/separations7010012." TargetMode="External"/><Relationship Id="rId116" Type="http://schemas.openxmlformats.org/officeDocument/2006/relationships/hyperlink" Target="https://doi.org/10.1088/1752-7155/8/2/027105" TargetMode="External"/><Relationship Id="rId20" Type="http://schemas.openxmlformats.org/officeDocument/2006/relationships/image" Target="media/image2.jpg"/><Relationship Id="rId41" Type="http://schemas.openxmlformats.org/officeDocument/2006/relationships/hyperlink" Target="https://doi.org/10.1016/j.trac.2016.02.022" TargetMode="External"/><Relationship Id="rId62" Type="http://schemas.openxmlformats.org/officeDocument/2006/relationships/hyperlink" Target="https://doi.org/10.1007/s00216-015-9187-z" TargetMode="External"/><Relationship Id="rId83" Type="http://schemas.openxmlformats.org/officeDocument/2006/relationships/hyperlink" Target="https://doi.org/10.1016/j.chroma.2012.05.006" TargetMode="External"/><Relationship Id="rId88" Type="http://schemas.openxmlformats.org/officeDocument/2006/relationships/hyperlink" Target="https://doi.org/10.1016/j.chroma.2012.05.006" TargetMode="External"/><Relationship Id="rId111" Type="http://schemas.openxmlformats.org/officeDocument/2006/relationships/hyperlink" Target="https://doi.org/10.1021/ac051632c" TargetMode="External"/><Relationship Id="rId15" Type="http://schemas.openxmlformats.org/officeDocument/2006/relationships/hyperlink" Target="https://software.broadinstitute.org/morpheus/" TargetMode="External"/><Relationship Id="rId36" Type="http://schemas.openxmlformats.org/officeDocument/2006/relationships/hyperlink" Target="https://doi.org/10.1016/j.trac.2018.12.020" TargetMode="External"/><Relationship Id="rId57" Type="http://schemas.openxmlformats.org/officeDocument/2006/relationships/hyperlink" Target="https://doi.org/10.1002/(SICI)1520-667X(1999)11:10%3c737::AID-MCS7%3e3.0.CO;2-4" TargetMode="External"/><Relationship Id="rId106" Type="http://schemas.openxmlformats.org/officeDocument/2006/relationships/hyperlink" Target="https://doi.org/10.1021/jf010877x" TargetMode="External"/><Relationship Id="rId127" Type="http://schemas.openxmlformats.org/officeDocument/2006/relationships/header" Target="header1.xml"/><Relationship Id="rId10" Type="http://schemas.openxmlformats.org/officeDocument/2006/relationships/hyperlink" Target="https://software.broadinstitute.org/morpheus/" TargetMode="External"/><Relationship Id="rId31" Type="http://schemas.openxmlformats.org/officeDocument/2006/relationships/hyperlink" Target="https://doi.org/10.1016/j.trac.2018.12.020" TargetMode="External"/><Relationship Id="rId52" Type="http://schemas.openxmlformats.org/officeDocument/2006/relationships/hyperlink" Target="https://doi.org/10.1016/j.trac.2015.03.011" TargetMode="External"/><Relationship Id="rId73" Type="http://schemas.openxmlformats.org/officeDocument/2006/relationships/hyperlink" Target="https://doi.org/10.1016/j.sampre.2022.100032" TargetMode="External"/><Relationship Id="rId78" Type="http://schemas.openxmlformats.org/officeDocument/2006/relationships/hyperlink" Target="https://doi.org/10.1016/j.trac.2019.01.022" TargetMode="External"/><Relationship Id="rId94" Type="http://schemas.openxmlformats.org/officeDocument/2006/relationships/hyperlink" Target="https://doi.org/10.1016/j.aca.2017.06.033" TargetMode="External"/><Relationship Id="rId99" Type="http://schemas.openxmlformats.org/officeDocument/2006/relationships/hyperlink" Target="https://doi.org/10.1016/j.chroma.2012.03.084" TargetMode="External"/><Relationship Id="rId101" Type="http://schemas.openxmlformats.org/officeDocument/2006/relationships/hyperlink" Target="https://doi.org/10.1016/j.aca.2020.05.007" TargetMode="External"/><Relationship Id="rId122" Type="http://schemas.openxmlformats.org/officeDocument/2006/relationships/hyperlink" Target="https://doi.org/10.1016/j.lwt.2019.108718" TargetMode="External"/><Relationship Id="rId4" Type="http://schemas.openxmlformats.org/officeDocument/2006/relationships/settings" Target="settings.xml"/><Relationship Id="rId9" Type="http://schemas.openxmlformats.org/officeDocument/2006/relationships/hyperlink" Target="https://software.broadinstitute.org/morpheus/" TargetMode="External"/><Relationship Id="rId26" Type="http://schemas.openxmlformats.org/officeDocument/2006/relationships/hyperlink" Target="https://doi.org/10.1016/j.trac.2015.04.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30C8-649A-43AC-9E5A-339ADD68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7043</Words>
  <Characters>40151</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Dohogne</dc:creator>
  <cp:keywords/>
  <cp:lastModifiedBy>Damien Eggermont</cp:lastModifiedBy>
  <cp:revision>4</cp:revision>
  <cp:lastPrinted>2018-12-03T10:11:00Z</cp:lastPrinted>
  <dcterms:created xsi:type="dcterms:W3CDTF">2025-07-07T19:43:00Z</dcterms:created>
  <dcterms:modified xsi:type="dcterms:W3CDTF">2025-07-07T20:02:00Z</dcterms:modified>
</cp:coreProperties>
</file>