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BDD" w:rsidRPr="007F3EB9" w:rsidRDefault="006B6BDD" w:rsidP="000A6C61">
      <w:pPr>
        <w:spacing w:after="0" w:line="360" w:lineRule="auto"/>
        <w:jc w:val="center"/>
        <w:rPr>
          <w:b/>
          <w:sz w:val="28"/>
        </w:rPr>
      </w:pPr>
      <w:r w:rsidRPr="007F3EB9">
        <w:rPr>
          <w:b/>
          <w:sz w:val="28"/>
        </w:rPr>
        <w:t xml:space="preserve">Design Strategies of the Mantis Shrimp Spike: How </w:t>
      </w:r>
      <w:r w:rsidR="00612EA8" w:rsidRPr="007F3EB9">
        <w:rPr>
          <w:b/>
          <w:sz w:val="28"/>
        </w:rPr>
        <w:t xml:space="preserve">The </w:t>
      </w:r>
      <w:r w:rsidRPr="007F3EB9">
        <w:rPr>
          <w:b/>
          <w:sz w:val="28"/>
        </w:rPr>
        <w:t xml:space="preserve">Crustacean Cuticle </w:t>
      </w:r>
      <w:r w:rsidR="0099562D" w:rsidRPr="007F3EB9">
        <w:rPr>
          <w:b/>
          <w:sz w:val="28"/>
        </w:rPr>
        <w:t xml:space="preserve">Became </w:t>
      </w:r>
      <w:r w:rsidRPr="007F3EB9">
        <w:rPr>
          <w:b/>
          <w:sz w:val="28"/>
        </w:rPr>
        <w:t>a</w:t>
      </w:r>
      <w:r w:rsidR="0099562D" w:rsidRPr="007F3EB9">
        <w:rPr>
          <w:b/>
          <w:sz w:val="28"/>
        </w:rPr>
        <w:t xml:space="preserve"> Remarkable </w:t>
      </w:r>
      <w:r w:rsidRPr="007F3EB9">
        <w:rPr>
          <w:b/>
          <w:sz w:val="28"/>
        </w:rPr>
        <w:t>Biological Harpoon?</w:t>
      </w:r>
    </w:p>
    <w:p w:rsidR="000A6C61" w:rsidRPr="007F3EB9" w:rsidRDefault="000A6C61" w:rsidP="000A6C61">
      <w:pPr>
        <w:spacing w:after="0" w:line="360" w:lineRule="auto"/>
        <w:jc w:val="both"/>
      </w:pPr>
    </w:p>
    <w:p w:rsidR="006B6BDD" w:rsidRPr="007F3EB9" w:rsidRDefault="00DC2FD4" w:rsidP="000A6C61">
      <w:pPr>
        <w:spacing w:after="0" w:line="360" w:lineRule="auto"/>
        <w:jc w:val="both"/>
      </w:pPr>
      <w:r w:rsidRPr="007F3EB9">
        <w:t xml:space="preserve">By </w:t>
      </w:r>
      <w:r w:rsidR="58CD202E" w:rsidRPr="007F3EB9">
        <w:t>Yann Delaunois, Alexandra Tits, Quentin Grossman, Sarah Smeets, Cédric Malherbe, Gauthier Eppe, G. Harry van Lenthe, Davide Ruffoni</w:t>
      </w:r>
      <w:r w:rsidR="58CD202E" w:rsidRPr="007F3EB9">
        <w:rPr>
          <w:vertAlign w:val="superscript"/>
        </w:rPr>
        <w:t>*</w:t>
      </w:r>
      <w:r w:rsidR="58CD202E" w:rsidRPr="007F3EB9">
        <w:t xml:space="preserve"> and Philippe Compère</w:t>
      </w:r>
      <w:r w:rsidR="58CD202E" w:rsidRPr="007F3EB9">
        <w:rPr>
          <w:vertAlign w:val="superscript"/>
        </w:rPr>
        <w:t>*</w:t>
      </w:r>
    </w:p>
    <w:p w:rsidR="00DC2FD4" w:rsidRPr="007F3EB9" w:rsidRDefault="00DC2FD4" w:rsidP="000A6C61">
      <w:pPr>
        <w:spacing w:after="0" w:line="360" w:lineRule="auto"/>
        <w:jc w:val="both"/>
      </w:pPr>
    </w:p>
    <w:p w:rsidR="0099562D" w:rsidRPr="007F3EB9" w:rsidRDefault="0099562D" w:rsidP="000A6C61">
      <w:pPr>
        <w:spacing w:after="0" w:line="360" w:lineRule="auto"/>
        <w:jc w:val="both"/>
      </w:pPr>
      <w:r w:rsidRPr="007F3EB9">
        <w:t>*</w:t>
      </w:r>
      <w:r w:rsidR="000A6C61" w:rsidRPr="007F3EB9">
        <w:t>Equal supervision of the work</w:t>
      </w:r>
      <w:r w:rsidR="00423FBD" w:rsidRPr="007F3EB9">
        <w:t xml:space="preserve"> and corresponding authors</w:t>
      </w:r>
      <w:r w:rsidR="001F0A2D" w:rsidRPr="007F3EB9">
        <w:t>.</w:t>
      </w:r>
    </w:p>
    <w:p w:rsidR="000A6C61" w:rsidRPr="007F3EB9" w:rsidRDefault="000A6C61" w:rsidP="000A6C61">
      <w:pPr>
        <w:spacing w:after="0" w:line="360" w:lineRule="auto"/>
        <w:jc w:val="both"/>
      </w:pPr>
    </w:p>
    <w:p w:rsidR="00DC2FD4" w:rsidRPr="007F3EB9" w:rsidRDefault="00DC2FD4" w:rsidP="000A6C61">
      <w:pPr>
        <w:spacing w:after="0" w:line="360" w:lineRule="auto"/>
        <w:jc w:val="both"/>
      </w:pPr>
      <w:r w:rsidRPr="007F3EB9">
        <w:t>Supporting Information</w:t>
      </w:r>
    </w:p>
    <w:p w:rsidR="00DC2FD4" w:rsidRPr="007F3EB9" w:rsidRDefault="00DC2FD4" w:rsidP="000A6C61">
      <w:pPr>
        <w:spacing w:after="0" w:line="36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C2FD4" w:rsidRPr="007F3EB9">
        <w:tc>
          <w:tcPr>
            <w:tcW w:w="9396" w:type="dxa"/>
          </w:tcPr>
          <w:p w:rsidR="00DC2FD4" w:rsidRPr="007F3EB9" w:rsidRDefault="00412DA5" w:rsidP="004E2165">
            <w:pPr>
              <w:spacing w:after="0" w:line="360" w:lineRule="auto"/>
              <w:jc w:val="center"/>
            </w:pPr>
            <w:r>
              <w:rPr>
                <w:noProof/>
                <w:lang w:val="en-IN" w:eastAsia="zh-CN"/>
              </w:rPr>
              <w:drawing>
                <wp:inline distT="0" distB="0" distL="0" distR="0">
                  <wp:extent cx="4773168" cy="3044952"/>
                  <wp:effectExtent l="25400" t="0" r="2032" b="0"/>
                  <wp:docPr id="4" name="Picture 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68" cy="304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FD4" w:rsidRPr="007F3EB9">
        <w:tc>
          <w:tcPr>
            <w:tcW w:w="9396" w:type="dxa"/>
          </w:tcPr>
          <w:p w:rsidR="00DC2FD4" w:rsidRPr="007F3EB9" w:rsidRDefault="00DC2FD4" w:rsidP="00D7044F">
            <w:pPr>
              <w:spacing w:after="0" w:line="240" w:lineRule="auto"/>
              <w:jc w:val="both"/>
            </w:pPr>
            <w:r w:rsidRPr="007F3EB9">
              <w:t>Figure S1: (</w:t>
            </w:r>
            <w:r w:rsidR="00D7044F">
              <w:t>a</w:t>
            </w:r>
            <w:r w:rsidRPr="007F3EB9">
              <w:t xml:space="preserve">) The raptorial appendage at resting position with the spikes parked </w:t>
            </w:r>
            <w:r w:rsidR="003A600D" w:rsidRPr="007F3EB9">
              <w:t xml:space="preserve">inside characteristic grooves of the </w:t>
            </w:r>
            <w:r w:rsidRPr="007F3EB9">
              <w:t>propodus (scale bar: 1cm). (</w:t>
            </w:r>
            <w:r w:rsidR="00D7044F">
              <w:t>b</w:t>
            </w:r>
            <w:r w:rsidRPr="007F3EB9">
              <w:t>) BSE-SEM image of a polished section showing the regular cavities and ridges with alternatively softer and harder mineralized cuticle hosting the distal part of the spikes (scale bar: 100 µm).</w:t>
            </w:r>
          </w:p>
        </w:tc>
      </w:tr>
    </w:tbl>
    <w:p w:rsidR="004E2165" w:rsidRPr="007F3EB9" w:rsidRDefault="004E2165">
      <w:pPr>
        <w:spacing w:after="0" w:line="240" w:lineRule="auto"/>
      </w:pPr>
      <w:r w:rsidRPr="007F3EB9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404A5E" w:rsidRPr="007F3EB9">
        <w:tc>
          <w:tcPr>
            <w:tcW w:w="9396" w:type="dxa"/>
          </w:tcPr>
          <w:p w:rsidR="00404A5E" w:rsidRPr="007F3EB9" w:rsidRDefault="00A8222B" w:rsidP="00404A5E">
            <w:pPr>
              <w:spacing w:after="0" w:line="360" w:lineRule="auto"/>
              <w:jc w:val="center"/>
            </w:pPr>
            <w:r w:rsidRPr="007F3EB9">
              <w:rPr>
                <w:noProof/>
                <w:lang w:val="en-IN" w:eastAsia="zh-CN"/>
              </w:rPr>
              <w:lastRenderedPageBreak/>
              <w:drawing>
                <wp:inline distT="0" distB="0" distL="0" distR="0">
                  <wp:extent cx="3177766" cy="2586400"/>
                  <wp:effectExtent l="0" t="0" r="381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528" cy="2589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5E" w:rsidRPr="007F3EB9">
        <w:tc>
          <w:tcPr>
            <w:tcW w:w="9396" w:type="dxa"/>
          </w:tcPr>
          <w:p w:rsidR="00404A5E" w:rsidRPr="007F3EB9" w:rsidRDefault="2BD3F2E4" w:rsidP="00404A5E">
            <w:pPr>
              <w:spacing w:after="0" w:line="240" w:lineRule="auto"/>
              <w:jc w:val="both"/>
            </w:pPr>
            <w:r w:rsidRPr="007F3EB9">
              <w:t xml:space="preserve">Figure S2: Variation of the cross-sectional area and eccentricity along the length of the spike as measured on micro-CT reconstructions. The cross-sectional area increases monotonically from the tip to the base (insertion on the dactyl) while the eccentricity remains </w:t>
            </w:r>
            <w:r w:rsidR="00E95C72" w:rsidRPr="007F3EB9">
              <w:t xml:space="preserve">practically </w:t>
            </w:r>
            <w:r w:rsidR="00463350" w:rsidRPr="007F3EB9">
              <w:t>constant</w:t>
            </w:r>
            <w:r w:rsidRPr="007F3EB9">
              <w:t xml:space="preserve"> and shows slightly higher values in the first third of the spike.</w:t>
            </w:r>
          </w:p>
        </w:tc>
      </w:tr>
    </w:tbl>
    <w:p w:rsidR="004E2165" w:rsidRPr="007F3EB9" w:rsidRDefault="004E2165" w:rsidP="00404A5E">
      <w:pPr>
        <w:spacing w:after="0" w:line="24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F40295" w:rsidRPr="007F3EB9">
        <w:tc>
          <w:tcPr>
            <w:tcW w:w="9396" w:type="dxa"/>
          </w:tcPr>
          <w:p w:rsidR="00F40295" w:rsidRPr="007F3EB9" w:rsidRDefault="00412DA5" w:rsidP="004E2165">
            <w:pPr>
              <w:spacing w:after="0" w:line="240" w:lineRule="auto"/>
              <w:jc w:val="center"/>
            </w:pPr>
            <w:r>
              <w:rPr>
                <w:noProof/>
                <w:lang w:val="en-IN" w:eastAsia="zh-CN"/>
              </w:rPr>
              <w:drawing>
                <wp:inline distT="0" distB="0" distL="0" distR="0">
                  <wp:extent cx="3625596" cy="3250692"/>
                  <wp:effectExtent l="25400" t="0" r="6604" b="0"/>
                  <wp:docPr id="7" name="Picture 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596" cy="325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2165" w:rsidRPr="007F3EB9" w:rsidRDefault="004E2165" w:rsidP="004E2165">
            <w:pPr>
              <w:spacing w:after="0" w:line="240" w:lineRule="auto"/>
            </w:pPr>
          </w:p>
        </w:tc>
      </w:tr>
      <w:tr w:rsidR="00F40295" w:rsidRPr="007F3EB9">
        <w:tc>
          <w:tcPr>
            <w:tcW w:w="9396" w:type="dxa"/>
          </w:tcPr>
          <w:p w:rsidR="00F40295" w:rsidRPr="007F3EB9" w:rsidRDefault="2BD3F2E4" w:rsidP="00D7044F">
            <w:pPr>
              <w:spacing w:after="0" w:line="240" w:lineRule="auto"/>
              <w:jc w:val="both"/>
            </w:pPr>
            <w:r w:rsidRPr="007F3EB9">
              <w:t>Figure S3: (</w:t>
            </w:r>
            <w:r w:rsidR="00D7044F">
              <w:t>a</w:t>
            </w:r>
            <w:r w:rsidRPr="007F3EB9">
              <w:t>-</w:t>
            </w:r>
            <w:r w:rsidR="00D7044F">
              <w:t>c</w:t>
            </w:r>
            <w:r w:rsidRPr="007F3EB9">
              <w:t>) Micro-CT reconstructions and (</w:t>
            </w:r>
            <w:r w:rsidR="00D7044F">
              <w:t>d</w:t>
            </w:r>
            <w:r w:rsidRPr="007F3EB9">
              <w:t>-</w:t>
            </w:r>
            <w:r w:rsidR="00D7044F">
              <w:t>e</w:t>
            </w:r>
            <w:r w:rsidRPr="007F3EB9">
              <w:t>) SE-SEM images of a distal spike showing (</w:t>
            </w:r>
            <w:r w:rsidRPr="007F3EB9">
              <w:rPr>
                <w:rFonts w:ascii="Times New Roman" w:hAnsi="Times New Roman"/>
                <w:color w:val="A6A6A6" w:themeColor="background1" w:themeShade="A6"/>
              </w:rPr>
              <w:t>♦</w:t>
            </w:r>
            <w:r w:rsidRPr="007F3EB9">
              <w:t>) serrations and (</w:t>
            </w:r>
            <w:r w:rsidRPr="007F3EB9">
              <w:rPr>
                <w:rFonts w:ascii="Arial" w:hAnsi="Arial" w:cs="Arial"/>
                <w:color w:val="A6A6A6" w:themeColor="background1" w:themeShade="A6"/>
              </w:rPr>
              <w:t>▲</w:t>
            </w:r>
            <w:r w:rsidRPr="007F3EB9">
              <w:t>) grooves. These features are shown from multiple viewpoints including: (</w:t>
            </w:r>
            <w:r w:rsidR="00D7044F">
              <w:t>a</w:t>
            </w:r>
            <w:r w:rsidRPr="007F3EB9">
              <w:t xml:space="preserve">, </w:t>
            </w:r>
            <w:r w:rsidR="00D7044F">
              <w:t>e</w:t>
            </w:r>
            <w:r w:rsidRPr="007F3EB9">
              <w:t>) lateral side, (</w:t>
            </w:r>
            <w:r w:rsidR="00D7044F">
              <w:t>b</w:t>
            </w:r>
            <w:r w:rsidRPr="007F3EB9">
              <w:t>) top view and (</w:t>
            </w:r>
            <w:r w:rsidR="00D7044F">
              <w:t>c</w:t>
            </w:r>
            <w:r w:rsidRPr="007F3EB9">
              <w:t xml:space="preserve">, </w:t>
            </w:r>
            <w:r w:rsidR="00D7044F">
              <w:t>d</w:t>
            </w:r>
            <w:r w:rsidRPr="007F3EB9">
              <w:t xml:space="preserve">) tip of the spike. The serrations grow out progressively from the tip and reach a stable dimension (within about 500 </w:t>
            </w:r>
            <w:r w:rsidRPr="007F3EB9">
              <w:rPr>
                <w:rFonts w:cs="Calibri"/>
              </w:rPr>
              <w:t>µ</w:t>
            </w:r>
            <w:r w:rsidRPr="007F3EB9">
              <w:t xml:space="preserve">m) before decreasing in size towards the base of the spike. </w:t>
            </w:r>
            <w:r w:rsidR="00D9244A" w:rsidRPr="007F3EB9">
              <w:t>T</w:t>
            </w:r>
            <w:r w:rsidRPr="007F3EB9">
              <w:t>he spacing between serrations is mirrored into oblique grooves wrapping around the spike and giving a characteristic “staircase” appearance. (</w:t>
            </w:r>
            <w:r w:rsidR="00D7044F">
              <w:t>e</w:t>
            </w:r>
            <w:r w:rsidRPr="007F3EB9">
              <w:t>) Higher magnification SEM highlights a repetitive pattern of “sub-grooves” in between the main grooves. Scale bars: 200 µm (</w:t>
            </w:r>
            <w:r w:rsidR="00D7044F">
              <w:t>a</w:t>
            </w:r>
            <w:r w:rsidR="00CD029D" w:rsidRPr="007F3EB9">
              <w:t>-</w:t>
            </w:r>
            <w:r w:rsidR="00D7044F">
              <w:t>d</w:t>
            </w:r>
            <w:r w:rsidRPr="007F3EB9">
              <w:t>) and 50 µm (</w:t>
            </w:r>
            <w:r w:rsidR="00D7044F">
              <w:t>e</w:t>
            </w:r>
            <w:r w:rsidRPr="007F3EB9">
              <w:t>).</w:t>
            </w:r>
          </w:p>
        </w:tc>
      </w:tr>
      <w:tr w:rsidR="009F727F" w:rsidRPr="007F3EB9">
        <w:tc>
          <w:tcPr>
            <w:tcW w:w="9396" w:type="dxa"/>
          </w:tcPr>
          <w:p w:rsidR="009F727F" w:rsidRPr="007F3EB9" w:rsidRDefault="009F727F" w:rsidP="005C5B40">
            <w:pPr>
              <w:spacing w:after="0" w:line="240" w:lineRule="auto"/>
              <w:jc w:val="center"/>
            </w:pPr>
            <w:r w:rsidRPr="007F3EB9">
              <w:rPr>
                <w:noProof/>
                <w:lang w:val="en-IN" w:eastAsia="zh-CN"/>
              </w:rPr>
              <w:lastRenderedPageBreak/>
              <w:drawing>
                <wp:inline distT="0" distB="0" distL="0" distR="0">
                  <wp:extent cx="2846648" cy="21621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5"/>
                          <a:stretch/>
                        </pic:blipFill>
                        <pic:spPr bwMode="auto">
                          <a:xfrm>
                            <a:off x="0" y="0"/>
                            <a:ext cx="2853023" cy="216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27F" w:rsidRPr="007F3EB9">
        <w:tc>
          <w:tcPr>
            <w:tcW w:w="9396" w:type="dxa"/>
          </w:tcPr>
          <w:p w:rsidR="009F727F" w:rsidRPr="007F3EB9" w:rsidRDefault="005C5B40" w:rsidP="002100AE">
            <w:pPr>
              <w:spacing w:after="0" w:line="240" w:lineRule="auto"/>
              <w:jc w:val="both"/>
            </w:pPr>
            <w:r w:rsidRPr="007F3EB9">
              <w:t>Figure S4. SE-SEM image of a longitudinal fractured surface showing the presence of mineral crystallites with a typical size of about 45 nm. HMR: Highly mineralized region, OHR: Outer Helicoidal Region, arrow heads: pore canals.</w:t>
            </w:r>
          </w:p>
        </w:tc>
      </w:tr>
    </w:tbl>
    <w:p w:rsidR="00F40295" w:rsidRPr="007F3EB9" w:rsidRDefault="00F40295" w:rsidP="00404A5E">
      <w:pPr>
        <w:spacing w:after="0" w:line="240" w:lineRule="auto"/>
        <w:jc w:val="both"/>
      </w:pPr>
    </w:p>
    <w:p w:rsidR="005B2555" w:rsidRPr="007F3EB9" w:rsidRDefault="005B2555" w:rsidP="116D56AA">
      <w:pPr>
        <w:spacing w:after="0" w:line="24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8"/>
      </w:tblGrid>
      <w:tr w:rsidR="00F40295" w:rsidRPr="007F3EB9">
        <w:tc>
          <w:tcPr>
            <w:tcW w:w="9388" w:type="dxa"/>
          </w:tcPr>
          <w:p w:rsidR="00F40295" w:rsidRPr="007F3EB9" w:rsidRDefault="00A8222B" w:rsidP="004E2165">
            <w:pPr>
              <w:spacing w:after="0" w:line="240" w:lineRule="auto"/>
              <w:jc w:val="center"/>
            </w:pPr>
            <w:r w:rsidRPr="007F3EB9">
              <w:rPr>
                <w:noProof/>
                <w:lang w:val="en-IN" w:eastAsia="zh-CN"/>
              </w:rPr>
              <w:drawing>
                <wp:inline distT="0" distB="0" distL="0" distR="0">
                  <wp:extent cx="4753069" cy="2684271"/>
                  <wp:effectExtent l="0" t="0" r="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860" cy="26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295" w:rsidRPr="007F3EB9">
        <w:tc>
          <w:tcPr>
            <w:tcW w:w="9388" w:type="dxa"/>
          </w:tcPr>
          <w:p w:rsidR="00F40295" w:rsidRPr="007F3EB9" w:rsidRDefault="00F40295" w:rsidP="00CB7818">
            <w:pPr>
              <w:spacing w:after="0" w:line="240" w:lineRule="auto"/>
              <w:jc w:val="both"/>
            </w:pPr>
            <w:r w:rsidRPr="007F3EB9">
              <w:t>Figure S</w:t>
            </w:r>
            <w:r w:rsidR="009F727F" w:rsidRPr="007F3EB9">
              <w:t>5</w:t>
            </w:r>
            <w:r w:rsidRPr="007F3EB9">
              <w:t>: Relative contribution of the four microstructural regions (HMR</w:t>
            </w:r>
            <w:r w:rsidR="00CB7818" w:rsidRPr="007F3EB9">
              <w:t>: highly mineralized region, OHR: outer helicoidal region, STR: striated region, IHR: inner helicoidal region)</w:t>
            </w:r>
            <w:r w:rsidRPr="007F3EB9">
              <w:t xml:space="preserve"> to the total thickness of the spike cuticle measured on representative cross-sections at three </w:t>
            </w:r>
            <w:r w:rsidR="00CB7818" w:rsidRPr="007F3EB9">
              <w:t xml:space="preserve">different </w:t>
            </w:r>
            <w:r w:rsidRPr="007F3EB9">
              <w:t xml:space="preserve">locations along the spike length. </w:t>
            </w:r>
            <w:r w:rsidR="00CB7818" w:rsidRPr="007F3EB9">
              <w:t>A</w:t>
            </w:r>
            <w:r w:rsidRPr="007F3EB9">
              <w:t xml:space="preserve"> </w:t>
            </w:r>
            <w:r w:rsidR="00023AF2" w:rsidRPr="007F3EB9">
              <w:t xml:space="preserve">small </w:t>
            </w:r>
            <w:r w:rsidRPr="007F3EB9">
              <w:t xml:space="preserve">gradual increase of the </w:t>
            </w:r>
            <w:r w:rsidR="00CB7818" w:rsidRPr="007F3EB9">
              <w:t xml:space="preserve">relative thickness of the </w:t>
            </w:r>
            <w:r w:rsidRPr="007F3EB9">
              <w:t xml:space="preserve">HMR </w:t>
            </w:r>
            <w:r w:rsidR="00CB7818" w:rsidRPr="007F3EB9">
              <w:t xml:space="preserve">at the expenses of the IHR is observed toward </w:t>
            </w:r>
            <w:r w:rsidRPr="007F3EB9">
              <w:t xml:space="preserve">tip </w:t>
            </w:r>
            <w:r w:rsidR="00CB7818" w:rsidRPr="007F3EB9">
              <w:t>of the spike</w:t>
            </w:r>
            <w:r w:rsidRPr="007F3EB9">
              <w:t xml:space="preserve">. Data based on BSE-SEM images of polished </w:t>
            </w:r>
            <w:r w:rsidR="00CB7818" w:rsidRPr="007F3EB9">
              <w:t xml:space="preserve">and </w:t>
            </w:r>
            <w:r w:rsidRPr="007F3EB9">
              <w:t>resin embedded cross-sections (right).</w:t>
            </w:r>
          </w:p>
        </w:tc>
      </w:tr>
    </w:tbl>
    <w:p w:rsidR="00CF3248" w:rsidRPr="007F3EB9" w:rsidRDefault="00CF3248" w:rsidP="31ACFF81">
      <w:pPr>
        <w:spacing w:after="0" w:line="240" w:lineRule="auto"/>
        <w:jc w:val="both"/>
      </w:pPr>
    </w:p>
    <w:p w:rsidR="00D9244A" w:rsidRPr="007F3EB9" w:rsidRDefault="00D9244A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A2EE7" w:rsidRPr="007F3EB9">
        <w:tc>
          <w:tcPr>
            <w:tcW w:w="9396" w:type="dxa"/>
          </w:tcPr>
          <w:p w:rsidR="00BA2EE7" w:rsidRPr="007F3EB9" w:rsidRDefault="00412DA5" w:rsidP="00D9244A">
            <w:pPr>
              <w:spacing w:after="0" w:line="240" w:lineRule="auto"/>
              <w:jc w:val="center"/>
            </w:pPr>
            <w:r>
              <w:rPr>
                <w:noProof/>
                <w:lang w:val="en-IN" w:eastAsia="zh-CN"/>
              </w:rPr>
              <w:lastRenderedPageBreak/>
              <w:drawing>
                <wp:inline distT="0" distB="0" distL="0" distR="0">
                  <wp:extent cx="5463540" cy="2542032"/>
                  <wp:effectExtent l="25400" t="0" r="0" b="0"/>
                  <wp:docPr id="9" name="Picture 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40" cy="254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EE7" w:rsidRPr="007F3EB9">
        <w:tc>
          <w:tcPr>
            <w:tcW w:w="9396" w:type="dxa"/>
          </w:tcPr>
          <w:p w:rsidR="00BA2EE7" w:rsidRPr="007F3EB9" w:rsidRDefault="00E868AD" w:rsidP="007613A3">
            <w:pPr>
              <w:spacing w:after="0" w:line="240" w:lineRule="auto"/>
              <w:jc w:val="both"/>
            </w:pPr>
            <w:r w:rsidRPr="007F3EB9">
              <w:t>Figure S</w:t>
            </w:r>
            <w:r w:rsidR="009F727F" w:rsidRPr="007F3EB9">
              <w:t>6</w:t>
            </w:r>
            <w:r w:rsidRPr="007F3EB9">
              <w:t xml:space="preserve">: </w:t>
            </w:r>
            <w:r w:rsidR="00CF3248" w:rsidRPr="007F3EB9">
              <w:t>EDS</w:t>
            </w:r>
            <w:r w:rsidRPr="007F3EB9">
              <w:t xml:space="preserve"> line profile</w:t>
            </w:r>
            <w:r w:rsidR="00CF3248" w:rsidRPr="007F3EB9">
              <w:t>s</w:t>
            </w:r>
            <w:r w:rsidRPr="007F3EB9">
              <w:t xml:space="preserve"> at the level of a serration. (</w:t>
            </w:r>
            <w:r w:rsidR="007613A3">
              <w:t>a</w:t>
            </w:r>
            <w:r w:rsidRPr="007F3EB9">
              <w:t xml:space="preserve">) BSE-SEM view of </w:t>
            </w:r>
            <w:r w:rsidR="00041772">
              <w:t xml:space="preserve">the </w:t>
            </w:r>
            <w:r w:rsidR="00CF3248" w:rsidRPr="007F3EB9">
              <w:t xml:space="preserve">analyzed area </w:t>
            </w:r>
            <w:r w:rsidRPr="007F3EB9">
              <w:t xml:space="preserve">on a polished transversal cross-section of </w:t>
            </w:r>
            <w:r w:rsidR="00CF3248" w:rsidRPr="007F3EB9">
              <w:t xml:space="preserve">the </w:t>
            </w:r>
            <w:r w:rsidRPr="007F3EB9">
              <w:t>spike. (</w:t>
            </w:r>
            <w:r w:rsidR="007613A3">
              <w:t>b</w:t>
            </w:r>
            <w:r w:rsidRPr="007F3EB9">
              <w:t>) Element distribution along the dotted line in A as provided by profile plots of X-ray peak intensities of the major elements</w:t>
            </w:r>
            <w:r w:rsidR="00CF3248" w:rsidRPr="007F3EB9">
              <w:t xml:space="preserve"> </w:t>
            </w:r>
            <w:r w:rsidRPr="007F3EB9">
              <w:t xml:space="preserve">(in counts, </w:t>
            </w:r>
            <w:r w:rsidR="00CF3248" w:rsidRPr="007F3EB9">
              <w:t>left</w:t>
            </w:r>
            <w:r w:rsidRPr="007F3EB9">
              <w:t xml:space="preserve"> scale) as well as of the minor elements</w:t>
            </w:r>
            <w:r w:rsidR="00CF3248" w:rsidRPr="007F3EB9">
              <w:t xml:space="preserve"> </w:t>
            </w:r>
            <w:r w:rsidRPr="007F3EB9">
              <w:t xml:space="preserve">(in counts, right scale). </w:t>
            </w:r>
            <w:r w:rsidR="00CF3248" w:rsidRPr="007F3EB9">
              <w:t>Concentrations</w:t>
            </w:r>
            <w:r w:rsidRPr="007F3EB9">
              <w:t xml:space="preserve"> of Ca and P </w:t>
            </w:r>
            <w:r w:rsidR="00CF3248" w:rsidRPr="007F3EB9">
              <w:t xml:space="preserve">show a minimum within the </w:t>
            </w:r>
            <w:r w:rsidRPr="007F3EB9">
              <w:t>OHR</w:t>
            </w:r>
            <w:r w:rsidR="00CF3248" w:rsidRPr="007F3EB9">
              <w:t xml:space="preserve"> whereas </w:t>
            </w:r>
            <w:r w:rsidRPr="007F3EB9">
              <w:t xml:space="preserve">C and O </w:t>
            </w:r>
            <w:r w:rsidR="00CF3248" w:rsidRPr="007F3EB9">
              <w:t>show</w:t>
            </w:r>
            <w:r w:rsidRPr="007F3EB9">
              <w:t xml:space="preserve"> an opposite trend</w:t>
            </w:r>
            <w:r w:rsidR="00CF3248" w:rsidRPr="007F3EB9">
              <w:t>,</w:t>
            </w:r>
            <w:r w:rsidRPr="007F3EB9">
              <w:t xml:space="preserve"> linked to the proportion </w:t>
            </w:r>
            <w:r w:rsidR="00CF3248" w:rsidRPr="007F3EB9">
              <w:t xml:space="preserve">of </w:t>
            </w:r>
            <w:r w:rsidRPr="007F3EB9">
              <w:t>organic content</w:t>
            </w:r>
            <w:r w:rsidR="00CF3248" w:rsidRPr="007F3EB9">
              <w:t>. EDS</w:t>
            </w:r>
            <w:r w:rsidRPr="007F3EB9">
              <w:t xml:space="preserve"> profiles </w:t>
            </w:r>
            <w:r w:rsidR="00CF3248" w:rsidRPr="007F3EB9">
              <w:t xml:space="preserve">confirm that </w:t>
            </w:r>
            <w:r w:rsidRPr="007F3EB9">
              <w:t xml:space="preserve">the OHR is </w:t>
            </w:r>
            <w:r w:rsidR="00CF3248" w:rsidRPr="007F3EB9">
              <w:t>the region with the lower</w:t>
            </w:r>
            <w:r w:rsidRPr="007F3EB9">
              <w:t xml:space="preserve"> mineral content as </w:t>
            </w:r>
            <w:r w:rsidR="00CF3248" w:rsidRPr="007F3EB9">
              <w:t xml:space="preserve">visible on the </w:t>
            </w:r>
            <w:r w:rsidRPr="007F3EB9">
              <w:t xml:space="preserve">BSE-SEM images. </w:t>
            </w:r>
            <w:r w:rsidR="00CF3248" w:rsidRPr="007F3EB9">
              <w:t xml:space="preserve">As for </w:t>
            </w:r>
            <w:r w:rsidRPr="007F3EB9">
              <w:t>minor elements, Na is co</w:t>
            </w:r>
            <w:r w:rsidR="00CF3248" w:rsidRPr="007F3EB9">
              <w:t>-</w:t>
            </w:r>
            <w:r w:rsidRPr="007F3EB9">
              <w:t>localized with Ca and P but does not exhibit a drop in the OHR</w:t>
            </w:r>
            <w:r w:rsidR="00CF3248" w:rsidRPr="007F3EB9">
              <w:t>;</w:t>
            </w:r>
            <w:r w:rsidRPr="007F3EB9">
              <w:t xml:space="preserve"> F </w:t>
            </w:r>
            <w:r w:rsidR="00CF3248" w:rsidRPr="007F3EB9">
              <w:t>is practically constant along the analyzed line</w:t>
            </w:r>
            <w:r w:rsidRPr="007F3EB9">
              <w:t>.</w:t>
            </w:r>
          </w:p>
        </w:tc>
      </w:tr>
    </w:tbl>
    <w:p w:rsidR="00D9244A" w:rsidRPr="007F3EB9" w:rsidRDefault="00D9244A" w:rsidP="00D9244A">
      <w:pPr>
        <w:spacing w:after="0" w:line="240" w:lineRule="auto"/>
        <w:jc w:val="both"/>
      </w:pPr>
    </w:p>
    <w:p w:rsidR="005B2555" w:rsidRPr="007F3EB9" w:rsidRDefault="005B2555" w:rsidP="00D9244A">
      <w:pPr>
        <w:spacing w:after="0" w:line="24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9244A" w:rsidRPr="007F3EB9">
        <w:tc>
          <w:tcPr>
            <w:tcW w:w="9396" w:type="dxa"/>
          </w:tcPr>
          <w:p w:rsidR="00D9244A" w:rsidRPr="007F3EB9" w:rsidRDefault="00D9244A" w:rsidP="007B3385">
            <w:pPr>
              <w:spacing w:after="0" w:line="240" w:lineRule="auto"/>
              <w:jc w:val="center"/>
            </w:pPr>
            <w:r w:rsidRPr="007F3EB9">
              <w:rPr>
                <w:noProof/>
                <w:lang w:val="en-IN" w:eastAsia="zh-CN"/>
              </w:rPr>
              <w:drawing>
                <wp:inline distT="0" distB="0" distL="0" distR="0">
                  <wp:extent cx="4173258" cy="3247390"/>
                  <wp:effectExtent l="0" t="0" r="1905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58" cy="324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44A" w:rsidRPr="007F3EB9">
        <w:tc>
          <w:tcPr>
            <w:tcW w:w="9396" w:type="dxa"/>
          </w:tcPr>
          <w:p w:rsidR="00D9244A" w:rsidRPr="007F3EB9" w:rsidRDefault="00D9244A" w:rsidP="00D26129">
            <w:pPr>
              <w:spacing w:after="0" w:line="240" w:lineRule="auto"/>
              <w:jc w:val="both"/>
            </w:pPr>
            <w:r w:rsidRPr="007F3EB9">
              <w:t>Figure S</w:t>
            </w:r>
            <w:r w:rsidR="009F727F" w:rsidRPr="007F3EB9">
              <w:t>7</w:t>
            </w:r>
            <w:r w:rsidRPr="007F3EB9">
              <w:t xml:space="preserve">: Polarized Raman Spectroscopy. Analysis of the </w:t>
            </w:r>
            <w:r w:rsidRPr="007F3EB9">
              <w:rPr>
                <w:lang w:val="az-Cyrl-AZ"/>
              </w:rPr>
              <w:t>Ѵ</w:t>
            </w:r>
            <w:r w:rsidRPr="007F3EB9">
              <w:t>4 mode of the FAP signal in the highly crystalline area, where the signal at 0° and 90° polarization are compared. The difference between the relative intensity of the 582 cm</w:t>
            </w:r>
            <w:r w:rsidRPr="007F3EB9">
              <w:rPr>
                <w:vertAlign w:val="superscript"/>
              </w:rPr>
              <w:t>-1</w:t>
            </w:r>
            <w:r w:rsidRPr="007F3EB9">
              <w:t xml:space="preserve"> and 592 cm</w:t>
            </w:r>
            <w:r w:rsidRPr="007F3EB9">
              <w:rPr>
                <w:vertAlign w:val="superscript"/>
              </w:rPr>
              <w:t>-1</w:t>
            </w:r>
            <w:r w:rsidRPr="007F3EB9">
              <w:t xml:space="preserve"> peaks implies an orientation in the mineral as previously observed in the smashing club by Amini and colleagues [1].</w:t>
            </w:r>
          </w:p>
        </w:tc>
      </w:tr>
      <w:tr w:rsidR="00D9244A" w:rsidRPr="007F3EB9">
        <w:tc>
          <w:tcPr>
            <w:tcW w:w="9396" w:type="dxa"/>
          </w:tcPr>
          <w:p w:rsidR="00D9244A" w:rsidRPr="007F3EB9" w:rsidRDefault="00412DA5" w:rsidP="005E2072">
            <w:pPr>
              <w:spacing w:after="0" w:line="240" w:lineRule="auto"/>
              <w:jc w:val="center"/>
            </w:pPr>
            <w:r>
              <w:rPr>
                <w:noProof/>
                <w:lang w:val="en-IN" w:eastAsia="zh-CN"/>
              </w:rPr>
              <w:lastRenderedPageBreak/>
              <w:drawing>
                <wp:inline distT="0" distB="0" distL="0" distR="0">
                  <wp:extent cx="5239512" cy="4000500"/>
                  <wp:effectExtent l="25400" t="0" r="0" b="0"/>
                  <wp:docPr id="14" name="Picture 1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512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44A" w:rsidRPr="007F3EB9">
        <w:tc>
          <w:tcPr>
            <w:tcW w:w="9396" w:type="dxa"/>
          </w:tcPr>
          <w:p w:rsidR="00D9244A" w:rsidRPr="007F3EB9" w:rsidRDefault="00D9244A" w:rsidP="007613A3">
            <w:pPr>
              <w:spacing w:after="0" w:line="240" w:lineRule="auto"/>
              <w:jc w:val="both"/>
            </w:pPr>
            <w:r w:rsidRPr="007F3EB9">
              <w:t>Figure S</w:t>
            </w:r>
            <w:r w:rsidR="009F727F" w:rsidRPr="007F3EB9">
              <w:t>8</w:t>
            </w:r>
            <w:r w:rsidRPr="007F3EB9">
              <w:t>: Nanomechanical properties of the spike cuticle measured by depth sensing nanoindentation. (</w:t>
            </w:r>
            <w:r w:rsidR="007613A3">
              <w:t>a</w:t>
            </w:r>
            <w:r w:rsidRPr="007F3EB9">
              <w:t>-</w:t>
            </w:r>
            <w:r w:rsidR="007613A3">
              <w:t>b</w:t>
            </w:r>
            <w:r w:rsidRPr="007F3EB9">
              <w:t>) Spatial variation of hardness, H, measured with high lateral resolution from the highly mineralized to the striated region, considering both (</w:t>
            </w:r>
            <w:r w:rsidR="007613A3">
              <w:t>a</w:t>
            </w:r>
            <w:r w:rsidRPr="007F3EB9">
              <w:t>) transverse and (</w:t>
            </w:r>
            <w:r w:rsidR="007613A3">
              <w:t>b</w:t>
            </w:r>
            <w:r w:rsidRPr="007F3EB9">
              <w:t>) longitudinal cross-sections. (</w:t>
            </w:r>
            <w:r w:rsidR="007613A3">
              <w:t>c</w:t>
            </w:r>
            <w:r w:rsidRPr="007F3EB9">
              <w:t>-</w:t>
            </w:r>
            <w:r w:rsidR="007613A3">
              <w:t>d</w:t>
            </w:r>
            <w:r w:rsidRPr="007F3EB9">
              <w:t>) High resolution maps of hardness focusing on the transition between HMR and STR on (</w:t>
            </w:r>
            <w:r w:rsidR="007613A3">
              <w:t>c</w:t>
            </w:r>
            <w:r w:rsidRPr="007F3EB9">
              <w:t>) transverse and (</w:t>
            </w:r>
            <w:r w:rsidR="007613A3">
              <w:t>d</w:t>
            </w:r>
            <w:r w:rsidRPr="007F3EB9">
              <w:t xml:space="preserve">) longitudinal cross-sections. Probed areas are highlighted in squares on the light micrographs and lines indicate the position of the mechanical profiles shown in </w:t>
            </w:r>
            <w:r w:rsidR="00D26129">
              <w:t>(</w:t>
            </w:r>
            <w:r w:rsidR="007613A3">
              <w:t>b</w:t>
            </w:r>
            <w:r w:rsidR="00D26129">
              <w:t>)</w:t>
            </w:r>
            <w:r w:rsidRPr="007F3EB9">
              <w:t xml:space="preserve"> and </w:t>
            </w:r>
            <w:r w:rsidR="00D26129">
              <w:t>(</w:t>
            </w:r>
            <w:r w:rsidR="007613A3">
              <w:t>c</w:t>
            </w:r>
            <w:r w:rsidR="00D26129">
              <w:t>)</w:t>
            </w:r>
            <w:r w:rsidRPr="007F3EB9">
              <w:t>. HMR: highly mineralized region; IHR: inner helicoidal region OHR: outer helicoidal region; STR: striated region and TR: transition region.</w:t>
            </w:r>
          </w:p>
        </w:tc>
      </w:tr>
    </w:tbl>
    <w:p w:rsidR="00D9244A" w:rsidRPr="007F3EB9" w:rsidRDefault="00D9244A" w:rsidP="31ACFF81">
      <w:pPr>
        <w:spacing w:after="0" w:line="24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A8222B" w:rsidRPr="007F3EB9">
        <w:tc>
          <w:tcPr>
            <w:tcW w:w="9396" w:type="dxa"/>
          </w:tcPr>
          <w:p w:rsidR="00A8222B" w:rsidRPr="007F3EB9" w:rsidRDefault="00412DA5" w:rsidP="00D9244A">
            <w:pPr>
              <w:spacing w:after="0" w:line="240" w:lineRule="auto"/>
              <w:jc w:val="center"/>
            </w:pPr>
            <w:r>
              <w:rPr>
                <w:noProof/>
                <w:lang w:val="en-IN" w:eastAsia="zh-CN"/>
              </w:rPr>
              <w:drawing>
                <wp:inline distT="0" distB="0" distL="0" distR="0">
                  <wp:extent cx="5650992" cy="1655064"/>
                  <wp:effectExtent l="25400" t="0" r="0" b="0"/>
                  <wp:docPr id="15" name="Picture 1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992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22B" w:rsidRPr="007F3EB9">
        <w:tc>
          <w:tcPr>
            <w:tcW w:w="9396" w:type="dxa"/>
          </w:tcPr>
          <w:p w:rsidR="00A8222B" w:rsidRPr="007F3EB9" w:rsidRDefault="00A8222B" w:rsidP="00D908DF">
            <w:pPr>
              <w:spacing w:after="0" w:line="240" w:lineRule="auto"/>
              <w:jc w:val="both"/>
            </w:pPr>
            <w:r w:rsidRPr="007F3EB9">
              <w:t>Figure S</w:t>
            </w:r>
            <w:r w:rsidR="009F727F" w:rsidRPr="007F3EB9">
              <w:t>9</w:t>
            </w:r>
            <w:r w:rsidRPr="007F3EB9">
              <w:t xml:space="preserve">: </w:t>
            </w:r>
            <w:r w:rsidR="002848A9" w:rsidRPr="007F3EB9">
              <w:t xml:space="preserve">Frequency distributions of indentation modulus E and hardness H within different </w:t>
            </w:r>
            <w:r w:rsidRPr="007F3EB9">
              <w:t>regions of the spike</w:t>
            </w:r>
            <w:r w:rsidR="00AC33C7" w:rsidRPr="007F3EB9">
              <w:t>,</w:t>
            </w:r>
            <w:r w:rsidRPr="007F3EB9">
              <w:t xml:space="preserve"> based on high resolution nanoindentation experiments </w:t>
            </w:r>
            <w:r w:rsidR="002848A9" w:rsidRPr="007F3EB9">
              <w:t xml:space="preserve">on </w:t>
            </w:r>
            <w:r w:rsidR="00062113" w:rsidRPr="007F3EB9">
              <w:t xml:space="preserve">a </w:t>
            </w:r>
            <w:r w:rsidRPr="007F3EB9">
              <w:t xml:space="preserve">transverse </w:t>
            </w:r>
            <w:r w:rsidR="00062113" w:rsidRPr="007F3EB9">
              <w:t>cross-section</w:t>
            </w:r>
            <w:r w:rsidR="00A00752" w:rsidRPr="007F3EB9">
              <w:t xml:space="preserve"> (</w:t>
            </w:r>
            <w:r w:rsidR="00AC33C7" w:rsidRPr="007F3EB9">
              <w:t>shown</w:t>
            </w:r>
            <w:r w:rsidR="00D908DF" w:rsidRPr="007F3EB9">
              <w:t xml:space="preserve"> schematically</w:t>
            </w:r>
            <w:r w:rsidR="00AC33C7" w:rsidRPr="007F3EB9">
              <w:t xml:space="preserve"> </w:t>
            </w:r>
            <w:r w:rsidR="00D908DF" w:rsidRPr="007F3EB9">
              <w:t>with</w:t>
            </w:r>
            <w:r w:rsidR="00AC33C7" w:rsidRPr="007F3EB9">
              <w:t xml:space="preserve"> the </w:t>
            </w:r>
            <w:r w:rsidR="00A00752" w:rsidRPr="007F3EB9">
              <w:t>micro-CT reconstruction on the left-side of the image)</w:t>
            </w:r>
            <w:r w:rsidRPr="007F3EB9">
              <w:t xml:space="preserve">. HMR: highly </w:t>
            </w:r>
            <w:r w:rsidR="002848A9" w:rsidRPr="007F3EB9">
              <w:t>mineralized</w:t>
            </w:r>
            <w:r w:rsidRPr="007F3EB9">
              <w:t xml:space="preserve"> region; IHR: inner helicoidal region; OHR: outer helical region; STR: striated region; TR: transition region.</w:t>
            </w:r>
          </w:p>
        </w:tc>
      </w:tr>
      <w:tr w:rsidR="00BA2EE7" w:rsidRPr="007F3EB9">
        <w:tc>
          <w:tcPr>
            <w:tcW w:w="9396" w:type="dxa"/>
          </w:tcPr>
          <w:p w:rsidR="00BA2EE7" w:rsidRPr="007F3EB9" w:rsidRDefault="00412DA5" w:rsidP="00D9244A">
            <w:pPr>
              <w:spacing w:after="0" w:line="240" w:lineRule="auto"/>
              <w:jc w:val="center"/>
            </w:pPr>
            <w:r>
              <w:rPr>
                <w:noProof/>
                <w:lang w:val="en-IN" w:eastAsia="zh-CN"/>
              </w:rPr>
              <w:lastRenderedPageBreak/>
              <w:drawing>
                <wp:inline distT="0" distB="0" distL="0" distR="0">
                  <wp:extent cx="4823460" cy="6473952"/>
                  <wp:effectExtent l="25400" t="0" r="2540" b="0"/>
                  <wp:docPr id="16" name="Picture 15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0" cy="647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EE7" w:rsidRPr="007F3EB9">
        <w:tc>
          <w:tcPr>
            <w:tcW w:w="9396" w:type="dxa"/>
          </w:tcPr>
          <w:p w:rsidR="00BA2EE7" w:rsidRPr="007F3EB9" w:rsidRDefault="00BA2EE7" w:rsidP="007613A3">
            <w:pPr>
              <w:spacing w:after="0" w:line="240" w:lineRule="auto"/>
              <w:jc w:val="both"/>
            </w:pPr>
            <w:r w:rsidRPr="007F3EB9">
              <w:t>Figure</w:t>
            </w:r>
            <w:r w:rsidR="00E868AD" w:rsidRPr="007F3EB9">
              <w:t xml:space="preserve"> S</w:t>
            </w:r>
            <w:r w:rsidR="009F727F" w:rsidRPr="007F3EB9">
              <w:t>10</w:t>
            </w:r>
            <w:r w:rsidR="00E868AD" w:rsidRPr="007F3EB9">
              <w:t xml:space="preserve">: </w:t>
            </w:r>
            <w:r w:rsidR="0051693C" w:rsidRPr="007F3EB9">
              <w:t>Micrographs of indentation induced damage behavior of the spike</w:t>
            </w:r>
            <w:r w:rsidR="00E868AD" w:rsidRPr="007F3EB9">
              <w:t>. (</w:t>
            </w:r>
            <w:r w:rsidR="007613A3">
              <w:t>a</w:t>
            </w:r>
            <w:r w:rsidR="00E868AD" w:rsidRPr="007F3EB9">
              <w:t>-</w:t>
            </w:r>
            <w:r w:rsidR="007613A3">
              <w:t>c</w:t>
            </w:r>
            <w:r w:rsidR="00E868AD" w:rsidRPr="007F3EB9">
              <w:t xml:space="preserve">) BSE-SEM images of cracks </w:t>
            </w:r>
            <w:r w:rsidR="00D26129">
              <w:t>initiating</w:t>
            </w:r>
            <w:r w:rsidR="00D26129" w:rsidRPr="007F3EB9">
              <w:t xml:space="preserve"> </w:t>
            </w:r>
            <w:r w:rsidR="0051693C" w:rsidRPr="007F3EB9">
              <w:t xml:space="preserve">within </w:t>
            </w:r>
            <w:r w:rsidR="00E868AD" w:rsidRPr="007F3EB9">
              <w:t xml:space="preserve">the HMR and </w:t>
            </w:r>
            <w:r w:rsidR="0051693C" w:rsidRPr="007F3EB9">
              <w:t>propagating (</w:t>
            </w:r>
            <w:r w:rsidR="007613A3">
              <w:t>a</w:t>
            </w:r>
            <w:r w:rsidR="0051693C" w:rsidRPr="007F3EB9">
              <w:t>) within a serration, (</w:t>
            </w:r>
            <w:r w:rsidR="007613A3">
              <w:t>b</w:t>
            </w:r>
            <w:r w:rsidR="0051693C" w:rsidRPr="007F3EB9">
              <w:t>-</w:t>
            </w:r>
            <w:r w:rsidR="007613A3">
              <w:t>c</w:t>
            </w:r>
            <w:r w:rsidR="0051693C" w:rsidRPr="007F3EB9">
              <w:t xml:space="preserve">) parallel to the transition region (TR). No cracks were observed reaching the OHR. </w:t>
            </w:r>
            <w:r w:rsidR="00E868AD" w:rsidRPr="007F3EB9">
              <w:t>(</w:t>
            </w:r>
            <w:r w:rsidR="007613A3">
              <w:t>d</w:t>
            </w:r>
            <w:r w:rsidR="00E868AD" w:rsidRPr="007F3EB9">
              <w:t>-</w:t>
            </w:r>
            <w:r w:rsidR="007613A3">
              <w:t>f</w:t>
            </w:r>
            <w:r w:rsidR="00E868AD" w:rsidRPr="007F3EB9">
              <w:t>) SE-SEM images of cracks initiated with</w:t>
            </w:r>
            <w:r w:rsidR="0051693C" w:rsidRPr="007F3EB9">
              <w:t xml:space="preserve">in the </w:t>
            </w:r>
            <w:r w:rsidR="00E868AD" w:rsidRPr="007F3EB9">
              <w:t>STR</w:t>
            </w:r>
            <w:r w:rsidR="0051693C" w:rsidRPr="007F3EB9">
              <w:t xml:space="preserve">, never being able to cross the </w:t>
            </w:r>
            <w:r w:rsidR="00E868AD" w:rsidRPr="007F3EB9">
              <w:t>OHR</w:t>
            </w:r>
            <w:r w:rsidR="0051693C" w:rsidRPr="007F3EB9">
              <w:t xml:space="preserve">, even if the </w:t>
            </w:r>
            <w:r w:rsidR="00E868AD" w:rsidRPr="007F3EB9">
              <w:t xml:space="preserve">indent </w:t>
            </w:r>
            <w:r w:rsidR="0051693C" w:rsidRPr="007F3EB9">
              <w:t xml:space="preserve">was </w:t>
            </w:r>
            <w:r w:rsidR="00E868AD" w:rsidRPr="007F3EB9">
              <w:t xml:space="preserve">partially </w:t>
            </w:r>
            <w:r w:rsidR="0051693C" w:rsidRPr="007F3EB9">
              <w:t xml:space="preserve">located inside the </w:t>
            </w:r>
            <w:r w:rsidR="00E868AD" w:rsidRPr="007F3EB9">
              <w:t>OHR (</w:t>
            </w:r>
            <w:r w:rsidR="007613A3">
              <w:t>e</w:t>
            </w:r>
            <w:bookmarkStart w:id="0" w:name="_GoBack"/>
            <w:bookmarkEnd w:id="0"/>
            <w:r w:rsidR="00E868AD" w:rsidRPr="007F3EB9">
              <w:t xml:space="preserve">). HMR: highly </w:t>
            </w:r>
            <w:r w:rsidR="0051693C" w:rsidRPr="007F3EB9">
              <w:t>mineralized</w:t>
            </w:r>
            <w:r w:rsidR="00E868AD" w:rsidRPr="007F3EB9">
              <w:t xml:space="preserve"> region; OHR: outer helicoidal region; STR: striated region; TR: transition region; i: indentation imprint</w:t>
            </w:r>
            <w:r w:rsidR="0051693C" w:rsidRPr="007F3EB9">
              <w:t>.</w:t>
            </w:r>
          </w:p>
        </w:tc>
      </w:tr>
    </w:tbl>
    <w:p w:rsidR="00BA2EE7" w:rsidRPr="007F3EB9" w:rsidRDefault="00BA2EE7" w:rsidP="31ACFF81">
      <w:pPr>
        <w:spacing w:after="0" w:line="240" w:lineRule="auto"/>
        <w:jc w:val="both"/>
      </w:pPr>
    </w:p>
    <w:p w:rsidR="005B4278" w:rsidRPr="007F3EB9" w:rsidRDefault="005B4278" w:rsidP="31ACFF81">
      <w:pPr>
        <w:spacing w:after="0" w:line="24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5B4278" w:rsidRPr="007F3EB9">
        <w:tc>
          <w:tcPr>
            <w:tcW w:w="9396" w:type="dxa"/>
          </w:tcPr>
          <w:p w:rsidR="005B4278" w:rsidRPr="007F3EB9" w:rsidRDefault="005B4278" w:rsidP="005B4278">
            <w:pPr>
              <w:spacing w:after="0" w:line="240" w:lineRule="auto"/>
              <w:jc w:val="center"/>
            </w:pPr>
            <w:r w:rsidRPr="007F3EB9">
              <w:rPr>
                <w:noProof/>
                <w:lang w:val="en-IN" w:eastAsia="zh-CN"/>
              </w:rPr>
              <w:lastRenderedPageBreak/>
              <w:drawing>
                <wp:inline distT="0" distB="0" distL="0" distR="0">
                  <wp:extent cx="3462007" cy="3405123"/>
                  <wp:effectExtent l="0" t="0" r="5715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70" cy="3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78" w:rsidRPr="007F3EB9">
        <w:tc>
          <w:tcPr>
            <w:tcW w:w="9396" w:type="dxa"/>
          </w:tcPr>
          <w:p w:rsidR="005B4278" w:rsidRPr="007F3EB9" w:rsidRDefault="005B4278" w:rsidP="00D26129">
            <w:pPr>
              <w:spacing w:after="0" w:line="240" w:lineRule="auto"/>
              <w:jc w:val="both"/>
            </w:pPr>
            <w:r w:rsidRPr="007F3EB9">
              <w:t xml:space="preserve">Figure S11. </w:t>
            </w:r>
            <w:r w:rsidRPr="007F3EB9">
              <w:rPr>
                <w:rFonts w:cs="Calibri"/>
                <w:bCs/>
                <w:color w:val="000000" w:themeColor="text1"/>
                <w:kern w:val="24"/>
              </w:rPr>
              <w:t xml:space="preserve">Typical high-load indentation curves for the highly mineralized region (HMR) and for the less mineralized but highly anisotropic region (STR). HMR shows a characteristic pop-in event (highlighted by the arrow) associated with sudden damage beneath the contact surface. Conversely, the indentation curve of </w:t>
            </w:r>
            <w:r w:rsidRPr="007F3EB9">
              <w:rPr>
                <w:rFonts w:cs="Calibri"/>
                <w:bCs/>
                <w:iCs/>
                <w:color w:val="000000" w:themeColor="text1"/>
                <w:kern w:val="24"/>
              </w:rPr>
              <w:t>STR</w:t>
            </w:r>
            <w:r w:rsidRPr="007F3EB9">
              <w:rPr>
                <w:rFonts w:cs="Calibri"/>
                <w:bCs/>
                <w:color w:val="000000" w:themeColor="text1"/>
                <w:kern w:val="24"/>
              </w:rPr>
              <w:t xml:space="preserve"> is free from pop-in events, indicating a more progressive damaging behavior.</w:t>
            </w:r>
          </w:p>
        </w:tc>
      </w:tr>
    </w:tbl>
    <w:p w:rsidR="005B4278" w:rsidRPr="007F3EB9" w:rsidRDefault="005B4278" w:rsidP="31ACFF81">
      <w:pPr>
        <w:spacing w:after="0" w:line="240" w:lineRule="auto"/>
        <w:jc w:val="both"/>
      </w:pPr>
    </w:p>
    <w:p w:rsidR="005B4278" w:rsidRPr="007F3EB9" w:rsidRDefault="005B4278" w:rsidP="31ACFF81">
      <w:pPr>
        <w:spacing w:after="0" w:line="240" w:lineRule="auto"/>
        <w:jc w:val="both"/>
      </w:pPr>
    </w:p>
    <w:p w:rsidR="005B2555" w:rsidRPr="007F3EB9" w:rsidRDefault="005B2555" w:rsidP="31ACFF81">
      <w:pPr>
        <w:spacing w:after="0" w:line="240" w:lineRule="auto"/>
        <w:jc w:val="both"/>
      </w:pPr>
    </w:p>
    <w:p w:rsidR="0045157B" w:rsidRPr="007F3EB9" w:rsidRDefault="0045157B" w:rsidP="31ACFF81">
      <w:pPr>
        <w:spacing w:after="0" w:line="240" w:lineRule="auto"/>
        <w:jc w:val="both"/>
      </w:pPr>
      <w:r w:rsidRPr="007F3EB9">
        <w:rPr>
          <w:b/>
        </w:rPr>
        <w:t>References</w:t>
      </w:r>
      <w:r w:rsidRPr="007F3EB9">
        <w:t>:</w:t>
      </w:r>
    </w:p>
    <w:p w:rsidR="0045157B" w:rsidRDefault="00F01524" w:rsidP="31ACFF81">
      <w:pPr>
        <w:spacing w:after="0" w:line="240" w:lineRule="auto"/>
        <w:jc w:val="both"/>
      </w:pPr>
      <w:r w:rsidRPr="007F3EB9">
        <w:t xml:space="preserve">[1] </w:t>
      </w:r>
      <w:r w:rsidRPr="007F3EB9">
        <w:rPr>
          <w:rFonts w:asciiTheme="minorHAnsi" w:hAnsiTheme="minorHAnsi" w:cstheme="minorHAnsi"/>
          <w:noProof/>
          <w:szCs w:val="24"/>
        </w:rPr>
        <w:t xml:space="preserve">S. Amini, A. Masic, L. Bertinetti, J. S. Teguh, J. S. Herrin, X. Zhu, H. Su, A. Miserez, </w:t>
      </w:r>
      <w:r w:rsidRPr="007F3EB9">
        <w:rPr>
          <w:rFonts w:asciiTheme="minorHAnsi" w:hAnsiTheme="minorHAnsi" w:cstheme="minorHAnsi"/>
          <w:i/>
          <w:iCs/>
          <w:noProof/>
          <w:szCs w:val="24"/>
        </w:rPr>
        <w:t>Nat. Commun.</w:t>
      </w:r>
      <w:r w:rsidRPr="007F3EB9">
        <w:rPr>
          <w:rFonts w:asciiTheme="minorHAnsi" w:hAnsiTheme="minorHAnsi" w:cstheme="minorHAnsi"/>
          <w:noProof/>
          <w:szCs w:val="24"/>
        </w:rPr>
        <w:t xml:space="preserve"> </w:t>
      </w:r>
      <w:r w:rsidRPr="007F3EB9">
        <w:rPr>
          <w:rFonts w:asciiTheme="minorHAnsi" w:hAnsiTheme="minorHAnsi" w:cstheme="minorHAnsi"/>
          <w:b/>
          <w:bCs/>
          <w:noProof/>
          <w:szCs w:val="24"/>
        </w:rPr>
        <w:t>2014</w:t>
      </w:r>
      <w:r w:rsidRPr="007F3EB9">
        <w:rPr>
          <w:rFonts w:asciiTheme="minorHAnsi" w:hAnsiTheme="minorHAnsi" w:cstheme="minorHAnsi"/>
          <w:noProof/>
          <w:szCs w:val="24"/>
        </w:rPr>
        <w:t xml:space="preserve">, </w:t>
      </w:r>
      <w:r w:rsidRPr="007F3EB9">
        <w:rPr>
          <w:rFonts w:asciiTheme="minorHAnsi" w:hAnsiTheme="minorHAnsi" w:cstheme="minorHAnsi"/>
          <w:i/>
          <w:iCs/>
          <w:noProof/>
          <w:szCs w:val="24"/>
          <w:lang w:val="it-IT"/>
        </w:rPr>
        <w:t>5</w:t>
      </w:r>
      <w:r w:rsidRPr="007F3EB9">
        <w:rPr>
          <w:rFonts w:asciiTheme="minorHAnsi" w:hAnsiTheme="minorHAnsi" w:cstheme="minorHAnsi"/>
          <w:noProof/>
          <w:szCs w:val="24"/>
          <w:lang w:val="it-IT"/>
        </w:rPr>
        <w:t>, 3187.</w:t>
      </w:r>
    </w:p>
    <w:sectPr w:rsidR="0045157B" w:rsidSect="00703F72">
      <w:foot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8A1" w:rsidRDefault="000558A1" w:rsidP="00696B0D">
      <w:pPr>
        <w:spacing w:after="0" w:line="240" w:lineRule="auto"/>
      </w:pPr>
      <w:r>
        <w:separator/>
      </w:r>
    </w:p>
  </w:endnote>
  <w:endnote w:type="continuationSeparator" w:id="0">
    <w:p w:rsidR="000558A1" w:rsidRDefault="000558A1" w:rsidP="0069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56348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6890" w:rsidRDefault="000558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13A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F6890" w:rsidRDefault="00FF68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8A1" w:rsidRDefault="000558A1" w:rsidP="00696B0D">
      <w:pPr>
        <w:spacing w:after="0" w:line="240" w:lineRule="auto"/>
      </w:pPr>
      <w:r>
        <w:separator/>
      </w:r>
    </w:p>
  </w:footnote>
  <w:footnote w:type="continuationSeparator" w:id="0">
    <w:p w:rsidR="000558A1" w:rsidRDefault="000558A1" w:rsidP="00696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B750C"/>
    <w:multiLevelType w:val="hybridMultilevel"/>
    <w:tmpl w:val="57C6A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811912"/>
    <w:multiLevelType w:val="hybridMultilevel"/>
    <w:tmpl w:val="FC5C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42F93"/>
    <w:multiLevelType w:val="hybridMultilevel"/>
    <w:tmpl w:val="CD3CF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2049E"/>
    <w:multiLevelType w:val="hybridMultilevel"/>
    <w:tmpl w:val="C7021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597F04"/>
    <w:multiLevelType w:val="hybridMultilevel"/>
    <w:tmpl w:val="2034D6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912771"/>
    <w:multiLevelType w:val="hybridMultilevel"/>
    <w:tmpl w:val="346A1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525E93"/>
    <w:multiLevelType w:val="hybridMultilevel"/>
    <w:tmpl w:val="DC02C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77936"/>
    <w:multiLevelType w:val="hybridMultilevel"/>
    <w:tmpl w:val="DD106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519E7"/>
    <w:multiLevelType w:val="hybridMultilevel"/>
    <w:tmpl w:val="C3C62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67B1D"/>
    <w:multiLevelType w:val="hybridMultilevel"/>
    <w:tmpl w:val="9336E192"/>
    <w:lvl w:ilvl="0" w:tplc="51B850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4E8AD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4B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0E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852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6CE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65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9226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388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372F9"/>
    <w:multiLevelType w:val="hybridMultilevel"/>
    <w:tmpl w:val="FEF6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5380B"/>
    <w:multiLevelType w:val="hybridMultilevel"/>
    <w:tmpl w:val="9D30E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A31B1"/>
    <w:multiLevelType w:val="hybridMultilevel"/>
    <w:tmpl w:val="D226A1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6347B"/>
    <w:multiLevelType w:val="multilevel"/>
    <w:tmpl w:val="3220761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4">
    <w:nsid w:val="6D145F49"/>
    <w:multiLevelType w:val="hybridMultilevel"/>
    <w:tmpl w:val="8D30D0D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47413"/>
    <w:multiLevelType w:val="hybridMultilevel"/>
    <w:tmpl w:val="87E26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0"/>
  </w:num>
  <w:num w:numId="5">
    <w:abstractNumId w:val="2"/>
  </w:num>
  <w:num w:numId="6">
    <w:abstractNumId w:val="15"/>
  </w:num>
  <w:num w:numId="7">
    <w:abstractNumId w:val="10"/>
  </w:num>
  <w:num w:numId="8">
    <w:abstractNumId w:val="3"/>
  </w:num>
  <w:num w:numId="9">
    <w:abstractNumId w:val="5"/>
  </w:num>
  <w:num w:numId="10">
    <w:abstractNumId w:val="11"/>
  </w:num>
  <w:num w:numId="11">
    <w:abstractNumId w:val="7"/>
  </w:num>
  <w:num w:numId="12">
    <w:abstractNumId w:val="13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4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TrackMov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fpxvax5r0dfe5e2wzppzd0rp2rsvxatz02x&quot;&gt;DavideLibrary&lt;record-ids&gt;&lt;item&gt;1415&lt;/item&gt;&lt;item&gt;1418&lt;/item&gt;&lt;item&gt;1419&lt;/item&gt;&lt;item&gt;1905&lt;/item&gt;&lt;item&gt;1932&lt;/item&gt;&lt;item&gt;1935&lt;/item&gt;&lt;item&gt;1936&lt;/item&gt;&lt;item&gt;1938&lt;/item&gt;&lt;item&gt;1939&lt;/item&gt;&lt;item&gt;1940&lt;/item&gt;&lt;item&gt;1941&lt;/item&gt;&lt;item&gt;2011&lt;/item&gt;&lt;item&gt;2012&lt;/item&gt;&lt;item&gt;2013&lt;/item&gt;&lt;item&gt;2036&lt;/item&gt;&lt;item&gt;2038&lt;/item&gt;&lt;item&gt;2039&lt;/item&gt;&lt;item&gt;2040&lt;/item&gt;&lt;item&gt;2067&lt;/item&gt;&lt;item&gt;2068&lt;/item&gt;&lt;/record-ids&gt;&lt;/item&gt;&lt;/Libraries&gt;"/>
  </w:docVars>
  <w:rsids>
    <w:rsidRoot w:val="00F431B6"/>
    <w:rsid w:val="00000F19"/>
    <w:rsid w:val="00000FA2"/>
    <w:rsid w:val="000027C2"/>
    <w:rsid w:val="00002F03"/>
    <w:rsid w:val="000033AE"/>
    <w:rsid w:val="00003733"/>
    <w:rsid w:val="000039BF"/>
    <w:rsid w:val="000042D3"/>
    <w:rsid w:val="00005A8D"/>
    <w:rsid w:val="00006543"/>
    <w:rsid w:val="0000685F"/>
    <w:rsid w:val="000072CC"/>
    <w:rsid w:val="00007C22"/>
    <w:rsid w:val="00010A93"/>
    <w:rsid w:val="00010E60"/>
    <w:rsid w:val="00012E04"/>
    <w:rsid w:val="0001329C"/>
    <w:rsid w:val="00014CE2"/>
    <w:rsid w:val="00015830"/>
    <w:rsid w:val="00015972"/>
    <w:rsid w:val="00015AC5"/>
    <w:rsid w:val="00016F7E"/>
    <w:rsid w:val="0002011A"/>
    <w:rsid w:val="00022327"/>
    <w:rsid w:val="00023AF2"/>
    <w:rsid w:val="00023C38"/>
    <w:rsid w:val="00024BAE"/>
    <w:rsid w:val="0002774D"/>
    <w:rsid w:val="000309BF"/>
    <w:rsid w:val="000310A3"/>
    <w:rsid w:val="000312FB"/>
    <w:rsid w:val="000328A3"/>
    <w:rsid w:val="00033851"/>
    <w:rsid w:val="00034C3F"/>
    <w:rsid w:val="00035525"/>
    <w:rsid w:val="00037EEA"/>
    <w:rsid w:val="000404F3"/>
    <w:rsid w:val="00041772"/>
    <w:rsid w:val="00042474"/>
    <w:rsid w:val="0004367A"/>
    <w:rsid w:val="00047BAB"/>
    <w:rsid w:val="00050491"/>
    <w:rsid w:val="0005165A"/>
    <w:rsid w:val="0005231C"/>
    <w:rsid w:val="000531A9"/>
    <w:rsid w:val="00053EA2"/>
    <w:rsid w:val="000558A1"/>
    <w:rsid w:val="00055DD7"/>
    <w:rsid w:val="0005628A"/>
    <w:rsid w:val="00060863"/>
    <w:rsid w:val="000614EA"/>
    <w:rsid w:val="00062113"/>
    <w:rsid w:val="00062598"/>
    <w:rsid w:val="00063294"/>
    <w:rsid w:val="00063954"/>
    <w:rsid w:val="00064C82"/>
    <w:rsid w:val="0006671A"/>
    <w:rsid w:val="000668A8"/>
    <w:rsid w:val="00066C8F"/>
    <w:rsid w:val="00067804"/>
    <w:rsid w:val="00067A3E"/>
    <w:rsid w:val="00067C3F"/>
    <w:rsid w:val="00070761"/>
    <w:rsid w:val="000716EB"/>
    <w:rsid w:val="00072064"/>
    <w:rsid w:val="0007225D"/>
    <w:rsid w:val="00072B2D"/>
    <w:rsid w:val="00072D30"/>
    <w:rsid w:val="0007333D"/>
    <w:rsid w:val="000739A0"/>
    <w:rsid w:val="00074804"/>
    <w:rsid w:val="0007595E"/>
    <w:rsid w:val="00080296"/>
    <w:rsid w:val="0008253E"/>
    <w:rsid w:val="00084230"/>
    <w:rsid w:val="000851DE"/>
    <w:rsid w:val="000908D8"/>
    <w:rsid w:val="00090ED0"/>
    <w:rsid w:val="0009370D"/>
    <w:rsid w:val="00093D8C"/>
    <w:rsid w:val="00096074"/>
    <w:rsid w:val="000963B1"/>
    <w:rsid w:val="00096A4A"/>
    <w:rsid w:val="00096E1D"/>
    <w:rsid w:val="0009708D"/>
    <w:rsid w:val="00097974"/>
    <w:rsid w:val="00097B01"/>
    <w:rsid w:val="00097D2F"/>
    <w:rsid w:val="000A08D9"/>
    <w:rsid w:val="000A1071"/>
    <w:rsid w:val="000A2A2A"/>
    <w:rsid w:val="000A5AF9"/>
    <w:rsid w:val="000A6C61"/>
    <w:rsid w:val="000B0AF6"/>
    <w:rsid w:val="000B0F3A"/>
    <w:rsid w:val="000B2015"/>
    <w:rsid w:val="000B2ABF"/>
    <w:rsid w:val="000B4D83"/>
    <w:rsid w:val="000B6FE0"/>
    <w:rsid w:val="000B70E6"/>
    <w:rsid w:val="000C03DA"/>
    <w:rsid w:val="000C0641"/>
    <w:rsid w:val="000C19FC"/>
    <w:rsid w:val="000C1E65"/>
    <w:rsid w:val="000C3C01"/>
    <w:rsid w:val="000C4408"/>
    <w:rsid w:val="000C4EC6"/>
    <w:rsid w:val="000C7CA2"/>
    <w:rsid w:val="000D1618"/>
    <w:rsid w:val="000D2166"/>
    <w:rsid w:val="000D3E92"/>
    <w:rsid w:val="000D3F88"/>
    <w:rsid w:val="000D4082"/>
    <w:rsid w:val="000D4374"/>
    <w:rsid w:val="000D5A4C"/>
    <w:rsid w:val="000D5F4E"/>
    <w:rsid w:val="000D63D2"/>
    <w:rsid w:val="000E2A22"/>
    <w:rsid w:val="000E41D0"/>
    <w:rsid w:val="000E4840"/>
    <w:rsid w:val="000E7D2D"/>
    <w:rsid w:val="000E7FAA"/>
    <w:rsid w:val="000F24B0"/>
    <w:rsid w:val="000F2792"/>
    <w:rsid w:val="000F35F5"/>
    <w:rsid w:val="000F5D14"/>
    <w:rsid w:val="0010012B"/>
    <w:rsid w:val="00100537"/>
    <w:rsid w:val="00100A01"/>
    <w:rsid w:val="00101738"/>
    <w:rsid w:val="00103AFB"/>
    <w:rsid w:val="00103DB0"/>
    <w:rsid w:val="00104289"/>
    <w:rsid w:val="0010538D"/>
    <w:rsid w:val="00105888"/>
    <w:rsid w:val="001058DE"/>
    <w:rsid w:val="001061E4"/>
    <w:rsid w:val="0010634A"/>
    <w:rsid w:val="001069D9"/>
    <w:rsid w:val="00107B94"/>
    <w:rsid w:val="001112B9"/>
    <w:rsid w:val="00111345"/>
    <w:rsid w:val="0011474F"/>
    <w:rsid w:val="001167D5"/>
    <w:rsid w:val="0011744F"/>
    <w:rsid w:val="00120F85"/>
    <w:rsid w:val="00121C1E"/>
    <w:rsid w:val="00122127"/>
    <w:rsid w:val="0012288C"/>
    <w:rsid w:val="00122B25"/>
    <w:rsid w:val="00122EF7"/>
    <w:rsid w:val="00123720"/>
    <w:rsid w:val="0012543F"/>
    <w:rsid w:val="00125A85"/>
    <w:rsid w:val="00125B12"/>
    <w:rsid w:val="001266D1"/>
    <w:rsid w:val="00127609"/>
    <w:rsid w:val="0013120D"/>
    <w:rsid w:val="00132DB2"/>
    <w:rsid w:val="001333C6"/>
    <w:rsid w:val="00134002"/>
    <w:rsid w:val="00134E44"/>
    <w:rsid w:val="0013572C"/>
    <w:rsid w:val="00135A77"/>
    <w:rsid w:val="00137B54"/>
    <w:rsid w:val="0014019C"/>
    <w:rsid w:val="001401F2"/>
    <w:rsid w:val="00140780"/>
    <w:rsid w:val="00141CC9"/>
    <w:rsid w:val="00143DF3"/>
    <w:rsid w:val="0014450B"/>
    <w:rsid w:val="0014531B"/>
    <w:rsid w:val="0014617A"/>
    <w:rsid w:val="00146E93"/>
    <w:rsid w:val="001476EC"/>
    <w:rsid w:val="0015017A"/>
    <w:rsid w:val="001540DA"/>
    <w:rsid w:val="00154A9C"/>
    <w:rsid w:val="0015551C"/>
    <w:rsid w:val="00155A57"/>
    <w:rsid w:val="001566A3"/>
    <w:rsid w:val="00156F81"/>
    <w:rsid w:val="00157BB2"/>
    <w:rsid w:val="00157BDE"/>
    <w:rsid w:val="0016142E"/>
    <w:rsid w:val="00161949"/>
    <w:rsid w:val="00163E42"/>
    <w:rsid w:val="00164516"/>
    <w:rsid w:val="00165910"/>
    <w:rsid w:val="00165AC1"/>
    <w:rsid w:val="00166468"/>
    <w:rsid w:val="001672C4"/>
    <w:rsid w:val="00167EE8"/>
    <w:rsid w:val="0017076B"/>
    <w:rsid w:val="00171EC1"/>
    <w:rsid w:val="00172147"/>
    <w:rsid w:val="00172A85"/>
    <w:rsid w:val="001733A9"/>
    <w:rsid w:val="00173A60"/>
    <w:rsid w:val="00173EE4"/>
    <w:rsid w:val="00175A30"/>
    <w:rsid w:val="00176C54"/>
    <w:rsid w:val="0017737D"/>
    <w:rsid w:val="00180EA3"/>
    <w:rsid w:val="00181FDC"/>
    <w:rsid w:val="001821D4"/>
    <w:rsid w:val="001845C3"/>
    <w:rsid w:val="0018492B"/>
    <w:rsid w:val="001856B1"/>
    <w:rsid w:val="00186F19"/>
    <w:rsid w:val="00187B11"/>
    <w:rsid w:val="00191512"/>
    <w:rsid w:val="0019167A"/>
    <w:rsid w:val="0019258B"/>
    <w:rsid w:val="00192C62"/>
    <w:rsid w:val="001950E4"/>
    <w:rsid w:val="00195D69"/>
    <w:rsid w:val="00196F49"/>
    <w:rsid w:val="001A043D"/>
    <w:rsid w:val="001A0F74"/>
    <w:rsid w:val="001A3661"/>
    <w:rsid w:val="001A454C"/>
    <w:rsid w:val="001A5E81"/>
    <w:rsid w:val="001A7C40"/>
    <w:rsid w:val="001B0079"/>
    <w:rsid w:val="001B00BB"/>
    <w:rsid w:val="001B01A4"/>
    <w:rsid w:val="001B0399"/>
    <w:rsid w:val="001B06D4"/>
    <w:rsid w:val="001B19B4"/>
    <w:rsid w:val="001B262E"/>
    <w:rsid w:val="001B2B81"/>
    <w:rsid w:val="001B2FE5"/>
    <w:rsid w:val="001B3B83"/>
    <w:rsid w:val="001B5C43"/>
    <w:rsid w:val="001B6028"/>
    <w:rsid w:val="001B7408"/>
    <w:rsid w:val="001C0455"/>
    <w:rsid w:val="001C2D48"/>
    <w:rsid w:val="001C33BD"/>
    <w:rsid w:val="001C3993"/>
    <w:rsid w:val="001C3EC4"/>
    <w:rsid w:val="001C6862"/>
    <w:rsid w:val="001C6FCD"/>
    <w:rsid w:val="001D0852"/>
    <w:rsid w:val="001D1ED5"/>
    <w:rsid w:val="001D389C"/>
    <w:rsid w:val="001D38CD"/>
    <w:rsid w:val="001D3AD1"/>
    <w:rsid w:val="001D7962"/>
    <w:rsid w:val="001E1E7F"/>
    <w:rsid w:val="001E310D"/>
    <w:rsid w:val="001E36BE"/>
    <w:rsid w:val="001E4040"/>
    <w:rsid w:val="001E44AF"/>
    <w:rsid w:val="001E4CCE"/>
    <w:rsid w:val="001E5808"/>
    <w:rsid w:val="001E703E"/>
    <w:rsid w:val="001E7A48"/>
    <w:rsid w:val="001F0A2D"/>
    <w:rsid w:val="001F4321"/>
    <w:rsid w:val="001F451A"/>
    <w:rsid w:val="001F5ABC"/>
    <w:rsid w:val="001F716A"/>
    <w:rsid w:val="001F753F"/>
    <w:rsid w:val="002018AD"/>
    <w:rsid w:val="00201A3B"/>
    <w:rsid w:val="00201E5D"/>
    <w:rsid w:val="00202C0A"/>
    <w:rsid w:val="00202F7E"/>
    <w:rsid w:val="00204025"/>
    <w:rsid w:val="002041BA"/>
    <w:rsid w:val="00204A00"/>
    <w:rsid w:val="00207B3D"/>
    <w:rsid w:val="002100AE"/>
    <w:rsid w:val="00210981"/>
    <w:rsid w:val="002114C7"/>
    <w:rsid w:val="0021157C"/>
    <w:rsid w:val="0021184A"/>
    <w:rsid w:val="002140D3"/>
    <w:rsid w:val="00214C56"/>
    <w:rsid w:val="00215285"/>
    <w:rsid w:val="002152A3"/>
    <w:rsid w:val="002160FC"/>
    <w:rsid w:val="002166D3"/>
    <w:rsid w:val="0021744B"/>
    <w:rsid w:val="00217EDF"/>
    <w:rsid w:val="00220620"/>
    <w:rsid w:val="0022065A"/>
    <w:rsid w:val="0022078E"/>
    <w:rsid w:val="00220981"/>
    <w:rsid w:val="0022197E"/>
    <w:rsid w:val="00222178"/>
    <w:rsid w:val="002223A8"/>
    <w:rsid w:val="002226DD"/>
    <w:rsid w:val="002227C0"/>
    <w:rsid w:val="002228FA"/>
    <w:rsid w:val="00222A83"/>
    <w:rsid w:val="00224F87"/>
    <w:rsid w:val="002275E7"/>
    <w:rsid w:val="00231155"/>
    <w:rsid w:val="00231942"/>
    <w:rsid w:val="00233768"/>
    <w:rsid w:val="00234BE3"/>
    <w:rsid w:val="002354A3"/>
    <w:rsid w:val="00236D2F"/>
    <w:rsid w:val="0023772F"/>
    <w:rsid w:val="00240B9B"/>
    <w:rsid w:val="002429D3"/>
    <w:rsid w:val="002448BB"/>
    <w:rsid w:val="00245DA4"/>
    <w:rsid w:val="0024637E"/>
    <w:rsid w:val="00246D34"/>
    <w:rsid w:val="00251A59"/>
    <w:rsid w:val="00252517"/>
    <w:rsid w:val="00257DDD"/>
    <w:rsid w:val="00260049"/>
    <w:rsid w:val="00261153"/>
    <w:rsid w:val="00261879"/>
    <w:rsid w:val="00261DD7"/>
    <w:rsid w:val="002632FA"/>
    <w:rsid w:val="002640B6"/>
    <w:rsid w:val="002642FC"/>
    <w:rsid w:val="0026463F"/>
    <w:rsid w:val="00265620"/>
    <w:rsid w:val="002677EB"/>
    <w:rsid w:val="00270394"/>
    <w:rsid w:val="00270999"/>
    <w:rsid w:val="00270C9D"/>
    <w:rsid w:val="002716A7"/>
    <w:rsid w:val="002738BD"/>
    <w:rsid w:val="002739D3"/>
    <w:rsid w:val="00274439"/>
    <w:rsid w:val="00274454"/>
    <w:rsid w:val="00274C88"/>
    <w:rsid w:val="00275927"/>
    <w:rsid w:val="0027659C"/>
    <w:rsid w:val="00277124"/>
    <w:rsid w:val="0027763D"/>
    <w:rsid w:val="0027799E"/>
    <w:rsid w:val="00280127"/>
    <w:rsid w:val="00281701"/>
    <w:rsid w:val="00282EAB"/>
    <w:rsid w:val="00284869"/>
    <w:rsid w:val="002848A9"/>
    <w:rsid w:val="00284B43"/>
    <w:rsid w:val="00285CDF"/>
    <w:rsid w:val="00286047"/>
    <w:rsid w:val="0028640B"/>
    <w:rsid w:val="00291946"/>
    <w:rsid w:val="00292721"/>
    <w:rsid w:val="0029474A"/>
    <w:rsid w:val="00294EAB"/>
    <w:rsid w:val="00296086"/>
    <w:rsid w:val="00297FA6"/>
    <w:rsid w:val="002A0EA1"/>
    <w:rsid w:val="002A0FDF"/>
    <w:rsid w:val="002A16F5"/>
    <w:rsid w:val="002A2B20"/>
    <w:rsid w:val="002A2CF0"/>
    <w:rsid w:val="002A4683"/>
    <w:rsid w:val="002A51BF"/>
    <w:rsid w:val="002A5580"/>
    <w:rsid w:val="002A6791"/>
    <w:rsid w:val="002A7403"/>
    <w:rsid w:val="002A7D5E"/>
    <w:rsid w:val="002B2663"/>
    <w:rsid w:val="002B367F"/>
    <w:rsid w:val="002B3746"/>
    <w:rsid w:val="002B38E6"/>
    <w:rsid w:val="002B409C"/>
    <w:rsid w:val="002B7239"/>
    <w:rsid w:val="002B79C3"/>
    <w:rsid w:val="002B7ED8"/>
    <w:rsid w:val="002C2EAF"/>
    <w:rsid w:val="002C5551"/>
    <w:rsid w:val="002C5882"/>
    <w:rsid w:val="002C64E9"/>
    <w:rsid w:val="002C710D"/>
    <w:rsid w:val="002C7877"/>
    <w:rsid w:val="002D0095"/>
    <w:rsid w:val="002D0FF2"/>
    <w:rsid w:val="002D30DA"/>
    <w:rsid w:val="002D325C"/>
    <w:rsid w:val="002D38DB"/>
    <w:rsid w:val="002D5475"/>
    <w:rsid w:val="002D6E55"/>
    <w:rsid w:val="002D6ED0"/>
    <w:rsid w:val="002E087E"/>
    <w:rsid w:val="002E21A2"/>
    <w:rsid w:val="002E2650"/>
    <w:rsid w:val="002E3D1D"/>
    <w:rsid w:val="002E66D1"/>
    <w:rsid w:val="002E71E8"/>
    <w:rsid w:val="002E74C1"/>
    <w:rsid w:val="002F0140"/>
    <w:rsid w:val="002F03B8"/>
    <w:rsid w:val="002F215A"/>
    <w:rsid w:val="002F454C"/>
    <w:rsid w:val="002F53E6"/>
    <w:rsid w:val="002F6173"/>
    <w:rsid w:val="002F66DF"/>
    <w:rsid w:val="00300899"/>
    <w:rsid w:val="00301A73"/>
    <w:rsid w:val="00303FD4"/>
    <w:rsid w:val="00304C1C"/>
    <w:rsid w:val="003057A5"/>
    <w:rsid w:val="00306AD0"/>
    <w:rsid w:val="00307655"/>
    <w:rsid w:val="00307E5E"/>
    <w:rsid w:val="00313829"/>
    <w:rsid w:val="003139A4"/>
    <w:rsid w:val="00317C6D"/>
    <w:rsid w:val="00320153"/>
    <w:rsid w:val="00322815"/>
    <w:rsid w:val="00323CB4"/>
    <w:rsid w:val="00324C2F"/>
    <w:rsid w:val="00326B0F"/>
    <w:rsid w:val="003271AF"/>
    <w:rsid w:val="00327C7E"/>
    <w:rsid w:val="003318EC"/>
    <w:rsid w:val="00331E41"/>
    <w:rsid w:val="00334D39"/>
    <w:rsid w:val="00335950"/>
    <w:rsid w:val="00335A9A"/>
    <w:rsid w:val="00336A64"/>
    <w:rsid w:val="00336E80"/>
    <w:rsid w:val="003406D0"/>
    <w:rsid w:val="00340868"/>
    <w:rsid w:val="00340C8C"/>
    <w:rsid w:val="00341AFE"/>
    <w:rsid w:val="00342DA7"/>
    <w:rsid w:val="0034433A"/>
    <w:rsid w:val="00345B8C"/>
    <w:rsid w:val="00350403"/>
    <w:rsid w:val="003504B4"/>
    <w:rsid w:val="00354B0A"/>
    <w:rsid w:val="003566E4"/>
    <w:rsid w:val="00357E71"/>
    <w:rsid w:val="003605C3"/>
    <w:rsid w:val="00363B65"/>
    <w:rsid w:val="003644EE"/>
    <w:rsid w:val="00364D3A"/>
    <w:rsid w:val="00365158"/>
    <w:rsid w:val="00371869"/>
    <w:rsid w:val="00373732"/>
    <w:rsid w:val="003742CB"/>
    <w:rsid w:val="00374470"/>
    <w:rsid w:val="00374D8C"/>
    <w:rsid w:val="00374E23"/>
    <w:rsid w:val="00376F19"/>
    <w:rsid w:val="00377F06"/>
    <w:rsid w:val="00380616"/>
    <w:rsid w:val="00380A71"/>
    <w:rsid w:val="00380EEF"/>
    <w:rsid w:val="00381650"/>
    <w:rsid w:val="003821C7"/>
    <w:rsid w:val="00384C4E"/>
    <w:rsid w:val="00387A46"/>
    <w:rsid w:val="0039039F"/>
    <w:rsid w:val="00390A46"/>
    <w:rsid w:val="003920EC"/>
    <w:rsid w:val="00392D32"/>
    <w:rsid w:val="00396BDA"/>
    <w:rsid w:val="00396E85"/>
    <w:rsid w:val="003978D4"/>
    <w:rsid w:val="00397CE3"/>
    <w:rsid w:val="003A1430"/>
    <w:rsid w:val="003A16FB"/>
    <w:rsid w:val="003A24D8"/>
    <w:rsid w:val="003A3207"/>
    <w:rsid w:val="003A4A36"/>
    <w:rsid w:val="003A57FC"/>
    <w:rsid w:val="003A5F40"/>
    <w:rsid w:val="003A600D"/>
    <w:rsid w:val="003A632C"/>
    <w:rsid w:val="003B0227"/>
    <w:rsid w:val="003B02AA"/>
    <w:rsid w:val="003B05ED"/>
    <w:rsid w:val="003B31EA"/>
    <w:rsid w:val="003B3D15"/>
    <w:rsid w:val="003B5FD5"/>
    <w:rsid w:val="003B7802"/>
    <w:rsid w:val="003C06AE"/>
    <w:rsid w:val="003C390E"/>
    <w:rsid w:val="003C3CBB"/>
    <w:rsid w:val="003C5708"/>
    <w:rsid w:val="003C6921"/>
    <w:rsid w:val="003C6FF3"/>
    <w:rsid w:val="003C7470"/>
    <w:rsid w:val="003D18B3"/>
    <w:rsid w:val="003D1942"/>
    <w:rsid w:val="003D1F60"/>
    <w:rsid w:val="003D245F"/>
    <w:rsid w:val="003D26E1"/>
    <w:rsid w:val="003D2C01"/>
    <w:rsid w:val="003D3FBB"/>
    <w:rsid w:val="003D4708"/>
    <w:rsid w:val="003D4F0C"/>
    <w:rsid w:val="003D5D72"/>
    <w:rsid w:val="003D6E51"/>
    <w:rsid w:val="003D7A39"/>
    <w:rsid w:val="003D7A77"/>
    <w:rsid w:val="003E2B02"/>
    <w:rsid w:val="003E3AC6"/>
    <w:rsid w:val="003E3B30"/>
    <w:rsid w:val="003E428C"/>
    <w:rsid w:val="003E68F3"/>
    <w:rsid w:val="003E6D9D"/>
    <w:rsid w:val="003E7749"/>
    <w:rsid w:val="003E7AC1"/>
    <w:rsid w:val="003E7B0F"/>
    <w:rsid w:val="003E7CD5"/>
    <w:rsid w:val="003F076B"/>
    <w:rsid w:val="003F490C"/>
    <w:rsid w:val="003F5587"/>
    <w:rsid w:val="003F6E6C"/>
    <w:rsid w:val="0040038D"/>
    <w:rsid w:val="00400E60"/>
    <w:rsid w:val="00401E2B"/>
    <w:rsid w:val="00403928"/>
    <w:rsid w:val="00404A5E"/>
    <w:rsid w:val="00404D1A"/>
    <w:rsid w:val="00405317"/>
    <w:rsid w:val="004055BB"/>
    <w:rsid w:val="00405688"/>
    <w:rsid w:val="00406738"/>
    <w:rsid w:val="00412DA5"/>
    <w:rsid w:val="00414A43"/>
    <w:rsid w:val="00416894"/>
    <w:rsid w:val="00416DC5"/>
    <w:rsid w:val="004170A5"/>
    <w:rsid w:val="00417E6C"/>
    <w:rsid w:val="004201AF"/>
    <w:rsid w:val="0042092D"/>
    <w:rsid w:val="00420D0E"/>
    <w:rsid w:val="00420DA9"/>
    <w:rsid w:val="00421310"/>
    <w:rsid w:val="00421F60"/>
    <w:rsid w:val="0042231E"/>
    <w:rsid w:val="00422488"/>
    <w:rsid w:val="004234D5"/>
    <w:rsid w:val="00423FBD"/>
    <w:rsid w:val="004241C1"/>
    <w:rsid w:val="00424C6A"/>
    <w:rsid w:val="004255D3"/>
    <w:rsid w:val="004266CE"/>
    <w:rsid w:val="0043343C"/>
    <w:rsid w:val="00433EE7"/>
    <w:rsid w:val="0043628F"/>
    <w:rsid w:val="0043703E"/>
    <w:rsid w:val="0044058E"/>
    <w:rsid w:val="00440E39"/>
    <w:rsid w:val="0044250C"/>
    <w:rsid w:val="00443300"/>
    <w:rsid w:val="00444110"/>
    <w:rsid w:val="0044431B"/>
    <w:rsid w:val="004463C9"/>
    <w:rsid w:val="004464D9"/>
    <w:rsid w:val="00446854"/>
    <w:rsid w:val="00447280"/>
    <w:rsid w:val="00447E39"/>
    <w:rsid w:val="00450ED9"/>
    <w:rsid w:val="0045157B"/>
    <w:rsid w:val="00451B4F"/>
    <w:rsid w:val="00452485"/>
    <w:rsid w:val="00453D24"/>
    <w:rsid w:val="00455125"/>
    <w:rsid w:val="004553DE"/>
    <w:rsid w:val="00456120"/>
    <w:rsid w:val="00457805"/>
    <w:rsid w:val="00457A6A"/>
    <w:rsid w:val="00461A2B"/>
    <w:rsid w:val="00462AE1"/>
    <w:rsid w:val="004631AE"/>
    <w:rsid w:val="00463350"/>
    <w:rsid w:val="00463677"/>
    <w:rsid w:val="00463CE2"/>
    <w:rsid w:val="00464A30"/>
    <w:rsid w:val="0046661C"/>
    <w:rsid w:val="004671BF"/>
    <w:rsid w:val="0047051C"/>
    <w:rsid w:val="004715CA"/>
    <w:rsid w:val="00473458"/>
    <w:rsid w:val="00473D5F"/>
    <w:rsid w:val="004760F6"/>
    <w:rsid w:val="00476D1B"/>
    <w:rsid w:val="00476E75"/>
    <w:rsid w:val="004814B8"/>
    <w:rsid w:val="004820E4"/>
    <w:rsid w:val="0048215B"/>
    <w:rsid w:val="004831A3"/>
    <w:rsid w:val="00484EF0"/>
    <w:rsid w:val="00485709"/>
    <w:rsid w:val="00485906"/>
    <w:rsid w:val="0048710A"/>
    <w:rsid w:val="0048720D"/>
    <w:rsid w:val="00487925"/>
    <w:rsid w:val="00487DDC"/>
    <w:rsid w:val="0049117A"/>
    <w:rsid w:val="0049414B"/>
    <w:rsid w:val="004945F7"/>
    <w:rsid w:val="004962E6"/>
    <w:rsid w:val="004965A3"/>
    <w:rsid w:val="0049696B"/>
    <w:rsid w:val="00496C25"/>
    <w:rsid w:val="00497C21"/>
    <w:rsid w:val="00497F97"/>
    <w:rsid w:val="004A141B"/>
    <w:rsid w:val="004A1D20"/>
    <w:rsid w:val="004A5F87"/>
    <w:rsid w:val="004A645C"/>
    <w:rsid w:val="004A68FD"/>
    <w:rsid w:val="004A7635"/>
    <w:rsid w:val="004B0F52"/>
    <w:rsid w:val="004B258F"/>
    <w:rsid w:val="004B2BC3"/>
    <w:rsid w:val="004B38E4"/>
    <w:rsid w:val="004B79D3"/>
    <w:rsid w:val="004C16BD"/>
    <w:rsid w:val="004C1CF7"/>
    <w:rsid w:val="004C2367"/>
    <w:rsid w:val="004C2501"/>
    <w:rsid w:val="004C3B08"/>
    <w:rsid w:val="004C435E"/>
    <w:rsid w:val="004C75B0"/>
    <w:rsid w:val="004D1BA8"/>
    <w:rsid w:val="004D1BAD"/>
    <w:rsid w:val="004D20D1"/>
    <w:rsid w:val="004D306A"/>
    <w:rsid w:val="004D3087"/>
    <w:rsid w:val="004D5E2E"/>
    <w:rsid w:val="004D5EC8"/>
    <w:rsid w:val="004D6650"/>
    <w:rsid w:val="004D7194"/>
    <w:rsid w:val="004E0499"/>
    <w:rsid w:val="004E16BB"/>
    <w:rsid w:val="004E2165"/>
    <w:rsid w:val="004E2CBE"/>
    <w:rsid w:val="004E2F85"/>
    <w:rsid w:val="004E34D2"/>
    <w:rsid w:val="004E3FF2"/>
    <w:rsid w:val="004E444B"/>
    <w:rsid w:val="004E4A96"/>
    <w:rsid w:val="004E4D53"/>
    <w:rsid w:val="004E4EC2"/>
    <w:rsid w:val="004E4F5A"/>
    <w:rsid w:val="004E71D2"/>
    <w:rsid w:val="004E733A"/>
    <w:rsid w:val="004F065C"/>
    <w:rsid w:val="004F1BF1"/>
    <w:rsid w:val="004F1DE0"/>
    <w:rsid w:val="004F1E75"/>
    <w:rsid w:val="004F2876"/>
    <w:rsid w:val="004F3A29"/>
    <w:rsid w:val="004F584F"/>
    <w:rsid w:val="004F6AA9"/>
    <w:rsid w:val="004F6BC8"/>
    <w:rsid w:val="004F6FE2"/>
    <w:rsid w:val="0050060B"/>
    <w:rsid w:val="00500E10"/>
    <w:rsid w:val="0050117E"/>
    <w:rsid w:val="0050179C"/>
    <w:rsid w:val="00501A84"/>
    <w:rsid w:val="00501F96"/>
    <w:rsid w:val="00502259"/>
    <w:rsid w:val="00505AC8"/>
    <w:rsid w:val="005074EB"/>
    <w:rsid w:val="00511E11"/>
    <w:rsid w:val="0051336B"/>
    <w:rsid w:val="00513403"/>
    <w:rsid w:val="00514554"/>
    <w:rsid w:val="00514B11"/>
    <w:rsid w:val="0051693C"/>
    <w:rsid w:val="0051698F"/>
    <w:rsid w:val="0052082E"/>
    <w:rsid w:val="0052204C"/>
    <w:rsid w:val="00522544"/>
    <w:rsid w:val="00523BCD"/>
    <w:rsid w:val="00524505"/>
    <w:rsid w:val="00524B00"/>
    <w:rsid w:val="00524E87"/>
    <w:rsid w:val="005255C6"/>
    <w:rsid w:val="0052583F"/>
    <w:rsid w:val="00525CA4"/>
    <w:rsid w:val="005266B9"/>
    <w:rsid w:val="0052691B"/>
    <w:rsid w:val="00530C41"/>
    <w:rsid w:val="00531A00"/>
    <w:rsid w:val="00532240"/>
    <w:rsid w:val="005335D0"/>
    <w:rsid w:val="00533846"/>
    <w:rsid w:val="00541DB5"/>
    <w:rsid w:val="005426A4"/>
    <w:rsid w:val="00544E6D"/>
    <w:rsid w:val="00545844"/>
    <w:rsid w:val="00546F11"/>
    <w:rsid w:val="005506C3"/>
    <w:rsid w:val="005518C1"/>
    <w:rsid w:val="00553907"/>
    <w:rsid w:val="00555294"/>
    <w:rsid w:val="00555CC5"/>
    <w:rsid w:val="00557284"/>
    <w:rsid w:val="00557671"/>
    <w:rsid w:val="005578BF"/>
    <w:rsid w:val="00560774"/>
    <w:rsid w:val="00560A56"/>
    <w:rsid w:val="00561C7C"/>
    <w:rsid w:val="00562113"/>
    <w:rsid w:val="00563CA5"/>
    <w:rsid w:val="0056547F"/>
    <w:rsid w:val="00565576"/>
    <w:rsid w:val="00565B6A"/>
    <w:rsid w:val="00566D1C"/>
    <w:rsid w:val="00566E3B"/>
    <w:rsid w:val="0056711A"/>
    <w:rsid w:val="005738A1"/>
    <w:rsid w:val="00573CE0"/>
    <w:rsid w:val="005761BA"/>
    <w:rsid w:val="00576950"/>
    <w:rsid w:val="00577979"/>
    <w:rsid w:val="0058067B"/>
    <w:rsid w:val="00582170"/>
    <w:rsid w:val="00583AD6"/>
    <w:rsid w:val="00585C40"/>
    <w:rsid w:val="005864BB"/>
    <w:rsid w:val="005915AC"/>
    <w:rsid w:val="005915AD"/>
    <w:rsid w:val="00591693"/>
    <w:rsid w:val="0059316A"/>
    <w:rsid w:val="0059528E"/>
    <w:rsid w:val="00595D26"/>
    <w:rsid w:val="005A0465"/>
    <w:rsid w:val="005A0C54"/>
    <w:rsid w:val="005A0C59"/>
    <w:rsid w:val="005A1CE5"/>
    <w:rsid w:val="005A1F2C"/>
    <w:rsid w:val="005A20B3"/>
    <w:rsid w:val="005A235C"/>
    <w:rsid w:val="005A26DB"/>
    <w:rsid w:val="005A492D"/>
    <w:rsid w:val="005A5BBF"/>
    <w:rsid w:val="005A6283"/>
    <w:rsid w:val="005A65C8"/>
    <w:rsid w:val="005A685C"/>
    <w:rsid w:val="005A743D"/>
    <w:rsid w:val="005B0E04"/>
    <w:rsid w:val="005B1483"/>
    <w:rsid w:val="005B2555"/>
    <w:rsid w:val="005B41AD"/>
    <w:rsid w:val="005B4278"/>
    <w:rsid w:val="005B456C"/>
    <w:rsid w:val="005B46A5"/>
    <w:rsid w:val="005B46E5"/>
    <w:rsid w:val="005B522F"/>
    <w:rsid w:val="005B6A83"/>
    <w:rsid w:val="005B6E03"/>
    <w:rsid w:val="005B768B"/>
    <w:rsid w:val="005B7A27"/>
    <w:rsid w:val="005C0158"/>
    <w:rsid w:val="005C095E"/>
    <w:rsid w:val="005C0A99"/>
    <w:rsid w:val="005C26CD"/>
    <w:rsid w:val="005C5B40"/>
    <w:rsid w:val="005C6630"/>
    <w:rsid w:val="005D00E0"/>
    <w:rsid w:val="005D0EF6"/>
    <w:rsid w:val="005D141B"/>
    <w:rsid w:val="005D18BF"/>
    <w:rsid w:val="005D245B"/>
    <w:rsid w:val="005D40E4"/>
    <w:rsid w:val="005D43CB"/>
    <w:rsid w:val="005D50A7"/>
    <w:rsid w:val="005D612E"/>
    <w:rsid w:val="005D6932"/>
    <w:rsid w:val="005D7852"/>
    <w:rsid w:val="005E0FB2"/>
    <w:rsid w:val="005E2072"/>
    <w:rsid w:val="005E2346"/>
    <w:rsid w:val="005E29F0"/>
    <w:rsid w:val="005E2FF3"/>
    <w:rsid w:val="005E511C"/>
    <w:rsid w:val="005E5C48"/>
    <w:rsid w:val="005E74DD"/>
    <w:rsid w:val="005E7EBC"/>
    <w:rsid w:val="005F104A"/>
    <w:rsid w:val="005F17FA"/>
    <w:rsid w:val="005F2442"/>
    <w:rsid w:val="005F27B1"/>
    <w:rsid w:val="005F2AFA"/>
    <w:rsid w:val="005F3BFB"/>
    <w:rsid w:val="005F585A"/>
    <w:rsid w:val="005F6A9A"/>
    <w:rsid w:val="00600906"/>
    <w:rsid w:val="00601B20"/>
    <w:rsid w:val="00601BD5"/>
    <w:rsid w:val="00602A27"/>
    <w:rsid w:val="0060314B"/>
    <w:rsid w:val="0060415D"/>
    <w:rsid w:val="006044AD"/>
    <w:rsid w:val="00606C1E"/>
    <w:rsid w:val="00607C1C"/>
    <w:rsid w:val="00607DFD"/>
    <w:rsid w:val="0061176B"/>
    <w:rsid w:val="00612906"/>
    <w:rsid w:val="00612EA8"/>
    <w:rsid w:val="00614116"/>
    <w:rsid w:val="006155D5"/>
    <w:rsid w:val="00620382"/>
    <w:rsid w:val="0062127E"/>
    <w:rsid w:val="00621C5E"/>
    <w:rsid w:val="00621E9E"/>
    <w:rsid w:val="0062280D"/>
    <w:rsid w:val="0062308E"/>
    <w:rsid w:val="00623FE5"/>
    <w:rsid w:val="006243EA"/>
    <w:rsid w:val="00624CB7"/>
    <w:rsid w:val="00626DCB"/>
    <w:rsid w:val="0062705C"/>
    <w:rsid w:val="00627A59"/>
    <w:rsid w:val="00627ABB"/>
    <w:rsid w:val="00632862"/>
    <w:rsid w:val="0063654A"/>
    <w:rsid w:val="0063696F"/>
    <w:rsid w:val="00636FF7"/>
    <w:rsid w:val="00640D94"/>
    <w:rsid w:val="00640F93"/>
    <w:rsid w:val="00641D54"/>
    <w:rsid w:val="00643834"/>
    <w:rsid w:val="006438FD"/>
    <w:rsid w:val="00643CC4"/>
    <w:rsid w:val="00646797"/>
    <w:rsid w:val="006515AA"/>
    <w:rsid w:val="0065369A"/>
    <w:rsid w:val="00654909"/>
    <w:rsid w:val="00654CE9"/>
    <w:rsid w:val="00654D48"/>
    <w:rsid w:val="006550C9"/>
    <w:rsid w:val="0066155D"/>
    <w:rsid w:val="00661C38"/>
    <w:rsid w:val="006622E3"/>
    <w:rsid w:val="00663525"/>
    <w:rsid w:val="00664D74"/>
    <w:rsid w:val="00665F97"/>
    <w:rsid w:val="00666008"/>
    <w:rsid w:val="006676EB"/>
    <w:rsid w:val="00667C7F"/>
    <w:rsid w:val="0067084A"/>
    <w:rsid w:val="00671126"/>
    <w:rsid w:val="00671515"/>
    <w:rsid w:val="00672074"/>
    <w:rsid w:val="006721B7"/>
    <w:rsid w:val="006733DD"/>
    <w:rsid w:val="00674E0F"/>
    <w:rsid w:val="006753F2"/>
    <w:rsid w:val="00675937"/>
    <w:rsid w:val="0067704E"/>
    <w:rsid w:val="006805C7"/>
    <w:rsid w:val="00680629"/>
    <w:rsid w:val="00680A3B"/>
    <w:rsid w:val="00680BDC"/>
    <w:rsid w:val="00680FD3"/>
    <w:rsid w:val="00681192"/>
    <w:rsid w:val="00681AA8"/>
    <w:rsid w:val="00681E58"/>
    <w:rsid w:val="006821AD"/>
    <w:rsid w:val="00682324"/>
    <w:rsid w:val="00683507"/>
    <w:rsid w:val="00684166"/>
    <w:rsid w:val="00684676"/>
    <w:rsid w:val="00685F4C"/>
    <w:rsid w:val="006870A2"/>
    <w:rsid w:val="006878E1"/>
    <w:rsid w:val="00690C44"/>
    <w:rsid w:val="006915F3"/>
    <w:rsid w:val="006925B1"/>
    <w:rsid w:val="006930FA"/>
    <w:rsid w:val="006958C3"/>
    <w:rsid w:val="00696B0D"/>
    <w:rsid w:val="006A01A3"/>
    <w:rsid w:val="006A062E"/>
    <w:rsid w:val="006A081F"/>
    <w:rsid w:val="006A25D3"/>
    <w:rsid w:val="006A286B"/>
    <w:rsid w:val="006A4987"/>
    <w:rsid w:val="006A54AD"/>
    <w:rsid w:val="006A75EF"/>
    <w:rsid w:val="006A7886"/>
    <w:rsid w:val="006A78B5"/>
    <w:rsid w:val="006A7DAD"/>
    <w:rsid w:val="006A7F93"/>
    <w:rsid w:val="006B20F1"/>
    <w:rsid w:val="006B590F"/>
    <w:rsid w:val="006B6BDD"/>
    <w:rsid w:val="006B7856"/>
    <w:rsid w:val="006B7C5F"/>
    <w:rsid w:val="006C0988"/>
    <w:rsid w:val="006C139D"/>
    <w:rsid w:val="006C4AF2"/>
    <w:rsid w:val="006C5522"/>
    <w:rsid w:val="006C5AD7"/>
    <w:rsid w:val="006C6CE5"/>
    <w:rsid w:val="006D069B"/>
    <w:rsid w:val="006D0958"/>
    <w:rsid w:val="006D0CF4"/>
    <w:rsid w:val="006D1247"/>
    <w:rsid w:val="006D2750"/>
    <w:rsid w:val="006D2F1B"/>
    <w:rsid w:val="006D51B8"/>
    <w:rsid w:val="006D5C2D"/>
    <w:rsid w:val="006D6142"/>
    <w:rsid w:val="006E37E2"/>
    <w:rsid w:val="006E4CF4"/>
    <w:rsid w:val="006E637C"/>
    <w:rsid w:val="006E747B"/>
    <w:rsid w:val="006E7AA9"/>
    <w:rsid w:val="006F138B"/>
    <w:rsid w:val="006F1F6B"/>
    <w:rsid w:val="006F32FF"/>
    <w:rsid w:val="006F36F6"/>
    <w:rsid w:val="006F4539"/>
    <w:rsid w:val="006F6249"/>
    <w:rsid w:val="006F7A21"/>
    <w:rsid w:val="0070114C"/>
    <w:rsid w:val="00701B2E"/>
    <w:rsid w:val="0070307E"/>
    <w:rsid w:val="007032C2"/>
    <w:rsid w:val="00703A5F"/>
    <w:rsid w:val="00703AD4"/>
    <w:rsid w:val="00703F72"/>
    <w:rsid w:val="00705E39"/>
    <w:rsid w:val="00706114"/>
    <w:rsid w:val="007062C3"/>
    <w:rsid w:val="00707CC5"/>
    <w:rsid w:val="0071154C"/>
    <w:rsid w:val="00711B5E"/>
    <w:rsid w:val="00714FD5"/>
    <w:rsid w:val="00715551"/>
    <w:rsid w:val="00716896"/>
    <w:rsid w:val="007176F9"/>
    <w:rsid w:val="00717DDF"/>
    <w:rsid w:val="00720EEE"/>
    <w:rsid w:val="00722073"/>
    <w:rsid w:val="00722A10"/>
    <w:rsid w:val="00723A6D"/>
    <w:rsid w:val="00723C34"/>
    <w:rsid w:val="00725279"/>
    <w:rsid w:val="0072566C"/>
    <w:rsid w:val="00725A66"/>
    <w:rsid w:val="007260AC"/>
    <w:rsid w:val="007265B7"/>
    <w:rsid w:val="0072692B"/>
    <w:rsid w:val="007277AF"/>
    <w:rsid w:val="00730ACF"/>
    <w:rsid w:val="0073250E"/>
    <w:rsid w:val="00733EF9"/>
    <w:rsid w:val="00734503"/>
    <w:rsid w:val="00737334"/>
    <w:rsid w:val="007377C9"/>
    <w:rsid w:val="007377E7"/>
    <w:rsid w:val="007401E1"/>
    <w:rsid w:val="007406C2"/>
    <w:rsid w:val="00740B63"/>
    <w:rsid w:val="007443EF"/>
    <w:rsid w:val="00745572"/>
    <w:rsid w:val="00747D8A"/>
    <w:rsid w:val="0075007A"/>
    <w:rsid w:val="00751C61"/>
    <w:rsid w:val="007530FE"/>
    <w:rsid w:val="00760774"/>
    <w:rsid w:val="007613A3"/>
    <w:rsid w:val="00762A6C"/>
    <w:rsid w:val="00762E50"/>
    <w:rsid w:val="007640CD"/>
    <w:rsid w:val="00766CF7"/>
    <w:rsid w:val="007676C5"/>
    <w:rsid w:val="0077075D"/>
    <w:rsid w:val="007726BA"/>
    <w:rsid w:val="007738D6"/>
    <w:rsid w:val="00773AF9"/>
    <w:rsid w:val="00774334"/>
    <w:rsid w:val="0077475C"/>
    <w:rsid w:val="00776137"/>
    <w:rsid w:val="007774CA"/>
    <w:rsid w:val="00777579"/>
    <w:rsid w:val="007775BA"/>
    <w:rsid w:val="00777656"/>
    <w:rsid w:val="00777AAE"/>
    <w:rsid w:val="00777AEE"/>
    <w:rsid w:val="00780137"/>
    <w:rsid w:val="007816BB"/>
    <w:rsid w:val="00784C17"/>
    <w:rsid w:val="00786AC7"/>
    <w:rsid w:val="00787282"/>
    <w:rsid w:val="00794332"/>
    <w:rsid w:val="00794760"/>
    <w:rsid w:val="00794892"/>
    <w:rsid w:val="00795477"/>
    <w:rsid w:val="007963ED"/>
    <w:rsid w:val="00796D3C"/>
    <w:rsid w:val="007A0317"/>
    <w:rsid w:val="007A0EF8"/>
    <w:rsid w:val="007A380F"/>
    <w:rsid w:val="007A3A58"/>
    <w:rsid w:val="007A4526"/>
    <w:rsid w:val="007A5A0C"/>
    <w:rsid w:val="007A62C4"/>
    <w:rsid w:val="007A6C6F"/>
    <w:rsid w:val="007B0CE4"/>
    <w:rsid w:val="007B2247"/>
    <w:rsid w:val="007B32BB"/>
    <w:rsid w:val="007B50F9"/>
    <w:rsid w:val="007B5708"/>
    <w:rsid w:val="007B5874"/>
    <w:rsid w:val="007B77AA"/>
    <w:rsid w:val="007C077D"/>
    <w:rsid w:val="007C2104"/>
    <w:rsid w:val="007C3281"/>
    <w:rsid w:val="007C610B"/>
    <w:rsid w:val="007C78EB"/>
    <w:rsid w:val="007C7960"/>
    <w:rsid w:val="007D08ED"/>
    <w:rsid w:val="007D1731"/>
    <w:rsid w:val="007D19B6"/>
    <w:rsid w:val="007D28A0"/>
    <w:rsid w:val="007D3373"/>
    <w:rsid w:val="007D42DC"/>
    <w:rsid w:val="007D46AB"/>
    <w:rsid w:val="007D4B53"/>
    <w:rsid w:val="007D59B4"/>
    <w:rsid w:val="007E0B16"/>
    <w:rsid w:val="007E0C1A"/>
    <w:rsid w:val="007E10D7"/>
    <w:rsid w:val="007E1539"/>
    <w:rsid w:val="007E198F"/>
    <w:rsid w:val="007E1CB1"/>
    <w:rsid w:val="007E1DA2"/>
    <w:rsid w:val="007E2616"/>
    <w:rsid w:val="007E3774"/>
    <w:rsid w:val="007F021F"/>
    <w:rsid w:val="007F0554"/>
    <w:rsid w:val="007F0AF6"/>
    <w:rsid w:val="007F11A7"/>
    <w:rsid w:val="007F15CE"/>
    <w:rsid w:val="007F1751"/>
    <w:rsid w:val="007F2BA9"/>
    <w:rsid w:val="007F2FB2"/>
    <w:rsid w:val="007F3EB9"/>
    <w:rsid w:val="007F5169"/>
    <w:rsid w:val="007F521A"/>
    <w:rsid w:val="007F68B2"/>
    <w:rsid w:val="007F7E8B"/>
    <w:rsid w:val="007F7F55"/>
    <w:rsid w:val="0080045D"/>
    <w:rsid w:val="00800D87"/>
    <w:rsid w:val="00802DB0"/>
    <w:rsid w:val="00805B02"/>
    <w:rsid w:val="00805EEE"/>
    <w:rsid w:val="0080663D"/>
    <w:rsid w:val="00807318"/>
    <w:rsid w:val="0081256A"/>
    <w:rsid w:val="00813A99"/>
    <w:rsid w:val="00813E57"/>
    <w:rsid w:val="0081439C"/>
    <w:rsid w:val="008158B3"/>
    <w:rsid w:val="008171DB"/>
    <w:rsid w:val="0081732A"/>
    <w:rsid w:val="0081776F"/>
    <w:rsid w:val="00820A5C"/>
    <w:rsid w:val="00823520"/>
    <w:rsid w:val="00824D91"/>
    <w:rsid w:val="00826F05"/>
    <w:rsid w:val="00830277"/>
    <w:rsid w:val="0083057A"/>
    <w:rsid w:val="008310B8"/>
    <w:rsid w:val="00831DD5"/>
    <w:rsid w:val="00832B55"/>
    <w:rsid w:val="0083444C"/>
    <w:rsid w:val="00835472"/>
    <w:rsid w:val="0083619C"/>
    <w:rsid w:val="00840CEA"/>
    <w:rsid w:val="008417BD"/>
    <w:rsid w:val="00842A1A"/>
    <w:rsid w:val="008469C3"/>
    <w:rsid w:val="00850B15"/>
    <w:rsid w:val="00853344"/>
    <w:rsid w:val="008542AB"/>
    <w:rsid w:val="00854300"/>
    <w:rsid w:val="008546B8"/>
    <w:rsid w:val="00856E0D"/>
    <w:rsid w:val="00860A97"/>
    <w:rsid w:val="00860C68"/>
    <w:rsid w:val="00863790"/>
    <w:rsid w:val="00864B48"/>
    <w:rsid w:val="00864E8C"/>
    <w:rsid w:val="008660E9"/>
    <w:rsid w:val="008668A5"/>
    <w:rsid w:val="00867206"/>
    <w:rsid w:val="00867CC2"/>
    <w:rsid w:val="008705B0"/>
    <w:rsid w:val="008718F9"/>
    <w:rsid w:val="008722E7"/>
    <w:rsid w:val="00872573"/>
    <w:rsid w:val="00872B27"/>
    <w:rsid w:val="0087419C"/>
    <w:rsid w:val="008742C4"/>
    <w:rsid w:val="00874880"/>
    <w:rsid w:val="00874AA5"/>
    <w:rsid w:val="00875B9E"/>
    <w:rsid w:val="0087640D"/>
    <w:rsid w:val="008836EE"/>
    <w:rsid w:val="00883A4F"/>
    <w:rsid w:val="00883C72"/>
    <w:rsid w:val="00884246"/>
    <w:rsid w:val="00885CA2"/>
    <w:rsid w:val="00885EE5"/>
    <w:rsid w:val="00891862"/>
    <w:rsid w:val="00891E56"/>
    <w:rsid w:val="00894B70"/>
    <w:rsid w:val="0089525A"/>
    <w:rsid w:val="0089564C"/>
    <w:rsid w:val="00896CA9"/>
    <w:rsid w:val="00896E41"/>
    <w:rsid w:val="00897521"/>
    <w:rsid w:val="00897975"/>
    <w:rsid w:val="008A09C5"/>
    <w:rsid w:val="008A0AD5"/>
    <w:rsid w:val="008A3711"/>
    <w:rsid w:val="008A3E18"/>
    <w:rsid w:val="008A53AA"/>
    <w:rsid w:val="008A5B17"/>
    <w:rsid w:val="008A5C76"/>
    <w:rsid w:val="008A66C7"/>
    <w:rsid w:val="008A6F2B"/>
    <w:rsid w:val="008A7585"/>
    <w:rsid w:val="008B0E75"/>
    <w:rsid w:val="008B2746"/>
    <w:rsid w:val="008B3BFD"/>
    <w:rsid w:val="008B3CB2"/>
    <w:rsid w:val="008B3F23"/>
    <w:rsid w:val="008B487F"/>
    <w:rsid w:val="008B5114"/>
    <w:rsid w:val="008B7470"/>
    <w:rsid w:val="008C01A9"/>
    <w:rsid w:val="008C07AC"/>
    <w:rsid w:val="008C1B81"/>
    <w:rsid w:val="008C2FA0"/>
    <w:rsid w:val="008C33C2"/>
    <w:rsid w:val="008C413F"/>
    <w:rsid w:val="008C4195"/>
    <w:rsid w:val="008C4A79"/>
    <w:rsid w:val="008D0500"/>
    <w:rsid w:val="008D2038"/>
    <w:rsid w:val="008D4CA1"/>
    <w:rsid w:val="008D6B7D"/>
    <w:rsid w:val="008D6BF5"/>
    <w:rsid w:val="008D7FF0"/>
    <w:rsid w:val="008E066F"/>
    <w:rsid w:val="008E0D73"/>
    <w:rsid w:val="008E1D5E"/>
    <w:rsid w:val="008E3B8B"/>
    <w:rsid w:val="008E4D83"/>
    <w:rsid w:val="008E62AE"/>
    <w:rsid w:val="008F0F57"/>
    <w:rsid w:val="008F11BE"/>
    <w:rsid w:val="008F1B02"/>
    <w:rsid w:val="008F313D"/>
    <w:rsid w:val="008F3ABB"/>
    <w:rsid w:val="008F5AB4"/>
    <w:rsid w:val="00900396"/>
    <w:rsid w:val="00901F65"/>
    <w:rsid w:val="00902026"/>
    <w:rsid w:val="00903060"/>
    <w:rsid w:val="00903D0F"/>
    <w:rsid w:val="00903E61"/>
    <w:rsid w:val="00904AF5"/>
    <w:rsid w:val="00912690"/>
    <w:rsid w:val="00912E32"/>
    <w:rsid w:val="00914073"/>
    <w:rsid w:val="009153CF"/>
    <w:rsid w:val="00915AC5"/>
    <w:rsid w:val="00915D5B"/>
    <w:rsid w:val="00915D7A"/>
    <w:rsid w:val="00917CDC"/>
    <w:rsid w:val="00920031"/>
    <w:rsid w:val="00920AD6"/>
    <w:rsid w:val="00920DDC"/>
    <w:rsid w:val="00920ECC"/>
    <w:rsid w:val="00921C64"/>
    <w:rsid w:val="00922403"/>
    <w:rsid w:val="00923765"/>
    <w:rsid w:val="00924F3F"/>
    <w:rsid w:val="00925065"/>
    <w:rsid w:val="00925802"/>
    <w:rsid w:val="00925A80"/>
    <w:rsid w:val="009269D8"/>
    <w:rsid w:val="00926C91"/>
    <w:rsid w:val="0093032A"/>
    <w:rsid w:val="00931634"/>
    <w:rsid w:val="00935771"/>
    <w:rsid w:val="0093583F"/>
    <w:rsid w:val="00936A24"/>
    <w:rsid w:val="00937532"/>
    <w:rsid w:val="0093799F"/>
    <w:rsid w:val="00943401"/>
    <w:rsid w:val="0094427D"/>
    <w:rsid w:val="00944774"/>
    <w:rsid w:val="00945498"/>
    <w:rsid w:val="009461AD"/>
    <w:rsid w:val="0094783B"/>
    <w:rsid w:val="00947DE1"/>
    <w:rsid w:val="00947FA5"/>
    <w:rsid w:val="00950089"/>
    <w:rsid w:val="009503CA"/>
    <w:rsid w:val="00951388"/>
    <w:rsid w:val="00951D56"/>
    <w:rsid w:val="00952880"/>
    <w:rsid w:val="0095288A"/>
    <w:rsid w:val="00954329"/>
    <w:rsid w:val="0095459D"/>
    <w:rsid w:val="00954FFD"/>
    <w:rsid w:val="00955066"/>
    <w:rsid w:val="00957E63"/>
    <w:rsid w:val="00960DF6"/>
    <w:rsid w:val="00961779"/>
    <w:rsid w:val="00961FF9"/>
    <w:rsid w:val="00962538"/>
    <w:rsid w:val="00963F99"/>
    <w:rsid w:val="009649AE"/>
    <w:rsid w:val="009651E5"/>
    <w:rsid w:val="00966414"/>
    <w:rsid w:val="00970FA9"/>
    <w:rsid w:val="00971B17"/>
    <w:rsid w:val="00973737"/>
    <w:rsid w:val="00974535"/>
    <w:rsid w:val="00974E91"/>
    <w:rsid w:val="009757A0"/>
    <w:rsid w:val="00976670"/>
    <w:rsid w:val="00976916"/>
    <w:rsid w:val="00980EE6"/>
    <w:rsid w:val="00981CAF"/>
    <w:rsid w:val="00982B16"/>
    <w:rsid w:val="00983C99"/>
    <w:rsid w:val="00983CEB"/>
    <w:rsid w:val="0098411B"/>
    <w:rsid w:val="009843CE"/>
    <w:rsid w:val="00990019"/>
    <w:rsid w:val="009916AF"/>
    <w:rsid w:val="00991749"/>
    <w:rsid w:val="00994D67"/>
    <w:rsid w:val="0099562D"/>
    <w:rsid w:val="00997484"/>
    <w:rsid w:val="009A0613"/>
    <w:rsid w:val="009A0617"/>
    <w:rsid w:val="009A17F8"/>
    <w:rsid w:val="009A300C"/>
    <w:rsid w:val="009A308D"/>
    <w:rsid w:val="009A3E0E"/>
    <w:rsid w:val="009A4CAC"/>
    <w:rsid w:val="009A6316"/>
    <w:rsid w:val="009A6760"/>
    <w:rsid w:val="009A7061"/>
    <w:rsid w:val="009B0BCA"/>
    <w:rsid w:val="009B1A0D"/>
    <w:rsid w:val="009B42D7"/>
    <w:rsid w:val="009B4FFA"/>
    <w:rsid w:val="009B56C2"/>
    <w:rsid w:val="009B57B8"/>
    <w:rsid w:val="009B7899"/>
    <w:rsid w:val="009C10F8"/>
    <w:rsid w:val="009C6B5F"/>
    <w:rsid w:val="009C6FB8"/>
    <w:rsid w:val="009C7A69"/>
    <w:rsid w:val="009D0240"/>
    <w:rsid w:val="009D1715"/>
    <w:rsid w:val="009D2AC2"/>
    <w:rsid w:val="009D2F7E"/>
    <w:rsid w:val="009D3878"/>
    <w:rsid w:val="009D44BB"/>
    <w:rsid w:val="009D5324"/>
    <w:rsid w:val="009D59C4"/>
    <w:rsid w:val="009E0385"/>
    <w:rsid w:val="009E16AB"/>
    <w:rsid w:val="009E209E"/>
    <w:rsid w:val="009E3D5D"/>
    <w:rsid w:val="009E464C"/>
    <w:rsid w:val="009E5306"/>
    <w:rsid w:val="009E632F"/>
    <w:rsid w:val="009E6472"/>
    <w:rsid w:val="009E70A4"/>
    <w:rsid w:val="009E7401"/>
    <w:rsid w:val="009F1DE8"/>
    <w:rsid w:val="009F4A83"/>
    <w:rsid w:val="009F4E6E"/>
    <w:rsid w:val="009F5240"/>
    <w:rsid w:val="009F6855"/>
    <w:rsid w:val="009F727F"/>
    <w:rsid w:val="00A00752"/>
    <w:rsid w:val="00A009A4"/>
    <w:rsid w:val="00A0210C"/>
    <w:rsid w:val="00A026CF"/>
    <w:rsid w:val="00A03DB3"/>
    <w:rsid w:val="00A05BC4"/>
    <w:rsid w:val="00A06EDF"/>
    <w:rsid w:val="00A1080A"/>
    <w:rsid w:val="00A11097"/>
    <w:rsid w:val="00A12CCB"/>
    <w:rsid w:val="00A13B03"/>
    <w:rsid w:val="00A14B6A"/>
    <w:rsid w:val="00A1540D"/>
    <w:rsid w:val="00A1597B"/>
    <w:rsid w:val="00A17119"/>
    <w:rsid w:val="00A17A7C"/>
    <w:rsid w:val="00A20440"/>
    <w:rsid w:val="00A209E8"/>
    <w:rsid w:val="00A26132"/>
    <w:rsid w:val="00A26DBA"/>
    <w:rsid w:val="00A27470"/>
    <w:rsid w:val="00A27E58"/>
    <w:rsid w:val="00A30AE4"/>
    <w:rsid w:val="00A315B2"/>
    <w:rsid w:val="00A35272"/>
    <w:rsid w:val="00A35C2A"/>
    <w:rsid w:val="00A36E7D"/>
    <w:rsid w:val="00A370A1"/>
    <w:rsid w:val="00A37912"/>
    <w:rsid w:val="00A37CC1"/>
    <w:rsid w:val="00A40DEA"/>
    <w:rsid w:val="00A410A5"/>
    <w:rsid w:val="00A4171E"/>
    <w:rsid w:val="00A4399C"/>
    <w:rsid w:val="00A44495"/>
    <w:rsid w:val="00A47DEE"/>
    <w:rsid w:val="00A50308"/>
    <w:rsid w:val="00A50598"/>
    <w:rsid w:val="00A50F15"/>
    <w:rsid w:val="00A5193C"/>
    <w:rsid w:val="00A52263"/>
    <w:rsid w:val="00A52360"/>
    <w:rsid w:val="00A547FC"/>
    <w:rsid w:val="00A56246"/>
    <w:rsid w:val="00A56338"/>
    <w:rsid w:val="00A56E58"/>
    <w:rsid w:val="00A57E81"/>
    <w:rsid w:val="00A60394"/>
    <w:rsid w:val="00A6151D"/>
    <w:rsid w:val="00A6166C"/>
    <w:rsid w:val="00A636E8"/>
    <w:rsid w:val="00A63E49"/>
    <w:rsid w:val="00A64FC8"/>
    <w:rsid w:val="00A6699D"/>
    <w:rsid w:val="00A66B17"/>
    <w:rsid w:val="00A67D85"/>
    <w:rsid w:val="00A70668"/>
    <w:rsid w:val="00A70CA5"/>
    <w:rsid w:val="00A71207"/>
    <w:rsid w:val="00A71B4B"/>
    <w:rsid w:val="00A72176"/>
    <w:rsid w:val="00A721AC"/>
    <w:rsid w:val="00A722CC"/>
    <w:rsid w:val="00A73A64"/>
    <w:rsid w:val="00A74962"/>
    <w:rsid w:val="00A760B4"/>
    <w:rsid w:val="00A76E4F"/>
    <w:rsid w:val="00A80713"/>
    <w:rsid w:val="00A80C4E"/>
    <w:rsid w:val="00A810D1"/>
    <w:rsid w:val="00A8222B"/>
    <w:rsid w:val="00A8294F"/>
    <w:rsid w:val="00A835C8"/>
    <w:rsid w:val="00A86E8F"/>
    <w:rsid w:val="00A874D5"/>
    <w:rsid w:val="00A909FA"/>
    <w:rsid w:val="00A91DA8"/>
    <w:rsid w:val="00A92162"/>
    <w:rsid w:val="00A926F3"/>
    <w:rsid w:val="00A934F3"/>
    <w:rsid w:val="00A94E95"/>
    <w:rsid w:val="00A96AEC"/>
    <w:rsid w:val="00A971F6"/>
    <w:rsid w:val="00AA0166"/>
    <w:rsid w:val="00AA0633"/>
    <w:rsid w:val="00AA0E9D"/>
    <w:rsid w:val="00AA3617"/>
    <w:rsid w:val="00AA3ED5"/>
    <w:rsid w:val="00AA481F"/>
    <w:rsid w:val="00AA4C3F"/>
    <w:rsid w:val="00AA5E91"/>
    <w:rsid w:val="00AA5FF4"/>
    <w:rsid w:val="00AA62D1"/>
    <w:rsid w:val="00AB00E6"/>
    <w:rsid w:val="00AB05B2"/>
    <w:rsid w:val="00AB3F99"/>
    <w:rsid w:val="00AB4644"/>
    <w:rsid w:val="00AB4DB7"/>
    <w:rsid w:val="00AB50B5"/>
    <w:rsid w:val="00AB6E89"/>
    <w:rsid w:val="00AC088D"/>
    <w:rsid w:val="00AC11C6"/>
    <w:rsid w:val="00AC1684"/>
    <w:rsid w:val="00AC309B"/>
    <w:rsid w:val="00AC33C7"/>
    <w:rsid w:val="00AC62CA"/>
    <w:rsid w:val="00AC633B"/>
    <w:rsid w:val="00AD4465"/>
    <w:rsid w:val="00AD6923"/>
    <w:rsid w:val="00AE2662"/>
    <w:rsid w:val="00AE2820"/>
    <w:rsid w:val="00AE3388"/>
    <w:rsid w:val="00AE34CF"/>
    <w:rsid w:val="00AE5CE6"/>
    <w:rsid w:val="00AE6BA4"/>
    <w:rsid w:val="00AE7020"/>
    <w:rsid w:val="00AF4157"/>
    <w:rsid w:val="00AF5EE6"/>
    <w:rsid w:val="00AF6B06"/>
    <w:rsid w:val="00AF6CA8"/>
    <w:rsid w:val="00AF6E9D"/>
    <w:rsid w:val="00AF7070"/>
    <w:rsid w:val="00AF7ABE"/>
    <w:rsid w:val="00B0145C"/>
    <w:rsid w:val="00B0189A"/>
    <w:rsid w:val="00B01EF8"/>
    <w:rsid w:val="00B02764"/>
    <w:rsid w:val="00B0334C"/>
    <w:rsid w:val="00B03E34"/>
    <w:rsid w:val="00B04732"/>
    <w:rsid w:val="00B05D7B"/>
    <w:rsid w:val="00B07D40"/>
    <w:rsid w:val="00B11565"/>
    <w:rsid w:val="00B11885"/>
    <w:rsid w:val="00B11AEC"/>
    <w:rsid w:val="00B12455"/>
    <w:rsid w:val="00B13540"/>
    <w:rsid w:val="00B14A0A"/>
    <w:rsid w:val="00B14FDD"/>
    <w:rsid w:val="00B16ABC"/>
    <w:rsid w:val="00B175C3"/>
    <w:rsid w:val="00B177D1"/>
    <w:rsid w:val="00B17B75"/>
    <w:rsid w:val="00B203BF"/>
    <w:rsid w:val="00B211AD"/>
    <w:rsid w:val="00B218AD"/>
    <w:rsid w:val="00B23040"/>
    <w:rsid w:val="00B25A81"/>
    <w:rsid w:val="00B33B78"/>
    <w:rsid w:val="00B349E3"/>
    <w:rsid w:val="00B35E15"/>
    <w:rsid w:val="00B3660B"/>
    <w:rsid w:val="00B42801"/>
    <w:rsid w:val="00B43713"/>
    <w:rsid w:val="00B4395E"/>
    <w:rsid w:val="00B45032"/>
    <w:rsid w:val="00B4543F"/>
    <w:rsid w:val="00B45785"/>
    <w:rsid w:val="00B5070D"/>
    <w:rsid w:val="00B5138E"/>
    <w:rsid w:val="00B51982"/>
    <w:rsid w:val="00B51E8F"/>
    <w:rsid w:val="00B526D2"/>
    <w:rsid w:val="00B532F6"/>
    <w:rsid w:val="00B54A4A"/>
    <w:rsid w:val="00B54B7C"/>
    <w:rsid w:val="00B54EA2"/>
    <w:rsid w:val="00B555CF"/>
    <w:rsid w:val="00B55957"/>
    <w:rsid w:val="00B565ED"/>
    <w:rsid w:val="00B566E6"/>
    <w:rsid w:val="00B569BB"/>
    <w:rsid w:val="00B56AAA"/>
    <w:rsid w:val="00B57E2A"/>
    <w:rsid w:val="00B61398"/>
    <w:rsid w:val="00B6389D"/>
    <w:rsid w:val="00B6425F"/>
    <w:rsid w:val="00B64403"/>
    <w:rsid w:val="00B6610F"/>
    <w:rsid w:val="00B6613A"/>
    <w:rsid w:val="00B6677A"/>
    <w:rsid w:val="00B67007"/>
    <w:rsid w:val="00B67AFF"/>
    <w:rsid w:val="00B704FC"/>
    <w:rsid w:val="00B70B75"/>
    <w:rsid w:val="00B7293B"/>
    <w:rsid w:val="00B73AE9"/>
    <w:rsid w:val="00B759FC"/>
    <w:rsid w:val="00B75DA8"/>
    <w:rsid w:val="00B765E3"/>
    <w:rsid w:val="00B837E5"/>
    <w:rsid w:val="00B83A39"/>
    <w:rsid w:val="00B8582C"/>
    <w:rsid w:val="00B862CF"/>
    <w:rsid w:val="00B87BF7"/>
    <w:rsid w:val="00B9005C"/>
    <w:rsid w:val="00B917A9"/>
    <w:rsid w:val="00B92382"/>
    <w:rsid w:val="00B929F2"/>
    <w:rsid w:val="00B92B1A"/>
    <w:rsid w:val="00B92C3C"/>
    <w:rsid w:val="00B9372E"/>
    <w:rsid w:val="00B93D25"/>
    <w:rsid w:val="00B95533"/>
    <w:rsid w:val="00B970A6"/>
    <w:rsid w:val="00B9722D"/>
    <w:rsid w:val="00BA0581"/>
    <w:rsid w:val="00BA1D02"/>
    <w:rsid w:val="00BA2EE7"/>
    <w:rsid w:val="00BA3A21"/>
    <w:rsid w:val="00BA3B1B"/>
    <w:rsid w:val="00BA5991"/>
    <w:rsid w:val="00BA5A86"/>
    <w:rsid w:val="00BB0557"/>
    <w:rsid w:val="00BB05CD"/>
    <w:rsid w:val="00BB11B1"/>
    <w:rsid w:val="00BB21CC"/>
    <w:rsid w:val="00BB2662"/>
    <w:rsid w:val="00BB2993"/>
    <w:rsid w:val="00BB33C6"/>
    <w:rsid w:val="00BB43BE"/>
    <w:rsid w:val="00BB467F"/>
    <w:rsid w:val="00BB5E5D"/>
    <w:rsid w:val="00BB6C31"/>
    <w:rsid w:val="00BC0D2D"/>
    <w:rsid w:val="00BC1C18"/>
    <w:rsid w:val="00BC1FEB"/>
    <w:rsid w:val="00BC23F1"/>
    <w:rsid w:val="00BC47A0"/>
    <w:rsid w:val="00BC627A"/>
    <w:rsid w:val="00BC7A71"/>
    <w:rsid w:val="00BC7AD1"/>
    <w:rsid w:val="00BD016C"/>
    <w:rsid w:val="00BD02F3"/>
    <w:rsid w:val="00BD129C"/>
    <w:rsid w:val="00BD194F"/>
    <w:rsid w:val="00BD36B0"/>
    <w:rsid w:val="00BD38EE"/>
    <w:rsid w:val="00BD5157"/>
    <w:rsid w:val="00BD5EAA"/>
    <w:rsid w:val="00BE23EA"/>
    <w:rsid w:val="00BE310B"/>
    <w:rsid w:val="00BE3A42"/>
    <w:rsid w:val="00BE3CFE"/>
    <w:rsid w:val="00BE6717"/>
    <w:rsid w:val="00BE6A04"/>
    <w:rsid w:val="00BF0182"/>
    <w:rsid w:val="00BF0473"/>
    <w:rsid w:val="00BF06B6"/>
    <w:rsid w:val="00BF0852"/>
    <w:rsid w:val="00BF1261"/>
    <w:rsid w:val="00BF29A1"/>
    <w:rsid w:val="00BF3355"/>
    <w:rsid w:val="00BF3C8C"/>
    <w:rsid w:val="00BF4F75"/>
    <w:rsid w:val="00BF6EB0"/>
    <w:rsid w:val="00BF77F7"/>
    <w:rsid w:val="00C01F18"/>
    <w:rsid w:val="00C02163"/>
    <w:rsid w:val="00C0276E"/>
    <w:rsid w:val="00C03774"/>
    <w:rsid w:val="00C04608"/>
    <w:rsid w:val="00C05D6E"/>
    <w:rsid w:val="00C07545"/>
    <w:rsid w:val="00C078B1"/>
    <w:rsid w:val="00C10391"/>
    <w:rsid w:val="00C10E34"/>
    <w:rsid w:val="00C113B0"/>
    <w:rsid w:val="00C1279D"/>
    <w:rsid w:val="00C15B8D"/>
    <w:rsid w:val="00C16036"/>
    <w:rsid w:val="00C1726B"/>
    <w:rsid w:val="00C2031D"/>
    <w:rsid w:val="00C216AC"/>
    <w:rsid w:val="00C219CC"/>
    <w:rsid w:val="00C229B5"/>
    <w:rsid w:val="00C22AE0"/>
    <w:rsid w:val="00C22C48"/>
    <w:rsid w:val="00C24728"/>
    <w:rsid w:val="00C251DE"/>
    <w:rsid w:val="00C323B5"/>
    <w:rsid w:val="00C338A0"/>
    <w:rsid w:val="00C34AFA"/>
    <w:rsid w:val="00C35096"/>
    <w:rsid w:val="00C353AD"/>
    <w:rsid w:val="00C36746"/>
    <w:rsid w:val="00C36D0D"/>
    <w:rsid w:val="00C37AA0"/>
    <w:rsid w:val="00C40D51"/>
    <w:rsid w:val="00C434C9"/>
    <w:rsid w:val="00C44BFE"/>
    <w:rsid w:val="00C4597E"/>
    <w:rsid w:val="00C46452"/>
    <w:rsid w:val="00C464F2"/>
    <w:rsid w:val="00C468D3"/>
    <w:rsid w:val="00C47532"/>
    <w:rsid w:val="00C47C79"/>
    <w:rsid w:val="00C50EB2"/>
    <w:rsid w:val="00C514E9"/>
    <w:rsid w:val="00C530F0"/>
    <w:rsid w:val="00C53C28"/>
    <w:rsid w:val="00C5452F"/>
    <w:rsid w:val="00C5603B"/>
    <w:rsid w:val="00C615E3"/>
    <w:rsid w:val="00C62551"/>
    <w:rsid w:val="00C62C07"/>
    <w:rsid w:val="00C62EEB"/>
    <w:rsid w:val="00C630D9"/>
    <w:rsid w:val="00C63142"/>
    <w:rsid w:val="00C64308"/>
    <w:rsid w:val="00C65441"/>
    <w:rsid w:val="00C65887"/>
    <w:rsid w:val="00C65DCB"/>
    <w:rsid w:val="00C67558"/>
    <w:rsid w:val="00C67F89"/>
    <w:rsid w:val="00C70384"/>
    <w:rsid w:val="00C703EC"/>
    <w:rsid w:val="00C704B2"/>
    <w:rsid w:val="00C7089E"/>
    <w:rsid w:val="00C719DB"/>
    <w:rsid w:val="00C73826"/>
    <w:rsid w:val="00C75910"/>
    <w:rsid w:val="00C80ACE"/>
    <w:rsid w:val="00C80AFC"/>
    <w:rsid w:val="00C80E3C"/>
    <w:rsid w:val="00C821C8"/>
    <w:rsid w:val="00C8352B"/>
    <w:rsid w:val="00C83C11"/>
    <w:rsid w:val="00C83D36"/>
    <w:rsid w:val="00C84736"/>
    <w:rsid w:val="00C86A40"/>
    <w:rsid w:val="00C86EC6"/>
    <w:rsid w:val="00C872BE"/>
    <w:rsid w:val="00C87EF7"/>
    <w:rsid w:val="00C87F12"/>
    <w:rsid w:val="00C90CD8"/>
    <w:rsid w:val="00C90E1A"/>
    <w:rsid w:val="00C91748"/>
    <w:rsid w:val="00C91A4D"/>
    <w:rsid w:val="00C922EF"/>
    <w:rsid w:val="00C93A69"/>
    <w:rsid w:val="00C96765"/>
    <w:rsid w:val="00C970BB"/>
    <w:rsid w:val="00C972DA"/>
    <w:rsid w:val="00C97310"/>
    <w:rsid w:val="00CA098B"/>
    <w:rsid w:val="00CA103E"/>
    <w:rsid w:val="00CA3E15"/>
    <w:rsid w:val="00CA42E2"/>
    <w:rsid w:val="00CA50A0"/>
    <w:rsid w:val="00CA5143"/>
    <w:rsid w:val="00CA6C91"/>
    <w:rsid w:val="00CA6D4D"/>
    <w:rsid w:val="00CA707F"/>
    <w:rsid w:val="00CA7BB1"/>
    <w:rsid w:val="00CA7DAB"/>
    <w:rsid w:val="00CB050D"/>
    <w:rsid w:val="00CB0A99"/>
    <w:rsid w:val="00CB136E"/>
    <w:rsid w:val="00CB1890"/>
    <w:rsid w:val="00CB2065"/>
    <w:rsid w:val="00CB2128"/>
    <w:rsid w:val="00CB370E"/>
    <w:rsid w:val="00CB4003"/>
    <w:rsid w:val="00CB50CF"/>
    <w:rsid w:val="00CB54F8"/>
    <w:rsid w:val="00CB604E"/>
    <w:rsid w:val="00CB6894"/>
    <w:rsid w:val="00CB76EB"/>
    <w:rsid w:val="00CB7818"/>
    <w:rsid w:val="00CC03F8"/>
    <w:rsid w:val="00CC29B2"/>
    <w:rsid w:val="00CC2B7A"/>
    <w:rsid w:val="00CC302E"/>
    <w:rsid w:val="00CC4446"/>
    <w:rsid w:val="00CC4C65"/>
    <w:rsid w:val="00CC5970"/>
    <w:rsid w:val="00CC672F"/>
    <w:rsid w:val="00CC695C"/>
    <w:rsid w:val="00CC7DEB"/>
    <w:rsid w:val="00CD029D"/>
    <w:rsid w:val="00CD0669"/>
    <w:rsid w:val="00CD0A71"/>
    <w:rsid w:val="00CD0BEC"/>
    <w:rsid w:val="00CD15F2"/>
    <w:rsid w:val="00CD15FC"/>
    <w:rsid w:val="00CD162B"/>
    <w:rsid w:val="00CD1655"/>
    <w:rsid w:val="00CD3697"/>
    <w:rsid w:val="00CD3A8F"/>
    <w:rsid w:val="00CD4D0F"/>
    <w:rsid w:val="00CD62AA"/>
    <w:rsid w:val="00CD6CFA"/>
    <w:rsid w:val="00CD6E2D"/>
    <w:rsid w:val="00CE0610"/>
    <w:rsid w:val="00CE12B6"/>
    <w:rsid w:val="00CE21ED"/>
    <w:rsid w:val="00CE2778"/>
    <w:rsid w:val="00CE3AF7"/>
    <w:rsid w:val="00CE5789"/>
    <w:rsid w:val="00CE7637"/>
    <w:rsid w:val="00CE77FF"/>
    <w:rsid w:val="00CF145C"/>
    <w:rsid w:val="00CF1E24"/>
    <w:rsid w:val="00CF2067"/>
    <w:rsid w:val="00CF2B67"/>
    <w:rsid w:val="00CF2F5E"/>
    <w:rsid w:val="00CF3248"/>
    <w:rsid w:val="00CF3BDC"/>
    <w:rsid w:val="00CF4F54"/>
    <w:rsid w:val="00CF550F"/>
    <w:rsid w:val="00CF55A2"/>
    <w:rsid w:val="00CF5F60"/>
    <w:rsid w:val="00CF70FE"/>
    <w:rsid w:val="00CF7F56"/>
    <w:rsid w:val="00D00E42"/>
    <w:rsid w:val="00D0198B"/>
    <w:rsid w:val="00D02506"/>
    <w:rsid w:val="00D03ABE"/>
    <w:rsid w:val="00D057B5"/>
    <w:rsid w:val="00D05A17"/>
    <w:rsid w:val="00D075A5"/>
    <w:rsid w:val="00D10FC5"/>
    <w:rsid w:val="00D11C62"/>
    <w:rsid w:val="00D11FE4"/>
    <w:rsid w:val="00D149AE"/>
    <w:rsid w:val="00D14A54"/>
    <w:rsid w:val="00D14BBD"/>
    <w:rsid w:val="00D1597F"/>
    <w:rsid w:val="00D16B5F"/>
    <w:rsid w:val="00D17192"/>
    <w:rsid w:val="00D17431"/>
    <w:rsid w:val="00D17742"/>
    <w:rsid w:val="00D17942"/>
    <w:rsid w:val="00D17E2F"/>
    <w:rsid w:val="00D17E4E"/>
    <w:rsid w:val="00D20A80"/>
    <w:rsid w:val="00D24BAD"/>
    <w:rsid w:val="00D24C79"/>
    <w:rsid w:val="00D25711"/>
    <w:rsid w:val="00D25B7D"/>
    <w:rsid w:val="00D26129"/>
    <w:rsid w:val="00D311C6"/>
    <w:rsid w:val="00D315BF"/>
    <w:rsid w:val="00D32275"/>
    <w:rsid w:val="00D32300"/>
    <w:rsid w:val="00D34558"/>
    <w:rsid w:val="00D41193"/>
    <w:rsid w:val="00D4122E"/>
    <w:rsid w:val="00D416CB"/>
    <w:rsid w:val="00D420CF"/>
    <w:rsid w:val="00D42D1D"/>
    <w:rsid w:val="00D42E10"/>
    <w:rsid w:val="00D43211"/>
    <w:rsid w:val="00D4604C"/>
    <w:rsid w:val="00D4672D"/>
    <w:rsid w:val="00D46985"/>
    <w:rsid w:val="00D47760"/>
    <w:rsid w:val="00D512EF"/>
    <w:rsid w:val="00D5140C"/>
    <w:rsid w:val="00D514D5"/>
    <w:rsid w:val="00D519AD"/>
    <w:rsid w:val="00D531E9"/>
    <w:rsid w:val="00D53345"/>
    <w:rsid w:val="00D54E4E"/>
    <w:rsid w:val="00D55FF8"/>
    <w:rsid w:val="00D56A58"/>
    <w:rsid w:val="00D56EDC"/>
    <w:rsid w:val="00D57B51"/>
    <w:rsid w:val="00D60A36"/>
    <w:rsid w:val="00D61889"/>
    <w:rsid w:val="00D619D4"/>
    <w:rsid w:val="00D6299C"/>
    <w:rsid w:val="00D63914"/>
    <w:rsid w:val="00D63F53"/>
    <w:rsid w:val="00D645A3"/>
    <w:rsid w:val="00D64938"/>
    <w:rsid w:val="00D64B5F"/>
    <w:rsid w:val="00D67B7B"/>
    <w:rsid w:val="00D7044F"/>
    <w:rsid w:val="00D70B6B"/>
    <w:rsid w:val="00D70C7B"/>
    <w:rsid w:val="00D71F01"/>
    <w:rsid w:val="00D7272C"/>
    <w:rsid w:val="00D72AE8"/>
    <w:rsid w:val="00D73AEC"/>
    <w:rsid w:val="00D75DE3"/>
    <w:rsid w:val="00D75FFA"/>
    <w:rsid w:val="00D7605B"/>
    <w:rsid w:val="00D762AE"/>
    <w:rsid w:val="00D76447"/>
    <w:rsid w:val="00D76E35"/>
    <w:rsid w:val="00D80014"/>
    <w:rsid w:val="00D80CD7"/>
    <w:rsid w:val="00D81E6C"/>
    <w:rsid w:val="00D82AB1"/>
    <w:rsid w:val="00D83374"/>
    <w:rsid w:val="00D859C0"/>
    <w:rsid w:val="00D85E7E"/>
    <w:rsid w:val="00D86981"/>
    <w:rsid w:val="00D8792C"/>
    <w:rsid w:val="00D907E0"/>
    <w:rsid w:val="00D908DF"/>
    <w:rsid w:val="00D9167A"/>
    <w:rsid w:val="00D9244A"/>
    <w:rsid w:val="00D94578"/>
    <w:rsid w:val="00D947A2"/>
    <w:rsid w:val="00D947D1"/>
    <w:rsid w:val="00D9600F"/>
    <w:rsid w:val="00D974D2"/>
    <w:rsid w:val="00D975C4"/>
    <w:rsid w:val="00DA018B"/>
    <w:rsid w:val="00DA1536"/>
    <w:rsid w:val="00DA1DCE"/>
    <w:rsid w:val="00DA2336"/>
    <w:rsid w:val="00DA24EC"/>
    <w:rsid w:val="00DA3112"/>
    <w:rsid w:val="00DA55F6"/>
    <w:rsid w:val="00DA5A42"/>
    <w:rsid w:val="00DA5C99"/>
    <w:rsid w:val="00DA5DEA"/>
    <w:rsid w:val="00DB0AAE"/>
    <w:rsid w:val="00DB183D"/>
    <w:rsid w:val="00DB2BB6"/>
    <w:rsid w:val="00DB5C03"/>
    <w:rsid w:val="00DC29F0"/>
    <w:rsid w:val="00DC2FD4"/>
    <w:rsid w:val="00DC61A6"/>
    <w:rsid w:val="00DC61F1"/>
    <w:rsid w:val="00DC6B7D"/>
    <w:rsid w:val="00DC7D8D"/>
    <w:rsid w:val="00DC7F10"/>
    <w:rsid w:val="00DD1413"/>
    <w:rsid w:val="00DD2014"/>
    <w:rsid w:val="00DD20B5"/>
    <w:rsid w:val="00DD295D"/>
    <w:rsid w:val="00DD331F"/>
    <w:rsid w:val="00DD3504"/>
    <w:rsid w:val="00DD4173"/>
    <w:rsid w:val="00DD484F"/>
    <w:rsid w:val="00DD52CD"/>
    <w:rsid w:val="00DD60CC"/>
    <w:rsid w:val="00DD6B0B"/>
    <w:rsid w:val="00DE060B"/>
    <w:rsid w:val="00DE1619"/>
    <w:rsid w:val="00DE584F"/>
    <w:rsid w:val="00DE6E4C"/>
    <w:rsid w:val="00DE786D"/>
    <w:rsid w:val="00DE7E2F"/>
    <w:rsid w:val="00DF1450"/>
    <w:rsid w:val="00DF234C"/>
    <w:rsid w:val="00DF593A"/>
    <w:rsid w:val="00E00BE3"/>
    <w:rsid w:val="00E00E28"/>
    <w:rsid w:val="00E035EB"/>
    <w:rsid w:val="00E037C8"/>
    <w:rsid w:val="00E03C6A"/>
    <w:rsid w:val="00E04B9C"/>
    <w:rsid w:val="00E04DB5"/>
    <w:rsid w:val="00E052AF"/>
    <w:rsid w:val="00E05EDC"/>
    <w:rsid w:val="00E0663C"/>
    <w:rsid w:val="00E07013"/>
    <w:rsid w:val="00E070CC"/>
    <w:rsid w:val="00E07ADB"/>
    <w:rsid w:val="00E07EA2"/>
    <w:rsid w:val="00E13172"/>
    <w:rsid w:val="00E13574"/>
    <w:rsid w:val="00E135CB"/>
    <w:rsid w:val="00E15ABE"/>
    <w:rsid w:val="00E15B85"/>
    <w:rsid w:val="00E17320"/>
    <w:rsid w:val="00E220B1"/>
    <w:rsid w:val="00E22186"/>
    <w:rsid w:val="00E22A17"/>
    <w:rsid w:val="00E22BED"/>
    <w:rsid w:val="00E2564E"/>
    <w:rsid w:val="00E278D0"/>
    <w:rsid w:val="00E27D9D"/>
    <w:rsid w:val="00E27F1F"/>
    <w:rsid w:val="00E30159"/>
    <w:rsid w:val="00E30CEE"/>
    <w:rsid w:val="00E30D49"/>
    <w:rsid w:val="00E3437E"/>
    <w:rsid w:val="00E34433"/>
    <w:rsid w:val="00E349A8"/>
    <w:rsid w:val="00E34E7C"/>
    <w:rsid w:val="00E373FD"/>
    <w:rsid w:val="00E37686"/>
    <w:rsid w:val="00E37CB8"/>
    <w:rsid w:val="00E408DF"/>
    <w:rsid w:val="00E41A0D"/>
    <w:rsid w:val="00E436C9"/>
    <w:rsid w:val="00E46A3B"/>
    <w:rsid w:val="00E50215"/>
    <w:rsid w:val="00E511B2"/>
    <w:rsid w:val="00E51D66"/>
    <w:rsid w:val="00E52318"/>
    <w:rsid w:val="00E53AD9"/>
    <w:rsid w:val="00E56C50"/>
    <w:rsid w:val="00E57B99"/>
    <w:rsid w:val="00E6072E"/>
    <w:rsid w:val="00E62106"/>
    <w:rsid w:val="00E621BF"/>
    <w:rsid w:val="00E6448B"/>
    <w:rsid w:val="00E649EC"/>
    <w:rsid w:val="00E64C15"/>
    <w:rsid w:val="00E65384"/>
    <w:rsid w:val="00E67541"/>
    <w:rsid w:val="00E67700"/>
    <w:rsid w:val="00E713DA"/>
    <w:rsid w:val="00E71FE6"/>
    <w:rsid w:val="00E727CF"/>
    <w:rsid w:val="00E72D11"/>
    <w:rsid w:val="00E73283"/>
    <w:rsid w:val="00E734DF"/>
    <w:rsid w:val="00E742C2"/>
    <w:rsid w:val="00E74562"/>
    <w:rsid w:val="00E7530A"/>
    <w:rsid w:val="00E76CD3"/>
    <w:rsid w:val="00E77FD2"/>
    <w:rsid w:val="00E8023F"/>
    <w:rsid w:val="00E825FD"/>
    <w:rsid w:val="00E84329"/>
    <w:rsid w:val="00E84F6C"/>
    <w:rsid w:val="00E85BA4"/>
    <w:rsid w:val="00E86836"/>
    <w:rsid w:val="00E868AD"/>
    <w:rsid w:val="00E87B65"/>
    <w:rsid w:val="00E87E77"/>
    <w:rsid w:val="00E87F7F"/>
    <w:rsid w:val="00E92148"/>
    <w:rsid w:val="00E9313F"/>
    <w:rsid w:val="00E93E88"/>
    <w:rsid w:val="00E95C72"/>
    <w:rsid w:val="00E97148"/>
    <w:rsid w:val="00EA09A4"/>
    <w:rsid w:val="00EA1E5F"/>
    <w:rsid w:val="00EA28D9"/>
    <w:rsid w:val="00EA4502"/>
    <w:rsid w:val="00EA485B"/>
    <w:rsid w:val="00EB4B2B"/>
    <w:rsid w:val="00EB6210"/>
    <w:rsid w:val="00EB63D4"/>
    <w:rsid w:val="00EB735D"/>
    <w:rsid w:val="00EB7E35"/>
    <w:rsid w:val="00EC15E7"/>
    <w:rsid w:val="00EC1D13"/>
    <w:rsid w:val="00EC6406"/>
    <w:rsid w:val="00EC6930"/>
    <w:rsid w:val="00EC7E3C"/>
    <w:rsid w:val="00ED2E8C"/>
    <w:rsid w:val="00ED4EA4"/>
    <w:rsid w:val="00ED5869"/>
    <w:rsid w:val="00ED6896"/>
    <w:rsid w:val="00ED68B1"/>
    <w:rsid w:val="00ED695A"/>
    <w:rsid w:val="00ED777F"/>
    <w:rsid w:val="00EE11BA"/>
    <w:rsid w:val="00EE25FE"/>
    <w:rsid w:val="00EE34A8"/>
    <w:rsid w:val="00EE36C9"/>
    <w:rsid w:val="00EE3A49"/>
    <w:rsid w:val="00EE4672"/>
    <w:rsid w:val="00EE4ED4"/>
    <w:rsid w:val="00EE5F07"/>
    <w:rsid w:val="00EE608B"/>
    <w:rsid w:val="00EE7E1C"/>
    <w:rsid w:val="00EE7FCC"/>
    <w:rsid w:val="00EF0659"/>
    <w:rsid w:val="00EF105B"/>
    <w:rsid w:val="00EF2BE3"/>
    <w:rsid w:val="00EF2E5C"/>
    <w:rsid w:val="00EF36FC"/>
    <w:rsid w:val="00EF476F"/>
    <w:rsid w:val="00EF5507"/>
    <w:rsid w:val="00EF6091"/>
    <w:rsid w:val="00F00A2B"/>
    <w:rsid w:val="00F00CE8"/>
    <w:rsid w:val="00F01524"/>
    <w:rsid w:val="00F01DD6"/>
    <w:rsid w:val="00F03588"/>
    <w:rsid w:val="00F047EB"/>
    <w:rsid w:val="00F06F63"/>
    <w:rsid w:val="00F07F14"/>
    <w:rsid w:val="00F1013B"/>
    <w:rsid w:val="00F10E94"/>
    <w:rsid w:val="00F1110A"/>
    <w:rsid w:val="00F11920"/>
    <w:rsid w:val="00F12F70"/>
    <w:rsid w:val="00F14968"/>
    <w:rsid w:val="00F159EA"/>
    <w:rsid w:val="00F16EB8"/>
    <w:rsid w:val="00F17405"/>
    <w:rsid w:val="00F17D15"/>
    <w:rsid w:val="00F208BE"/>
    <w:rsid w:val="00F2117A"/>
    <w:rsid w:val="00F21DE0"/>
    <w:rsid w:val="00F21E48"/>
    <w:rsid w:val="00F24190"/>
    <w:rsid w:val="00F250E0"/>
    <w:rsid w:val="00F262B4"/>
    <w:rsid w:val="00F30708"/>
    <w:rsid w:val="00F3138F"/>
    <w:rsid w:val="00F326E1"/>
    <w:rsid w:val="00F3307C"/>
    <w:rsid w:val="00F33AA2"/>
    <w:rsid w:val="00F34CC7"/>
    <w:rsid w:val="00F367B7"/>
    <w:rsid w:val="00F37D33"/>
    <w:rsid w:val="00F40295"/>
    <w:rsid w:val="00F404D8"/>
    <w:rsid w:val="00F40BFF"/>
    <w:rsid w:val="00F431B6"/>
    <w:rsid w:val="00F43379"/>
    <w:rsid w:val="00F43B33"/>
    <w:rsid w:val="00F445A5"/>
    <w:rsid w:val="00F44A42"/>
    <w:rsid w:val="00F44A81"/>
    <w:rsid w:val="00F44DD2"/>
    <w:rsid w:val="00F46102"/>
    <w:rsid w:val="00F46E4E"/>
    <w:rsid w:val="00F50C26"/>
    <w:rsid w:val="00F5158A"/>
    <w:rsid w:val="00F52227"/>
    <w:rsid w:val="00F5278A"/>
    <w:rsid w:val="00F53477"/>
    <w:rsid w:val="00F54DC6"/>
    <w:rsid w:val="00F55DA7"/>
    <w:rsid w:val="00F5725D"/>
    <w:rsid w:val="00F5731C"/>
    <w:rsid w:val="00F57915"/>
    <w:rsid w:val="00F60119"/>
    <w:rsid w:val="00F61A60"/>
    <w:rsid w:val="00F6383C"/>
    <w:rsid w:val="00F639CB"/>
    <w:rsid w:val="00F6434A"/>
    <w:rsid w:val="00F651AA"/>
    <w:rsid w:val="00F674A5"/>
    <w:rsid w:val="00F703E9"/>
    <w:rsid w:val="00F71F49"/>
    <w:rsid w:val="00F7268B"/>
    <w:rsid w:val="00F7294F"/>
    <w:rsid w:val="00F73C87"/>
    <w:rsid w:val="00F7439F"/>
    <w:rsid w:val="00F756DA"/>
    <w:rsid w:val="00F75A05"/>
    <w:rsid w:val="00F7667E"/>
    <w:rsid w:val="00F76C32"/>
    <w:rsid w:val="00F813DF"/>
    <w:rsid w:val="00F8620E"/>
    <w:rsid w:val="00F863DE"/>
    <w:rsid w:val="00F9180F"/>
    <w:rsid w:val="00F9193C"/>
    <w:rsid w:val="00F92587"/>
    <w:rsid w:val="00F92E94"/>
    <w:rsid w:val="00F958A9"/>
    <w:rsid w:val="00FA0071"/>
    <w:rsid w:val="00FA31F6"/>
    <w:rsid w:val="00FA343D"/>
    <w:rsid w:val="00FA38EC"/>
    <w:rsid w:val="00FA5812"/>
    <w:rsid w:val="00FA5B3F"/>
    <w:rsid w:val="00FA6CE4"/>
    <w:rsid w:val="00FA73C2"/>
    <w:rsid w:val="00FB07C9"/>
    <w:rsid w:val="00FB157B"/>
    <w:rsid w:val="00FB2750"/>
    <w:rsid w:val="00FB3141"/>
    <w:rsid w:val="00FB75A9"/>
    <w:rsid w:val="00FB7855"/>
    <w:rsid w:val="00FB7C77"/>
    <w:rsid w:val="00FC0BFD"/>
    <w:rsid w:val="00FC3328"/>
    <w:rsid w:val="00FC3847"/>
    <w:rsid w:val="00FC6209"/>
    <w:rsid w:val="00FD1165"/>
    <w:rsid w:val="00FD1955"/>
    <w:rsid w:val="00FD4971"/>
    <w:rsid w:val="00FD5188"/>
    <w:rsid w:val="00FD7DD2"/>
    <w:rsid w:val="00FE105B"/>
    <w:rsid w:val="00FE1097"/>
    <w:rsid w:val="00FE137E"/>
    <w:rsid w:val="00FE2129"/>
    <w:rsid w:val="00FE2CF1"/>
    <w:rsid w:val="00FE32E1"/>
    <w:rsid w:val="00FE37F6"/>
    <w:rsid w:val="00FE3BEB"/>
    <w:rsid w:val="00FE467F"/>
    <w:rsid w:val="00FE671C"/>
    <w:rsid w:val="00FE732A"/>
    <w:rsid w:val="00FF27F9"/>
    <w:rsid w:val="00FF2FEB"/>
    <w:rsid w:val="00FF309A"/>
    <w:rsid w:val="00FF4082"/>
    <w:rsid w:val="00FF4C91"/>
    <w:rsid w:val="00FF6890"/>
    <w:rsid w:val="00FF6BBD"/>
    <w:rsid w:val="00FF7207"/>
    <w:rsid w:val="032CBDA1"/>
    <w:rsid w:val="06304406"/>
    <w:rsid w:val="08AB7FC6"/>
    <w:rsid w:val="116D56AA"/>
    <w:rsid w:val="16C0071F"/>
    <w:rsid w:val="2790900D"/>
    <w:rsid w:val="2BD3F2E4"/>
    <w:rsid w:val="2C89312B"/>
    <w:rsid w:val="2D78952A"/>
    <w:rsid w:val="2ED766B7"/>
    <w:rsid w:val="30E03D46"/>
    <w:rsid w:val="31ACFF81"/>
    <w:rsid w:val="3A7E7EDD"/>
    <w:rsid w:val="3EF69F3E"/>
    <w:rsid w:val="46866263"/>
    <w:rsid w:val="4B79606A"/>
    <w:rsid w:val="501065D2"/>
    <w:rsid w:val="52CC6BCF"/>
    <w:rsid w:val="558878B4"/>
    <w:rsid w:val="57FBC98F"/>
    <w:rsid w:val="58CD202E"/>
    <w:rsid w:val="5B2493FF"/>
    <w:rsid w:val="5E9ED7DF"/>
    <w:rsid w:val="5F2F8F74"/>
    <w:rsid w:val="604F6B6E"/>
    <w:rsid w:val="679D478D"/>
    <w:rsid w:val="68A2AA81"/>
    <w:rsid w:val="6EB50875"/>
    <w:rsid w:val="7D5D6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518C9F-80A8-430D-9BBB-22CC205A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1B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44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47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1B6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3644EE"/>
    <w:rPr>
      <w:rFonts w:ascii="Cambria" w:eastAsia="Times New Roman" w:hAnsi="Cambria" w:cs="Times New Roman"/>
      <w:b/>
      <w:bCs/>
      <w:color w:val="365F91"/>
      <w:sz w:val="28"/>
      <w:szCs w:val="28"/>
      <w:lang w:val="fr-BE"/>
    </w:rPr>
  </w:style>
  <w:style w:type="character" w:styleId="CommentReference">
    <w:name w:val="annotation reference"/>
    <w:uiPriority w:val="99"/>
    <w:semiHidden/>
    <w:unhideWhenUsed/>
    <w:rsid w:val="009B5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56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B56C2"/>
    <w:rPr>
      <w:sz w:val="20"/>
      <w:szCs w:val="20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B56C2"/>
    <w:rPr>
      <w:rFonts w:ascii="Segoe UI" w:hAnsi="Segoe UI" w:cs="Segoe UI"/>
      <w:sz w:val="18"/>
      <w:szCs w:val="18"/>
      <w:lang w:val="fr-BE"/>
    </w:rPr>
  </w:style>
  <w:style w:type="paragraph" w:customStyle="1" w:styleId="EndNoteBibliographyTitle">
    <w:name w:val="EndNote Bibliography Title"/>
    <w:basedOn w:val="Normal"/>
    <w:link w:val="EndNoteBibliographyTitleChar"/>
    <w:rsid w:val="00A35C2A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link w:val="EndNoteBibliographyTitle"/>
    <w:rsid w:val="00A35C2A"/>
    <w:rPr>
      <w:rFonts w:cs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A35C2A"/>
    <w:pPr>
      <w:spacing w:line="240" w:lineRule="auto"/>
      <w:jc w:val="both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A35C2A"/>
    <w:rPr>
      <w:rFonts w:cs="Calibri"/>
      <w:noProof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27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279"/>
    <w:rPr>
      <w:b/>
      <w:bCs/>
      <w:sz w:val="20"/>
      <w:szCs w:val="20"/>
      <w:lang w:val="fr-BE"/>
    </w:rPr>
  </w:style>
  <w:style w:type="paragraph" w:styleId="Revision">
    <w:name w:val="Revision"/>
    <w:hidden/>
    <w:uiPriority w:val="99"/>
    <w:semiHidden/>
    <w:rsid w:val="00F5158A"/>
    <w:rPr>
      <w:sz w:val="22"/>
      <w:szCs w:val="22"/>
      <w:lang w:val="fr-BE"/>
    </w:rPr>
  </w:style>
  <w:style w:type="character" w:styleId="PlaceholderText">
    <w:name w:val="Placeholder Text"/>
    <w:uiPriority w:val="99"/>
    <w:semiHidden/>
    <w:rsid w:val="007032C2"/>
    <w:rPr>
      <w:color w:val="808080"/>
    </w:rPr>
  </w:style>
  <w:style w:type="table" w:styleId="TableGrid">
    <w:name w:val="Table Grid"/>
    <w:basedOn w:val="TableNormal"/>
    <w:uiPriority w:val="59"/>
    <w:rsid w:val="003E7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6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B0D"/>
    <w:rPr>
      <w:sz w:val="22"/>
      <w:szCs w:val="22"/>
      <w:lang w:val="fr-BE"/>
    </w:rPr>
  </w:style>
  <w:style w:type="paragraph" w:styleId="Footer">
    <w:name w:val="footer"/>
    <w:basedOn w:val="Normal"/>
    <w:link w:val="FooterChar"/>
    <w:uiPriority w:val="99"/>
    <w:unhideWhenUsed/>
    <w:rsid w:val="00696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B0D"/>
    <w:rPr>
      <w:sz w:val="22"/>
      <w:szCs w:val="22"/>
      <w:lang w:val="fr-BE"/>
    </w:rPr>
  </w:style>
  <w:style w:type="paragraph" w:customStyle="1" w:styleId="Head1">
    <w:name w:val="Head 1"/>
    <w:basedOn w:val="Normal"/>
    <w:autoRedefine/>
    <w:rsid w:val="00485906"/>
    <w:pPr>
      <w:spacing w:after="0" w:line="480" w:lineRule="auto"/>
      <w:jc w:val="both"/>
    </w:pPr>
    <w:rPr>
      <w:rFonts w:ascii="Times New Roman" w:eastAsia="MS Mincho" w:hAnsi="Times New Roman"/>
      <w:b/>
      <w:sz w:val="24"/>
      <w:szCs w:val="24"/>
      <w:lang w:eastAsia="ja-JP"/>
    </w:rPr>
  </w:style>
  <w:style w:type="paragraph" w:customStyle="1" w:styleId="ExperimentalText">
    <w:name w:val="Experimental Text"/>
    <w:basedOn w:val="Normal"/>
    <w:link w:val="ExperimentalTextChar"/>
    <w:rsid w:val="00CA103E"/>
    <w:pPr>
      <w:spacing w:after="0" w:line="48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CA103E"/>
    <w:rPr>
      <w:rFonts w:ascii="Times New Roman" w:eastAsia="MS Mincho" w:hAnsi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703F7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BE"/>
    </w:rPr>
  </w:style>
  <w:style w:type="character" w:styleId="FollowedHyperlink">
    <w:name w:val="FollowedHyperlink"/>
    <w:basedOn w:val="DefaultParagraphFont"/>
    <w:uiPriority w:val="99"/>
    <w:semiHidden/>
    <w:unhideWhenUsed/>
    <w:rsid w:val="00B644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20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61E92-AD46-4F96-A83C-771CC5B66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5909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</dc:creator>
  <cp:keywords/>
  <dc:description/>
  <cp:lastModifiedBy>Sachin Kumar1</cp:lastModifiedBy>
  <cp:revision>10</cp:revision>
  <cp:lastPrinted>2022-02-16T14:34:00Z</cp:lastPrinted>
  <dcterms:created xsi:type="dcterms:W3CDTF">2022-12-23T14:08:00Z</dcterms:created>
  <dcterms:modified xsi:type="dcterms:W3CDTF">2023-03-06T02:57:00Z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http://www.zotero.org/styles/advanced-materials</vt:lpwstr>
  </property>
  <property fmtid="{D5CDD505-2E9C-101B-9397-08002B2CF9AE}" pid="4" name="Mendeley Unique User Id_1">
    <vt:lpwstr>d06d186c-8f8b-3f1b-85eb-bcc07f140afd</vt:lpwstr>
  </property>
  <property fmtid="{D5CDD505-2E9C-101B-9397-08002B2CF9AE}" pid="5" name="Mendeley Recent Style Id 0_1">
    <vt:lpwstr>http://www.zotero.org/styles/advanced-materials</vt:lpwstr>
  </property>
  <property fmtid="{D5CDD505-2E9C-101B-9397-08002B2CF9AE}" pid="6" name="Mendeley Recent Style Name 0_1">
    <vt:lpwstr>Advanced Materials</vt:lpwstr>
  </property>
  <property fmtid="{D5CDD505-2E9C-101B-9397-08002B2CF9AE}" pid="7" name="Mendeley Recent Style Id 1_1">
    <vt:lpwstr>http://www.zotero.org/styles/american-medical-association</vt:lpwstr>
  </property>
  <property fmtid="{D5CDD505-2E9C-101B-9397-08002B2CF9AE}" pid="8" name="Mendeley Recent Style Name 1_1">
    <vt:lpwstr>American Medical Association</vt:lpwstr>
  </property>
  <property fmtid="{D5CDD505-2E9C-101B-9397-08002B2CF9AE}" pid="9" name="Mendeley Recent Style Id 2_1">
    <vt:lpwstr>http://www.zotero.org/styles/american-political-science-association</vt:lpwstr>
  </property>
  <property fmtid="{D5CDD505-2E9C-101B-9397-08002B2CF9AE}" pid="10" name="Mendeley Recent Style Name 2_1">
    <vt:lpwstr>American Political Science Association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http://www.zotero.org/styles/journal-of-structural-biology</vt:lpwstr>
  </property>
  <property fmtid="{D5CDD505-2E9C-101B-9397-08002B2CF9AE}" pid="22" name="Mendeley Recent Style Name 8_1">
    <vt:lpwstr>Journal of Structural Biology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