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10" w:rsidRDefault="0065791C">
      <w:pPr>
        <w:jc w:val="center"/>
        <w:rPr>
          <w:rFonts w:ascii="Book Antiqua" w:hAnsi="Book Antiqua" w:cs="Times New Roman"/>
          <w:sz w:val="36"/>
          <w:szCs w:val="36"/>
          <w:lang w:val="fr-FR"/>
        </w:rPr>
      </w:pPr>
      <w:bookmarkStart w:id="0" w:name="_GoBack"/>
      <w:bookmarkEnd w:id="0"/>
      <w:r>
        <w:rPr>
          <w:rFonts w:ascii="Book Antiqua" w:hAnsi="Book Antiqua" w:cs="Times New Roman"/>
          <w:sz w:val="36"/>
          <w:szCs w:val="36"/>
          <w:lang w:val="fr-FR"/>
        </w:rPr>
        <w:t>Un empire, plusieurs langues</w:t>
      </w:r>
    </w:p>
    <w:p w:rsidR="00552410" w:rsidRDefault="00552410">
      <w:pPr>
        <w:jc w:val="center"/>
        <w:rPr>
          <w:rFonts w:ascii="Book Antiqua" w:hAnsi="Book Antiqua" w:cs="Times New Roman"/>
          <w:sz w:val="32"/>
          <w:szCs w:val="32"/>
          <w:lang w:val="fr-FR"/>
        </w:rPr>
      </w:pPr>
    </w:p>
    <w:p w:rsidR="00552410" w:rsidRDefault="00552410">
      <w:pPr>
        <w:rPr>
          <w:rFonts w:ascii="Times New Roman" w:hAnsi="Times New Roman" w:cs="Times New Roman"/>
          <w:lang w:val="fr-FR"/>
        </w:rPr>
      </w:pPr>
    </w:p>
    <w:p w:rsidR="00552410" w:rsidRDefault="0065791C">
      <w:pPr>
        <w:shd w:val="clear" w:color="auto" w:fill="D9D9D9" w:themeFill="background1" w:themeFillShade="D9"/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Jeudi 19 octobre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9h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Accueil</w:t>
      </w: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9h30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Ouverture du colloque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9h45h-10h15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F. </w:t>
      </w:r>
      <w:proofErr w:type="spellStart"/>
      <w:r>
        <w:rPr>
          <w:rFonts w:ascii="Times New Roman" w:hAnsi="Times New Roman" w:cs="Times New Roman"/>
          <w:lang w:val="fr-FR"/>
        </w:rPr>
        <w:t>Biville</w:t>
      </w:r>
      <w:proofErr w:type="spellEnd"/>
      <w:r>
        <w:rPr>
          <w:rFonts w:ascii="Times New Roman" w:hAnsi="Times New Roman" w:cs="Times New Roman"/>
          <w:lang w:val="fr-FR"/>
        </w:rPr>
        <w:t xml:space="preserve"> (U. Lyon 2)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Plusieurs langues, un même mot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fr-FR"/>
        </w:rPr>
      </w:pPr>
      <w:r>
        <w:rPr>
          <w:rFonts w:ascii="Times New Roman" w:hAnsi="Times New Roman" w:cs="Times New Roman"/>
          <w:b/>
          <w:bCs/>
          <w:i/>
          <w:iCs/>
          <w:lang w:val="fr-FR"/>
        </w:rPr>
        <w:t>Enjeux littéraires et linguistiques</w:t>
      </w: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10h15-10h45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B. Rochette (U. Liège)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Verbis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Graeca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Latinis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miscuit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>. Le code-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switching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chez Lucilius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11h-11h30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Pause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11h30-12h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M.-H. </w:t>
      </w:r>
      <w:proofErr w:type="spellStart"/>
      <w:r>
        <w:rPr>
          <w:rFonts w:ascii="Times New Roman" w:hAnsi="Times New Roman" w:cs="Times New Roman"/>
          <w:lang w:val="fr-FR"/>
        </w:rPr>
        <w:t>Garelli</w:t>
      </w:r>
      <w:proofErr w:type="spellEnd"/>
      <w:r>
        <w:rPr>
          <w:rFonts w:ascii="Times New Roman" w:hAnsi="Times New Roman" w:cs="Times New Roman"/>
          <w:lang w:val="fr-FR"/>
        </w:rPr>
        <w:t xml:space="preserve"> (U. Toulouse J. Jaurès) </w:t>
      </w:r>
    </w:p>
    <w:p w:rsidR="00552410" w:rsidRDefault="0065791C">
      <w:pPr>
        <w:ind w:left="2124"/>
        <w:jc w:val="both"/>
        <w:rPr>
          <w:rFonts w:ascii="Helvetica Neue" w:eastAsia="Times New Roman" w:hAnsi="Helvetica Neue" w:cs="Times New Roman"/>
          <w:color w:val="000000"/>
          <w:lang w:val="fr-FR" w:eastAsia="fr-FR"/>
        </w:rPr>
      </w:pPr>
      <w:r>
        <w:rPr>
          <w:rFonts w:ascii="Times New Roman" w:hAnsi="Times New Roman" w:cs="Times New Roman"/>
          <w:i/>
          <w:iCs/>
          <w:lang w:val="fr-FR"/>
        </w:rPr>
        <w:t>Multilinguisme et bilinguisme dans les comédies de Plaute : jeux culturels et expérimentation théâtrale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Pr="0065791C" w:rsidRDefault="0065791C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5791C">
        <w:rPr>
          <w:rFonts w:ascii="Times New Roman" w:hAnsi="Times New Roman" w:cs="Times New Roman"/>
          <w:lang w:val="en-US"/>
        </w:rPr>
        <w:t xml:space="preserve">12h-12h30 </w:t>
      </w:r>
      <w:r w:rsidRPr="0065791C">
        <w:rPr>
          <w:rFonts w:ascii="Times New Roman" w:hAnsi="Times New Roman" w:cs="Times New Roman"/>
          <w:lang w:val="en-US"/>
        </w:rPr>
        <w:tab/>
      </w:r>
      <w:r w:rsidRPr="0065791C">
        <w:rPr>
          <w:rFonts w:ascii="Times New Roman" w:hAnsi="Times New Roman" w:cs="Times New Roman"/>
          <w:lang w:val="en-US"/>
        </w:rPr>
        <w:tab/>
      </w:r>
      <w:r w:rsidRPr="0065791C">
        <w:rPr>
          <w:rFonts w:ascii="Times New Roman" w:hAnsi="Times New Roman" w:cs="Times New Roman"/>
          <w:lang w:val="en-US"/>
        </w:rPr>
        <w:t xml:space="preserve">P. Pocetti (U. Rome Tor Vergata) </w:t>
      </w:r>
    </w:p>
    <w:p w:rsidR="00552410" w:rsidRDefault="0065791C">
      <w:pPr>
        <w:ind w:left="2124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Variété des langues et leurs représentations dans le théâtre romain de l’époque républicaine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12h45-14h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Déjeuner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14h-14h30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L. </w:t>
      </w:r>
      <w:proofErr w:type="spellStart"/>
      <w:r>
        <w:rPr>
          <w:rFonts w:ascii="Times New Roman" w:hAnsi="Times New Roman" w:cs="Times New Roman"/>
          <w:lang w:val="fr-FR"/>
        </w:rPr>
        <w:t>Méry</w:t>
      </w:r>
      <w:proofErr w:type="spellEnd"/>
      <w:r>
        <w:rPr>
          <w:rFonts w:ascii="Times New Roman" w:hAnsi="Times New Roman" w:cs="Times New Roman"/>
          <w:lang w:val="fr-FR"/>
        </w:rPr>
        <w:t xml:space="preserve"> (U. Paris Nanterre) </w:t>
      </w:r>
    </w:p>
    <w:p w:rsidR="00552410" w:rsidRDefault="0065791C">
      <w:pPr>
        <w:ind w:left="2124"/>
        <w:jc w:val="both"/>
        <w:rPr>
          <w:rFonts w:ascii="Helvetica Neue" w:eastAsia="Times New Roman" w:hAnsi="Helvetica Neue" w:cs="Times New Roman"/>
          <w:color w:val="000000"/>
          <w:lang w:val="fr-FR" w:eastAsia="fr-FR"/>
        </w:rPr>
      </w:pPr>
      <w:proofErr w:type="spellStart"/>
      <w:r>
        <w:rPr>
          <w:rFonts w:ascii="Times New Roman" w:hAnsi="Times New Roman" w:cs="Times New Roman"/>
          <w:lang w:val="fr-FR"/>
        </w:rPr>
        <w:t>Vocabula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ciuitate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donata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>. La métaphore de la citoyen</w:t>
      </w:r>
      <w:r>
        <w:rPr>
          <w:rFonts w:ascii="Times New Roman" w:hAnsi="Times New Roman" w:cs="Times New Roman"/>
          <w:i/>
          <w:iCs/>
          <w:lang w:val="fr-FR"/>
        </w:rPr>
        <w:t xml:space="preserve">neté dans la </w:t>
      </w:r>
      <w:proofErr w:type="gramStart"/>
      <w:r>
        <w:rPr>
          <w:rFonts w:ascii="Times New Roman" w:hAnsi="Times New Roman" w:cs="Times New Roman"/>
          <w:i/>
          <w:iCs/>
          <w:lang w:val="fr-FR"/>
        </w:rPr>
        <w:t>réflexion</w:t>
      </w:r>
      <w:proofErr w:type="gramEnd"/>
      <w:r>
        <w:rPr>
          <w:rFonts w:ascii="Times New Roman" w:hAnsi="Times New Roman" w:cs="Times New Roman"/>
          <w:i/>
          <w:iCs/>
          <w:lang w:val="fr-FR"/>
        </w:rPr>
        <w:t xml:space="preserve"> romaine sur les langues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14h30-15h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L. </w:t>
      </w:r>
      <w:proofErr w:type="spellStart"/>
      <w:r>
        <w:rPr>
          <w:rFonts w:ascii="Times New Roman" w:hAnsi="Times New Roman" w:cs="Times New Roman"/>
          <w:lang w:val="fr-FR"/>
        </w:rPr>
        <w:t>Sznajder</w:t>
      </w:r>
      <w:proofErr w:type="spellEnd"/>
      <w:r>
        <w:rPr>
          <w:rFonts w:ascii="Times New Roman" w:hAnsi="Times New Roman" w:cs="Times New Roman"/>
          <w:lang w:val="fr-FR"/>
        </w:rPr>
        <w:t xml:space="preserve"> (U. Paris Nanterre) </w:t>
      </w:r>
    </w:p>
    <w:p w:rsidR="00552410" w:rsidRDefault="0065791C">
      <w:pPr>
        <w:ind w:left="212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Le traitement des noms propres dans les traductions grecque et latine de la bible hébraïque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i/>
          <w:lang w:val="fr-FR"/>
        </w:rPr>
      </w:pPr>
      <w:r>
        <w:rPr>
          <w:rFonts w:ascii="Times New Roman" w:hAnsi="Times New Roman" w:cs="Times New Roman"/>
          <w:i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15h15-15h45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Pause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15h45-16h15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P. </w:t>
      </w:r>
      <w:proofErr w:type="spellStart"/>
      <w:r>
        <w:rPr>
          <w:rFonts w:ascii="Times New Roman" w:hAnsi="Times New Roman" w:cs="Times New Roman"/>
          <w:lang w:val="fr-FR"/>
        </w:rPr>
        <w:t>Płocharz</w:t>
      </w:r>
      <w:proofErr w:type="spellEnd"/>
      <w:r>
        <w:rPr>
          <w:rFonts w:ascii="Times New Roman" w:hAnsi="Times New Roman" w:cs="Times New Roman"/>
          <w:lang w:val="fr-FR"/>
        </w:rPr>
        <w:t xml:space="preserve"> (U. Paris</w:t>
      </w:r>
      <w:r>
        <w:rPr>
          <w:rFonts w:ascii="Times New Roman" w:hAnsi="Times New Roman" w:cs="Times New Roman"/>
          <w:lang w:val="fr-FR"/>
        </w:rPr>
        <w:t xml:space="preserve"> Nanterre) </w:t>
      </w:r>
    </w:p>
    <w:p w:rsidR="00552410" w:rsidRDefault="0065791C">
      <w:pPr>
        <w:ind w:left="2124"/>
        <w:jc w:val="both"/>
        <w:rPr>
          <w:rFonts w:ascii="Times New Roman" w:eastAsia="Times New Roman" w:hAnsi="Times New Roman" w:cs="Times New Roman"/>
          <w:lang w:val="fr-FR" w:eastAsia="fr-FR"/>
        </w:rPr>
      </w:pPr>
      <w:r>
        <w:rPr>
          <w:rFonts w:ascii="Times New Roman" w:hAnsi="Times New Roman" w:cs="Times New Roman"/>
          <w:i/>
          <w:iCs/>
          <w:lang w:val="fr-FR"/>
        </w:rPr>
        <w:t>Le débat des humanistes sur le(s) latin(s) parlé(s) dans la Rome antique comme source lointaine de l'approche historicisante dans la réflexion linguistique.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keepNext/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fr-FR"/>
        </w:rPr>
      </w:pPr>
      <w:r>
        <w:rPr>
          <w:rFonts w:ascii="Times New Roman" w:hAnsi="Times New Roman" w:cs="Times New Roman"/>
          <w:b/>
          <w:bCs/>
          <w:i/>
          <w:iCs/>
          <w:lang w:val="fr-FR"/>
        </w:rPr>
        <w:t>Substrats et langues en contact : enjeux politiques et linguistiques</w:t>
      </w:r>
    </w:p>
    <w:p w:rsidR="00552410" w:rsidRDefault="0065791C">
      <w:pPr>
        <w:keepNext/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16h15-16h45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 xml:space="preserve">M.-L. </w:t>
      </w:r>
      <w:proofErr w:type="spellStart"/>
      <w:r>
        <w:rPr>
          <w:rFonts w:ascii="Times New Roman" w:hAnsi="Times New Roman" w:cs="Times New Roman"/>
          <w:lang w:val="fr-FR"/>
        </w:rPr>
        <w:t>Rebora</w:t>
      </w:r>
      <w:proofErr w:type="spellEnd"/>
      <w:r>
        <w:rPr>
          <w:rFonts w:ascii="Times New Roman" w:hAnsi="Times New Roman" w:cs="Times New Roman"/>
          <w:lang w:val="fr-FR"/>
        </w:rPr>
        <w:t xml:space="preserve"> (ENS Paris) </w:t>
      </w:r>
    </w:p>
    <w:p w:rsidR="00552410" w:rsidRDefault="0065791C">
      <w:pPr>
        <w:keepNext/>
        <w:ind w:left="2124"/>
        <w:jc w:val="both"/>
        <w:rPr>
          <w:rFonts w:ascii="Helvetica Neue" w:eastAsia="Times New Roman" w:hAnsi="Helvetica Neue" w:cs="Times New Roman"/>
          <w:color w:val="000000"/>
          <w:lang w:val="fr-FR" w:eastAsia="fr-FR"/>
        </w:rPr>
      </w:pPr>
      <w:r>
        <w:rPr>
          <w:rFonts w:ascii="Times New Roman" w:hAnsi="Times New Roman" w:cs="Times New Roman"/>
          <w:i/>
          <w:iCs/>
          <w:lang w:val="fr-FR"/>
        </w:rPr>
        <w:t>Phénomènes de bilinguisme et de code-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switching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dans les épitaphes d’enfants des catacombes juives de Rome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16h30-17h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C. Ruiz-</w:t>
      </w:r>
      <w:proofErr w:type="spellStart"/>
      <w:r>
        <w:rPr>
          <w:rFonts w:ascii="Times New Roman" w:hAnsi="Times New Roman" w:cs="Times New Roman"/>
          <w:lang w:val="fr-FR"/>
        </w:rPr>
        <w:t>Darasse</w:t>
      </w:r>
      <w:proofErr w:type="spellEnd"/>
      <w:r>
        <w:rPr>
          <w:rFonts w:ascii="Times New Roman" w:hAnsi="Times New Roman" w:cs="Times New Roman"/>
          <w:lang w:val="fr-FR"/>
        </w:rPr>
        <w:t xml:space="preserve"> (U. Bordeaux Montaigne)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Rome en péninsule Ibérique : quels enjeux linguistiques ?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lang w:val="fr-FR"/>
        </w:rPr>
      </w:pPr>
    </w:p>
    <w:p w:rsidR="00552410" w:rsidRDefault="0065791C">
      <w:pPr>
        <w:shd w:val="clear" w:color="auto" w:fill="D9D9D9" w:themeFill="background1" w:themeFillShade="D9"/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Vendredi 20 octobre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9h30-10h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J.-P. Laporte (chercheur indépendant)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Le Libyque, langue primordiale de l’Afrique du nord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10h-10h30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V. </w:t>
      </w:r>
      <w:proofErr w:type="spellStart"/>
      <w:r>
        <w:rPr>
          <w:rFonts w:ascii="Times New Roman" w:hAnsi="Times New Roman" w:cs="Times New Roman"/>
          <w:lang w:val="fr-FR"/>
        </w:rPr>
        <w:t>Argiolas</w:t>
      </w:r>
      <w:proofErr w:type="spellEnd"/>
      <w:r>
        <w:rPr>
          <w:rFonts w:ascii="Times New Roman" w:hAnsi="Times New Roman" w:cs="Times New Roman"/>
          <w:lang w:val="fr-FR"/>
        </w:rPr>
        <w:t xml:space="preserve"> (CNRS, Aix-Marseille) </w:t>
      </w:r>
    </w:p>
    <w:p w:rsidR="00552410" w:rsidRDefault="0065791C">
      <w:pPr>
        <w:ind w:left="2124"/>
        <w:jc w:val="both"/>
        <w:rPr>
          <w:rFonts w:ascii="Helvetica Neue" w:eastAsia="Times New Roman" w:hAnsi="Helvetica Neue" w:cs="Times New Roman"/>
          <w:color w:val="000000"/>
          <w:lang w:val="fr-FR" w:eastAsia="fr-FR"/>
        </w:rPr>
      </w:pPr>
      <w:r>
        <w:rPr>
          <w:rFonts w:ascii="Times New Roman" w:hAnsi="Times New Roman" w:cs="Times New Roman"/>
          <w:i/>
          <w:iCs/>
          <w:lang w:val="fr-FR"/>
        </w:rPr>
        <w:t>L’action d'un substrat libyco-berbère sur les mots latins CUSCULIUM et QU</w:t>
      </w:r>
      <w:r>
        <w:rPr>
          <w:rFonts w:ascii="Times New Roman" w:hAnsi="Times New Roman" w:cs="Times New Roman"/>
          <w:i/>
          <w:iCs/>
          <w:lang w:val="fr-FR"/>
        </w:rPr>
        <w:t>ISQUILIAE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10h30-11h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I. </w:t>
      </w:r>
      <w:proofErr w:type="spellStart"/>
      <w:r>
        <w:rPr>
          <w:rFonts w:ascii="Times New Roman" w:hAnsi="Times New Roman" w:cs="Times New Roman"/>
          <w:lang w:val="fr-FR"/>
        </w:rPr>
        <w:t>Guermeur</w:t>
      </w:r>
      <w:proofErr w:type="spellEnd"/>
      <w:r>
        <w:rPr>
          <w:rFonts w:ascii="Times New Roman" w:hAnsi="Times New Roman" w:cs="Times New Roman"/>
          <w:lang w:val="fr-FR"/>
        </w:rPr>
        <w:t xml:space="preserve"> (EPHE), S. </w:t>
      </w:r>
      <w:proofErr w:type="spellStart"/>
      <w:r>
        <w:rPr>
          <w:rFonts w:ascii="Times New Roman" w:hAnsi="Times New Roman" w:cs="Times New Roman"/>
          <w:lang w:val="fr-FR"/>
        </w:rPr>
        <w:t>Lippert</w:t>
      </w:r>
      <w:proofErr w:type="spellEnd"/>
      <w:r>
        <w:rPr>
          <w:rFonts w:ascii="Times New Roman" w:hAnsi="Times New Roman" w:cs="Times New Roman"/>
          <w:lang w:val="fr-FR"/>
        </w:rPr>
        <w:t xml:space="preserve"> (CNRS), N. </w:t>
      </w:r>
      <w:proofErr w:type="spellStart"/>
      <w:r>
        <w:rPr>
          <w:rFonts w:ascii="Times New Roman" w:hAnsi="Times New Roman" w:cs="Times New Roman"/>
          <w:lang w:val="fr-FR"/>
        </w:rPr>
        <w:t>Vanthieghem</w:t>
      </w:r>
      <w:proofErr w:type="spellEnd"/>
      <w:r>
        <w:rPr>
          <w:rFonts w:ascii="Times New Roman" w:hAnsi="Times New Roman" w:cs="Times New Roman"/>
          <w:lang w:val="fr-FR"/>
        </w:rPr>
        <w:t xml:space="preserve"> (CNRS)</w:t>
      </w:r>
    </w:p>
    <w:p w:rsidR="00552410" w:rsidRDefault="0065791C">
      <w:pPr>
        <w:ind w:left="212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L’évolution du paysage linguistique égyptien au prisme du matériel récemment mis au jour à 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Atripé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(Moyenne Égypte)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11h15-11h30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Pause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11h30-12h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>C. Cohen-</w:t>
      </w:r>
      <w:proofErr w:type="spellStart"/>
      <w:r>
        <w:rPr>
          <w:rFonts w:ascii="Times New Roman" w:hAnsi="Times New Roman" w:cs="Times New Roman"/>
          <w:lang w:val="fr-FR"/>
        </w:rPr>
        <w:t>Lerouge</w:t>
      </w:r>
      <w:proofErr w:type="spellEnd"/>
      <w:r>
        <w:rPr>
          <w:rFonts w:ascii="Times New Roman" w:hAnsi="Times New Roman" w:cs="Times New Roman"/>
          <w:lang w:val="fr-FR"/>
        </w:rPr>
        <w:t xml:space="preserve"> (U. Paris Nanterre) </w:t>
      </w:r>
    </w:p>
    <w:p w:rsidR="00552410" w:rsidRDefault="0065791C">
      <w:pPr>
        <w:ind w:left="2124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La situation linguistique dans les royaumes "amis et alliés" du Pont et de la Cappadoce 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12h-12h30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G. Bonnet (U. Dijon)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Graphie et appartenance linguistique chez les grammairiens latins </w:t>
      </w:r>
    </w:p>
    <w:p w:rsidR="00552410" w:rsidRDefault="00552410">
      <w:pPr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Pr="0065791C" w:rsidRDefault="0065791C">
      <w:pPr>
        <w:ind w:left="567" w:hanging="567"/>
        <w:jc w:val="both"/>
        <w:rPr>
          <w:rFonts w:ascii="Times New Roman" w:hAnsi="Times New Roman" w:cs="Times New Roman"/>
          <w:i/>
          <w:iCs/>
          <w:lang w:val="en-US"/>
        </w:rPr>
      </w:pPr>
      <w:r w:rsidRPr="0065791C">
        <w:rPr>
          <w:rFonts w:ascii="Times New Roman" w:hAnsi="Times New Roman" w:cs="Times New Roman"/>
          <w:i/>
          <w:iCs/>
          <w:lang w:val="en-US"/>
        </w:rPr>
        <w:t>Discussion</w:t>
      </w:r>
    </w:p>
    <w:p w:rsidR="00552410" w:rsidRPr="0065791C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552410" w:rsidRPr="0065791C" w:rsidRDefault="0065791C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5791C">
        <w:rPr>
          <w:rFonts w:ascii="Times New Roman" w:hAnsi="Times New Roman" w:cs="Times New Roman"/>
          <w:lang w:val="en-US"/>
        </w:rPr>
        <w:t xml:space="preserve">12h45-14h </w:t>
      </w:r>
      <w:r w:rsidRPr="0065791C">
        <w:rPr>
          <w:rFonts w:ascii="Times New Roman" w:hAnsi="Times New Roman" w:cs="Times New Roman"/>
          <w:lang w:val="en-US"/>
        </w:rPr>
        <w:tab/>
      </w:r>
      <w:r w:rsidRPr="0065791C">
        <w:rPr>
          <w:rFonts w:ascii="Times New Roman" w:hAnsi="Times New Roman" w:cs="Times New Roman"/>
          <w:lang w:val="en-US"/>
        </w:rPr>
        <w:tab/>
      </w:r>
      <w:r w:rsidRPr="0065791C">
        <w:rPr>
          <w:rFonts w:ascii="Times New Roman" w:hAnsi="Times New Roman" w:cs="Times New Roman"/>
          <w:lang w:val="en-US"/>
        </w:rPr>
        <w:t>Déjeuner</w:t>
      </w:r>
    </w:p>
    <w:p w:rsidR="00552410" w:rsidRPr="0065791C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14h-14h30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E. </w:t>
      </w:r>
      <w:proofErr w:type="spellStart"/>
      <w:r>
        <w:rPr>
          <w:rFonts w:ascii="Times New Roman" w:hAnsi="Times New Roman" w:cs="Times New Roman"/>
          <w:lang w:val="en-US"/>
        </w:rPr>
        <w:t>Filimonov</w:t>
      </w:r>
      <w:proofErr w:type="spellEnd"/>
      <w:r>
        <w:rPr>
          <w:rFonts w:ascii="Times New Roman" w:hAnsi="Times New Roman" w:cs="Times New Roman"/>
          <w:lang w:val="en-US"/>
        </w:rPr>
        <w:t xml:space="preserve"> (U. Saint-</w:t>
      </w:r>
      <w:proofErr w:type="spellStart"/>
      <w:r>
        <w:rPr>
          <w:rFonts w:ascii="Times New Roman" w:hAnsi="Times New Roman" w:cs="Times New Roman"/>
          <w:lang w:val="en-US"/>
        </w:rPr>
        <w:t>Petersbourg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Dialectal 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Umbrian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elements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archaic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Latin inscriptions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14h30-15h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E. </w:t>
      </w:r>
      <w:proofErr w:type="spellStart"/>
      <w:r>
        <w:rPr>
          <w:rFonts w:ascii="Times New Roman" w:hAnsi="Times New Roman" w:cs="Times New Roman"/>
          <w:lang w:val="fr-FR"/>
        </w:rPr>
        <w:t>Dupraz</w:t>
      </w:r>
      <w:proofErr w:type="spellEnd"/>
      <w:r>
        <w:rPr>
          <w:rFonts w:ascii="Times New Roman" w:hAnsi="Times New Roman" w:cs="Times New Roman"/>
          <w:lang w:val="fr-FR"/>
        </w:rPr>
        <w:t xml:space="preserve"> (U. Bruxelles) </w:t>
      </w:r>
    </w:p>
    <w:p w:rsidR="00552410" w:rsidRDefault="0065791C">
      <w:pPr>
        <w:ind w:left="212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Les Règlements des Frères </w:t>
      </w:r>
      <w:proofErr w:type="spellStart"/>
      <w:r>
        <w:rPr>
          <w:rFonts w:ascii="Times New Roman" w:hAnsi="Times New Roman" w:cs="Times New Roman"/>
          <w:i/>
          <w:iCs/>
          <w:lang w:val="fr-FR"/>
        </w:rPr>
        <w:t>Atiedii</w:t>
      </w:r>
      <w:proofErr w:type="spellEnd"/>
      <w:r>
        <w:rPr>
          <w:rFonts w:ascii="Times New Roman" w:hAnsi="Times New Roman" w:cs="Times New Roman"/>
          <w:i/>
          <w:iCs/>
          <w:lang w:val="fr-FR"/>
        </w:rPr>
        <w:t xml:space="preserve"> entre tradition ombrienne et contacts avec le Latium</w:t>
      </w:r>
      <w:r>
        <w:rPr>
          <w:rFonts w:ascii="Helvetica Neue" w:eastAsia="Times New Roman" w:hAnsi="Helvetica Neue" w:cs="Times New Roman"/>
          <w:color w:val="000000"/>
          <w:lang w:val="fr-FR" w:eastAsia="fr-FR"/>
        </w:rPr>
        <w:t> 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15h-15h30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M. </w:t>
      </w:r>
      <w:proofErr w:type="spellStart"/>
      <w:r>
        <w:rPr>
          <w:rFonts w:ascii="Times New Roman" w:hAnsi="Times New Roman" w:cs="Times New Roman"/>
          <w:lang w:val="fr-FR"/>
        </w:rPr>
        <w:t>Coltelloni</w:t>
      </w:r>
      <w:proofErr w:type="spellEnd"/>
      <w:r>
        <w:rPr>
          <w:rFonts w:ascii="Times New Roman" w:hAnsi="Times New Roman" w:cs="Times New Roman"/>
          <w:lang w:val="fr-FR"/>
        </w:rPr>
        <w:t xml:space="preserve">-Trannoy (U. Sorbonne Université)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Dis-moi quel est ton nom, je te dirai qui tu es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Discussion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15h45-16h Pause</w:t>
      </w:r>
    </w:p>
    <w:p w:rsidR="00552410" w:rsidRDefault="00552410">
      <w:pPr>
        <w:ind w:left="567" w:hanging="567"/>
        <w:jc w:val="both"/>
        <w:rPr>
          <w:rFonts w:ascii="Times New Roman" w:hAnsi="Times New Roman" w:cs="Times New Roman"/>
          <w:sz w:val="12"/>
          <w:szCs w:val="12"/>
          <w:lang w:val="fr-FR"/>
        </w:rPr>
      </w:pPr>
    </w:p>
    <w:p w:rsidR="00552410" w:rsidRDefault="0065791C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16h-16h30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M. </w:t>
      </w:r>
      <w:proofErr w:type="spellStart"/>
      <w:r>
        <w:rPr>
          <w:rFonts w:ascii="Times New Roman" w:hAnsi="Times New Roman" w:cs="Times New Roman"/>
          <w:lang w:val="fr-FR"/>
        </w:rPr>
        <w:t>Banniard</w:t>
      </w:r>
      <w:proofErr w:type="spellEnd"/>
      <w:r>
        <w:rPr>
          <w:rFonts w:ascii="Times New Roman" w:hAnsi="Times New Roman" w:cs="Times New Roman"/>
          <w:lang w:val="fr-FR"/>
        </w:rPr>
        <w:t xml:space="preserve"> (U. Toulouse Jean Jaurès, EPHE) </w:t>
      </w: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Les couleurs du latin après l’Empire en Occident </w:t>
      </w:r>
    </w:p>
    <w:p w:rsidR="00552410" w:rsidRDefault="00552410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</w:p>
    <w:p w:rsidR="00552410" w:rsidRDefault="00552410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</w:p>
    <w:p w:rsidR="00552410" w:rsidRDefault="0065791C">
      <w:pPr>
        <w:ind w:left="1983" w:firstLine="141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noProof/>
          <w:lang w:val="en-US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1182370</wp:posOffset>
            </wp:positionV>
            <wp:extent cx="2129790" cy="454660"/>
            <wp:effectExtent l="0" t="0" r="0" b="0"/>
            <wp:wrapSquare wrapText="bothSides"/>
            <wp:docPr id="1" name="Image3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noProof/>
          <w:lang w:val="en-US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2745105</wp:posOffset>
            </wp:positionH>
            <wp:positionV relativeFrom="paragraph">
              <wp:posOffset>1068070</wp:posOffset>
            </wp:positionV>
            <wp:extent cx="1607185" cy="717550"/>
            <wp:effectExtent l="0" t="0" r="0" b="0"/>
            <wp:wrapSquare wrapText="bothSides"/>
            <wp:docPr id="2" name="Image 2" descr="Une image contenant texte, Police, capture d’écra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affi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noProof/>
          <w:lang w:val="en-US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5183505</wp:posOffset>
            </wp:positionH>
            <wp:positionV relativeFrom="paragraph">
              <wp:posOffset>726440</wp:posOffset>
            </wp:positionV>
            <wp:extent cx="673100" cy="1160145"/>
            <wp:effectExtent l="0" t="0" r="0" b="0"/>
            <wp:wrapSquare wrapText="bothSides"/>
            <wp:docPr id="3" name="Image 1" descr="Une image contenant texte, conception, dessin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texte, conception, dessin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241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10"/>
    <w:rsid w:val="00552410"/>
    <w:rsid w:val="006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FC158-358F-4B06-9FCC-1953D1E3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qFormat/>
    <w:rsid w:val="009951D4"/>
  </w:style>
  <w:style w:type="character" w:styleId="Lienhypertexte">
    <w:name w:val="Hyperlink"/>
    <w:basedOn w:val="Policepardfaut"/>
    <w:uiPriority w:val="99"/>
    <w:semiHidden/>
    <w:unhideWhenUsed/>
    <w:rsid w:val="009951D4"/>
  </w:style>
  <w:style w:type="character" w:styleId="Accentuation">
    <w:name w:val="Emphasis"/>
    <w:basedOn w:val="Policepardfaut"/>
    <w:uiPriority w:val="20"/>
    <w:qFormat/>
    <w:rsid w:val="00AB3DC1"/>
    <w:rPr>
      <w:i/>
      <w:iCs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Bortolussi</dc:creator>
  <dc:description/>
  <cp:lastModifiedBy>Bruno Rochette</cp:lastModifiedBy>
  <cp:revision>2</cp:revision>
  <cp:lastPrinted>2023-09-14T13:08:00Z</cp:lastPrinted>
  <dcterms:created xsi:type="dcterms:W3CDTF">2023-09-14T13:09:00Z</dcterms:created>
  <dcterms:modified xsi:type="dcterms:W3CDTF">2023-09-14T13:09:00Z</dcterms:modified>
  <dc:language>fr-FR</dc:language>
</cp:coreProperties>
</file>