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52100" w14:textId="6EE2AAF5" w:rsidR="005E6079" w:rsidRPr="00424E74" w:rsidRDefault="005E6079" w:rsidP="005E6079">
      <w:pPr>
        <w:pStyle w:val="Titre"/>
        <w:rPr>
          <w:rFonts w:ascii="Helvetica" w:hAnsi="Helvetica"/>
          <w:b/>
          <w:sz w:val="22"/>
          <w:szCs w:val="22"/>
          <w:lang w:val="fr-BE"/>
        </w:rPr>
      </w:pPr>
      <w:r w:rsidRPr="00424E74">
        <w:rPr>
          <w:rFonts w:ascii="Helvetica" w:hAnsi="Helvetica"/>
          <w:b/>
          <w:sz w:val="22"/>
          <w:szCs w:val="22"/>
          <w:lang w:val="fr-BE"/>
        </w:rPr>
        <w:t xml:space="preserve">Les carnets d’accompagnement des revues sur </w:t>
      </w:r>
      <w:r w:rsidRPr="00424E74">
        <w:rPr>
          <w:rFonts w:ascii="Helvetica" w:hAnsi="Helvetica"/>
          <w:b/>
          <w:i/>
          <w:sz w:val="22"/>
          <w:szCs w:val="22"/>
          <w:lang w:val="fr-BE"/>
        </w:rPr>
        <w:t>Hypotheses.org</w:t>
      </w:r>
      <w:r w:rsidRPr="00424E74">
        <w:rPr>
          <w:rFonts w:ascii="Helvetica" w:hAnsi="Helvetica"/>
          <w:b/>
          <w:sz w:val="22"/>
          <w:szCs w:val="22"/>
          <w:lang w:val="fr-BE"/>
        </w:rPr>
        <w:t xml:space="preserve"> : </w:t>
      </w:r>
      <w:r w:rsidR="00607C23" w:rsidRPr="00424E74">
        <w:rPr>
          <w:rFonts w:ascii="Helvetica" w:hAnsi="Helvetica"/>
          <w:b/>
          <w:sz w:val="22"/>
          <w:szCs w:val="22"/>
          <w:lang w:val="fr-BE"/>
        </w:rPr>
        <w:t>R</w:t>
      </w:r>
      <w:r w:rsidRPr="00424E74">
        <w:rPr>
          <w:rFonts w:ascii="Helvetica" w:hAnsi="Helvetica"/>
          <w:b/>
          <w:sz w:val="22"/>
          <w:szCs w:val="22"/>
          <w:lang w:val="fr-BE"/>
        </w:rPr>
        <w:t>apports de complémentarité et logiques éditoriales</w:t>
      </w:r>
    </w:p>
    <w:p w14:paraId="734FCD9F" w14:textId="77777777" w:rsidR="00804EB3" w:rsidRDefault="00804EB3" w:rsidP="005E6079">
      <w:pPr>
        <w:jc w:val="both"/>
        <w:rPr>
          <w:iCs/>
          <w:lang w:val="fr-BE"/>
        </w:rPr>
      </w:pPr>
    </w:p>
    <w:p w14:paraId="14F7B63C" w14:textId="11D9E1AE" w:rsidR="00424E74" w:rsidRDefault="00424E74" w:rsidP="005E6079">
      <w:pPr>
        <w:jc w:val="both"/>
        <w:rPr>
          <w:iCs/>
          <w:lang w:val="fr-BE"/>
        </w:rPr>
      </w:pPr>
      <w:proofErr w:type="spellStart"/>
      <w:r>
        <w:rPr>
          <w:iCs/>
          <w:lang w:val="fr-BE"/>
        </w:rPr>
        <w:t>Annaïg</w:t>
      </w:r>
      <w:proofErr w:type="spellEnd"/>
      <w:r>
        <w:rPr>
          <w:iCs/>
          <w:lang w:val="fr-BE"/>
        </w:rPr>
        <w:t xml:space="preserve"> Mahé (</w:t>
      </w:r>
      <w:proofErr w:type="spellStart"/>
      <w:r>
        <w:rPr>
          <w:iCs/>
          <w:lang w:val="fr-BE"/>
        </w:rPr>
        <w:t>Urfist</w:t>
      </w:r>
      <w:proofErr w:type="spellEnd"/>
      <w:r>
        <w:rPr>
          <w:iCs/>
          <w:lang w:val="fr-BE"/>
        </w:rPr>
        <w:t xml:space="preserve"> Paris/École nationale des Chartes</w:t>
      </w:r>
      <w:r w:rsidR="00346224">
        <w:rPr>
          <w:iCs/>
          <w:lang w:val="fr-BE"/>
        </w:rPr>
        <w:t xml:space="preserve">, </w:t>
      </w:r>
      <w:proofErr w:type="spellStart"/>
      <w:r w:rsidR="00346224">
        <w:rPr>
          <w:iCs/>
          <w:lang w:val="fr-BE"/>
        </w:rPr>
        <w:t>Dicen</w:t>
      </w:r>
      <w:proofErr w:type="spellEnd"/>
      <w:r w:rsidR="00346224">
        <w:rPr>
          <w:iCs/>
          <w:lang w:val="fr-BE"/>
        </w:rPr>
        <w:t>-IDF</w:t>
      </w:r>
      <w:r>
        <w:rPr>
          <w:iCs/>
          <w:lang w:val="fr-BE"/>
        </w:rPr>
        <w:t>) ; Ingrid Mayeur (Université de Liège/UR Traverses)</w:t>
      </w:r>
    </w:p>
    <w:p w14:paraId="03CB676F" w14:textId="77777777" w:rsidR="002D3B68" w:rsidRDefault="002D3B68" w:rsidP="005E6079">
      <w:pPr>
        <w:jc w:val="both"/>
        <w:rPr>
          <w:iCs/>
          <w:lang w:val="fr-BE"/>
        </w:rPr>
      </w:pPr>
    </w:p>
    <w:p w14:paraId="579037AF" w14:textId="059212CC" w:rsidR="005E6079" w:rsidRDefault="005E6079" w:rsidP="005E6079">
      <w:pPr>
        <w:jc w:val="both"/>
        <w:rPr>
          <w:iCs/>
          <w:lang w:val="fr-BE"/>
        </w:rPr>
      </w:pPr>
      <w:r>
        <w:rPr>
          <w:iCs/>
          <w:lang w:val="fr-BE"/>
        </w:rPr>
        <w:t>L</w:t>
      </w:r>
      <w:r w:rsidRPr="008209A7">
        <w:rPr>
          <w:iCs/>
          <w:lang w:val="fr-BE"/>
        </w:rPr>
        <w:t>a comm</w:t>
      </w:r>
      <w:r>
        <w:rPr>
          <w:iCs/>
          <w:lang w:val="fr-BE"/>
        </w:rPr>
        <w:t>unication scientifique en revue, format périodique ayant émergé dans le sillage des échanges intellectuels animant les salons</w:t>
      </w:r>
      <w:r w:rsidR="00EE5AFF">
        <w:rPr>
          <w:iCs/>
          <w:lang w:val="fr-BE"/>
        </w:rPr>
        <w:t xml:space="preserve"> </w:t>
      </w:r>
      <w:r w:rsidR="002662F8">
        <w:rPr>
          <w:iCs/>
          <w:lang w:val="fr-BE"/>
        </w:rPr>
        <w:t xml:space="preserve">de </w:t>
      </w:r>
      <w:r w:rsidR="00EE5AFF">
        <w:rPr>
          <w:iCs/>
          <w:lang w:val="fr-BE"/>
        </w:rPr>
        <w:t>lettrés</w:t>
      </w:r>
      <w:r>
        <w:rPr>
          <w:iCs/>
          <w:lang w:val="fr-BE"/>
        </w:rPr>
        <w:t xml:space="preserve"> </w:t>
      </w:r>
      <w:r w:rsidR="006B5292">
        <w:rPr>
          <w:iCs/>
          <w:lang w:val="fr-BE"/>
        </w:rPr>
        <w:t>a</w:t>
      </w:r>
      <w:r>
        <w:rPr>
          <w:iCs/>
          <w:lang w:val="fr-BE"/>
        </w:rPr>
        <w:t xml:space="preserve">u siècle classique, </w:t>
      </w:r>
      <w:r w:rsidR="008C1230">
        <w:rPr>
          <w:iCs/>
          <w:lang w:val="fr-BE"/>
        </w:rPr>
        <w:t>évolue</w:t>
      </w:r>
      <w:r>
        <w:rPr>
          <w:iCs/>
          <w:lang w:val="fr-BE"/>
        </w:rPr>
        <w:t xml:space="preserve"> depuis </w:t>
      </w:r>
      <w:r w:rsidR="004166B2">
        <w:rPr>
          <w:iCs/>
          <w:lang w:val="fr-BE"/>
        </w:rPr>
        <w:t xml:space="preserve">un quart de siècle </w:t>
      </w:r>
      <w:r>
        <w:rPr>
          <w:iCs/>
          <w:lang w:val="fr-BE"/>
        </w:rPr>
        <w:t>environ au sein d’</w:t>
      </w:r>
      <w:r w:rsidRPr="008209A7">
        <w:rPr>
          <w:iCs/>
          <w:lang w:val="fr-BE"/>
        </w:rPr>
        <w:t>un contexte éditorial reconfiguré par l'environnement numérique</w:t>
      </w:r>
      <w:r>
        <w:rPr>
          <w:iCs/>
          <w:lang w:val="fr-BE"/>
        </w:rPr>
        <w:t xml:space="preserve">. En raison de la brièveté relative de ses </w:t>
      </w:r>
      <w:r w:rsidR="003526A3">
        <w:rPr>
          <w:iCs/>
          <w:lang w:val="fr-BE"/>
        </w:rPr>
        <w:t xml:space="preserve">unités </w:t>
      </w:r>
      <w:r>
        <w:rPr>
          <w:iCs/>
          <w:lang w:val="fr-BE"/>
        </w:rPr>
        <w:t xml:space="preserve">composantes, ce mode de publication a figuré, à l’instar d’autres formats </w:t>
      </w:r>
      <w:r w:rsidR="00952666">
        <w:rPr>
          <w:iCs/>
          <w:lang w:val="fr-BE"/>
        </w:rPr>
        <w:t>fragmentaires</w:t>
      </w:r>
      <w:r>
        <w:rPr>
          <w:iCs/>
          <w:lang w:val="fr-BE"/>
        </w:rPr>
        <w:t xml:space="preserve"> c</w:t>
      </w:r>
      <w:r w:rsidR="00952666">
        <w:rPr>
          <w:iCs/>
          <w:lang w:val="fr-BE"/>
        </w:rPr>
        <w:t>omme la notice d’encyclopédie</w:t>
      </w:r>
      <w:r>
        <w:rPr>
          <w:iCs/>
          <w:lang w:val="fr-BE"/>
        </w:rPr>
        <w:t xml:space="preserve">, parmi les genres textuels privilégiés pour </w:t>
      </w:r>
      <w:r w:rsidR="002357C0">
        <w:rPr>
          <w:iCs/>
          <w:lang w:val="fr-BE"/>
        </w:rPr>
        <w:t>le passage</w:t>
      </w:r>
      <w:r>
        <w:rPr>
          <w:iCs/>
          <w:lang w:val="fr-BE"/>
        </w:rPr>
        <w:t xml:space="preserve"> en ligne dans les premiers temps </w:t>
      </w:r>
      <w:r w:rsidR="002357C0">
        <w:rPr>
          <w:iCs/>
          <w:lang w:val="fr-BE"/>
        </w:rPr>
        <w:t>de</w:t>
      </w:r>
      <w:r w:rsidR="00246E27">
        <w:rPr>
          <w:iCs/>
          <w:lang w:val="fr-BE"/>
        </w:rPr>
        <w:t xml:space="preserve"> l’édition</w:t>
      </w:r>
      <w:r>
        <w:rPr>
          <w:iCs/>
          <w:lang w:val="fr-BE"/>
        </w:rPr>
        <w:t xml:space="preserve"> numérique </w:t>
      </w:r>
      <w:r w:rsidR="000020DB" w:rsidRPr="000020DB">
        <w:rPr>
          <w:rFonts w:cs="Times New Roman"/>
        </w:rPr>
        <w:t>(Beaudry, 2011)</w:t>
      </w:r>
      <w:r w:rsidRPr="00877EC4">
        <w:rPr>
          <w:rFonts w:cs="Times New Roman"/>
          <w:iCs/>
          <w:lang w:val="fr-BE"/>
        </w:rPr>
        <w:t>.</w:t>
      </w:r>
      <w:r>
        <w:rPr>
          <w:iCs/>
          <w:lang w:val="fr-BE"/>
        </w:rPr>
        <w:t xml:space="preserve"> </w:t>
      </w:r>
    </w:p>
    <w:p w14:paraId="02E7BB59" w14:textId="0175A11B" w:rsidR="008A6A67" w:rsidRPr="008A6A67" w:rsidRDefault="008A6A67" w:rsidP="00AC0F94">
      <w:pPr>
        <w:jc w:val="both"/>
        <w:rPr>
          <w:lang w:val="fr-BE"/>
        </w:rPr>
      </w:pPr>
      <w:r w:rsidRPr="008A6A67">
        <w:rPr>
          <w:lang w:val="fr-BE"/>
        </w:rPr>
        <w:t>Entre autres changements qu’amène l’insertion de la revue scientifique dans l’écosystème du web</w:t>
      </w:r>
      <w:r w:rsidR="00345023">
        <w:rPr>
          <w:lang w:val="fr-BE"/>
        </w:rPr>
        <w:t xml:space="preserve"> (en particulier, du point de vue de</w:t>
      </w:r>
      <w:r w:rsidR="00126367">
        <w:rPr>
          <w:lang w:val="fr-BE"/>
        </w:rPr>
        <w:t>s métadonnées, de</w:t>
      </w:r>
      <w:r w:rsidR="00493FFD">
        <w:rPr>
          <w:lang w:val="fr-BE"/>
        </w:rPr>
        <w:t xml:space="preserve"> l’accès et </w:t>
      </w:r>
      <w:r w:rsidR="00F572CA">
        <w:rPr>
          <w:lang w:val="fr-BE"/>
        </w:rPr>
        <w:t>du stockage</w:t>
      </w:r>
      <w:r w:rsidR="00345023">
        <w:rPr>
          <w:lang w:val="fr-BE"/>
        </w:rPr>
        <w:t>)</w:t>
      </w:r>
      <w:r w:rsidRPr="008A6A67">
        <w:rPr>
          <w:lang w:val="fr-BE"/>
        </w:rPr>
        <w:t xml:space="preserve">, </w:t>
      </w:r>
      <w:r w:rsidR="00365ABB">
        <w:rPr>
          <w:lang w:val="fr-BE"/>
        </w:rPr>
        <w:t xml:space="preserve">un </w:t>
      </w:r>
      <w:r w:rsidRPr="008A6A67">
        <w:rPr>
          <w:lang w:val="fr-BE"/>
        </w:rPr>
        <w:t>nouvel intermédiaire</w:t>
      </w:r>
      <w:r w:rsidR="00365ABB">
        <w:rPr>
          <w:lang w:val="fr-BE"/>
        </w:rPr>
        <w:t>,</w:t>
      </w:r>
      <w:r w:rsidRPr="008A6A67">
        <w:rPr>
          <w:lang w:val="fr-BE"/>
        </w:rPr>
        <w:t xml:space="preserve"> l'</w:t>
      </w:r>
      <w:r w:rsidRPr="008A6A67">
        <w:rPr>
          <w:i/>
          <w:lang w:val="fr-BE"/>
        </w:rPr>
        <w:t>agrégateur</w:t>
      </w:r>
      <w:r w:rsidR="00365ABB">
        <w:rPr>
          <w:lang w:val="fr-BE"/>
        </w:rPr>
        <w:t>, joue désormais un rôle déterminant</w:t>
      </w:r>
      <w:r w:rsidRPr="008A6A67">
        <w:rPr>
          <w:lang w:val="fr-BE"/>
        </w:rPr>
        <w:t xml:space="preserve"> (</w:t>
      </w:r>
      <w:r w:rsidR="00B04A97">
        <w:rPr>
          <w:i/>
          <w:iCs/>
          <w:lang w:val="fr-BE"/>
        </w:rPr>
        <w:t>Ibid</w:t>
      </w:r>
      <w:r w:rsidR="00B04A97">
        <w:rPr>
          <w:lang w:val="fr-BE"/>
        </w:rPr>
        <w:t>.,</w:t>
      </w:r>
      <w:r w:rsidRPr="008A6A67">
        <w:rPr>
          <w:lang w:val="fr-BE"/>
        </w:rPr>
        <w:t xml:space="preserve"> 271). Plateformes et portails organisent la </w:t>
      </w:r>
      <w:r w:rsidR="003B036F">
        <w:rPr>
          <w:lang w:val="fr-BE"/>
        </w:rPr>
        <w:t>circulation et la valorisation éventuelle des articles</w:t>
      </w:r>
      <w:r w:rsidR="00061A24">
        <w:rPr>
          <w:lang w:val="fr-BE"/>
        </w:rPr>
        <w:t xml:space="preserve">. Le cas </w:t>
      </w:r>
      <w:r w:rsidRPr="008A6A67">
        <w:rPr>
          <w:lang w:val="fr-BE"/>
        </w:rPr>
        <w:t>échéant, des fonctionnalités additionnelles de mise en réseau (ressources hypertextuelles, collections, etc.) et de participation (commentaires, annotations, etc.) autour d'une publication périodique</w:t>
      </w:r>
      <w:r w:rsidR="00061A24">
        <w:rPr>
          <w:lang w:val="fr-BE"/>
        </w:rPr>
        <w:t xml:space="preserve"> sont proposées</w:t>
      </w:r>
      <w:r w:rsidRPr="008A6A67">
        <w:rPr>
          <w:lang w:val="fr-BE"/>
        </w:rPr>
        <w:t>. Corollairement, la disponibilité numérique des publications scientifiques</w:t>
      </w:r>
      <w:r w:rsidR="00C04D03">
        <w:rPr>
          <w:lang w:val="fr-BE"/>
        </w:rPr>
        <w:t xml:space="preserve"> et leur référencement par les agrégateurs</w:t>
      </w:r>
      <w:r w:rsidR="00D44C4E">
        <w:rPr>
          <w:lang w:val="fr-BE"/>
        </w:rPr>
        <w:t xml:space="preserve"> </w:t>
      </w:r>
      <w:r w:rsidRPr="008A6A67">
        <w:rPr>
          <w:lang w:val="fr-BE"/>
        </w:rPr>
        <w:t>renforce le poids des revues comme outils de quantification</w:t>
      </w:r>
      <w:r w:rsidR="003A6C11">
        <w:rPr>
          <w:lang w:val="fr-BE"/>
        </w:rPr>
        <w:t xml:space="preserve"> de la production du chercheur et, de là,</w:t>
      </w:r>
      <w:r w:rsidRPr="008A6A67">
        <w:rPr>
          <w:lang w:val="fr-BE"/>
        </w:rPr>
        <w:t xml:space="preserve"> d’évaluation institutionnelle</w:t>
      </w:r>
      <w:r w:rsidR="003C1818">
        <w:rPr>
          <w:lang w:val="fr-BE"/>
        </w:rPr>
        <w:t>. A</w:t>
      </w:r>
      <w:r w:rsidRPr="008A6A67">
        <w:rPr>
          <w:lang w:val="fr-BE"/>
        </w:rPr>
        <w:t xml:space="preserve">ussi participent-elles pleinement, à cet égard, du </w:t>
      </w:r>
      <w:r w:rsidRPr="008A6A67">
        <w:rPr>
          <w:i/>
          <w:lang w:val="fr-BE"/>
        </w:rPr>
        <w:t>capitalisme cognitif</w:t>
      </w:r>
      <w:r w:rsidRPr="008A6A67">
        <w:rPr>
          <w:lang w:val="fr-BE"/>
        </w:rPr>
        <w:t xml:space="preserve"> </w:t>
      </w:r>
      <w:r w:rsidR="000020DB" w:rsidRPr="000020DB">
        <w:rPr>
          <w:rFonts w:cs="Times New Roman"/>
        </w:rPr>
        <w:t>(Franck et al., 2017)</w:t>
      </w:r>
      <w:r w:rsidRPr="008A6A67">
        <w:rPr>
          <w:lang w:val="fr-BE"/>
        </w:rPr>
        <w:t xml:space="preserve"> qui régit l’économie des publications scientifiques</w:t>
      </w:r>
      <w:r w:rsidR="00FE73C7" w:rsidRPr="004166B2">
        <w:rPr>
          <w:rStyle w:val="Appelnotedebasdep"/>
        </w:rPr>
        <w:footnoteReference w:id="1"/>
      </w:r>
      <w:r w:rsidRPr="008A6A67">
        <w:rPr>
          <w:lang w:val="fr-BE"/>
        </w:rPr>
        <w:t>.</w:t>
      </w:r>
      <w:r w:rsidR="00A15693">
        <w:rPr>
          <w:lang w:val="fr-BE"/>
        </w:rPr>
        <w:t xml:space="preserve"> </w:t>
      </w:r>
    </w:p>
    <w:p w14:paraId="52B51634" w14:textId="7776BA2C" w:rsidR="00703324" w:rsidRPr="008C0F84" w:rsidRDefault="00635771" w:rsidP="005E6079">
      <w:pPr>
        <w:jc w:val="both"/>
        <w:rPr>
          <w:iCs/>
          <w:lang w:val="fr-BE"/>
        </w:rPr>
      </w:pPr>
      <w:r>
        <w:rPr>
          <w:iCs/>
          <w:lang w:val="fr-BE"/>
        </w:rPr>
        <w:t>Même</w:t>
      </w:r>
      <w:r w:rsidRPr="008209A7">
        <w:rPr>
          <w:iCs/>
          <w:lang w:val="fr-BE"/>
        </w:rPr>
        <w:t xml:space="preserve"> </w:t>
      </w:r>
      <w:r w:rsidR="00AF1328">
        <w:rPr>
          <w:iCs/>
          <w:lang w:val="fr-BE"/>
        </w:rPr>
        <w:t xml:space="preserve">nativement </w:t>
      </w:r>
      <w:r w:rsidRPr="008209A7">
        <w:rPr>
          <w:iCs/>
          <w:lang w:val="fr-BE"/>
        </w:rPr>
        <w:t>numériques</w:t>
      </w:r>
      <w:r>
        <w:rPr>
          <w:iCs/>
          <w:lang w:val="fr-BE"/>
        </w:rPr>
        <w:t>, les revues en sciences humaines et sociales</w:t>
      </w:r>
      <w:r w:rsidR="00E34843">
        <w:rPr>
          <w:iCs/>
          <w:lang w:val="fr-BE"/>
        </w:rPr>
        <w:t xml:space="preserve"> (désormais SHS)</w:t>
      </w:r>
      <w:r>
        <w:rPr>
          <w:iCs/>
          <w:lang w:val="fr-BE"/>
        </w:rPr>
        <w:t xml:space="preserve"> diffusées sur les </w:t>
      </w:r>
      <w:r w:rsidRPr="008209A7">
        <w:rPr>
          <w:iCs/>
          <w:lang w:val="fr-BE"/>
        </w:rPr>
        <w:t>principales plateformes d'édition francophone</w:t>
      </w:r>
      <w:r>
        <w:rPr>
          <w:iCs/>
          <w:lang w:val="fr-BE"/>
        </w:rPr>
        <w:t>s</w:t>
      </w:r>
      <w:r w:rsidR="0032797F">
        <w:rPr>
          <w:iCs/>
          <w:lang w:val="fr-BE"/>
        </w:rPr>
        <w:t xml:space="preserve"> en ligne</w:t>
      </w:r>
      <w:r>
        <w:rPr>
          <w:iCs/>
          <w:lang w:val="fr-BE"/>
        </w:rPr>
        <w:t xml:space="preserve"> —</w:t>
      </w:r>
      <w:r w:rsidRPr="008209A7">
        <w:rPr>
          <w:iCs/>
          <w:lang w:val="fr-BE"/>
        </w:rPr>
        <w:t xml:space="preserve"> </w:t>
      </w:r>
      <w:r w:rsidR="00A970EB">
        <w:rPr>
          <w:i/>
          <w:lang w:val="fr-BE"/>
        </w:rPr>
        <w:t>Cairn.info</w:t>
      </w:r>
      <w:r w:rsidRPr="00486351">
        <w:rPr>
          <w:i/>
          <w:lang w:val="fr-BE"/>
        </w:rPr>
        <w:t xml:space="preserve">, </w:t>
      </w:r>
      <w:proofErr w:type="spellStart"/>
      <w:r w:rsidRPr="00486351">
        <w:rPr>
          <w:i/>
          <w:lang w:val="fr-BE"/>
        </w:rPr>
        <w:t>OpenEdition</w:t>
      </w:r>
      <w:proofErr w:type="spellEnd"/>
      <w:r w:rsidR="0053430B">
        <w:rPr>
          <w:i/>
          <w:lang w:val="fr-BE"/>
        </w:rPr>
        <w:t xml:space="preserve"> </w:t>
      </w:r>
      <w:proofErr w:type="spellStart"/>
      <w:r w:rsidRPr="00486351">
        <w:rPr>
          <w:i/>
          <w:lang w:val="fr-BE"/>
        </w:rPr>
        <w:t>Journals</w:t>
      </w:r>
      <w:proofErr w:type="spellEnd"/>
      <w:r w:rsidR="00E32DCF">
        <w:rPr>
          <w:lang w:val="fr-BE"/>
        </w:rPr>
        <w:t xml:space="preserve"> (</w:t>
      </w:r>
      <w:r w:rsidR="00E32DCF" w:rsidRPr="00E32DCF">
        <w:rPr>
          <w:i/>
          <w:lang w:val="fr-BE"/>
        </w:rPr>
        <w:t>OE</w:t>
      </w:r>
      <w:r w:rsidR="00606CA6">
        <w:rPr>
          <w:i/>
          <w:lang w:val="fr-BE"/>
        </w:rPr>
        <w:t xml:space="preserve"> </w:t>
      </w:r>
      <w:proofErr w:type="spellStart"/>
      <w:r w:rsidR="00606CA6">
        <w:rPr>
          <w:i/>
          <w:lang w:val="fr-BE"/>
        </w:rPr>
        <w:t>Journals</w:t>
      </w:r>
      <w:proofErr w:type="spellEnd"/>
      <w:r w:rsidR="00E32DCF">
        <w:rPr>
          <w:lang w:val="fr-BE"/>
        </w:rPr>
        <w:t>)</w:t>
      </w:r>
      <w:r w:rsidRPr="00486351">
        <w:rPr>
          <w:i/>
          <w:iCs/>
          <w:lang w:val="fr-BE"/>
        </w:rPr>
        <w:t xml:space="preserve">, </w:t>
      </w:r>
      <w:r w:rsidRPr="00486351">
        <w:rPr>
          <w:i/>
          <w:lang w:val="fr-BE"/>
        </w:rPr>
        <w:t>Persée</w:t>
      </w:r>
      <w:r w:rsidRPr="00486351">
        <w:rPr>
          <w:iCs/>
          <w:lang w:val="fr-BE"/>
        </w:rPr>
        <w:t xml:space="preserve"> et</w:t>
      </w:r>
      <w:r w:rsidRPr="00486351">
        <w:rPr>
          <w:i/>
          <w:iCs/>
          <w:lang w:val="fr-BE"/>
        </w:rPr>
        <w:t xml:space="preserve"> </w:t>
      </w:r>
      <w:r w:rsidRPr="00486351">
        <w:rPr>
          <w:i/>
          <w:lang w:val="fr-BE"/>
        </w:rPr>
        <w:t>Erudit.org</w:t>
      </w:r>
      <w:r>
        <w:rPr>
          <w:iCs/>
          <w:lang w:val="fr-BE"/>
        </w:rPr>
        <w:t xml:space="preserve"> </w:t>
      </w:r>
      <w:r w:rsidR="0032797F">
        <w:rPr>
          <w:iCs/>
          <w:lang w:val="fr-BE"/>
        </w:rPr>
        <w:t xml:space="preserve">— </w:t>
      </w:r>
      <w:r>
        <w:rPr>
          <w:iCs/>
          <w:lang w:val="fr-BE"/>
        </w:rPr>
        <w:t>respect</w:t>
      </w:r>
      <w:r w:rsidRPr="008209A7">
        <w:rPr>
          <w:iCs/>
          <w:lang w:val="fr-BE"/>
        </w:rPr>
        <w:t>ent encore bien souvent</w:t>
      </w:r>
      <w:r>
        <w:rPr>
          <w:iCs/>
          <w:lang w:val="fr-BE"/>
        </w:rPr>
        <w:t xml:space="preserve"> les </w:t>
      </w:r>
      <w:r w:rsidR="00C92455">
        <w:rPr>
          <w:iCs/>
          <w:lang w:val="fr-BE"/>
        </w:rPr>
        <w:t xml:space="preserve">mêmes </w:t>
      </w:r>
      <w:r>
        <w:rPr>
          <w:iCs/>
          <w:lang w:val="fr-BE"/>
        </w:rPr>
        <w:t>procédures de publication,</w:t>
      </w:r>
      <w:r w:rsidRPr="008209A7">
        <w:rPr>
          <w:iCs/>
          <w:lang w:val="fr-BE"/>
        </w:rPr>
        <w:t xml:space="preserve"> </w:t>
      </w:r>
      <w:r w:rsidR="00153A52">
        <w:rPr>
          <w:iCs/>
          <w:lang w:val="fr-BE"/>
        </w:rPr>
        <w:t xml:space="preserve">les mêmes </w:t>
      </w:r>
      <w:r w:rsidRPr="008209A7">
        <w:rPr>
          <w:iCs/>
          <w:lang w:val="fr-BE"/>
        </w:rPr>
        <w:t>contraintes de périodicité et de format</w:t>
      </w:r>
      <w:r w:rsidR="004C63D3">
        <w:rPr>
          <w:iCs/>
          <w:lang w:val="fr-BE"/>
        </w:rPr>
        <w:t xml:space="preserve"> que l</w:t>
      </w:r>
      <w:r w:rsidRPr="008209A7">
        <w:rPr>
          <w:iCs/>
          <w:lang w:val="fr-BE"/>
        </w:rPr>
        <w:t xml:space="preserve">es revues </w:t>
      </w:r>
      <w:r w:rsidR="004C63D3">
        <w:rPr>
          <w:iCs/>
          <w:lang w:val="fr-BE"/>
        </w:rPr>
        <w:t>imprimé</w:t>
      </w:r>
      <w:r w:rsidRPr="008209A7">
        <w:rPr>
          <w:iCs/>
          <w:lang w:val="fr-BE"/>
        </w:rPr>
        <w:t>es.</w:t>
      </w:r>
      <w:r w:rsidR="005E6079">
        <w:rPr>
          <w:iCs/>
          <w:lang w:val="fr-BE"/>
        </w:rPr>
        <w:t xml:space="preserve"> De ce point de vue, </w:t>
      </w:r>
      <w:r w:rsidR="005E6079" w:rsidRPr="00FA6746">
        <w:rPr>
          <w:iCs/>
          <w:lang w:val="fr-BE"/>
        </w:rPr>
        <w:t>les constats formulés par Berthou voici plus de dix ans</w:t>
      </w:r>
      <w:r w:rsidR="00EB1D0A">
        <w:rPr>
          <w:iCs/>
          <w:lang w:val="fr-BE"/>
        </w:rPr>
        <w:t xml:space="preserve"> </w:t>
      </w:r>
      <w:r w:rsidR="000020DB" w:rsidRPr="000020DB">
        <w:rPr>
          <w:rFonts w:cs="Times New Roman"/>
        </w:rPr>
        <w:t>(Berthou, 2009)</w:t>
      </w:r>
      <w:r w:rsidR="005E6079" w:rsidRPr="00FA6746">
        <w:rPr>
          <w:iCs/>
          <w:lang w:val="fr-BE"/>
        </w:rPr>
        <w:t xml:space="preserve"> restent encore pertinents à bien des égards</w:t>
      </w:r>
      <w:r w:rsidR="00B26DE4" w:rsidRPr="00630A05">
        <w:rPr>
          <w:rStyle w:val="Appelnotedebasdep"/>
          <w:iCs/>
          <w:lang w:val="fr-BE"/>
        </w:rPr>
        <w:footnoteReference w:id="2"/>
      </w:r>
      <w:r w:rsidR="005E6079">
        <w:rPr>
          <w:iCs/>
          <w:lang w:val="fr-BE"/>
        </w:rPr>
        <w:t>.</w:t>
      </w:r>
      <w:r w:rsidR="00703324">
        <w:rPr>
          <w:iCs/>
          <w:lang w:val="fr-BE"/>
        </w:rPr>
        <w:t xml:space="preserve"> Dans cet horizon, des propositions </w:t>
      </w:r>
      <w:r w:rsidR="009012E5">
        <w:rPr>
          <w:iCs/>
          <w:lang w:val="fr-BE"/>
        </w:rPr>
        <w:t xml:space="preserve">concrètes </w:t>
      </w:r>
      <w:r w:rsidR="00703324">
        <w:rPr>
          <w:iCs/>
          <w:lang w:val="fr-BE"/>
        </w:rPr>
        <w:t>émergent cependant, ainsi qu’en témoigne le travail doctoral de Nicolas Sauret</w:t>
      </w:r>
      <w:r w:rsidR="003059A5">
        <w:rPr>
          <w:iCs/>
          <w:lang w:val="fr-BE"/>
        </w:rPr>
        <w:t xml:space="preserve"> </w:t>
      </w:r>
      <w:r w:rsidR="000020DB" w:rsidRPr="000020DB">
        <w:rPr>
          <w:rFonts w:cs="Times New Roman"/>
        </w:rPr>
        <w:t>(Sauret, 2020)</w:t>
      </w:r>
      <w:r w:rsidR="00703324">
        <w:rPr>
          <w:iCs/>
          <w:lang w:val="fr-BE"/>
        </w:rPr>
        <w:t xml:space="preserve"> visant, par une recherche action, à </w:t>
      </w:r>
      <w:r w:rsidR="009C7B81">
        <w:rPr>
          <w:iCs/>
          <w:lang w:val="fr-BE"/>
        </w:rPr>
        <w:t>penser l’élaboration d’un dispositif numérique consolidant</w:t>
      </w:r>
      <w:r w:rsidR="00703324">
        <w:rPr>
          <w:iCs/>
          <w:lang w:val="fr-BE"/>
        </w:rPr>
        <w:t xml:space="preserve"> la fonction conversationnelle de la revue</w:t>
      </w:r>
      <w:r w:rsidR="008C0F84">
        <w:rPr>
          <w:iCs/>
          <w:lang w:val="fr-BE"/>
        </w:rPr>
        <w:t xml:space="preserve">. </w:t>
      </w:r>
      <w:r w:rsidR="008B23B6">
        <w:rPr>
          <w:iCs/>
          <w:lang w:val="fr-BE"/>
        </w:rPr>
        <w:t>Cette recherche a nourri les développements de l</w:t>
      </w:r>
      <w:r w:rsidR="008C0F84">
        <w:rPr>
          <w:iCs/>
          <w:lang w:val="fr-BE"/>
        </w:rPr>
        <w:t xml:space="preserve">a revue </w:t>
      </w:r>
      <w:r w:rsidR="008C0F84">
        <w:rPr>
          <w:i/>
          <w:lang w:val="fr-BE"/>
        </w:rPr>
        <w:t>Sens Public</w:t>
      </w:r>
      <w:r w:rsidR="008C0F84">
        <w:rPr>
          <w:iCs/>
          <w:lang w:val="fr-BE"/>
        </w:rPr>
        <w:t xml:space="preserve">, </w:t>
      </w:r>
      <w:r w:rsidR="008B23B6">
        <w:rPr>
          <w:iCs/>
          <w:lang w:val="fr-BE"/>
        </w:rPr>
        <w:t xml:space="preserve">instrumentant numériquement, par </w:t>
      </w:r>
      <w:r w:rsidR="00A731B7">
        <w:rPr>
          <w:iCs/>
          <w:lang w:val="fr-BE"/>
        </w:rPr>
        <w:t xml:space="preserve">le choix d’outils technologiques </w:t>
      </w:r>
      <w:proofErr w:type="spellStart"/>
      <w:r w:rsidR="000C684D" w:rsidRPr="000C684D">
        <w:rPr>
          <w:iCs/>
          <w:lang w:val="fr-BE"/>
        </w:rPr>
        <w:t>OpenSource</w:t>
      </w:r>
      <w:proofErr w:type="spellEnd"/>
      <w:r w:rsidR="002119FF">
        <w:rPr>
          <w:iCs/>
          <w:lang w:val="fr-BE"/>
        </w:rPr>
        <w:t xml:space="preserve">, </w:t>
      </w:r>
      <w:r w:rsidR="000C684D">
        <w:rPr>
          <w:iCs/>
          <w:lang w:val="fr-BE"/>
        </w:rPr>
        <w:t xml:space="preserve">cette composante conversationnelle propre </w:t>
      </w:r>
      <w:r w:rsidR="00A22362">
        <w:rPr>
          <w:iCs/>
          <w:lang w:val="fr-BE"/>
        </w:rPr>
        <w:t>au genre de la revue</w:t>
      </w:r>
      <w:r w:rsidR="000C684D">
        <w:rPr>
          <w:iCs/>
          <w:lang w:val="fr-BE"/>
        </w:rPr>
        <w:t>,</w:t>
      </w:r>
      <w:r w:rsidR="00A22362">
        <w:rPr>
          <w:iCs/>
          <w:lang w:val="fr-BE"/>
        </w:rPr>
        <w:t xml:space="preserve"> </w:t>
      </w:r>
      <w:r w:rsidR="00B774B8">
        <w:rPr>
          <w:iCs/>
          <w:lang w:val="fr-BE"/>
        </w:rPr>
        <w:t>en particulier</w:t>
      </w:r>
      <w:r w:rsidR="000C684D">
        <w:rPr>
          <w:iCs/>
          <w:lang w:val="fr-BE"/>
        </w:rPr>
        <w:t xml:space="preserve"> </w:t>
      </w:r>
      <w:r w:rsidR="00A22362">
        <w:rPr>
          <w:iCs/>
          <w:lang w:val="fr-BE"/>
        </w:rPr>
        <w:t xml:space="preserve">de </w:t>
      </w:r>
      <w:r w:rsidR="000C684D">
        <w:rPr>
          <w:iCs/>
          <w:lang w:val="fr-BE"/>
        </w:rPr>
        <w:t xml:space="preserve">la revue en </w:t>
      </w:r>
      <w:r w:rsidR="00E34843">
        <w:rPr>
          <w:iCs/>
          <w:lang w:val="fr-BE"/>
        </w:rPr>
        <w:t>SHS</w:t>
      </w:r>
      <w:r w:rsidR="000C684D">
        <w:rPr>
          <w:iCs/>
          <w:lang w:val="fr-BE"/>
        </w:rPr>
        <w:t xml:space="preserve"> (</w:t>
      </w:r>
      <w:r w:rsidR="002E7BE2" w:rsidRPr="002E7BE2">
        <w:rPr>
          <w:iCs/>
          <w:lang w:val="fr-BE"/>
        </w:rPr>
        <w:t xml:space="preserve">ou </w:t>
      </w:r>
      <w:proofErr w:type="spellStart"/>
      <w:r w:rsidR="000C684D">
        <w:rPr>
          <w:i/>
          <w:lang w:val="fr-BE"/>
        </w:rPr>
        <w:t>humanities</w:t>
      </w:r>
      <w:proofErr w:type="spellEnd"/>
      <w:r w:rsidR="000C684D">
        <w:rPr>
          <w:iCs/>
          <w:lang w:val="fr-BE"/>
        </w:rPr>
        <w:t>)</w:t>
      </w:r>
      <w:r w:rsidR="00927089" w:rsidRPr="004166B2">
        <w:rPr>
          <w:rStyle w:val="Appelnotedebasdep"/>
        </w:rPr>
        <w:footnoteReference w:id="3"/>
      </w:r>
      <w:r w:rsidR="009051F8">
        <w:rPr>
          <w:iCs/>
          <w:lang w:val="fr-BE"/>
        </w:rPr>
        <w:t>.</w:t>
      </w:r>
    </w:p>
    <w:p w14:paraId="369A3950" w14:textId="1EB0CD93" w:rsidR="00390ADB" w:rsidRDefault="004F34F7" w:rsidP="005E6079">
      <w:pPr>
        <w:jc w:val="both"/>
        <w:rPr>
          <w:lang w:val="fr-BE"/>
        </w:rPr>
      </w:pPr>
      <w:r>
        <w:rPr>
          <w:iCs/>
          <w:lang w:val="fr-BE"/>
        </w:rPr>
        <w:t xml:space="preserve">La </w:t>
      </w:r>
      <w:r w:rsidR="00BE28BF">
        <w:rPr>
          <w:iCs/>
          <w:lang w:val="fr-BE"/>
        </w:rPr>
        <w:t xml:space="preserve">fonction conversationnelle de la revue, qu’accroît sa mise en réseau — Guédon parlait à cet égard d’une </w:t>
      </w:r>
      <w:r w:rsidR="00BE28BF">
        <w:rPr>
          <w:i/>
          <w:lang w:val="fr-BE"/>
        </w:rPr>
        <w:t>grande conversation scientifique</w:t>
      </w:r>
      <w:r w:rsidR="005C4DE4">
        <w:rPr>
          <w:i/>
          <w:lang w:val="fr-BE"/>
        </w:rPr>
        <w:t xml:space="preserve"> </w:t>
      </w:r>
      <w:r w:rsidR="000020DB" w:rsidRPr="000020DB">
        <w:rPr>
          <w:rFonts w:cs="Times New Roman"/>
          <w:szCs w:val="24"/>
        </w:rPr>
        <w:t>(</w:t>
      </w:r>
      <w:proofErr w:type="spellStart"/>
      <w:r w:rsidR="000020DB" w:rsidRPr="000020DB">
        <w:rPr>
          <w:rFonts w:cs="Times New Roman"/>
          <w:szCs w:val="24"/>
        </w:rPr>
        <w:t>Guédon</w:t>
      </w:r>
      <w:proofErr w:type="spellEnd"/>
      <w:r w:rsidR="000020DB" w:rsidRPr="000020DB">
        <w:rPr>
          <w:rFonts w:cs="Times New Roman"/>
          <w:szCs w:val="24"/>
        </w:rPr>
        <w:t>, 2014)</w:t>
      </w:r>
      <w:r w:rsidR="00BE28BF">
        <w:rPr>
          <w:i/>
          <w:lang w:val="fr-BE"/>
        </w:rPr>
        <w:t xml:space="preserve"> </w:t>
      </w:r>
      <w:r w:rsidR="00BE28BF">
        <w:rPr>
          <w:iCs/>
          <w:lang w:val="fr-BE"/>
        </w:rPr>
        <w:t>— permet de prolonger la</w:t>
      </w:r>
      <w:r w:rsidR="00882484">
        <w:rPr>
          <w:iCs/>
          <w:lang w:val="fr-BE"/>
        </w:rPr>
        <w:t xml:space="preserve"> </w:t>
      </w:r>
      <w:r w:rsidR="00BE28BF">
        <w:rPr>
          <w:iCs/>
          <w:lang w:val="fr-BE"/>
        </w:rPr>
        <w:t>communication scientifique</w:t>
      </w:r>
      <w:r w:rsidR="005E6079">
        <w:rPr>
          <w:iCs/>
          <w:lang w:val="fr-BE"/>
        </w:rPr>
        <w:t xml:space="preserve"> </w:t>
      </w:r>
      <w:r w:rsidR="005E6079">
        <w:rPr>
          <w:iCs/>
          <w:lang w:val="fr-BE"/>
        </w:rPr>
        <w:lastRenderedPageBreak/>
        <w:t xml:space="preserve">dans d’autres espaces numériques, </w:t>
      </w:r>
      <w:r w:rsidR="0032624A">
        <w:rPr>
          <w:iCs/>
          <w:lang w:val="fr-BE"/>
        </w:rPr>
        <w:t>comme</w:t>
      </w:r>
      <w:r w:rsidR="005E6079">
        <w:rPr>
          <w:iCs/>
          <w:lang w:val="fr-BE"/>
        </w:rPr>
        <w:t xml:space="preserve"> des réseaux sociaux ou des sites dédiés. Aussi,</w:t>
      </w:r>
      <w:r w:rsidR="000A7F18">
        <w:rPr>
          <w:iCs/>
          <w:lang w:val="fr-BE"/>
        </w:rPr>
        <w:t xml:space="preserve"> </w:t>
      </w:r>
      <w:r w:rsidR="005E6079">
        <w:rPr>
          <w:iCs/>
          <w:lang w:val="fr-BE"/>
        </w:rPr>
        <w:t>certaines revues</w:t>
      </w:r>
      <w:r w:rsidR="00176B92">
        <w:rPr>
          <w:iCs/>
          <w:lang w:val="fr-BE"/>
        </w:rPr>
        <w:t xml:space="preserve"> </w:t>
      </w:r>
      <w:r w:rsidR="000A7F18">
        <w:rPr>
          <w:iCs/>
          <w:lang w:val="fr-BE"/>
        </w:rPr>
        <w:t>animent-elles un</w:t>
      </w:r>
      <w:r w:rsidR="005E6079">
        <w:rPr>
          <w:iCs/>
          <w:lang w:val="fr-BE"/>
        </w:rPr>
        <w:t xml:space="preserve"> carnet</w:t>
      </w:r>
      <w:r w:rsidR="005E6079" w:rsidRPr="008209A7">
        <w:rPr>
          <w:iCs/>
          <w:lang w:val="fr-BE"/>
        </w:rPr>
        <w:t xml:space="preserve"> de recherche sur</w:t>
      </w:r>
      <w:r w:rsidR="005E6079">
        <w:rPr>
          <w:iCs/>
          <w:lang w:val="fr-BE"/>
        </w:rPr>
        <w:t xml:space="preserve"> la plateforme</w:t>
      </w:r>
      <w:r w:rsidR="005E6079" w:rsidRPr="008209A7">
        <w:rPr>
          <w:iCs/>
          <w:lang w:val="fr-BE"/>
        </w:rPr>
        <w:t xml:space="preserve"> </w:t>
      </w:r>
      <w:r w:rsidR="005E6079" w:rsidRPr="00AA1911">
        <w:rPr>
          <w:i/>
          <w:lang w:val="fr-BE"/>
        </w:rPr>
        <w:t>Hypotheses.org</w:t>
      </w:r>
      <w:r w:rsidR="000351DF">
        <w:rPr>
          <w:i/>
          <w:lang w:val="fr-BE"/>
        </w:rPr>
        <w:t xml:space="preserve"> </w:t>
      </w:r>
      <w:r w:rsidR="00DA0377">
        <w:rPr>
          <w:iCs/>
          <w:lang w:val="fr-BE"/>
        </w:rPr>
        <w:t>du</w:t>
      </w:r>
      <w:r w:rsidR="000351DF">
        <w:rPr>
          <w:iCs/>
          <w:lang w:val="fr-BE"/>
        </w:rPr>
        <w:t xml:space="preserve"> portail </w:t>
      </w:r>
      <w:r w:rsidR="000351DF" w:rsidRPr="000351DF">
        <w:rPr>
          <w:i/>
          <w:lang w:val="fr-BE"/>
        </w:rPr>
        <w:t>O</w:t>
      </w:r>
      <w:r w:rsidR="00E32DCF">
        <w:rPr>
          <w:i/>
          <w:lang w:val="fr-BE"/>
        </w:rPr>
        <w:t>E</w:t>
      </w:r>
      <w:r w:rsidR="005E6079">
        <w:rPr>
          <w:lang w:val="fr-BE"/>
        </w:rPr>
        <w:t xml:space="preserve">. </w:t>
      </w:r>
      <w:proofErr w:type="spellStart"/>
      <w:r w:rsidR="005073F7">
        <w:t>Toutefois</w:t>
      </w:r>
      <w:proofErr w:type="spellEnd"/>
      <w:r w:rsidR="005E0BF0" w:rsidRPr="005B3C85">
        <w:t xml:space="preserve">, </w:t>
      </w:r>
      <w:proofErr w:type="spellStart"/>
      <w:r w:rsidR="005E0BF0" w:rsidRPr="005B3C85">
        <w:t>il</w:t>
      </w:r>
      <w:proofErr w:type="spellEnd"/>
      <w:r w:rsidR="005E0BF0" w:rsidRPr="005B3C85">
        <w:t xml:space="preserve"> </w:t>
      </w:r>
      <w:proofErr w:type="spellStart"/>
      <w:r w:rsidR="005E0BF0" w:rsidRPr="005B3C85">
        <w:t>convient</w:t>
      </w:r>
      <w:proofErr w:type="spellEnd"/>
      <w:r w:rsidR="005E0BF0" w:rsidRPr="005B3C85">
        <w:t xml:space="preserve"> </w:t>
      </w:r>
      <w:proofErr w:type="spellStart"/>
      <w:r w:rsidR="002F4A8A">
        <w:t>d’emblée</w:t>
      </w:r>
      <w:proofErr w:type="spellEnd"/>
      <w:r w:rsidR="002F4A8A">
        <w:t xml:space="preserve"> </w:t>
      </w:r>
      <w:r w:rsidR="005E0BF0" w:rsidRPr="005B3C85">
        <w:t xml:space="preserve">de </w:t>
      </w:r>
      <w:proofErr w:type="spellStart"/>
      <w:r w:rsidR="005E0BF0" w:rsidRPr="005B3C85">
        <w:t>nuancer</w:t>
      </w:r>
      <w:proofErr w:type="spellEnd"/>
      <w:r w:rsidR="005E0BF0" w:rsidRPr="005B3C85">
        <w:t xml:space="preserve"> le </w:t>
      </w:r>
      <w:proofErr w:type="spellStart"/>
      <w:r w:rsidR="005E0BF0" w:rsidRPr="005B3C85">
        <w:t>constat</w:t>
      </w:r>
      <w:proofErr w:type="spellEnd"/>
      <w:r w:rsidR="005E0BF0" w:rsidRPr="005B3C85">
        <w:t xml:space="preserve"> un </w:t>
      </w:r>
      <w:proofErr w:type="spellStart"/>
      <w:r w:rsidR="005E0BF0" w:rsidRPr="005B3C85">
        <w:t>peu</w:t>
      </w:r>
      <w:proofErr w:type="spellEnd"/>
      <w:r w:rsidR="005E0BF0" w:rsidRPr="005B3C85">
        <w:t xml:space="preserve"> </w:t>
      </w:r>
      <w:proofErr w:type="spellStart"/>
      <w:r w:rsidR="005E0BF0" w:rsidRPr="005B3C85">
        <w:t>rapide</w:t>
      </w:r>
      <w:proofErr w:type="spellEnd"/>
      <w:r w:rsidR="005E0BF0" w:rsidRPr="005B3C85">
        <w:t xml:space="preserve"> </w:t>
      </w:r>
      <w:proofErr w:type="spellStart"/>
      <w:r w:rsidR="005E0BF0" w:rsidRPr="005B3C85">
        <w:t>opéré</w:t>
      </w:r>
      <w:proofErr w:type="spellEnd"/>
      <w:r w:rsidR="005E0BF0" w:rsidRPr="005B3C85">
        <w:t xml:space="preserve"> par </w:t>
      </w:r>
      <w:proofErr w:type="spellStart"/>
      <w:r w:rsidR="005E0BF0" w:rsidRPr="005B3C85">
        <w:t>Hage</w:t>
      </w:r>
      <w:proofErr w:type="spellEnd"/>
      <w:r w:rsidR="005B55EF">
        <w:t xml:space="preserve"> </w:t>
      </w:r>
      <w:proofErr w:type="spellStart"/>
      <w:r w:rsidR="005B55EF">
        <w:t>selon</w:t>
      </w:r>
      <w:proofErr w:type="spellEnd"/>
      <w:r w:rsidR="005B55EF">
        <w:t xml:space="preserve"> </w:t>
      </w:r>
      <w:proofErr w:type="spellStart"/>
      <w:r w:rsidR="005B55EF">
        <w:t>l</w:t>
      </w:r>
      <w:r w:rsidR="002F4A8A">
        <w:t>e</w:t>
      </w:r>
      <w:r w:rsidR="005B55EF">
        <w:t>quel</w:t>
      </w:r>
      <w:proofErr w:type="spellEnd"/>
      <w:r w:rsidR="005E0BF0" w:rsidRPr="005B3C85">
        <w:t xml:space="preserve"> </w:t>
      </w:r>
      <w:r w:rsidR="002F4A8A">
        <w:rPr>
          <w:lang w:val="fr-BE"/>
        </w:rPr>
        <w:t>« </w:t>
      </w:r>
      <w:r w:rsidR="002F4A8A">
        <w:t>l</w:t>
      </w:r>
      <w:r w:rsidR="005E0BF0" w:rsidRPr="005B3C85">
        <w:t xml:space="preserve">a </w:t>
      </w:r>
      <w:proofErr w:type="spellStart"/>
      <w:r w:rsidR="005E0BF0" w:rsidRPr="005B3C85">
        <w:t>plupart</w:t>
      </w:r>
      <w:proofErr w:type="spellEnd"/>
      <w:r w:rsidR="005E0BF0" w:rsidRPr="005B3C85">
        <w:t xml:space="preserve"> des revues</w:t>
      </w:r>
      <w:r w:rsidR="005B55EF">
        <w:t xml:space="preserve"> [se </w:t>
      </w:r>
      <w:proofErr w:type="spellStart"/>
      <w:r w:rsidR="005B55EF">
        <w:t>dotent</w:t>
      </w:r>
      <w:proofErr w:type="spellEnd"/>
      <w:r w:rsidR="005B55EF">
        <w:t xml:space="preserve"> d’un carnet]</w:t>
      </w:r>
      <w:r w:rsidR="005E0BF0" w:rsidRPr="005B3C85">
        <w:t xml:space="preserve"> </w:t>
      </w:r>
      <w:proofErr w:type="spellStart"/>
      <w:r w:rsidR="005E0BF0" w:rsidRPr="005B3C85">
        <w:t>afin</w:t>
      </w:r>
      <w:proofErr w:type="spellEnd"/>
      <w:r w:rsidR="005E0BF0" w:rsidRPr="005B3C85">
        <w:t xml:space="preserve"> de </w:t>
      </w:r>
      <w:proofErr w:type="spellStart"/>
      <w:r w:rsidR="005E0BF0" w:rsidRPr="005B3C85">
        <w:t>compléter</w:t>
      </w:r>
      <w:proofErr w:type="spellEnd"/>
      <w:r w:rsidR="005E0BF0" w:rsidRPr="005B3C85">
        <w:t xml:space="preserve"> </w:t>
      </w:r>
      <w:proofErr w:type="spellStart"/>
      <w:r w:rsidR="005E0BF0" w:rsidRPr="005B3C85">
        <w:t>leur</w:t>
      </w:r>
      <w:proofErr w:type="spellEnd"/>
      <w:r w:rsidR="005E0BF0" w:rsidRPr="005B3C85">
        <w:t xml:space="preserve"> </w:t>
      </w:r>
      <w:proofErr w:type="spellStart"/>
      <w:r w:rsidR="005E0BF0" w:rsidRPr="005B3C85">
        <w:t>dispositif</w:t>
      </w:r>
      <w:proofErr w:type="spellEnd"/>
      <w:r w:rsidR="005E0BF0" w:rsidRPr="005B3C85">
        <w:t xml:space="preserve"> </w:t>
      </w:r>
      <w:proofErr w:type="spellStart"/>
      <w:r w:rsidR="005E0BF0" w:rsidRPr="005B3C85">
        <w:t>éditorial</w:t>
      </w:r>
      <w:proofErr w:type="spellEnd"/>
      <w:r w:rsidR="005E0BF0" w:rsidRPr="005B3C85">
        <w:t xml:space="preserve"> et </w:t>
      </w:r>
      <w:proofErr w:type="spellStart"/>
      <w:r w:rsidR="005E0BF0" w:rsidRPr="005B3C85">
        <w:t>d’accompagner</w:t>
      </w:r>
      <w:proofErr w:type="spellEnd"/>
      <w:r w:rsidR="005E0BF0" w:rsidRPr="005B3C85">
        <w:t xml:space="preserve"> au plus </w:t>
      </w:r>
      <w:proofErr w:type="spellStart"/>
      <w:r w:rsidR="005E0BF0" w:rsidRPr="005B3C85">
        <w:t>près</w:t>
      </w:r>
      <w:proofErr w:type="spellEnd"/>
      <w:r w:rsidR="005E0BF0" w:rsidRPr="005B3C85">
        <w:t xml:space="preserve"> les </w:t>
      </w:r>
      <w:proofErr w:type="spellStart"/>
      <w:r w:rsidR="005E0BF0" w:rsidRPr="005B3C85">
        <w:t>recherches</w:t>
      </w:r>
      <w:proofErr w:type="spellEnd"/>
      <w:r w:rsidR="005E0BF0" w:rsidRPr="005B3C85">
        <w:t xml:space="preserve"> </w:t>
      </w:r>
      <w:proofErr w:type="spellStart"/>
      <w:r w:rsidR="005E0BF0" w:rsidRPr="005B3C85">
        <w:t>en</w:t>
      </w:r>
      <w:proofErr w:type="spellEnd"/>
      <w:r w:rsidR="005E0BF0" w:rsidRPr="005B3C85">
        <w:t xml:space="preserve"> </w:t>
      </w:r>
      <w:proofErr w:type="spellStart"/>
      <w:r w:rsidR="005E0BF0" w:rsidRPr="005B3C85">
        <w:t>cours</w:t>
      </w:r>
      <w:proofErr w:type="spellEnd"/>
      <w:r w:rsidR="005E0BF0" w:rsidRPr="005B3C85">
        <w:t xml:space="preserve"> </w:t>
      </w:r>
      <w:proofErr w:type="spellStart"/>
      <w:r w:rsidR="005E0BF0" w:rsidRPr="005B3C85">
        <w:t>en</w:t>
      </w:r>
      <w:proofErr w:type="spellEnd"/>
      <w:r w:rsidR="005E0BF0" w:rsidRPr="005B3C85">
        <w:t xml:space="preserve"> </w:t>
      </w:r>
      <w:proofErr w:type="spellStart"/>
      <w:r w:rsidR="005E0BF0" w:rsidRPr="005B3C85">
        <w:t>leur</w:t>
      </w:r>
      <w:proofErr w:type="spellEnd"/>
      <w:r w:rsidR="005E0BF0" w:rsidRPr="005B3C85">
        <w:t xml:space="preserve"> </w:t>
      </w:r>
      <w:proofErr w:type="spellStart"/>
      <w:r w:rsidR="005E0BF0" w:rsidRPr="005B3C85">
        <w:t>domaine</w:t>
      </w:r>
      <w:proofErr w:type="spellEnd"/>
      <w:r w:rsidR="005E0BF0" w:rsidRPr="005B3C85">
        <w:t>.</w:t>
      </w:r>
      <w:r w:rsidR="005B55EF">
        <w:t> </w:t>
      </w:r>
      <w:r w:rsidR="005E0BF0" w:rsidRPr="005B3C85">
        <w:t>»</w:t>
      </w:r>
      <w:r w:rsidR="005E0BF0">
        <w:t xml:space="preserve"> </w:t>
      </w:r>
      <w:r w:rsidR="000020DB" w:rsidRPr="000020DB">
        <w:rPr>
          <w:rFonts w:cs="Times New Roman"/>
        </w:rPr>
        <w:t>(</w:t>
      </w:r>
      <w:proofErr w:type="spellStart"/>
      <w:r w:rsidR="000020DB" w:rsidRPr="000020DB">
        <w:rPr>
          <w:rFonts w:cs="Times New Roman"/>
        </w:rPr>
        <w:t>Hage</w:t>
      </w:r>
      <w:proofErr w:type="spellEnd"/>
      <w:r w:rsidR="000020DB" w:rsidRPr="000020DB">
        <w:rPr>
          <w:rFonts w:cs="Times New Roman"/>
        </w:rPr>
        <w:t xml:space="preserve">, 2015, </w:t>
      </w:r>
      <w:proofErr w:type="spellStart"/>
      <w:r w:rsidR="000020DB" w:rsidRPr="000020DB">
        <w:rPr>
          <w:rFonts w:cs="Times New Roman"/>
        </w:rPr>
        <w:t>paragr</w:t>
      </w:r>
      <w:proofErr w:type="spellEnd"/>
      <w:r w:rsidR="000020DB" w:rsidRPr="000020DB">
        <w:rPr>
          <w:rFonts w:cs="Times New Roman"/>
        </w:rPr>
        <w:t>. 20)</w:t>
      </w:r>
      <w:r w:rsidR="005E0BF0">
        <w:t xml:space="preserve">. </w:t>
      </w:r>
      <w:proofErr w:type="spellStart"/>
      <w:r w:rsidR="005B55EF">
        <w:t>En</w:t>
      </w:r>
      <w:proofErr w:type="spellEnd"/>
      <w:r w:rsidR="005B55EF">
        <w:t xml:space="preserve"> </w:t>
      </w:r>
      <w:proofErr w:type="spellStart"/>
      <w:r w:rsidR="005B55EF">
        <w:t>effet</w:t>
      </w:r>
      <w:proofErr w:type="spellEnd"/>
      <w:r w:rsidR="005B55EF">
        <w:t xml:space="preserve">, nous </w:t>
      </w:r>
      <w:proofErr w:type="spellStart"/>
      <w:r w:rsidR="005B55EF">
        <w:t>répertorions</w:t>
      </w:r>
      <w:proofErr w:type="spellEnd"/>
      <w:r w:rsidR="005B55EF">
        <w:t xml:space="preserve"> un corpus de 37 carnets de revues </w:t>
      </w:r>
      <w:proofErr w:type="spellStart"/>
      <w:r w:rsidR="005B55EF">
        <w:t>actifs</w:t>
      </w:r>
      <w:proofErr w:type="spellEnd"/>
      <w:r w:rsidR="005B55EF">
        <w:t xml:space="preserve"> au </w:t>
      </w:r>
      <w:r w:rsidR="00E32DCF" w:rsidRPr="00ED6C92">
        <w:t>1</w:t>
      </w:r>
      <w:r w:rsidR="005B55EF" w:rsidRPr="00ED6C92">
        <w:t xml:space="preserve">er </w:t>
      </w:r>
      <w:proofErr w:type="spellStart"/>
      <w:r w:rsidR="005B55EF" w:rsidRPr="00ED6C92">
        <w:t>juillet</w:t>
      </w:r>
      <w:proofErr w:type="spellEnd"/>
      <w:r w:rsidR="005B55EF" w:rsidRPr="00ED6C92">
        <w:t xml:space="preserve"> 2020</w:t>
      </w:r>
      <w:r w:rsidR="005B55EF">
        <w:t xml:space="preserve"> </w:t>
      </w:r>
      <w:r w:rsidR="00846C10">
        <w:t>(</w:t>
      </w:r>
      <w:proofErr w:type="spellStart"/>
      <w:r w:rsidR="005B55EF">
        <w:t>suivant</w:t>
      </w:r>
      <w:proofErr w:type="spellEnd"/>
      <w:r w:rsidR="005B55EF">
        <w:t xml:space="preserve"> les </w:t>
      </w:r>
      <w:proofErr w:type="spellStart"/>
      <w:r w:rsidR="005B55EF">
        <w:t>critères</w:t>
      </w:r>
      <w:proofErr w:type="spellEnd"/>
      <w:r w:rsidR="005B55EF">
        <w:t xml:space="preserve"> </w:t>
      </w:r>
      <w:r w:rsidR="00846C10">
        <w:t xml:space="preserve">que nous </w:t>
      </w:r>
      <w:proofErr w:type="spellStart"/>
      <w:r w:rsidR="005B55EF">
        <w:t>définis</w:t>
      </w:r>
      <w:r w:rsidR="00846C10">
        <w:t>sons</w:t>
      </w:r>
      <w:proofErr w:type="spellEnd"/>
      <w:r w:rsidR="005B55EF">
        <w:t xml:space="preserve"> ci-dessous</w:t>
      </w:r>
      <w:r w:rsidR="00846C10">
        <w:t>)</w:t>
      </w:r>
      <w:r w:rsidR="005B55EF">
        <w:t xml:space="preserve">, </w:t>
      </w:r>
      <w:proofErr w:type="spellStart"/>
      <w:r w:rsidR="00B26DE4">
        <w:t>tandis</w:t>
      </w:r>
      <w:proofErr w:type="spellEnd"/>
      <w:r w:rsidR="00B26DE4">
        <w:t xml:space="preserve"> </w:t>
      </w:r>
      <w:proofErr w:type="spellStart"/>
      <w:r w:rsidR="00B26DE4">
        <w:t>qu’un</w:t>
      </w:r>
      <w:proofErr w:type="spellEnd"/>
      <w:r w:rsidR="00B26DE4">
        <w:t xml:space="preserve"> </w:t>
      </w:r>
      <w:r w:rsidR="005B55EF">
        <w:t>total de 552 revues</w:t>
      </w:r>
      <w:r w:rsidR="004010BE">
        <w:t xml:space="preserve"> </w:t>
      </w:r>
      <w:proofErr w:type="spellStart"/>
      <w:r w:rsidR="00B26DE4">
        <w:t>sont</w:t>
      </w:r>
      <w:proofErr w:type="spellEnd"/>
      <w:r w:rsidR="00B26DE4">
        <w:t xml:space="preserve"> </w:t>
      </w:r>
      <w:proofErr w:type="spellStart"/>
      <w:r w:rsidR="004010BE">
        <w:t>diffusées</w:t>
      </w:r>
      <w:proofErr w:type="spellEnd"/>
      <w:r w:rsidR="004010BE">
        <w:t xml:space="preserve"> sur </w:t>
      </w:r>
      <w:r w:rsidR="004010BE" w:rsidRPr="004010BE">
        <w:rPr>
          <w:i/>
          <w:iCs/>
        </w:rPr>
        <w:t>O</w:t>
      </w:r>
      <w:r w:rsidR="00E32DCF">
        <w:rPr>
          <w:i/>
          <w:iCs/>
        </w:rPr>
        <w:t>E</w:t>
      </w:r>
      <w:r w:rsidR="004010BE">
        <w:t>,</w:t>
      </w:r>
      <w:r w:rsidR="005B55EF">
        <w:t xml:space="preserve"> </w:t>
      </w:r>
      <w:proofErr w:type="spellStart"/>
      <w:r w:rsidR="005B55EF">
        <w:t>dont</w:t>
      </w:r>
      <w:proofErr w:type="spellEnd"/>
      <w:r w:rsidR="005B55EF">
        <w:t xml:space="preserve"> 427</w:t>
      </w:r>
      <w:r w:rsidR="00024F95">
        <w:t xml:space="preserve"> </w:t>
      </w:r>
      <w:proofErr w:type="spellStart"/>
      <w:r w:rsidR="00024F95">
        <w:t>animées</w:t>
      </w:r>
      <w:proofErr w:type="spellEnd"/>
      <w:r w:rsidR="00024F95">
        <w:t xml:space="preserve"> par des </w:t>
      </w:r>
      <w:proofErr w:type="spellStart"/>
      <w:r w:rsidR="00024F95">
        <w:t>équipes</w:t>
      </w:r>
      <w:proofErr w:type="spellEnd"/>
      <w:r w:rsidR="00024F95">
        <w:t xml:space="preserve"> </w:t>
      </w:r>
      <w:proofErr w:type="spellStart"/>
      <w:r w:rsidR="00024F95">
        <w:t>éditoriales</w:t>
      </w:r>
      <w:proofErr w:type="spellEnd"/>
      <w:r w:rsidR="00024F95">
        <w:t xml:space="preserve"> </w:t>
      </w:r>
      <w:proofErr w:type="spellStart"/>
      <w:r w:rsidR="00024F95">
        <w:t>françaises</w:t>
      </w:r>
      <w:proofErr w:type="spellEnd"/>
      <w:r w:rsidR="0080751B">
        <w:t>,</w:t>
      </w:r>
      <w:r w:rsidR="00024F95">
        <w:t xml:space="preserve"> pour </w:t>
      </w:r>
      <w:proofErr w:type="spellStart"/>
      <w:r w:rsidR="00024F95">
        <w:t>l’année</w:t>
      </w:r>
      <w:proofErr w:type="spellEnd"/>
      <w:r w:rsidR="00024F95">
        <w:t xml:space="preserve"> 2020</w:t>
      </w:r>
      <w:r w:rsidR="00024F95" w:rsidRPr="004166B2">
        <w:rPr>
          <w:rStyle w:val="Appelnotedebasdep"/>
        </w:rPr>
        <w:footnoteReference w:id="4"/>
      </w:r>
      <w:r w:rsidR="00024F95">
        <w:t>.</w:t>
      </w:r>
      <w:r w:rsidR="00D80623">
        <w:t xml:space="preserve"> Par </w:t>
      </w:r>
      <w:proofErr w:type="spellStart"/>
      <w:r w:rsidR="00D80623">
        <w:t>ailleurs</w:t>
      </w:r>
      <w:proofErr w:type="spellEnd"/>
      <w:r w:rsidR="00D80623">
        <w:t>, l</w:t>
      </w:r>
      <w:r w:rsidR="005E6079">
        <w:rPr>
          <w:lang w:val="fr-BE"/>
        </w:rPr>
        <w:t xml:space="preserve">e catalogue des carnets de recherche </w:t>
      </w:r>
      <w:r w:rsidR="00516F7D">
        <w:rPr>
          <w:lang w:val="fr-BE"/>
        </w:rPr>
        <w:t>témoigne de</w:t>
      </w:r>
      <w:r w:rsidR="005E6079">
        <w:rPr>
          <w:lang w:val="fr-BE"/>
        </w:rPr>
        <w:t xml:space="preserve"> l’adossement de blogs à des revues n’existant qu’au format imprimé ou disponibles sur d’autres portails éditoriaux. </w:t>
      </w:r>
      <w:r w:rsidR="00D80623">
        <w:rPr>
          <w:lang w:val="fr-BE"/>
        </w:rPr>
        <w:t>L’hypothèse d’un investissement massif</w:t>
      </w:r>
      <w:r w:rsidR="0080751B">
        <w:rPr>
          <w:lang w:val="fr-BE"/>
        </w:rPr>
        <w:t xml:space="preserve"> des carnets d’accompagnement éditorial par les revues du portail </w:t>
      </w:r>
      <w:r w:rsidR="0080751B" w:rsidRPr="00ED7D56">
        <w:rPr>
          <w:i/>
          <w:iCs/>
          <w:lang w:val="fr-BE"/>
        </w:rPr>
        <w:t>O</w:t>
      </w:r>
      <w:r w:rsidR="00E32DCF">
        <w:rPr>
          <w:i/>
          <w:iCs/>
          <w:lang w:val="fr-BE"/>
        </w:rPr>
        <w:t>E</w:t>
      </w:r>
      <w:r w:rsidR="001A1056">
        <w:rPr>
          <w:lang w:val="fr-BE"/>
        </w:rPr>
        <w:t xml:space="preserve"> </w:t>
      </w:r>
      <w:r w:rsidR="00B62250">
        <w:rPr>
          <w:lang w:val="fr-BE"/>
        </w:rPr>
        <w:t>ne reflète</w:t>
      </w:r>
      <w:r w:rsidR="00F67CC2">
        <w:rPr>
          <w:lang w:val="fr-BE"/>
        </w:rPr>
        <w:t xml:space="preserve"> donc</w:t>
      </w:r>
      <w:r w:rsidR="00B62250">
        <w:rPr>
          <w:lang w:val="fr-BE"/>
        </w:rPr>
        <w:t xml:space="preserve"> pas les pratiques observées</w:t>
      </w:r>
      <w:r w:rsidR="001A1056">
        <w:rPr>
          <w:lang w:val="fr-BE"/>
        </w:rPr>
        <w:t xml:space="preserve">, et paraît davantage </w:t>
      </w:r>
      <w:proofErr w:type="spellStart"/>
      <w:r w:rsidR="001A1056">
        <w:t>relever</w:t>
      </w:r>
      <w:proofErr w:type="spellEnd"/>
      <w:r w:rsidR="001A1056">
        <w:t xml:space="preserve"> d</w:t>
      </w:r>
      <w:r w:rsidR="000351DF">
        <w:t>es</w:t>
      </w:r>
      <w:r w:rsidR="001A1056">
        <w:t xml:space="preserve"> </w:t>
      </w:r>
      <w:proofErr w:type="spellStart"/>
      <w:r w:rsidR="001A1056">
        <w:t>discours</w:t>
      </w:r>
      <w:proofErr w:type="spellEnd"/>
      <w:r w:rsidR="001A1056">
        <w:t xml:space="preserve"> </w:t>
      </w:r>
      <w:proofErr w:type="spellStart"/>
      <w:r w:rsidR="001A1056">
        <w:t>d’accompagnement</w:t>
      </w:r>
      <w:proofErr w:type="spellEnd"/>
      <w:r w:rsidR="001A1056">
        <w:t xml:space="preserve"> de la science ouverte</w:t>
      </w:r>
      <w:r w:rsidR="00D80623" w:rsidRPr="00CE1782">
        <w:rPr>
          <w:lang w:val="fr-BE"/>
        </w:rPr>
        <w:t xml:space="preserve">. </w:t>
      </w:r>
      <w:r w:rsidR="00D80623" w:rsidRPr="00AC0F94">
        <w:rPr>
          <w:lang w:val="fr-BE"/>
        </w:rPr>
        <w:t>En revanche, no</w:t>
      </w:r>
      <w:r w:rsidR="005E6079" w:rsidRPr="00AC0F94">
        <w:rPr>
          <w:lang w:val="fr-BE"/>
        </w:rPr>
        <w:t xml:space="preserve">tre hypothèse </w:t>
      </w:r>
      <w:r w:rsidR="00D80623" w:rsidRPr="00AC0F94">
        <w:rPr>
          <w:lang w:val="fr-BE"/>
        </w:rPr>
        <w:t>sera</w:t>
      </w:r>
      <w:r w:rsidR="005E6079" w:rsidRPr="00AC0F94">
        <w:rPr>
          <w:lang w:val="fr-BE"/>
        </w:rPr>
        <w:t xml:space="preserve"> que ces carnets accompagnant la publication d’un périodique, numérique et/ou imprimé, participent d’une nouvelle modalité du </w:t>
      </w:r>
      <w:r w:rsidR="005E6079" w:rsidRPr="00AC0F94">
        <w:rPr>
          <w:i/>
          <w:lang w:val="fr-BE"/>
        </w:rPr>
        <w:t>faire revue</w:t>
      </w:r>
      <w:r w:rsidR="005E6079" w:rsidRPr="00AC0F94">
        <w:rPr>
          <w:lang w:val="fr-BE"/>
        </w:rPr>
        <w:t xml:space="preserve"> </w:t>
      </w:r>
      <w:r w:rsidR="00223511" w:rsidRPr="00223511">
        <w:rPr>
          <w:rFonts w:cs="Times New Roman"/>
        </w:rPr>
        <w:t>(</w:t>
      </w:r>
      <w:proofErr w:type="spellStart"/>
      <w:r w:rsidR="00223511" w:rsidRPr="00223511">
        <w:rPr>
          <w:rFonts w:cs="Times New Roman"/>
        </w:rPr>
        <w:t>Damerdji</w:t>
      </w:r>
      <w:proofErr w:type="spellEnd"/>
      <w:r w:rsidR="00223511" w:rsidRPr="00223511">
        <w:rPr>
          <w:rFonts w:cs="Times New Roman"/>
        </w:rPr>
        <w:t xml:space="preserve"> et al., 2018)</w:t>
      </w:r>
      <w:r w:rsidR="00CE1782" w:rsidRPr="00AC0F94">
        <w:rPr>
          <w:rFonts w:cs="Times New Roman"/>
          <w:lang w:val="fr-BE"/>
        </w:rPr>
        <w:t xml:space="preserve"> en ce qu’elles participent d’une volonté d</w:t>
      </w:r>
      <w:r w:rsidR="005839A1">
        <w:rPr>
          <w:rFonts w:cs="Times New Roman"/>
          <w:lang w:val="fr-BE"/>
        </w:rPr>
        <w:t xml:space="preserve">’initier ou de </w:t>
      </w:r>
      <w:r w:rsidR="00CE1782" w:rsidRPr="00AC0F94">
        <w:rPr>
          <w:rFonts w:cs="Times New Roman"/>
          <w:lang w:val="fr-BE"/>
        </w:rPr>
        <w:t>renforcer leur présence</w:t>
      </w:r>
      <w:r w:rsidR="005839A1">
        <w:rPr>
          <w:rFonts w:cs="Times New Roman"/>
          <w:lang w:val="fr-BE"/>
        </w:rPr>
        <w:t xml:space="preserve"> éditoriale en ligne en </w:t>
      </w:r>
      <w:r w:rsidR="00BD06A0">
        <w:rPr>
          <w:rFonts w:cs="Times New Roman"/>
          <w:lang w:val="fr-BE"/>
        </w:rPr>
        <w:t>publiant</w:t>
      </w:r>
      <w:r w:rsidR="005839A1">
        <w:rPr>
          <w:rFonts w:cs="Times New Roman"/>
          <w:lang w:val="fr-BE"/>
        </w:rPr>
        <w:t xml:space="preserve"> </w:t>
      </w:r>
      <w:r w:rsidR="00BD06A0">
        <w:rPr>
          <w:rFonts w:cs="Times New Roman"/>
          <w:lang w:val="fr-BE"/>
        </w:rPr>
        <w:t>sur une plateforme</w:t>
      </w:r>
      <w:r w:rsidR="00E01C69">
        <w:rPr>
          <w:rFonts w:cs="Times New Roman"/>
          <w:lang w:val="fr-BE"/>
        </w:rPr>
        <w:t xml:space="preserve"> institutionnelle</w:t>
      </w:r>
      <w:r w:rsidR="005839A1">
        <w:rPr>
          <w:rFonts w:cs="Times New Roman"/>
          <w:lang w:val="fr-BE"/>
        </w:rPr>
        <w:t xml:space="preserve"> susceptible de toucher un public plus large</w:t>
      </w:r>
      <w:r w:rsidR="00CE1782" w:rsidRPr="00AC0F94">
        <w:rPr>
          <w:rFonts w:cs="Times New Roman"/>
          <w:lang w:val="fr-BE"/>
        </w:rPr>
        <w:t>. À</w:t>
      </w:r>
      <w:r w:rsidR="005E6079" w:rsidRPr="00AC0F94">
        <w:rPr>
          <w:lang w:val="fr-BE"/>
        </w:rPr>
        <w:t xml:space="preserve"> ce titre, </w:t>
      </w:r>
      <w:r w:rsidR="00CE1782" w:rsidRPr="00AC0F94">
        <w:rPr>
          <w:lang w:val="fr-BE"/>
        </w:rPr>
        <w:t xml:space="preserve">ils </w:t>
      </w:r>
      <w:r w:rsidR="005E6079" w:rsidRPr="00AC0F94">
        <w:rPr>
          <w:lang w:val="fr-BE"/>
        </w:rPr>
        <w:t>sont à étudier dans les rapports de complémentarité qu’ils entretiennent avec la revue qu’ils escortent.</w:t>
      </w:r>
    </w:p>
    <w:p w14:paraId="115224BC" w14:textId="12EDC1C1" w:rsidR="005E6079" w:rsidRDefault="005E6079" w:rsidP="00EF6DF6">
      <w:pPr>
        <w:jc w:val="both"/>
        <w:rPr>
          <w:lang w:val="fr-BE"/>
        </w:rPr>
      </w:pPr>
      <w:r>
        <w:rPr>
          <w:lang w:val="fr-BE"/>
        </w:rPr>
        <w:t xml:space="preserve">Inscrite dans la problématique générale des recherches menées </w:t>
      </w:r>
      <w:r w:rsidR="008D4186">
        <w:rPr>
          <w:lang w:val="fr-BE"/>
        </w:rPr>
        <w:t xml:space="preserve">dans </w:t>
      </w:r>
      <w:r>
        <w:rPr>
          <w:lang w:val="fr-BE"/>
        </w:rPr>
        <w:t>le cadre du projet HYCAR</w:t>
      </w:r>
      <w:r w:rsidRPr="004166B2">
        <w:rPr>
          <w:rStyle w:val="Appelnotedebasdep"/>
        </w:rPr>
        <w:footnoteReference w:id="5"/>
      </w:r>
      <w:r>
        <w:rPr>
          <w:lang w:val="fr-BE"/>
        </w:rPr>
        <w:t xml:space="preserve"> </w:t>
      </w:r>
      <w:r w:rsidR="00AC0F94">
        <w:rPr>
          <w:lang w:val="fr-BE"/>
        </w:rPr>
        <w:t xml:space="preserve">(Prime-Claverie et </w:t>
      </w:r>
      <w:proofErr w:type="spellStart"/>
      <w:r w:rsidR="00AC0F94">
        <w:rPr>
          <w:lang w:val="fr-BE"/>
        </w:rPr>
        <w:t>Poupardin</w:t>
      </w:r>
      <w:proofErr w:type="spellEnd"/>
      <w:r w:rsidR="00AC0F94">
        <w:rPr>
          <w:lang w:val="fr-BE"/>
        </w:rPr>
        <w:t xml:space="preserve">, </w:t>
      </w:r>
      <w:r w:rsidR="00F92B62">
        <w:rPr>
          <w:lang w:val="fr-BE"/>
        </w:rPr>
        <w:t>à paraître</w:t>
      </w:r>
      <w:r w:rsidR="00AC0F94">
        <w:rPr>
          <w:lang w:val="fr-BE"/>
        </w:rPr>
        <w:t xml:space="preserve">) </w:t>
      </w:r>
      <w:r>
        <w:rPr>
          <w:lang w:val="fr-BE"/>
        </w:rPr>
        <w:t xml:space="preserve">sur la présence numérique des carnets de recherche, notre enquête vise à mettre en lumière la manière dont les carnets interviennent dans l’animation de la revue hors de son lieu d’inscription originel. </w:t>
      </w:r>
      <w:r w:rsidR="00AB290C">
        <w:rPr>
          <w:lang w:val="fr-BE"/>
        </w:rPr>
        <w:t xml:space="preserve">Nous suivons en cela une analyse de la revue comme objet éditorial prenant en compte sa matérialité, en ce compris </w:t>
      </w:r>
      <w:proofErr w:type="spellStart"/>
      <w:r w:rsidR="00AB290C">
        <w:rPr>
          <w:lang w:val="fr-BE"/>
        </w:rPr>
        <w:t>paratextuelle</w:t>
      </w:r>
      <w:proofErr w:type="spellEnd"/>
      <w:r w:rsidR="005F7C43">
        <w:rPr>
          <w:lang w:val="fr-BE"/>
        </w:rPr>
        <w:t xml:space="preserve"> </w:t>
      </w:r>
      <w:r w:rsidR="000976EF" w:rsidRPr="000976EF">
        <w:rPr>
          <w:rFonts w:cs="Times New Roman"/>
          <w:szCs w:val="24"/>
        </w:rPr>
        <w:t>(</w:t>
      </w:r>
      <w:proofErr w:type="spellStart"/>
      <w:r w:rsidR="000976EF" w:rsidRPr="000976EF">
        <w:rPr>
          <w:rFonts w:cs="Times New Roman"/>
          <w:szCs w:val="24"/>
        </w:rPr>
        <w:t>Tesnière</w:t>
      </w:r>
      <w:proofErr w:type="spellEnd"/>
      <w:r w:rsidR="000976EF" w:rsidRPr="000976EF">
        <w:rPr>
          <w:rFonts w:cs="Times New Roman"/>
          <w:szCs w:val="24"/>
        </w:rPr>
        <w:t>, 2021)</w:t>
      </w:r>
      <w:r w:rsidR="00AB290C" w:rsidRPr="004E1CF4">
        <w:rPr>
          <w:rFonts w:cs="Times New Roman"/>
          <w:szCs w:val="24"/>
          <w:lang w:val="fr-BE"/>
        </w:rPr>
        <w:t>.</w:t>
      </w:r>
      <w:r w:rsidR="00FD0D57">
        <w:rPr>
          <w:rFonts w:cs="Times New Roman"/>
          <w:szCs w:val="24"/>
          <w:lang w:val="fr-BE"/>
        </w:rPr>
        <w:t xml:space="preserve"> On</w:t>
      </w:r>
      <w:r w:rsidR="00AB290C">
        <w:rPr>
          <w:lang w:val="fr-BE"/>
        </w:rPr>
        <w:t xml:space="preserve"> </w:t>
      </w:r>
      <w:r>
        <w:rPr>
          <w:iCs/>
          <w:lang w:val="fr-BE"/>
        </w:rPr>
        <w:t xml:space="preserve">s'interrogera plus précisément </w:t>
      </w:r>
      <w:r w:rsidRPr="008209A7">
        <w:rPr>
          <w:iCs/>
          <w:lang w:val="fr-BE"/>
        </w:rPr>
        <w:t>sur la fonction éditoriale de ces carnets, à savoir ce que la diffusion de contenus complémentaires dans un ca</w:t>
      </w:r>
      <w:r>
        <w:rPr>
          <w:iCs/>
          <w:lang w:val="fr-BE"/>
        </w:rPr>
        <w:t>rnet de recherche voulu comme « </w:t>
      </w:r>
      <w:r w:rsidRPr="008209A7">
        <w:rPr>
          <w:iCs/>
          <w:lang w:val="fr-BE"/>
        </w:rPr>
        <w:t>espace d'une communication scientifique décentrée</w:t>
      </w:r>
      <w:r>
        <w:rPr>
          <w:iCs/>
          <w:lang w:val="fr-BE"/>
        </w:rPr>
        <w:t> »</w:t>
      </w:r>
      <w:r w:rsidR="00BC7553">
        <w:rPr>
          <w:iCs/>
          <w:lang w:val="fr-BE"/>
        </w:rPr>
        <w:t xml:space="preserve"> </w:t>
      </w:r>
      <w:r w:rsidR="00BC7553" w:rsidRPr="00BC7553">
        <w:rPr>
          <w:rFonts w:cs="Times New Roman"/>
        </w:rPr>
        <w:t>(</w:t>
      </w:r>
      <w:proofErr w:type="spellStart"/>
      <w:r w:rsidR="00BC7553" w:rsidRPr="00BC7553">
        <w:rPr>
          <w:rFonts w:cs="Times New Roman"/>
        </w:rPr>
        <w:t>Dacos</w:t>
      </w:r>
      <w:proofErr w:type="spellEnd"/>
      <w:r w:rsidR="00BC7553" w:rsidRPr="00BC7553">
        <w:rPr>
          <w:rFonts w:cs="Times New Roman"/>
        </w:rPr>
        <w:t xml:space="preserve"> &amp; </w:t>
      </w:r>
      <w:proofErr w:type="spellStart"/>
      <w:r w:rsidR="00BC7553" w:rsidRPr="00BC7553">
        <w:rPr>
          <w:rFonts w:cs="Times New Roman"/>
        </w:rPr>
        <w:t>Mounier</w:t>
      </w:r>
      <w:proofErr w:type="spellEnd"/>
      <w:r w:rsidR="00BC7553" w:rsidRPr="00BC7553">
        <w:rPr>
          <w:rFonts w:cs="Times New Roman"/>
        </w:rPr>
        <w:t>, 2010)</w:t>
      </w:r>
      <w:r w:rsidRPr="008209A7">
        <w:rPr>
          <w:iCs/>
          <w:lang w:val="fr-BE"/>
        </w:rPr>
        <w:t xml:space="preserve"> est susceptible d’offrir comme plus-value</w:t>
      </w:r>
      <w:r w:rsidR="00813816">
        <w:rPr>
          <w:iCs/>
          <w:lang w:val="fr-BE"/>
        </w:rPr>
        <w:t xml:space="preserve"> scientifique</w:t>
      </w:r>
      <w:r w:rsidRPr="008209A7">
        <w:rPr>
          <w:iCs/>
          <w:lang w:val="fr-BE"/>
        </w:rPr>
        <w:t xml:space="preserve"> à la revue</w:t>
      </w:r>
      <w:r w:rsidR="002A6EB0">
        <w:rPr>
          <w:iCs/>
          <w:lang w:val="fr-BE"/>
        </w:rPr>
        <w:t xml:space="preserve"> qu’</w:t>
      </w:r>
      <w:r w:rsidR="006D721B">
        <w:rPr>
          <w:iCs/>
          <w:lang w:val="fr-BE"/>
        </w:rPr>
        <w:t>il accompagne</w:t>
      </w:r>
      <w:r w:rsidRPr="008209A7">
        <w:rPr>
          <w:iCs/>
          <w:lang w:val="fr-BE"/>
        </w:rPr>
        <w:t xml:space="preserve">. </w:t>
      </w:r>
      <w:r>
        <w:rPr>
          <w:iCs/>
          <w:lang w:val="fr-BE"/>
        </w:rPr>
        <w:t>Dans un premier temps, nous identifierons</w:t>
      </w:r>
      <w:r w:rsidRPr="008209A7">
        <w:rPr>
          <w:iCs/>
          <w:lang w:val="fr-BE"/>
        </w:rPr>
        <w:t xml:space="preserve"> les carnets de revues présents sur </w:t>
      </w:r>
      <w:r w:rsidRPr="007433BB">
        <w:rPr>
          <w:i/>
          <w:lang w:val="fr-BE"/>
        </w:rPr>
        <w:t>Hypotheses.org</w:t>
      </w:r>
      <w:r w:rsidRPr="008209A7">
        <w:rPr>
          <w:iCs/>
          <w:lang w:val="fr-BE"/>
        </w:rPr>
        <w:t xml:space="preserve"> afin d'en proposer une </w:t>
      </w:r>
      <w:r>
        <w:rPr>
          <w:iCs/>
          <w:lang w:val="fr-BE"/>
        </w:rPr>
        <w:t xml:space="preserve">première </w:t>
      </w:r>
      <w:r w:rsidRPr="008209A7">
        <w:rPr>
          <w:iCs/>
          <w:lang w:val="fr-BE"/>
        </w:rPr>
        <w:t>catégorisation</w:t>
      </w:r>
      <w:r>
        <w:rPr>
          <w:iCs/>
          <w:lang w:val="fr-BE"/>
        </w:rPr>
        <w:t xml:space="preserve">, </w:t>
      </w:r>
      <w:r w:rsidR="00E32DCF">
        <w:rPr>
          <w:iCs/>
          <w:lang w:val="fr-BE"/>
        </w:rPr>
        <w:t xml:space="preserve">nous </w:t>
      </w:r>
      <w:r w:rsidR="00740426">
        <w:rPr>
          <w:iCs/>
          <w:lang w:val="fr-BE"/>
        </w:rPr>
        <w:t>intéressant tout d’abord à la</w:t>
      </w:r>
      <w:r>
        <w:rPr>
          <w:iCs/>
          <w:lang w:val="fr-BE"/>
        </w:rPr>
        <w:t xml:space="preserve"> matérialité des revues</w:t>
      </w:r>
      <w:r w:rsidR="00740426">
        <w:rPr>
          <w:iCs/>
          <w:lang w:val="fr-BE"/>
        </w:rPr>
        <w:t xml:space="preserve"> auxquelles ils sont adossés</w:t>
      </w:r>
      <w:r>
        <w:rPr>
          <w:iCs/>
          <w:lang w:val="fr-BE"/>
        </w:rPr>
        <w:t xml:space="preserve"> et </w:t>
      </w:r>
      <w:r w:rsidR="00740426">
        <w:rPr>
          <w:iCs/>
          <w:lang w:val="fr-BE"/>
        </w:rPr>
        <w:t>à</w:t>
      </w:r>
      <w:r>
        <w:rPr>
          <w:iCs/>
          <w:lang w:val="fr-BE"/>
        </w:rPr>
        <w:t xml:space="preserve"> leur éventuelle présence en ligne sur d’autres interfaces. Nous </w:t>
      </w:r>
      <w:r w:rsidR="00740426">
        <w:rPr>
          <w:iCs/>
          <w:lang w:val="fr-BE"/>
        </w:rPr>
        <w:t>qualifierons ensuite plus précisément les</w:t>
      </w:r>
      <w:r>
        <w:rPr>
          <w:iCs/>
          <w:lang w:val="fr-BE"/>
        </w:rPr>
        <w:t xml:space="preserve"> activités de publication sur ces blogs (type, fréquence, etc.), et à la manière dont elles s’articulent à celles de la revue. </w:t>
      </w:r>
      <w:r w:rsidRPr="00E32DCF">
        <w:rPr>
          <w:iCs/>
          <w:lang w:val="fr-BE"/>
        </w:rPr>
        <w:t xml:space="preserve">Dans un troisième temps, nous étudierons ceux </w:t>
      </w:r>
      <w:r w:rsidR="00A339B2" w:rsidRPr="00E32DCF">
        <w:rPr>
          <w:iCs/>
          <w:lang w:val="fr-BE"/>
        </w:rPr>
        <w:t xml:space="preserve">et celles </w:t>
      </w:r>
      <w:r w:rsidRPr="00E32DCF">
        <w:rPr>
          <w:iCs/>
          <w:lang w:val="fr-BE"/>
        </w:rPr>
        <w:t>qui les animent : ces carnetiers sont-ils également actifs sur d’autres carnets ?</w:t>
      </w:r>
      <w:r>
        <w:rPr>
          <w:iCs/>
          <w:lang w:val="fr-BE"/>
        </w:rPr>
        <w:t xml:space="preserve"> Nous tenterons</w:t>
      </w:r>
      <w:r w:rsidRPr="008209A7">
        <w:rPr>
          <w:iCs/>
          <w:lang w:val="fr-BE"/>
        </w:rPr>
        <w:t xml:space="preserve"> ainsi de proposer une lecture de la manière dont les usagers s’approprient les possibilités éditoriales offertes par </w:t>
      </w:r>
      <w:r w:rsidRPr="007433BB">
        <w:rPr>
          <w:i/>
          <w:lang w:val="fr-BE"/>
        </w:rPr>
        <w:t>Hypotheses.org</w:t>
      </w:r>
      <w:r w:rsidRPr="008209A7">
        <w:rPr>
          <w:iCs/>
          <w:lang w:val="fr-BE"/>
        </w:rPr>
        <w:t xml:space="preserve"> dans la démarche d’édition d’une revue scientifique.</w:t>
      </w:r>
    </w:p>
    <w:p w14:paraId="1757E8C3" w14:textId="3C1062DD" w:rsidR="005E6079" w:rsidRPr="00512688" w:rsidRDefault="00A970EB" w:rsidP="00C61666">
      <w:pPr>
        <w:pStyle w:val="Titre1"/>
        <w:rPr>
          <w:rFonts w:ascii="Helvetica" w:hAnsi="Helvetica"/>
          <w:sz w:val="22"/>
          <w:szCs w:val="22"/>
        </w:rPr>
      </w:pPr>
      <w:r w:rsidRPr="00512688">
        <w:rPr>
          <w:rFonts w:ascii="Helvetica" w:hAnsi="Helvetica"/>
          <w:sz w:val="22"/>
          <w:szCs w:val="22"/>
        </w:rPr>
        <w:t xml:space="preserve">1 - </w:t>
      </w:r>
      <w:r w:rsidR="005E6079" w:rsidRPr="00512688">
        <w:rPr>
          <w:rFonts w:ascii="Helvetica" w:hAnsi="Helvetica"/>
          <w:sz w:val="22"/>
          <w:szCs w:val="22"/>
        </w:rPr>
        <w:t>Corpus</w:t>
      </w:r>
      <w:r w:rsidR="00804C6C" w:rsidRPr="00512688">
        <w:rPr>
          <w:rFonts w:ascii="Helvetica" w:hAnsi="Helvetica"/>
          <w:sz w:val="22"/>
          <w:szCs w:val="22"/>
        </w:rPr>
        <w:t xml:space="preserve"> et méthodologie de travail</w:t>
      </w:r>
    </w:p>
    <w:p w14:paraId="2289379D" w14:textId="331E827D" w:rsidR="005E6079" w:rsidRDefault="005E6079" w:rsidP="005E6079">
      <w:pPr>
        <w:jc w:val="both"/>
        <w:rPr>
          <w:lang w:val="fr-BE"/>
        </w:rPr>
      </w:pPr>
      <w:r>
        <w:rPr>
          <w:lang w:val="fr-BE"/>
        </w:rPr>
        <w:t xml:space="preserve">Le corpus d’analyse </w:t>
      </w:r>
      <w:r w:rsidR="00254843">
        <w:rPr>
          <w:lang w:val="fr-BE"/>
        </w:rPr>
        <w:t>est issu</w:t>
      </w:r>
      <w:r>
        <w:rPr>
          <w:lang w:val="fr-BE"/>
        </w:rPr>
        <w:t xml:space="preserve"> de l’extraction des </w:t>
      </w:r>
      <w:r w:rsidR="00ED6C92">
        <w:rPr>
          <w:lang w:val="fr-BE"/>
        </w:rPr>
        <w:t>carnets</w:t>
      </w:r>
      <w:r>
        <w:rPr>
          <w:lang w:val="fr-BE"/>
        </w:rPr>
        <w:t xml:space="preserve"> de la plateforme </w:t>
      </w:r>
      <w:r>
        <w:rPr>
          <w:i/>
          <w:lang w:val="fr-BE"/>
        </w:rPr>
        <w:t>Hypotheses.org</w:t>
      </w:r>
      <w:r>
        <w:rPr>
          <w:lang w:val="fr-BE"/>
        </w:rPr>
        <w:t xml:space="preserve"> depuis sa création jusqu’au </w:t>
      </w:r>
      <w:r w:rsidR="00FA6746">
        <w:rPr>
          <w:lang w:val="fr-BE"/>
        </w:rPr>
        <w:t>31</w:t>
      </w:r>
      <w:r>
        <w:rPr>
          <w:lang w:val="fr-BE"/>
        </w:rPr>
        <w:t>/07/2020</w:t>
      </w:r>
      <w:r w:rsidRPr="004166B2">
        <w:rPr>
          <w:rStyle w:val="Appelnotedebasdep"/>
        </w:rPr>
        <w:footnoteReference w:id="6"/>
      </w:r>
      <w:r>
        <w:rPr>
          <w:lang w:val="fr-BE"/>
        </w:rPr>
        <w:t xml:space="preserve">. Nous avons isolé </w:t>
      </w:r>
      <w:proofErr w:type="gramStart"/>
      <w:r>
        <w:rPr>
          <w:lang w:val="fr-BE"/>
        </w:rPr>
        <w:t>les carnets ressortissant</w:t>
      </w:r>
      <w:proofErr w:type="gramEnd"/>
      <w:r>
        <w:rPr>
          <w:lang w:val="fr-BE"/>
        </w:rPr>
        <w:t xml:space="preserve"> à la catégorie « accompagnement de publication » et, au sein de celle-ci, les carnets accompagnant spécifiquement une revue (et non la publication d’un ouvrage par exemple) pouvant faire état d’une </w:t>
      </w:r>
      <w:r w:rsidRPr="000C6A37">
        <w:rPr>
          <w:lang w:val="fr-BE"/>
        </w:rPr>
        <w:t>activité postérieure</w:t>
      </w:r>
      <w:r>
        <w:rPr>
          <w:lang w:val="fr-BE"/>
        </w:rPr>
        <w:t xml:space="preserve"> à la date du </w:t>
      </w:r>
      <w:r w:rsidRPr="00FC1319">
        <w:rPr>
          <w:lang w:val="fr-BE"/>
        </w:rPr>
        <w:t>01/01/202</w:t>
      </w:r>
      <w:r w:rsidR="00FA6746" w:rsidRPr="00FC1319">
        <w:rPr>
          <w:lang w:val="fr-BE"/>
        </w:rPr>
        <w:t>0, date de fin de notre collecte de données</w:t>
      </w:r>
      <w:r w:rsidR="00FA6746" w:rsidRPr="00FC1319">
        <w:rPr>
          <w:rStyle w:val="Appelnotedebasdep"/>
          <w:lang w:val="fr-BE"/>
        </w:rPr>
        <w:footnoteReference w:id="7"/>
      </w:r>
      <w:r>
        <w:rPr>
          <w:lang w:val="fr-BE"/>
        </w:rPr>
        <w:t xml:space="preserve">. Cette première liste a été complétée par des carnets repérés au sein </w:t>
      </w:r>
      <w:r>
        <w:rPr>
          <w:lang w:val="fr-BE"/>
        </w:rPr>
        <w:lastRenderedPageBreak/>
        <w:t xml:space="preserve">du catalogue, correspondant à ces critères mais non référencés dans la catégorie susmentionnée. </w:t>
      </w:r>
      <w:r w:rsidR="00804C6C">
        <w:rPr>
          <w:lang w:val="fr-BE"/>
        </w:rPr>
        <w:t xml:space="preserve">Nous obtenons ainsi un </w:t>
      </w:r>
      <w:r w:rsidR="00804C6C" w:rsidRPr="00ED6C92">
        <w:rPr>
          <w:lang w:val="fr-BE"/>
        </w:rPr>
        <w:t>corpus de travail composé de 37 carnets accompagnant une revue</w:t>
      </w:r>
      <w:r w:rsidR="00FA6746">
        <w:rPr>
          <w:lang w:val="fr-BE"/>
        </w:rPr>
        <w:t>.</w:t>
      </w:r>
    </w:p>
    <w:p w14:paraId="7BCB0B34" w14:textId="5545357F" w:rsidR="00C61666" w:rsidRDefault="00C61666" w:rsidP="00C61666">
      <w:pPr>
        <w:jc w:val="both"/>
        <w:rPr>
          <w:lang w:val="fr-BE"/>
        </w:rPr>
      </w:pPr>
      <w:r w:rsidRPr="000C6A37">
        <w:rPr>
          <w:lang w:val="fr-BE"/>
        </w:rPr>
        <w:t>Le corpus des carnets de revue ainsi constitué</w:t>
      </w:r>
      <w:r>
        <w:rPr>
          <w:lang w:val="fr-BE"/>
        </w:rPr>
        <w:t xml:space="preserve"> </w:t>
      </w:r>
      <w:r w:rsidR="00606CA6">
        <w:rPr>
          <w:lang w:val="fr-BE"/>
        </w:rPr>
        <w:t>a</w:t>
      </w:r>
      <w:r>
        <w:rPr>
          <w:lang w:val="fr-BE"/>
        </w:rPr>
        <w:t xml:space="preserve"> </w:t>
      </w:r>
      <w:r w:rsidR="00C22096">
        <w:rPr>
          <w:lang w:val="fr-BE"/>
        </w:rPr>
        <w:t xml:space="preserve">tout d’abord </w:t>
      </w:r>
      <w:r w:rsidR="00606CA6">
        <w:rPr>
          <w:lang w:val="fr-BE"/>
        </w:rPr>
        <w:t xml:space="preserve">fait </w:t>
      </w:r>
      <w:r>
        <w:rPr>
          <w:lang w:val="fr-BE"/>
        </w:rPr>
        <w:t>l’objet d’une analyse qualitative</w:t>
      </w:r>
      <w:r w:rsidR="0085117B">
        <w:rPr>
          <w:lang w:val="fr-BE"/>
        </w:rPr>
        <w:t xml:space="preserve"> destiné</w:t>
      </w:r>
      <w:r w:rsidR="00ED6C92">
        <w:rPr>
          <w:lang w:val="fr-BE"/>
        </w:rPr>
        <w:t>e</w:t>
      </w:r>
      <w:r w:rsidR="0085117B">
        <w:rPr>
          <w:lang w:val="fr-BE"/>
        </w:rPr>
        <w:t xml:space="preserve"> à préciser la présence de la revue dans l’écosystème scientifique numérique</w:t>
      </w:r>
      <w:r w:rsidR="00ED6C92">
        <w:rPr>
          <w:rStyle w:val="Appelnotedebasdep"/>
          <w:lang w:val="fr-BE"/>
        </w:rPr>
        <w:footnoteReference w:id="8"/>
      </w:r>
      <w:r w:rsidR="0037408B">
        <w:rPr>
          <w:lang w:val="fr-BE"/>
        </w:rPr>
        <w:t> : présence dans les bases de données bibliographiques (</w:t>
      </w:r>
      <w:proofErr w:type="spellStart"/>
      <w:r w:rsidR="00606CA6" w:rsidRPr="00606CA6">
        <w:rPr>
          <w:i/>
          <w:lang w:val="fr-BE"/>
        </w:rPr>
        <w:t>Mir@bel</w:t>
      </w:r>
      <w:proofErr w:type="spellEnd"/>
      <w:r w:rsidR="00606CA6">
        <w:rPr>
          <w:lang w:val="fr-BE"/>
        </w:rPr>
        <w:t>,</w:t>
      </w:r>
      <w:r w:rsidR="0037408B">
        <w:rPr>
          <w:lang w:val="fr-BE"/>
        </w:rPr>
        <w:t xml:space="preserve"> </w:t>
      </w:r>
      <w:r w:rsidRPr="00ED6C92">
        <w:rPr>
          <w:i/>
          <w:lang w:val="fr-BE"/>
        </w:rPr>
        <w:t>DOAJ</w:t>
      </w:r>
      <w:r>
        <w:rPr>
          <w:lang w:val="fr-BE"/>
        </w:rPr>
        <w:t>,</w:t>
      </w:r>
      <w:r w:rsidR="0037408B">
        <w:rPr>
          <w:lang w:val="fr-BE"/>
        </w:rPr>
        <w:t xml:space="preserve"> etc.), </w:t>
      </w:r>
      <w:r>
        <w:rPr>
          <w:lang w:val="fr-BE"/>
        </w:rPr>
        <w:t>existence au format papier et/ou numérique</w:t>
      </w:r>
      <w:r w:rsidR="00C22096">
        <w:rPr>
          <w:lang w:val="fr-BE"/>
        </w:rPr>
        <w:t xml:space="preserve"> (</w:t>
      </w:r>
      <w:r>
        <w:rPr>
          <w:lang w:val="fr-BE"/>
        </w:rPr>
        <w:t xml:space="preserve">dans ce dernier cas, </w:t>
      </w:r>
      <w:r w:rsidR="00606CA6">
        <w:rPr>
          <w:lang w:val="fr-BE"/>
        </w:rPr>
        <w:t>nous avons renseigné</w:t>
      </w:r>
      <w:r w:rsidR="0037408B">
        <w:rPr>
          <w:lang w:val="fr-BE"/>
        </w:rPr>
        <w:t xml:space="preserve"> l’</w:t>
      </w:r>
      <w:r>
        <w:rPr>
          <w:lang w:val="fr-BE"/>
        </w:rPr>
        <w:t xml:space="preserve">éventuelle co-présence sur plusieurs portails, </w:t>
      </w:r>
      <w:r w:rsidR="00F461EA">
        <w:rPr>
          <w:lang w:val="fr-BE"/>
        </w:rPr>
        <w:t xml:space="preserve">la </w:t>
      </w:r>
      <w:r>
        <w:rPr>
          <w:lang w:val="fr-BE"/>
        </w:rPr>
        <w:t xml:space="preserve">périodicité, </w:t>
      </w:r>
      <w:r w:rsidR="00F461EA">
        <w:rPr>
          <w:lang w:val="fr-BE"/>
        </w:rPr>
        <w:t>ses prolongements</w:t>
      </w:r>
      <w:r>
        <w:rPr>
          <w:lang w:val="fr-BE"/>
        </w:rPr>
        <w:t xml:space="preserve"> sur les réseaux sociaux, etc.). </w:t>
      </w:r>
      <w:r w:rsidR="00F461EA" w:rsidRPr="00F461EA">
        <w:rPr>
          <w:lang w:val="fr-BE"/>
        </w:rPr>
        <w:t xml:space="preserve">Cette première entrée </w:t>
      </w:r>
      <w:r w:rsidR="00606CA6">
        <w:rPr>
          <w:lang w:val="fr-BE"/>
        </w:rPr>
        <w:t xml:space="preserve">a été </w:t>
      </w:r>
      <w:r w:rsidR="00F461EA" w:rsidRPr="00F461EA">
        <w:rPr>
          <w:lang w:val="fr-BE"/>
        </w:rPr>
        <w:t>complétée</w:t>
      </w:r>
      <w:r w:rsidRPr="00F461EA">
        <w:rPr>
          <w:lang w:val="fr-BE"/>
        </w:rPr>
        <w:t xml:space="preserve"> par l’étude qualitative des fonctions éditoriales des carnets de recherche destinée à élucider les rapports de complémentarité qu’ils entretiennent avec la revue associée. </w:t>
      </w:r>
      <w:r w:rsidR="00606CA6">
        <w:rPr>
          <w:lang w:val="fr-BE"/>
        </w:rPr>
        <w:t xml:space="preserve">Nous nous sommes </w:t>
      </w:r>
      <w:r w:rsidRPr="00F461EA">
        <w:rPr>
          <w:lang w:val="fr-BE"/>
        </w:rPr>
        <w:t xml:space="preserve">donc plus précisément </w:t>
      </w:r>
      <w:r w:rsidR="00606CA6">
        <w:rPr>
          <w:lang w:val="fr-BE"/>
        </w:rPr>
        <w:t xml:space="preserve">intéressées </w:t>
      </w:r>
      <w:r w:rsidRPr="00F461EA">
        <w:rPr>
          <w:lang w:val="fr-BE"/>
        </w:rPr>
        <w:t xml:space="preserve">aux catégories de publication par lesquelles </w:t>
      </w:r>
      <w:r w:rsidR="00606CA6">
        <w:rPr>
          <w:lang w:val="fr-BE"/>
        </w:rPr>
        <w:t>les carnets</w:t>
      </w:r>
      <w:r w:rsidRPr="00F461EA">
        <w:rPr>
          <w:lang w:val="fr-BE"/>
        </w:rPr>
        <w:t xml:space="preserve"> entendent compléter la publication de la revue (mise à disposition de complément</w:t>
      </w:r>
      <w:r w:rsidR="007067E9">
        <w:rPr>
          <w:lang w:val="fr-BE"/>
        </w:rPr>
        <w:t>s</w:t>
      </w:r>
      <w:r w:rsidRPr="00F461EA">
        <w:rPr>
          <w:lang w:val="fr-BE"/>
        </w:rPr>
        <w:t xml:space="preserve"> audio-visuels, </w:t>
      </w:r>
      <w:proofErr w:type="spellStart"/>
      <w:r w:rsidRPr="00F461EA">
        <w:rPr>
          <w:lang w:val="fr-BE"/>
        </w:rPr>
        <w:t>pré-publications</w:t>
      </w:r>
      <w:proofErr w:type="spellEnd"/>
      <w:r w:rsidRPr="00F461EA">
        <w:rPr>
          <w:lang w:val="fr-BE"/>
        </w:rPr>
        <w:t>, etc.), à leur éventuel lien avec l’actualité (sociale, de la recherche, etc.) ou au rôle qu’ils assurent au sein d’une communauté disciplinaire.</w:t>
      </w:r>
      <w:r w:rsidR="00F461EA" w:rsidRPr="00F461EA">
        <w:rPr>
          <w:lang w:val="fr-BE"/>
        </w:rPr>
        <w:t xml:space="preserve"> Des informations relatives aux carnets </w:t>
      </w:r>
      <w:r w:rsidR="00606CA6">
        <w:rPr>
          <w:lang w:val="fr-BE"/>
        </w:rPr>
        <w:t xml:space="preserve">ont également été </w:t>
      </w:r>
      <w:r w:rsidR="00F461EA" w:rsidRPr="00F461EA">
        <w:rPr>
          <w:lang w:val="fr-BE"/>
        </w:rPr>
        <w:t xml:space="preserve">collectées (nombre de </w:t>
      </w:r>
      <w:proofErr w:type="spellStart"/>
      <w:r w:rsidR="00F461EA" w:rsidRPr="00F461EA">
        <w:rPr>
          <w:lang w:val="fr-BE"/>
        </w:rPr>
        <w:t>posts</w:t>
      </w:r>
      <w:proofErr w:type="spellEnd"/>
      <w:r w:rsidR="00F461EA" w:rsidRPr="00F461EA">
        <w:rPr>
          <w:lang w:val="fr-BE"/>
        </w:rPr>
        <w:t>/an, d’auteurs actifs, etc.) afin d’éclairer l’empan de leur activité aux côtés de la revue.</w:t>
      </w:r>
    </w:p>
    <w:p w14:paraId="2505A766" w14:textId="14CDEC72" w:rsidR="00C61666" w:rsidRPr="00EE5CFB" w:rsidRDefault="00C61666" w:rsidP="00C61666">
      <w:pPr>
        <w:pStyle w:val="Titre1"/>
        <w:rPr>
          <w:rFonts w:ascii="Helvetica" w:hAnsi="Helvetica"/>
          <w:i/>
          <w:sz w:val="22"/>
          <w:szCs w:val="22"/>
        </w:rPr>
      </w:pPr>
      <w:r w:rsidRPr="00EE5CFB">
        <w:rPr>
          <w:rFonts w:ascii="Helvetica" w:hAnsi="Helvetica"/>
          <w:i/>
          <w:sz w:val="22"/>
          <w:szCs w:val="22"/>
        </w:rPr>
        <w:t xml:space="preserve">Porosités </w:t>
      </w:r>
      <w:r w:rsidR="0002166D" w:rsidRPr="00EE5CFB">
        <w:rPr>
          <w:rFonts w:ascii="Helvetica" w:hAnsi="Helvetica"/>
          <w:i/>
          <w:sz w:val="22"/>
          <w:szCs w:val="22"/>
        </w:rPr>
        <w:t>entre les formats éditoriaux de la revue</w:t>
      </w:r>
      <w:r w:rsidR="004C5415" w:rsidRPr="00EE5CFB">
        <w:rPr>
          <w:rFonts w:ascii="Helvetica" w:hAnsi="Helvetica"/>
          <w:i/>
          <w:sz w:val="22"/>
          <w:szCs w:val="22"/>
        </w:rPr>
        <w:t xml:space="preserve"> scientifique</w:t>
      </w:r>
      <w:r w:rsidR="0002166D" w:rsidRPr="00EE5CFB">
        <w:rPr>
          <w:rFonts w:ascii="Helvetica" w:hAnsi="Helvetica"/>
          <w:i/>
          <w:sz w:val="22"/>
          <w:szCs w:val="22"/>
        </w:rPr>
        <w:t xml:space="preserve"> et du blog de recherche</w:t>
      </w:r>
    </w:p>
    <w:p w14:paraId="7E2B555B" w14:textId="5B2232C9" w:rsidR="00386DA3" w:rsidRPr="004305AE" w:rsidRDefault="00C61666" w:rsidP="00900833">
      <w:pPr>
        <w:jc w:val="both"/>
      </w:pPr>
      <w:r>
        <w:rPr>
          <w:lang w:val="fr-BE"/>
        </w:rPr>
        <w:t xml:space="preserve">La seule démarche de constitution du corpus </w:t>
      </w:r>
      <w:r w:rsidR="00425CE4">
        <w:rPr>
          <w:lang w:val="fr-BE"/>
        </w:rPr>
        <w:t>a entraîné</w:t>
      </w:r>
      <w:r>
        <w:rPr>
          <w:lang w:val="fr-BE"/>
        </w:rPr>
        <w:t xml:space="preserve"> un premier questionnement sur </w:t>
      </w:r>
      <w:r w:rsidR="001C3F6C">
        <w:rPr>
          <w:lang w:val="fr-BE"/>
        </w:rPr>
        <w:t>le périmètre du format « carnet de revue »</w:t>
      </w:r>
      <w:r>
        <w:rPr>
          <w:lang w:val="fr-BE"/>
        </w:rPr>
        <w:t xml:space="preserve">. </w:t>
      </w:r>
      <w:r w:rsidR="00386DA3" w:rsidRPr="004305AE">
        <w:rPr>
          <w:i/>
        </w:rPr>
        <w:t>Hypoth</w:t>
      </w:r>
      <w:r w:rsidR="00245A36">
        <w:rPr>
          <w:i/>
        </w:rPr>
        <w:t>e</w:t>
      </w:r>
      <w:r w:rsidR="00386DA3" w:rsidRPr="004305AE">
        <w:rPr>
          <w:i/>
        </w:rPr>
        <w:t>ses</w:t>
      </w:r>
      <w:r w:rsidR="00245A36">
        <w:rPr>
          <w:i/>
        </w:rPr>
        <w:t>.org</w:t>
      </w:r>
      <w:r w:rsidR="00386DA3" w:rsidRPr="004305AE">
        <w:rPr>
          <w:i/>
        </w:rPr>
        <w:t xml:space="preserve"> </w:t>
      </w:r>
      <w:proofErr w:type="spellStart"/>
      <w:r w:rsidR="00386DA3" w:rsidRPr="004305AE">
        <w:t>offre</w:t>
      </w:r>
      <w:proofErr w:type="spellEnd"/>
      <w:r w:rsidR="00386DA3" w:rsidRPr="004305AE">
        <w:t xml:space="preserve"> </w:t>
      </w:r>
      <w:proofErr w:type="spellStart"/>
      <w:r w:rsidR="00900833">
        <w:t>en</w:t>
      </w:r>
      <w:proofErr w:type="spellEnd"/>
      <w:r w:rsidR="00900833">
        <w:t xml:space="preserve"> </w:t>
      </w:r>
      <w:proofErr w:type="spellStart"/>
      <w:r w:rsidR="00900833">
        <w:t>effet</w:t>
      </w:r>
      <w:proofErr w:type="spellEnd"/>
      <w:r w:rsidR="00900833">
        <w:t xml:space="preserve"> </w:t>
      </w:r>
      <w:proofErr w:type="spellStart"/>
      <w:r w:rsidR="00386DA3" w:rsidRPr="004305AE">
        <w:t>plusieurs</w:t>
      </w:r>
      <w:proofErr w:type="spellEnd"/>
      <w:r w:rsidR="00386DA3" w:rsidRPr="004305AE">
        <w:t xml:space="preserve"> </w:t>
      </w:r>
      <w:proofErr w:type="spellStart"/>
      <w:r w:rsidR="00386DA3" w:rsidRPr="004305AE">
        <w:t>exemples</w:t>
      </w:r>
      <w:proofErr w:type="spellEnd"/>
      <w:r w:rsidR="00386DA3" w:rsidRPr="004305AE">
        <w:t xml:space="preserve"> </w:t>
      </w:r>
      <w:proofErr w:type="spellStart"/>
      <w:r w:rsidR="00386DA3" w:rsidRPr="004305AE">
        <w:t>témoignant</w:t>
      </w:r>
      <w:proofErr w:type="spellEnd"/>
      <w:r w:rsidR="00386DA3" w:rsidRPr="004305AE">
        <w:t xml:space="preserve"> </w:t>
      </w:r>
      <w:proofErr w:type="spellStart"/>
      <w:r w:rsidR="00386DA3" w:rsidRPr="004305AE">
        <w:t>d’une</w:t>
      </w:r>
      <w:proofErr w:type="spellEnd"/>
      <w:r w:rsidR="00386DA3" w:rsidRPr="004305AE">
        <w:t xml:space="preserve"> </w:t>
      </w:r>
      <w:proofErr w:type="spellStart"/>
      <w:r w:rsidR="00386DA3" w:rsidRPr="004305AE">
        <w:t>porosité</w:t>
      </w:r>
      <w:proofErr w:type="spellEnd"/>
      <w:r w:rsidR="00386DA3" w:rsidRPr="004305AE">
        <w:t xml:space="preserve"> </w:t>
      </w:r>
      <w:proofErr w:type="spellStart"/>
      <w:r w:rsidR="00386DA3" w:rsidRPr="004305AE">
        <w:t>éditoriale</w:t>
      </w:r>
      <w:proofErr w:type="spellEnd"/>
      <w:r w:rsidR="00386DA3" w:rsidRPr="004305AE">
        <w:t xml:space="preserve"> entre les genres de la revue</w:t>
      </w:r>
      <w:r w:rsidR="00EB13A7">
        <w:t xml:space="preserve"> </w:t>
      </w:r>
      <w:proofErr w:type="spellStart"/>
      <w:r w:rsidR="00EB13A7" w:rsidRPr="004305AE">
        <w:t>scientifique</w:t>
      </w:r>
      <w:proofErr w:type="spellEnd"/>
      <w:r w:rsidR="00386DA3" w:rsidRPr="004305AE">
        <w:t xml:space="preserve"> et du carnet de recherche </w:t>
      </w:r>
      <w:proofErr w:type="spellStart"/>
      <w:r w:rsidR="00386DA3" w:rsidRPr="004305AE">
        <w:t>en</w:t>
      </w:r>
      <w:proofErr w:type="spellEnd"/>
      <w:r w:rsidR="00386DA3" w:rsidRPr="004305AE">
        <w:t xml:space="preserve"> </w:t>
      </w:r>
      <w:proofErr w:type="spellStart"/>
      <w:r w:rsidR="00386DA3" w:rsidRPr="004305AE">
        <w:t>ligne</w:t>
      </w:r>
      <w:proofErr w:type="spellEnd"/>
      <w:r w:rsidR="004E4E91">
        <w:t xml:space="preserve">, </w:t>
      </w:r>
      <w:proofErr w:type="spellStart"/>
      <w:r w:rsidR="00386DA3" w:rsidRPr="004305AE">
        <w:t>certains</w:t>
      </w:r>
      <w:proofErr w:type="spellEnd"/>
      <w:r w:rsidR="00386DA3" w:rsidRPr="004305AE">
        <w:t xml:space="preserve"> carnets d’</w:t>
      </w:r>
      <w:r w:rsidR="00386DA3" w:rsidRPr="004305AE">
        <w:rPr>
          <w:i/>
        </w:rPr>
        <w:t>Hypoth</w:t>
      </w:r>
      <w:r w:rsidR="006044B8">
        <w:rPr>
          <w:i/>
        </w:rPr>
        <w:t>e</w:t>
      </w:r>
      <w:r w:rsidR="00386DA3" w:rsidRPr="004305AE">
        <w:rPr>
          <w:i/>
        </w:rPr>
        <w:t>ses</w:t>
      </w:r>
      <w:r w:rsidR="006044B8">
        <w:rPr>
          <w:i/>
        </w:rPr>
        <w:t>.org</w:t>
      </w:r>
      <w:r w:rsidR="00386DA3" w:rsidRPr="004305AE">
        <w:t xml:space="preserve"> </w:t>
      </w:r>
      <w:proofErr w:type="spellStart"/>
      <w:r w:rsidR="004E4E91">
        <w:t>ayant</w:t>
      </w:r>
      <w:proofErr w:type="spellEnd"/>
      <w:r w:rsidR="004E4E91">
        <w:t xml:space="preserve"> </w:t>
      </w:r>
      <w:proofErr w:type="spellStart"/>
      <w:r w:rsidR="00386DA3" w:rsidRPr="004305AE">
        <w:t>été</w:t>
      </w:r>
      <w:proofErr w:type="spellEnd"/>
      <w:r w:rsidR="00386DA3" w:rsidRPr="004305AE">
        <w:t xml:space="preserve"> </w:t>
      </w:r>
      <w:proofErr w:type="spellStart"/>
      <w:r w:rsidR="00386DA3" w:rsidRPr="004305AE">
        <w:t>investis</w:t>
      </w:r>
      <w:proofErr w:type="spellEnd"/>
      <w:r w:rsidR="00386DA3" w:rsidRPr="004305AE">
        <w:t xml:space="preserve"> </w:t>
      </w:r>
      <w:proofErr w:type="spellStart"/>
      <w:r w:rsidR="00386DA3" w:rsidRPr="004305AE">
        <w:t>comme</w:t>
      </w:r>
      <w:proofErr w:type="spellEnd"/>
      <w:r w:rsidR="00386DA3" w:rsidRPr="004305AE">
        <w:t xml:space="preserve"> </w:t>
      </w:r>
      <w:proofErr w:type="spellStart"/>
      <w:r w:rsidR="00386DA3" w:rsidRPr="004305AE">
        <w:t>espaces</w:t>
      </w:r>
      <w:proofErr w:type="spellEnd"/>
      <w:r w:rsidR="00386DA3" w:rsidRPr="004305AE">
        <w:t xml:space="preserve"> </w:t>
      </w:r>
      <w:proofErr w:type="spellStart"/>
      <w:r w:rsidR="00386DA3" w:rsidRPr="004305AE">
        <w:t>d’édition</w:t>
      </w:r>
      <w:proofErr w:type="spellEnd"/>
      <w:r w:rsidR="00386DA3" w:rsidRPr="004305AE">
        <w:t xml:space="preserve"> </w:t>
      </w:r>
      <w:proofErr w:type="spellStart"/>
      <w:r w:rsidR="004E4E91">
        <w:t>d’</w:t>
      </w:r>
      <w:r w:rsidR="00386DA3" w:rsidRPr="004305AE">
        <w:t>une</w:t>
      </w:r>
      <w:proofErr w:type="spellEnd"/>
      <w:r w:rsidR="00386DA3" w:rsidRPr="004305AE">
        <w:t xml:space="preserve"> revue, </w:t>
      </w:r>
      <w:proofErr w:type="spellStart"/>
      <w:r w:rsidR="00386DA3" w:rsidRPr="004305AE">
        <w:t>en</w:t>
      </w:r>
      <w:proofErr w:type="spellEnd"/>
      <w:r w:rsidR="00386DA3" w:rsidRPr="004305AE">
        <w:t xml:space="preserve"> particulier pour des </w:t>
      </w:r>
      <w:proofErr w:type="spellStart"/>
      <w:r w:rsidR="00386DA3" w:rsidRPr="004305AE">
        <w:t>formes</w:t>
      </w:r>
      <w:proofErr w:type="spellEnd"/>
      <w:r w:rsidR="00386DA3" w:rsidRPr="004305AE">
        <w:t xml:space="preserve"> ne </w:t>
      </w:r>
      <w:proofErr w:type="spellStart"/>
      <w:r w:rsidR="00386DA3" w:rsidRPr="004305AE">
        <w:t>rentrant</w:t>
      </w:r>
      <w:proofErr w:type="spellEnd"/>
      <w:r w:rsidR="00386DA3" w:rsidRPr="004305AE">
        <w:t xml:space="preserve"> pas dans les </w:t>
      </w:r>
      <w:proofErr w:type="spellStart"/>
      <w:r w:rsidR="00386DA3" w:rsidRPr="004305AE">
        <w:t>critères</w:t>
      </w:r>
      <w:proofErr w:type="spellEnd"/>
      <w:r w:rsidR="00386DA3" w:rsidRPr="004305AE">
        <w:t xml:space="preserve"> </w:t>
      </w:r>
      <w:proofErr w:type="spellStart"/>
      <w:r w:rsidR="008E2EA0">
        <w:t>d’</w:t>
      </w:r>
      <w:r w:rsidR="00386DA3" w:rsidRPr="004305AE">
        <w:rPr>
          <w:i/>
        </w:rPr>
        <w:t>O</w:t>
      </w:r>
      <w:r w:rsidR="00606CA6">
        <w:rPr>
          <w:i/>
        </w:rPr>
        <w:t>E</w:t>
      </w:r>
      <w:proofErr w:type="spellEnd"/>
      <w:r w:rsidR="00825EBA">
        <w:rPr>
          <w:i/>
        </w:rPr>
        <w:t> </w:t>
      </w:r>
      <w:r w:rsidR="00386DA3" w:rsidRPr="004305AE">
        <w:rPr>
          <w:i/>
        </w:rPr>
        <w:t>Journals</w:t>
      </w:r>
      <w:r w:rsidR="00386DA3" w:rsidRPr="004305AE">
        <w:t xml:space="preserve"> (qui </w:t>
      </w:r>
      <w:proofErr w:type="spellStart"/>
      <w:r w:rsidR="00386DA3" w:rsidRPr="004305AE">
        <w:t>requiert</w:t>
      </w:r>
      <w:proofErr w:type="spellEnd"/>
      <w:r w:rsidR="00386DA3" w:rsidRPr="004305AE">
        <w:t xml:space="preserve"> </w:t>
      </w:r>
      <w:proofErr w:type="spellStart"/>
      <w:r w:rsidR="00386DA3" w:rsidRPr="004305AE">
        <w:t>notamment</w:t>
      </w:r>
      <w:proofErr w:type="spellEnd"/>
      <w:r w:rsidR="00386DA3" w:rsidRPr="004305AE">
        <w:t xml:space="preserve"> la publication de </w:t>
      </w:r>
      <w:proofErr w:type="spellStart"/>
      <w:r w:rsidR="00386DA3" w:rsidRPr="004305AE">
        <w:t>plusieurs</w:t>
      </w:r>
      <w:proofErr w:type="spellEnd"/>
      <w:r w:rsidR="00386DA3" w:rsidRPr="004305AE">
        <w:t xml:space="preserve"> </w:t>
      </w:r>
      <w:proofErr w:type="spellStart"/>
      <w:r w:rsidR="00386DA3" w:rsidRPr="004305AE">
        <w:t>numéros</w:t>
      </w:r>
      <w:proofErr w:type="spellEnd"/>
      <w:r w:rsidR="00386DA3" w:rsidRPr="004305AE">
        <w:t xml:space="preserve"> </w:t>
      </w:r>
      <w:proofErr w:type="spellStart"/>
      <w:r w:rsidR="00386DA3" w:rsidRPr="004305AE">
        <w:t>préalablement</w:t>
      </w:r>
      <w:proofErr w:type="spellEnd"/>
      <w:r w:rsidR="00386DA3" w:rsidRPr="004305AE">
        <w:t xml:space="preserve"> à la </w:t>
      </w:r>
      <w:proofErr w:type="spellStart"/>
      <w:r w:rsidR="00386DA3" w:rsidRPr="004305AE">
        <w:t>soumission</w:t>
      </w:r>
      <w:proofErr w:type="spellEnd"/>
      <w:r w:rsidR="00386DA3" w:rsidRPr="004305AE">
        <w:t xml:space="preserve"> d’un dossier de candidature)</w:t>
      </w:r>
      <w:r w:rsidR="00386DA3" w:rsidRPr="004166B2">
        <w:rPr>
          <w:rStyle w:val="Appelnotedebasdep"/>
        </w:rPr>
        <w:footnoteReference w:id="9"/>
      </w:r>
      <w:r w:rsidR="00386DA3" w:rsidRPr="004305AE">
        <w:t xml:space="preserve">. </w:t>
      </w:r>
      <w:r w:rsidR="004E4E91">
        <w:rPr>
          <w:lang w:val="fr-BE"/>
        </w:rPr>
        <w:t xml:space="preserve">Nous avons finalement choisi de ne pas les prendre en considération dans </w:t>
      </w:r>
      <w:r w:rsidR="0038174C">
        <w:rPr>
          <w:lang w:val="fr-BE"/>
        </w:rPr>
        <w:t>notre</w:t>
      </w:r>
      <w:r w:rsidR="004E4E91">
        <w:rPr>
          <w:lang w:val="fr-BE"/>
        </w:rPr>
        <w:t xml:space="preserve"> corpus</w:t>
      </w:r>
      <w:r w:rsidR="00F31C3F" w:rsidRPr="004166B2">
        <w:rPr>
          <w:rStyle w:val="Appelnotedebasdep"/>
        </w:rPr>
        <w:footnoteReference w:id="10"/>
      </w:r>
      <w:r w:rsidR="004E4E91">
        <w:rPr>
          <w:lang w:val="fr-BE"/>
        </w:rPr>
        <w:t>, mais nous estimons que ce</w:t>
      </w:r>
      <w:r w:rsidR="00FD7D55">
        <w:rPr>
          <w:lang w:val="fr-BE"/>
        </w:rPr>
        <w:t>s</w:t>
      </w:r>
      <w:r w:rsidR="004E4E91">
        <w:rPr>
          <w:lang w:val="fr-BE"/>
        </w:rPr>
        <w:t xml:space="preserve"> porosité</w:t>
      </w:r>
      <w:r w:rsidR="00FD7D55">
        <w:rPr>
          <w:lang w:val="fr-BE"/>
        </w:rPr>
        <w:t>s</w:t>
      </w:r>
      <w:r w:rsidR="004E4E91">
        <w:rPr>
          <w:lang w:val="fr-BE"/>
        </w:rPr>
        <w:t xml:space="preserve"> témoigne</w:t>
      </w:r>
      <w:r w:rsidR="00FD7D55">
        <w:rPr>
          <w:lang w:val="fr-BE"/>
        </w:rPr>
        <w:t>nt</w:t>
      </w:r>
      <w:r w:rsidR="004E4E91">
        <w:rPr>
          <w:lang w:val="fr-BE"/>
        </w:rPr>
        <w:t xml:space="preserve"> d’hésitations quant à la</w:t>
      </w:r>
      <w:r w:rsidR="000E5AD0">
        <w:rPr>
          <w:lang w:val="fr-BE"/>
        </w:rPr>
        <w:t xml:space="preserve"> manière d’assurer cette</w:t>
      </w:r>
      <w:r w:rsidR="004E4E91">
        <w:rPr>
          <w:lang w:val="fr-BE"/>
        </w:rPr>
        <w:t xml:space="preserve"> présence numérique des revues. En guise de cadrage liminaire, nous </w:t>
      </w:r>
      <w:r w:rsidR="00034372">
        <w:rPr>
          <w:lang w:val="fr-BE"/>
        </w:rPr>
        <w:t xml:space="preserve">en rendons compte brièvement </w:t>
      </w:r>
      <w:r w:rsidR="00877918">
        <w:rPr>
          <w:lang w:val="fr-BE"/>
        </w:rPr>
        <w:t>par une sélection d’extraits</w:t>
      </w:r>
      <w:r w:rsidR="002C4343">
        <w:rPr>
          <w:lang w:val="fr-BE"/>
        </w:rPr>
        <w:t xml:space="preserve"> issus</w:t>
      </w:r>
      <w:r w:rsidR="004E4E91">
        <w:rPr>
          <w:lang w:val="fr-BE"/>
        </w:rPr>
        <w:t xml:space="preserve"> des listes de discussion du conseil scientifique</w:t>
      </w:r>
      <w:r w:rsidR="00126591">
        <w:rPr>
          <w:lang w:val="fr-BE"/>
        </w:rPr>
        <w:t xml:space="preserve"> d’</w:t>
      </w:r>
      <w:r w:rsidR="00126591" w:rsidRPr="00044285">
        <w:rPr>
          <w:i/>
          <w:lang w:val="fr-BE"/>
        </w:rPr>
        <w:t>Hypotheses.org</w:t>
      </w:r>
      <w:r w:rsidR="00126591">
        <w:rPr>
          <w:lang w:val="fr-BE"/>
        </w:rPr>
        <w:t xml:space="preserve"> [ci-après</w:t>
      </w:r>
      <w:r w:rsidR="00F272C0">
        <w:rPr>
          <w:lang w:val="fr-BE"/>
        </w:rPr>
        <w:t xml:space="preserve"> CSH</w:t>
      </w:r>
      <w:r w:rsidR="00126591">
        <w:rPr>
          <w:lang w:val="fr-BE"/>
        </w:rPr>
        <w:t xml:space="preserve">, </w:t>
      </w:r>
      <w:proofErr w:type="spellStart"/>
      <w:r w:rsidR="001632D8" w:rsidRPr="004305AE">
        <w:t>liste</w:t>
      </w:r>
      <w:proofErr w:type="spellEnd"/>
      <w:r w:rsidR="001632D8" w:rsidRPr="004305AE">
        <w:t xml:space="preserve"> de discussion [LD] n°</w:t>
      </w:r>
      <w:r w:rsidR="001632D8">
        <w:t>1</w:t>
      </w:r>
      <w:r w:rsidR="00126591">
        <w:rPr>
          <w:lang w:val="fr-BE"/>
        </w:rPr>
        <w:t xml:space="preserve">] </w:t>
      </w:r>
      <w:r w:rsidR="003266D9">
        <w:rPr>
          <w:lang w:val="fr-BE"/>
        </w:rPr>
        <w:t xml:space="preserve">et </w:t>
      </w:r>
      <w:r w:rsidR="004E4E91">
        <w:rPr>
          <w:lang w:val="fr-BE"/>
        </w:rPr>
        <w:t>d’</w:t>
      </w:r>
      <w:r w:rsidR="004E4E91" w:rsidRPr="0057400C">
        <w:rPr>
          <w:i/>
          <w:lang w:val="fr-BE"/>
        </w:rPr>
        <w:t>O</w:t>
      </w:r>
      <w:r w:rsidR="00606CA6">
        <w:rPr>
          <w:i/>
          <w:lang w:val="fr-BE"/>
        </w:rPr>
        <w:t>E</w:t>
      </w:r>
      <w:r w:rsidR="004E4E91">
        <w:rPr>
          <w:lang w:val="fr-BE"/>
        </w:rPr>
        <w:t xml:space="preserve"> </w:t>
      </w:r>
      <w:r w:rsidR="00867E32">
        <w:rPr>
          <w:lang w:val="fr-BE"/>
        </w:rPr>
        <w:t>[ci</w:t>
      </w:r>
      <w:r w:rsidR="00637B56">
        <w:rPr>
          <w:lang w:val="fr-BE"/>
        </w:rPr>
        <w:t>-</w:t>
      </w:r>
      <w:r w:rsidR="00867E32">
        <w:rPr>
          <w:lang w:val="fr-BE"/>
        </w:rPr>
        <w:t>après</w:t>
      </w:r>
      <w:r w:rsidR="00F272C0">
        <w:rPr>
          <w:lang w:val="fr-BE"/>
        </w:rPr>
        <w:t xml:space="preserve"> CSOE</w:t>
      </w:r>
      <w:r w:rsidR="00867E32">
        <w:rPr>
          <w:lang w:val="fr-BE"/>
        </w:rPr>
        <w:t xml:space="preserve">, </w:t>
      </w:r>
      <w:proofErr w:type="spellStart"/>
      <w:r w:rsidR="001632D8" w:rsidRPr="004305AE">
        <w:t>liste</w:t>
      </w:r>
      <w:proofErr w:type="spellEnd"/>
      <w:r w:rsidR="001632D8" w:rsidRPr="004305AE">
        <w:t xml:space="preserve"> de discussion [LD] n°2</w:t>
      </w:r>
      <w:r w:rsidR="00867E32">
        <w:rPr>
          <w:lang w:val="fr-BE"/>
        </w:rPr>
        <w:t xml:space="preserve">] </w:t>
      </w:r>
      <w:r w:rsidR="004E4E91">
        <w:rPr>
          <w:lang w:val="fr-BE"/>
        </w:rPr>
        <w:t>et ce, dans la phase d’émergence d’</w:t>
      </w:r>
      <w:r w:rsidR="004E4E91" w:rsidRPr="00514BC8">
        <w:rPr>
          <w:i/>
          <w:lang w:val="fr-BE"/>
        </w:rPr>
        <w:t xml:space="preserve">Hypotheses.org </w:t>
      </w:r>
      <w:r w:rsidR="004E4E91">
        <w:rPr>
          <w:lang w:val="fr-BE"/>
        </w:rPr>
        <w:t>où la question s’est posée (2010-2016)</w:t>
      </w:r>
      <w:r w:rsidR="004E4E91" w:rsidRPr="004166B2">
        <w:rPr>
          <w:rStyle w:val="Appelnotedebasdep"/>
        </w:rPr>
        <w:footnoteReference w:id="11"/>
      </w:r>
      <w:r w:rsidR="00757C46">
        <w:rPr>
          <w:lang w:val="fr-BE"/>
        </w:rPr>
        <w:t>. La présence des revues dans les carnets de recherche</w:t>
      </w:r>
      <w:r w:rsidR="00404F39">
        <w:rPr>
          <w:lang w:val="fr-BE"/>
        </w:rPr>
        <w:t xml:space="preserve"> est en effet in</w:t>
      </w:r>
      <w:proofErr w:type="spellStart"/>
      <w:r w:rsidR="00386DA3" w:rsidRPr="004305AE">
        <w:t>terrogée</w:t>
      </w:r>
      <w:proofErr w:type="spellEnd"/>
      <w:r w:rsidR="00386DA3" w:rsidRPr="004305AE">
        <w:t xml:space="preserve"> et </w:t>
      </w:r>
      <w:proofErr w:type="spellStart"/>
      <w:r w:rsidR="00386DA3" w:rsidRPr="004305AE">
        <w:t>régulée</w:t>
      </w:r>
      <w:proofErr w:type="spellEnd"/>
      <w:r w:rsidR="00386DA3" w:rsidRPr="004305AE">
        <w:t xml:space="preserve"> par les </w:t>
      </w:r>
      <w:proofErr w:type="spellStart"/>
      <w:r w:rsidR="00386DA3" w:rsidRPr="004305AE">
        <w:t>membres</w:t>
      </w:r>
      <w:proofErr w:type="spellEnd"/>
      <w:r w:rsidR="00386DA3" w:rsidRPr="004305AE">
        <w:t xml:space="preserve"> du CSH </w:t>
      </w:r>
      <w:proofErr w:type="spellStart"/>
      <w:r w:rsidR="00386DA3" w:rsidRPr="004305AE">
        <w:t>autant</w:t>
      </w:r>
      <w:proofErr w:type="spellEnd"/>
      <w:r w:rsidR="00386DA3" w:rsidRPr="004305AE">
        <w:t xml:space="preserve"> que </w:t>
      </w:r>
      <w:r w:rsidR="001632D8">
        <w:t>du</w:t>
      </w:r>
      <w:r w:rsidR="00386DA3" w:rsidRPr="004305AE">
        <w:t xml:space="preserve"> CSOE</w:t>
      </w:r>
      <w:r w:rsidR="007279BF">
        <w:t>,</w:t>
      </w:r>
      <w:r w:rsidR="00386DA3" w:rsidRPr="004305AE">
        <w:t xml:space="preserve"> qui </w:t>
      </w:r>
      <w:proofErr w:type="spellStart"/>
      <w:r w:rsidR="00386DA3" w:rsidRPr="004305AE">
        <w:t>valident</w:t>
      </w:r>
      <w:proofErr w:type="spellEnd"/>
      <w:r w:rsidR="00386DA3" w:rsidRPr="004305AE">
        <w:t xml:space="preserve"> les dossiers de candidature à </w:t>
      </w:r>
      <w:r w:rsidR="00386DA3" w:rsidRPr="004305AE">
        <w:rPr>
          <w:i/>
        </w:rPr>
        <w:t>O</w:t>
      </w:r>
      <w:r w:rsidR="00606CA6">
        <w:rPr>
          <w:i/>
        </w:rPr>
        <w:t>E</w:t>
      </w:r>
      <w:r w:rsidR="007279BF">
        <w:rPr>
          <w:i/>
        </w:rPr>
        <w:t> </w:t>
      </w:r>
      <w:r w:rsidR="00386DA3" w:rsidRPr="004305AE">
        <w:rPr>
          <w:i/>
        </w:rPr>
        <w:t>Journals</w:t>
      </w:r>
      <w:r w:rsidR="00386DA3" w:rsidRPr="004305AE">
        <w:t xml:space="preserve"> (</w:t>
      </w:r>
      <w:proofErr w:type="spellStart"/>
      <w:r w:rsidR="00386DA3" w:rsidRPr="004305AE">
        <w:t>alors</w:t>
      </w:r>
      <w:proofErr w:type="spellEnd"/>
      <w:r w:rsidR="00386DA3" w:rsidRPr="004305AE">
        <w:t xml:space="preserve"> </w:t>
      </w:r>
      <w:r w:rsidR="00386DA3" w:rsidRPr="004305AE">
        <w:rPr>
          <w:i/>
        </w:rPr>
        <w:t>Revues.org</w:t>
      </w:r>
      <w:r w:rsidR="00386DA3" w:rsidRPr="004305AE">
        <w:t xml:space="preserve">). </w:t>
      </w:r>
    </w:p>
    <w:p w14:paraId="5F769245" w14:textId="5A148C33" w:rsidR="00386DA3" w:rsidRPr="004305AE" w:rsidRDefault="00386DA3" w:rsidP="00A93EB7">
      <w:pPr>
        <w:spacing w:before="240"/>
        <w:jc w:val="both"/>
      </w:pPr>
      <w:r w:rsidRPr="004305AE">
        <w:t xml:space="preserve">Les revues </w:t>
      </w:r>
      <w:proofErr w:type="spellStart"/>
      <w:r w:rsidRPr="004305AE">
        <w:t>publiées</w:t>
      </w:r>
      <w:proofErr w:type="spellEnd"/>
      <w:r w:rsidRPr="004305AE">
        <w:t xml:space="preserve"> sur </w:t>
      </w:r>
      <w:r w:rsidRPr="004305AE">
        <w:rPr>
          <w:i/>
        </w:rPr>
        <w:t>Revues.org</w:t>
      </w:r>
      <w:r w:rsidRPr="004305AE">
        <w:t xml:space="preserve"> </w:t>
      </w:r>
      <w:proofErr w:type="spellStart"/>
      <w:r w:rsidRPr="004305AE">
        <w:t>sont</w:t>
      </w:r>
      <w:proofErr w:type="spellEnd"/>
      <w:r w:rsidRPr="004305AE">
        <w:t xml:space="preserve"> </w:t>
      </w:r>
      <w:proofErr w:type="spellStart"/>
      <w:r w:rsidRPr="004305AE">
        <w:t>informées</w:t>
      </w:r>
      <w:proofErr w:type="spellEnd"/>
      <w:r w:rsidRPr="004305AE">
        <w:t xml:space="preserve">, </w:t>
      </w:r>
      <w:proofErr w:type="spellStart"/>
      <w:r w:rsidRPr="004305AE">
        <w:t>dès</w:t>
      </w:r>
      <w:proofErr w:type="spellEnd"/>
      <w:r w:rsidRPr="004305AE">
        <w:t xml:space="preserve"> le </w:t>
      </w:r>
      <w:proofErr w:type="spellStart"/>
      <w:r w:rsidRPr="004305AE">
        <w:t>lancement</w:t>
      </w:r>
      <w:proofErr w:type="spellEnd"/>
      <w:r w:rsidRPr="004305AE">
        <w:t xml:space="preserve"> </w:t>
      </w:r>
      <w:proofErr w:type="spellStart"/>
      <w:r w:rsidRPr="004305AE">
        <w:t>officiel</w:t>
      </w:r>
      <w:proofErr w:type="spellEnd"/>
      <w:r w:rsidRPr="004305AE">
        <w:t xml:space="preserve"> </w:t>
      </w:r>
      <w:r w:rsidR="007279BF">
        <w:t>d’</w:t>
      </w:r>
      <w:r w:rsidR="007279BF" w:rsidRPr="004F15D1">
        <w:rPr>
          <w:i/>
          <w:iCs/>
        </w:rPr>
        <w:t>Hypotheses.org</w:t>
      </w:r>
      <w:r w:rsidRPr="004305AE">
        <w:t xml:space="preserve">, de la </w:t>
      </w:r>
      <w:proofErr w:type="spellStart"/>
      <w:r w:rsidRPr="004305AE">
        <w:t>possibilité</w:t>
      </w:r>
      <w:proofErr w:type="spellEnd"/>
      <w:r w:rsidRPr="004305AE">
        <w:t xml:space="preserve"> </w:t>
      </w:r>
      <w:proofErr w:type="spellStart"/>
      <w:r w:rsidRPr="004305AE">
        <w:t>d’ouvrir</w:t>
      </w:r>
      <w:proofErr w:type="spellEnd"/>
      <w:r w:rsidRPr="004305AE">
        <w:t xml:space="preserve"> un </w:t>
      </w:r>
      <w:r w:rsidR="00B249CC">
        <w:t xml:space="preserve">carnet de </w:t>
      </w:r>
      <w:r w:rsidR="004513B7">
        <w:t>revue</w:t>
      </w:r>
      <w:r w:rsidR="00EC34C9">
        <w:t xml:space="preserve">, par la communication </w:t>
      </w:r>
      <w:proofErr w:type="spellStart"/>
      <w:proofErr w:type="gramStart"/>
      <w:r w:rsidR="00EC34C9">
        <w:t>suivante</w:t>
      </w:r>
      <w:proofErr w:type="spellEnd"/>
      <w:r w:rsidR="00637B56">
        <w:t xml:space="preserve"> </w:t>
      </w:r>
      <w:r w:rsidR="004513B7">
        <w:t>:</w:t>
      </w:r>
      <w:proofErr w:type="gramEnd"/>
    </w:p>
    <w:p w14:paraId="62D657FA" w14:textId="77777777" w:rsidR="00386DA3" w:rsidRPr="004305AE" w:rsidRDefault="00386DA3" w:rsidP="00386DA3">
      <w:pPr>
        <w:pStyle w:val="Citation"/>
      </w:pPr>
      <w:r w:rsidRPr="004305AE">
        <w:rPr>
          <w:bCs/>
        </w:rPr>
        <w:lastRenderedPageBreak/>
        <w:t>Les carnets de revue</w:t>
      </w:r>
      <w:r w:rsidRPr="004305AE">
        <w:t xml:space="preserve"> sont nés du besoin des revues de communiquer autour de leur actualité et de leur vie éditoriale. Ils vous permettent de diffuser des an</w:t>
      </w:r>
      <w:r>
        <w:t xml:space="preserve">nonces de parutions, d’appels à </w:t>
      </w:r>
      <w:r w:rsidRPr="004305AE">
        <w:t>contribution, de veille scientifique sur le domaine d’étude, des références et recensions d’ouvrage, etc.</w:t>
      </w:r>
    </w:p>
    <w:p w14:paraId="53F9F5C6" w14:textId="77777777" w:rsidR="00386DA3" w:rsidRPr="004305AE" w:rsidRDefault="00386DA3" w:rsidP="00386DA3">
      <w:pPr>
        <w:pStyle w:val="Citation"/>
      </w:pPr>
      <w:r w:rsidRPr="004305AE">
        <w:t xml:space="preserve">Le carnet de revue est aussi, en reprenant les termes du </w:t>
      </w:r>
      <w:r w:rsidRPr="004305AE">
        <w:rPr>
          <w:i/>
        </w:rPr>
        <w:t xml:space="preserve">Blog de </w:t>
      </w:r>
      <w:proofErr w:type="spellStart"/>
      <w:r w:rsidRPr="004305AE">
        <w:rPr>
          <w:i/>
        </w:rPr>
        <w:t>ConTEXTES</w:t>
      </w:r>
      <w:proofErr w:type="spellEnd"/>
      <w:r w:rsidRPr="004305AE">
        <w:t>, un « lieu de discussion privilégié autour des publications de la revue »</w:t>
      </w:r>
      <w:r w:rsidRPr="004305AE">
        <w:rPr>
          <w:i/>
        </w:rPr>
        <w:t xml:space="preserve">. </w:t>
      </w:r>
      <w:r w:rsidRPr="004305AE">
        <w:t xml:space="preserve">Il permet d'ouvrir des débats entre membres de la communauté scientifique et avec vos lecteurs, en rebond des articles publiés. Il peut également « mettre en lien avec l'actualité les articles publiés » par votre revue, pour citer le blog de la revue </w:t>
      </w:r>
      <w:r w:rsidRPr="004305AE">
        <w:rPr>
          <w:i/>
        </w:rPr>
        <w:t>Terrain</w:t>
      </w:r>
      <w:r w:rsidRPr="004305AE">
        <w:t>. Chaque revue peut inventer s</w:t>
      </w:r>
      <w:r>
        <w:t xml:space="preserve">on carnet, et adapter l’outil à </w:t>
      </w:r>
      <w:r w:rsidRPr="004305AE">
        <w:t>ses envies. (LD2, courriel du 20 octobre 2010)</w:t>
      </w:r>
      <w:r w:rsidRPr="004166B2">
        <w:rPr>
          <w:rStyle w:val="Appelnotedebasdep"/>
        </w:rPr>
        <w:footnoteReference w:id="12"/>
      </w:r>
    </w:p>
    <w:p w14:paraId="5DA0457C" w14:textId="6BC4C052" w:rsidR="00386DA3" w:rsidRPr="004305AE" w:rsidRDefault="00386DA3" w:rsidP="00622688">
      <w:pPr>
        <w:spacing w:before="240"/>
        <w:jc w:val="both"/>
      </w:pPr>
      <w:r w:rsidRPr="004305AE">
        <w:t xml:space="preserve">Le message du CSOE </w:t>
      </w:r>
      <w:proofErr w:type="spellStart"/>
      <w:r w:rsidR="006B101A">
        <w:t>entend</w:t>
      </w:r>
      <w:proofErr w:type="spellEnd"/>
      <w:r w:rsidR="006B101A">
        <w:t xml:space="preserve"> </w:t>
      </w:r>
      <w:proofErr w:type="spellStart"/>
      <w:r w:rsidR="006B101A">
        <w:t>ainsi</w:t>
      </w:r>
      <w:proofErr w:type="spellEnd"/>
      <w:r w:rsidR="006B101A">
        <w:t xml:space="preserve"> </w:t>
      </w:r>
      <w:proofErr w:type="spellStart"/>
      <w:r w:rsidRPr="004305AE">
        <w:t>renseigne</w:t>
      </w:r>
      <w:r w:rsidR="006B101A">
        <w:t>r</w:t>
      </w:r>
      <w:proofErr w:type="spellEnd"/>
      <w:r w:rsidRPr="004305AE">
        <w:t xml:space="preserve"> </w:t>
      </w:r>
      <w:proofErr w:type="spellStart"/>
      <w:r w:rsidRPr="004305AE">
        <w:t>l</w:t>
      </w:r>
      <w:r w:rsidR="001F0A62">
        <w:t>’équipe</w:t>
      </w:r>
      <w:proofErr w:type="spellEnd"/>
      <w:r w:rsidR="001F0A62">
        <w:t xml:space="preserve"> </w:t>
      </w:r>
      <w:proofErr w:type="spellStart"/>
      <w:r w:rsidR="001F0A62">
        <w:t>éditoriale</w:t>
      </w:r>
      <w:proofErr w:type="spellEnd"/>
      <w:r w:rsidR="001F0A62">
        <w:t xml:space="preserve"> des</w:t>
      </w:r>
      <w:r w:rsidRPr="004305AE">
        <w:t xml:space="preserve"> revues déjà </w:t>
      </w:r>
      <w:proofErr w:type="spellStart"/>
      <w:r w:rsidRPr="004305AE">
        <w:t>créées</w:t>
      </w:r>
      <w:proofErr w:type="spellEnd"/>
      <w:r w:rsidRPr="004305AE">
        <w:t xml:space="preserve"> sur </w:t>
      </w:r>
      <w:r w:rsidRPr="004305AE">
        <w:rPr>
          <w:i/>
        </w:rPr>
        <w:t>Revues</w:t>
      </w:r>
      <w:r w:rsidRPr="004305AE">
        <w:t>.</w:t>
      </w:r>
      <w:r w:rsidRPr="004305AE">
        <w:rPr>
          <w:i/>
        </w:rPr>
        <w:t>org</w:t>
      </w:r>
      <w:r w:rsidRPr="004305AE">
        <w:t xml:space="preserve"> </w:t>
      </w:r>
      <w:r w:rsidR="00C62924">
        <w:t>quant aux</w:t>
      </w:r>
      <w:r w:rsidRPr="004305AE">
        <w:rPr>
          <w:i/>
        </w:rPr>
        <w:t xml:space="preserve"> </w:t>
      </w:r>
      <w:r w:rsidRPr="004305AE">
        <w:t xml:space="preserve">usages </w:t>
      </w:r>
      <w:proofErr w:type="spellStart"/>
      <w:r w:rsidRPr="004305AE">
        <w:t>possibles</w:t>
      </w:r>
      <w:proofErr w:type="spellEnd"/>
      <w:r w:rsidRPr="004305AE">
        <w:t xml:space="preserve"> d’un carnet de recherche </w:t>
      </w:r>
      <w:proofErr w:type="spellStart"/>
      <w:r w:rsidRPr="004305AE">
        <w:t>adossé</w:t>
      </w:r>
      <w:proofErr w:type="spellEnd"/>
      <w:r w:rsidRPr="004305AE">
        <w:t xml:space="preserve">. Le CSH </w:t>
      </w:r>
      <w:proofErr w:type="spellStart"/>
      <w:r w:rsidRPr="004305AE">
        <w:t>est</w:t>
      </w:r>
      <w:proofErr w:type="spellEnd"/>
      <w:r w:rsidRPr="004305AE">
        <w:t xml:space="preserve"> pour </w:t>
      </w:r>
      <w:proofErr w:type="spellStart"/>
      <w:r w:rsidRPr="004305AE">
        <w:t>sa</w:t>
      </w:r>
      <w:proofErr w:type="spellEnd"/>
      <w:r w:rsidRPr="004305AE">
        <w:t xml:space="preserve"> part </w:t>
      </w:r>
      <w:proofErr w:type="spellStart"/>
      <w:r w:rsidRPr="004305AE">
        <w:t>confronté</w:t>
      </w:r>
      <w:proofErr w:type="spellEnd"/>
      <w:r w:rsidRPr="004305AE">
        <w:t xml:space="preserve"> à des candidatures </w:t>
      </w:r>
      <w:proofErr w:type="spellStart"/>
      <w:r w:rsidRPr="004305AE">
        <w:t>répétées</w:t>
      </w:r>
      <w:proofErr w:type="spellEnd"/>
      <w:r w:rsidRPr="004305AE">
        <w:t xml:space="preserve"> de revues </w:t>
      </w:r>
      <w:proofErr w:type="spellStart"/>
      <w:r w:rsidRPr="004305AE">
        <w:t>numériques</w:t>
      </w:r>
      <w:proofErr w:type="spellEnd"/>
      <w:r w:rsidRPr="004305AE">
        <w:t xml:space="preserve"> </w:t>
      </w:r>
      <w:proofErr w:type="spellStart"/>
      <w:r w:rsidRPr="004305AE">
        <w:t>n’entrant</w:t>
      </w:r>
      <w:proofErr w:type="spellEnd"/>
      <w:r w:rsidRPr="004305AE">
        <w:t xml:space="preserve"> pas dans les conditions </w:t>
      </w:r>
      <w:proofErr w:type="spellStart"/>
      <w:r w:rsidRPr="004305AE">
        <w:t>d’acceptabilité</w:t>
      </w:r>
      <w:proofErr w:type="spellEnd"/>
      <w:r w:rsidRPr="004305AE">
        <w:t xml:space="preserve"> de </w:t>
      </w:r>
      <w:r w:rsidRPr="004305AE">
        <w:rPr>
          <w:i/>
        </w:rPr>
        <w:t>Revues.org</w:t>
      </w:r>
      <w:r w:rsidRPr="004305AE">
        <w:t xml:space="preserve">. Si, </w:t>
      </w:r>
      <w:proofErr w:type="spellStart"/>
      <w:r w:rsidRPr="004305AE">
        <w:t>d’une</w:t>
      </w:r>
      <w:proofErr w:type="spellEnd"/>
      <w:r w:rsidRPr="004305AE">
        <w:t xml:space="preserve"> manière </w:t>
      </w:r>
      <w:proofErr w:type="spellStart"/>
      <w:r w:rsidRPr="004305AE">
        <w:t>générale</w:t>
      </w:r>
      <w:proofErr w:type="spellEnd"/>
      <w:r w:rsidRPr="004305AE">
        <w:t xml:space="preserve">, la liberté des usages </w:t>
      </w:r>
      <w:r w:rsidR="004513B7">
        <w:t xml:space="preserve">sera </w:t>
      </w:r>
      <w:proofErr w:type="spellStart"/>
      <w:r w:rsidRPr="004305AE">
        <w:t>privilégiée</w:t>
      </w:r>
      <w:proofErr w:type="spellEnd"/>
      <w:r w:rsidRPr="004305AE">
        <w:t xml:space="preserve"> pour </w:t>
      </w:r>
      <w:proofErr w:type="spellStart"/>
      <w:r w:rsidRPr="004305AE">
        <w:t>peu</w:t>
      </w:r>
      <w:proofErr w:type="spellEnd"/>
      <w:r w:rsidRPr="004305AE">
        <w:t xml:space="preserve"> que les </w:t>
      </w:r>
      <w:proofErr w:type="spellStart"/>
      <w:r w:rsidRPr="004305AE">
        <w:t>pratiques</w:t>
      </w:r>
      <w:proofErr w:type="spellEnd"/>
      <w:r w:rsidRPr="004305AE">
        <w:t xml:space="preserve"> </w:t>
      </w:r>
      <w:proofErr w:type="spellStart"/>
      <w:r w:rsidRPr="004305AE">
        <w:t>s’inscrivent</w:t>
      </w:r>
      <w:proofErr w:type="spellEnd"/>
      <w:r w:rsidRPr="004305AE">
        <w:t xml:space="preserve"> dans le cadre de la communication </w:t>
      </w:r>
      <w:proofErr w:type="spellStart"/>
      <w:r w:rsidRPr="004305AE">
        <w:t>scientifique</w:t>
      </w:r>
      <w:proofErr w:type="spellEnd"/>
      <w:r w:rsidRPr="004305AE">
        <w:t xml:space="preserve">, </w:t>
      </w:r>
      <w:proofErr w:type="spellStart"/>
      <w:r w:rsidRPr="004305AE">
        <w:t>ces</w:t>
      </w:r>
      <w:proofErr w:type="spellEnd"/>
      <w:r w:rsidRPr="004305AE">
        <w:t xml:space="preserve"> candidatures </w:t>
      </w:r>
      <w:proofErr w:type="spellStart"/>
      <w:r w:rsidRPr="004305AE">
        <w:t>entraînent</w:t>
      </w:r>
      <w:proofErr w:type="spellEnd"/>
      <w:r w:rsidRPr="004305AE">
        <w:t xml:space="preserve"> </w:t>
      </w:r>
      <w:proofErr w:type="spellStart"/>
      <w:r w:rsidRPr="004305AE">
        <w:t>rapidement</w:t>
      </w:r>
      <w:proofErr w:type="spellEnd"/>
      <w:r w:rsidRPr="004305AE">
        <w:t xml:space="preserve"> la </w:t>
      </w:r>
      <w:proofErr w:type="spellStart"/>
      <w:r w:rsidRPr="004305AE">
        <w:t>nécessité</w:t>
      </w:r>
      <w:proofErr w:type="spellEnd"/>
      <w:r w:rsidRPr="004305AE">
        <w:t xml:space="preserve"> de </w:t>
      </w:r>
      <w:proofErr w:type="spellStart"/>
      <w:r w:rsidRPr="004305AE">
        <w:t>définir</w:t>
      </w:r>
      <w:proofErr w:type="spellEnd"/>
      <w:r w:rsidRPr="004305AE">
        <w:t xml:space="preserve"> un </w:t>
      </w:r>
      <w:proofErr w:type="spellStart"/>
      <w:r w:rsidRPr="004305AE">
        <w:t>périmètre</w:t>
      </w:r>
      <w:proofErr w:type="spellEnd"/>
      <w:r w:rsidRPr="004305AE">
        <w:t xml:space="preserve"> </w:t>
      </w:r>
      <w:proofErr w:type="spellStart"/>
      <w:r w:rsidRPr="004305AE">
        <w:t>d’acceptabilité</w:t>
      </w:r>
      <w:proofErr w:type="spellEnd"/>
      <w:r w:rsidRPr="004305AE">
        <w:t xml:space="preserve">. On </w:t>
      </w:r>
      <w:proofErr w:type="spellStart"/>
      <w:r w:rsidRPr="004305AE">
        <w:t>citera</w:t>
      </w:r>
      <w:proofErr w:type="spellEnd"/>
      <w:r w:rsidRPr="004305AE">
        <w:t xml:space="preserve"> à </w:t>
      </w:r>
      <w:proofErr w:type="spellStart"/>
      <w:r w:rsidRPr="004305AE">
        <w:t>cet</w:t>
      </w:r>
      <w:proofErr w:type="spellEnd"/>
      <w:r w:rsidRPr="004305AE">
        <w:t xml:space="preserve"> </w:t>
      </w:r>
      <w:proofErr w:type="spellStart"/>
      <w:r w:rsidRPr="004305AE">
        <w:t>égard</w:t>
      </w:r>
      <w:proofErr w:type="spellEnd"/>
      <w:r w:rsidRPr="004305AE">
        <w:t xml:space="preserve"> </w:t>
      </w:r>
      <w:proofErr w:type="spellStart"/>
      <w:r w:rsidRPr="004305AE">
        <w:t>l’exemple</w:t>
      </w:r>
      <w:proofErr w:type="spellEnd"/>
      <w:r w:rsidRPr="004305AE">
        <w:t xml:space="preserve"> </w:t>
      </w:r>
      <w:proofErr w:type="spellStart"/>
      <w:r w:rsidRPr="004305AE">
        <w:t>d’une</w:t>
      </w:r>
      <w:proofErr w:type="spellEnd"/>
      <w:r w:rsidRPr="004305AE">
        <w:t xml:space="preserve"> candidature </w:t>
      </w:r>
      <w:proofErr w:type="spellStart"/>
      <w:r w:rsidRPr="004305AE">
        <w:t>refusée</w:t>
      </w:r>
      <w:proofErr w:type="spellEnd"/>
      <w:r w:rsidRPr="004305AE">
        <w:t xml:space="preserve"> par </w:t>
      </w:r>
      <w:r w:rsidRPr="004305AE">
        <w:rPr>
          <w:i/>
        </w:rPr>
        <w:t>Revues.org</w:t>
      </w:r>
      <w:r w:rsidRPr="004305AE">
        <w:t xml:space="preserve"> </w:t>
      </w:r>
      <w:proofErr w:type="spellStart"/>
      <w:r w:rsidRPr="004305AE">
        <w:t>aboutissant</w:t>
      </w:r>
      <w:proofErr w:type="spellEnd"/>
      <w:r w:rsidRPr="004305AE">
        <w:t xml:space="preserve"> chez </w:t>
      </w:r>
      <w:r w:rsidRPr="004305AE">
        <w:rPr>
          <w:i/>
        </w:rPr>
        <w:t>Hypoth</w:t>
      </w:r>
      <w:r w:rsidR="0041612F">
        <w:rPr>
          <w:i/>
        </w:rPr>
        <w:t>e</w:t>
      </w:r>
      <w:r w:rsidRPr="004305AE">
        <w:rPr>
          <w:i/>
        </w:rPr>
        <w:t>ses</w:t>
      </w:r>
      <w:r w:rsidR="0041612F">
        <w:rPr>
          <w:i/>
        </w:rPr>
        <w:t>.org</w:t>
      </w:r>
      <w:r w:rsidRPr="004305AE">
        <w:t xml:space="preserve">, qui </w:t>
      </w:r>
      <w:proofErr w:type="spellStart"/>
      <w:r w:rsidRPr="004305AE">
        <w:t>entraîne</w:t>
      </w:r>
      <w:proofErr w:type="spellEnd"/>
      <w:r w:rsidRPr="004305AE">
        <w:t xml:space="preserve"> </w:t>
      </w:r>
      <w:proofErr w:type="spellStart"/>
      <w:r w:rsidRPr="004305AE">
        <w:t>une</w:t>
      </w:r>
      <w:proofErr w:type="spellEnd"/>
      <w:r w:rsidRPr="004305AE">
        <w:t xml:space="preserve"> discussion </w:t>
      </w:r>
      <w:proofErr w:type="spellStart"/>
      <w:r w:rsidRPr="004305AE">
        <w:t>parmi</w:t>
      </w:r>
      <w:proofErr w:type="spellEnd"/>
      <w:r w:rsidRPr="004305AE">
        <w:t xml:space="preserve"> les </w:t>
      </w:r>
      <w:proofErr w:type="spellStart"/>
      <w:r w:rsidRPr="004305AE">
        <w:t>membres</w:t>
      </w:r>
      <w:proofErr w:type="spellEnd"/>
      <w:r w:rsidRPr="004305AE">
        <w:t xml:space="preserve"> du CSH. </w:t>
      </w:r>
      <w:r w:rsidR="003E5F82">
        <w:t xml:space="preserve">Les </w:t>
      </w:r>
      <w:proofErr w:type="spellStart"/>
      <w:r w:rsidR="003E5F82">
        <w:t>échanges</w:t>
      </w:r>
      <w:proofErr w:type="spellEnd"/>
      <w:r w:rsidR="003E5F82">
        <w:t xml:space="preserve"> </w:t>
      </w:r>
      <w:proofErr w:type="spellStart"/>
      <w:r w:rsidR="003E5F82">
        <w:t>témoignent</w:t>
      </w:r>
      <w:proofErr w:type="spellEnd"/>
      <w:r w:rsidR="003E5F82">
        <w:t xml:space="preserve"> </w:t>
      </w:r>
      <w:proofErr w:type="spellStart"/>
      <w:r w:rsidR="003E5F82">
        <w:t>d’une</w:t>
      </w:r>
      <w:proofErr w:type="spellEnd"/>
      <w:r w:rsidR="003E5F82">
        <w:t xml:space="preserve"> attention </w:t>
      </w:r>
      <w:proofErr w:type="spellStart"/>
      <w:r w:rsidR="003E5F82">
        <w:t>portée</w:t>
      </w:r>
      <w:proofErr w:type="spellEnd"/>
      <w:r w:rsidR="003E5F82">
        <w:t xml:space="preserve"> à</w:t>
      </w:r>
      <w:r w:rsidRPr="004305AE">
        <w:t xml:space="preserve"> la </w:t>
      </w:r>
      <w:proofErr w:type="spellStart"/>
      <w:r w:rsidRPr="004305AE">
        <w:t>nécessité</w:t>
      </w:r>
      <w:proofErr w:type="spellEnd"/>
      <w:r w:rsidRPr="004305AE">
        <w:t xml:space="preserve"> de </w:t>
      </w:r>
      <w:proofErr w:type="spellStart"/>
      <w:r w:rsidRPr="004305AE">
        <w:t>préserver</w:t>
      </w:r>
      <w:proofErr w:type="spellEnd"/>
      <w:r w:rsidRPr="004305AE">
        <w:t xml:space="preserve"> la </w:t>
      </w:r>
      <w:proofErr w:type="spellStart"/>
      <w:r w:rsidRPr="004305AE">
        <w:t>spécificité</w:t>
      </w:r>
      <w:proofErr w:type="spellEnd"/>
      <w:r w:rsidRPr="004305AE">
        <w:t xml:space="preserve"> du format « blog » de la </w:t>
      </w:r>
      <w:proofErr w:type="spellStart"/>
      <w:r w:rsidRPr="004305AE">
        <w:t>plateforme</w:t>
      </w:r>
      <w:proofErr w:type="spellEnd"/>
      <w:r w:rsidRPr="004305AE">
        <w:t xml:space="preserve">, </w:t>
      </w:r>
      <w:proofErr w:type="spellStart"/>
      <w:r w:rsidRPr="004305AE">
        <w:t>l’ouverture</w:t>
      </w:r>
      <w:proofErr w:type="spellEnd"/>
      <w:r w:rsidRPr="004305AE">
        <w:t xml:space="preserve"> </w:t>
      </w:r>
      <w:proofErr w:type="spellStart"/>
      <w:r w:rsidRPr="004305AE">
        <w:t>d’une</w:t>
      </w:r>
      <w:proofErr w:type="spellEnd"/>
      <w:r w:rsidRPr="004305AE">
        <w:t xml:space="preserve"> revue sur </w:t>
      </w:r>
      <w:proofErr w:type="spellStart"/>
      <w:r w:rsidRPr="004305AE">
        <w:rPr>
          <w:i/>
        </w:rPr>
        <w:t>Hypothèses</w:t>
      </w:r>
      <w:proofErr w:type="spellEnd"/>
      <w:r w:rsidRPr="004305AE">
        <w:t xml:space="preserve"> </w:t>
      </w:r>
      <w:proofErr w:type="spellStart"/>
      <w:r w:rsidRPr="004305AE">
        <w:t>pouvant</w:t>
      </w:r>
      <w:proofErr w:type="spellEnd"/>
      <w:r w:rsidRPr="004305AE">
        <w:t xml:space="preserve"> </w:t>
      </w:r>
      <w:proofErr w:type="spellStart"/>
      <w:r w:rsidRPr="004305AE">
        <w:t>mener</w:t>
      </w:r>
      <w:proofErr w:type="spellEnd"/>
      <w:r w:rsidRPr="004305AE">
        <w:t xml:space="preserve"> à « </w:t>
      </w:r>
      <w:proofErr w:type="spellStart"/>
      <w:r w:rsidRPr="004305AE">
        <w:t>disqualifie</w:t>
      </w:r>
      <w:proofErr w:type="spellEnd"/>
      <w:r w:rsidRPr="004305AE">
        <w:t xml:space="preserve">[r] les blogs </w:t>
      </w:r>
      <w:proofErr w:type="spellStart"/>
      <w:r w:rsidRPr="004305AE">
        <w:t>comme</w:t>
      </w:r>
      <w:proofErr w:type="spellEnd"/>
      <w:r w:rsidRPr="004305AE">
        <w:t xml:space="preserve"> “genre” et </w:t>
      </w:r>
      <w:proofErr w:type="spellStart"/>
      <w:r w:rsidRPr="004305AE">
        <w:t>comme</w:t>
      </w:r>
      <w:proofErr w:type="spellEnd"/>
      <w:r w:rsidRPr="004305AE">
        <w:t xml:space="preserve"> </w:t>
      </w:r>
      <w:proofErr w:type="spellStart"/>
      <w:r w:rsidRPr="004305AE">
        <w:t>espace</w:t>
      </w:r>
      <w:proofErr w:type="spellEnd"/>
      <w:r w:rsidRPr="004305AE">
        <w:t xml:space="preserve"> de publication </w:t>
      </w:r>
      <w:proofErr w:type="spellStart"/>
      <w:r w:rsidRPr="004305AE">
        <w:t>spécifique</w:t>
      </w:r>
      <w:proofErr w:type="spellEnd"/>
      <w:r w:rsidRPr="004305AE">
        <w:t xml:space="preserve"> » (LD1, </w:t>
      </w:r>
      <w:proofErr w:type="spellStart"/>
      <w:r w:rsidRPr="004305AE">
        <w:t>courriel</w:t>
      </w:r>
      <w:proofErr w:type="spellEnd"/>
      <w:r w:rsidRPr="004305AE">
        <w:t xml:space="preserve"> du 9 </w:t>
      </w:r>
      <w:proofErr w:type="spellStart"/>
      <w:r w:rsidRPr="004305AE">
        <w:t>octobre</w:t>
      </w:r>
      <w:proofErr w:type="spellEnd"/>
      <w:r w:rsidRPr="004305AE">
        <w:t xml:space="preserve"> 2014, 09 :01)</w:t>
      </w:r>
      <w:r w:rsidR="0050260D">
        <w:t>. S</w:t>
      </w:r>
      <w:r w:rsidRPr="004305AE">
        <w:t xml:space="preserve">i </w:t>
      </w:r>
      <w:proofErr w:type="spellStart"/>
      <w:r w:rsidRPr="004305AE">
        <w:t>une</w:t>
      </w:r>
      <w:proofErr w:type="spellEnd"/>
      <w:r w:rsidRPr="004305AE">
        <w:t xml:space="preserve"> publication </w:t>
      </w:r>
      <w:proofErr w:type="spellStart"/>
      <w:r w:rsidRPr="004305AE">
        <w:t>refusée</w:t>
      </w:r>
      <w:proofErr w:type="spellEnd"/>
      <w:r w:rsidRPr="004305AE">
        <w:t xml:space="preserve"> par </w:t>
      </w:r>
      <w:r w:rsidRPr="004305AE">
        <w:rPr>
          <w:i/>
        </w:rPr>
        <w:t xml:space="preserve">Revues.org </w:t>
      </w:r>
      <w:proofErr w:type="spellStart"/>
      <w:r w:rsidRPr="004305AE">
        <w:t>trouvait</w:t>
      </w:r>
      <w:proofErr w:type="spellEnd"/>
      <w:r w:rsidRPr="004305AE">
        <w:t xml:space="preserve"> </w:t>
      </w:r>
      <w:proofErr w:type="spellStart"/>
      <w:r w:rsidRPr="004305AE">
        <w:t>sa</w:t>
      </w:r>
      <w:proofErr w:type="spellEnd"/>
      <w:r w:rsidRPr="004305AE">
        <w:t xml:space="preserve"> place sur </w:t>
      </w:r>
      <w:r w:rsidRPr="004305AE">
        <w:rPr>
          <w:i/>
        </w:rPr>
        <w:t>Hypoth</w:t>
      </w:r>
      <w:r w:rsidR="00905974">
        <w:rPr>
          <w:i/>
        </w:rPr>
        <w:t>e</w:t>
      </w:r>
      <w:r w:rsidRPr="004305AE">
        <w:rPr>
          <w:i/>
        </w:rPr>
        <w:t>ses</w:t>
      </w:r>
      <w:r w:rsidR="00905974">
        <w:rPr>
          <w:i/>
        </w:rPr>
        <w:t>.org</w:t>
      </w:r>
      <w:r w:rsidRPr="004305AE">
        <w:t xml:space="preserve">, </w:t>
      </w:r>
      <w:proofErr w:type="spellStart"/>
      <w:r w:rsidRPr="004305AE">
        <w:t>cela</w:t>
      </w:r>
      <w:proofErr w:type="spellEnd"/>
      <w:r w:rsidRPr="004305AE">
        <w:t xml:space="preserve"> </w:t>
      </w:r>
      <w:proofErr w:type="spellStart"/>
      <w:r w:rsidRPr="004305AE">
        <w:t>reviendrai</w:t>
      </w:r>
      <w:r w:rsidR="0050260D" w:rsidRPr="004305AE">
        <w:t>t</w:t>
      </w:r>
      <w:proofErr w:type="spellEnd"/>
      <w:r w:rsidR="0050260D">
        <w:t xml:space="preserve"> </w:t>
      </w:r>
      <w:proofErr w:type="spellStart"/>
      <w:r w:rsidR="0050260D">
        <w:t>en</w:t>
      </w:r>
      <w:proofErr w:type="spellEnd"/>
      <w:r w:rsidR="0050260D">
        <w:t xml:space="preserve"> </w:t>
      </w:r>
      <w:proofErr w:type="spellStart"/>
      <w:r w:rsidR="0050260D">
        <w:t>effet</w:t>
      </w:r>
      <w:proofErr w:type="spellEnd"/>
      <w:r w:rsidR="0050260D">
        <w:t xml:space="preserve"> </w:t>
      </w:r>
      <w:r w:rsidRPr="004305AE">
        <w:t>à « </w:t>
      </w:r>
      <w:proofErr w:type="spellStart"/>
      <w:r w:rsidRPr="004305AE">
        <w:t>cré</w:t>
      </w:r>
      <w:proofErr w:type="spellEnd"/>
      <w:r w:rsidRPr="004305AE">
        <w:t>[</w:t>
      </w:r>
      <w:proofErr w:type="spellStart"/>
      <w:r w:rsidRPr="004305AE">
        <w:t>er</w:t>
      </w:r>
      <w:proofErr w:type="spellEnd"/>
      <w:r w:rsidRPr="004305AE">
        <w:t xml:space="preserve">] </w:t>
      </w:r>
      <w:proofErr w:type="spellStart"/>
      <w:r w:rsidRPr="004305AE">
        <w:t>une</w:t>
      </w:r>
      <w:proofErr w:type="spellEnd"/>
      <w:r w:rsidRPr="004305AE">
        <w:t xml:space="preserve"> </w:t>
      </w:r>
      <w:proofErr w:type="spellStart"/>
      <w:r w:rsidRPr="004305AE">
        <w:t>sorte</w:t>
      </w:r>
      <w:proofErr w:type="spellEnd"/>
      <w:r w:rsidRPr="004305AE">
        <w:t xml:space="preserve"> de </w:t>
      </w:r>
      <w:proofErr w:type="spellStart"/>
      <w:r w:rsidRPr="004305AE">
        <w:t>hiérarchie</w:t>
      </w:r>
      <w:proofErr w:type="spellEnd"/>
      <w:r w:rsidRPr="004305AE">
        <w:t xml:space="preserve"> </w:t>
      </w:r>
      <w:proofErr w:type="spellStart"/>
      <w:r w:rsidRPr="004305AE">
        <w:t>là</w:t>
      </w:r>
      <w:proofErr w:type="spellEnd"/>
      <w:r w:rsidRPr="004305AE">
        <w:t xml:space="preserve"> </w:t>
      </w:r>
      <w:proofErr w:type="spellStart"/>
      <w:r w:rsidRPr="004305AE">
        <w:t>où</w:t>
      </w:r>
      <w:proofErr w:type="spellEnd"/>
      <w:r w:rsidRPr="004305AE">
        <w:t xml:space="preserve"> </w:t>
      </w:r>
      <w:proofErr w:type="spellStart"/>
      <w:r w:rsidRPr="004305AE">
        <w:t>il</w:t>
      </w:r>
      <w:proofErr w:type="spellEnd"/>
      <w:r w:rsidRPr="004305AE">
        <w:t xml:space="preserve"> y </w:t>
      </w:r>
      <w:proofErr w:type="gramStart"/>
      <w:r w:rsidRPr="004305AE">
        <w:t>a</w:t>
      </w:r>
      <w:proofErr w:type="gramEnd"/>
      <w:r w:rsidRPr="004305AE">
        <w:t xml:space="preserve"> </w:t>
      </w:r>
      <w:proofErr w:type="spellStart"/>
      <w:r w:rsidRPr="004305AE">
        <w:t>en</w:t>
      </w:r>
      <w:proofErr w:type="spellEnd"/>
      <w:r w:rsidRPr="004305AE">
        <w:t xml:space="preserve"> </w:t>
      </w:r>
      <w:proofErr w:type="spellStart"/>
      <w:r w:rsidRPr="004305AE">
        <w:t>réalité</w:t>
      </w:r>
      <w:proofErr w:type="spellEnd"/>
      <w:r w:rsidRPr="004305AE">
        <w:t xml:space="preserve"> [des] </w:t>
      </w:r>
      <w:proofErr w:type="spellStart"/>
      <w:r w:rsidRPr="004305AE">
        <w:t>pratiques</w:t>
      </w:r>
      <w:proofErr w:type="spellEnd"/>
      <w:r w:rsidRPr="004305AE">
        <w:t xml:space="preserve"> </w:t>
      </w:r>
      <w:proofErr w:type="spellStart"/>
      <w:r w:rsidRPr="004305AE">
        <w:t>différentes</w:t>
      </w:r>
      <w:proofErr w:type="spellEnd"/>
      <w:r w:rsidRPr="004305AE">
        <w:t xml:space="preserve"> » (LD1, </w:t>
      </w:r>
      <w:proofErr w:type="spellStart"/>
      <w:r w:rsidRPr="004305AE">
        <w:t>courriel</w:t>
      </w:r>
      <w:proofErr w:type="spellEnd"/>
      <w:r w:rsidRPr="004305AE">
        <w:t xml:space="preserve"> du 9 </w:t>
      </w:r>
      <w:proofErr w:type="spellStart"/>
      <w:r w:rsidRPr="004305AE">
        <w:t>octobre</w:t>
      </w:r>
      <w:proofErr w:type="spellEnd"/>
      <w:r w:rsidRPr="004305AE">
        <w:t xml:space="preserve"> 2014, 09 :41). La solution </w:t>
      </w:r>
      <w:proofErr w:type="spellStart"/>
      <w:r w:rsidRPr="004305AE">
        <w:t>consiste</w:t>
      </w:r>
      <w:proofErr w:type="spellEnd"/>
      <w:r w:rsidRPr="004305AE">
        <w:t xml:space="preserve"> </w:t>
      </w:r>
      <w:proofErr w:type="spellStart"/>
      <w:r w:rsidRPr="004305AE">
        <w:t>alors</w:t>
      </w:r>
      <w:proofErr w:type="spellEnd"/>
      <w:r w:rsidRPr="004305AE">
        <w:t xml:space="preserve"> à </w:t>
      </w:r>
      <w:proofErr w:type="spellStart"/>
      <w:r w:rsidRPr="004305AE">
        <w:t>élaborer</w:t>
      </w:r>
      <w:proofErr w:type="spellEnd"/>
      <w:r w:rsidRPr="004305AE">
        <w:t xml:space="preserve"> un « </w:t>
      </w:r>
      <w:proofErr w:type="spellStart"/>
      <w:r w:rsidRPr="004305AE">
        <w:t>projet</w:t>
      </w:r>
      <w:proofErr w:type="spellEnd"/>
      <w:r w:rsidRPr="004305AE">
        <w:t xml:space="preserve"> </w:t>
      </w:r>
      <w:proofErr w:type="spellStart"/>
      <w:r w:rsidRPr="004305AE">
        <w:t>positif</w:t>
      </w:r>
      <w:proofErr w:type="spellEnd"/>
      <w:r w:rsidRPr="004305AE">
        <w:t xml:space="preserve"> </w:t>
      </w:r>
      <w:proofErr w:type="spellStart"/>
      <w:r w:rsidRPr="004305AE">
        <w:t>autour</w:t>
      </w:r>
      <w:proofErr w:type="spellEnd"/>
      <w:r w:rsidRPr="004305AE">
        <w:t xml:space="preserve"> de </w:t>
      </w:r>
      <w:proofErr w:type="spellStart"/>
      <w:r w:rsidRPr="004305AE">
        <w:t>cet</w:t>
      </w:r>
      <w:proofErr w:type="spellEnd"/>
      <w:r w:rsidRPr="004305AE">
        <w:t xml:space="preserve"> </w:t>
      </w:r>
      <w:proofErr w:type="spellStart"/>
      <w:r w:rsidRPr="004305AE">
        <w:t>objet</w:t>
      </w:r>
      <w:proofErr w:type="spellEnd"/>
      <w:r w:rsidRPr="004305AE">
        <w:t xml:space="preserve"> </w:t>
      </w:r>
      <w:proofErr w:type="spellStart"/>
      <w:r w:rsidRPr="004305AE">
        <w:t>éditorial</w:t>
      </w:r>
      <w:proofErr w:type="spellEnd"/>
      <w:r w:rsidRPr="004305AE">
        <w:t xml:space="preserve"> qui </w:t>
      </w:r>
      <w:proofErr w:type="spellStart"/>
      <w:r w:rsidRPr="004305AE">
        <w:t>est</w:t>
      </w:r>
      <w:proofErr w:type="spellEnd"/>
      <w:r w:rsidRPr="004305AE">
        <w:t xml:space="preserve"> le carnet de revue » (LD1, </w:t>
      </w:r>
      <w:proofErr w:type="spellStart"/>
      <w:r w:rsidRPr="004305AE">
        <w:t>courriel</w:t>
      </w:r>
      <w:proofErr w:type="spellEnd"/>
      <w:r w:rsidRPr="004305AE">
        <w:t xml:space="preserve"> du 10 </w:t>
      </w:r>
      <w:proofErr w:type="spellStart"/>
      <w:r w:rsidRPr="004305AE">
        <w:t>octobre</w:t>
      </w:r>
      <w:proofErr w:type="spellEnd"/>
      <w:r w:rsidRPr="004305AE">
        <w:t xml:space="preserve"> 2014), </w:t>
      </w:r>
      <w:proofErr w:type="spellStart"/>
      <w:r w:rsidRPr="004305AE">
        <w:t>renvoyant</w:t>
      </w:r>
      <w:proofErr w:type="spellEnd"/>
      <w:r w:rsidRPr="004305AE">
        <w:t xml:space="preserve"> aux </w:t>
      </w:r>
      <w:proofErr w:type="spellStart"/>
      <w:r w:rsidRPr="004305AE">
        <w:t>modèles</w:t>
      </w:r>
      <w:proofErr w:type="spellEnd"/>
      <w:r w:rsidRPr="004305AE">
        <w:t xml:space="preserve"> de carnets</w:t>
      </w:r>
      <w:r>
        <w:t xml:space="preserve"> déjà</w:t>
      </w:r>
      <w:r w:rsidRPr="004305AE">
        <w:t xml:space="preserve"> </w:t>
      </w:r>
      <w:proofErr w:type="spellStart"/>
      <w:r w:rsidRPr="004305AE">
        <w:t>créés</w:t>
      </w:r>
      <w:proofErr w:type="spellEnd"/>
      <w:r w:rsidRPr="004305AE">
        <w:t xml:space="preserve"> à </w:t>
      </w:r>
      <w:proofErr w:type="spellStart"/>
      <w:r w:rsidRPr="004305AE">
        <w:t>partir</w:t>
      </w:r>
      <w:proofErr w:type="spellEnd"/>
      <w:r w:rsidRPr="004305AE">
        <w:t xml:space="preserve"> </w:t>
      </w:r>
      <w:proofErr w:type="spellStart"/>
      <w:r w:rsidRPr="004305AE">
        <w:t>d’une</w:t>
      </w:r>
      <w:proofErr w:type="spellEnd"/>
      <w:r w:rsidRPr="004305AE">
        <w:t xml:space="preserve"> revue </w:t>
      </w:r>
      <w:proofErr w:type="spellStart"/>
      <w:r w:rsidRPr="004305AE">
        <w:t>existante</w:t>
      </w:r>
      <w:proofErr w:type="spellEnd"/>
      <w:r w:rsidRPr="004305AE">
        <w:t xml:space="preserve"> et </w:t>
      </w:r>
      <w:proofErr w:type="spellStart"/>
      <w:r w:rsidRPr="004305AE">
        <w:t>fédérant</w:t>
      </w:r>
      <w:proofErr w:type="spellEnd"/>
      <w:r w:rsidRPr="004305AE">
        <w:t xml:space="preserve"> </w:t>
      </w:r>
      <w:proofErr w:type="spellStart"/>
      <w:r w:rsidRPr="004305AE">
        <w:t>une</w:t>
      </w:r>
      <w:proofErr w:type="spellEnd"/>
      <w:r w:rsidRPr="004305AE">
        <w:t xml:space="preserve"> </w:t>
      </w:r>
      <w:proofErr w:type="spellStart"/>
      <w:r w:rsidRPr="004305AE">
        <w:t>communauté</w:t>
      </w:r>
      <w:proofErr w:type="spellEnd"/>
      <w:r w:rsidRPr="004305AE">
        <w:t xml:space="preserve"> de </w:t>
      </w:r>
      <w:proofErr w:type="spellStart"/>
      <w:r w:rsidRPr="004305AE">
        <w:t>lecteurs</w:t>
      </w:r>
      <w:proofErr w:type="spellEnd"/>
      <w:r w:rsidRPr="004305AE">
        <w:t xml:space="preserve"> </w:t>
      </w:r>
      <w:proofErr w:type="spellStart"/>
      <w:r w:rsidRPr="004305AE">
        <w:t>autour</w:t>
      </w:r>
      <w:proofErr w:type="spellEnd"/>
      <w:r w:rsidRPr="004305AE">
        <w:t xml:space="preserve"> des </w:t>
      </w:r>
      <w:proofErr w:type="spellStart"/>
      <w:r w:rsidRPr="004305AE">
        <w:t>actualités</w:t>
      </w:r>
      <w:proofErr w:type="spellEnd"/>
      <w:r w:rsidRPr="004305AE">
        <w:t xml:space="preserve"> de la revue. </w:t>
      </w:r>
      <w:proofErr w:type="spellStart"/>
      <w:r w:rsidR="004A0861">
        <w:t>L’un</w:t>
      </w:r>
      <w:proofErr w:type="spellEnd"/>
      <w:r w:rsidR="004A0861">
        <w:t xml:space="preserve"> des </w:t>
      </w:r>
      <w:proofErr w:type="spellStart"/>
      <w:r w:rsidR="00EE7A47">
        <w:t>mé</w:t>
      </w:r>
      <w:r w:rsidR="004A0861">
        <w:t>dias</w:t>
      </w:r>
      <w:proofErr w:type="spellEnd"/>
      <w:r w:rsidR="004A0861">
        <w:t xml:space="preserve"> </w:t>
      </w:r>
      <w:proofErr w:type="spellStart"/>
      <w:r w:rsidR="004A0861">
        <w:t>véhiculant</w:t>
      </w:r>
      <w:proofErr w:type="spellEnd"/>
      <w:r w:rsidR="004A0861">
        <w:t xml:space="preserve"> </w:t>
      </w:r>
      <w:proofErr w:type="spellStart"/>
      <w:r w:rsidR="004A0861">
        <w:t>ce</w:t>
      </w:r>
      <w:proofErr w:type="spellEnd"/>
      <w:r w:rsidR="004A0861">
        <w:t xml:space="preserve"> </w:t>
      </w:r>
      <w:proofErr w:type="spellStart"/>
      <w:r w:rsidR="004A0861">
        <w:t>projet</w:t>
      </w:r>
      <w:proofErr w:type="spellEnd"/>
      <w:r w:rsidR="004A0861">
        <w:t xml:space="preserve"> </w:t>
      </w:r>
      <w:proofErr w:type="spellStart"/>
      <w:r w:rsidR="004A0861">
        <w:t>positif</w:t>
      </w:r>
      <w:proofErr w:type="spellEnd"/>
      <w:r w:rsidR="004A0861">
        <w:t xml:space="preserve"> </w:t>
      </w:r>
      <w:proofErr w:type="spellStart"/>
      <w:r w:rsidR="004A0861">
        <w:t>est</w:t>
      </w:r>
      <w:proofErr w:type="spellEnd"/>
      <w:r w:rsidR="004A0861">
        <w:t xml:space="preserve"> la Une de la </w:t>
      </w:r>
      <w:proofErr w:type="spellStart"/>
      <w:r w:rsidR="004A0861">
        <w:t>plateforme</w:t>
      </w:r>
      <w:proofErr w:type="spellEnd"/>
      <w:r w:rsidR="004A0861">
        <w:t xml:space="preserve">, </w:t>
      </w:r>
      <w:proofErr w:type="spellStart"/>
      <w:r w:rsidR="004A0861">
        <w:t>épinglant</w:t>
      </w:r>
      <w:proofErr w:type="spellEnd"/>
      <w:r w:rsidR="004A0861">
        <w:t xml:space="preserve"> </w:t>
      </w:r>
      <w:proofErr w:type="spellStart"/>
      <w:r w:rsidR="004A0861">
        <w:t>régulièrement</w:t>
      </w:r>
      <w:proofErr w:type="spellEnd"/>
      <w:r w:rsidR="004A0861">
        <w:t xml:space="preserve"> dans son bandeau </w:t>
      </w:r>
      <w:proofErr w:type="spellStart"/>
      <w:r w:rsidR="004A0861">
        <w:t>défilant</w:t>
      </w:r>
      <w:proofErr w:type="spellEnd"/>
      <w:r w:rsidR="004A0861">
        <w:t xml:space="preserve"> des publications </w:t>
      </w:r>
      <w:proofErr w:type="spellStart"/>
      <w:r w:rsidR="004A0861">
        <w:t>jugées</w:t>
      </w:r>
      <w:proofErr w:type="spellEnd"/>
      <w:r w:rsidR="004A0861">
        <w:t xml:space="preserve"> </w:t>
      </w:r>
      <w:proofErr w:type="spellStart"/>
      <w:r w:rsidR="004A0861">
        <w:t>dignes</w:t>
      </w:r>
      <w:proofErr w:type="spellEnd"/>
      <w:r w:rsidR="004A0861">
        <w:t xml:space="preserve"> </w:t>
      </w:r>
      <w:proofErr w:type="spellStart"/>
      <w:r w:rsidR="004A0861">
        <w:t>d’intérêt</w:t>
      </w:r>
      <w:proofErr w:type="spellEnd"/>
      <w:r w:rsidR="004A0861">
        <w:t xml:space="preserve"> par le </w:t>
      </w:r>
      <w:proofErr w:type="spellStart"/>
      <w:r w:rsidR="004A0861">
        <w:t>comité</w:t>
      </w:r>
      <w:proofErr w:type="spellEnd"/>
      <w:r w:rsidR="004A0861">
        <w:t xml:space="preserve"> </w:t>
      </w:r>
      <w:proofErr w:type="spellStart"/>
      <w:r w:rsidR="00EF580E">
        <w:t>é</w:t>
      </w:r>
      <w:r w:rsidR="004A0861">
        <w:t>ditorial</w:t>
      </w:r>
      <w:proofErr w:type="spellEnd"/>
      <w:r w:rsidR="00EF580E">
        <w:t xml:space="preserve"> </w:t>
      </w:r>
      <w:proofErr w:type="spellStart"/>
      <w:r w:rsidR="00EF580E">
        <w:t>d’</w:t>
      </w:r>
      <w:r w:rsidR="00EF580E" w:rsidRPr="00EF580E">
        <w:rPr>
          <w:i/>
        </w:rPr>
        <w:t>OE</w:t>
      </w:r>
      <w:proofErr w:type="spellEnd"/>
      <w:r w:rsidR="004A0861">
        <w:t>.</w:t>
      </w:r>
    </w:p>
    <w:p w14:paraId="329412E5" w14:textId="7623286A" w:rsidR="00C61666" w:rsidRPr="00D77966" w:rsidRDefault="004E5509" w:rsidP="00C61666">
      <w:pPr>
        <w:pStyle w:val="Titre1"/>
        <w:rPr>
          <w:rFonts w:ascii="Helvetica" w:hAnsi="Helvetica"/>
          <w:i/>
          <w:sz w:val="22"/>
          <w:szCs w:val="22"/>
        </w:rPr>
      </w:pPr>
      <w:r w:rsidRPr="00D77966">
        <w:rPr>
          <w:rFonts w:ascii="Helvetica" w:hAnsi="Helvetica"/>
          <w:i/>
          <w:sz w:val="22"/>
          <w:szCs w:val="22"/>
        </w:rPr>
        <w:t>Panorama des revues du corpus</w:t>
      </w:r>
    </w:p>
    <w:p w14:paraId="586E68AE" w14:textId="6D512CFF" w:rsidR="00306638" w:rsidRDefault="00EF580E" w:rsidP="000C6A37">
      <w:pPr>
        <w:jc w:val="both"/>
        <w:rPr>
          <w:lang w:val="fr-BE"/>
        </w:rPr>
      </w:pPr>
      <w:r>
        <w:rPr>
          <w:lang w:val="fr-BE"/>
        </w:rPr>
        <w:t>Le panorama des revues auxquelles sont adossés les carnets d’accompagnement p</w:t>
      </w:r>
      <w:r w:rsidR="00721C10" w:rsidRPr="00721C10">
        <w:rPr>
          <w:lang w:val="fr-BE"/>
        </w:rPr>
        <w:t xml:space="preserve">ermet de donner une vision globale de la présence en ligne des revues qui ont un blog sur </w:t>
      </w:r>
      <w:r w:rsidR="00721C10" w:rsidRPr="00EF580E">
        <w:rPr>
          <w:i/>
          <w:lang w:val="fr-BE"/>
        </w:rPr>
        <w:t>Hypoth</w:t>
      </w:r>
      <w:r>
        <w:rPr>
          <w:i/>
          <w:lang w:val="fr-BE"/>
        </w:rPr>
        <w:t>e</w:t>
      </w:r>
      <w:r w:rsidR="00721C10" w:rsidRPr="00EF580E">
        <w:rPr>
          <w:i/>
          <w:lang w:val="fr-BE"/>
        </w:rPr>
        <w:t>ses</w:t>
      </w:r>
      <w:r w:rsidRPr="00EF580E">
        <w:rPr>
          <w:i/>
          <w:lang w:val="fr-BE"/>
        </w:rPr>
        <w:t>.org</w:t>
      </w:r>
      <w:r>
        <w:rPr>
          <w:lang w:val="fr-BE"/>
        </w:rPr>
        <w:t>. Pour cela, nous avons analysé les formats de publications, la présence éventuelle des revues sur d’autres plateformes, sur des bases de données bibliographiques, leur(s) discipline(s) et leur périodicité (voir Tab</w:t>
      </w:r>
      <w:r w:rsidR="00C32888">
        <w:rPr>
          <w:lang w:val="fr-BE"/>
        </w:rPr>
        <w:t>leau n°1</w:t>
      </w:r>
      <w:r>
        <w:rPr>
          <w:lang w:val="fr-BE"/>
        </w:rPr>
        <w:t>).</w:t>
      </w:r>
    </w:p>
    <w:p w14:paraId="0023E86C" w14:textId="1495A2DA" w:rsidR="00EF580E" w:rsidRPr="00306638" w:rsidRDefault="00EF580E" w:rsidP="001A27D0">
      <w:pPr>
        <w:rPr>
          <w:lang w:val="fr-BE"/>
        </w:rPr>
      </w:pPr>
      <w:r>
        <w:rPr>
          <w:lang w:val="fr-BE"/>
        </w:rPr>
        <w:t xml:space="preserve">Pour ce qui est des formats de publications, les 37 revues se répartissent comme suit : </w:t>
      </w:r>
    </w:p>
    <w:p w14:paraId="1EB2B14E" w14:textId="77777777" w:rsidR="00306638" w:rsidRPr="00306638" w:rsidRDefault="00306638" w:rsidP="00306638">
      <w:pPr>
        <w:numPr>
          <w:ilvl w:val="0"/>
          <w:numId w:val="7"/>
        </w:numPr>
        <w:spacing w:after="0" w:line="240" w:lineRule="auto"/>
        <w:contextualSpacing/>
        <w:rPr>
          <w:lang w:val="fr-BE"/>
        </w:rPr>
      </w:pPr>
      <w:r w:rsidRPr="00306638">
        <w:rPr>
          <w:lang w:val="fr-BE"/>
        </w:rPr>
        <w:t>5 revues sont publiées au seul format papier ;</w:t>
      </w:r>
    </w:p>
    <w:p w14:paraId="4848CBDC" w14:textId="77777777" w:rsidR="00306638" w:rsidRPr="00306638" w:rsidRDefault="00306638" w:rsidP="00306638">
      <w:pPr>
        <w:numPr>
          <w:ilvl w:val="0"/>
          <w:numId w:val="7"/>
        </w:numPr>
        <w:spacing w:after="0" w:line="240" w:lineRule="auto"/>
        <w:contextualSpacing/>
        <w:rPr>
          <w:lang w:val="fr-BE"/>
        </w:rPr>
      </w:pPr>
      <w:r w:rsidRPr="00306638">
        <w:rPr>
          <w:lang w:val="fr-BE"/>
        </w:rPr>
        <w:t>20 revues sont publiées à la fois au format papier et électronique ;</w:t>
      </w:r>
    </w:p>
    <w:p w14:paraId="2BC19E8D" w14:textId="77777777" w:rsidR="00306638" w:rsidRPr="00306638" w:rsidRDefault="00306638" w:rsidP="00306638">
      <w:pPr>
        <w:numPr>
          <w:ilvl w:val="0"/>
          <w:numId w:val="7"/>
        </w:numPr>
        <w:spacing w:after="0" w:line="240" w:lineRule="auto"/>
        <w:contextualSpacing/>
        <w:rPr>
          <w:lang w:val="fr-BE"/>
        </w:rPr>
      </w:pPr>
      <w:r w:rsidRPr="00306638">
        <w:rPr>
          <w:lang w:val="fr-BE"/>
        </w:rPr>
        <w:t>12 sont publiées au seul format électronique.</w:t>
      </w:r>
    </w:p>
    <w:p w14:paraId="3DEC42B7" w14:textId="77777777" w:rsidR="00306638" w:rsidRPr="00306638" w:rsidRDefault="00306638" w:rsidP="00306638">
      <w:pPr>
        <w:spacing w:after="0" w:line="240" w:lineRule="auto"/>
        <w:contextualSpacing/>
        <w:rPr>
          <w:rFonts w:ascii="Calibri" w:eastAsia="Calibri" w:hAnsi="Calibri" w:cs="Times New Roman"/>
          <w:lang w:val="fr-BE"/>
        </w:rPr>
      </w:pPr>
    </w:p>
    <w:p w14:paraId="43357832" w14:textId="7BC81D42" w:rsidR="00306638" w:rsidRPr="00306638" w:rsidRDefault="00EF580E" w:rsidP="00EF580E">
      <w:pPr>
        <w:spacing w:after="0" w:line="240" w:lineRule="auto"/>
        <w:contextualSpacing/>
        <w:jc w:val="center"/>
        <w:rPr>
          <w:rFonts w:ascii="Calibri" w:eastAsia="Calibri" w:hAnsi="Calibri" w:cs="Times New Roman"/>
          <w:lang w:val="fr-BE"/>
        </w:rPr>
      </w:pPr>
      <w:proofErr w:type="spellStart"/>
      <w:r w:rsidRPr="00744096">
        <w:rPr>
          <w:rFonts w:ascii="Calibri" w:eastAsia="Calibri" w:hAnsi="Calibri" w:cs="Times New Roman"/>
          <w:highlight w:val="yellow"/>
          <w:lang w:val="fr-BE"/>
        </w:rPr>
        <w:lastRenderedPageBreak/>
        <w:t>Tab</w:t>
      </w:r>
      <w:r w:rsidR="00C32888" w:rsidRPr="00744096">
        <w:rPr>
          <w:rFonts w:ascii="Calibri" w:eastAsia="Calibri" w:hAnsi="Calibri" w:cs="Times New Roman"/>
          <w:highlight w:val="yellow"/>
          <w:lang w:val="fr-BE"/>
        </w:rPr>
        <w:t>.</w:t>
      </w:r>
      <w:proofErr w:type="spellEnd"/>
      <w:r w:rsidRPr="00744096">
        <w:rPr>
          <w:rFonts w:ascii="Calibri" w:eastAsia="Calibri" w:hAnsi="Calibri" w:cs="Times New Roman"/>
          <w:highlight w:val="yellow"/>
          <w:lang w:val="fr-BE"/>
        </w:rPr>
        <w:t xml:space="preserve"> 1 : synthèse des informations sur la présence en ligne des revues</w:t>
      </w:r>
    </w:p>
    <w:p w14:paraId="7550F698" w14:textId="01B3E595" w:rsidR="00306638" w:rsidRPr="00306638" w:rsidRDefault="00306638" w:rsidP="001A27D0">
      <w:pPr>
        <w:rPr>
          <w:lang w:val="fr-BE"/>
        </w:rPr>
      </w:pPr>
      <w:r w:rsidRPr="00306638">
        <w:rPr>
          <w:lang w:val="fr-BE"/>
        </w:rPr>
        <w:t>Parmi les 32 revues existant au format électronique</w:t>
      </w:r>
      <w:r w:rsidRPr="004E5509">
        <w:rPr>
          <w:vertAlign w:val="superscript"/>
          <w:lang w:val="fr-BE"/>
        </w:rPr>
        <w:footnoteReference w:id="13"/>
      </w:r>
      <w:r w:rsidRPr="004E5509">
        <w:rPr>
          <w:vertAlign w:val="superscript"/>
          <w:lang w:val="fr-BE"/>
        </w:rPr>
        <w:t> </w:t>
      </w:r>
      <w:r w:rsidRPr="00306638">
        <w:rPr>
          <w:lang w:val="fr-BE"/>
        </w:rPr>
        <w:t>:</w:t>
      </w:r>
    </w:p>
    <w:p w14:paraId="3E111CA8" w14:textId="321D0674" w:rsidR="00306638" w:rsidRPr="004E5509" w:rsidRDefault="00306638" w:rsidP="000C6A37">
      <w:pPr>
        <w:pStyle w:val="Paragraphedeliste"/>
        <w:numPr>
          <w:ilvl w:val="0"/>
          <w:numId w:val="16"/>
        </w:numPr>
        <w:jc w:val="both"/>
        <w:rPr>
          <w:lang w:val="fr-BE"/>
        </w:rPr>
      </w:pPr>
      <w:r w:rsidRPr="004E5509">
        <w:rPr>
          <w:lang w:val="fr-BE"/>
        </w:rPr>
        <w:t xml:space="preserve">20 sont publiées sur </w:t>
      </w:r>
      <w:r w:rsidRPr="004E5509">
        <w:rPr>
          <w:i/>
          <w:lang w:val="fr-BE"/>
        </w:rPr>
        <w:t>O</w:t>
      </w:r>
      <w:r w:rsidR="00EF580E">
        <w:rPr>
          <w:i/>
          <w:lang w:val="fr-BE"/>
        </w:rPr>
        <w:t>E</w:t>
      </w:r>
      <w:r w:rsidRPr="004E5509">
        <w:rPr>
          <w:lang w:val="fr-BE"/>
        </w:rPr>
        <w:t xml:space="preserve"> (17 ne l’étant que sur cette plateforme) ;</w:t>
      </w:r>
    </w:p>
    <w:p w14:paraId="31852130" w14:textId="74347B2A" w:rsidR="00306638" w:rsidRPr="004E5509" w:rsidRDefault="00306638" w:rsidP="000C6A37">
      <w:pPr>
        <w:pStyle w:val="Paragraphedeliste"/>
        <w:numPr>
          <w:ilvl w:val="0"/>
          <w:numId w:val="16"/>
        </w:numPr>
        <w:jc w:val="both"/>
        <w:rPr>
          <w:lang w:val="fr-BE"/>
        </w:rPr>
      </w:pPr>
      <w:r w:rsidRPr="004E5509">
        <w:rPr>
          <w:lang w:val="fr-BE"/>
        </w:rPr>
        <w:t xml:space="preserve">14 sont publiées sur </w:t>
      </w:r>
      <w:r w:rsidR="00A970EB">
        <w:rPr>
          <w:i/>
          <w:lang w:val="fr-BE"/>
        </w:rPr>
        <w:t>Cairn.info</w:t>
      </w:r>
      <w:r w:rsidRPr="004E5509">
        <w:rPr>
          <w:lang w:val="fr-BE"/>
        </w:rPr>
        <w:t xml:space="preserve"> (3 l’étant sur l’une et l’autre plateforme simultanément, et 11 l’étant uniquement sur </w:t>
      </w:r>
      <w:r w:rsidR="00A970EB">
        <w:rPr>
          <w:i/>
          <w:lang w:val="fr-BE"/>
        </w:rPr>
        <w:t>Cairn.info</w:t>
      </w:r>
      <w:r w:rsidRPr="004E5509">
        <w:rPr>
          <w:lang w:val="fr-BE"/>
        </w:rPr>
        <w:t>) ;</w:t>
      </w:r>
    </w:p>
    <w:p w14:paraId="5B570534" w14:textId="77777777" w:rsidR="00306638" w:rsidRPr="004E5509" w:rsidRDefault="00306638" w:rsidP="000C6A37">
      <w:pPr>
        <w:pStyle w:val="Paragraphedeliste"/>
        <w:numPr>
          <w:ilvl w:val="0"/>
          <w:numId w:val="16"/>
        </w:numPr>
        <w:jc w:val="both"/>
        <w:rPr>
          <w:lang w:val="fr-BE"/>
        </w:rPr>
      </w:pPr>
      <w:r w:rsidRPr="004E5509">
        <w:rPr>
          <w:lang w:val="fr-BE"/>
        </w:rPr>
        <w:t xml:space="preserve">1 revue a un statut en ligne un peu à part : la revue </w:t>
      </w:r>
      <w:r w:rsidRPr="004E5509">
        <w:rPr>
          <w:i/>
          <w:lang w:val="fr-BE"/>
        </w:rPr>
        <w:t>Dissidences</w:t>
      </w:r>
      <w:r w:rsidRPr="004E5509">
        <w:rPr>
          <w:lang w:val="fr-BE"/>
        </w:rPr>
        <w:t xml:space="preserve">, en effet, n’était présente que sur la plateforme </w:t>
      </w:r>
      <w:proofErr w:type="spellStart"/>
      <w:r w:rsidRPr="004E5509">
        <w:rPr>
          <w:i/>
          <w:lang w:val="fr-BE"/>
        </w:rPr>
        <w:t>Préo</w:t>
      </w:r>
      <w:proofErr w:type="spellEnd"/>
      <w:r w:rsidRPr="004E5509">
        <w:rPr>
          <w:lang w:val="fr-BE"/>
        </w:rPr>
        <w:t xml:space="preserve"> jusqu’en 2014, année à partir de laquelle sa seule présence en ligne semble être le carnet l’accompagnant ;</w:t>
      </w:r>
    </w:p>
    <w:p w14:paraId="346F82C5" w14:textId="1E8A5D60" w:rsidR="00306638" w:rsidRPr="004E5509" w:rsidRDefault="00306638" w:rsidP="000C6A37">
      <w:pPr>
        <w:pStyle w:val="Paragraphedeliste"/>
        <w:numPr>
          <w:ilvl w:val="0"/>
          <w:numId w:val="16"/>
        </w:numPr>
        <w:jc w:val="both"/>
        <w:rPr>
          <w:lang w:val="fr-BE"/>
        </w:rPr>
      </w:pPr>
      <w:r w:rsidRPr="004E5509">
        <w:rPr>
          <w:lang w:val="fr-BE"/>
        </w:rPr>
        <w:t xml:space="preserve">10 sont également sur </w:t>
      </w:r>
      <w:r w:rsidRPr="004E5509">
        <w:rPr>
          <w:i/>
          <w:lang w:val="fr-BE"/>
        </w:rPr>
        <w:t>Persée</w:t>
      </w:r>
      <w:r w:rsidRPr="004E5509">
        <w:rPr>
          <w:lang w:val="fr-BE"/>
        </w:rPr>
        <w:t xml:space="preserve"> (dont trois revues uniquement papier ; 1 sur </w:t>
      </w:r>
      <w:r w:rsidR="00A970EB">
        <w:rPr>
          <w:i/>
          <w:lang w:val="fr-BE"/>
        </w:rPr>
        <w:t>Cairn.info</w:t>
      </w:r>
      <w:r w:rsidRPr="004E5509">
        <w:rPr>
          <w:lang w:val="fr-BE"/>
        </w:rPr>
        <w:t xml:space="preserve"> et </w:t>
      </w:r>
      <w:r w:rsidRPr="004E5509">
        <w:rPr>
          <w:i/>
          <w:lang w:val="fr-BE"/>
        </w:rPr>
        <w:t>O</w:t>
      </w:r>
      <w:r w:rsidR="00EF580E">
        <w:rPr>
          <w:i/>
          <w:lang w:val="fr-BE"/>
        </w:rPr>
        <w:t>E</w:t>
      </w:r>
      <w:r w:rsidRPr="004E5509">
        <w:rPr>
          <w:lang w:val="fr-BE"/>
        </w:rPr>
        <w:t xml:space="preserve">, 1 seulement sur </w:t>
      </w:r>
      <w:r w:rsidRPr="004E5509">
        <w:rPr>
          <w:i/>
          <w:lang w:val="fr-BE"/>
        </w:rPr>
        <w:t>O</w:t>
      </w:r>
      <w:r w:rsidR="00EF580E">
        <w:rPr>
          <w:i/>
          <w:lang w:val="fr-BE"/>
        </w:rPr>
        <w:t>E</w:t>
      </w:r>
      <w:r w:rsidRPr="004E5509">
        <w:rPr>
          <w:lang w:val="fr-BE"/>
        </w:rPr>
        <w:t xml:space="preserve"> et 5 seulement sur </w:t>
      </w:r>
      <w:r w:rsidR="00A970EB">
        <w:rPr>
          <w:i/>
          <w:lang w:val="fr-BE"/>
        </w:rPr>
        <w:t>Cairn.info</w:t>
      </w:r>
      <w:r w:rsidRPr="004E5509">
        <w:rPr>
          <w:lang w:val="fr-BE"/>
        </w:rPr>
        <w:t>)</w:t>
      </w:r>
      <w:r w:rsidR="0019193C">
        <w:rPr>
          <w:lang w:val="fr-BE"/>
        </w:rPr>
        <w:t>.</w:t>
      </w:r>
    </w:p>
    <w:p w14:paraId="3CA404AD" w14:textId="5FCC9A13" w:rsidR="00306638" w:rsidRPr="00306638" w:rsidRDefault="00306638" w:rsidP="000C6A37">
      <w:pPr>
        <w:jc w:val="both"/>
        <w:rPr>
          <w:lang w:val="fr-BE"/>
        </w:rPr>
      </w:pPr>
      <w:r w:rsidRPr="00306638">
        <w:rPr>
          <w:lang w:val="fr-BE"/>
        </w:rPr>
        <w:t>Douze de ces revues sont également présentes sur un autre site que le carnet ou les plateformes précédemment mentionnées mais ne mett</w:t>
      </w:r>
      <w:r w:rsidR="007B239D">
        <w:rPr>
          <w:lang w:val="fr-BE"/>
        </w:rPr>
        <w:t>ent</w:t>
      </w:r>
      <w:r w:rsidRPr="00306638">
        <w:rPr>
          <w:lang w:val="fr-BE"/>
        </w:rPr>
        <w:t xml:space="preserve"> à disposition que des fichiers archivés ou plus généralement les sommaires des numéros</w:t>
      </w:r>
      <w:r w:rsidR="007B239D">
        <w:rPr>
          <w:lang w:val="fr-BE"/>
        </w:rPr>
        <w:t>,</w:t>
      </w:r>
      <w:r w:rsidRPr="00306638">
        <w:rPr>
          <w:lang w:val="fr-BE"/>
        </w:rPr>
        <w:t xml:space="preserve"> avec éventuellement les résumés des articles (pour plusieurs d’entre elles, il s’agit du site de l’éditeur).</w:t>
      </w:r>
    </w:p>
    <w:p w14:paraId="7B542388" w14:textId="306840CD" w:rsidR="00306638" w:rsidRPr="00306638" w:rsidRDefault="0019193C" w:rsidP="000C6A37">
      <w:pPr>
        <w:jc w:val="both"/>
        <w:rPr>
          <w:lang w:val="fr-BE"/>
        </w:rPr>
      </w:pPr>
      <w:r>
        <w:rPr>
          <w:lang w:val="fr-BE"/>
        </w:rPr>
        <w:t xml:space="preserve">Toutes les revues sont recensées dans </w:t>
      </w:r>
      <w:proofErr w:type="spellStart"/>
      <w:r w:rsidRPr="0019193C">
        <w:rPr>
          <w:i/>
          <w:lang w:val="fr-BE"/>
        </w:rPr>
        <w:t>Mir@bel</w:t>
      </w:r>
      <w:proofErr w:type="spellEnd"/>
      <w:r>
        <w:rPr>
          <w:lang w:val="fr-BE"/>
        </w:rPr>
        <w:t xml:space="preserve">. </w:t>
      </w:r>
      <w:r w:rsidR="00306638" w:rsidRPr="00306638">
        <w:rPr>
          <w:lang w:val="fr-BE"/>
        </w:rPr>
        <w:t>Treize revues (dont 8 au format électronique</w:t>
      </w:r>
      <w:r w:rsidR="0015547F">
        <w:rPr>
          <w:lang w:val="fr-BE"/>
        </w:rPr>
        <w:t xml:space="preserve"> seul</w:t>
      </w:r>
      <w:r w:rsidR="00306638" w:rsidRPr="00306638">
        <w:rPr>
          <w:lang w:val="fr-BE"/>
        </w:rPr>
        <w:t xml:space="preserve"> et uniquement sur OE) sont recensées par le </w:t>
      </w:r>
      <w:r w:rsidR="00306638" w:rsidRPr="00306638">
        <w:rPr>
          <w:i/>
          <w:lang w:val="fr-BE"/>
        </w:rPr>
        <w:t>DOAJ</w:t>
      </w:r>
      <w:r w:rsidR="00306638" w:rsidRPr="00306638">
        <w:rPr>
          <w:lang w:val="fr-BE"/>
        </w:rPr>
        <w:t xml:space="preserve">. Dix revues ont à la fois un compte </w:t>
      </w:r>
      <w:r w:rsidR="00306638" w:rsidRPr="00306638">
        <w:rPr>
          <w:i/>
          <w:lang w:val="fr-BE"/>
        </w:rPr>
        <w:t>Twitter</w:t>
      </w:r>
      <w:r w:rsidR="00306638" w:rsidRPr="00306638">
        <w:rPr>
          <w:lang w:val="fr-BE"/>
        </w:rPr>
        <w:t xml:space="preserve"> et un compte </w:t>
      </w:r>
      <w:r w:rsidR="00306638" w:rsidRPr="00306638">
        <w:rPr>
          <w:i/>
          <w:lang w:val="fr-BE"/>
        </w:rPr>
        <w:t>Facebook</w:t>
      </w:r>
      <w:r w:rsidR="00306638" w:rsidRPr="00306638">
        <w:rPr>
          <w:lang w:val="fr-BE"/>
        </w:rPr>
        <w:t xml:space="preserve">, tandis que 10 autres </w:t>
      </w:r>
      <w:r w:rsidR="007B239D">
        <w:rPr>
          <w:lang w:val="fr-BE"/>
        </w:rPr>
        <w:t>alimente</w:t>
      </w:r>
      <w:r w:rsidR="00D45E2C">
        <w:rPr>
          <w:lang w:val="fr-BE"/>
        </w:rPr>
        <w:t>nt</w:t>
      </w:r>
      <w:r w:rsidR="007B239D">
        <w:rPr>
          <w:lang w:val="fr-BE"/>
        </w:rPr>
        <w:t xml:space="preserve"> </w:t>
      </w:r>
      <w:r w:rsidR="00306638" w:rsidRPr="00306638">
        <w:rPr>
          <w:lang w:val="fr-BE"/>
        </w:rPr>
        <w:t xml:space="preserve">un seul compte </w:t>
      </w:r>
      <w:r w:rsidR="00306638" w:rsidRPr="00306638">
        <w:rPr>
          <w:i/>
          <w:lang w:val="fr-BE"/>
        </w:rPr>
        <w:t>Twitter</w:t>
      </w:r>
      <w:r w:rsidR="00306638" w:rsidRPr="00306638">
        <w:rPr>
          <w:lang w:val="fr-BE"/>
        </w:rPr>
        <w:t xml:space="preserve"> et une </w:t>
      </w:r>
      <w:r w:rsidR="00D45E2C">
        <w:rPr>
          <w:lang w:val="fr-BE"/>
        </w:rPr>
        <w:t xml:space="preserve">un seul </w:t>
      </w:r>
      <w:r w:rsidR="00306638" w:rsidRPr="00306638">
        <w:rPr>
          <w:lang w:val="fr-BE"/>
        </w:rPr>
        <w:t xml:space="preserve">compte </w:t>
      </w:r>
      <w:r w:rsidR="00306638" w:rsidRPr="00306638">
        <w:rPr>
          <w:i/>
          <w:lang w:val="fr-BE"/>
        </w:rPr>
        <w:t>Facebook</w:t>
      </w:r>
      <w:r w:rsidR="00306638" w:rsidRPr="00306638">
        <w:rPr>
          <w:lang w:val="fr-BE"/>
        </w:rPr>
        <w:t>.</w:t>
      </w:r>
    </w:p>
    <w:p w14:paraId="789CC0EB" w14:textId="1C4A0C75" w:rsidR="00306638" w:rsidRPr="001A27D0" w:rsidRDefault="00306638" w:rsidP="000C6A37">
      <w:pPr>
        <w:jc w:val="both"/>
        <w:rPr>
          <w:lang w:val="fr-BE"/>
        </w:rPr>
      </w:pPr>
      <w:r w:rsidRPr="001A27D0">
        <w:rPr>
          <w:lang w:val="fr-BE"/>
        </w:rPr>
        <w:t>Nous avons également vérifié la présence des revues dans les bases de données de référence indexant les revues scientifiques (</w:t>
      </w:r>
      <w:r w:rsidRPr="001A27D0">
        <w:rPr>
          <w:i/>
          <w:lang w:val="fr-BE"/>
        </w:rPr>
        <w:t>Web of Science</w:t>
      </w:r>
      <w:r w:rsidRPr="001A27D0">
        <w:rPr>
          <w:lang w:val="fr-BE"/>
        </w:rPr>
        <w:t xml:space="preserve"> (WOS), </w:t>
      </w:r>
      <w:proofErr w:type="spellStart"/>
      <w:r w:rsidRPr="001A27D0">
        <w:rPr>
          <w:i/>
          <w:lang w:val="fr-BE"/>
        </w:rPr>
        <w:t>Scopus</w:t>
      </w:r>
      <w:proofErr w:type="spellEnd"/>
      <w:r w:rsidRPr="001A27D0">
        <w:rPr>
          <w:lang w:val="fr-BE"/>
        </w:rPr>
        <w:t xml:space="preserve">, </w:t>
      </w:r>
      <w:proofErr w:type="spellStart"/>
      <w:r w:rsidRPr="001A27D0">
        <w:rPr>
          <w:i/>
          <w:lang w:val="fr-BE"/>
        </w:rPr>
        <w:t>Erih</w:t>
      </w:r>
      <w:proofErr w:type="spellEnd"/>
      <w:r w:rsidRPr="001A27D0">
        <w:rPr>
          <w:lang w:val="fr-BE"/>
        </w:rPr>
        <w:t xml:space="preserve">+, </w:t>
      </w:r>
      <w:proofErr w:type="spellStart"/>
      <w:r w:rsidRPr="001A27D0">
        <w:rPr>
          <w:i/>
          <w:lang w:val="fr-BE"/>
        </w:rPr>
        <w:t>Hcéres</w:t>
      </w:r>
      <w:proofErr w:type="spellEnd"/>
      <w:r w:rsidRPr="001A27D0">
        <w:rPr>
          <w:lang w:val="fr-BE"/>
        </w:rPr>
        <w:t xml:space="preserve">). </w:t>
      </w:r>
    </w:p>
    <w:p w14:paraId="30A1F241" w14:textId="77777777" w:rsidR="00306638" w:rsidRPr="001A27D0" w:rsidRDefault="00306638" w:rsidP="000C6A37">
      <w:pPr>
        <w:pStyle w:val="Paragraphedeliste"/>
        <w:numPr>
          <w:ilvl w:val="0"/>
          <w:numId w:val="13"/>
        </w:numPr>
        <w:jc w:val="both"/>
        <w:rPr>
          <w:lang w:val="fr-BE"/>
        </w:rPr>
      </w:pPr>
      <w:r w:rsidRPr="001A27D0">
        <w:rPr>
          <w:lang w:val="fr-BE"/>
        </w:rPr>
        <w:t xml:space="preserve">7 d’entre elles sont indexées dans le </w:t>
      </w:r>
      <w:r w:rsidRPr="001A27D0">
        <w:rPr>
          <w:i/>
          <w:lang w:val="fr-BE"/>
        </w:rPr>
        <w:t>WOS</w:t>
      </w:r>
      <w:r w:rsidRPr="001A27D0">
        <w:rPr>
          <w:lang w:val="fr-BE"/>
        </w:rPr>
        <w:t xml:space="preserve">, et 7 également dans </w:t>
      </w:r>
      <w:proofErr w:type="spellStart"/>
      <w:r w:rsidRPr="001A27D0">
        <w:rPr>
          <w:i/>
          <w:lang w:val="fr-BE"/>
        </w:rPr>
        <w:t>Scopus</w:t>
      </w:r>
      <w:proofErr w:type="spellEnd"/>
    </w:p>
    <w:p w14:paraId="4FD77D41" w14:textId="77777777" w:rsidR="00306638" w:rsidRPr="001A27D0" w:rsidRDefault="00306638" w:rsidP="000C6A37">
      <w:pPr>
        <w:pStyle w:val="Paragraphedeliste"/>
        <w:numPr>
          <w:ilvl w:val="0"/>
          <w:numId w:val="13"/>
        </w:numPr>
        <w:jc w:val="both"/>
        <w:rPr>
          <w:lang w:val="fr-BE"/>
        </w:rPr>
      </w:pPr>
      <w:r w:rsidRPr="001A27D0">
        <w:rPr>
          <w:lang w:val="fr-BE"/>
        </w:rPr>
        <w:t xml:space="preserve">14 sont listées dans </w:t>
      </w:r>
      <w:proofErr w:type="spellStart"/>
      <w:r w:rsidRPr="001A27D0">
        <w:rPr>
          <w:i/>
          <w:lang w:val="fr-BE"/>
        </w:rPr>
        <w:t>Erih</w:t>
      </w:r>
      <w:proofErr w:type="spellEnd"/>
      <w:r w:rsidRPr="001A27D0">
        <w:rPr>
          <w:lang w:val="fr-BE"/>
        </w:rPr>
        <w:t>+</w:t>
      </w:r>
    </w:p>
    <w:p w14:paraId="18ED180F" w14:textId="77777777" w:rsidR="00306638" w:rsidRPr="001A27D0" w:rsidRDefault="00306638" w:rsidP="001A27D0">
      <w:pPr>
        <w:pStyle w:val="Paragraphedeliste"/>
        <w:numPr>
          <w:ilvl w:val="0"/>
          <w:numId w:val="13"/>
        </w:numPr>
        <w:rPr>
          <w:lang w:val="fr-BE"/>
        </w:rPr>
      </w:pPr>
      <w:r w:rsidRPr="001A27D0">
        <w:rPr>
          <w:lang w:val="fr-BE"/>
        </w:rPr>
        <w:t>20 sont recensées par l’</w:t>
      </w:r>
      <w:proofErr w:type="spellStart"/>
      <w:r w:rsidRPr="001A27D0">
        <w:rPr>
          <w:i/>
          <w:lang w:val="fr-BE"/>
        </w:rPr>
        <w:t>Hcéres</w:t>
      </w:r>
      <w:proofErr w:type="spellEnd"/>
      <w:r w:rsidRPr="001A27D0">
        <w:rPr>
          <w:vertAlign w:val="superscript"/>
          <w:lang w:val="fr-BE"/>
        </w:rPr>
        <w:footnoteReference w:id="14"/>
      </w:r>
    </w:p>
    <w:p w14:paraId="5AC0AB13" w14:textId="77777777" w:rsidR="00306638" w:rsidRPr="00306638" w:rsidRDefault="00306638" w:rsidP="000C6A37">
      <w:pPr>
        <w:jc w:val="both"/>
        <w:rPr>
          <w:lang w:val="fr-BE"/>
        </w:rPr>
      </w:pPr>
      <w:r w:rsidRPr="00306638">
        <w:rPr>
          <w:lang w:val="fr-BE"/>
        </w:rPr>
        <w:t xml:space="preserve">Seules 8 revues ne sont indexées nulle part. Parmi les 17 revues qui ne sont recensées que dans une seule base, 2 le sont dans le </w:t>
      </w:r>
      <w:r w:rsidRPr="00306638">
        <w:rPr>
          <w:i/>
          <w:lang w:val="fr-BE"/>
        </w:rPr>
        <w:t>WOS</w:t>
      </w:r>
      <w:r w:rsidRPr="00306638">
        <w:rPr>
          <w:lang w:val="fr-BE"/>
        </w:rPr>
        <w:t xml:space="preserve">, 4 dans </w:t>
      </w:r>
      <w:proofErr w:type="spellStart"/>
      <w:r w:rsidRPr="00306638">
        <w:rPr>
          <w:i/>
          <w:lang w:val="fr-BE"/>
        </w:rPr>
        <w:t>Erih</w:t>
      </w:r>
      <w:proofErr w:type="spellEnd"/>
      <w:r w:rsidRPr="00306638">
        <w:rPr>
          <w:lang w:val="fr-BE"/>
        </w:rPr>
        <w:t>+ et 11 par l’</w:t>
      </w:r>
      <w:proofErr w:type="spellStart"/>
      <w:r w:rsidRPr="00306638">
        <w:rPr>
          <w:i/>
          <w:lang w:val="fr-BE"/>
        </w:rPr>
        <w:t>Hcéres</w:t>
      </w:r>
      <w:proofErr w:type="spellEnd"/>
      <w:r w:rsidRPr="00306638">
        <w:rPr>
          <w:lang w:val="fr-BE"/>
        </w:rPr>
        <w:t xml:space="preserve">. Deux revues se retrouvent dans les quatre bases : </w:t>
      </w:r>
      <w:proofErr w:type="spellStart"/>
      <w:r w:rsidRPr="00306638">
        <w:rPr>
          <w:i/>
          <w:lang w:val="fr-BE"/>
        </w:rPr>
        <w:t>Cybergéo</w:t>
      </w:r>
      <w:proofErr w:type="spellEnd"/>
      <w:r w:rsidRPr="00306638">
        <w:rPr>
          <w:lang w:val="fr-BE"/>
        </w:rPr>
        <w:t xml:space="preserve"> et </w:t>
      </w:r>
      <w:r w:rsidRPr="00306638">
        <w:rPr>
          <w:i/>
          <w:lang w:val="fr-BE"/>
        </w:rPr>
        <w:t>Le Mouvement Social</w:t>
      </w:r>
      <w:r w:rsidRPr="00306638">
        <w:rPr>
          <w:lang w:val="fr-BE"/>
        </w:rPr>
        <w:t>.</w:t>
      </w:r>
    </w:p>
    <w:p w14:paraId="25695AA3" w14:textId="629A6C52" w:rsidR="00306638" w:rsidRPr="00306638" w:rsidRDefault="00A970EB" w:rsidP="000C6A37">
      <w:pPr>
        <w:jc w:val="both"/>
        <w:rPr>
          <w:lang w:val="fr-BE"/>
        </w:rPr>
      </w:pPr>
      <w:r>
        <w:rPr>
          <w:lang w:val="fr-BE"/>
        </w:rPr>
        <w:t>L</w:t>
      </w:r>
      <w:r w:rsidR="00306638" w:rsidRPr="00306638">
        <w:rPr>
          <w:lang w:val="fr-BE"/>
        </w:rPr>
        <w:t>es disciplines indiquées</w:t>
      </w:r>
      <w:r w:rsidR="00306638" w:rsidRPr="001A27D0">
        <w:rPr>
          <w:vertAlign w:val="superscript"/>
          <w:lang w:val="fr-BE"/>
        </w:rPr>
        <w:footnoteReference w:id="15"/>
      </w:r>
      <w:r w:rsidR="00306638" w:rsidRPr="00306638">
        <w:rPr>
          <w:lang w:val="fr-BE"/>
        </w:rPr>
        <w:t xml:space="preserve"> pour les revues </w:t>
      </w:r>
      <w:r>
        <w:rPr>
          <w:lang w:val="fr-BE"/>
        </w:rPr>
        <w:t>ne sont pas</w:t>
      </w:r>
      <w:r w:rsidR="00306638" w:rsidRPr="00306638">
        <w:rPr>
          <w:lang w:val="fr-BE"/>
        </w:rPr>
        <w:t xml:space="preserve"> réellement significati</w:t>
      </w:r>
      <w:r>
        <w:rPr>
          <w:lang w:val="fr-BE"/>
        </w:rPr>
        <w:t>ves</w:t>
      </w:r>
      <w:r w:rsidR="00306638" w:rsidRPr="00306638">
        <w:rPr>
          <w:lang w:val="fr-BE"/>
        </w:rPr>
        <w:t> : les revues étant toutes plutôt pluridisciplinaires, ce qui est généralement le cas en SHS.</w:t>
      </w:r>
      <w:r>
        <w:rPr>
          <w:lang w:val="fr-BE"/>
        </w:rPr>
        <w:t xml:space="preserve"> </w:t>
      </w:r>
      <w:r w:rsidR="00306638" w:rsidRPr="00306638">
        <w:rPr>
          <w:lang w:val="fr-BE"/>
        </w:rPr>
        <w:t xml:space="preserve">De même, </w:t>
      </w:r>
      <w:r>
        <w:rPr>
          <w:lang w:val="fr-BE"/>
        </w:rPr>
        <w:t>pour la périodicité</w:t>
      </w:r>
      <w:r w:rsidR="00D45E2C">
        <w:rPr>
          <w:lang w:val="fr-BE"/>
        </w:rPr>
        <w:t xml:space="preserve"> qui se répartit de la manière suivante</w:t>
      </w:r>
      <w:r w:rsidR="00306638" w:rsidRPr="00306638">
        <w:rPr>
          <w:lang w:val="fr-BE"/>
        </w:rPr>
        <w:t xml:space="preserve"> : </w:t>
      </w:r>
    </w:p>
    <w:p w14:paraId="55C6E3EC" w14:textId="10A36EBE" w:rsidR="00306638" w:rsidRPr="001A27D0" w:rsidRDefault="00306638" w:rsidP="001A27D0">
      <w:pPr>
        <w:pStyle w:val="Paragraphedeliste"/>
        <w:numPr>
          <w:ilvl w:val="0"/>
          <w:numId w:val="14"/>
        </w:numPr>
        <w:rPr>
          <w:lang w:val="fr-BE"/>
        </w:rPr>
      </w:pPr>
      <w:r w:rsidRPr="001A27D0">
        <w:rPr>
          <w:lang w:val="fr-BE"/>
        </w:rPr>
        <w:t>3 revues annuelles</w:t>
      </w:r>
      <w:r w:rsidR="001A39B9">
        <w:rPr>
          <w:lang w:val="fr-BE"/>
        </w:rPr>
        <w:t> ;</w:t>
      </w:r>
    </w:p>
    <w:p w14:paraId="4A22C43A" w14:textId="5EEDE823" w:rsidR="00306638" w:rsidRPr="001A27D0" w:rsidRDefault="00306638" w:rsidP="001A27D0">
      <w:pPr>
        <w:pStyle w:val="Paragraphedeliste"/>
        <w:numPr>
          <w:ilvl w:val="0"/>
          <w:numId w:val="14"/>
        </w:numPr>
        <w:rPr>
          <w:lang w:val="fr-BE"/>
        </w:rPr>
      </w:pPr>
      <w:r w:rsidRPr="001A27D0">
        <w:rPr>
          <w:lang w:val="fr-BE"/>
        </w:rPr>
        <w:t>16 (+1 parfois trimestrielle ?) revues semestrielles</w:t>
      </w:r>
      <w:r w:rsidR="001A39B9">
        <w:rPr>
          <w:lang w:val="fr-BE"/>
        </w:rPr>
        <w:t> ;</w:t>
      </w:r>
    </w:p>
    <w:p w14:paraId="32CEC9B3" w14:textId="68BC1233" w:rsidR="00306638" w:rsidRPr="001A27D0" w:rsidRDefault="00306638" w:rsidP="001A27D0">
      <w:pPr>
        <w:pStyle w:val="Paragraphedeliste"/>
        <w:numPr>
          <w:ilvl w:val="0"/>
          <w:numId w:val="14"/>
        </w:numPr>
        <w:rPr>
          <w:lang w:val="fr-BE"/>
        </w:rPr>
      </w:pPr>
      <w:r w:rsidRPr="001A27D0">
        <w:rPr>
          <w:lang w:val="fr-BE"/>
        </w:rPr>
        <w:t>7 revues quadrimestrielles</w:t>
      </w:r>
      <w:r w:rsidR="001A39B9">
        <w:rPr>
          <w:lang w:val="fr-BE"/>
        </w:rPr>
        <w:t> ;</w:t>
      </w:r>
    </w:p>
    <w:p w14:paraId="421CAFB2" w14:textId="0259AB9D" w:rsidR="00306638" w:rsidRPr="001A27D0" w:rsidRDefault="00306638" w:rsidP="001A27D0">
      <w:pPr>
        <w:pStyle w:val="Paragraphedeliste"/>
        <w:numPr>
          <w:ilvl w:val="0"/>
          <w:numId w:val="14"/>
        </w:numPr>
        <w:rPr>
          <w:lang w:val="fr-BE"/>
        </w:rPr>
      </w:pPr>
      <w:r w:rsidRPr="001A27D0">
        <w:rPr>
          <w:lang w:val="fr-BE"/>
        </w:rPr>
        <w:t>5 revues trimestrielles</w:t>
      </w:r>
      <w:r w:rsidR="001A39B9">
        <w:rPr>
          <w:lang w:val="fr-BE"/>
        </w:rPr>
        <w:t> ;</w:t>
      </w:r>
    </w:p>
    <w:p w14:paraId="618D0712" w14:textId="78078E36" w:rsidR="00306638" w:rsidRPr="001A27D0" w:rsidRDefault="00306638" w:rsidP="001A27D0">
      <w:pPr>
        <w:pStyle w:val="Paragraphedeliste"/>
        <w:numPr>
          <w:ilvl w:val="0"/>
          <w:numId w:val="14"/>
        </w:numPr>
        <w:rPr>
          <w:lang w:val="fr-BE"/>
        </w:rPr>
      </w:pPr>
      <w:r w:rsidRPr="001A27D0">
        <w:rPr>
          <w:lang w:val="fr-BE"/>
        </w:rPr>
        <w:t>1 bimestrielles</w:t>
      </w:r>
      <w:r w:rsidR="001A39B9">
        <w:rPr>
          <w:lang w:val="fr-BE"/>
        </w:rPr>
        <w:t> ;</w:t>
      </w:r>
    </w:p>
    <w:p w14:paraId="1171961F" w14:textId="4656EC51" w:rsidR="00D45E2C" w:rsidRPr="00306638" w:rsidRDefault="00306638" w:rsidP="000C6A37">
      <w:pPr>
        <w:jc w:val="both"/>
        <w:rPr>
          <w:lang w:val="fr-BE"/>
        </w:rPr>
      </w:pPr>
      <w:r w:rsidRPr="00306638">
        <w:rPr>
          <w:lang w:val="fr-BE"/>
        </w:rPr>
        <w:lastRenderedPageBreak/>
        <w:t xml:space="preserve">Seules quatre revues (uniquement électroniques, et sur </w:t>
      </w:r>
      <w:r w:rsidRPr="00A970EB">
        <w:rPr>
          <w:i/>
          <w:lang w:val="fr-BE"/>
        </w:rPr>
        <w:t>OE</w:t>
      </w:r>
      <w:r w:rsidRPr="00306638">
        <w:rPr>
          <w:lang w:val="fr-BE"/>
        </w:rPr>
        <w:t>) publient au fil de l’eau : les autres, adoptent un rythme de publication fixe</w:t>
      </w:r>
      <w:r w:rsidR="00D45E2C">
        <w:rPr>
          <w:lang w:val="fr-BE"/>
        </w:rPr>
        <w:t>.</w:t>
      </w:r>
      <w:r w:rsidR="00A970EB">
        <w:rPr>
          <w:lang w:val="fr-BE"/>
        </w:rPr>
        <w:t xml:space="preserve"> </w:t>
      </w:r>
      <w:r w:rsidR="00D45E2C">
        <w:rPr>
          <w:lang w:val="fr-BE"/>
        </w:rPr>
        <w:t>Q</w:t>
      </w:r>
      <w:r w:rsidR="00D45E2C" w:rsidRPr="00D45E2C">
        <w:rPr>
          <w:lang w:val="fr-BE"/>
        </w:rPr>
        <w:t>uelles complémentarités éditoriales le blog joue-t-il à l’égard des revues, dès lors qu’il possède un rythme de publication plus libre que ces dernières ?</w:t>
      </w:r>
    </w:p>
    <w:p w14:paraId="0F417E0B" w14:textId="0C2AD497" w:rsidR="00C61666" w:rsidRPr="007B2D94" w:rsidRDefault="00A970EB" w:rsidP="00C61666">
      <w:pPr>
        <w:pStyle w:val="Titre1"/>
        <w:rPr>
          <w:rFonts w:ascii="Helvetica" w:hAnsi="Helvetica"/>
          <w:sz w:val="22"/>
          <w:szCs w:val="22"/>
        </w:rPr>
      </w:pPr>
      <w:r w:rsidRPr="007B2D94">
        <w:rPr>
          <w:rFonts w:ascii="Helvetica" w:hAnsi="Helvetica"/>
          <w:sz w:val="22"/>
          <w:szCs w:val="22"/>
        </w:rPr>
        <w:t xml:space="preserve">2 - </w:t>
      </w:r>
      <w:r w:rsidR="00C61666" w:rsidRPr="007B2D94">
        <w:rPr>
          <w:rFonts w:ascii="Helvetica" w:hAnsi="Helvetica"/>
          <w:sz w:val="22"/>
          <w:szCs w:val="22"/>
        </w:rPr>
        <w:t>Fonctions éditoriales</w:t>
      </w:r>
    </w:p>
    <w:p w14:paraId="7B0B5D73" w14:textId="77777777" w:rsidR="00FE7B25" w:rsidRPr="00FE7B25" w:rsidRDefault="00FE7B25" w:rsidP="00FE7B25">
      <w:pPr>
        <w:jc w:val="both"/>
        <w:rPr>
          <w:lang w:val="fr-BE"/>
        </w:rPr>
      </w:pPr>
      <w:r w:rsidRPr="00FE7B25">
        <w:rPr>
          <w:lang w:val="fr-BE"/>
        </w:rPr>
        <w:t>L’examen des rubriques, catégories et types de publication au sein des carnets fait apparaître trois grands ensembles de fonctions éditoriales suivant les opérations de redondance, éditorialisation, complémentarité ou addition des contenus qui interviennent entre le carnet et la revue. Dans un degré d’autonomisation croissant, on discerne les cas de figures suivants : (i) le carnet répète, annonce ou éditorialise les contenus de la revue [A, 9 carnets] ; (ii) le carnet propose également des contenus additionnels (veille disciplinaire, matériaux textuels ou audio-visuels, etc.) [B, 21 carnets] ; (iii) le carnet est l’outil de communication d’un groupement plus large (société, groupe de recherche, etc.) qui englobe la revue mais ne s’y limite pas [C, 7 carnets].</w:t>
      </w:r>
    </w:p>
    <w:p w14:paraId="7E0CFB3C" w14:textId="77777777" w:rsidR="00FE7B25" w:rsidRPr="007B2D94" w:rsidRDefault="00FE7B25" w:rsidP="00FE7B25">
      <w:pPr>
        <w:jc w:val="both"/>
        <w:rPr>
          <w:rFonts w:ascii="Helvetica" w:hAnsi="Helvetica"/>
          <w:b/>
          <w:bCs/>
          <w:i/>
          <w:iCs/>
          <w:lang w:val="fr-BE"/>
        </w:rPr>
      </w:pPr>
      <w:r w:rsidRPr="007B2D94">
        <w:rPr>
          <w:rFonts w:ascii="Helvetica" w:hAnsi="Helvetica"/>
          <w:b/>
          <w:bCs/>
          <w:i/>
          <w:iCs/>
          <w:lang w:val="fr-BE"/>
        </w:rPr>
        <w:t>Redondance/Éditorialisation</w:t>
      </w:r>
    </w:p>
    <w:p w14:paraId="530F33BE" w14:textId="77777777" w:rsidR="00FE7B25" w:rsidRPr="00FE7B25" w:rsidRDefault="00FE7B25" w:rsidP="00FE7B25">
      <w:pPr>
        <w:jc w:val="both"/>
        <w:rPr>
          <w:lang w:val="fr-BE"/>
        </w:rPr>
      </w:pPr>
      <w:r w:rsidRPr="00FE7B25">
        <w:rPr>
          <w:lang w:val="fr-BE"/>
        </w:rPr>
        <w:t>Dans cette catégorie, le carnet a pour fonction principale de présenter les contenus de la revue, d’annoncer les appels et parutions et/ou de préciser les consignes aux auteurs. Lorsque la revue existe au format numérique, cette présentation peut intégrer des liens hypertextes pointant vers les articles. Ce qui la distingue des deux autres catégories est l’absence de contenus additionnels originaux qui complèteraient la parution de la revue.</w:t>
      </w:r>
    </w:p>
    <w:p w14:paraId="0940DF1C" w14:textId="33924023" w:rsidR="00FE7B25" w:rsidRPr="00FE7B25" w:rsidRDefault="00FE7B25" w:rsidP="00FE7B25">
      <w:pPr>
        <w:jc w:val="both"/>
        <w:rPr>
          <w:lang w:val="fr-BE"/>
        </w:rPr>
      </w:pPr>
      <w:r w:rsidRPr="00D35783">
        <w:rPr>
          <w:i/>
          <w:iCs/>
          <w:highlight w:val="yellow"/>
          <w:lang w:val="fr-BE"/>
        </w:rPr>
        <w:t xml:space="preserve">Fig. </w:t>
      </w:r>
      <w:r w:rsidR="00C32888" w:rsidRPr="00D35783">
        <w:rPr>
          <w:i/>
          <w:iCs/>
          <w:highlight w:val="yellow"/>
          <w:lang w:val="fr-BE"/>
        </w:rPr>
        <w:t>1</w:t>
      </w:r>
      <w:r w:rsidRPr="00D35783">
        <w:rPr>
          <w:i/>
          <w:iCs/>
          <w:highlight w:val="yellow"/>
          <w:lang w:val="fr-BE"/>
        </w:rPr>
        <w:t xml:space="preserve"> : Le Carnet de la revue </w:t>
      </w:r>
      <w:r w:rsidRPr="00D35783">
        <w:rPr>
          <w:highlight w:val="yellow"/>
          <w:lang w:val="fr-BE"/>
        </w:rPr>
        <w:t>Terrains et travaux (</w:t>
      </w:r>
      <w:hyperlink r:id="rId8" w:history="1">
        <w:r w:rsidRPr="00D35783">
          <w:rPr>
            <w:color w:val="0563C1" w:themeColor="hyperlink"/>
            <w:highlight w:val="yellow"/>
            <w:u w:val="single"/>
            <w:lang w:val="fr-BE"/>
          </w:rPr>
          <w:t>https://tt.hypotheses.org/</w:t>
        </w:r>
      </w:hyperlink>
      <w:r w:rsidRPr="00D35783">
        <w:rPr>
          <w:highlight w:val="yellow"/>
          <w:lang w:val="fr-BE"/>
        </w:rPr>
        <w:t>)</w:t>
      </w:r>
      <w:r w:rsidRPr="00FE7B25">
        <w:rPr>
          <w:lang w:val="fr-BE"/>
        </w:rPr>
        <w:t xml:space="preserve"> </w:t>
      </w:r>
    </w:p>
    <w:p w14:paraId="7EBBB8BC" w14:textId="19E9690D" w:rsidR="00FE7B25" w:rsidRPr="00FE7B25" w:rsidRDefault="00FE7B25" w:rsidP="00FE7B25">
      <w:pPr>
        <w:jc w:val="both"/>
      </w:pPr>
      <w:r w:rsidRPr="00FE7B25">
        <w:rPr>
          <w:lang w:val="fr-BE"/>
        </w:rPr>
        <w:t xml:space="preserve">On y relève toutefois des pratiques d’éditorialisation de contenus propres ou externes, dont nous citons ici quelques exemples. </w:t>
      </w:r>
      <w:r w:rsidRPr="00FE7B25">
        <w:rPr>
          <w:i/>
          <w:iCs/>
          <w:lang w:val="fr-BE"/>
        </w:rPr>
        <w:t>Les</w:t>
      </w:r>
      <w:r w:rsidRPr="00FE7B25">
        <w:rPr>
          <w:lang w:val="fr-BE"/>
        </w:rPr>
        <w:t xml:space="preserve"> </w:t>
      </w:r>
      <w:r w:rsidRPr="00FE7B25">
        <w:rPr>
          <w:i/>
          <w:iCs/>
          <w:lang w:val="fr-BE"/>
        </w:rPr>
        <w:t>Carnets de Sciences Sociales et Santé</w:t>
      </w:r>
      <w:r w:rsidRPr="00FE7B25">
        <w:rPr>
          <w:lang w:val="fr-BE"/>
        </w:rPr>
        <w:t xml:space="preserve"> animent ainsi une rubrique intitulée « Autour de la crise du covid-19 », qui rassemble une série d’articles publiés dans la revue </w:t>
      </w:r>
      <w:r w:rsidRPr="00FE7B25">
        <w:rPr>
          <w:i/>
          <w:iCs/>
          <w:lang w:val="fr-BE"/>
        </w:rPr>
        <w:t>Sciences Sociales et Santé</w:t>
      </w:r>
      <w:r w:rsidRPr="00FE7B25">
        <w:rPr>
          <w:lang w:val="fr-BE"/>
        </w:rPr>
        <w:t xml:space="preserve">, « ces ressources vis[a]nt à </w:t>
      </w:r>
      <w:proofErr w:type="spellStart"/>
      <w:r w:rsidRPr="00FE7B25">
        <w:t>éclairer</w:t>
      </w:r>
      <w:proofErr w:type="spellEnd"/>
      <w:r w:rsidRPr="00FE7B25">
        <w:t xml:space="preserve"> à </w:t>
      </w:r>
      <w:proofErr w:type="spellStart"/>
      <w:r w:rsidRPr="00FE7B25">
        <w:t>partir</w:t>
      </w:r>
      <w:proofErr w:type="spellEnd"/>
      <w:r w:rsidRPr="00FE7B25">
        <w:t xml:space="preserve"> d’un point de </w:t>
      </w:r>
      <w:proofErr w:type="spellStart"/>
      <w:r w:rsidRPr="00FE7B25">
        <w:t>vue</w:t>
      </w:r>
      <w:proofErr w:type="spellEnd"/>
      <w:r w:rsidRPr="00FE7B25">
        <w:t xml:space="preserve"> de sciences </w:t>
      </w:r>
      <w:proofErr w:type="spellStart"/>
      <w:r w:rsidRPr="00FE7B25">
        <w:t>sociales</w:t>
      </w:r>
      <w:proofErr w:type="spellEnd"/>
      <w:r w:rsidRPr="00FE7B25">
        <w:t xml:space="preserve"> la </w:t>
      </w:r>
      <w:proofErr w:type="spellStart"/>
      <w:r w:rsidRPr="00FE7B25">
        <w:t>réponse</w:t>
      </w:r>
      <w:proofErr w:type="spellEnd"/>
      <w:r w:rsidRPr="00FE7B25">
        <w:t xml:space="preserve"> sanitaire à la </w:t>
      </w:r>
      <w:proofErr w:type="spellStart"/>
      <w:r w:rsidRPr="00FE7B25">
        <w:t>crise</w:t>
      </w:r>
      <w:proofErr w:type="spellEnd"/>
      <w:r w:rsidRPr="00FE7B25">
        <w:t xml:space="preserve"> </w:t>
      </w:r>
      <w:proofErr w:type="spellStart"/>
      <w:r w:rsidRPr="00FE7B25">
        <w:t>actuelle</w:t>
      </w:r>
      <w:proofErr w:type="spellEnd"/>
      <w:r w:rsidRPr="00FE7B25">
        <w:t>.”</w:t>
      </w:r>
      <w:r w:rsidRPr="00FE7B25">
        <w:rPr>
          <w:vertAlign w:val="superscript"/>
        </w:rPr>
        <w:footnoteReference w:id="16"/>
      </w:r>
      <w:r w:rsidRPr="00FE7B25">
        <w:t xml:space="preserve"> </w:t>
      </w:r>
      <w:proofErr w:type="spellStart"/>
      <w:r w:rsidRPr="00FE7B25">
        <w:t>Sont</w:t>
      </w:r>
      <w:proofErr w:type="spellEnd"/>
      <w:r w:rsidRPr="00FE7B25">
        <w:t xml:space="preserve"> encore </w:t>
      </w:r>
      <w:proofErr w:type="spellStart"/>
      <w:r w:rsidRPr="00FE7B25">
        <w:t>mentionnés</w:t>
      </w:r>
      <w:proofErr w:type="spellEnd"/>
      <w:r w:rsidRPr="00FE7B25">
        <w:t xml:space="preserve">, dans la </w:t>
      </w:r>
      <w:proofErr w:type="spellStart"/>
      <w:r w:rsidRPr="00FE7B25">
        <w:t>même</w:t>
      </w:r>
      <w:proofErr w:type="spellEnd"/>
      <w:r w:rsidRPr="00FE7B25">
        <w:t xml:space="preserve"> </w:t>
      </w:r>
      <w:proofErr w:type="spellStart"/>
      <w:r w:rsidRPr="00FE7B25">
        <w:t>rubrique</w:t>
      </w:r>
      <w:proofErr w:type="spellEnd"/>
      <w:r w:rsidRPr="00FE7B25">
        <w:t xml:space="preserve">, des articles </w:t>
      </w:r>
      <w:proofErr w:type="spellStart"/>
      <w:r w:rsidRPr="00FE7B25">
        <w:t>d’auteurs</w:t>
      </w:r>
      <w:proofErr w:type="spellEnd"/>
      <w:r w:rsidRPr="00FE7B25">
        <w:t xml:space="preserve"> de la revue </w:t>
      </w:r>
      <w:proofErr w:type="spellStart"/>
      <w:r w:rsidRPr="00FE7B25">
        <w:t>publiés</w:t>
      </w:r>
      <w:proofErr w:type="spellEnd"/>
      <w:r w:rsidRPr="00FE7B25">
        <w:t xml:space="preserve"> dans des </w:t>
      </w:r>
      <w:proofErr w:type="spellStart"/>
      <w:r w:rsidRPr="00FE7B25">
        <w:t>médias</w:t>
      </w:r>
      <w:proofErr w:type="spellEnd"/>
      <w:r w:rsidRPr="00FE7B25">
        <w:t xml:space="preserve"> </w:t>
      </w:r>
      <w:proofErr w:type="spellStart"/>
      <w:r w:rsidRPr="00FE7B25">
        <w:t>externes</w:t>
      </w:r>
      <w:proofErr w:type="spellEnd"/>
      <w:r w:rsidRPr="00FE7B25">
        <w:t xml:space="preserve">. Les </w:t>
      </w:r>
      <w:r w:rsidRPr="00FE7B25">
        <w:rPr>
          <w:i/>
          <w:iCs/>
        </w:rPr>
        <w:t>Carnets de la revue Socio</w:t>
      </w:r>
      <w:r w:rsidRPr="00FE7B25">
        <w:t xml:space="preserve"> </w:t>
      </w:r>
      <w:proofErr w:type="spellStart"/>
      <w:r w:rsidRPr="00FE7B25">
        <w:t>possèdent</w:t>
      </w:r>
      <w:proofErr w:type="spellEnd"/>
      <w:r w:rsidRPr="00FE7B25">
        <w:t xml:space="preserve"> pour </w:t>
      </w:r>
      <w:proofErr w:type="spellStart"/>
      <w:r w:rsidRPr="00FE7B25">
        <w:t>leur</w:t>
      </w:r>
      <w:proofErr w:type="spellEnd"/>
      <w:r w:rsidRPr="00FE7B25">
        <w:t xml:space="preserve"> part </w:t>
      </w:r>
      <w:proofErr w:type="spellStart"/>
      <w:r w:rsidRPr="00FE7B25">
        <w:t>une</w:t>
      </w:r>
      <w:proofErr w:type="spellEnd"/>
      <w:r w:rsidRPr="00FE7B25">
        <w:t xml:space="preserve"> </w:t>
      </w:r>
      <w:proofErr w:type="spellStart"/>
      <w:r w:rsidRPr="00FE7B25">
        <w:t>rubrique</w:t>
      </w:r>
      <w:proofErr w:type="spellEnd"/>
      <w:r w:rsidRPr="00FE7B25">
        <w:t xml:space="preserve"> </w:t>
      </w:r>
      <w:proofErr w:type="spellStart"/>
      <w:r w:rsidRPr="00FE7B25">
        <w:t>intitulée</w:t>
      </w:r>
      <w:proofErr w:type="spellEnd"/>
      <w:r w:rsidRPr="00FE7B25">
        <w:t xml:space="preserve"> “Revue de </w:t>
      </w:r>
      <w:proofErr w:type="spellStart"/>
      <w:r w:rsidRPr="00FE7B25">
        <w:t>presse</w:t>
      </w:r>
      <w:proofErr w:type="spellEnd"/>
      <w:r w:rsidRPr="00FE7B25">
        <w:t xml:space="preserve">” qui se fait </w:t>
      </w:r>
      <w:proofErr w:type="spellStart"/>
      <w:r w:rsidRPr="00FE7B25">
        <w:t>l’écho</w:t>
      </w:r>
      <w:proofErr w:type="spellEnd"/>
      <w:r w:rsidRPr="00FE7B25">
        <w:t xml:space="preserve"> des recensions </w:t>
      </w:r>
      <w:proofErr w:type="spellStart"/>
      <w:r w:rsidRPr="00FE7B25">
        <w:t>parues</w:t>
      </w:r>
      <w:proofErr w:type="spellEnd"/>
      <w:r w:rsidRPr="00FE7B25">
        <w:t xml:space="preserve"> sur les livraisons</w:t>
      </w:r>
      <w:r w:rsidRPr="00FE7B25">
        <w:rPr>
          <w:vertAlign w:val="superscript"/>
        </w:rPr>
        <w:footnoteReference w:id="17"/>
      </w:r>
      <w:r w:rsidRPr="00FE7B25">
        <w:t xml:space="preserve">. La </w:t>
      </w:r>
      <w:r w:rsidRPr="00FE7B25">
        <w:rPr>
          <w:i/>
          <w:iCs/>
        </w:rPr>
        <w:t xml:space="preserve">Revue </w:t>
      </w:r>
      <w:proofErr w:type="spellStart"/>
      <w:r w:rsidRPr="00FE7B25">
        <w:rPr>
          <w:i/>
          <w:iCs/>
        </w:rPr>
        <w:t>économique</w:t>
      </w:r>
      <w:proofErr w:type="spellEnd"/>
      <w:r w:rsidRPr="00FE7B25">
        <w:t xml:space="preserve"> </w:t>
      </w:r>
      <w:proofErr w:type="spellStart"/>
      <w:r w:rsidRPr="00FE7B25">
        <w:t>liste</w:t>
      </w:r>
      <w:proofErr w:type="spellEnd"/>
      <w:r w:rsidRPr="00FE7B25">
        <w:t xml:space="preserve">, dans la </w:t>
      </w:r>
      <w:proofErr w:type="spellStart"/>
      <w:r w:rsidRPr="00FE7B25">
        <w:t>rubrique</w:t>
      </w:r>
      <w:proofErr w:type="spellEnd"/>
      <w:r w:rsidRPr="00FE7B25">
        <w:t xml:space="preserve"> “Articles </w:t>
      </w:r>
      <w:proofErr w:type="spellStart"/>
      <w:r w:rsidRPr="00FE7B25">
        <w:t>acceptés</w:t>
      </w:r>
      <w:proofErr w:type="spellEnd"/>
      <w:r w:rsidRPr="00FE7B25">
        <w:t xml:space="preserve">”, les </w:t>
      </w:r>
      <w:proofErr w:type="spellStart"/>
      <w:r w:rsidRPr="00FE7B25">
        <w:t>pré</w:t>
      </w:r>
      <w:proofErr w:type="spellEnd"/>
      <w:r w:rsidRPr="00FE7B25">
        <w:t xml:space="preserve">-publications sur </w:t>
      </w:r>
      <w:r w:rsidRPr="00FE7B25">
        <w:rPr>
          <w:i/>
          <w:iCs/>
        </w:rPr>
        <w:t>Cairn</w:t>
      </w:r>
      <w:r w:rsidRPr="00FE7B25">
        <w:t>.</w:t>
      </w:r>
      <w:r w:rsidRPr="00FE7B25">
        <w:rPr>
          <w:i/>
          <w:iCs/>
        </w:rPr>
        <w:t>info</w:t>
      </w:r>
      <w:r w:rsidRPr="00FE7B25">
        <w:t xml:space="preserve"> </w:t>
      </w:r>
      <w:proofErr w:type="spellStart"/>
      <w:r w:rsidRPr="00FE7B25">
        <w:t>devant</w:t>
      </w:r>
      <w:proofErr w:type="spellEnd"/>
      <w:r w:rsidRPr="00FE7B25">
        <w:t xml:space="preserve"> </w:t>
      </w:r>
      <w:proofErr w:type="spellStart"/>
      <w:r w:rsidRPr="00FE7B25">
        <w:t>être</w:t>
      </w:r>
      <w:proofErr w:type="spellEnd"/>
      <w:r w:rsidRPr="00FE7B25">
        <w:t xml:space="preserve"> </w:t>
      </w:r>
      <w:proofErr w:type="spellStart"/>
      <w:r w:rsidRPr="00FE7B25">
        <w:t>intégrées</w:t>
      </w:r>
      <w:proofErr w:type="spellEnd"/>
      <w:r w:rsidRPr="00FE7B25">
        <w:t xml:space="preserve"> au </w:t>
      </w:r>
      <w:proofErr w:type="spellStart"/>
      <w:r w:rsidRPr="00FE7B25">
        <w:t>numéro</w:t>
      </w:r>
      <w:proofErr w:type="spellEnd"/>
      <w:r w:rsidRPr="00FE7B25">
        <w:t xml:space="preserve"> à </w:t>
      </w:r>
      <w:proofErr w:type="spellStart"/>
      <w:r w:rsidRPr="00FE7B25">
        <w:t>venir</w:t>
      </w:r>
      <w:proofErr w:type="spellEnd"/>
      <w:r w:rsidRPr="00FE7B25">
        <w:t xml:space="preserve">. Au </w:t>
      </w:r>
      <w:proofErr w:type="spellStart"/>
      <w:r w:rsidRPr="00FE7B25">
        <w:t>niveau</w:t>
      </w:r>
      <w:proofErr w:type="spellEnd"/>
      <w:r w:rsidRPr="00FE7B25">
        <w:t xml:space="preserve"> de </w:t>
      </w:r>
      <w:proofErr w:type="spellStart"/>
      <w:r w:rsidRPr="00FE7B25">
        <w:t>l’énonciation</w:t>
      </w:r>
      <w:proofErr w:type="spellEnd"/>
      <w:r w:rsidRPr="00FE7B25">
        <w:t xml:space="preserve"> </w:t>
      </w:r>
      <w:proofErr w:type="spellStart"/>
      <w:r w:rsidRPr="00FE7B25">
        <w:t>éditoriale</w:t>
      </w:r>
      <w:proofErr w:type="spellEnd"/>
      <w:r w:rsidRPr="00FE7B25">
        <w:t xml:space="preserve"> du carnet </w:t>
      </w:r>
      <w:r w:rsidRPr="00FE7B25">
        <w:rPr>
          <w:rFonts w:cs="Times New Roman"/>
        </w:rPr>
        <w:t>(</w:t>
      </w:r>
      <w:proofErr w:type="spellStart"/>
      <w:r w:rsidRPr="00FE7B25">
        <w:rPr>
          <w:rFonts w:cs="Times New Roman"/>
        </w:rPr>
        <w:t>Jeanneret</w:t>
      </w:r>
      <w:proofErr w:type="spellEnd"/>
      <w:r w:rsidRPr="00FE7B25">
        <w:rPr>
          <w:rFonts w:cs="Times New Roman"/>
        </w:rPr>
        <w:t xml:space="preserve"> et </w:t>
      </w:r>
      <w:proofErr w:type="spellStart"/>
      <w:r w:rsidRPr="00FE7B25">
        <w:rPr>
          <w:rFonts w:cs="Times New Roman"/>
        </w:rPr>
        <w:t>Souchier</w:t>
      </w:r>
      <w:proofErr w:type="spellEnd"/>
      <w:r w:rsidRPr="00FE7B25">
        <w:rPr>
          <w:rFonts w:cs="Times New Roman"/>
        </w:rPr>
        <w:t xml:space="preserve"> 2005)</w:t>
      </w:r>
      <w:r w:rsidRPr="00FE7B25">
        <w:t xml:space="preserve">, </w:t>
      </w:r>
      <w:proofErr w:type="spellStart"/>
      <w:r w:rsidRPr="00FE7B25">
        <w:t>l’éditorialisation</w:t>
      </w:r>
      <w:proofErr w:type="spellEnd"/>
      <w:r w:rsidRPr="00FE7B25">
        <w:t xml:space="preserve"> </w:t>
      </w:r>
      <w:proofErr w:type="spellStart"/>
      <w:r w:rsidRPr="00FE7B25">
        <w:t>automatisée</w:t>
      </w:r>
      <w:proofErr w:type="spellEnd"/>
      <w:r w:rsidRPr="00FE7B25">
        <w:t xml:space="preserve"> fait encore </w:t>
      </w:r>
      <w:proofErr w:type="spellStart"/>
      <w:r w:rsidRPr="00FE7B25">
        <w:t>apparaître</w:t>
      </w:r>
      <w:proofErr w:type="spellEnd"/>
      <w:r w:rsidRPr="00FE7B25">
        <w:t xml:space="preserve"> des flux </w:t>
      </w:r>
      <w:proofErr w:type="spellStart"/>
      <w:r w:rsidRPr="00FE7B25">
        <w:t>issus</w:t>
      </w:r>
      <w:proofErr w:type="spellEnd"/>
      <w:r w:rsidRPr="00FE7B25">
        <w:t xml:space="preserve"> </w:t>
      </w:r>
      <w:proofErr w:type="spellStart"/>
      <w:r w:rsidRPr="00FE7B25">
        <w:t>d’autres</w:t>
      </w:r>
      <w:proofErr w:type="spellEnd"/>
      <w:r w:rsidRPr="00FE7B25">
        <w:t xml:space="preserve"> repertoires </w:t>
      </w:r>
      <w:proofErr w:type="spellStart"/>
      <w:r w:rsidRPr="00FE7B25">
        <w:t>d’</w:t>
      </w:r>
      <w:r w:rsidRPr="00A970EB">
        <w:rPr>
          <w:i/>
        </w:rPr>
        <w:t>O</w:t>
      </w:r>
      <w:r w:rsidR="00A970EB" w:rsidRPr="00A970EB">
        <w:rPr>
          <w:i/>
        </w:rPr>
        <w:t>E</w:t>
      </w:r>
      <w:proofErr w:type="spellEnd"/>
      <w:r w:rsidRPr="00FE7B25">
        <w:t xml:space="preserve">, </w:t>
      </w:r>
      <w:proofErr w:type="spellStart"/>
      <w:r w:rsidRPr="00FE7B25">
        <w:t>comme</w:t>
      </w:r>
      <w:proofErr w:type="spellEnd"/>
      <w:r w:rsidRPr="00FE7B25">
        <w:t xml:space="preserve"> </w:t>
      </w:r>
      <w:proofErr w:type="spellStart"/>
      <w:r w:rsidRPr="00FE7B25">
        <w:rPr>
          <w:i/>
          <w:iCs/>
        </w:rPr>
        <w:t>Calenda</w:t>
      </w:r>
      <w:proofErr w:type="spellEnd"/>
      <w:r w:rsidRPr="00FE7B25">
        <w:t xml:space="preserve"> </w:t>
      </w:r>
      <w:proofErr w:type="spellStart"/>
      <w:r w:rsidRPr="00FE7B25">
        <w:t>ou</w:t>
      </w:r>
      <w:proofErr w:type="spellEnd"/>
      <w:r w:rsidRPr="00FE7B25">
        <w:t xml:space="preserve"> </w:t>
      </w:r>
      <w:r w:rsidRPr="00FE7B25">
        <w:rPr>
          <w:i/>
          <w:iCs/>
        </w:rPr>
        <w:t>Lectures</w:t>
      </w:r>
      <w:r w:rsidRPr="00FE7B25">
        <w:t xml:space="preserve"> (ex. </w:t>
      </w:r>
      <w:r w:rsidRPr="00FE7B25">
        <w:rPr>
          <w:i/>
          <w:iCs/>
        </w:rPr>
        <w:t xml:space="preserve">Les Carnets de </w:t>
      </w:r>
      <w:proofErr w:type="spellStart"/>
      <w:r w:rsidRPr="00FE7B25">
        <w:rPr>
          <w:i/>
          <w:iCs/>
        </w:rPr>
        <w:t>Genèses</w:t>
      </w:r>
      <w:proofErr w:type="spellEnd"/>
      <w:r w:rsidRPr="00FE7B25">
        <w:t xml:space="preserve">), </w:t>
      </w:r>
      <w:proofErr w:type="spellStart"/>
      <w:r w:rsidRPr="00FE7B25">
        <w:t>voire</w:t>
      </w:r>
      <w:proofErr w:type="spellEnd"/>
      <w:r w:rsidRPr="00FE7B25">
        <w:t xml:space="preserve"> du fil </w:t>
      </w:r>
      <w:r w:rsidRPr="00A970EB">
        <w:rPr>
          <w:i/>
        </w:rPr>
        <w:t>Twitter</w:t>
      </w:r>
      <w:r w:rsidRPr="00FE7B25">
        <w:t xml:space="preserve"> </w:t>
      </w:r>
      <w:proofErr w:type="spellStart"/>
      <w:r w:rsidRPr="00FE7B25">
        <w:t>associé</w:t>
      </w:r>
      <w:proofErr w:type="spellEnd"/>
      <w:r w:rsidRPr="00FE7B25">
        <w:t xml:space="preserve"> au </w:t>
      </w:r>
      <w:proofErr w:type="spellStart"/>
      <w:r w:rsidRPr="00FE7B25">
        <w:t>compte</w:t>
      </w:r>
      <w:proofErr w:type="spellEnd"/>
      <w:r w:rsidRPr="00FE7B25">
        <w:t xml:space="preserve"> de la revue (</w:t>
      </w:r>
      <w:r w:rsidRPr="00FE7B25">
        <w:rPr>
          <w:i/>
          <w:iCs/>
        </w:rPr>
        <w:t>Carnets de la revue Socio</w:t>
      </w:r>
      <w:r w:rsidRPr="00FE7B25">
        <w:t>).</w:t>
      </w:r>
    </w:p>
    <w:p w14:paraId="02AB131D" w14:textId="77777777" w:rsidR="00FE7B25" w:rsidRPr="00FE7B25" w:rsidRDefault="00FE7B25" w:rsidP="00FE7B25">
      <w:pPr>
        <w:jc w:val="both"/>
        <w:rPr>
          <w:lang w:val="fr-BE"/>
        </w:rPr>
      </w:pPr>
      <w:r w:rsidRPr="00FE7B25">
        <w:rPr>
          <w:lang w:val="fr-BE"/>
        </w:rPr>
        <w:t xml:space="preserve">Le carnet joue ici </w:t>
      </w:r>
      <w:proofErr w:type="gramStart"/>
      <w:r w:rsidRPr="00FE7B25">
        <w:rPr>
          <w:i/>
          <w:iCs/>
          <w:lang w:val="fr-BE"/>
        </w:rPr>
        <w:t>a</w:t>
      </w:r>
      <w:proofErr w:type="gramEnd"/>
      <w:r w:rsidRPr="00FE7B25">
        <w:rPr>
          <w:i/>
          <w:iCs/>
          <w:lang w:val="fr-BE"/>
        </w:rPr>
        <w:t xml:space="preserve"> minima</w:t>
      </w:r>
      <w:r w:rsidRPr="00FE7B25">
        <w:rPr>
          <w:lang w:val="fr-BE"/>
        </w:rPr>
        <w:t xml:space="preserve"> le rôle de renforcer la présence en ligne de la revue, l’inscrivant dans la </w:t>
      </w:r>
      <w:proofErr w:type="spellStart"/>
      <w:r w:rsidRPr="00FE7B25">
        <w:rPr>
          <w:lang w:val="fr-BE"/>
        </w:rPr>
        <w:t>réticularité</w:t>
      </w:r>
      <w:proofErr w:type="spellEnd"/>
      <w:r w:rsidRPr="00FE7B25">
        <w:rPr>
          <w:lang w:val="fr-BE"/>
        </w:rPr>
        <w:t xml:space="preserve"> du web. Les éditorialisations résultent d’un travail additionnel, et ouvrent vers d’autres pratiques visant, par la publication de contenus originaux, à accompagner la publication de la revue avec des matériaux n’entrant pas dans le périmètre de ses genres classiques.</w:t>
      </w:r>
    </w:p>
    <w:p w14:paraId="7808FB1A" w14:textId="77777777" w:rsidR="00FE7B25" w:rsidRPr="00C20D51" w:rsidRDefault="00FE7B25" w:rsidP="00FE7B25">
      <w:pPr>
        <w:jc w:val="both"/>
        <w:rPr>
          <w:rFonts w:ascii="Helvetica" w:hAnsi="Helvetica"/>
          <w:b/>
          <w:bCs/>
          <w:i/>
          <w:iCs/>
          <w:lang w:val="fr-BE"/>
        </w:rPr>
      </w:pPr>
      <w:r w:rsidRPr="00C20D51">
        <w:rPr>
          <w:rFonts w:ascii="Helvetica" w:hAnsi="Helvetica"/>
          <w:b/>
          <w:bCs/>
          <w:i/>
          <w:iCs/>
          <w:lang w:val="fr-BE"/>
        </w:rPr>
        <w:t>Complémentarité/Adjonction</w:t>
      </w:r>
    </w:p>
    <w:p w14:paraId="0B95FDCD" w14:textId="77777777" w:rsidR="00FE7B25" w:rsidRPr="00FE7B25" w:rsidRDefault="00FE7B25" w:rsidP="00FE7B25">
      <w:pPr>
        <w:jc w:val="both"/>
        <w:rPr>
          <w:lang w:val="fr-BE"/>
        </w:rPr>
      </w:pPr>
      <w:r w:rsidRPr="00FE7B25">
        <w:rPr>
          <w:lang w:val="fr-BE"/>
        </w:rPr>
        <w:t xml:space="preserve">Cette catégorie est, sans surprise, la plus représentée parmi les carnets du corpus. Elle concrétise en quelque sorte le « projet positif » appelé de ses vœux par le CSEO, suivant une intensité et des modalités variables </w:t>
      </w:r>
      <w:r w:rsidRPr="00FE7B25">
        <w:rPr>
          <w:lang w:val="fr-BE"/>
        </w:rPr>
        <w:lastRenderedPageBreak/>
        <w:t>que nous explorerons suivant la nature éditoriale des contenus additionnels publiés, et du rapport qu’ils entretiennent aux autres publications de la revue. On y distingue ainsi :</w:t>
      </w:r>
    </w:p>
    <w:p w14:paraId="14365480" w14:textId="2858139D" w:rsidR="00FE7B25" w:rsidRPr="00FE7B25" w:rsidRDefault="00FE7B25" w:rsidP="00FE7B25">
      <w:pPr>
        <w:numPr>
          <w:ilvl w:val="0"/>
          <w:numId w:val="5"/>
        </w:numPr>
        <w:contextualSpacing/>
        <w:jc w:val="both"/>
        <w:rPr>
          <w:lang w:val="fr-BE"/>
        </w:rPr>
      </w:pPr>
      <w:r w:rsidRPr="00FE7B25">
        <w:rPr>
          <w:i/>
          <w:iCs/>
          <w:lang w:val="fr-BE"/>
        </w:rPr>
        <w:t>Des actualités propres à la revue et aux activités qu’elle mène</w:t>
      </w:r>
      <w:r w:rsidRPr="00FE7B25">
        <w:rPr>
          <w:lang w:val="fr-BE"/>
        </w:rPr>
        <w:t> : Annonce et/ou matériaux issus de journées d’études (p. ex ; rubrique « séminaire » sur le</w:t>
      </w:r>
      <w:r w:rsidR="00C32888">
        <w:rPr>
          <w:lang w:val="fr-BE"/>
        </w:rPr>
        <w:t xml:space="preserve"> </w:t>
      </w:r>
      <w:r w:rsidRPr="00FE7B25">
        <w:rPr>
          <w:i/>
          <w:iCs/>
          <w:lang w:val="fr-BE"/>
        </w:rPr>
        <w:t xml:space="preserve">Carnet d’Images </w:t>
      </w:r>
      <w:proofErr w:type="spellStart"/>
      <w:r w:rsidRPr="00FE7B25">
        <w:rPr>
          <w:i/>
          <w:iCs/>
          <w:lang w:val="fr-BE"/>
        </w:rPr>
        <w:t>Re-Vues</w:t>
      </w:r>
      <w:proofErr w:type="spellEnd"/>
      <w:r w:rsidRPr="00FE7B25">
        <w:rPr>
          <w:lang w:val="fr-BE"/>
        </w:rPr>
        <w:t>), d’un séminaire international (</w:t>
      </w:r>
      <w:r w:rsidR="00C32888">
        <w:rPr>
          <w:lang w:val="fr-BE"/>
        </w:rPr>
        <w:t>c</w:t>
      </w:r>
      <w:r w:rsidRPr="00FE7B25">
        <w:rPr>
          <w:lang w:val="fr-BE"/>
        </w:rPr>
        <w:t xml:space="preserve">arnet de </w:t>
      </w:r>
      <w:r w:rsidRPr="00FE7B25">
        <w:rPr>
          <w:i/>
          <w:iCs/>
          <w:lang w:val="fr-BE"/>
        </w:rPr>
        <w:t>Biens symboliques/</w:t>
      </w:r>
      <w:proofErr w:type="spellStart"/>
      <w:r w:rsidRPr="00FE7B25">
        <w:rPr>
          <w:i/>
          <w:iCs/>
          <w:lang w:val="fr-BE"/>
        </w:rPr>
        <w:t>Symbolic</w:t>
      </w:r>
      <w:proofErr w:type="spellEnd"/>
      <w:r w:rsidRPr="00FE7B25">
        <w:rPr>
          <w:i/>
          <w:iCs/>
          <w:lang w:val="fr-BE"/>
        </w:rPr>
        <w:t xml:space="preserve"> </w:t>
      </w:r>
      <w:proofErr w:type="spellStart"/>
      <w:r w:rsidRPr="00FE7B25">
        <w:rPr>
          <w:i/>
          <w:iCs/>
          <w:lang w:val="fr-BE"/>
        </w:rPr>
        <w:t>Goods</w:t>
      </w:r>
      <w:proofErr w:type="spellEnd"/>
      <w:r w:rsidRPr="00FE7B25">
        <w:rPr>
          <w:lang w:val="fr-BE"/>
        </w:rPr>
        <w:t xml:space="preserve">), vie de la revue (p. ex. certains contenus de la rubrique « Actualités » dans </w:t>
      </w:r>
      <w:r w:rsidRPr="00FE7B25">
        <w:rPr>
          <w:i/>
          <w:iCs/>
          <w:lang w:val="fr-BE"/>
        </w:rPr>
        <w:t>Tracés</w:t>
      </w:r>
      <w:r w:rsidRPr="00FE7B25">
        <w:rPr>
          <w:lang w:val="fr-BE"/>
        </w:rPr>
        <w:t xml:space="preserve">, ou « À la Une » sur </w:t>
      </w:r>
      <w:r w:rsidRPr="00FE7B25">
        <w:rPr>
          <w:i/>
          <w:iCs/>
          <w:lang w:val="fr-BE"/>
        </w:rPr>
        <w:t>Politique africaine. Le carnet de la revue</w:t>
      </w:r>
      <w:r w:rsidRPr="00FE7B25">
        <w:rPr>
          <w:lang w:val="fr-BE"/>
        </w:rPr>
        <w:t>) ;</w:t>
      </w:r>
    </w:p>
    <w:p w14:paraId="035480BB" w14:textId="55F546D3" w:rsidR="00FE7B25" w:rsidRPr="00FE7B25" w:rsidRDefault="00FE7B25" w:rsidP="00FE7B25">
      <w:pPr>
        <w:numPr>
          <w:ilvl w:val="0"/>
          <w:numId w:val="5"/>
        </w:numPr>
        <w:contextualSpacing/>
        <w:jc w:val="both"/>
        <w:rPr>
          <w:lang w:val="fr-BE"/>
        </w:rPr>
      </w:pPr>
      <w:r w:rsidRPr="00FE7B25">
        <w:rPr>
          <w:i/>
          <w:iCs/>
          <w:lang w:val="fr-BE"/>
        </w:rPr>
        <w:t>Des activités de veille et de recensions</w:t>
      </w:r>
      <w:r w:rsidRPr="00FE7B25">
        <w:rPr>
          <w:lang w:val="fr-BE"/>
        </w:rPr>
        <w:t> : Appels à contributions émanant d’autres revues, annonces de parutions (autre que les nouvelles livraisons) ou de soutenances de thèses, recensions de colloques, résumés d’ouvrages voire, dans certains cas, comptes rendus en texte intégral. Ces recensions sont alors soit (i) inédites, en tout ou en partie (rubrique</w:t>
      </w:r>
      <w:r w:rsidRPr="00FE7B25">
        <w:rPr>
          <w:i/>
          <w:iCs/>
          <w:lang w:val="fr-BE"/>
        </w:rPr>
        <w:t xml:space="preserve"> </w:t>
      </w:r>
      <w:r w:rsidRPr="00FE7B25">
        <w:rPr>
          <w:lang w:val="fr-BE"/>
        </w:rPr>
        <w:t xml:space="preserve">« Lu pour vous » sur </w:t>
      </w:r>
      <w:r w:rsidRPr="00FE7B25">
        <w:rPr>
          <w:i/>
          <w:iCs/>
          <w:lang w:val="fr-BE"/>
        </w:rPr>
        <w:t>Droit et Société</w:t>
      </w:r>
      <w:r w:rsidRPr="00FE7B25">
        <w:rPr>
          <w:lang w:val="fr-BE"/>
        </w:rPr>
        <w:t xml:space="preserve">, la revue ne semblant pas diffuser de comptes rendus ; </w:t>
      </w:r>
      <w:r w:rsidRPr="00FE7B25">
        <w:rPr>
          <w:i/>
          <w:iCs/>
          <w:lang w:val="fr-BE"/>
        </w:rPr>
        <w:t>Dissidences : le blog</w:t>
      </w:r>
      <w:r w:rsidRPr="00FE7B25">
        <w:rPr>
          <w:lang w:val="fr-BE"/>
        </w:rPr>
        <w:t xml:space="preserve">, publiant deux fois par mois environ des recensions détaillées, notes de lecture du carnet </w:t>
      </w:r>
      <w:r w:rsidRPr="00FE7B25">
        <w:rPr>
          <w:i/>
          <w:iCs/>
          <w:lang w:val="fr-BE"/>
        </w:rPr>
        <w:t>Le mouvement social</w:t>
      </w:r>
      <w:r w:rsidRPr="00FE7B25">
        <w:rPr>
          <w:lang w:val="fr-BE"/>
        </w:rPr>
        <w:t xml:space="preserve"> — d’autres notes étant issues des livraisons et reproduits intégralement) ; (ii) issues des publications de la revue : premiers paragraphes suivis d’un hyperlien vers le site de la revue pour </w:t>
      </w:r>
      <w:proofErr w:type="spellStart"/>
      <w:r w:rsidRPr="00FE7B25">
        <w:rPr>
          <w:i/>
          <w:iCs/>
          <w:lang w:val="fr-BE"/>
        </w:rPr>
        <w:t>Criminocorpus</w:t>
      </w:r>
      <w:proofErr w:type="spellEnd"/>
      <w:r w:rsidRPr="00FE7B25">
        <w:rPr>
          <w:i/>
          <w:iCs/>
          <w:lang w:val="fr-BE"/>
        </w:rPr>
        <w:t> </w:t>
      </w:r>
      <w:r w:rsidRPr="00FE7B25">
        <w:rPr>
          <w:lang w:val="fr-BE"/>
        </w:rPr>
        <w:t xml:space="preserve">; « Revue des livres » sur </w:t>
      </w:r>
      <w:r w:rsidRPr="00FE7B25">
        <w:rPr>
          <w:i/>
          <w:iCs/>
          <w:lang w:val="fr-BE"/>
        </w:rPr>
        <w:t>Politique africaine : le carnet de la revue </w:t>
      </w:r>
      <w:r w:rsidRPr="00FE7B25">
        <w:rPr>
          <w:lang w:val="fr-BE"/>
        </w:rPr>
        <w:t xml:space="preserve">; (iii) liées à des parutions non scientifiques qui ne trouveraient pas leur place en revue : bandes dessinées, ouvrages jeunesse ou grand public sur </w:t>
      </w:r>
      <w:r w:rsidRPr="00FE7B25">
        <w:rPr>
          <w:i/>
          <w:iCs/>
          <w:lang w:val="fr-BE"/>
        </w:rPr>
        <w:t>Actualité des études anciennes</w:t>
      </w:r>
      <w:r w:rsidRPr="00FE7B25">
        <w:rPr>
          <w:lang w:val="fr-BE"/>
        </w:rPr>
        <w:t xml:space="preserve">, ouvrages de science-fiction sur </w:t>
      </w:r>
      <w:proofErr w:type="spellStart"/>
      <w:r w:rsidRPr="00FE7B25">
        <w:rPr>
          <w:i/>
          <w:iCs/>
          <w:lang w:val="fr-BE"/>
        </w:rPr>
        <w:t>Res</w:t>
      </w:r>
      <w:proofErr w:type="spellEnd"/>
      <w:r w:rsidRPr="00FE7B25">
        <w:rPr>
          <w:i/>
          <w:iCs/>
          <w:lang w:val="fr-BE"/>
        </w:rPr>
        <w:t xml:space="preserve"> </w:t>
      </w:r>
      <w:proofErr w:type="spellStart"/>
      <w:r w:rsidRPr="00FE7B25">
        <w:rPr>
          <w:i/>
          <w:iCs/>
          <w:lang w:val="fr-BE"/>
        </w:rPr>
        <w:t>Futurae</w:t>
      </w:r>
      <w:proofErr w:type="spellEnd"/>
      <w:r w:rsidRPr="00FE7B25">
        <w:rPr>
          <w:i/>
          <w:iCs/>
          <w:lang w:val="fr-BE"/>
        </w:rPr>
        <w:t> </w:t>
      </w:r>
      <w:r w:rsidRPr="00FE7B25">
        <w:rPr>
          <w:lang w:val="fr-BE"/>
        </w:rPr>
        <w:t>;</w:t>
      </w:r>
    </w:p>
    <w:p w14:paraId="5BDB2B52" w14:textId="77777777" w:rsidR="00FE7B25" w:rsidRPr="00FE7B25" w:rsidRDefault="00FE7B25" w:rsidP="00FE7B25">
      <w:pPr>
        <w:numPr>
          <w:ilvl w:val="0"/>
          <w:numId w:val="5"/>
        </w:numPr>
        <w:contextualSpacing/>
        <w:jc w:val="both"/>
        <w:rPr>
          <w:lang w:val="fr-BE"/>
        </w:rPr>
      </w:pPr>
      <w:r w:rsidRPr="00FE7B25">
        <w:rPr>
          <w:i/>
          <w:iCs/>
          <w:lang w:val="fr-BE"/>
        </w:rPr>
        <w:t>Des matériaux complétant directement ou indirectement les articles de la revue</w:t>
      </w:r>
      <w:r w:rsidRPr="00FE7B25">
        <w:rPr>
          <w:lang w:val="fr-BE"/>
        </w:rPr>
        <w:t xml:space="preserve"> : matériaux additionnels servant de support aux articles ou les prolongeant (documents annexes, discussion autour d’un article, traductions, podcasts ou vidéos liés à la thématique d’une livraison, etc.) ; mais aussi, plus largement, de billets apportant un regard critique sur la recherche dans le domaine disciplinaire visé. On citera, à titre d’exemples, plusieurs rubriques « Autour de… » (« Autour de </w:t>
      </w:r>
      <w:r w:rsidRPr="00FE7B25">
        <w:rPr>
          <w:i/>
          <w:iCs/>
          <w:lang w:val="fr-BE"/>
        </w:rPr>
        <w:t>Tracés</w:t>
      </w:r>
      <w:r w:rsidRPr="00FE7B25">
        <w:rPr>
          <w:lang w:val="fr-BE"/>
        </w:rPr>
        <w:t xml:space="preserve"> », « Autour du </w:t>
      </w:r>
      <w:r w:rsidRPr="00FE7B25">
        <w:rPr>
          <w:i/>
          <w:iCs/>
          <w:lang w:val="fr-BE"/>
        </w:rPr>
        <w:t>Mouvement social </w:t>
      </w:r>
      <w:r w:rsidRPr="00FE7B25">
        <w:rPr>
          <w:lang w:val="fr-BE"/>
        </w:rPr>
        <w:t>» — où l’on trouvera, par exemple, un billet méthodologique accompagnant un article de la revue</w:t>
      </w:r>
      <w:r w:rsidRPr="00FE7B25">
        <w:rPr>
          <w:vertAlign w:val="superscript"/>
          <w:lang w:val="fr-BE"/>
        </w:rPr>
        <w:footnoteReference w:id="18"/>
      </w:r>
      <w:proofErr w:type="gramStart"/>
      <w:r w:rsidRPr="00FE7B25">
        <w:rPr>
          <w:lang w:val="fr-BE"/>
        </w:rPr>
        <w:t>— ,</w:t>
      </w:r>
      <w:proofErr w:type="gramEnd"/>
      <w:r w:rsidRPr="00FE7B25">
        <w:rPr>
          <w:lang w:val="fr-BE"/>
        </w:rPr>
        <w:t xml:space="preserve"> « Autour des numéros » sur </w:t>
      </w:r>
      <w:r w:rsidRPr="00FE7B25">
        <w:rPr>
          <w:i/>
          <w:iCs/>
          <w:lang w:val="fr-BE"/>
        </w:rPr>
        <w:t>Carnets de Terrain</w:t>
      </w:r>
      <w:r w:rsidRPr="00FE7B25">
        <w:rPr>
          <w:lang w:val="fr-BE"/>
        </w:rPr>
        <w:t>)</w:t>
      </w:r>
      <w:r w:rsidRPr="00FE7B25">
        <w:rPr>
          <w:i/>
          <w:iCs/>
          <w:lang w:val="fr-BE"/>
        </w:rPr>
        <w:t> </w:t>
      </w:r>
      <w:r w:rsidRPr="00FE7B25">
        <w:rPr>
          <w:lang w:val="fr-BE"/>
        </w:rPr>
        <w:t>; ainsi que les rubriques « Points de vue »</w:t>
      </w:r>
      <w:r w:rsidRPr="00FE7B25">
        <w:rPr>
          <w:vertAlign w:val="superscript"/>
          <w:lang w:val="fr-BE"/>
        </w:rPr>
        <w:footnoteReference w:id="19"/>
      </w:r>
      <w:r w:rsidRPr="00FE7B25">
        <w:rPr>
          <w:lang w:val="fr-BE"/>
        </w:rPr>
        <w:t xml:space="preserve"> sur le </w:t>
      </w:r>
      <w:r w:rsidRPr="00FE7B25">
        <w:rPr>
          <w:i/>
          <w:iCs/>
          <w:lang w:val="fr-BE"/>
        </w:rPr>
        <w:t>Carnet de la NRT</w:t>
      </w:r>
      <w:r w:rsidRPr="00FE7B25">
        <w:rPr>
          <w:lang w:val="fr-BE"/>
        </w:rPr>
        <w:t xml:space="preserve">, le « blog de la revue </w:t>
      </w:r>
      <w:r w:rsidRPr="00FE7B25">
        <w:rPr>
          <w:i/>
          <w:iCs/>
          <w:lang w:val="fr-BE"/>
        </w:rPr>
        <w:t>Hermès</w:t>
      </w:r>
      <w:r w:rsidRPr="00FE7B25">
        <w:rPr>
          <w:lang w:val="fr-BE"/>
        </w:rPr>
        <w:t xml:space="preserve"> » sur le carnet associé,  ou encore les « Conversations » de </w:t>
      </w:r>
      <w:proofErr w:type="spellStart"/>
      <w:r w:rsidRPr="00FE7B25">
        <w:rPr>
          <w:i/>
          <w:iCs/>
          <w:lang w:val="fr-BE"/>
        </w:rPr>
        <w:t>Cybergeo</w:t>
      </w:r>
      <w:proofErr w:type="spellEnd"/>
      <w:r w:rsidRPr="00FE7B25">
        <w:rPr>
          <w:i/>
          <w:iCs/>
          <w:lang w:val="fr-BE"/>
        </w:rPr>
        <w:t> </w:t>
      </w:r>
      <w:r w:rsidRPr="00FE7B25">
        <w:rPr>
          <w:lang w:val="fr-BE"/>
        </w:rPr>
        <w:t>;</w:t>
      </w:r>
    </w:p>
    <w:p w14:paraId="0219DB23" w14:textId="77777777" w:rsidR="00FE7B25" w:rsidRPr="00FE7B25" w:rsidRDefault="00FE7B25" w:rsidP="00FE7B25">
      <w:pPr>
        <w:numPr>
          <w:ilvl w:val="0"/>
          <w:numId w:val="5"/>
        </w:numPr>
        <w:contextualSpacing/>
        <w:jc w:val="both"/>
        <w:rPr>
          <w:lang w:val="fr-BE"/>
        </w:rPr>
      </w:pPr>
      <w:r w:rsidRPr="00FE7B25">
        <w:rPr>
          <w:i/>
          <w:iCs/>
          <w:lang w:val="fr-BE"/>
        </w:rPr>
        <w:t>Des outils de recherche et de médiation</w:t>
      </w:r>
      <w:r w:rsidRPr="00FE7B25">
        <w:rPr>
          <w:lang w:val="fr-BE"/>
        </w:rPr>
        <w:t xml:space="preserve">, comme le glossaire et les fiches accompagnant des dossiers pédagogiques sur </w:t>
      </w:r>
      <w:r w:rsidRPr="00FE7B25">
        <w:rPr>
          <w:i/>
          <w:iCs/>
          <w:lang w:val="fr-BE"/>
        </w:rPr>
        <w:t>Dynamiques environnementales info </w:t>
      </w:r>
      <w:r w:rsidRPr="00FE7B25">
        <w:rPr>
          <w:lang w:val="fr-BE"/>
        </w:rPr>
        <w:t xml:space="preserve">ou la rubrique « Tuto » sur </w:t>
      </w:r>
      <w:r w:rsidRPr="00FE7B25">
        <w:rPr>
          <w:i/>
          <w:iCs/>
          <w:lang w:val="fr-BE"/>
        </w:rPr>
        <w:t xml:space="preserve">Le carnet de Techniques &amp; Culture </w:t>
      </w:r>
      <w:r w:rsidRPr="00FE7B25">
        <w:rPr>
          <w:lang w:val="fr-BE"/>
        </w:rPr>
        <w:t xml:space="preserve">(cf. </w:t>
      </w:r>
      <w:r w:rsidRPr="00FE7B25">
        <w:rPr>
          <w:i/>
          <w:iCs/>
          <w:lang w:val="fr-BE"/>
        </w:rPr>
        <w:t>infra</w:t>
      </w:r>
      <w:r w:rsidRPr="00FE7B25">
        <w:rPr>
          <w:lang w:val="fr-BE"/>
        </w:rPr>
        <w:t>) ;</w:t>
      </w:r>
    </w:p>
    <w:p w14:paraId="34F878E0" w14:textId="77777777" w:rsidR="00FE7B25" w:rsidRPr="00FE7B25" w:rsidRDefault="00FE7B25" w:rsidP="00FE7B25">
      <w:pPr>
        <w:numPr>
          <w:ilvl w:val="0"/>
          <w:numId w:val="5"/>
        </w:numPr>
        <w:contextualSpacing/>
        <w:jc w:val="both"/>
        <w:rPr>
          <w:lang w:val="fr-BE"/>
        </w:rPr>
      </w:pPr>
      <w:r w:rsidRPr="00FE7B25">
        <w:rPr>
          <w:i/>
          <w:iCs/>
          <w:lang w:val="fr-BE"/>
        </w:rPr>
        <w:t>Le traitement d’actualités sociales et/ou culturelles </w:t>
      </w:r>
      <w:r w:rsidRPr="00FE7B25">
        <w:rPr>
          <w:lang w:val="fr-BE"/>
        </w:rPr>
        <w:t xml:space="preserve">: billets offrant un regard sur l’actualité socio-politique à partir d’un domaine disciplinaire. </w:t>
      </w:r>
      <w:r w:rsidRPr="00FE7B25">
        <w:rPr>
          <w:i/>
          <w:iCs/>
          <w:lang w:val="fr-BE"/>
        </w:rPr>
        <w:t>Le carnet de la revue Hermès</w:t>
      </w:r>
      <w:r w:rsidRPr="00FE7B25">
        <w:rPr>
          <w:lang w:val="fr-BE"/>
        </w:rPr>
        <w:t xml:space="preserve"> présente ainsi un point de vue sur la crise libanaise ou la présidence brésilienne ; dans d’autres carnets, ces publications sont intégrées dans une rubrique spécifique : « Covid-19 vue d’Afrique » sur </w:t>
      </w:r>
      <w:r w:rsidRPr="00FE7B25">
        <w:rPr>
          <w:i/>
          <w:iCs/>
          <w:lang w:val="fr-BE"/>
        </w:rPr>
        <w:t>Politique africaine. Le carnet de la revue</w:t>
      </w:r>
      <w:r w:rsidRPr="00FE7B25">
        <w:rPr>
          <w:lang w:val="fr-BE"/>
        </w:rPr>
        <w:t xml:space="preserve">, « Autour de l’actu » sur </w:t>
      </w:r>
      <w:r w:rsidRPr="00FE7B25">
        <w:rPr>
          <w:i/>
          <w:iCs/>
          <w:lang w:val="fr-BE"/>
        </w:rPr>
        <w:t>Carnets de Terrain</w:t>
      </w:r>
      <w:r w:rsidRPr="00FE7B25">
        <w:rPr>
          <w:lang w:val="fr-BE"/>
        </w:rPr>
        <w:t xml:space="preserve"> ainsi que sur </w:t>
      </w:r>
      <w:proofErr w:type="spellStart"/>
      <w:r w:rsidRPr="00FE7B25">
        <w:rPr>
          <w:i/>
          <w:iCs/>
          <w:lang w:val="fr-BE"/>
        </w:rPr>
        <w:t>Criminocorpus</w:t>
      </w:r>
      <w:proofErr w:type="spellEnd"/>
      <w:r w:rsidRPr="00FE7B25">
        <w:rPr>
          <w:lang w:val="fr-BE"/>
        </w:rPr>
        <w:t xml:space="preserve">, « L’actu vue par </w:t>
      </w:r>
      <w:r w:rsidRPr="00FE7B25">
        <w:rPr>
          <w:i/>
          <w:iCs/>
          <w:lang w:val="fr-BE"/>
        </w:rPr>
        <w:t>D&amp;S</w:t>
      </w:r>
      <w:r w:rsidRPr="00FE7B25">
        <w:rPr>
          <w:lang w:val="fr-BE"/>
        </w:rPr>
        <w:t xml:space="preserve"> » sur </w:t>
      </w:r>
      <w:r w:rsidRPr="00FE7B25">
        <w:rPr>
          <w:i/>
          <w:iCs/>
          <w:lang w:val="fr-BE"/>
        </w:rPr>
        <w:t>Droit et Société</w:t>
      </w:r>
      <w:r w:rsidRPr="00FE7B25">
        <w:rPr>
          <w:lang w:val="fr-BE"/>
        </w:rPr>
        <w:t xml:space="preserve">, etc. L’actualité dont il est rendu compte peut encore être culturelle : </w:t>
      </w:r>
      <w:r w:rsidRPr="00FE7B25">
        <w:rPr>
          <w:i/>
          <w:iCs/>
          <w:lang w:val="fr-BE"/>
        </w:rPr>
        <w:t>Actualités des études anciennes</w:t>
      </w:r>
      <w:r w:rsidRPr="00FE7B25">
        <w:rPr>
          <w:lang w:val="fr-BE"/>
        </w:rPr>
        <w:t xml:space="preserve"> se fait par exemple l’écho </w:t>
      </w:r>
    </w:p>
    <w:p w14:paraId="3B41F4D5" w14:textId="77777777" w:rsidR="00FE7B25" w:rsidRPr="00FE7B25" w:rsidRDefault="00FE7B25" w:rsidP="00FE7B25">
      <w:pPr>
        <w:jc w:val="both"/>
        <w:rPr>
          <w:lang w:val="fr-BE"/>
        </w:rPr>
      </w:pPr>
      <w:r w:rsidRPr="00FE7B25">
        <w:rPr>
          <w:lang w:val="fr-BE"/>
        </w:rPr>
        <w:t>Ces différentes fonctions éditoriales peuvent se combiner, et intégrer les présentations</w:t>
      </w:r>
      <w:r w:rsidRPr="00FE7B25">
        <w:rPr>
          <w:vertAlign w:val="superscript"/>
          <w:lang w:val="fr-BE"/>
        </w:rPr>
        <w:footnoteReference w:id="20"/>
      </w:r>
      <w:r w:rsidRPr="00FE7B25">
        <w:rPr>
          <w:lang w:val="fr-BE"/>
        </w:rPr>
        <w:t xml:space="preserve"> et éditorialisations signalées au point précédent. L’animation d’un carnet adossé à la revue permet ainsi de suivre l’actualité de </w:t>
      </w:r>
      <w:r w:rsidRPr="00FE7B25">
        <w:rPr>
          <w:lang w:val="fr-BE"/>
        </w:rPr>
        <w:lastRenderedPageBreak/>
        <w:t xml:space="preserve">la recherche (CR, annonces), voire une actualité sociale qui ne fera pas forcément l’objet d’un traitement au sein de la revue. </w:t>
      </w:r>
    </w:p>
    <w:p w14:paraId="6C5A567C" w14:textId="7CE01649" w:rsidR="00FE7B25" w:rsidRPr="00FE7B25" w:rsidRDefault="00FE7B25" w:rsidP="00FE7B25">
      <w:pPr>
        <w:jc w:val="both"/>
        <w:rPr>
          <w:lang w:val="fr-BE"/>
        </w:rPr>
      </w:pPr>
      <w:r w:rsidRPr="00FE7B25">
        <w:rPr>
          <w:i/>
          <w:iCs/>
          <w:lang w:val="fr-BE"/>
        </w:rPr>
        <w:t xml:space="preserve">Le carnet de Techniques &amp; Culture </w:t>
      </w:r>
      <w:r w:rsidRPr="00FE7B25">
        <w:rPr>
          <w:lang w:val="fr-BE"/>
        </w:rPr>
        <w:t xml:space="preserve">présente ainsi l’exemple d’un carnet de revue qui investit ces dimensions de manière assez complète, et catégorise ces fonctions par rubriques : « Agenda » se fait le relais d’appel et d’événements, « Débats » collecte les réactions critiques aux articles, « En bref » présente synthétiquement un objet ou un auteur, « À lire » publie des recensions au fil de l’eau, « Tutos » met à disposition des outils de recherche, « La revue » présente les livraisons lors de leur parution et en communique la table des matières avec articles hyperliés. Enfin, la rubrique « Films et podcasts » donne accès, comme son nom l’indique, à un panel de ressources audiovisuelles, qu’il s’agisse de contenus externes </w:t>
      </w:r>
      <w:proofErr w:type="spellStart"/>
      <w:r w:rsidRPr="00FE7B25">
        <w:rPr>
          <w:lang w:val="fr-BE"/>
        </w:rPr>
        <w:t>ré-éditorialisés</w:t>
      </w:r>
      <w:proofErr w:type="spellEnd"/>
      <w:r w:rsidRPr="00FE7B25">
        <w:rPr>
          <w:lang w:val="fr-BE"/>
        </w:rPr>
        <w:t xml:space="preserve"> ou de capsules réalisées par l’équipe éditoriale en complément du numéro. Les billets relèvent donc soit de formats (discussions critiques, brèves, fiches-outils, podcasts, etc.) non pris en charge par la revue, soit de publications au fil de l’eau que sa temporalité fixe (deux numéros l’an) n’autoriserait pas d’intégrer dans l’immédiat. Enfin, l’énonciation éditoriale du carnet repose sur un thème Wordpress de type « Magazine », accordant une large part à l’</w:t>
      </w:r>
      <w:proofErr w:type="spellStart"/>
      <w:r w:rsidRPr="00FE7B25">
        <w:rPr>
          <w:lang w:val="fr-BE"/>
        </w:rPr>
        <w:t>iconographisation</w:t>
      </w:r>
      <w:proofErr w:type="spellEnd"/>
      <w:r w:rsidRPr="00FE7B25">
        <w:rPr>
          <w:lang w:val="fr-BE"/>
        </w:rPr>
        <w:t xml:space="preserve"> des articles (fig. </w:t>
      </w:r>
      <w:r w:rsidR="00C32888">
        <w:rPr>
          <w:lang w:val="fr-BE"/>
        </w:rPr>
        <w:t>2</w:t>
      </w:r>
      <w:r w:rsidRPr="00FE7B25">
        <w:rPr>
          <w:lang w:val="fr-BE"/>
        </w:rPr>
        <w:t>) — pratique étrangère à la communication scientifique en revue, où les illustrations servent à étayer ou schématiser un raisonnement.</w:t>
      </w:r>
    </w:p>
    <w:p w14:paraId="60B4BB58" w14:textId="20B706E6" w:rsidR="00FE7B25" w:rsidRPr="00FE7B25" w:rsidRDefault="00FE7B25" w:rsidP="00FE7B25">
      <w:pPr>
        <w:jc w:val="both"/>
        <w:rPr>
          <w:i/>
          <w:iCs/>
          <w:lang w:val="fr-BE"/>
        </w:rPr>
      </w:pPr>
      <w:r w:rsidRPr="00E7674F">
        <w:rPr>
          <w:i/>
          <w:iCs/>
          <w:highlight w:val="yellow"/>
          <w:lang w:val="fr-BE"/>
        </w:rPr>
        <w:t xml:space="preserve">Fig. </w:t>
      </w:r>
      <w:r w:rsidR="00C32888" w:rsidRPr="00E7674F">
        <w:rPr>
          <w:i/>
          <w:iCs/>
          <w:highlight w:val="yellow"/>
          <w:lang w:val="fr-BE"/>
        </w:rPr>
        <w:t>2</w:t>
      </w:r>
      <w:r w:rsidRPr="00E7674F">
        <w:rPr>
          <w:i/>
          <w:iCs/>
          <w:highlight w:val="yellow"/>
          <w:lang w:val="fr-BE"/>
        </w:rPr>
        <w:t xml:space="preserve"> Le carnet de Techniques &amp; Culture</w:t>
      </w:r>
    </w:p>
    <w:p w14:paraId="36C6B701" w14:textId="77777777" w:rsidR="00FE7B25" w:rsidRPr="00FE7B25" w:rsidRDefault="00FE7B25" w:rsidP="00FE7B25">
      <w:pPr>
        <w:jc w:val="both"/>
        <w:rPr>
          <w:b/>
          <w:bCs/>
          <w:i/>
          <w:iCs/>
          <w:lang w:val="fr-BE"/>
        </w:rPr>
      </w:pPr>
      <w:r w:rsidRPr="00FE7B25">
        <w:rPr>
          <w:b/>
          <w:bCs/>
          <w:i/>
          <w:iCs/>
          <w:lang w:val="fr-BE"/>
        </w:rPr>
        <w:t>Intégration/Information communautaire</w:t>
      </w:r>
    </w:p>
    <w:p w14:paraId="00676B2C" w14:textId="77777777" w:rsidR="00FE7B25" w:rsidRPr="00FE7B25" w:rsidRDefault="00FE7B25" w:rsidP="00FE7B25">
      <w:pPr>
        <w:jc w:val="both"/>
        <w:rPr>
          <w:lang w:val="fr-BE"/>
        </w:rPr>
      </w:pPr>
      <w:r w:rsidRPr="00FE7B25">
        <w:rPr>
          <w:lang w:val="fr-BE"/>
        </w:rPr>
        <w:t>Dans ce dernier cas de figure, le carnet n’est pas strictement celui de la revue mais accompagne également une structure plus large, société (</w:t>
      </w:r>
      <w:r w:rsidRPr="00FE7B25">
        <w:rPr>
          <w:i/>
          <w:iCs/>
          <w:lang w:val="fr-BE"/>
        </w:rPr>
        <w:t>Société d'histoire de 1848 et des révolutions du XIXe siècle, Société française d'histoire urbaine</w:t>
      </w:r>
      <w:r w:rsidRPr="00FE7B25">
        <w:rPr>
          <w:lang w:val="fr-BE"/>
        </w:rPr>
        <w:t>), association ou communauté de recherche (</w:t>
      </w:r>
      <w:r w:rsidRPr="00FE7B25">
        <w:rPr>
          <w:i/>
          <w:iCs/>
          <w:lang w:val="fr-BE"/>
        </w:rPr>
        <w:t xml:space="preserve">Association d’anthropologie médicale et de la santé, Unité de recherche de l'Institut catholique de Paris, Association française d'études chinoises, Association transdisciplinaire en Histoire de l’éducation, </w:t>
      </w:r>
      <w:proofErr w:type="spellStart"/>
      <w:r w:rsidRPr="00FE7B25">
        <w:rPr>
          <w:i/>
          <w:iCs/>
        </w:rPr>
        <w:t>Institut</w:t>
      </w:r>
      <w:proofErr w:type="spellEnd"/>
      <w:r w:rsidRPr="00FE7B25">
        <w:rPr>
          <w:i/>
          <w:iCs/>
        </w:rPr>
        <w:t xml:space="preserve"> </w:t>
      </w:r>
      <w:proofErr w:type="spellStart"/>
      <w:r w:rsidRPr="00FE7B25">
        <w:rPr>
          <w:i/>
          <w:iCs/>
        </w:rPr>
        <w:t>d’études</w:t>
      </w:r>
      <w:proofErr w:type="spellEnd"/>
      <w:r w:rsidRPr="00FE7B25">
        <w:rPr>
          <w:i/>
          <w:iCs/>
        </w:rPr>
        <w:t xml:space="preserve"> du </w:t>
      </w:r>
      <w:proofErr w:type="spellStart"/>
      <w:r w:rsidRPr="00FE7B25">
        <w:rPr>
          <w:i/>
          <w:iCs/>
        </w:rPr>
        <w:t>développement</w:t>
      </w:r>
      <w:proofErr w:type="spellEnd"/>
      <w:r w:rsidRPr="00FE7B25">
        <w:rPr>
          <w:i/>
          <w:iCs/>
        </w:rPr>
        <w:t xml:space="preserve"> de la Sorbonne</w:t>
      </w:r>
      <w:r w:rsidRPr="00FE7B25">
        <w:rPr>
          <w:lang w:val="fr-BE"/>
        </w:rPr>
        <w:t xml:space="preserve">). La veille informationnelle est ici la fonction dominante (annonces, appels, parutions, ressources), à laquelle s’ajoutent des informations sur la vie de l’association (activités, prix décernés, publications etc.). </w:t>
      </w:r>
    </w:p>
    <w:p w14:paraId="1A87273E" w14:textId="77777777" w:rsidR="00FE7B25" w:rsidRPr="00FE7B25" w:rsidRDefault="00FE7B25" w:rsidP="00FE7B25">
      <w:pPr>
        <w:jc w:val="both"/>
        <w:rPr>
          <w:lang w:val="fr-BE"/>
        </w:rPr>
      </w:pPr>
      <w:r w:rsidRPr="00FE7B25">
        <w:rPr>
          <w:lang w:val="fr-BE"/>
        </w:rPr>
        <w:t xml:space="preserve">On trouve sur certains carnets des comptes-rendus en texte intégral (la catégorie éditoriale existe, peu alimentée au demeurant, sur le carnet </w:t>
      </w:r>
      <w:r w:rsidRPr="00FE7B25">
        <w:rPr>
          <w:i/>
          <w:iCs/>
          <w:lang w:val="fr-BE"/>
        </w:rPr>
        <w:t>Amades </w:t>
      </w:r>
      <w:r w:rsidRPr="00FE7B25">
        <w:rPr>
          <w:lang w:val="fr-BE"/>
        </w:rPr>
        <w:t xml:space="preserve">; </w:t>
      </w:r>
      <w:r w:rsidRPr="00FE7B25">
        <w:rPr>
          <w:i/>
          <w:iCs/>
          <w:lang w:val="fr-BE"/>
        </w:rPr>
        <w:t>Publications de l’IEDES</w:t>
      </w:r>
      <w:r w:rsidRPr="00FE7B25">
        <w:rPr>
          <w:lang w:val="fr-BE"/>
        </w:rPr>
        <w:t xml:space="preserve"> autorise le téléchargement de la rubrique « Compte rendus » de la </w:t>
      </w:r>
      <w:r w:rsidRPr="00FE7B25">
        <w:rPr>
          <w:i/>
          <w:iCs/>
          <w:lang w:val="fr-BE"/>
        </w:rPr>
        <w:t>Revue Internationale des Études du Développement</w:t>
      </w:r>
      <w:r w:rsidRPr="00FE7B25">
        <w:rPr>
          <w:lang w:val="fr-BE"/>
        </w:rPr>
        <w:t xml:space="preserve"> tandis qu’</w:t>
      </w:r>
      <w:r w:rsidRPr="00FE7B25">
        <w:rPr>
          <w:i/>
          <w:iCs/>
          <w:lang w:val="fr-BE"/>
        </w:rPr>
        <w:t xml:space="preserve">Histoire urbaine </w:t>
      </w:r>
      <w:r w:rsidRPr="00FE7B25">
        <w:rPr>
          <w:lang w:val="fr-BE"/>
        </w:rPr>
        <w:t xml:space="preserve">republie en texte intégral les recensions parues dans la revue du même nom au sein de sa rubrique « Lectures »). L’actualité sociale est également traitée sur </w:t>
      </w:r>
      <w:r w:rsidRPr="00FE7B25">
        <w:rPr>
          <w:i/>
          <w:iCs/>
          <w:lang w:val="fr-BE"/>
        </w:rPr>
        <w:t>Actualité du XIXe siècle, Amades</w:t>
      </w:r>
      <w:r w:rsidRPr="00FE7B25">
        <w:rPr>
          <w:lang w:val="fr-BE"/>
        </w:rPr>
        <w:t xml:space="preserve"> (où une rubrique est dévolue au covid-19), tandis que l’actualité culturelle (films, spectacle, expositions) trouve un écho sur </w:t>
      </w:r>
      <w:r w:rsidRPr="00FE7B25">
        <w:rPr>
          <w:i/>
          <w:iCs/>
          <w:lang w:val="fr-BE"/>
        </w:rPr>
        <w:t xml:space="preserve">Actualité du XIXe siècle </w:t>
      </w:r>
      <w:r w:rsidRPr="00FE7B25">
        <w:rPr>
          <w:lang w:val="fr-BE"/>
        </w:rPr>
        <w:t xml:space="preserve">ainsi que sur </w:t>
      </w:r>
      <w:r w:rsidRPr="00FE7B25">
        <w:rPr>
          <w:i/>
          <w:iCs/>
          <w:lang w:val="fr-BE"/>
        </w:rPr>
        <w:t>Histoire urbaine</w:t>
      </w:r>
      <w:r w:rsidRPr="00FE7B25">
        <w:rPr>
          <w:lang w:val="fr-BE"/>
        </w:rPr>
        <w:t>.</w:t>
      </w:r>
    </w:p>
    <w:p w14:paraId="4DF9281A" w14:textId="07B486B4" w:rsidR="00FE7B25" w:rsidRPr="00FE7B25" w:rsidRDefault="00FE7B25" w:rsidP="00FE7B25">
      <w:pPr>
        <w:jc w:val="both"/>
        <w:rPr>
          <w:i/>
          <w:iCs/>
          <w:lang w:val="fr-BE"/>
        </w:rPr>
      </w:pPr>
      <w:r w:rsidRPr="00984B1F">
        <w:rPr>
          <w:i/>
          <w:iCs/>
          <w:highlight w:val="yellow"/>
          <w:lang w:val="fr-BE"/>
        </w:rPr>
        <w:t xml:space="preserve">Fig. </w:t>
      </w:r>
      <w:r w:rsidR="00C32888" w:rsidRPr="00984B1F">
        <w:rPr>
          <w:i/>
          <w:iCs/>
          <w:highlight w:val="yellow"/>
          <w:lang w:val="fr-BE"/>
        </w:rPr>
        <w:t>3</w:t>
      </w:r>
      <w:r w:rsidRPr="00984B1F">
        <w:rPr>
          <w:i/>
          <w:iCs/>
          <w:highlight w:val="yellow"/>
          <w:lang w:val="fr-BE"/>
        </w:rPr>
        <w:t> : Histoire urbaine : Société française d'histoire urbaine</w:t>
      </w:r>
    </w:p>
    <w:p w14:paraId="4CAE5CB3" w14:textId="3414DF66" w:rsidR="00FE7B25" w:rsidRPr="00FE7B25" w:rsidRDefault="00FE7B25" w:rsidP="00FE7B25">
      <w:pPr>
        <w:jc w:val="both"/>
        <w:rPr>
          <w:lang w:val="fr-BE"/>
        </w:rPr>
      </w:pPr>
      <w:r w:rsidRPr="00FE7B25">
        <w:rPr>
          <w:lang w:val="fr-BE"/>
        </w:rPr>
        <w:t xml:space="preserve">On le voit, ces regroupements proposés comme clés de lecture sont davantage à penser comme des </w:t>
      </w:r>
      <w:r w:rsidRPr="00FE7B25">
        <w:rPr>
          <w:i/>
          <w:iCs/>
          <w:lang w:val="fr-BE"/>
        </w:rPr>
        <w:t>continuums</w:t>
      </w:r>
      <w:r w:rsidRPr="00FE7B25">
        <w:rPr>
          <w:lang w:val="fr-BE"/>
        </w:rPr>
        <w:t xml:space="preserve"> (un carnet lié à une association peut accorder une place plus ou moins grande à la publication de contenus additionnels et se rapprocher ainsi du pôle A ou du pôle B). Un constat transversal est que les fonctions éditoriales telles qu’observées ancrent la revue dans le temps présent (activités, actualité du champ disciplinaire, etc.) et dans le réseau, plutôt qu’elles ne stimulent la conversation scientifique. Ainsi qu’on l’a illustré, cette conversation est animée par la présence de comptes rendus — à noter toutefois que, sur l’ensemble du corpus, seuls quatre carnets publient des recensions inédites d’ouvrages scientifiques</w:t>
      </w:r>
      <w:r w:rsidRPr="00FE7B25">
        <w:rPr>
          <w:vertAlign w:val="superscript"/>
          <w:lang w:val="fr-BE"/>
        </w:rPr>
        <w:footnoteReference w:id="21"/>
      </w:r>
      <w:r w:rsidRPr="00FE7B25">
        <w:rPr>
          <w:lang w:val="fr-BE"/>
        </w:rPr>
        <w:t xml:space="preserve"> </w:t>
      </w:r>
      <w:proofErr w:type="gramStart"/>
      <w:r w:rsidRPr="00FE7B25">
        <w:rPr>
          <w:lang w:val="fr-BE"/>
        </w:rPr>
        <w:t>—  et</w:t>
      </w:r>
      <w:proofErr w:type="gramEnd"/>
      <w:r w:rsidRPr="00FE7B25">
        <w:rPr>
          <w:lang w:val="fr-BE"/>
        </w:rPr>
        <w:t xml:space="preserve"> par des billets critiques sur les articles ou la recherche disciplinaire. À l’échelle du corpus, on ne peut </w:t>
      </w:r>
      <w:r w:rsidRPr="00FE7B25">
        <w:rPr>
          <w:lang w:val="fr-BE"/>
        </w:rPr>
        <w:lastRenderedPageBreak/>
        <w:t xml:space="preserve">cependant pas dire que cette fonction domine dans les usages des carnets, que ce soit dans les catégories éditoriales et/ou leur investissement effectif (ce qu’une recherche quanti-qualitative sur l’ensemble des billets du corpus devrait cependant confirmer). Des initiatives antérieures, comme le carnet de la revue </w:t>
      </w:r>
      <w:r w:rsidRPr="000C6A37">
        <w:rPr>
          <w:i/>
          <w:iCs/>
          <w:lang w:val="fr-BE"/>
        </w:rPr>
        <w:t>Vertigo</w:t>
      </w:r>
      <w:r w:rsidRPr="00FE7B25">
        <w:rPr>
          <w:vertAlign w:val="superscript"/>
          <w:lang w:val="fr-BE"/>
        </w:rPr>
        <w:footnoteReference w:id="22"/>
      </w:r>
      <w:r w:rsidRPr="00FE7B25">
        <w:rPr>
          <w:lang w:val="fr-BE"/>
        </w:rPr>
        <w:t xml:space="preserve">, ont tenté l’expérience de l’évaluation en </w:t>
      </w:r>
      <w:r w:rsidRPr="00FE7B25">
        <w:rPr>
          <w:i/>
          <w:iCs/>
          <w:lang w:val="fr-BE"/>
        </w:rPr>
        <w:t xml:space="preserve">open </w:t>
      </w:r>
      <w:proofErr w:type="spellStart"/>
      <w:r w:rsidRPr="00FE7B25">
        <w:rPr>
          <w:i/>
          <w:iCs/>
          <w:lang w:val="fr-BE"/>
        </w:rPr>
        <w:t>peer</w:t>
      </w:r>
      <w:proofErr w:type="spellEnd"/>
      <w:r w:rsidRPr="00FE7B25">
        <w:rPr>
          <w:i/>
          <w:iCs/>
          <w:lang w:val="fr-BE"/>
        </w:rPr>
        <w:t xml:space="preserve"> </w:t>
      </w:r>
      <w:proofErr w:type="spellStart"/>
      <w:r w:rsidRPr="00FE7B25">
        <w:rPr>
          <w:i/>
          <w:iCs/>
          <w:lang w:val="fr-BE"/>
        </w:rPr>
        <w:t>review</w:t>
      </w:r>
      <w:proofErr w:type="spellEnd"/>
      <w:r w:rsidRPr="00FE7B25">
        <w:rPr>
          <w:lang w:val="fr-BE"/>
        </w:rPr>
        <w:t>, sans postérité cependant</w:t>
      </w:r>
      <w:r w:rsidR="001D3A9B">
        <w:rPr>
          <w:lang w:val="fr-BE"/>
        </w:rPr>
        <w:t xml:space="preserve"> </w:t>
      </w:r>
      <w:r w:rsidR="001D3A9B" w:rsidRPr="001D3A9B">
        <w:rPr>
          <w:rFonts w:cs="Times New Roman"/>
        </w:rPr>
        <w:t>(Bordier, 2016)</w:t>
      </w:r>
      <w:r w:rsidRPr="00FE7B25">
        <w:rPr>
          <w:lang w:val="fr-BE"/>
        </w:rPr>
        <w:t xml:space="preserve">. Un carnet comme </w:t>
      </w:r>
      <w:proofErr w:type="spellStart"/>
      <w:r w:rsidRPr="00FE7B25">
        <w:rPr>
          <w:i/>
          <w:iCs/>
          <w:lang w:val="fr-BE"/>
        </w:rPr>
        <w:t>Zilsel</w:t>
      </w:r>
      <w:proofErr w:type="spellEnd"/>
      <w:r w:rsidRPr="00FE7B25">
        <w:rPr>
          <w:i/>
          <w:iCs/>
          <w:lang w:val="fr-BE"/>
        </w:rPr>
        <w:t xml:space="preserve">, </w:t>
      </w:r>
      <w:r w:rsidRPr="00FE7B25">
        <w:rPr>
          <w:lang w:val="fr-BE"/>
        </w:rPr>
        <w:t>qui a abrité de vifs débats dans le domaine de la sociologie, a mené en 2017 à la création d’une revue qui poursuit seule sa route après la fermeture du blog en 2019 — dans le billet de clôture, les auteurs s’en expliquent, signalant au passage que « </w:t>
      </w:r>
      <w:r w:rsidRPr="00FE7B25">
        <w:rPr>
          <w:color w:val="000000"/>
        </w:rPr>
        <w:t xml:space="preserve">le lien entre </w:t>
      </w:r>
      <w:proofErr w:type="spellStart"/>
      <w:r w:rsidRPr="00FE7B25">
        <w:rPr>
          <w:color w:val="000000"/>
        </w:rPr>
        <w:t>l’un</w:t>
      </w:r>
      <w:proofErr w:type="spellEnd"/>
      <w:r w:rsidRPr="00FE7B25">
        <w:rPr>
          <w:color w:val="000000"/>
        </w:rPr>
        <w:t xml:space="preserve"> et </w:t>
      </w:r>
      <w:proofErr w:type="spellStart"/>
      <w:r w:rsidRPr="00FE7B25">
        <w:rPr>
          <w:color w:val="000000"/>
        </w:rPr>
        <w:t>l’autre</w:t>
      </w:r>
      <w:proofErr w:type="spellEnd"/>
      <w:r w:rsidRPr="00FE7B25">
        <w:rPr>
          <w:color w:val="000000"/>
        </w:rPr>
        <w:t xml:space="preserve"> </w:t>
      </w:r>
      <w:proofErr w:type="spellStart"/>
      <w:r w:rsidRPr="00FE7B25">
        <w:rPr>
          <w:color w:val="000000"/>
        </w:rPr>
        <w:t>n’est</w:t>
      </w:r>
      <w:proofErr w:type="spellEnd"/>
      <w:r w:rsidRPr="00FE7B25">
        <w:rPr>
          <w:color w:val="000000"/>
        </w:rPr>
        <w:t xml:space="preserve"> pas </w:t>
      </w:r>
      <w:proofErr w:type="spellStart"/>
      <w:r w:rsidRPr="00FE7B25">
        <w:rPr>
          <w:color w:val="000000"/>
        </w:rPr>
        <w:t>si</w:t>
      </w:r>
      <w:proofErr w:type="spellEnd"/>
      <w:r w:rsidRPr="00FE7B25">
        <w:rPr>
          <w:color w:val="000000"/>
        </w:rPr>
        <w:t xml:space="preserve"> </w:t>
      </w:r>
      <w:proofErr w:type="spellStart"/>
      <w:r w:rsidRPr="00FE7B25">
        <w:rPr>
          <w:color w:val="000000"/>
        </w:rPr>
        <w:t>évident</w:t>
      </w:r>
      <w:proofErr w:type="spellEnd"/>
      <w:r w:rsidRPr="00FE7B25">
        <w:rPr>
          <w:color w:val="000000"/>
        </w:rPr>
        <w:t xml:space="preserve"> à </w:t>
      </w:r>
      <w:proofErr w:type="spellStart"/>
      <w:r w:rsidRPr="00FE7B25">
        <w:rPr>
          <w:color w:val="000000"/>
        </w:rPr>
        <w:t>mettre</w:t>
      </w:r>
      <w:proofErr w:type="spellEnd"/>
      <w:r w:rsidRPr="00FE7B25">
        <w:rPr>
          <w:color w:val="000000"/>
        </w:rPr>
        <w:t xml:space="preserve"> </w:t>
      </w:r>
      <w:proofErr w:type="spellStart"/>
      <w:r w:rsidRPr="00FE7B25">
        <w:rPr>
          <w:color w:val="000000"/>
        </w:rPr>
        <w:t>en</w:t>
      </w:r>
      <w:proofErr w:type="spellEnd"/>
      <w:r w:rsidRPr="00FE7B25">
        <w:rPr>
          <w:color w:val="000000"/>
        </w:rPr>
        <w:t xml:space="preserve"> coherence</w:t>
      </w:r>
      <w:r w:rsidRPr="00FE7B25">
        <w:rPr>
          <w:lang w:val="fr-BE"/>
        </w:rPr>
        <w:t> »</w:t>
      </w:r>
      <w:r w:rsidRPr="00FE7B25">
        <w:rPr>
          <w:vertAlign w:val="superscript"/>
          <w:lang w:val="fr-BE"/>
        </w:rPr>
        <w:footnoteReference w:id="23"/>
      </w:r>
      <w:r w:rsidRPr="00FE7B25">
        <w:rPr>
          <w:lang w:val="fr-BE"/>
        </w:rPr>
        <w:t xml:space="preserve">. Davantage qu’un espace de discussion autour de la revue, les carnets investissant une pluralité des fonctions repérées </w:t>
      </w:r>
      <w:r w:rsidRPr="00C32888">
        <w:rPr>
          <w:lang w:val="fr-BE"/>
        </w:rPr>
        <w:t xml:space="preserve">(ex. </w:t>
      </w:r>
      <w:r w:rsidRPr="00620329">
        <w:rPr>
          <w:i/>
          <w:lang w:val="fr-BE"/>
        </w:rPr>
        <w:t>Tracés</w:t>
      </w:r>
      <w:r w:rsidRPr="00C32888">
        <w:rPr>
          <w:lang w:val="fr-BE"/>
        </w:rPr>
        <w:t xml:space="preserve">, </w:t>
      </w:r>
      <w:r w:rsidR="00206762" w:rsidRPr="000C6A37">
        <w:rPr>
          <w:i/>
          <w:iCs/>
          <w:lang w:val="fr-BE"/>
        </w:rPr>
        <w:t>Le carnet de Techniques &amp; Culture</w:t>
      </w:r>
      <w:r w:rsidRPr="00C32888">
        <w:rPr>
          <w:lang w:val="fr-BE"/>
        </w:rPr>
        <w:t xml:space="preserve">, </w:t>
      </w:r>
      <w:r w:rsidR="00206762">
        <w:rPr>
          <w:i/>
          <w:lang w:val="fr-BE"/>
        </w:rPr>
        <w:t>H</w:t>
      </w:r>
      <w:r w:rsidR="00C32888" w:rsidRPr="00620329">
        <w:rPr>
          <w:i/>
          <w:lang w:val="fr-BE"/>
        </w:rPr>
        <w:t>istoire</w:t>
      </w:r>
      <w:r w:rsidR="00206762">
        <w:rPr>
          <w:i/>
          <w:lang w:val="fr-BE"/>
        </w:rPr>
        <w:t>s</w:t>
      </w:r>
      <w:r w:rsidR="00C32888" w:rsidRPr="00620329">
        <w:rPr>
          <w:i/>
          <w:lang w:val="fr-BE"/>
        </w:rPr>
        <w:t xml:space="preserve"> urbaine</w:t>
      </w:r>
      <w:r w:rsidR="00206762">
        <w:rPr>
          <w:i/>
          <w:lang w:val="fr-BE"/>
        </w:rPr>
        <w:t>s</w:t>
      </w:r>
      <w:r w:rsidR="00C32888">
        <w:rPr>
          <w:lang w:val="fr-BE"/>
        </w:rPr>
        <w:t xml:space="preserve">, </w:t>
      </w:r>
      <w:r w:rsidR="00206762">
        <w:rPr>
          <w:i/>
          <w:iCs/>
          <w:lang w:val="fr-BE"/>
        </w:rPr>
        <w:t>Carnets de Terrain</w:t>
      </w:r>
      <w:r w:rsidRPr="00C32888">
        <w:rPr>
          <w:lang w:val="fr-BE"/>
        </w:rPr>
        <w:t xml:space="preserve">, </w:t>
      </w:r>
      <w:r w:rsidRPr="00620329">
        <w:rPr>
          <w:i/>
          <w:lang w:val="fr-BE"/>
        </w:rPr>
        <w:t>D</w:t>
      </w:r>
      <w:r w:rsidR="00620329" w:rsidRPr="00620329">
        <w:rPr>
          <w:i/>
          <w:lang w:val="fr-BE"/>
        </w:rPr>
        <w:t xml:space="preserve">roit </w:t>
      </w:r>
      <w:r w:rsidRPr="00620329">
        <w:rPr>
          <w:i/>
          <w:lang w:val="fr-BE"/>
        </w:rPr>
        <w:t>&amp;</w:t>
      </w:r>
      <w:r w:rsidR="00620329" w:rsidRPr="00620329">
        <w:rPr>
          <w:i/>
          <w:lang w:val="fr-BE"/>
        </w:rPr>
        <w:t xml:space="preserve"> </w:t>
      </w:r>
      <w:r w:rsidRPr="00620329">
        <w:rPr>
          <w:i/>
          <w:lang w:val="fr-BE"/>
        </w:rPr>
        <w:t>S</w:t>
      </w:r>
      <w:r w:rsidR="00620329" w:rsidRPr="00620329">
        <w:rPr>
          <w:i/>
          <w:lang w:val="fr-BE"/>
        </w:rPr>
        <w:t>ociété</w:t>
      </w:r>
      <w:r w:rsidRPr="00C32888">
        <w:rPr>
          <w:lang w:val="fr-BE"/>
        </w:rPr>
        <w:t xml:space="preserve">, </w:t>
      </w:r>
      <w:r w:rsidRPr="00620329">
        <w:rPr>
          <w:i/>
          <w:lang w:val="fr-BE"/>
        </w:rPr>
        <w:t>Pol</w:t>
      </w:r>
      <w:r w:rsidR="00620329" w:rsidRPr="00620329">
        <w:rPr>
          <w:i/>
          <w:lang w:val="fr-BE"/>
        </w:rPr>
        <w:t xml:space="preserve">itiques </w:t>
      </w:r>
      <w:r w:rsidRPr="00620329">
        <w:rPr>
          <w:i/>
          <w:lang w:val="fr-BE"/>
        </w:rPr>
        <w:t>af</w:t>
      </w:r>
      <w:r w:rsidR="00620329" w:rsidRPr="00620329">
        <w:rPr>
          <w:i/>
          <w:lang w:val="fr-BE"/>
        </w:rPr>
        <w:t>ricaines</w:t>
      </w:r>
      <w:r w:rsidRPr="00FE7B25">
        <w:rPr>
          <w:lang w:val="fr-BE"/>
        </w:rPr>
        <w:t xml:space="preserve">) semblent fonctionner à la manière d’un magazine de recherche, ou plutôt d’un </w:t>
      </w:r>
      <w:r w:rsidRPr="00FE7B25">
        <w:rPr>
          <w:i/>
          <w:iCs/>
          <w:lang w:val="fr-BE"/>
        </w:rPr>
        <w:t xml:space="preserve">webzine, </w:t>
      </w:r>
      <w:r w:rsidRPr="00FE7B25">
        <w:rPr>
          <w:lang w:val="fr-BE"/>
        </w:rPr>
        <w:t>sans doublon imprimé.</w:t>
      </w:r>
    </w:p>
    <w:p w14:paraId="1EAC1B89" w14:textId="1CF145B9" w:rsidR="0047568C" w:rsidRPr="001534BD" w:rsidRDefault="00A970EB" w:rsidP="0047568C">
      <w:pPr>
        <w:pStyle w:val="Titre1"/>
        <w:rPr>
          <w:rFonts w:ascii="Helvetica" w:hAnsi="Helvetica"/>
          <w:sz w:val="22"/>
          <w:szCs w:val="22"/>
        </w:rPr>
      </w:pPr>
      <w:r w:rsidRPr="001534BD">
        <w:rPr>
          <w:rFonts w:ascii="Helvetica" w:hAnsi="Helvetica"/>
          <w:sz w:val="22"/>
          <w:szCs w:val="22"/>
        </w:rPr>
        <w:t xml:space="preserve">3 - </w:t>
      </w:r>
      <w:r w:rsidR="0047568C" w:rsidRPr="001534BD">
        <w:rPr>
          <w:rFonts w:ascii="Helvetica" w:hAnsi="Helvetica"/>
          <w:sz w:val="22"/>
          <w:szCs w:val="22"/>
        </w:rPr>
        <w:t>Présence numérique des carnetiers</w:t>
      </w:r>
    </w:p>
    <w:p w14:paraId="2F9B521B" w14:textId="49E7A16B" w:rsidR="00AA0C0E" w:rsidRDefault="00721C10" w:rsidP="000C6A37">
      <w:pPr>
        <w:jc w:val="both"/>
        <w:rPr>
          <w:lang w:val="fr-BE"/>
        </w:rPr>
      </w:pPr>
      <w:r>
        <w:rPr>
          <w:lang w:val="fr-BE"/>
        </w:rPr>
        <w:t xml:space="preserve">Pour terminer, nous avons examiné </w:t>
      </w:r>
      <w:r w:rsidR="00AA0C0E" w:rsidRPr="00721C10">
        <w:rPr>
          <w:lang w:val="fr-BE"/>
        </w:rPr>
        <w:t xml:space="preserve">l’activité </w:t>
      </w:r>
      <w:r w:rsidR="003E0ACF" w:rsidRPr="00721C10">
        <w:rPr>
          <w:lang w:val="fr-BE"/>
        </w:rPr>
        <w:t xml:space="preserve">périphérique </w:t>
      </w:r>
      <w:r w:rsidR="00AA0C0E" w:rsidRPr="00721C10">
        <w:rPr>
          <w:lang w:val="fr-BE"/>
        </w:rPr>
        <w:t>des carnetiers animant ces carnets de revue</w:t>
      </w:r>
      <w:r>
        <w:rPr>
          <w:lang w:val="fr-BE"/>
        </w:rPr>
        <w:t xml:space="preserve">. Par activité périphérique, nous entendons des activités éditoriales au sein de la revue ou des activités en tant que </w:t>
      </w:r>
      <w:r w:rsidR="003E0ACF">
        <w:rPr>
          <w:lang w:val="fr-BE"/>
        </w:rPr>
        <w:t>[</w:t>
      </w:r>
      <w:proofErr w:type="spellStart"/>
      <w:r w:rsidR="003E0ACF">
        <w:rPr>
          <w:lang w:val="fr-BE"/>
        </w:rPr>
        <w:t>co</w:t>
      </w:r>
      <w:proofErr w:type="spellEnd"/>
      <w:r w:rsidR="003E0ACF">
        <w:rPr>
          <w:lang w:val="fr-BE"/>
        </w:rPr>
        <w:t>-]éditeurs d’autres carnets, etc</w:t>
      </w:r>
      <w:r w:rsidR="00016E31">
        <w:rPr>
          <w:lang w:val="fr-BE"/>
        </w:rPr>
        <w:t>.</w:t>
      </w:r>
    </w:p>
    <w:p w14:paraId="0C7E6EDC" w14:textId="6F3C3F84" w:rsidR="001C15C7" w:rsidRPr="001534BD" w:rsidRDefault="001C15C7" w:rsidP="001C15C7">
      <w:pPr>
        <w:jc w:val="both"/>
        <w:rPr>
          <w:rFonts w:ascii="Helvetica" w:hAnsi="Helvetica"/>
          <w:b/>
          <w:bCs/>
          <w:i/>
          <w:lang w:val="fr-BE"/>
        </w:rPr>
      </w:pPr>
      <w:r w:rsidRPr="001534BD">
        <w:rPr>
          <w:rFonts w:ascii="Helvetica" w:hAnsi="Helvetica"/>
          <w:b/>
          <w:bCs/>
          <w:i/>
          <w:lang w:val="fr-BE"/>
        </w:rPr>
        <w:t>Les auteurs des billets</w:t>
      </w:r>
    </w:p>
    <w:p w14:paraId="2EFB85D1" w14:textId="434192E7" w:rsidR="00306638" w:rsidRPr="00306638" w:rsidRDefault="00306638" w:rsidP="000C6A37">
      <w:pPr>
        <w:jc w:val="both"/>
        <w:rPr>
          <w:lang w:val="fr-BE"/>
        </w:rPr>
      </w:pPr>
      <w:r w:rsidRPr="00306638">
        <w:rPr>
          <w:lang w:val="fr-BE"/>
        </w:rPr>
        <w:t>La gestion des noms des auteurs est loin d’être une science exacte dans les carnets d’</w:t>
      </w:r>
      <w:r w:rsidRPr="00306638">
        <w:rPr>
          <w:i/>
          <w:lang w:val="fr-BE"/>
        </w:rPr>
        <w:t>Hypoth</w:t>
      </w:r>
      <w:r w:rsidR="00620329">
        <w:rPr>
          <w:i/>
          <w:lang w:val="fr-BE"/>
        </w:rPr>
        <w:t>e</w:t>
      </w:r>
      <w:r w:rsidRPr="00306638">
        <w:rPr>
          <w:i/>
          <w:lang w:val="fr-BE"/>
        </w:rPr>
        <w:t>ses</w:t>
      </w:r>
      <w:r w:rsidR="00620329">
        <w:rPr>
          <w:i/>
          <w:lang w:val="fr-BE"/>
        </w:rPr>
        <w:t>.org</w:t>
      </w:r>
      <w:r w:rsidRPr="00306638">
        <w:rPr>
          <w:lang w:val="fr-BE"/>
        </w:rPr>
        <w:t xml:space="preserve"> car la signature des billets dépend de l’identité du compte avec lequel on s’authentifie pour publier sur le carnet</w:t>
      </w:r>
      <w:r w:rsidR="00721C10">
        <w:rPr>
          <w:lang w:val="fr-BE"/>
        </w:rPr>
        <w:t xml:space="preserve"> </w:t>
      </w:r>
      <w:r w:rsidR="00721C10" w:rsidRPr="00620329">
        <w:rPr>
          <w:lang w:val="fr-BE"/>
        </w:rPr>
        <w:t>(</w:t>
      </w:r>
      <w:r w:rsidR="00620329" w:rsidRPr="00620329">
        <w:rPr>
          <w:lang w:val="fr-BE"/>
        </w:rPr>
        <w:t xml:space="preserve">Prime-Claverie et </w:t>
      </w:r>
      <w:proofErr w:type="spellStart"/>
      <w:r w:rsidR="00620329" w:rsidRPr="00620329">
        <w:rPr>
          <w:lang w:val="fr-BE"/>
        </w:rPr>
        <w:t>Poupardin</w:t>
      </w:r>
      <w:proofErr w:type="spellEnd"/>
      <w:r w:rsidR="00620329" w:rsidRPr="00620329">
        <w:rPr>
          <w:lang w:val="fr-BE"/>
        </w:rPr>
        <w:t xml:space="preserve">, </w:t>
      </w:r>
      <w:r w:rsidR="00F92B62">
        <w:rPr>
          <w:lang w:val="fr-BE"/>
        </w:rPr>
        <w:t>à paraître</w:t>
      </w:r>
      <w:r w:rsidR="00620329" w:rsidRPr="00620329">
        <w:rPr>
          <w:lang w:val="fr-BE"/>
        </w:rPr>
        <w:t>)</w:t>
      </w:r>
      <w:r w:rsidRPr="00620329">
        <w:rPr>
          <w:lang w:val="fr-BE"/>
        </w:rPr>
        <w:t>.</w:t>
      </w:r>
      <w:r w:rsidRPr="00306638">
        <w:rPr>
          <w:lang w:val="fr-BE"/>
        </w:rPr>
        <w:t xml:space="preserve"> Tout d’abord, les auteurs ne sont pas toujours identifiés nominativement. On trouve un certain nombre d’</w:t>
      </w:r>
      <w:r w:rsidRPr="00306638">
        <w:rPr>
          <w:i/>
          <w:lang w:val="fr-BE"/>
        </w:rPr>
        <w:t>admin</w:t>
      </w:r>
      <w:r w:rsidRPr="00306638">
        <w:rPr>
          <w:lang w:val="fr-BE"/>
        </w:rPr>
        <w:t xml:space="preserve">, </w:t>
      </w:r>
      <w:r w:rsidRPr="00306638">
        <w:rPr>
          <w:i/>
          <w:lang w:val="fr-BE"/>
        </w:rPr>
        <w:t>administrateur</w:t>
      </w:r>
      <w:r w:rsidRPr="00306638">
        <w:rPr>
          <w:lang w:val="fr-BE"/>
        </w:rPr>
        <w:t xml:space="preserve">, </w:t>
      </w:r>
      <w:r w:rsidRPr="00306638">
        <w:rPr>
          <w:i/>
          <w:lang w:val="fr-BE"/>
        </w:rPr>
        <w:t>Rédaction</w:t>
      </w:r>
      <w:r w:rsidRPr="00306638">
        <w:rPr>
          <w:lang w:val="fr-BE"/>
        </w:rPr>
        <w:t xml:space="preserve"> ou </w:t>
      </w:r>
      <w:proofErr w:type="gramStart"/>
      <w:r w:rsidRPr="00721C10">
        <w:rPr>
          <w:lang w:val="fr-BE"/>
        </w:rPr>
        <w:t>autres</w:t>
      </w:r>
      <w:r w:rsidRPr="00306638">
        <w:rPr>
          <w:i/>
          <w:lang w:val="fr-BE"/>
        </w:rPr>
        <w:t xml:space="preserve"> webmestre</w:t>
      </w:r>
      <w:proofErr w:type="gramEnd"/>
      <w:r w:rsidRPr="00306638">
        <w:rPr>
          <w:lang w:val="fr-BE"/>
        </w:rPr>
        <w:t xml:space="preserve">. Ensuite, un même auteur peut être identifié de différentes </w:t>
      </w:r>
      <w:r w:rsidRPr="009829FA">
        <w:rPr>
          <w:lang w:val="fr-BE"/>
        </w:rPr>
        <w:t>manières (avec son nom complet ou ses initiales, avec son nom complet ou son seul prénom)</w:t>
      </w:r>
      <w:r w:rsidRPr="00306638">
        <w:rPr>
          <w:lang w:val="fr-BE"/>
        </w:rPr>
        <w:t xml:space="preserve"> sans que l’on puisse être parfaitement certain qu’il s’agisse de la même personne. Parfois il peut être identifié avec le prénom avec ou sans initiale, ou encore avec un pseudonyme (qui peut faire référence à un autre carnet d’</w:t>
      </w:r>
      <w:r w:rsidRPr="00306638">
        <w:rPr>
          <w:i/>
          <w:lang w:val="fr-BE"/>
        </w:rPr>
        <w:t>Hypoth</w:t>
      </w:r>
      <w:r w:rsidR="00721C10">
        <w:rPr>
          <w:i/>
          <w:lang w:val="fr-BE"/>
        </w:rPr>
        <w:t>e</w:t>
      </w:r>
      <w:r w:rsidRPr="00306638">
        <w:rPr>
          <w:i/>
          <w:lang w:val="fr-BE"/>
        </w:rPr>
        <w:t>ses</w:t>
      </w:r>
      <w:r w:rsidR="00721C10">
        <w:rPr>
          <w:i/>
          <w:lang w:val="fr-BE"/>
        </w:rPr>
        <w:t>.org</w:t>
      </w:r>
      <w:r w:rsidRPr="00306638">
        <w:rPr>
          <w:lang w:val="fr-BE"/>
        </w:rPr>
        <w:t xml:space="preserve">, comme un billet sur </w:t>
      </w:r>
      <w:r w:rsidRPr="00306638">
        <w:rPr>
          <w:i/>
          <w:lang w:val="fr-BE"/>
        </w:rPr>
        <w:t>Actualités des études anciennes</w:t>
      </w:r>
      <w:r w:rsidRPr="00306638">
        <w:rPr>
          <w:lang w:val="fr-BE"/>
        </w:rPr>
        <w:t xml:space="preserve"> signé « </w:t>
      </w:r>
      <w:proofErr w:type="spellStart"/>
      <w:r w:rsidRPr="00306638">
        <w:rPr>
          <w:i/>
          <w:lang w:val="fr-BE"/>
        </w:rPr>
        <w:t>clamor</w:t>
      </w:r>
      <w:proofErr w:type="spellEnd"/>
      <w:r w:rsidRPr="00306638">
        <w:rPr>
          <w:lang w:val="fr-BE"/>
        </w:rPr>
        <w:t xml:space="preserve"> », nom du centre de recherche qui publie </w:t>
      </w:r>
      <w:proofErr w:type="spellStart"/>
      <w:r w:rsidRPr="00306638">
        <w:rPr>
          <w:i/>
          <w:lang w:val="fr-BE"/>
        </w:rPr>
        <w:t>Criminocorpus</w:t>
      </w:r>
      <w:proofErr w:type="spellEnd"/>
      <w:r w:rsidRPr="00306638">
        <w:rPr>
          <w:lang w:val="fr-BE"/>
        </w:rPr>
        <w:t> !).</w:t>
      </w:r>
    </w:p>
    <w:p w14:paraId="02497BCC" w14:textId="77777777" w:rsidR="00306638" w:rsidRPr="00306638" w:rsidRDefault="00306638" w:rsidP="000C6A37">
      <w:pPr>
        <w:jc w:val="both"/>
        <w:rPr>
          <w:lang w:val="fr-BE"/>
        </w:rPr>
      </w:pPr>
      <w:r w:rsidRPr="00306638">
        <w:rPr>
          <w:lang w:val="fr-BE"/>
        </w:rPr>
        <w:t xml:space="preserve">Parmi notre corpus, 6 carnets se caractérisent par un nombre d’auteurs supérieur à 10. Le carnet </w:t>
      </w:r>
      <w:r w:rsidRPr="00306638">
        <w:rPr>
          <w:i/>
          <w:lang w:val="fr-BE"/>
        </w:rPr>
        <w:t>Actualités des études anciennes</w:t>
      </w:r>
      <w:r w:rsidRPr="00306638">
        <w:rPr>
          <w:lang w:val="fr-BE"/>
        </w:rPr>
        <w:t xml:space="preserve"> est celui qui compte le plus grand nombre d’auteurs (131) mais aussi de billets (1370) avec </w:t>
      </w:r>
      <w:proofErr w:type="spellStart"/>
      <w:r w:rsidRPr="00306638">
        <w:rPr>
          <w:i/>
          <w:lang w:val="fr-BE"/>
        </w:rPr>
        <w:t>Criminocorpus</w:t>
      </w:r>
      <w:proofErr w:type="spellEnd"/>
      <w:r w:rsidRPr="00306638">
        <w:rPr>
          <w:lang w:val="fr-BE"/>
        </w:rPr>
        <w:t xml:space="preserve"> (54 auteurs et 10989 billets). Ces deux carnets sont particulièrement dynamiques avec de nombreuses rubriques, mais n’ont pas tout à fait la même gestion de signature des billets : </w:t>
      </w:r>
    </w:p>
    <w:p w14:paraId="581EF58F" w14:textId="77777777" w:rsidR="00306638" w:rsidRPr="00825334" w:rsidRDefault="00306638" w:rsidP="000C6A37">
      <w:pPr>
        <w:pStyle w:val="Paragraphedeliste"/>
        <w:numPr>
          <w:ilvl w:val="0"/>
          <w:numId w:val="15"/>
        </w:numPr>
        <w:jc w:val="both"/>
        <w:rPr>
          <w:lang w:val="fr-BE"/>
        </w:rPr>
      </w:pPr>
      <w:r w:rsidRPr="00825334">
        <w:rPr>
          <w:lang w:val="fr-BE"/>
        </w:rPr>
        <w:t xml:space="preserve">Sur </w:t>
      </w:r>
      <w:r w:rsidRPr="00825334">
        <w:rPr>
          <w:i/>
          <w:lang w:val="fr-BE"/>
        </w:rPr>
        <w:t>Actualités des études anciennes</w:t>
      </w:r>
      <w:r w:rsidRPr="00825334">
        <w:rPr>
          <w:lang w:val="fr-BE"/>
        </w:rPr>
        <w:t>, la plus grande partie des billets est signée « </w:t>
      </w:r>
      <w:r w:rsidRPr="00825334">
        <w:rPr>
          <w:i/>
          <w:lang w:val="fr-BE"/>
        </w:rPr>
        <w:t>admin</w:t>
      </w:r>
      <w:r w:rsidRPr="00825334">
        <w:rPr>
          <w:lang w:val="fr-BE"/>
        </w:rPr>
        <w:t> » (1103 billets) et aucune rubrique du carnet ne permet d’identifier un responsable d’édition ou comité de rédaction du carnet ;</w:t>
      </w:r>
    </w:p>
    <w:p w14:paraId="36BF4E7C" w14:textId="18AF7B56" w:rsidR="00306638" w:rsidRPr="00825334" w:rsidRDefault="00825334" w:rsidP="000C6A37">
      <w:pPr>
        <w:pStyle w:val="Paragraphedeliste"/>
        <w:numPr>
          <w:ilvl w:val="0"/>
          <w:numId w:val="15"/>
        </w:numPr>
        <w:jc w:val="both"/>
        <w:rPr>
          <w:lang w:val="fr-BE"/>
        </w:rPr>
      </w:pPr>
      <w:proofErr w:type="gramStart"/>
      <w:r>
        <w:rPr>
          <w:lang w:val="fr-BE"/>
        </w:rPr>
        <w:t>s</w:t>
      </w:r>
      <w:r w:rsidR="00306638" w:rsidRPr="00825334">
        <w:rPr>
          <w:lang w:val="fr-BE"/>
        </w:rPr>
        <w:t>ur</w:t>
      </w:r>
      <w:proofErr w:type="gramEnd"/>
      <w:r w:rsidR="00306638" w:rsidRPr="00825334">
        <w:rPr>
          <w:lang w:val="fr-BE"/>
        </w:rPr>
        <w:t xml:space="preserve"> </w:t>
      </w:r>
      <w:proofErr w:type="spellStart"/>
      <w:r w:rsidR="00306638" w:rsidRPr="00825334">
        <w:rPr>
          <w:i/>
          <w:lang w:val="fr-BE"/>
        </w:rPr>
        <w:t>Criminocorpus</w:t>
      </w:r>
      <w:proofErr w:type="spellEnd"/>
      <w:r w:rsidR="00306638" w:rsidRPr="00825334">
        <w:rPr>
          <w:lang w:val="fr-BE"/>
        </w:rPr>
        <w:t>, une rubrique « </w:t>
      </w:r>
      <w:r w:rsidR="00306638" w:rsidRPr="00825334">
        <w:rPr>
          <w:i/>
          <w:lang w:val="fr-BE"/>
        </w:rPr>
        <w:t>Crédits</w:t>
      </w:r>
      <w:r w:rsidR="00306638" w:rsidRPr="00825334">
        <w:rPr>
          <w:lang w:val="fr-BE"/>
        </w:rPr>
        <w:t> » recense les membres de l’équipe de rédaction parmi lesquels on retrouve les noms des auteurs les plus prolifiques du carnet</w:t>
      </w:r>
      <w:r w:rsidR="00306638" w:rsidRPr="00825334">
        <w:rPr>
          <w:vertAlign w:val="superscript"/>
          <w:lang w:val="fr-BE"/>
        </w:rPr>
        <w:footnoteReference w:id="24"/>
      </w:r>
      <w:r>
        <w:rPr>
          <w:lang w:val="fr-BE"/>
        </w:rPr>
        <w:t> ;</w:t>
      </w:r>
    </w:p>
    <w:p w14:paraId="6432CC3A" w14:textId="749EF1E4" w:rsidR="00306638" w:rsidRPr="00825334" w:rsidRDefault="00825334" w:rsidP="00825334">
      <w:pPr>
        <w:pStyle w:val="Paragraphedeliste"/>
        <w:numPr>
          <w:ilvl w:val="0"/>
          <w:numId w:val="15"/>
        </w:numPr>
        <w:rPr>
          <w:lang w:val="fr-BE"/>
        </w:rPr>
      </w:pPr>
      <w:proofErr w:type="gramStart"/>
      <w:r>
        <w:rPr>
          <w:lang w:val="fr-BE"/>
        </w:rPr>
        <w:t>e</w:t>
      </w:r>
      <w:r w:rsidR="00306638" w:rsidRPr="00825334">
        <w:rPr>
          <w:lang w:val="fr-BE"/>
        </w:rPr>
        <w:t>ntre</w:t>
      </w:r>
      <w:proofErr w:type="gramEnd"/>
      <w:r w:rsidR="00306638" w:rsidRPr="00825334">
        <w:rPr>
          <w:lang w:val="fr-BE"/>
        </w:rPr>
        <w:t xml:space="preserve"> les deux, le carnet </w:t>
      </w:r>
      <w:r w:rsidR="00306638" w:rsidRPr="00825334">
        <w:rPr>
          <w:i/>
          <w:lang w:val="fr-BE"/>
        </w:rPr>
        <w:t>Tracés</w:t>
      </w:r>
      <w:r w:rsidR="00306638" w:rsidRPr="00825334">
        <w:rPr>
          <w:lang w:val="fr-BE"/>
        </w:rPr>
        <w:t xml:space="preserve"> ne donne pas non plus d’informations sur les auteurs des billets mais l’on retrouve leurs noms parmi ceux, actuels ou anciens, du comité de rédaction de la revue </w:t>
      </w:r>
      <w:r w:rsidR="00306638" w:rsidRPr="00825334">
        <w:rPr>
          <w:i/>
          <w:lang w:val="fr-BE"/>
        </w:rPr>
        <w:t>Tracés</w:t>
      </w:r>
      <w:r w:rsidR="00306638" w:rsidRPr="00825334">
        <w:rPr>
          <w:lang w:val="fr-BE"/>
        </w:rPr>
        <w:t>. Par ailleurs, un certain nombre de billets sont signés par « </w:t>
      </w:r>
      <w:r w:rsidR="00306638" w:rsidRPr="00825334">
        <w:rPr>
          <w:i/>
          <w:lang w:val="fr-BE"/>
        </w:rPr>
        <w:t>La rédaction de Tracés</w:t>
      </w:r>
      <w:r w:rsidR="00306638" w:rsidRPr="00825334">
        <w:rPr>
          <w:lang w:val="fr-BE"/>
        </w:rPr>
        <w:t> » ou « </w:t>
      </w:r>
      <w:r w:rsidR="00306638" w:rsidRPr="00825334">
        <w:rPr>
          <w:i/>
          <w:lang w:val="fr-BE"/>
        </w:rPr>
        <w:t>La Rédaction</w:t>
      </w:r>
      <w:r w:rsidR="00306638" w:rsidRPr="00825334">
        <w:rPr>
          <w:lang w:val="fr-BE"/>
        </w:rPr>
        <w:t> ».</w:t>
      </w:r>
    </w:p>
    <w:p w14:paraId="760A2AD6" w14:textId="4CBF0AAE" w:rsidR="00306638" w:rsidRPr="00306638" w:rsidRDefault="000C6A37" w:rsidP="000C6A37">
      <w:pPr>
        <w:spacing w:after="0" w:line="240" w:lineRule="auto"/>
        <w:jc w:val="center"/>
        <w:rPr>
          <w:rFonts w:ascii="Calibri" w:eastAsia="Calibri" w:hAnsi="Calibri" w:cs="Times New Roman"/>
          <w:lang w:val="fr-FR"/>
        </w:rPr>
      </w:pPr>
      <w:bookmarkStart w:id="0" w:name="_GoBack"/>
      <w:bookmarkEnd w:id="0"/>
      <w:proofErr w:type="spellStart"/>
      <w:r w:rsidRPr="003A785C">
        <w:rPr>
          <w:rFonts w:ascii="Calibri" w:eastAsia="Calibri" w:hAnsi="Calibri" w:cs="Times New Roman"/>
          <w:highlight w:val="yellow"/>
          <w:lang w:val="fr-FR"/>
        </w:rPr>
        <w:lastRenderedPageBreak/>
        <w:t>Tab.</w:t>
      </w:r>
      <w:proofErr w:type="spellEnd"/>
      <w:r w:rsidRPr="003A785C">
        <w:rPr>
          <w:rFonts w:ascii="Calibri" w:eastAsia="Calibri" w:hAnsi="Calibri" w:cs="Times New Roman"/>
          <w:highlight w:val="yellow"/>
          <w:lang w:val="fr-FR"/>
        </w:rPr>
        <w:t xml:space="preserve"> 2 : carnets avec le plus grand nombre d’auteurs et de billets</w:t>
      </w:r>
    </w:p>
    <w:p w14:paraId="022D8296" w14:textId="77777777" w:rsidR="000C6A37" w:rsidRDefault="000C6A37">
      <w:pPr>
        <w:jc w:val="both"/>
        <w:rPr>
          <w:lang w:val="fr-BE"/>
        </w:rPr>
      </w:pPr>
    </w:p>
    <w:p w14:paraId="7F1A391E" w14:textId="580991DC" w:rsidR="00306638" w:rsidRPr="00306638" w:rsidRDefault="00306638" w:rsidP="000C6A37">
      <w:pPr>
        <w:jc w:val="both"/>
        <w:rPr>
          <w:lang w:val="fr-BE"/>
        </w:rPr>
      </w:pPr>
      <w:r w:rsidRPr="00306638">
        <w:rPr>
          <w:lang w:val="fr-BE"/>
        </w:rPr>
        <w:t xml:space="preserve">Le rythme d’écriture est également très différent entre les trois carnets. Sur le carnet </w:t>
      </w:r>
      <w:r w:rsidRPr="00306638">
        <w:rPr>
          <w:i/>
          <w:lang w:val="fr-BE"/>
        </w:rPr>
        <w:t>Actualités des études anciennes</w:t>
      </w:r>
      <w:r w:rsidRPr="00306638">
        <w:rPr>
          <w:lang w:val="fr-BE"/>
        </w:rPr>
        <w:t>, 1103 billets sont signés « </w:t>
      </w:r>
      <w:r w:rsidRPr="00306638">
        <w:rPr>
          <w:i/>
          <w:lang w:val="fr-BE"/>
        </w:rPr>
        <w:t>admin</w:t>
      </w:r>
      <w:r w:rsidRPr="00306638">
        <w:rPr>
          <w:lang w:val="fr-BE"/>
        </w:rPr>
        <w:t xml:space="preserve"> », 7 auteurs signent entre 11 et 19 billets, 23 auteurs entre 2 et 6 billets, et le reste des 131 auteurs ne signe qu’un seul billet chacun. Sur </w:t>
      </w:r>
      <w:proofErr w:type="spellStart"/>
      <w:r w:rsidRPr="00306638">
        <w:rPr>
          <w:i/>
          <w:lang w:val="fr-BE"/>
        </w:rPr>
        <w:t>Criminocorpus</w:t>
      </w:r>
      <w:proofErr w:type="spellEnd"/>
      <w:r w:rsidRPr="00306638">
        <w:rPr>
          <w:lang w:val="fr-BE"/>
        </w:rPr>
        <w:t xml:space="preserve">, la quasi-totalité des 10989 billets est signée par 7 auteurs (et un seul en signe plus de 9000). Un groupe de 8 auteurs signent ensuite entre 10 et 40 billets, et le reste est réparti entre des auteurs signant entre 1 et 8 billets. Sur </w:t>
      </w:r>
      <w:r w:rsidRPr="00306638">
        <w:rPr>
          <w:i/>
          <w:lang w:val="fr-BE"/>
        </w:rPr>
        <w:t>Tracés</w:t>
      </w:r>
      <w:r w:rsidRPr="00306638">
        <w:rPr>
          <w:lang w:val="fr-BE"/>
        </w:rPr>
        <w:t xml:space="preserve">, 80% des billets sont signés par 6 auteurs dans des volumes relativement homogènes pour chacun. Sur le carnet </w:t>
      </w:r>
      <w:r w:rsidRPr="00306638">
        <w:rPr>
          <w:i/>
          <w:lang w:val="fr-BE"/>
        </w:rPr>
        <w:t>Dynamiques environnementales</w:t>
      </w:r>
      <w:r w:rsidRPr="00306638">
        <w:rPr>
          <w:lang w:val="fr-BE"/>
        </w:rPr>
        <w:t>, c’est un peu le même modèle que</w:t>
      </w:r>
      <w:r w:rsidR="001C15C7">
        <w:rPr>
          <w:lang w:val="fr-BE"/>
        </w:rPr>
        <w:t xml:space="preserve"> sur</w:t>
      </w:r>
      <w:r w:rsidRPr="00306638">
        <w:rPr>
          <w:lang w:val="fr-BE"/>
        </w:rPr>
        <w:t xml:space="preserve"> </w:t>
      </w:r>
      <w:proofErr w:type="spellStart"/>
      <w:r w:rsidRPr="00306638">
        <w:rPr>
          <w:i/>
          <w:lang w:val="fr-BE"/>
        </w:rPr>
        <w:t>Criminocorpus</w:t>
      </w:r>
      <w:proofErr w:type="spellEnd"/>
      <w:r w:rsidRPr="00306638">
        <w:rPr>
          <w:lang w:val="fr-BE"/>
        </w:rPr>
        <w:t> : 3 auteurs signent la quasi-totalité des billets, dont un seul auteur pour la plus grande part (330 billets). Les auteurs principaux sont « </w:t>
      </w:r>
      <w:r w:rsidRPr="00306638">
        <w:rPr>
          <w:i/>
          <w:lang w:val="fr-BE"/>
        </w:rPr>
        <w:t>admin</w:t>
      </w:r>
      <w:r w:rsidRPr="00306638">
        <w:rPr>
          <w:lang w:val="fr-BE"/>
        </w:rPr>
        <w:t xml:space="preserve"> » ainsi que deux personnes responsables du site de la revue. C’est </w:t>
      </w:r>
      <w:r w:rsidR="00721C10">
        <w:rPr>
          <w:lang w:val="fr-BE"/>
        </w:rPr>
        <w:t>à peu près similaire sur</w:t>
      </w:r>
      <w:r w:rsidRPr="00306638">
        <w:rPr>
          <w:lang w:val="fr-BE"/>
        </w:rPr>
        <w:t xml:space="preserve"> le carnet </w:t>
      </w:r>
      <w:r w:rsidRPr="00306638">
        <w:rPr>
          <w:i/>
          <w:lang w:val="fr-BE"/>
        </w:rPr>
        <w:t>Politiques africaines</w:t>
      </w:r>
      <w:r w:rsidRPr="00306638">
        <w:rPr>
          <w:lang w:val="fr-BE"/>
        </w:rPr>
        <w:t xml:space="preserve"> alimenté par 4 auteurs dont une doctorante, le webmestre et la chargée de communication du site </w:t>
      </w:r>
      <w:r w:rsidR="00721C10">
        <w:rPr>
          <w:lang w:val="fr-BE"/>
        </w:rPr>
        <w:t>ainsi que</w:t>
      </w:r>
      <w:r w:rsidRPr="00306638">
        <w:rPr>
          <w:lang w:val="fr-BE"/>
        </w:rPr>
        <w:t xml:space="preserve"> la directrice de publication de la revue en lien avec le carnet. Le carnet </w:t>
      </w:r>
      <w:r w:rsidRPr="00306638">
        <w:rPr>
          <w:i/>
          <w:lang w:val="fr-BE"/>
        </w:rPr>
        <w:t>Amades</w:t>
      </w:r>
      <w:r w:rsidRPr="00306638">
        <w:rPr>
          <w:lang w:val="fr-BE"/>
        </w:rPr>
        <w:t xml:space="preserve">, quant à lui, est surtout alimenté par </w:t>
      </w:r>
      <w:r w:rsidR="001C15C7">
        <w:rPr>
          <w:lang w:val="fr-BE"/>
        </w:rPr>
        <w:t>quatre</w:t>
      </w:r>
      <w:r w:rsidRPr="00306638">
        <w:rPr>
          <w:lang w:val="fr-BE"/>
        </w:rPr>
        <w:t xml:space="preserve"> auteurs (sur 11) dont deux doctorants et deux membres du comité de rédaction de la revue </w:t>
      </w:r>
      <w:r w:rsidRPr="00306638">
        <w:rPr>
          <w:i/>
          <w:lang w:val="fr-BE"/>
        </w:rPr>
        <w:t>Anthropologie &amp; Santé.</w:t>
      </w:r>
    </w:p>
    <w:p w14:paraId="3692EAF9" w14:textId="77777777" w:rsidR="00306638" w:rsidRPr="007006E3" w:rsidRDefault="00306638" w:rsidP="001C15C7">
      <w:pPr>
        <w:jc w:val="both"/>
        <w:rPr>
          <w:rFonts w:ascii="Helvetica" w:hAnsi="Helvetica"/>
          <w:b/>
          <w:bCs/>
          <w:i/>
          <w:lang w:val="fr-BE"/>
        </w:rPr>
      </w:pPr>
      <w:r w:rsidRPr="007006E3">
        <w:rPr>
          <w:rFonts w:ascii="Helvetica" w:hAnsi="Helvetica"/>
          <w:b/>
          <w:bCs/>
          <w:i/>
          <w:lang w:val="fr-BE"/>
        </w:rPr>
        <w:t>Multi-autorité</w:t>
      </w:r>
    </w:p>
    <w:p w14:paraId="507EC143" w14:textId="26F769EB" w:rsidR="00306638" w:rsidRPr="00306638" w:rsidRDefault="00306638" w:rsidP="000C6A37">
      <w:pPr>
        <w:jc w:val="both"/>
        <w:rPr>
          <w:lang w:val="fr-BE"/>
        </w:rPr>
      </w:pPr>
      <w:r w:rsidRPr="00306638">
        <w:rPr>
          <w:lang w:val="fr-BE"/>
        </w:rPr>
        <w:t xml:space="preserve">Dans notre corpus de 37 carnets, 21 d’entre eux </w:t>
      </w:r>
      <w:r w:rsidR="008E465D">
        <w:rPr>
          <w:lang w:val="fr-BE"/>
        </w:rPr>
        <w:t>comptent</w:t>
      </w:r>
      <w:r w:rsidR="008E465D" w:rsidRPr="00306638">
        <w:rPr>
          <w:lang w:val="fr-BE"/>
        </w:rPr>
        <w:t xml:space="preserve"> </w:t>
      </w:r>
      <w:r w:rsidRPr="00306638">
        <w:rPr>
          <w:lang w:val="fr-BE"/>
        </w:rPr>
        <w:t>des auteurs qui signent également des billets dans d’autres carnets d’</w:t>
      </w:r>
      <w:r w:rsidRPr="00306638">
        <w:rPr>
          <w:i/>
          <w:lang w:val="fr-BE"/>
        </w:rPr>
        <w:t>Hypoth</w:t>
      </w:r>
      <w:r w:rsidR="00BD1426">
        <w:rPr>
          <w:i/>
          <w:lang w:val="fr-BE"/>
        </w:rPr>
        <w:t>e</w:t>
      </w:r>
      <w:r w:rsidRPr="00306638">
        <w:rPr>
          <w:i/>
          <w:lang w:val="fr-BE"/>
        </w:rPr>
        <w:t>ses</w:t>
      </w:r>
      <w:r w:rsidR="00BD1426">
        <w:rPr>
          <w:i/>
          <w:lang w:val="fr-BE"/>
        </w:rPr>
        <w:t>.org</w:t>
      </w:r>
      <w:r w:rsidRPr="00306638">
        <w:rPr>
          <w:lang w:val="fr-BE"/>
        </w:rPr>
        <w:t xml:space="preserve">. Si la majorité des carnets ne sont concernés que par un seul auteur multi-carnet (9 carnets), deux auteurs (4 carnets) ou 3 auteurs (4 carnets), quatre carnets sortent du lot : </w:t>
      </w:r>
      <w:r w:rsidRPr="00306638">
        <w:rPr>
          <w:i/>
          <w:lang w:val="fr-BE"/>
        </w:rPr>
        <w:t>Politique africaine</w:t>
      </w:r>
      <w:r w:rsidRPr="00306638">
        <w:rPr>
          <w:lang w:val="fr-BE"/>
        </w:rPr>
        <w:t xml:space="preserve"> compte 4 multi-auteurs ainsi que </w:t>
      </w:r>
      <w:proofErr w:type="spellStart"/>
      <w:r w:rsidRPr="00306638">
        <w:rPr>
          <w:i/>
          <w:lang w:val="fr-BE"/>
        </w:rPr>
        <w:t>Res</w:t>
      </w:r>
      <w:proofErr w:type="spellEnd"/>
      <w:r w:rsidRPr="00306638">
        <w:rPr>
          <w:i/>
          <w:lang w:val="fr-BE"/>
        </w:rPr>
        <w:t xml:space="preserve"> </w:t>
      </w:r>
      <w:proofErr w:type="spellStart"/>
      <w:r w:rsidRPr="00306638">
        <w:rPr>
          <w:i/>
          <w:lang w:val="fr-BE"/>
        </w:rPr>
        <w:t>Futurae</w:t>
      </w:r>
      <w:proofErr w:type="spellEnd"/>
      <w:r w:rsidRPr="00306638">
        <w:rPr>
          <w:lang w:val="fr-BE"/>
        </w:rPr>
        <w:t xml:space="preserve">, </w:t>
      </w:r>
      <w:r w:rsidRPr="00306638">
        <w:rPr>
          <w:i/>
          <w:lang w:val="fr-BE"/>
        </w:rPr>
        <w:t>Tracés</w:t>
      </w:r>
      <w:r w:rsidRPr="00306638">
        <w:rPr>
          <w:lang w:val="fr-BE"/>
        </w:rPr>
        <w:t xml:space="preserve"> en compte 7 et </w:t>
      </w:r>
      <w:r w:rsidRPr="00306638">
        <w:rPr>
          <w:i/>
          <w:lang w:val="fr-BE"/>
        </w:rPr>
        <w:t>Actualités des études anciennes</w:t>
      </w:r>
      <w:r w:rsidRPr="00306638">
        <w:rPr>
          <w:lang w:val="fr-BE"/>
        </w:rPr>
        <w:t xml:space="preserve"> 11.</w:t>
      </w:r>
    </w:p>
    <w:p w14:paraId="29C8FB1D" w14:textId="63529982" w:rsidR="00306638" w:rsidRPr="00306638" w:rsidRDefault="00306638" w:rsidP="000C6A37">
      <w:pPr>
        <w:jc w:val="both"/>
        <w:rPr>
          <w:lang w:val="fr-BE"/>
        </w:rPr>
      </w:pPr>
      <w:r w:rsidRPr="00306638">
        <w:rPr>
          <w:lang w:val="fr-BE"/>
        </w:rPr>
        <w:t xml:space="preserve">Pour le carnet </w:t>
      </w:r>
      <w:r w:rsidRPr="00306638">
        <w:rPr>
          <w:i/>
          <w:lang w:val="fr-BE"/>
        </w:rPr>
        <w:t>Actualités des études anciennes</w:t>
      </w:r>
      <w:r w:rsidRPr="00306638">
        <w:rPr>
          <w:lang w:val="fr-BE"/>
        </w:rPr>
        <w:t xml:space="preserve">, la plupart de ces auteurs ne sont que « de passage » sur ce carnet où ils ne signent qu’un seul billet, comme la majorité des 131 auteurs. En dehors de quelques exceptions, ils sont également très peu actifs sur les autres carnets où ils apparaissent. Pour le carnet </w:t>
      </w:r>
      <w:r w:rsidRPr="00306638">
        <w:rPr>
          <w:i/>
          <w:lang w:val="fr-BE"/>
        </w:rPr>
        <w:t>Tracés</w:t>
      </w:r>
      <w:r w:rsidRPr="00306638">
        <w:rPr>
          <w:lang w:val="fr-BE"/>
        </w:rPr>
        <w:t>, l’analyse est plus intéressante. La plupart de ces «</w:t>
      </w:r>
      <w:r w:rsidR="00AC68F2">
        <w:rPr>
          <w:lang w:val="fr-BE"/>
        </w:rPr>
        <w:t> </w:t>
      </w:r>
      <w:r w:rsidRPr="00306638">
        <w:rPr>
          <w:lang w:val="fr-BE"/>
        </w:rPr>
        <w:t>multi-auteurs » sont, en effet, membres du comité de rédaction</w:t>
      </w:r>
      <w:r w:rsidRPr="00825334">
        <w:rPr>
          <w:vertAlign w:val="superscript"/>
          <w:lang w:val="fr-BE"/>
        </w:rPr>
        <w:footnoteReference w:id="25"/>
      </w:r>
      <w:r w:rsidRPr="00825334">
        <w:rPr>
          <w:vertAlign w:val="superscript"/>
          <w:lang w:val="fr-BE"/>
        </w:rPr>
        <w:t xml:space="preserve"> </w:t>
      </w:r>
      <w:r w:rsidRPr="00306638">
        <w:rPr>
          <w:lang w:val="fr-BE"/>
        </w:rPr>
        <w:t xml:space="preserve">de la revue </w:t>
      </w:r>
      <w:r w:rsidRPr="00306638">
        <w:rPr>
          <w:i/>
          <w:lang w:val="fr-BE"/>
        </w:rPr>
        <w:t>Tracés</w:t>
      </w:r>
      <w:r w:rsidRPr="00306638">
        <w:rPr>
          <w:lang w:val="fr-BE"/>
        </w:rPr>
        <w:t xml:space="preserve">, mais ils ont, ou ont eu, une présence souvent plus marquée sur d’autres carnets de la plateforme. Cette multiplication des présences numériques suit généralement les parcours professionnels des uns et des autres, et traduit souvent aussi l’implication mais surtout la précarité des jeunes chercheurs. Pour le carnet </w:t>
      </w:r>
      <w:proofErr w:type="spellStart"/>
      <w:r w:rsidRPr="00306638">
        <w:rPr>
          <w:i/>
          <w:lang w:val="fr-BE"/>
        </w:rPr>
        <w:t>ResFuturae</w:t>
      </w:r>
      <w:proofErr w:type="spellEnd"/>
      <w:r w:rsidRPr="00306638">
        <w:rPr>
          <w:lang w:val="fr-BE"/>
        </w:rPr>
        <w:t>, ces « multi-auteurs » sont également membres du comité de rédaction du carnet et de la revue et sont très actifs dans des carnets de master ou en lien avec des réseaux disciplinaires</w:t>
      </w:r>
      <w:r w:rsidR="00644D72">
        <w:rPr>
          <w:rStyle w:val="Appelnotedebasdep"/>
          <w:lang w:val="fr-BE"/>
        </w:rPr>
        <w:footnoteReference w:id="26"/>
      </w:r>
      <w:r w:rsidRPr="00306638">
        <w:rPr>
          <w:lang w:val="fr-BE"/>
        </w:rPr>
        <w:t>.</w:t>
      </w:r>
    </w:p>
    <w:p w14:paraId="4DA8D7E1" w14:textId="2BEC9C97" w:rsidR="0047568C" w:rsidRPr="000C7EE4" w:rsidRDefault="0047568C" w:rsidP="0047568C">
      <w:pPr>
        <w:pStyle w:val="Titre1"/>
        <w:rPr>
          <w:rFonts w:ascii="Helvetica" w:hAnsi="Helvetica"/>
          <w:sz w:val="22"/>
          <w:szCs w:val="22"/>
        </w:rPr>
      </w:pPr>
      <w:r w:rsidRPr="000C7EE4">
        <w:rPr>
          <w:rFonts w:ascii="Helvetica" w:hAnsi="Helvetica"/>
          <w:sz w:val="22"/>
          <w:szCs w:val="22"/>
        </w:rPr>
        <w:t>Conclusion</w:t>
      </w:r>
    </w:p>
    <w:p w14:paraId="11D78961" w14:textId="473E96E3" w:rsidR="00C2290B" w:rsidRDefault="00C2290B" w:rsidP="000C6A37">
      <w:pPr>
        <w:jc w:val="both"/>
        <w:rPr>
          <w:lang w:val="fr-BE"/>
        </w:rPr>
      </w:pPr>
      <w:r>
        <w:rPr>
          <w:lang w:val="fr-BE"/>
        </w:rPr>
        <w:t xml:space="preserve">L’analyse des fonctions éditoriales du carnet d’accompagnement de revue reflète bien la manière dont le carnet accroît la présence numérique de la revue en ce qu’il prend en charge des fonctions éditoriales non assumées par la revue par la mise à disposition de ressources, et l’inscrit </w:t>
      </w:r>
      <w:r w:rsidR="002B0180">
        <w:rPr>
          <w:lang w:val="fr-BE"/>
        </w:rPr>
        <w:t xml:space="preserve">également </w:t>
      </w:r>
      <w:r>
        <w:rPr>
          <w:lang w:val="fr-BE"/>
        </w:rPr>
        <w:t xml:space="preserve">dans la </w:t>
      </w:r>
      <w:proofErr w:type="spellStart"/>
      <w:r>
        <w:rPr>
          <w:lang w:val="fr-BE"/>
        </w:rPr>
        <w:t>réticularité</w:t>
      </w:r>
      <w:proofErr w:type="spellEnd"/>
      <w:r>
        <w:rPr>
          <w:lang w:val="fr-BE"/>
        </w:rPr>
        <w:t xml:space="preserve"> du web (relais de flux </w:t>
      </w:r>
      <w:proofErr w:type="spellStart"/>
      <w:r>
        <w:rPr>
          <w:lang w:val="fr-BE"/>
        </w:rPr>
        <w:t>rss</w:t>
      </w:r>
      <w:proofErr w:type="spellEnd"/>
      <w:r>
        <w:rPr>
          <w:lang w:val="fr-BE"/>
        </w:rPr>
        <w:t xml:space="preserve">, </w:t>
      </w:r>
      <w:proofErr w:type="spellStart"/>
      <w:r>
        <w:rPr>
          <w:lang w:val="fr-BE"/>
        </w:rPr>
        <w:t>calenda</w:t>
      </w:r>
      <w:proofErr w:type="spellEnd"/>
      <w:r>
        <w:rPr>
          <w:lang w:val="fr-BE"/>
        </w:rPr>
        <w:t xml:space="preserve">, derniers numéros de la revue, etc.). Les liens entre carnetiers et les différents carnets auxquels ils participent illustrent également la fonction du carnet comme </w:t>
      </w:r>
      <w:r w:rsidRPr="00825334">
        <w:rPr>
          <w:lang w:val="fr-BE"/>
        </w:rPr>
        <w:t>prolongement numérique d’une fonction historique de la revue, celle de la structuration des communautés scientifiques</w:t>
      </w:r>
      <w:r>
        <w:rPr>
          <w:lang w:val="fr-BE"/>
        </w:rPr>
        <w:t>.</w:t>
      </w:r>
      <w:r w:rsidR="009D5976">
        <w:rPr>
          <w:lang w:val="fr-BE"/>
        </w:rPr>
        <w:t xml:space="preserve"> </w:t>
      </w:r>
    </w:p>
    <w:p w14:paraId="3D4CE7B4" w14:textId="33061EC1" w:rsidR="002B0180" w:rsidRDefault="00C2290B" w:rsidP="000C6A37">
      <w:pPr>
        <w:jc w:val="both"/>
        <w:rPr>
          <w:lang w:val="fr-BE"/>
        </w:rPr>
      </w:pPr>
      <w:r>
        <w:rPr>
          <w:lang w:val="fr-BE"/>
        </w:rPr>
        <w:lastRenderedPageBreak/>
        <w:t>Cependant, on constate bien qu’il n’y a pas de réponse homogène à la modalité du « </w:t>
      </w:r>
      <w:r w:rsidRPr="00C2290B">
        <w:rPr>
          <w:i/>
          <w:lang w:val="fr-BE"/>
        </w:rPr>
        <w:t>faire revue</w:t>
      </w:r>
      <w:r>
        <w:rPr>
          <w:lang w:val="fr-BE"/>
        </w:rPr>
        <w:t xml:space="preserve"> » par le biais du carnet d’accompagnement : </w:t>
      </w:r>
      <w:r w:rsidR="002B0180">
        <w:rPr>
          <w:lang w:val="fr-BE"/>
        </w:rPr>
        <w:t xml:space="preserve">d’une part, nous constatons que </w:t>
      </w:r>
      <w:r>
        <w:rPr>
          <w:lang w:val="fr-BE"/>
        </w:rPr>
        <w:t>celui-ci reste une pratique non généralisée, voire marginale</w:t>
      </w:r>
      <w:r w:rsidR="002B0180">
        <w:rPr>
          <w:lang w:val="fr-BE"/>
        </w:rPr>
        <w:t xml:space="preserve"> au sein des revues SHS françaises</w:t>
      </w:r>
      <w:r w:rsidR="002B0180">
        <w:rPr>
          <w:rStyle w:val="Appelnotedebasdep"/>
          <w:lang w:val="fr-BE"/>
        </w:rPr>
        <w:footnoteReference w:id="27"/>
      </w:r>
      <w:r w:rsidR="002B0180">
        <w:rPr>
          <w:lang w:val="fr-BE"/>
        </w:rPr>
        <w:t xml:space="preserve">. Par ailleurs, ce choix du prolongement numérique de la revue s’insère dans une pluralité de pratiques, et la corrélation </w:t>
      </w:r>
      <w:r w:rsidR="002B0180" w:rsidRPr="00AB3B03">
        <w:rPr>
          <w:lang w:val="fr-BE"/>
        </w:rPr>
        <w:t xml:space="preserve">entre la matérialité de la revue et un type de fonction éditoriale </w:t>
      </w:r>
      <w:r w:rsidR="002B0180">
        <w:rPr>
          <w:lang w:val="fr-BE"/>
        </w:rPr>
        <w:t xml:space="preserve">du carnet </w:t>
      </w:r>
      <w:r w:rsidR="002B0180" w:rsidRPr="00AB3B03">
        <w:rPr>
          <w:lang w:val="fr-BE"/>
        </w:rPr>
        <w:t>n’est</w:t>
      </w:r>
      <w:r w:rsidR="002B0180">
        <w:rPr>
          <w:lang w:val="fr-BE"/>
        </w:rPr>
        <w:t>, de fait,</w:t>
      </w:r>
      <w:r w:rsidR="002B0180" w:rsidRPr="00AB3B03">
        <w:rPr>
          <w:lang w:val="fr-BE"/>
        </w:rPr>
        <w:t xml:space="preserve"> pas attestée dans les limites de notre corpus. </w:t>
      </w:r>
      <w:r w:rsidR="002B0180">
        <w:rPr>
          <w:lang w:val="fr-BE"/>
        </w:rPr>
        <w:t>La m</w:t>
      </w:r>
      <w:r w:rsidR="002B0180" w:rsidRPr="00AB3B03">
        <w:rPr>
          <w:lang w:val="fr-BE"/>
        </w:rPr>
        <w:t xml:space="preserve">ultiplicité des </w:t>
      </w:r>
      <w:r w:rsidR="002B0180">
        <w:rPr>
          <w:lang w:val="fr-BE"/>
        </w:rPr>
        <w:t>configurations et des pratiques</w:t>
      </w:r>
      <w:r w:rsidR="002B0180" w:rsidRPr="00AB3B03">
        <w:rPr>
          <w:lang w:val="fr-BE"/>
        </w:rPr>
        <w:t>,</w:t>
      </w:r>
      <w:r w:rsidR="002B0180">
        <w:rPr>
          <w:lang w:val="fr-BE"/>
        </w:rPr>
        <w:t xml:space="preserve"> qu’il s’agisse du </w:t>
      </w:r>
      <w:r w:rsidR="002B0180" w:rsidRPr="00AB3B03">
        <w:rPr>
          <w:lang w:val="fr-BE"/>
        </w:rPr>
        <w:t xml:space="preserve">profil des revues, </w:t>
      </w:r>
      <w:r w:rsidR="002B0180">
        <w:rPr>
          <w:lang w:val="fr-BE"/>
        </w:rPr>
        <w:t xml:space="preserve">des </w:t>
      </w:r>
      <w:r w:rsidR="002B0180" w:rsidRPr="00AB3B03">
        <w:rPr>
          <w:lang w:val="fr-BE"/>
        </w:rPr>
        <w:t>fonctions éditoriales</w:t>
      </w:r>
      <w:r w:rsidR="002B0180">
        <w:rPr>
          <w:lang w:val="fr-BE"/>
        </w:rPr>
        <w:t xml:space="preserve"> assumées par le carnet, ou encore des </w:t>
      </w:r>
      <w:r w:rsidR="002B0180" w:rsidRPr="00AB3B03">
        <w:rPr>
          <w:lang w:val="fr-BE"/>
        </w:rPr>
        <w:t>pratiques des carnetiers</w:t>
      </w:r>
      <w:r w:rsidR="002B0180">
        <w:rPr>
          <w:lang w:val="fr-BE"/>
        </w:rPr>
        <w:t>,</w:t>
      </w:r>
      <w:r w:rsidR="002B0180" w:rsidRPr="002B0180">
        <w:rPr>
          <w:lang w:val="fr-BE"/>
        </w:rPr>
        <w:t xml:space="preserve"> </w:t>
      </w:r>
      <w:r w:rsidR="002B0180" w:rsidRPr="00AB3B03">
        <w:rPr>
          <w:lang w:val="fr-BE"/>
        </w:rPr>
        <w:t>permet peu de tirer des conclusions</w:t>
      </w:r>
      <w:r w:rsidR="002B0180">
        <w:rPr>
          <w:lang w:val="fr-BE"/>
        </w:rPr>
        <w:t>.</w:t>
      </w:r>
      <w:r w:rsidR="002268F3">
        <w:rPr>
          <w:lang w:val="fr-BE"/>
        </w:rPr>
        <w:t xml:space="preserve"> Le carnet d’accompagnement de la revue prolonge effectivement celle-ci mais sur des modalités qui restent assez classiques, tout comme le </w:t>
      </w:r>
      <w:r w:rsidR="00994CD2">
        <w:rPr>
          <w:lang w:val="fr-BE"/>
        </w:rPr>
        <w:t xml:space="preserve">passage au </w:t>
      </w:r>
      <w:r w:rsidR="002268F3">
        <w:rPr>
          <w:lang w:val="fr-BE"/>
        </w:rPr>
        <w:t xml:space="preserve">numérique </w:t>
      </w:r>
      <w:r w:rsidR="00994CD2">
        <w:rPr>
          <w:lang w:val="fr-BE"/>
        </w:rPr>
        <w:t>ne semble pas encore avoir</w:t>
      </w:r>
      <w:r w:rsidR="002268F3">
        <w:rPr>
          <w:lang w:val="fr-BE"/>
        </w:rPr>
        <w:t xml:space="preserve"> apporté de révolution notable aux modalités de publication de l’imprimé</w:t>
      </w:r>
      <w:r w:rsidR="00994CD2">
        <w:rPr>
          <w:lang w:val="fr-BE"/>
        </w:rPr>
        <w:t xml:space="preserve"> (</w:t>
      </w:r>
      <w:r w:rsidR="002268F3">
        <w:rPr>
          <w:lang w:val="fr-BE"/>
        </w:rPr>
        <w:t>rien n’empêchant en principe une revue nativement numérique d’être publiée à flux continu, entre autres</w:t>
      </w:r>
      <w:r w:rsidR="00994CD2">
        <w:rPr>
          <w:lang w:val="fr-BE"/>
        </w:rPr>
        <w:t>)</w:t>
      </w:r>
      <w:r w:rsidR="002268F3">
        <w:rPr>
          <w:lang w:val="fr-BE"/>
        </w:rPr>
        <w:t>.</w:t>
      </w:r>
      <w:r w:rsidR="00B864EA">
        <w:rPr>
          <w:lang w:val="fr-BE"/>
        </w:rPr>
        <w:t xml:space="preserve"> Cependant, cette multiplicité des pratiques au sein des carnets et entre les carnets et les revues est également un reflet de la richesse des revues scientifiques</w:t>
      </w:r>
      <w:r w:rsidR="006013C5">
        <w:rPr>
          <w:lang w:val="fr-BE"/>
        </w:rPr>
        <w:t xml:space="preserve"> en SHS, chacune s’appropriant à sa manière un modèle traditionnel particulièrement contraint et formalisé pour en faire un support unique et propre à une communauté.</w:t>
      </w:r>
    </w:p>
    <w:p w14:paraId="6760FB19" w14:textId="740B28E0" w:rsidR="005E6079" w:rsidRDefault="005E6079" w:rsidP="00C61666">
      <w:pPr>
        <w:pStyle w:val="Titre1"/>
        <w:rPr>
          <w:rFonts w:ascii="Helvetica" w:hAnsi="Helvetica"/>
          <w:sz w:val="22"/>
          <w:szCs w:val="22"/>
        </w:rPr>
      </w:pPr>
      <w:r w:rsidRPr="007D45B5">
        <w:rPr>
          <w:rFonts w:ascii="Helvetica" w:hAnsi="Helvetica"/>
          <w:sz w:val="22"/>
          <w:szCs w:val="22"/>
        </w:rPr>
        <w:t>Bibliographie</w:t>
      </w:r>
    </w:p>
    <w:p w14:paraId="6B2BFC0E" w14:textId="04D4E570" w:rsidR="007D45B5" w:rsidRDefault="007D45B5" w:rsidP="007D45B5">
      <w:pPr>
        <w:rPr>
          <w:i/>
          <w:iCs/>
          <w:lang w:val="fr-BE"/>
        </w:rPr>
      </w:pPr>
      <w:r w:rsidRPr="007D45B5">
        <w:rPr>
          <w:i/>
          <w:iCs/>
          <w:lang w:val="fr-BE"/>
        </w:rPr>
        <w:t>L’ensemble des liens</w:t>
      </w:r>
      <w:r>
        <w:rPr>
          <w:i/>
          <w:iCs/>
          <w:lang w:val="fr-BE"/>
        </w:rPr>
        <w:t xml:space="preserve"> présents dans l’article</w:t>
      </w:r>
      <w:r w:rsidRPr="007D45B5">
        <w:rPr>
          <w:i/>
          <w:iCs/>
          <w:lang w:val="fr-BE"/>
        </w:rPr>
        <w:t xml:space="preserve"> a été vérifié le 8 juillet 2022.</w:t>
      </w:r>
    </w:p>
    <w:p w14:paraId="3001D9FA" w14:textId="151F9967" w:rsidR="0060519F" w:rsidRPr="0060519F" w:rsidRDefault="0060519F" w:rsidP="0060519F">
      <w:pPr>
        <w:pStyle w:val="Bibliographie"/>
        <w:rPr>
          <w:rFonts w:cs="Times New Roman"/>
        </w:rPr>
      </w:pPr>
      <w:proofErr w:type="spellStart"/>
      <w:r w:rsidRPr="0060519F">
        <w:rPr>
          <w:rFonts w:cs="Times New Roman"/>
        </w:rPr>
        <w:t>Aschehoug</w:t>
      </w:r>
      <w:proofErr w:type="spellEnd"/>
      <w:r w:rsidRPr="0060519F">
        <w:rPr>
          <w:rFonts w:cs="Times New Roman"/>
        </w:rPr>
        <w:t xml:space="preserve">, A. (2022). Les </w:t>
      </w:r>
      <w:proofErr w:type="spellStart"/>
      <w:r w:rsidRPr="0060519F">
        <w:rPr>
          <w:rFonts w:cs="Times New Roman"/>
        </w:rPr>
        <w:t>pôles</w:t>
      </w:r>
      <w:proofErr w:type="spellEnd"/>
      <w:r w:rsidRPr="0060519F">
        <w:rPr>
          <w:rFonts w:cs="Times New Roman"/>
        </w:rPr>
        <w:t xml:space="preserve"> </w:t>
      </w:r>
      <w:proofErr w:type="spellStart"/>
      <w:proofErr w:type="gramStart"/>
      <w:r w:rsidRPr="0060519F">
        <w:rPr>
          <w:rFonts w:cs="Times New Roman"/>
        </w:rPr>
        <w:t>éditoriaux</w:t>
      </w:r>
      <w:proofErr w:type="spellEnd"/>
      <w:r w:rsidRPr="0060519F">
        <w:rPr>
          <w:rFonts w:cs="Times New Roman"/>
        </w:rPr>
        <w:t> :</w:t>
      </w:r>
      <w:proofErr w:type="gramEnd"/>
      <w:r w:rsidRPr="0060519F">
        <w:rPr>
          <w:rFonts w:cs="Times New Roman"/>
        </w:rPr>
        <w:t xml:space="preserve"> </w:t>
      </w:r>
      <w:proofErr w:type="spellStart"/>
      <w:r w:rsidRPr="0060519F">
        <w:rPr>
          <w:rFonts w:cs="Times New Roman"/>
        </w:rPr>
        <w:t>Contexte</w:t>
      </w:r>
      <w:proofErr w:type="spellEnd"/>
      <w:r w:rsidRPr="0060519F">
        <w:rPr>
          <w:rFonts w:cs="Times New Roman"/>
        </w:rPr>
        <w:t xml:space="preserve">, </w:t>
      </w:r>
      <w:proofErr w:type="spellStart"/>
      <w:r w:rsidRPr="0060519F">
        <w:rPr>
          <w:rFonts w:cs="Times New Roman"/>
        </w:rPr>
        <w:t>état</w:t>
      </w:r>
      <w:proofErr w:type="spellEnd"/>
      <w:r w:rsidRPr="0060519F">
        <w:rPr>
          <w:rFonts w:cs="Times New Roman"/>
        </w:rPr>
        <w:t xml:space="preserve"> des </w:t>
      </w:r>
      <w:proofErr w:type="spellStart"/>
      <w:r w:rsidRPr="0060519F">
        <w:rPr>
          <w:rFonts w:cs="Times New Roman"/>
        </w:rPr>
        <w:t>lieux</w:t>
      </w:r>
      <w:proofErr w:type="spellEnd"/>
      <w:r w:rsidRPr="0060519F">
        <w:rPr>
          <w:rFonts w:cs="Times New Roman"/>
        </w:rPr>
        <w:t xml:space="preserve"> et perspectives [Research Report]. CNRS. https://hal.archives-ouvertes.fr/hal-03616773</w:t>
      </w:r>
    </w:p>
    <w:p w14:paraId="52142848" w14:textId="77777777" w:rsidR="0060519F" w:rsidRPr="0060519F" w:rsidRDefault="0060519F" w:rsidP="0060519F">
      <w:pPr>
        <w:pStyle w:val="Bibliographie"/>
        <w:rPr>
          <w:rFonts w:cs="Times New Roman"/>
        </w:rPr>
      </w:pPr>
      <w:r w:rsidRPr="0060519F">
        <w:rPr>
          <w:rFonts w:cs="Times New Roman"/>
        </w:rPr>
        <w:t xml:space="preserve">Beaudry, G. (2011). La communication </w:t>
      </w:r>
      <w:proofErr w:type="spellStart"/>
      <w:r w:rsidRPr="0060519F">
        <w:rPr>
          <w:rFonts w:cs="Times New Roman"/>
        </w:rPr>
        <w:t>scientifique</w:t>
      </w:r>
      <w:proofErr w:type="spellEnd"/>
      <w:r w:rsidRPr="0060519F">
        <w:rPr>
          <w:rFonts w:cs="Times New Roman"/>
        </w:rPr>
        <w:t xml:space="preserve"> et le </w:t>
      </w:r>
      <w:proofErr w:type="spellStart"/>
      <w:r w:rsidRPr="0060519F">
        <w:rPr>
          <w:rFonts w:cs="Times New Roman"/>
        </w:rPr>
        <w:t>numérique</w:t>
      </w:r>
      <w:proofErr w:type="spellEnd"/>
      <w:r w:rsidRPr="0060519F">
        <w:rPr>
          <w:rFonts w:cs="Times New Roman"/>
        </w:rPr>
        <w:t>. Lavoisier.</w:t>
      </w:r>
    </w:p>
    <w:p w14:paraId="6A5A318A" w14:textId="77777777" w:rsidR="0060519F" w:rsidRPr="0060519F" w:rsidRDefault="0060519F" w:rsidP="0060519F">
      <w:pPr>
        <w:pStyle w:val="Bibliographie"/>
        <w:rPr>
          <w:rFonts w:cs="Times New Roman"/>
        </w:rPr>
      </w:pPr>
      <w:r w:rsidRPr="0060519F">
        <w:rPr>
          <w:rFonts w:cs="Times New Roman"/>
        </w:rPr>
        <w:t xml:space="preserve">Berthou, B. (2009). La publication </w:t>
      </w:r>
      <w:proofErr w:type="spellStart"/>
      <w:r w:rsidRPr="0060519F">
        <w:rPr>
          <w:rFonts w:cs="Times New Roman"/>
        </w:rPr>
        <w:t>numérique</w:t>
      </w:r>
      <w:proofErr w:type="spellEnd"/>
      <w:r w:rsidRPr="0060519F">
        <w:rPr>
          <w:rFonts w:cs="Times New Roman"/>
        </w:rPr>
        <w:t xml:space="preserve"> </w:t>
      </w:r>
      <w:proofErr w:type="spellStart"/>
      <w:r w:rsidRPr="0060519F">
        <w:rPr>
          <w:rFonts w:cs="Times New Roman"/>
        </w:rPr>
        <w:t>en</w:t>
      </w:r>
      <w:proofErr w:type="spellEnd"/>
      <w:r w:rsidRPr="0060519F">
        <w:rPr>
          <w:rFonts w:cs="Times New Roman"/>
        </w:rPr>
        <w:t xml:space="preserve"> sciences </w:t>
      </w:r>
      <w:proofErr w:type="spellStart"/>
      <w:r w:rsidRPr="0060519F">
        <w:rPr>
          <w:rFonts w:cs="Times New Roman"/>
        </w:rPr>
        <w:t>humaines</w:t>
      </w:r>
      <w:proofErr w:type="spellEnd"/>
      <w:r w:rsidRPr="0060519F">
        <w:rPr>
          <w:rFonts w:cs="Times New Roman"/>
        </w:rPr>
        <w:t xml:space="preserve"> et </w:t>
      </w:r>
      <w:proofErr w:type="spellStart"/>
      <w:proofErr w:type="gramStart"/>
      <w:r w:rsidRPr="0060519F">
        <w:rPr>
          <w:rFonts w:cs="Times New Roman"/>
        </w:rPr>
        <w:t>sociales</w:t>
      </w:r>
      <w:proofErr w:type="spellEnd"/>
      <w:r w:rsidRPr="0060519F">
        <w:rPr>
          <w:rFonts w:cs="Times New Roman"/>
        </w:rPr>
        <w:t> :</w:t>
      </w:r>
      <w:proofErr w:type="gramEnd"/>
      <w:r w:rsidRPr="0060519F">
        <w:rPr>
          <w:rFonts w:cs="Times New Roman"/>
        </w:rPr>
        <w:t xml:space="preserve"> </w:t>
      </w:r>
      <w:proofErr w:type="spellStart"/>
      <w:r w:rsidRPr="0060519F">
        <w:rPr>
          <w:rFonts w:cs="Times New Roman"/>
        </w:rPr>
        <w:t>Vers</w:t>
      </w:r>
      <w:proofErr w:type="spellEnd"/>
      <w:r w:rsidRPr="0060519F">
        <w:rPr>
          <w:rFonts w:cs="Times New Roman"/>
        </w:rPr>
        <w:t xml:space="preserve"> un nouveau </w:t>
      </w:r>
      <w:proofErr w:type="spellStart"/>
      <w:r w:rsidRPr="0060519F">
        <w:rPr>
          <w:rFonts w:cs="Times New Roman"/>
        </w:rPr>
        <w:t>modèle</w:t>
      </w:r>
      <w:proofErr w:type="spellEnd"/>
      <w:r w:rsidRPr="0060519F">
        <w:rPr>
          <w:rFonts w:cs="Times New Roman"/>
        </w:rPr>
        <w:t xml:space="preserve"> de diffusion du savoir? </w:t>
      </w:r>
      <w:proofErr w:type="spellStart"/>
      <w:r w:rsidRPr="0060519F">
        <w:rPr>
          <w:rFonts w:cs="Times New Roman"/>
        </w:rPr>
        <w:t>Mémoires</w:t>
      </w:r>
      <w:proofErr w:type="spellEnd"/>
      <w:r w:rsidRPr="0060519F">
        <w:rPr>
          <w:rFonts w:cs="Times New Roman"/>
        </w:rPr>
        <w:t xml:space="preserve"> du livre, 1(1). https://www.erudit.org/revue/memoires/2009/v1/n1/038632ar.html</w:t>
      </w:r>
    </w:p>
    <w:p w14:paraId="212B5DBE" w14:textId="77777777" w:rsidR="0060519F" w:rsidRPr="0060519F" w:rsidRDefault="0060519F" w:rsidP="0060519F">
      <w:pPr>
        <w:pStyle w:val="Bibliographie"/>
        <w:rPr>
          <w:rFonts w:cs="Times New Roman"/>
        </w:rPr>
      </w:pPr>
      <w:r w:rsidRPr="0060519F">
        <w:rPr>
          <w:rFonts w:cs="Times New Roman"/>
        </w:rPr>
        <w:t xml:space="preserve">Bordier, J. (2016). </w:t>
      </w:r>
      <w:proofErr w:type="spellStart"/>
      <w:r w:rsidRPr="0060519F">
        <w:rPr>
          <w:rFonts w:cs="Times New Roman"/>
        </w:rPr>
        <w:t>Évaluation</w:t>
      </w:r>
      <w:proofErr w:type="spellEnd"/>
      <w:r w:rsidRPr="0060519F">
        <w:rPr>
          <w:rFonts w:cs="Times New Roman"/>
        </w:rPr>
        <w:t xml:space="preserve"> ouverte par les </w:t>
      </w:r>
      <w:proofErr w:type="gramStart"/>
      <w:r w:rsidRPr="0060519F">
        <w:rPr>
          <w:rFonts w:cs="Times New Roman"/>
        </w:rPr>
        <w:t>pairs :</w:t>
      </w:r>
      <w:proofErr w:type="gramEnd"/>
      <w:r w:rsidRPr="0060519F">
        <w:rPr>
          <w:rFonts w:cs="Times New Roman"/>
        </w:rPr>
        <w:t xml:space="preserve"> De </w:t>
      </w:r>
      <w:proofErr w:type="spellStart"/>
      <w:r w:rsidRPr="0060519F">
        <w:rPr>
          <w:rFonts w:cs="Times New Roman"/>
        </w:rPr>
        <w:t>l’expérimentation</w:t>
      </w:r>
      <w:proofErr w:type="spellEnd"/>
      <w:r w:rsidRPr="0060519F">
        <w:rPr>
          <w:rFonts w:cs="Times New Roman"/>
        </w:rPr>
        <w:t xml:space="preserve"> à la </w:t>
      </w:r>
      <w:proofErr w:type="spellStart"/>
      <w:r w:rsidRPr="0060519F">
        <w:rPr>
          <w:rFonts w:cs="Times New Roman"/>
        </w:rPr>
        <w:t>modélisation</w:t>
      </w:r>
      <w:proofErr w:type="spellEnd"/>
      <w:r w:rsidRPr="0060519F">
        <w:rPr>
          <w:rFonts w:cs="Times New Roman"/>
        </w:rPr>
        <w:t>. https://hal.archives-ouvertes.fr/hal-01283582/document</w:t>
      </w:r>
    </w:p>
    <w:p w14:paraId="17B7F700" w14:textId="77777777" w:rsidR="0060519F" w:rsidRPr="0060519F" w:rsidRDefault="0060519F" w:rsidP="0060519F">
      <w:pPr>
        <w:pStyle w:val="Bibliographie"/>
        <w:rPr>
          <w:rFonts w:cs="Times New Roman"/>
        </w:rPr>
      </w:pPr>
      <w:proofErr w:type="spellStart"/>
      <w:r w:rsidRPr="0060519F">
        <w:rPr>
          <w:rFonts w:cs="Times New Roman"/>
        </w:rPr>
        <w:t>Dacos</w:t>
      </w:r>
      <w:proofErr w:type="spellEnd"/>
      <w:r w:rsidRPr="0060519F">
        <w:rPr>
          <w:rFonts w:cs="Times New Roman"/>
        </w:rPr>
        <w:t xml:space="preserve">, M., &amp; Mounier, P. (2010). Les carnets de recherche </w:t>
      </w:r>
      <w:proofErr w:type="spellStart"/>
      <w:r w:rsidRPr="0060519F">
        <w:rPr>
          <w:rFonts w:cs="Times New Roman"/>
        </w:rPr>
        <w:t>en</w:t>
      </w:r>
      <w:proofErr w:type="spellEnd"/>
      <w:r w:rsidRPr="0060519F">
        <w:rPr>
          <w:rFonts w:cs="Times New Roman"/>
        </w:rPr>
        <w:t xml:space="preserve"> </w:t>
      </w:r>
      <w:proofErr w:type="spellStart"/>
      <w:r w:rsidRPr="0060519F">
        <w:rPr>
          <w:rFonts w:cs="Times New Roman"/>
        </w:rPr>
        <w:t>ligne</w:t>
      </w:r>
      <w:proofErr w:type="spellEnd"/>
      <w:r w:rsidRPr="0060519F">
        <w:rPr>
          <w:rFonts w:cs="Times New Roman"/>
        </w:rPr>
        <w:t xml:space="preserve">, </w:t>
      </w:r>
      <w:proofErr w:type="spellStart"/>
      <w:r w:rsidRPr="0060519F">
        <w:rPr>
          <w:rFonts w:cs="Times New Roman"/>
        </w:rPr>
        <w:t>espace</w:t>
      </w:r>
      <w:proofErr w:type="spellEnd"/>
      <w:r w:rsidRPr="0060519F">
        <w:rPr>
          <w:rFonts w:cs="Times New Roman"/>
        </w:rPr>
        <w:t xml:space="preserve"> </w:t>
      </w:r>
      <w:proofErr w:type="spellStart"/>
      <w:r w:rsidRPr="0060519F">
        <w:rPr>
          <w:rFonts w:cs="Times New Roman"/>
        </w:rPr>
        <w:t>d’une</w:t>
      </w:r>
      <w:proofErr w:type="spellEnd"/>
      <w:r w:rsidRPr="0060519F">
        <w:rPr>
          <w:rFonts w:cs="Times New Roman"/>
        </w:rPr>
        <w:t xml:space="preserve"> conversation </w:t>
      </w:r>
      <w:proofErr w:type="spellStart"/>
      <w:r w:rsidRPr="0060519F">
        <w:rPr>
          <w:rFonts w:cs="Times New Roman"/>
        </w:rPr>
        <w:t>scientifique</w:t>
      </w:r>
      <w:proofErr w:type="spellEnd"/>
      <w:r w:rsidRPr="0060519F">
        <w:rPr>
          <w:rFonts w:cs="Times New Roman"/>
        </w:rPr>
        <w:t xml:space="preserve"> </w:t>
      </w:r>
      <w:proofErr w:type="spellStart"/>
      <w:r w:rsidRPr="0060519F">
        <w:rPr>
          <w:rFonts w:cs="Times New Roman"/>
        </w:rPr>
        <w:t>décentrée</w:t>
      </w:r>
      <w:proofErr w:type="spellEnd"/>
      <w:r w:rsidRPr="0060519F">
        <w:rPr>
          <w:rFonts w:cs="Times New Roman"/>
        </w:rPr>
        <w:t>. In C. Jacob (</w:t>
      </w:r>
      <w:proofErr w:type="spellStart"/>
      <w:r w:rsidRPr="0060519F">
        <w:rPr>
          <w:rFonts w:cs="Times New Roman"/>
        </w:rPr>
        <w:t>Éd</w:t>
      </w:r>
      <w:proofErr w:type="spellEnd"/>
      <w:r w:rsidRPr="0060519F">
        <w:rPr>
          <w:rFonts w:cs="Times New Roman"/>
        </w:rPr>
        <w:t>.), Lieux de savoir. 2. Gestes et supports du travail savant (Vol. 2, p. N/A). Albin Michel. http://archivesic.ccsd.cnrs.fr/sic_00439849/document</w:t>
      </w:r>
    </w:p>
    <w:p w14:paraId="078B7E97" w14:textId="77777777" w:rsidR="0060519F" w:rsidRPr="0060519F" w:rsidRDefault="0060519F" w:rsidP="0060519F">
      <w:pPr>
        <w:pStyle w:val="Bibliographie"/>
        <w:rPr>
          <w:rFonts w:cs="Times New Roman"/>
        </w:rPr>
      </w:pPr>
      <w:proofErr w:type="spellStart"/>
      <w:r w:rsidRPr="0060519F">
        <w:rPr>
          <w:rFonts w:cs="Times New Roman"/>
        </w:rPr>
        <w:t>Damerdji</w:t>
      </w:r>
      <w:proofErr w:type="spellEnd"/>
      <w:r w:rsidRPr="0060519F">
        <w:rPr>
          <w:rFonts w:cs="Times New Roman"/>
        </w:rPr>
        <w:t xml:space="preserve">, A., Hayat, S., La Valle, N., </w:t>
      </w:r>
      <w:proofErr w:type="spellStart"/>
      <w:r w:rsidRPr="0060519F">
        <w:rPr>
          <w:rFonts w:cs="Times New Roman"/>
        </w:rPr>
        <w:t>Pecqueux</w:t>
      </w:r>
      <w:proofErr w:type="spellEnd"/>
      <w:r w:rsidRPr="0060519F">
        <w:rPr>
          <w:rFonts w:cs="Times New Roman"/>
        </w:rPr>
        <w:t xml:space="preserve">, A., &amp; </w:t>
      </w:r>
      <w:proofErr w:type="spellStart"/>
      <w:r w:rsidRPr="0060519F">
        <w:rPr>
          <w:rFonts w:cs="Times New Roman"/>
        </w:rPr>
        <w:t>Rabier</w:t>
      </w:r>
      <w:proofErr w:type="spellEnd"/>
      <w:r w:rsidRPr="0060519F">
        <w:rPr>
          <w:rFonts w:cs="Times New Roman"/>
        </w:rPr>
        <w:t xml:space="preserve">, C. (2018). </w:t>
      </w:r>
      <w:proofErr w:type="spellStart"/>
      <w:r w:rsidRPr="0060519F">
        <w:rPr>
          <w:rFonts w:cs="Times New Roman"/>
        </w:rPr>
        <w:t>Éditorial</w:t>
      </w:r>
      <w:proofErr w:type="spellEnd"/>
      <w:r w:rsidRPr="0060519F">
        <w:rPr>
          <w:rFonts w:cs="Times New Roman"/>
        </w:rPr>
        <w:t xml:space="preserve">. Le savoir-faire des revues. </w:t>
      </w:r>
      <w:proofErr w:type="spellStart"/>
      <w:r w:rsidRPr="0060519F">
        <w:rPr>
          <w:rFonts w:cs="Times New Roman"/>
        </w:rPr>
        <w:t>Tracés</w:t>
      </w:r>
      <w:proofErr w:type="spellEnd"/>
      <w:r w:rsidRPr="0060519F">
        <w:rPr>
          <w:rFonts w:cs="Times New Roman"/>
        </w:rPr>
        <w:t xml:space="preserve">. Revue de Sciences </w:t>
      </w:r>
      <w:proofErr w:type="spellStart"/>
      <w:r w:rsidRPr="0060519F">
        <w:rPr>
          <w:rFonts w:cs="Times New Roman"/>
        </w:rPr>
        <w:t>humaines</w:t>
      </w:r>
      <w:proofErr w:type="spellEnd"/>
      <w:r w:rsidRPr="0060519F">
        <w:rPr>
          <w:rFonts w:cs="Times New Roman"/>
        </w:rPr>
        <w:t>, #18, 11‑24.</w:t>
      </w:r>
    </w:p>
    <w:p w14:paraId="0D841431" w14:textId="77777777" w:rsidR="0060519F" w:rsidRPr="0060519F" w:rsidRDefault="0060519F" w:rsidP="0060519F">
      <w:pPr>
        <w:pStyle w:val="Bibliographie"/>
        <w:rPr>
          <w:rFonts w:cs="Times New Roman"/>
        </w:rPr>
      </w:pPr>
      <w:proofErr w:type="spellStart"/>
      <w:r w:rsidRPr="0060519F">
        <w:rPr>
          <w:rFonts w:cs="Times New Roman"/>
        </w:rPr>
        <w:lastRenderedPageBreak/>
        <w:t>Érudit</w:t>
      </w:r>
      <w:proofErr w:type="spellEnd"/>
      <w:r w:rsidRPr="0060519F">
        <w:rPr>
          <w:rFonts w:cs="Times New Roman"/>
        </w:rPr>
        <w:t xml:space="preserve"> &amp; Sens Public. (2022, </w:t>
      </w:r>
      <w:proofErr w:type="spellStart"/>
      <w:r w:rsidRPr="0060519F">
        <w:rPr>
          <w:rFonts w:cs="Times New Roman"/>
        </w:rPr>
        <w:t>février</w:t>
      </w:r>
      <w:proofErr w:type="spellEnd"/>
      <w:r w:rsidRPr="0060519F">
        <w:rPr>
          <w:rFonts w:cs="Times New Roman"/>
        </w:rPr>
        <w:t xml:space="preserve"> 8). Journals as conversation </w:t>
      </w:r>
      <w:proofErr w:type="gramStart"/>
      <w:r w:rsidRPr="0060519F">
        <w:rPr>
          <w:rFonts w:cs="Times New Roman"/>
        </w:rPr>
        <w:t>spaces :</w:t>
      </w:r>
      <w:proofErr w:type="gramEnd"/>
      <w:r w:rsidRPr="0060519F">
        <w:rPr>
          <w:rFonts w:cs="Times New Roman"/>
        </w:rPr>
        <w:t xml:space="preserve"> An interview with the team behind Sens public. </w:t>
      </w:r>
      <w:proofErr w:type="spellStart"/>
      <w:r w:rsidRPr="0060519F">
        <w:rPr>
          <w:rFonts w:cs="Times New Roman"/>
        </w:rPr>
        <w:t>Érudit</w:t>
      </w:r>
      <w:proofErr w:type="spellEnd"/>
      <w:r w:rsidRPr="0060519F">
        <w:rPr>
          <w:rFonts w:cs="Times New Roman"/>
        </w:rPr>
        <w:t>. https://apropos.erudit.org/interview-senspublic/?lang=en</w:t>
      </w:r>
    </w:p>
    <w:p w14:paraId="1F074B28" w14:textId="77777777" w:rsidR="0060519F" w:rsidRPr="0060519F" w:rsidRDefault="0060519F" w:rsidP="0060519F">
      <w:pPr>
        <w:pStyle w:val="Bibliographie"/>
        <w:rPr>
          <w:rFonts w:cs="Times New Roman"/>
        </w:rPr>
      </w:pPr>
      <w:r w:rsidRPr="0060519F">
        <w:rPr>
          <w:rFonts w:cs="Times New Roman"/>
        </w:rPr>
        <w:t xml:space="preserve">Franck, T., Glorie, C., &amp; </w:t>
      </w:r>
      <w:proofErr w:type="spellStart"/>
      <w:r w:rsidRPr="0060519F">
        <w:rPr>
          <w:rFonts w:cs="Times New Roman"/>
        </w:rPr>
        <w:t>Loute</w:t>
      </w:r>
      <w:proofErr w:type="spellEnd"/>
      <w:r w:rsidRPr="0060519F">
        <w:rPr>
          <w:rFonts w:cs="Times New Roman"/>
        </w:rPr>
        <w:t>, A. (</w:t>
      </w:r>
      <w:proofErr w:type="spellStart"/>
      <w:r w:rsidRPr="0060519F">
        <w:rPr>
          <w:rFonts w:cs="Times New Roman"/>
        </w:rPr>
        <w:t>Éds</w:t>
      </w:r>
      <w:proofErr w:type="spellEnd"/>
      <w:r w:rsidRPr="0060519F">
        <w:rPr>
          <w:rFonts w:cs="Times New Roman"/>
        </w:rPr>
        <w:t xml:space="preserve">.). (2017). </w:t>
      </w:r>
      <w:proofErr w:type="spellStart"/>
      <w:r w:rsidRPr="0060519F">
        <w:rPr>
          <w:rFonts w:cs="Times New Roman"/>
        </w:rPr>
        <w:t>Matérialités</w:t>
      </w:r>
      <w:proofErr w:type="spellEnd"/>
      <w:r w:rsidRPr="0060519F">
        <w:rPr>
          <w:rFonts w:cs="Times New Roman"/>
        </w:rPr>
        <w:t xml:space="preserve"> et </w:t>
      </w:r>
      <w:proofErr w:type="spellStart"/>
      <w:r w:rsidRPr="0060519F">
        <w:rPr>
          <w:rFonts w:cs="Times New Roman"/>
        </w:rPr>
        <w:t>actualité</w:t>
      </w:r>
      <w:proofErr w:type="spellEnd"/>
      <w:r w:rsidRPr="0060519F">
        <w:rPr>
          <w:rFonts w:cs="Times New Roman"/>
        </w:rPr>
        <w:t xml:space="preserve"> de la </w:t>
      </w:r>
      <w:proofErr w:type="spellStart"/>
      <w:r w:rsidRPr="0060519F">
        <w:rPr>
          <w:rFonts w:cs="Times New Roman"/>
        </w:rPr>
        <w:t>forme</w:t>
      </w:r>
      <w:proofErr w:type="spellEnd"/>
      <w:r w:rsidRPr="0060519F">
        <w:rPr>
          <w:rFonts w:cs="Times New Roman"/>
        </w:rPr>
        <w:t xml:space="preserve"> revue. 12. http://journals.openedition.org/grm/908</w:t>
      </w:r>
    </w:p>
    <w:p w14:paraId="75DB0F93" w14:textId="77777777" w:rsidR="0060519F" w:rsidRPr="0060519F" w:rsidRDefault="0060519F" w:rsidP="0060519F">
      <w:pPr>
        <w:pStyle w:val="Bibliographie"/>
        <w:rPr>
          <w:rFonts w:cs="Times New Roman"/>
        </w:rPr>
      </w:pPr>
      <w:proofErr w:type="spellStart"/>
      <w:r w:rsidRPr="0060519F">
        <w:rPr>
          <w:rFonts w:cs="Times New Roman"/>
        </w:rPr>
        <w:t>Guédon</w:t>
      </w:r>
      <w:proofErr w:type="spellEnd"/>
      <w:r w:rsidRPr="0060519F">
        <w:rPr>
          <w:rFonts w:cs="Times New Roman"/>
        </w:rPr>
        <w:t xml:space="preserve">, J.-C. (2014). </w:t>
      </w:r>
      <w:proofErr w:type="spellStart"/>
      <w:r w:rsidRPr="0060519F">
        <w:rPr>
          <w:rFonts w:cs="Times New Roman"/>
        </w:rPr>
        <w:t>Chapitre</w:t>
      </w:r>
      <w:proofErr w:type="spellEnd"/>
      <w:r w:rsidRPr="0060519F">
        <w:rPr>
          <w:rFonts w:cs="Times New Roman"/>
        </w:rPr>
        <w:t xml:space="preserve"> 7. Le libre </w:t>
      </w:r>
      <w:proofErr w:type="spellStart"/>
      <w:r w:rsidRPr="0060519F">
        <w:rPr>
          <w:rFonts w:cs="Times New Roman"/>
        </w:rPr>
        <w:t>accès</w:t>
      </w:r>
      <w:proofErr w:type="spellEnd"/>
      <w:r w:rsidRPr="0060519F">
        <w:rPr>
          <w:rFonts w:cs="Times New Roman"/>
        </w:rPr>
        <w:t xml:space="preserve"> et la « Grande Conversation » </w:t>
      </w:r>
      <w:proofErr w:type="spellStart"/>
      <w:r w:rsidRPr="0060519F">
        <w:rPr>
          <w:rFonts w:cs="Times New Roman"/>
        </w:rPr>
        <w:t>scientifique</w:t>
      </w:r>
      <w:proofErr w:type="spellEnd"/>
      <w:r w:rsidRPr="0060519F">
        <w:rPr>
          <w:rFonts w:cs="Times New Roman"/>
        </w:rPr>
        <w:t>. In M. Vitali-Rosati &amp; M. E. Sinatra (</w:t>
      </w:r>
      <w:proofErr w:type="spellStart"/>
      <w:r w:rsidRPr="0060519F">
        <w:rPr>
          <w:rFonts w:cs="Times New Roman"/>
        </w:rPr>
        <w:t>Éds</w:t>
      </w:r>
      <w:proofErr w:type="spellEnd"/>
      <w:r w:rsidRPr="0060519F">
        <w:rPr>
          <w:rFonts w:cs="Times New Roman"/>
        </w:rPr>
        <w:t xml:space="preserve">.), </w:t>
      </w:r>
      <w:proofErr w:type="spellStart"/>
      <w:r w:rsidRPr="0060519F">
        <w:rPr>
          <w:rFonts w:cs="Times New Roman"/>
        </w:rPr>
        <w:t>Pratiques</w:t>
      </w:r>
      <w:proofErr w:type="spellEnd"/>
      <w:r w:rsidRPr="0060519F">
        <w:rPr>
          <w:rFonts w:cs="Times New Roman"/>
        </w:rPr>
        <w:t xml:space="preserve"> de </w:t>
      </w:r>
      <w:proofErr w:type="spellStart"/>
      <w:r w:rsidRPr="0060519F">
        <w:rPr>
          <w:rFonts w:cs="Times New Roman"/>
        </w:rPr>
        <w:t>l’édition</w:t>
      </w:r>
      <w:proofErr w:type="spellEnd"/>
      <w:r w:rsidRPr="0060519F">
        <w:rPr>
          <w:rFonts w:cs="Times New Roman"/>
        </w:rPr>
        <w:t xml:space="preserve"> </w:t>
      </w:r>
      <w:proofErr w:type="spellStart"/>
      <w:r w:rsidRPr="0060519F">
        <w:rPr>
          <w:rFonts w:cs="Times New Roman"/>
        </w:rPr>
        <w:t>numérique</w:t>
      </w:r>
      <w:proofErr w:type="spellEnd"/>
      <w:r w:rsidRPr="0060519F">
        <w:rPr>
          <w:rFonts w:cs="Times New Roman"/>
        </w:rPr>
        <w:t xml:space="preserve"> (p. 111‑126). Presses de </w:t>
      </w:r>
      <w:proofErr w:type="spellStart"/>
      <w:r w:rsidRPr="0060519F">
        <w:rPr>
          <w:rFonts w:cs="Times New Roman"/>
        </w:rPr>
        <w:t>l’Université</w:t>
      </w:r>
      <w:proofErr w:type="spellEnd"/>
      <w:r w:rsidRPr="0060519F">
        <w:rPr>
          <w:rFonts w:cs="Times New Roman"/>
        </w:rPr>
        <w:t xml:space="preserve"> de Montréal. http://books.openedition.org/pum/324</w:t>
      </w:r>
    </w:p>
    <w:p w14:paraId="6FF176A2" w14:textId="77777777" w:rsidR="0060519F" w:rsidRPr="0060519F" w:rsidRDefault="0060519F" w:rsidP="0060519F">
      <w:pPr>
        <w:pStyle w:val="Bibliographie"/>
        <w:rPr>
          <w:rFonts w:cs="Times New Roman"/>
        </w:rPr>
      </w:pPr>
      <w:r w:rsidRPr="0060519F">
        <w:rPr>
          <w:rFonts w:cs="Times New Roman"/>
        </w:rPr>
        <w:t xml:space="preserve">Hage, J. (2015). Au carrefour des disciplines, au </w:t>
      </w:r>
      <w:proofErr w:type="spellStart"/>
      <w:r w:rsidRPr="0060519F">
        <w:rPr>
          <w:rFonts w:cs="Times New Roman"/>
        </w:rPr>
        <w:t>gré</w:t>
      </w:r>
      <w:proofErr w:type="spellEnd"/>
      <w:r w:rsidRPr="0060519F">
        <w:rPr>
          <w:rFonts w:cs="Times New Roman"/>
        </w:rPr>
        <w:t xml:space="preserve"> des </w:t>
      </w:r>
      <w:proofErr w:type="spellStart"/>
      <w:r w:rsidRPr="0060519F">
        <w:rPr>
          <w:rFonts w:cs="Times New Roman"/>
        </w:rPr>
        <w:t>écrans</w:t>
      </w:r>
      <w:proofErr w:type="spellEnd"/>
      <w:r w:rsidRPr="0060519F">
        <w:rPr>
          <w:rFonts w:cs="Times New Roman"/>
        </w:rPr>
        <w:t xml:space="preserve"> et au </w:t>
      </w:r>
      <w:proofErr w:type="spellStart"/>
      <w:r w:rsidRPr="0060519F">
        <w:rPr>
          <w:rFonts w:cs="Times New Roman"/>
        </w:rPr>
        <w:t>défi</w:t>
      </w:r>
      <w:proofErr w:type="spellEnd"/>
      <w:r w:rsidRPr="0060519F">
        <w:rPr>
          <w:rFonts w:cs="Times New Roman"/>
        </w:rPr>
        <w:t xml:space="preserve"> de </w:t>
      </w:r>
      <w:proofErr w:type="spellStart"/>
      <w:proofErr w:type="gramStart"/>
      <w:r w:rsidRPr="0060519F">
        <w:rPr>
          <w:rFonts w:cs="Times New Roman"/>
        </w:rPr>
        <w:t>l’accès</w:t>
      </w:r>
      <w:proofErr w:type="spellEnd"/>
      <w:r w:rsidRPr="0060519F">
        <w:rPr>
          <w:rFonts w:cs="Times New Roman"/>
        </w:rPr>
        <w:t> :</w:t>
      </w:r>
      <w:proofErr w:type="gramEnd"/>
      <w:r w:rsidRPr="0060519F">
        <w:rPr>
          <w:rFonts w:cs="Times New Roman"/>
        </w:rPr>
        <w:t xml:space="preserve"> Deux </w:t>
      </w:r>
      <w:proofErr w:type="spellStart"/>
      <w:r w:rsidRPr="0060519F">
        <w:rPr>
          <w:rFonts w:cs="Times New Roman"/>
        </w:rPr>
        <w:t>décennies</w:t>
      </w:r>
      <w:proofErr w:type="spellEnd"/>
      <w:r w:rsidRPr="0060519F">
        <w:rPr>
          <w:rFonts w:cs="Times New Roman"/>
        </w:rPr>
        <w:t xml:space="preserve"> de revues de sciences </w:t>
      </w:r>
      <w:proofErr w:type="spellStart"/>
      <w:r w:rsidRPr="0060519F">
        <w:rPr>
          <w:rFonts w:cs="Times New Roman"/>
        </w:rPr>
        <w:t>humaines</w:t>
      </w:r>
      <w:proofErr w:type="spellEnd"/>
      <w:r w:rsidRPr="0060519F">
        <w:rPr>
          <w:rFonts w:cs="Times New Roman"/>
        </w:rPr>
        <w:t xml:space="preserve"> et </w:t>
      </w:r>
      <w:proofErr w:type="spellStart"/>
      <w:r w:rsidRPr="0060519F">
        <w:rPr>
          <w:rFonts w:cs="Times New Roman"/>
        </w:rPr>
        <w:t>sociales</w:t>
      </w:r>
      <w:proofErr w:type="spellEnd"/>
      <w:r w:rsidRPr="0060519F">
        <w:rPr>
          <w:rFonts w:cs="Times New Roman"/>
        </w:rPr>
        <w:t xml:space="preserve"> </w:t>
      </w:r>
      <w:proofErr w:type="spellStart"/>
      <w:r w:rsidRPr="0060519F">
        <w:rPr>
          <w:rFonts w:cs="Times New Roman"/>
        </w:rPr>
        <w:t>en</w:t>
      </w:r>
      <w:proofErr w:type="spellEnd"/>
      <w:r w:rsidRPr="0060519F">
        <w:rPr>
          <w:rFonts w:cs="Times New Roman"/>
        </w:rPr>
        <w:t xml:space="preserve"> France (1995-2015). </w:t>
      </w:r>
      <w:proofErr w:type="spellStart"/>
      <w:r w:rsidRPr="0060519F">
        <w:rPr>
          <w:rFonts w:cs="Times New Roman"/>
        </w:rPr>
        <w:t>Sociétés</w:t>
      </w:r>
      <w:proofErr w:type="spellEnd"/>
      <w:r w:rsidRPr="0060519F">
        <w:rPr>
          <w:rFonts w:cs="Times New Roman"/>
        </w:rPr>
        <w:t xml:space="preserve"> &amp; </w:t>
      </w:r>
      <w:proofErr w:type="spellStart"/>
      <w:r w:rsidRPr="0060519F">
        <w:rPr>
          <w:rFonts w:cs="Times New Roman"/>
        </w:rPr>
        <w:t>Représentations</w:t>
      </w:r>
      <w:proofErr w:type="spellEnd"/>
      <w:r w:rsidRPr="0060519F">
        <w:rPr>
          <w:rFonts w:cs="Times New Roman"/>
        </w:rPr>
        <w:t>, 40, 265‑276. https://doi.org/10.3917/sr.040.0265</w:t>
      </w:r>
    </w:p>
    <w:p w14:paraId="1D6104FD" w14:textId="44EE68CC" w:rsidR="0060519F" w:rsidRDefault="0060519F" w:rsidP="0060519F">
      <w:pPr>
        <w:pStyle w:val="Bibliographie"/>
        <w:rPr>
          <w:rFonts w:cs="Times New Roman"/>
        </w:rPr>
      </w:pPr>
      <w:r w:rsidRPr="0060519F">
        <w:rPr>
          <w:rFonts w:cs="Times New Roman"/>
        </w:rPr>
        <w:t xml:space="preserve">Mayeur, I. (2019). </w:t>
      </w:r>
      <w:proofErr w:type="spellStart"/>
      <w:r w:rsidRPr="0060519F">
        <w:rPr>
          <w:rFonts w:cs="Times New Roman"/>
        </w:rPr>
        <w:t>Recherches</w:t>
      </w:r>
      <w:proofErr w:type="spellEnd"/>
      <w:r w:rsidRPr="0060519F">
        <w:rPr>
          <w:rFonts w:cs="Times New Roman"/>
        </w:rPr>
        <w:t xml:space="preserve"> </w:t>
      </w:r>
      <w:proofErr w:type="spellStart"/>
      <w:r w:rsidRPr="0060519F">
        <w:rPr>
          <w:rFonts w:cs="Times New Roman"/>
        </w:rPr>
        <w:t>en</w:t>
      </w:r>
      <w:proofErr w:type="spellEnd"/>
      <w:r w:rsidRPr="0060519F">
        <w:rPr>
          <w:rFonts w:cs="Times New Roman"/>
        </w:rPr>
        <w:t xml:space="preserve"> </w:t>
      </w:r>
      <w:proofErr w:type="spellStart"/>
      <w:r w:rsidRPr="0060519F">
        <w:rPr>
          <w:rFonts w:cs="Times New Roman"/>
        </w:rPr>
        <w:t>cours</w:t>
      </w:r>
      <w:proofErr w:type="spellEnd"/>
      <w:r w:rsidRPr="0060519F">
        <w:rPr>
          <w:rFonts w:cs="Times New Roman"/>
        </w:rPr>
        <w:t xml:space="preserve">. </w:t>
      </w:r>
      <w:proofErr w:type="spellStart"/>
      <w:r w:rsidRPr="0060519F">
        <w:rPr>
          <w:rFonts w:cs="Times New Roman"/>
        </w:rPr>
        <w:t>Discours</w:t>
      </w:r>
      <w:proofErr w:type="spellEnd"/>
      <w:r w:rsidRPr="0060519F">
        <w:rPr>
          <w:rFonts w:cs="Times New Roman"/>
        </w:rPr>
        <w:t xml:space="preserve"> de savoir </w:t>
      </w:r>
      <w:proofErr w:type="spellStart"/>
      <w:r w:rsidRPr="0060519F">
        <w:rPr>
          <w:rFonts w:cs="Times New Roman"/>
        </w:rPr>
        <w:t>numériques</w:t>
      </w:r>
      <w:proofErr w:type="spellEnd"/>
      <w:r w:rsidRPr="0060519F">
        <w:rPr>
          <w:rFonts w:cs="Times New Roman"/>
        </w:rPr>
        <w:t xml:space="preserve"> et </w:t>
      </w:r>
      <w:proofErr w:type="spellStart"/>
      <w:r w:rsidRPr="0060519F">
        <w:rPr>
          <w:rFonts w:cs="Times New Roman"/>
        </w:rPr>
        <w:t>actualité</w:t>
      </w:r>
      <w:proofErr w:type="spellEnd"/>
      <w:r w:rsidRPr="0060519F">
        <w:rPr>
          <w:rFonts w:cs="Times New Roman"/>
        </w:rPr>
        <w:t xml:space="preserve"> </w:t>
      </w:r>
      <w:proofErr w:type="spellStart"/>
      <w:r w:rsidRPr="0060519F">
        <w:rPr>
          <w:rFonts w:cs="Times New Roman"/>
        </w:rPr>
        <w:t>scientifique</w:t>
      </w:r>
      <w:proofErr w:type="spellEnd"/>
      <w:r w:rsidRPr="0060519F">
        <w:rPr>
          <w:rFonts w:cs="Times New Roman"/>
        </w:rPr>
        <w:t xml:space="preserve"> dans les carnets de recherche de la </w:t>
      </w:r>
      <w:proofErr w:type="spellStart"/>
      <w:r w:rsidRPr="0060519F">
        <w:rPr>
          <w:rFonts w:cs="Times New Roman"/>
        </w:rPr>
        <w:t>plateforme</w:t>
      </w:r>
      <w:proofErr w:type="spellEnd"/>
      <w:r w:rsidRPr="0060519F">
        <w:rPr>
          <w:rFonts w:cs="Times New Roman"/>
        </w:rPr>
        <w:t xml:space="preserve"> </w:t>
      </w:r>
      <w:proofErr w:type="spellStart"/>
      <w:r w:rsidRPr="0060519F">
        <w:rPr>
          <w:rFonts w:cs="Times New Roman"/>
        </w:rPr>
        <w:t>Hypothèses</w:t>
      </w:r>
      <w:proofErr w:type="spellEnd"/>
      <w:r w:rsidRPr="0060519F">
        <w:rPr>
          <w:rFonts w:cs="Times New Roman"/>
        </w:rPr>
        <w:t xml:space="preserve"> [</w:t>
      </w:r>
      <w:proofErr w:type="spellStart"/>
      <w:r w:rsidRPr="0060519F">
        <w:rPr>
          <w:rFonts w:cs="Times New Roman"/>
        </w:rPr>
        <w:t>Thèse</w:t>
      </w:r>
      <w:proofErr w:type="spellEnd"/>
      <w:r w:rsidRPr="0060519F">
        <w:rPr>
          <w:rFonts w:cs="Times New Roman"/>
        </w:rPr>
        <w:t xml:space="preserve"> de </w:t>
      </w:r>
      <w:proofErr w:type="spellStart"/>
      <w:r w:rsidRPr="0060519F">
        <w:rPr>
          <w:rFonts w:cs="Times New Roman"/>
        </w:rPr>
        <w:t>doctorat</w:t>
      </w:r>
      <w:proofErr w:type="spellEnd"/>
      <w:r w:rsidRPr="0060519F">
        <w:rPr>
          <w:rFonts w:cs="Times New Roman"/>
        </w:rPr>
        <w:t xml:space="preserve"> </w:t>
      </w:r>
      <w:proofErr w:type="spellStart"/>
      <w:r w:rsidRPr="0060519F">
        <w:rPr>
          <w:rFonts w:cs="Times New Roman"/>
        </w:rPr>
        <w:t>en</w:t>
      </w:r>
      <w:proofErr w:type="spellEnd"/>
      <w:r w:rsidRPr="0060519F">
        <w:rPr>
          <w:rFonts w:cs="Times New Roman"/>
        </w:rPr>
        <w:t xml:space="preserve"> langue, </w:t>
      </w:r>
      <w:proofErr w:type="spellStart"/>
      <w:r w:rsidRPr="0060519F">
        <w:rPr>
          <w:rFonts w:cs="Times New Roman"/>
        </w:rPr>
        <w:t>lettres</w:t>
      </w:r>
      <w:proofErr w:type="spellEnd"/>
      <w:r w:rsidRPr="0060519F">
        <w:rPr>
          <w:rFonts w:cs="Times New Roman"/>
        </w:rPr>
        <w:t xml:space="preserve"> et </w:t>
      </w:r>
      <w:proofErr w:type="spellStart"/>
      <w:r w:rsidRPr="0060519F">
        <w:rPr>
          <w:rFonts w:cs="Times New Roman"/>
        </w:rPr>
        <w:t>traductologie</w:t>
      </w:r>
      <w:proofErr w:type="spellEnd"/>
      <w:r w:rsidRPr="0060519F">
        <w:rPr>
          <w:rFonts w:cs="Times New Roman"/>
        </w:rPr>
        <w:t xml:space="preserve">, </w:t>
      </w:r>
      <w:proofErr w:type="spellStart"/>
      <w:r w:rsidRPr="0060519F">
        <w:rPr>
          <w:rFonts w:cs="Times New Roman"/>
        </w:rPr>
        <w:t>Université</w:t>
      </w:r>
      <w:proofErr w:type="spellEnd"/>
      <w:r w:rsidRPr="0060519F">
        <w:rPr>
          <w:rFonts w:cs="Times New Roman"/>
        </w:rPr>
        <w:t xml:space="preserve"> de Liège, Belgique]. </w:t>
      </w:r>
      <w:hyperlink r:id="rId9" w:history="1">
        <w:r w:rsidRPr="00DB357F">
          <w:rPr>
            <w:rStyle w:val="Lienhypertexte"/>
            <w:rFonts w:cs="Times New Roman"/>
          </w:rPr>
          <w:t>http://hdl.handle.net/2268/232256</w:t>
        </w:r>
      </w:hyperlink>
    </w:p>
    <w:p w14:paraId="094903CC" w14:textId="7724D117" w:rsidR="0060519F" w:rsidRPr="0060519F" w:rsidRDefault="0060519F" w:rsidP="00E146D9">
      <w:pPr>
        <w:spacing w:line="360" w:lineRule="auto"/>
        <w:ind w:left="720" w:hanging="720"/>
      </w:pPr>
      <w:r w:rsidRPr="0060519F">
        <w:t>P</w:t>
      </w:r>
      <w:r>
        <w:t xml:space="preserve">rime-Claverie, C. &amp; </w:t>
      </w:r>
      <w:proofErr w:type="spellStart"/>
      <w:r>
        <w:t>Poupardin</w:t>
      </w:r>
      <w:proofErr w:type="spellEnd"/>
      <w:r>
        <w:t xml:space="preserve">, E. </w:t>
      </w:r>
      <w:r w:rsidRPr="0060519F">
        <w:t xml:space="preserve">(à </w:t>
      </w:r>
      <w:proofErr w:type="spellStart"/>
      <w:r w:rsidRPr="0060519F">
        <w:t>paraître</w:t>
      </w:r>
      <w:proofErr w:type="spellEnd"/>
      <w:r>
        <w:t>).</w:t>
      </w:r>
      <w:r w:rsidRPr="0060519F">
        <w:t xml:space="preserve"> </w:t>
      </w:r>
      <w:proofErr w:type="spellStart"/>
      <w:r w:rsidRPr="0060519F">
        <w:t>Carnetiers</w:t>
      </w:r>
      <w:proofErr w:type="spellEnd"/>
      <w:r w:rsidRPr="0060519F">
        <w:t xml:space="preserve"> et </w:t>
      </w:r>
      <w:proofErr w:type="spellStart"/>
      <w:r w:rsidRPr="0060519F">
        <w:t>blogueurs</w:t>
      </w:r>
      <w:proofErr w:type="spellEnd"/>
      <w:r w:rsidRPr="0060519F">
        <w:t xml:space="preserve"> de </w:t>
      </w:r>
      <w:proofErr w:type="gramStart"/>
      <w:r w:rsidRPr="0060519F">
        <w:t>sciences :</w:t>
      </w:r>
      <w:proofErr w:type="gramEnd"/>
      <w:r w:rsidRPr="0060519F">
        <w:t xml:space="preserve"> </w:t>
      </w:r>
      <w:proofErr w:type="spellStart"/>
      <w:r w:rsidRPr="0060519F">
        <w:t>analyser</w:t>
      </w:r>
      <w:proofErr w:type="spellEnd"/>
      <w:r w:rsidRPr="0060519F">
        <w:t xml:space="preserve"> des</w:t>
      </w:r>
      <w:r w:rsidR="00E146D9">
        <w:t xml:space="preserve"> </w:t>
      </w:r>
      <w:proofErr w:type="spellStart"/>
      <w:r w:rsidRPr="0060519F">
        <w:t>modèles</w:t>
      </w:r>
      <w:proofErr w:type="spellEnd"/>
      <w:r w:rsidRPr="0060519F">
        <w:t xml:space="preserve"> de </w:t>
      </w:r>
      <w:proofErr w:type="spellStart"/>
      <w:r w:rsidRPr="0060519F">
        <w:t>communautés</w:t>
      </w:r>
      <w:proofErr w:type="spellEnd"/>
      <w:r w:rsidRPr="0060519F">
        <w:t xml:space="preserve"> </w:t>
      </w:r>
      <w:proofErr w:type="spellStart"/>
      <w:r w:rsidRPr="0060519F">
        <w:t>en</w:t>
      </w:r>
      <w:proofErr w:type="spellEnd"/>
      <w:r w:rsidRPr="0060519F">
        <w:t xml:space="preserve"> construction</w:t>
      </w:r>
      <w:r>
        <w:t>.</w:t>
      </w:r>
      <w:r w:rsidRPr="0060519F">
        <w:t xml:space="preserve"> </w:t>
      </w:r>
      <w:r w:rsidRPr="0060519F">
        <w:rPr>
          <w:i/>
          <w:iCs/>
        </w:rPr>
        <w:t xml:space="preserve">8e </w:t>
      </w:r>
      <w:proofErr w:type="spellStart"/>
      <w:r w:rsidRPr="0060519F">
        <w:rPr>
          <w:i/>
          <w:iCs/>
        </w:rPr>
        <w:t>Conférence</w:t>
      </w:r>
      <w:proofErr w:type="spellEnd"/>
      <w:r w:rsidRPr="0060519F">
        <w:rPr>
          <w:i/>
          <w:iCs/>
        </w:rPr>
        <w:t xml:space="preserve"> Document et Société - </w:t>
      </w:r>
      <w:r w:rsidRPr="0060519F">
        <w:rPr>
          <w:i/>
          <w:iCs/>
        </w:rPr>
        <w:tab/>
        <w:t>Communication</w:t>
      </w:r>
      <w:r w:rsidR="00E146D9">
        <w:rPr>
          <w:i/>
          <w:iCs/>
        </w:rPr>
        <w:t xml:space="preserve"> </w:t>
      </w:r>
      <w:proofErr w:type="spellStart"/>
      <w:r w:rsidRPr="0060519F">
        <w:rPr>
          <w:i/>
          <w:iCs/>
        </w:rPr>
        <w:t>scientifique</w:t>
      </w:r>
      <w:proofErr w:type="spellEnd"/>
      <w:r w:rsidRPr="0060519F">
        <w:rPr>
          <w:i/>
          <w:iCs/>
        </w:rPr>
        <w:t xml:space="preserve"> et science </w:t>
      </w:r>
      <w:proofErr w:type="gramStart"/>
      <w:r w:rsidRPr="0060519F">
        <w:rPr>
          <w:i/>
          <w:iCs/>
        </w:rPr>
        <w:t>ouverte</w:t>
      </w:r>
      <w:r w:rsidR="00E146D9">
        <w:rPr>
          <w:i/>
          <w:iCs/>
        </w:rPr>
        <w:t> </w:t>
      </w:r>
      <w:r w:rsidRPr="0060519F">
        <w:rPr>
          <w:i/>
          <w:iCs/>
        </w:rPr>
        <w:t>:</w:t>
      </w:r>
      <w:proofErr w:type="gramEnd"/>
      <w:r w:rsidRPr="0060519F">
        <w:rPr>
          <w:i/>
          <w:iCs/>
        </w:rPr>
        <w:t xml:space="preserve"> </w:t>
      </w:r>
      <w:proofErr w:type="spellStart"/>
      <w:r w:rsidRPr="0060519F">
        <w:rPr>
          <w:i/>
          <w:iCs/>
        </w:rPr>
        <w:t>opportunités</w:t>
      </w:r>
      <w:proofErr w:type="spellEnd"/>
      <w:r w:rsidRPr="0060519F">
        <w:rPr>
          <w:i/>
          <w:iCs/>
        </w:rPr>
        <w:t xml:space="preserve">, tensions et paradoxes, 23-24 </w:t>
      </w:r>
      <w:proofErr w:type="spellStart"/>
      <w:r w:rsidRPr="0060519F">
        <w:rPr>
          <w:i/>
          <w:iCs/>
        </w:rPr>
        <w:t>juin</w:t>
      </w:r>
      <w:proofErr w:type="spellEnd"/>
      <w:r w:rsidRPr="0060519F">
        <w:t xml:space="preserve"> </w:t>
      </w:r>
      <w:r w:rsidRPr="00E146D9">
        <w:rPr>
          <w:i/>
          <w:iCs/>
        </w:rPr>
        <w:t>2022, Liège</w:t>
      </w:r>
      <w:r w:rsidRPr="0060519F">
        <w:t>.</w:t>
      </w:r>
    </w:p>
    <w:p w14:paraId="2E091330" w14:textId="70E8F49E" w:rsidR="0060519F" w:rsidRPr="0060519F" w:rsidRDefault="0060519F" w:rsidP="0060519F">
      <w:pPr>
        <w:pStyle w:val="Bibliographie"/>
        <w:rPr>
          <w:rFonts w:cs="Times New Roman"/>
        </w:rPr>
      </w:pPr>
      <w:r w:rsidRPr="0060519F">
        <w:rPr>
          <w:rFonts w:cs="Times New Roman"/>
        </w:rPr>
        <w:t xml:space="preserve">Sauret, N. (2020). De la revue au </w:t>
      </w:r>
      <w:proofErr w:type="spellStart"/>
      <w:proofErr w:type="gramStart"/>
      <w:r w:rsidRPr="0060519F">
        <w:rPr>
          <w:rFonts w:cs="Times New Roman"/>
        </w:rPr>
        <w:t>collectif</w:t>
      </w:r>
      <w:proofErr w:type="spellEnd"/>
      <w:r w:rsidRPr="0060519F">
        <w:rPr>
          <w:rFonts w:cs="Times New Roman"/>
        </w:rPr>
        <w:t> :</w:t>
      </w:r>
      <w:proofErr w:type="gramEnd"/>
      <w:r w:rsidRPr="0060519F">
        <w:rPr>
          <w:rFonts w:cs="Times New Roman"/>
        </w:rPr>
        <w:t xml:space="preserve"> La conversation </w:t>
      </w:r>
      <w:proofErr w:type="spellStart"/>
      <w:r w:rsidRPr="0060519F">
        <w:rPr>
          <w:rFonts w:cs="Times New Roman"/>
        </w:rPr>
        <w:t>comme</w:t>
      </w:r>
      <w:proofErr w:type="spellEnd"/>
      <w:r w:rsidRPr="0060519F">
        <w:rPr>
          <w:rFonts w:cs="Times New Roman"/>
        </w:rPr>
        <w:t xml:space="preserve"> </w:t>
      </w:r>
      <w:proofErr w:type="spellStart"/>
      <w:r w:rsidRPr="0060519F">
        <w:rPr>
          <w:rFonts w:cs="Times New Roman"/>
        </w:rPr>
        <w:t>dispositif</w:t>
      </w:r>
      <w:proofErr w:type="spellEnd"/>
      <w:r w:rsidRPr="0060519F">
        <w:rPr>
          <w:rFonts w:cs="Times New Roman"/>
        </w:rPr>
        <w:t xml:space="preserve"> </w:t>
      </w:r>
      <w:proofErr w:type="spellStart"/>
      <w:r w:rsidRPr="0060519F">
        <w:rPr>
          <w:rFonts w:cs="Times New Roman"/>
        </w:rPr>
        <w:t>d’éditorialisation</w:t>
      </w:r>
      <w:proofErr w:type="spellEnd"/>
      <w:r w:rsidRPr="0060519F">
        <w:rPr>
          <w:rFonts w:cs="Times New Roman"/>
        </w:rPr>
        <w:t xml:space="preserve"> des </w:t>
      </w:r>
      <w:proofErr w:type="spellStart"/>
      <w:r w:rsidRPr="0060519F">
        <w:rPr>
          <w:rFonts w:cs="Times New Roman"/>
        </w:rPr>
        <w:t>communautés</w:t>
      </w:r>
      <w:proofErr w:type="spellEnd"/>
      <w:r w:rsidRPr="0060519F">
        <w:rPr>
          <w:rFonts w:cs="Times New Roman"/>
        </w:rPr>
        <w:t xml:space="preserve"> </w:t>
      </w:r>
      <w:proofErr w:type="spellStart"/>
      <w:r w:rsidRPr="0060519F">
        <w:rPr>
          <w:rFonts w:cs="Times New Roman"/>
        </w:rPr>
        <w:t>savantes</w:t>
      </w:r>
      <w:proofErr w:type="spellEnd"/>
      <w:r w:rsidRPr="0060519F">
        <w:rPr>
          <w:rFonts w:cs="Times New Roman"/>
        </w:rPr>
        <w:t xml:space="preserve"> </w:t>
      </w:r>
      <w:proofErr w:type="spellStart"/>
      <w:r w:rsidRPr="0060519F">
        <w:rPr>
          <w:rFonts w:cs="Times New Roman"/>
        </w:rPr>
        <w:t>en</w:t>
      </w:r>
      <w:proofErr w:type="spellEnd"/>
      <w:r w:rsidRPr="0060519F">
        <w:rPr>
          <w:rFonts w:cs="Times New Roman"/>
        </w:rPr>
        <w:t xml:space="preserve"> </w:t>
      </w:r>
      <w:proofErr w:type="spellStart"/>
      <w:r w:rsidRPr="0060519F">
        <w:rPr>
          <w:rFonts w:cs="Times New Roman"/>
        </w:rPr>
        <w:t>lettres</w:t>
      </w:r>
      <w:proofErr w:type="spellEnd"/>
      <w:r w:rsidRPr="0060519F">
        <w:rPr>
          <w:rFonts w:cs="Times New Roman"/>
        </w:rPr>
        <w:t xml:space="preserve"> et sciences </w:t>
      </w:r>
      <w:proofErr w:type="spellStart"/>
      <w:r w:rsidRPr="0060519F">
        <w:rPr>
          <w:rFonts w:cs="Times New Roman"/>
        </w:rPr>
        <w:t>humaines</w:t>
      </w:r>
      <w:proofErr w:type="spellEnd"/>
      <w:r w:rsidRPr="0060519F">
        <w:rPr>
          <w:rFonts w:cs="Times New Roman"/>
        </w:rPr>
        <w:t xml:space="preserve"> [</w:t>
      </w:r>
      <w:proofErr w:type="spellStart"/>
      <w:r w:rsidRPr="0060519F">
        <w:rPr>
          <w:rFonts w:cs="Times New Roman"/>
        </w:rPr>
        <w:t>Université</w:t>
      </w:r>
      <w:proofErr w:type="spellEnd"/>
      <w:r w:rsidRPr="0060519F">
        <w:rPr>
          <w:rFonts w:cs="Times New Roman"/>
        </w:rPr>
        <w:t xml:space="preserve"> de Montréal; Université Paris-Nanterre]. </w:t>
      </w:r>
      <w:hyperlink r:id="rId10" w:history="1">
        <w:r w:rsidR="00424C82" w:rsidRPr="00D33C1C">
          <w:rPr>
            <w:rStyle w:val="Lienhypertexte"/>
            <w:rFonts w:cs="Times New Roman"/>
          </w:rPr>
          <w:t>https://these.nicolassauret.net/</w:t>
        </w:r>
      </w:hyperlink>
      <w:r w:rsidR="00424C82">
        <w:rPr>
          <w:rFonts w:cs="Times New Roman"/>
        </w:rPr>
        <w:t xml:space="preserve"> </w:t>
      </w:r>
    </w:p>
    <w:p w14:paraId="2D31D189" w14:textId="77777777" w:rsidR="0060519F" w:rsidRPr="0060519F" w:rsidRDefault="0060519F" w:rsidP="0060519F">
      <w:pPr>
        <w:pStyle w:val="Bibliographie"/>
        <w:rPr>
          <w:rFonts w:cs="Times New Roman"/>
        </w:rPr>
      </w:pPr>
      <w:proofErr w:type="spellStart"/>
      <w:r w:rsidRPr="0060519F">
        <w:rPr>
          <w:rFonts w:cs="Times New Roman"/>
        </w:rPr>
        <w:t>Tesnière</w:t>
      </w:r>
      <w:proofErr w:type="spellEnd"/>
      <w:r w:rsidRPr="0060519F">
        <w:rPr>
          <w:rFonts w:cs="Times New Roman"/>
        </w:rPr>
        <w:t xml:space="preserve">, V. (2021). Au bureau de la revue. Une </w:t>
      </w:r>
      <w:proofErr w:type="spellStart"/>
      <w:r w:rsidRPr="0060519F">
        <w:rPr>
          <w:rFonts w:cs="Times New Roman"/>
        </w:rPr>
        <w:t>histoire</w:t>
      </w:r>
      <w:proofErr w:type="spellEnd"/>
      <w:r w:rsidRPr="0060519F">
        <w:rPr>
          <w:rFonts w:cs="Times New Roman"/>
        </w:rPr>
        <w:t xml:space="preserve"> de la publication </w:t>
      </w:r>
      <w:proofErr w:type="spellStart"/>
      <w:r w:rsidRPr="0060519F">
        <w:rPr>
          <w:rFonts w:cs="Times New Roman"/>
        </w:rPr>
        <w:t>scientifique</w:t>
      </w:r>
      <w:proofErr w:type="spellEnd"/>
      <w:r w:rsidRPr="0060519F">
        <w:rPr>
          <w:rFonts w:cs="Times New Roman"/>
        </w:rPr>
        <w:t xml:space="preserve"> (</w:t>
      </w:r>
      <w:proofErr w:type="spellStart"/>
      <w:r w:rsidRPr="0060519F">
        <w:rPr>
          <w:rFonts w:cs="Times New Roman"/>
        </w:rPr>
        <w:t>XIXe-XXe</w:t>
      </w:r>
      <w:proofErr w:type="spellEnd"/>
      <w:r w:rsidRPr="0060519F">
        <w:rPr>
          <w:rFonts w:cs="Times New Roman"/>
        </w:rPr>
        <w:t xml:space="preserve"> siècle). EHESS.</w:t>
      </w:r>
    </w:p>
    <w:sectPr w:rsidR="0060519F" w:rsidRPr="0060519F">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B2270" w14:textId="77777777" w:rsidR="00A2531E" w:rsidRDefault="00A2531E" w:rsidP="005E6079">
      <w:pPr>
        <w:spacing w:after="0" w:line="240" w:lineRule="auto"/>
      </w:pPr>
      <w:r>
        <w:separator/>
      </w:r>
    </w:p>
  </w:endnote>
  <w:endnote w:type="continuationSeparator" w:id="0">
    <w:p w14:paraId="73930AA2" w14:textId="77777777" w:rsidR="00A2531E" w:rsidRDefault="00A2531E" w:rsidP="005E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E86CD" w14:textId="77777777" w:rsidR="00A2531E" w:rsidRDefault="00A2531E" w:rsidP="005E6079">
      <w:pPr>
        <w:spacing w:after="0" w:line="240" w:lineRule="auto"/>
      </w:pPr>
      <w:r>
        <w:separator/>
      </w:r>
    </w:p>
  </w:footnote>
  <w:footnote w:type="continuationSeparator" w:id="0">
    <w:p w14:paraId="2898CB60" w14:textId="77777777" w:rsidR="00A2531E" w:rsidRDefault="00A2531E" w:rsidP="005E6079">
      <w:pPr>
        <w:spacing w:after="0" w:line="240" w:lineRule="auto"/>
      </w:pPr>
      <w:r>
        <w:continuationSeparator/>
      </w:r>
    </w:p>
  </w:footnote>
  <w:footnote w:id="1">
    <w:p w14:paraId="6B27836D" w14:textId="0FE54C4C" w:rsidR="00825334" w:rsidRPr="00FE73C7" w:rsidRDefault="00825334" w:rsidP="00211D3C">
      <w:pPr>
        <w:pStyle w:val="Notedebasdepage"/>
        <w:jc w:val="both"/>
        <w:rPr>
          <w:lang w:val="fr-BE"/>
        </w:rPr>
      </w:pPr>
      <w:r w:rsidRPr="004166B2">
        <w:rPr>
          <w:rStyle w:val="Appelnotedebasdep"/>
        </w:rPr>
        <w:footnoteRef/>
      </w:r>
      <w:r>
        <w:t xml:space="preserve"> </w:t>
      </w:r>
      <w:r>
        <w:rPr>
          <w:lang w:val="fr-BE"/>
        </w:rPr>
        <w:t>Il faudrait encore mentionner,</w:t>
      </w:r>
      <w:r>
        <w:rPr>
          <w:iCs/>
          <w:lang w:val="fr-BE"/>
        </w:rPr>
        <w:t xml:space="preserve"> dans ce paysage, l’émergence de nouveaux acteurs que sont les pôles éditoriaux, </w:t>
      </w:r>
      <w:r w:rsidRPr="00630A05">
        <w:rPr>
          <w:iCs/>
          <w:lang w:val="fr-BE"/>
        </w:rPr>
        <w:t>distincts des éditeurs scientifiques mais davantage liés aux institutions de recherche (p. ex. bibliothèques</w:t>
      </w:r>
      <w:r>
        <w:rPr>
          <w:iCs/>
          <w:lang w:val="fr-BE"/>
        </w:rPr>
        <w:t xml:space="preserve"> </w:t>
      </w:r>
      <w:r w:rsidRPr="00630A05">
        <w:rPr>
          <w:iCs/>
          <w:lang w:val="fr-BE"/>
        </w:rPr>
        <w:t xml:space="preserve">universitaires). Leurs missions se concentrent sur </w:t>
      </w:r>
      <w:proofErr w:type="spellStart"/>
      <w:r w:rsidRPr="00630A05">
        <w:rPr>
          <w:iCs/>
        </w:rPr>
        <w:t>l’hébergement</w:t>
      </w:r>
      <w:proofErr w:type="spellEnd"/>
      <w:r w:rsidRPr="00630A05">
        <w:rPr>
          <w:iCs/>
        </w:rPr>
        <w:t xml:space="preserve">, </w:t>
      </w:r>
      <w:proofErr w:type="spellStart"/>
      <w:r w:rsidRPr="00630A05">
        <w:rPr>
          <w:iCs/>
        </w:rPr>
        <w:t>l’accompagnement</w:t>
      </w:r>
      <w:proofErr w:type="spellEnd"/>
      <w:r w:rsidRPr="00630A05">
        <w:rPr>
          <w:iCs/>
        </w:rPr>
        <w:t xml:space="preserve">, la production et </w:t>
      </w:r>
      <w:proofErr w:type="gramStart"/>
      <w:r w:rsidRPr="00630A05">
        <w:rPr>
          <w:iCs/>
        </w:rPr>
        <w:t>la</w:t>
      </w:r>
      <w:proofErr w:type="gramEnd"/>
      <w:r w:rsidRPr="00A15693">
        <w:rPr>
          <w:iCs/>
        </w:rPr>
        <w:t xml:space="preserve"> recherche</w:t>
      </w:r>
      <w:r>
        <w:rPr>
          <w:iCs/>
        </w:rPr>
        <w:t>/</w:t>
      </w:r>
      <w:proofErr w:type="spellStart"/>
      <w:r w:rsidRPr="00A15693">
        <w:rPr>
          <w:iCs/>
        </w:rPr>
        <w:t>développement</w:t>
      </w:r>
      <w:proofErr w:type="spellEnd"/>
      <w:r>
        <w:rPr>
          <w:iCs/>
        </w:rPr>
        <w:t xml:space="preserve"> des revues </w:t>
      </w:r>
      <w:r w:rsidR="000020DB" w:rsidRPr="000020DB">
        <w:rPr>
          <w:rFonts w:cs="Times New Roman"/>
        </w:rPr>
        <w:t>(</w:t>
      </w:r>
      <w:proofErr w:type="spellStart"/>
      <w:r w:rsidR="000020DB" w:rsidRPr="000020DB">
        <w:rPr>
          <w:rFonts w:cs="Times New Roman"/>
        </w:rPr>
        <w:t>Aschehoug</w:t>
      </w:r>
      <w:proofErr w:type="spellEnd"/>
      <w:r w:rsidR="000020DB" w:rsidRPr="000020DB">
        <w:rPr>
          <w:rFonts w:cs="Times New Roman"/>
        </w:rPr>
        <w:t>, 2022)</w:t>
      </w:r>
      <w:r>
        <w:rPr>
          <w:iCs/>
        </w:rPr>
        <w:t>.</w:t>
      </w:r>
    </w:p>
  </w:footnote>
  <w:footnote w:id="2">
    <w:p w14:paraId="2302CE10" w14:textId="034BF840" w:rsidR="00825334" w:rsidRPr="00B26DE4" w:rsidRDefault="00825334" w:rsidP="00AC0F94">
      <w:pPr>
        <w:pStyle w:val="Notedebasdepage"/>
        <w:jc w:val="both"/>
        <w:rPr>
          <w:lang w:val="fr-FR"/>
        </w:rPr>
      </w:pPr>
      <w:r>
        <w:rPr>
          <w:rStyle w:val="Appelnotedebasdep"/>
        </w:rPr>
        <w:footnoteRef/>
      </w:r>
      <w:r>
        <w:t xml:space="preserve"> </w:t>
      </w:r>
      <w:r w:rsidRPr="00B26DE4">
        <w:t>"</w:t>
      </w:r>
      <w:proofErr w:type="spellStart"/>
      <w:r w:rsidRPr="00B26DE4">
        <w:t>Semblables</w:t>
      </w:r>
      <w:proofErr w:type="spellEnd"/>
      <w:r w:rsidRPr="00B26DE4">
        <w:t xml:space="preserve"> technologies </w:t>
      </w:r>
      <w:r>
        <w:t xml:space="preserve">[de </w:t>
      </w:r>
      <w:proofErr w:type="spellStart"/>
      <w:r>
        <w:t>l’édition</w:t>
      </w:r>
      <w:proofErr w:type="spellEnd"/>
      <w:r>
        <w:t xml:space="preserve"> </w:t>
      </w:r>
      <w:proofErr w:type="spellStart"/>
      <w:r>
        <w:t>numérique</w:t>
      </w:r>
      <w:proofErr w:type="spellEnd"/>
      <w:r>
        <w:t xml:space="preserve">] </w:t>
      </w:r>
      <w:r w:rsidRPr="00B26DE4">
        <w:t xml:space="preserve">nous </w:t>
      </w:r>
      <w:proofErr w:type="spellStart"/>
      <w:r w:rsidRPr="00B26DE4">
        <w:t>invitent</w:t>
      </w:r>
      <w:proofErr w:type="spellEnd"/>
      <w:r w:rsidRPr="00B26DE4">
        <w:t xml:space="preserve"> </w:t>
      </w:r>
      <w:proofErr w:type="spellStart"/>
      <w:r w:rsidRPr="00B26DE4">
        <w:t>ainsi</w:t>
      </w:r>
      <w:proofErr w:type="spellEnd"/>
      <w:r w:rsidRPr="00B26DE4">
        <w:t xml:space="preserve"> à </w:t>
      </w:r>
      <w:proofErr w:type="spellStart"/>
      <w:r w:rsidRPr="00B26DE4">
        <w:t>réviser</w:t>
      </w:r>
      <w:proofErr w:type="spellEnd"/>
      <w:r w:rsidRPr="00B26DE4">
        <w:t xml:space="preserve"> les </w:t>
      </w:r>
      <w:proofErr w:type="spellStart"/>
      <w:r w:rsidRPr="00B26DE4">
        <w:t>fondements</w:t>
      </w:r>
      <w:proofErr w:type="spellEnd"/>
      <w:r w:rsidRPr="00B26DE4">
        <w:t xml:space="preserve"> </w:t>
      </w:r>
      <w:proofErr w:type="spellStart"/>
      <w:r w:rsidRPr="00B26DE4">
        <w:t>même</w:t>
      </w:r>
      <w:proofErr w:type="spellEnd"/>
      <w:r w:rsidRPr="00B26DE4">
        <w:t xml:space="preserve"> de la publication, </w:t>
      </w:r>
      <w:proofErr w:type="spellStart"/>
      <w:r w:rsidRPr="00B26DE4">
        <w:t>mais</w:t>
      </w:r>
      <w:proofErr w:type="spellEnd"/>
      <w:r w:rsidRPr="00B26DE4">
        <w:t xml:space="preserve"> – et </w:t>
      </w:r>
      <w:proofErr w:type="spellStart"/>
      <w:r w:rsidRPr="00B26DE4">
        <w:t>c’est</w:t>
      </w:r>
      <w:proofErr w:type="spellEnd"/>
      <w:r w:rsidRPr="00B26DE4">
        <w:t xml:space="preserve"> le </w:t>
      </w:r>
      <w:proofErr w:type="spellStart"/>
      <w:r w:rsidRPr="00B26DE4">
        <w:t>paradoxe</w:t>
      </w:r>
      <w:proofErr w:type="spellEnd"/>
      <w:r w:rsidRPr="00B26DE4">
        <w:t xml:space="preserve"> – la diffusion </w:t>
      </w:r>
      <w:proofErr w:type="spellStart"/>
      <w:r w:rsidRPr="00B26DE4">
        <w:t>numérique</w:t>
      </w:r>
      <w:proofErr w:type="spellEnd"/>
      <w:r w:rsidRPr="00B26DE4">
        <w:t xml:space="preserve"> des sciences </w:t>
      </w:r>
      <w:proofErr w:type="spellStart"/>
      <w:r w:rsidRPr="00B26DE4">
        <w:t>humaines</w:t>
      </w:r>
      <w:proofErr w:type="spellEnd"/>
      <w:r w:rsidRPr="00B26DE4">
        <w:t xml:space="preserve"> et </w:t>
      </w:r>
      <w:proofErr w:type="spellStart"/>
      <w:r w:rsidRPr="00B26DE4">
        <w:t>sociales</w:t>
      </w:r>
      <w:proofErr w:type="spellEnd"/>
      <w:r w:rsidRPr="00B26DE4">
        <w:t xml:space="preserve"> </w:t>
      </w:r>
      <w:proofErr w:type="spellStart"/>
      <w:r w:rsidRPr="00B26DE4">
        <w:t>semble</w:t>
      </w:r>
      <w:proofErr w:type="spellEnd"/>
      <w:r w:rsidRPr="00B26DE4">
        <w:t xml:space="preserve"> </w:t>
      </w:r>
      <w:proofErr w:type="spellStart"/>
      <w:r w:rsidRPr="00B26DE4">
        <w:t>toutefois</w:t>
      </w:r>
      <w:proofErr w:type="spellEnd"/>
      <w:r w:rsidRPr="00B26DE4">
        <w:t xml:space="preserve"> </w:t>
      </w:r>
      <w:proofErr w:type="spellStart"/>
      <w:r w:rsidRPr="00B26DE4">
        <w:t>s’inscrire</w:t>
      </w:r>
      <w:proofErr w:type="spellEnd"/>
      <w:r w:rsidRPr="00B26DE4">
        <w:t xml:space="preserve"> dans un </w:t>
      </w:r>
      <w:proofErr w:type="spellStart"/>
      <w:r w:rsidRPr="00B26DE4">
        <w:t>espace</w:t>
      </w:r>
      <w:proofErr w:type="spellEnd"/>
      <w:r w:rsidRPr="00B26DE4">
        <w:t xml:space="preserve"> se </w:t>
      </w:r>
      <w:proofErr w:type="spellStart"/>
      <w:r w:rsidRPr="00B26DE4">
        <w:t>réclamant</w:t>
      </w:r>
      <w:proofErr w:type="spellEnd"/>
      <w:r w:rsidRPr="00B26DE4">
        <w:t xml:space="preserve"> du papier."</w:t>
      </w:r>
      <w:r w:rsidR="00AE5A18">
        <w:t xml:space="preserve"> </w:t>
      </w:r>
      <w:r w:rsidR="000020DB" w:rsidRPr="000020DB">
        <w:rPr>
          <w:rFonts w:cs="Times New Roman"/>
        </w:rPr>
        <w:t>(</w:t>
      </w:r>
      <w:proofErr w:type="spellStart"/>
      <w:r w:rsidR="000020DB" w:rsidRPr="000020DB">
        <w:rPr>
          <w:rFonts w:cs="Times New Roman"/>
        </w:rPr>
        <w:t>Berthou</w:t>
      </w:r>
      <w:proofErr w:type="spellEnd"/>
      <w:r w:rsidR="000020DB" w:rsidRPr="000020DB">
        <w:rPr>
          <w:rFonts w:cs="Times New Roman"/>
        </w:rPr>
        <w:t xml:space="preserve">, 2009, </w:t>
      </w:r>
      <w:proofErr w:type="spellStart"/>
      <w:r w:rsidR="000020DB" w:rsidRPr="000020DB">
        <w:rPr>
          <w:rFonts w:cs="Times New Roman"/>
        </w:rPr>
        <w:t>paragr</w:t>
      </w:r>
      <w:proofErr w:type="spellEnd"/>
      <w:r w:rsidR="000020DB" w:rsidRPr="000020DB">
        <w:rPr>
          <w:rFonts w:cs="Times New Roman"/>
        </w:rPr>
        <w:t>. 2)</w:t>
      </w:r>
      <w:r w:rsidR="00AE5A18">
        <w:t>.</w:t>
      </w:r>
    </w:p>
  </w:footnote>
  <w:footnote w:id="3">
    <w:p w14:paraId="3398D6FD" w14:textId="31D14D91" w:rsidR="00825334" w:rsidRPr="00927089" w:rsidRDefault="00825334">
      <w:pPr>
        <w:pStyle w:val="Notedebasdepage"/>
        <w:rPr>
          <w:lang w:val="fr-BE"/>
        </w:rPr>
      </w:pPr>
      <w:r w:rsidRPr="004166B2">
        <w:rPr>
          <w:rStyle w:val="Appelnotedebasdep"/>
        </w:rPr>
        <w:footnoteRef/>
      </w:r>
      <w:r>
        <w:t xml:space="preserve"> </w:t>
      </w:r>
      <w:r>
        <w:rPr>
          <w:lang w:val="fr-BE"/>
        </w:rPr>
        <w:t xml:space="preserve">On trouvera une page d’explication à ce sujet dans une interview donnée par l’équipe éditoriale de la revue </w:t>
      </w:r>
      <w:r>
        <w:rPr>
          <w:i/>
          <w:iCs/>
          <w:lang w:val="fr-BE"/>
        </w:rPr>
        <w:t>Sens Public</w:t>
      </w:r>
      <w:r>
        <w:rPr>
          <w:lang w:val="fr-BE"/>
        </w:rPr>
        <w:t xml:space="preserve"> sur le blog de la plateforme </w:t>
      </w:r>
      <w:r>
        <w:rPr>
          <w:i/>
          <w:iCs/>
          <w:lang w:val="fr-BE"/>
        </w:rPr>
        <w:t>Érudit</w:t>
      </w:r>
      <w:r>
        <w:rPr>
          <w:lang w:val="fr-BE"/>
        </w:rPr>
        <w:t xml:space="preserve"> </w:t>
      </w:r>
      <w:r w:rsidR="000020DB" w:rsidRPr="000020DB">
        <w:rPr>
          <w:rFonts w:cs="Times New Roman"/>
          <w:szCs w:val="24"/>
        </w:rPr>
        <w:t>(</w:t>
      </w:r>
      <w:proofErr w:type="spellStart"/>
      <w:r w:rsidR="000020DB" w:rsidRPr="000020DB">
        <w:rPr>
          <w:rFonts w:cs="Times New Roman"/>
          <w:szCs w:val="24"/>
        </w:rPr>
        <w:t>Érudit</w:t>
      </w:r>
      <w:proofErr w:type="spellEnd"/>
      <w:r w:rsidR="000020DB" w:rsidRPr="000020DB">
        <w:rPr>
          <w:rFonts w:cs="Times New Roman"/>
          <w:szCs w:val="24"/>
        </w:rPr>
        <w:t xml:space="preserve"> &amp; Sens Public, 2022)</w:t>
      </w:r>
      <w:r>
        <w:rPr>
          <w:lang w:val="fr-BE"/>
        </w:rPr>
        <w:t>.</w:t>
      </w:r>
    </w:p>
  </w:footnote>
  <w:footnote w:id="4">
    <w:p w14:paraId="19715A71" w14:textId="412D77AB" w:rsidR="00825334" w:rsidRPr="00024F95" w:rsidRDefault="00825334">
      <w:pPr>
        <w:pStyle w:val="Notedebasdepage"/>
        <w:rPr>
          <w:lang w:val="fr-BE"/>
        </w:rPr>
      </w:pPr>
      <w:r w:rsidRPr="004166B2">
        <w:rPr>
          <w:rStyle w:val="Appelnotedebasdep"/>
        </w:rPr>
        <w:footnoteRef/>
      </w:r>
      <w:r>
        <w:t xml:space="preserve"> </w:t>
      </w:r>
      <w:r>
        <w:rPr>
          <w:lang w:val="fr-BE"/>
        </w:rPr>
        <w:t>Source : Rapport d’activités d’</w:t>
      </w:r>
      <w:r w:rsidRPr="00E32DCF">
        <w:rPr>
          <w:i/>
          <w:lang w:val="fr-BE"/>
        </w:rPr>
        <w:t>O</w:t>
      </w:r>
      <w:r w:rsidR="00E32DCF" w:rsidRPr="00E32DCF">
        <w:rPr>
          <w:i/>
          <w:lang w:val="fr-BE"/>
        </w:rPr>
        <w:t>E</w:t>
      </w:r>
      <w:r>
        <w:rPr>
          <w:lang w:val="fr-BE"/>
        </w:rPr>
        <w:t xml:space="preserve"> pour l’année 2020, </w:t>
      </w:r>
      <w:hyperlink r:id="rId1" w:history="1">
        <w:r w:rsidRPr="002B069A">
          <w:rPr>
            <w:rStyle w:val="Lienhypertexte"/>
            <w:lang w:val="fr-BE"/>
          </w:rPr>
          <w:t>https://www.openedition.org/34701?file=1</w:t>
        </w:r>
      </w:hyperlink>
      <w:r>
        <w:rPr>
          <w:lang w:val="fr-BE"/>
        </w:rPr>
        <w:t xml:space="preserve">. </w:t>
      </w:r>
    </w:p>
  </w:footnote>
  <w:footnote w:id="5">
    <w:p w14:paraId="38C2EC74" w14:textId="77777777" w:rsidR="00825334" w:rsidRPr="00603247" w:rsidRDefault="00825334" w:rsidP="005E6079">
      <w:pPr>
        <w:pStyle w:val="Notedebasdepage"/>
        <w:rPr>
          <w:lang w:val="fr-BE"/>
        </w:rPr>
      </w:pPr>
      <w:r w:rsidRPr="004166B2">
        <w:rPr>
          <w:rStyle w:val="Appelnotedebasdep"/>
        </w:rPr>
        <w:footnoteRef/>
      </w:r>
      <w:r w:rsidRPr="00227FF9">
        <w:rPr>
          <w:lang w:val="fr-BE"/>
        </w:rPr>
        <w:t xml:space="preserve"> </w:t>
      </w:r>
      <w:r>
        <w:rPr>
          <w:lang w:val="fr-BE"/>
        </w:rPr>
        <w:t xml:space="preserve">L’orientation de ce projet est définie sur le blog </w:t>
      </w:r>
      <w:hyperlink r:id="rId2" w:history="1">
        <w:r w:rsidRPr="0049676D">
          <w:rPr>
            <w:rStyle w:val="Lienhypertexte"/>
            <w:lang w:val="fr-BE"/>
          </w:rPr>
          <w:t>https://metacarnet.hypotheses.org/</w:t>
        </w:r>
      </w:hyperlink>
      <w:r>
        <w:rPr>
          <w:rStyle w:val="Lienhypertexte"/>
          <w:lang w:val="fr-BE"/>
        </w:rPr>
        <w:t>.</w:t>
      </w:r>
      <w:r>
        <w:rPr>
          <w:lang w:val="fr-BE"/>
        </w:rPr>
        <w:t xml:space="preserve"> </w:t>
      </w:r>
    </w:p>
  </w:footnote>
  <w:footnote w:id="6">
    <w:p w14:paraId="28F5E1A7" w14:textId="0616F5BC" w:rsidR="00825334" w:rsidRPr="00833597" w:rsidRDefault="00825334" w:rsidP="00AC0F94">
      <w:pPr>
        <w:pStyle w:val="Notedebasdepage"/>
        <w:jc w:val="both"/>
        <w:rPr>
          <w:lang w:val="fr-BE"/>
        </w:rPr>
      </w:pPr>
      <w:r w:rsidRPr="004166B2">
        <w:rPr>
          <w:rStyle w:val="Appelnotedebasdep"/>
        </w:rPr>
        <w:footnoteRef/>
      </w:r>
      <w:r w:rsidRPr="00833597">
        <w:rPr>
          <w:lang w:val="fr-BE"/>
        </w:rPr>
        <w:t xml:space="preserve"> </w:t>
      </w:r>
      <w:r>
        <w:rPr>
          <w:lang w:val="fr-BE"/>
        </w:rPr>
        <w:t>Nous remercions les équipes d’</w:t>
      </w:r>
      <w:r w:rsidRPr="00901D31">
        <w:rPr>
          <w:i/>
          <w:lang w:val="fr-BE"/>
        </w:rPr>
        <w:t>O</w:t>
      </w:r>
      <w:r w:rsidR="00E32DCF">
        <w:rPr>
          <w:i/>
          <w:lang w:val="fr-BE"/>
        </w:rPr>
        <w:t>E</w:t>
      </w:r>
      <w:r>
        <w:rPr>
          <w:lang w:val="fr-BE"/>
        </w:rPr>
        <w:t xml:space="preserve"> pour la mise à disposition des données. Celles-ci ont fait l’objet d’un travail de traitement dans le cadre du projet HYCAR, financé par le GIS « Réseau des URFIST » Il faut noter que ces données, composées des textes publiés par les carnetiers, n’intègrent pas les commentaires.</w:t>
      </w:r>
    </w:p>
  </w:footnote>
  <w:footnote w:id="7">
    <w:p w14:paraId="4273C2B4" w14:textId="4C0F1886" w:rsidR="00825334" w:rsidRPr="00FA6746" w:rsidRDefault="00825334" w:rsidP="00AC0F94">
      <w:pPr>
        <w:pStyle w:val="Notedebasdepage"/>
        <w:jc w:val="both"/>
        <w:rPr>
          <w:lang w:val="fr-FR"/>
        </w:rPr>
      </w:pPr>
      <w:r>
        <w:rPr>
          <w:rStyle w:val="Appelnotedebasdep"/>
        </w:rPr>
        <w:footnoteRef/>
      </w:r>
      <w:r>
        <w:t xml:space="preserve"> </w:t>
      </w:r>
      <w:r w:rsidRPr="00FA6746">
        <w:t xml:space="preserve">A </w:t>
      </w:r>
      <w:proofErr w:type="spellStart"/>
      <w:r w:rsidRPr="00FA6746">
        <w:t>cet</w:t>
      </w:r>
      <w:proofErr w:type="spellEnd"/>
      <w:r w:rsidRPr="00FA6746">
        <w:t xml:space="preserve"> </w:t>
      </w:r>
      <w:proofErr w:type="spellStart"/>
      <w:r w:rsidRPr="00FA6746">
        <w:t>égard</w:t>
      </w:r>
      <w:proofErr w:type="spellEnd"/>
      <w:r w:rsidRPr="00FA6746">
        <w:t xml:space="preserve">, nous </w:t>
      </w:r>
      <w:proofErr w:type="spellStart"/>
      <w:r w:rsidRPr="00FA6746">
        <w:t>n'avons</w:t>
      </w:r>
      <w:proofErr w:type="spellEnd"/>
      <w:r w:rsidRPr="00FA6746">
        <w:t xml:space="preserve"> pas </w:t>
      </w:r>
      <w:proofErr w:type="spellStart"/>
      <w:r w:rsidRPr="00FA6746">
        <w:t>pris</w:t>
      </w:r>
      <w:proofErr w:type="spellEnd"/>
      <w:r w:rsidRPr="00FA6746">
        <w:t xml:space="preserve"> </w:t>
      </w:r>
      <w:proofErr w:type="spellStart"/>
      <w:r w:rsidRPr="00FA6746">
        <w:t>en</w:t>
      </w:r>
      <w:proofErr w:type="spellEnd"/>
      <w:r w:rsidRPr="00FA6746">
        <w:t xml:space="preserve"> </w:t>
      </w:r>
      <w:proofErr w:type="spellStart"/>
      <w:r w:rsidRPr="00FA6746">
        <w:t>considération</w:t>
      </w:r>
      <w:proofErr w:type="spellEnd"/>
      <w:r w:rsidRPr="00FA6746">
        <w:t xml:space="preserve"> le </w:t>
      </w:r>
      <w:r w:rsidRPr="00FA6746">
        <w:rPr>
          <w:i/>
        </w:rPr>
        <w:t>Carnet de [</w:t>
      </w:r>
      <w:r w:rsidRPr="00FA6746">
        <w:t>Vertig</w:t>
      </w:r>
      <w:r w:rsidRPr="00FA6746">
        <w:rPr>
          <w:i/>
        </w:rPr>
        <w:t>o],</w:t>
      </w:r>
      <w:r w:rsidRPr="00FA6746">
        <w:t xml:space="preserve"> le dernier post </w:t>
      </w:r>
      <w:proofErr w:type="spellStart"/>
      <w:r>
        <w:t>ayant</w:t>
      </w:r>
      <w:proofErr w:type="spellEnd"/>
      <w:r>
        <w:t xml:space="preserve"> </w:t>
      </w:r>
      <w:proofErr w:type="spellStart"/>
      <w:r>
        <w:t>été</w:t>
      </w:r>
      <w:proofErr w:type="spellEnd"/>
      <w:r>
        <w:t xml:space="preserve"> </w:t>
      </w:r>
      <w:proofErr w:type="spellStart"/>
      <w:r>
        <w:t>publié</w:t>
      </w:r>
      <w:proofErr w:type="spellEnd"/>
      <w:r>
        <w:t xml:space="preserve"> </w:t>
      </w:r>
      <w:proofErr w:type="spellStart"/>
      <w:r>
        <w:t>en</w:t>
      </w:r>
      <w:proofErr w:type="spellEnd"/>
      <w:r>
        <w:t xml:space="preserve"> date du </w:t>
      </w:r>
      <w:r w:rsidRPr="00FA6746">
        <w:t xml:space="preserve">20 </w:t>
      </w:r>
      <w:proofErr w:type="spellStart"/>
      <w:r w:rsidRPr="00FA6746">
        <w:t>avril</w:t>
      </w:r>
      <w:proofErr w:type="spellEnd"/>
      <w:r w:rsidRPr="00FA6746">
        <w:t xml:space="preserve"> 2017</w:t>
      </w:r>
      <w:r>
        <w:t xml:space="preserve">, malgré la publication </w:t>
      </w:r>
      <w:proofErr w:type="spellStart"/>
      <w:r>
        <w:t>d’</w:t>
      </w:r>
      <w:r w:rsidRPr="00FA6746">
        <w:t>une</w:t>
      </w:r>
      <w:proofErr w:type="spellEnd"/>
      <w:r w:rsidRPr="00FA6746">
        <w:t xml:space="preserve"> </w:t>
      </w:r>
      <w:proofErr w:type="spellStart"/>
      <w:r>
        <w:t>annonce</w:t>
      </w:r>
      <w:proofErr w:type="spellEnd"/>
      <w:r w:rsidRPr="00FA6746">
        <w:t xml:space="preserve"> le 3 </w:t>
      </w:r>
      <w:proofErr w:type="spellStart"/>
      <w:r w:rsidRPr="00FA6746">
        <w:t>septembre</w:t>
      </w:r>
      <w:proofErr w:type="spellEnd"/>
      <w:r w:rsidRPr="00FA6746">
        <w:t xml:space="preserve"> 2021.</w:t>
      </w:r>
    </w:p>
  </w:footnote>
  <w:footnote w:id="8">
    <w:p w14:paraId="4E1651D1" w14:textId="3FC2B44B" w:rsidR="00ED6C92" w:rsidRPr="00ED6C92" w:rsidRDefault="00ED6C92" w:rsidP="00AC0F94">
      <w:pPr>
        <w:pStyle w:val="Notedebasdepage"/>
        <w:jc w:val="both"/>
        <w:rPr>
          <w:lang w:val="fr-FR"/>
        </w:rPr>
      </w:pPr>
      <w:r>
        <w:rPr>
          <w:rStyle w:val="Appelnotedebasdep"/>
        </w:rPr>
        <w:footnoteRef/>
      </w:r>
      <w:r>
        <w:t xml:space="preserve"> </w:t>
      </w:r>
      <w:r>
        <w:rPr>
          <w:lang w:val="fr-FR"/>
        </w:rPr>
        <w:t>Voir le fichier annexe qui liste ces 37 carnets ainsi qu’une partie des informations collectées</w:t>
      </w:r>
      <w:r w:rsidR="003769CA">
        <w:rPr>
          <w:lang w:val="fr-FR"/>
        </w:rPr>
        <w:t xml:space="preserve"> : </w:t>
      </w:r>
      <w:r w:rsidR="003769CA">
        <w:rPr>
          <w:rStyle w:val="ng-binding"/>
        </w:rPr>
        <w:t xml:space="preserve">Ingrid Mayeur, &amp; Annaïg Mahé. (2022). </w:t>
      </w:r>
      <w:proofErr w:type="spellStart"/>
      <w:r w:rsidR="003769CA">
        <w:rPr>
          <w:rStyle w:val="ng-binding"/>
        </w:rPr>
        <w:t>Annexe</w:t>
      </w:r>
      <w:proofErr w:type="spellEnd"/>
      <w:r w:rsidR="003769CA">
        <w:rPr>
          <w:rStyle w:val="ng-binding"/>
        </w:rPr>
        <w:t xml:space="preserve"> — </w:t>
      </w:r>
      <w:r w:rsidR="003769CA" w:rsidRPr="003769CA">
        <w:rPr>
          <w:rStyle w:val="ng-binding"/>
          <w:i/>
          <w:iCs/>
        </w:rPr>
        <w:t xml:space="preserve">Les carnets </w:t>
      </w:r>
      <w:proofErr w:type="spellStart"/>
      <w:r w:rsidR="003769CA" w:rsidRPr="003769CA">
        <w:rPr>
          <w:rStyle w:val="ng-binding"/>
          <w:i/>
          <w:iCs/>
        </w:rPr>
        <w:t>d'accompagnement</w:t>
      </w:r>
      <w:proofErr w:type="spellEnd"/>
      <w:r w:rsidR="003769CA" w:rsidRPr="003769CA">
        <w:rPr>
          <w:rStyle w:val="ng-binding"/>
          <w:i/>
          <w:iCs/>
        </w:rPr>
        <w:t xml:space="preserve"> des revues sur </w:t>
      </w:r>
      <w:proofErr w:type="gramStart"/>
      <w:r w:rsidR="003769CA" w:rsidRPr="003769CA">
        <w:rPr>
          <w:rStyle w:val="ng-binding"/>
          <w:i/>
          <w:iCs/>
        </w:rPr>
        <w:t>Hypotheses.org :</w:t>
      </w:r>
      <w:proofErr w:type="gramEnd"/>
      <w:r w:rsidR="003769CA" w:rsidRPr="003769CA">
        <w:rPr>
          <w:rStyle w:val="ng-binding"/>
          <w:i/>
          <w:iCs/>
        </w:rPr>
        <w:t xml:space="preserve"> Rapports de </w:t>
      </w:r>
      <w:proofErr w:type="spellStart"/>
      <w:r w:rsidR="003769CA" w:rsidRPr="003769CA">
        <w:rPr>
          <w:rStyle w:val="ng-binding"/>
          <w:i/>
          <w:iCs/>
        </w:rPr>
        <w:t>complémentarité</w:t>
      </w:r>
      <w:proofErr w:type="spellEnd"/>
      <w:r w:rsidR="003769CA" w:rsidRPr="003769CA">
        <w:rPr>
          <w:rStyle w:val="ng-binding"/>
          <w:i/>
          <w:iCs/>
        </w:rPr>
        <w:t xml:space="preserve"> et </w:t>
      </w:r>
      <w:proofErr w:type="spellStart"/>
      <w:r w:rsidR="003769CA" w:rsidRPr="003769CA">
        <w:rPr>
          <w:rStyle w:val="ng-binding"/>
          <w:i/>
          <w:iCs/>
        </w:rPr>
        <w:t>logiques</w:t>
      </w:r>
      <w:proofErr w:type="spellEnd"/>
      <w:r w:rsidR="003769CA" w:rsidRPr="003769CA">
        <w:rPr>
          <w:rStyle w:val="ng-binding"/>
          <w:i/>
          <w:iCs/>
        </w:rPr>
        <w:t xml:space="preserve"> </w:t>
      </w:r>
      <w:proofErr w:type="spellStart"/>
      <w:r w:rsidR="003769CA" w:rsidRPr="003769CA">
        <w:rPr>
          <w:rStyle w:val="ng-binding"/>
          <w:i/>
          <w:iCs/>
        </w:rPr>
        <w:t>éditoriales</w:t>
      </w:r>
      <w:proofErr w:type="spellEnd"/>
      <w:r w:rsidR="003769CA" w:rsidRPr="003769CA">
        <w:rPr>
          <w:rStyle w:val="ng-binding"/>
          <w:i/>
          <w:iCs/>
        </w:rPr>
        <w:t xml:space="preserve"> [Data set]. </w:t>
      </w:r>
      <w:proofErr w:type="spellStart"/>
      <w:r w:rsidR="003769CA" w:rsidRPr="003769CA">
        <w:rPr>
          <w:rStyle w:val="ng-binding"/>
          <w:i/>
          <w:iCs/>
        </w:rPr>
        <w:t>Zenodo</w:t>
      </w:r>
      <w:proofErr w:type="spellEnd"/>
      <w:r w:rsidR="003769CA">
        <w:rPr>
          <w:rStyle w:val="ng-binding"/>
        </w:rPr>
        <w:t>. https://doi.org/10.5281/zenodo.6682134</w:t>
      </w:r>
      <w:r>
        <w:rPr>
          <w:lang w:val="fr-FR"/>
        </w:rPr>
        <w:t>.</w:t>
      </w:r>
    </w:p>
  </w:footnote>
  <w:footnote w:id="9">
    <w:p w14:paraId="7C01723E" w14:textId="5AF93221" w:rsidR="00825334" w:rsidRPr="0084093B" w:rsidRDefault="00825334" w:rsidP="00386DA3">
      <w:pPr>
        <w:pStyle w:val="Notedebasdepage"/>
      </w:pPr>
      <w:r w:rsidRPr="004166B2">
        <w:rPr>
          <w:rStyle w:val="Appelnotedebasdep"/>
        </w:rPr>
        <w:footnoteRef/>
      </w:r>
      <w:r w:rsidRPr="0084093B">
        <w:t xml:space="preserve"> </w:t>
      </w:r>
      <w:proofErr w:type="spellStart"/>
      <w:r w:rsidRPr="0084093B">
        <w:t>Mais</w:t>
      </w:r>
      <w:proofErr w:type="spellEnd"/>
      <w:r w:rsidRPr="0084093B">
        <w:t xml:space="preserve"> </w:t>
      </w:r>
      <w:proofErr w:type="spellStart"/>
      <w:r w:rsidRPr="0084093B">
        <w:t>aussi</w:t>
      </w:r>
      <w:proofErr w:type="spellEnd"/>
      <w:r w:rsidRPr="0084093B">
        <w:t xml:space="preserve">, par </w:t>
      </w:r>
      <w:proofErr w:type="spellStart"/>
      <w:r w:rsidRPr="0084093B">
        <w:t>exemple</w:t>
      </w:r>
      <w:proofErr w:type="spellEnd"/>
      <w:r w:rsidRPr="0084093B">
        <w:t xml:space="preserve">, la </w:t>
      </w:r>
      <w:proofErr w:type="spellStart"/>
      <w:r w:rsidRPr="0084093B">
        <w:t>diversité</w:t>
      </w:r>
      <w:proofErr w:type="spellEnd"/>
      <w:r w:rsidRPr="0084093B">
        <w:t xml:space="preserve"> des </w:t>
      </w:r>
      <w:proofErr w:type="spellStart"/>
      <w:r w:rsidRPr="0084093B">
        <w:t>profils</w:t>
      </w:r>
      <w:proofErr w:type="spellEnd"/>
      <w:r w:rsidRPr="0084093B">
        <w:t xml:space="preserve"> au sein du </w:t>
      </w:r>
      <w:proofErr w:type="spellStart"/>
      <w:r w:rsidRPr="0084093B">
        <w:t>comité</w:t>
      </w:r>
      <w:proofErr w:type="spellEnd"/>
      <w:r w:rsidRPr="0084093B">
        <w:t xml:space="preserve"> </w:t>
      </w:r>
      <w:proofErr w:type="gramStart"/>
      <w:r w:rsidR="00970700">
        <w:t>editorial </w:t>
      </w:r>
      <w:r w:rsidRPr="0084093B">
        <w:t>;</w:t>
      </w:r>
      <w:proofErr w:type="gramEnd"/>
      <w:r w:rsidRPr="0084093B">
        <w:t xml:space="preserve"> </w:t>
      </w:r>
      <w:r>
        <w:t>l</w:t>
      </w:r>
      <w:r w:rsidRPr="0084093B">
        <w:t xml:space="preserve">es revues de </w:t>
      </w:r>
      <w:proofErr w:type="spellStart"/>
      <w:r w:rsidRPr="0084093B">
        <w:t>doctorants</w:t>
      </w:r>
      <w:proofErr w:type="spellEnd"/>
      <w:r w:rsidRPr="0084093B">
        <w:t xml:space="preserve"> </w:t>
      </w:r>
      <w:proofErr w:type="spellStart"/>
      <w:r w:rsidRPr="0084093B">
        <w:t>ou</w:t>
      </w:r>
      <w:proofErr w:type="spellEnd"/>
      <w:r w:rsidRPr="0084093B">
        <w:t xml:space="preserve"> de </w:t>
      </w:r>
      <w:proofErr w:type="spellStart"/>
      <w:r w:rsidRPr="0084093B">
        <w:t>jeunes</w:t>
      </w:r>
      <w:proofErr w:type="spellEnd"/>
      <w:r w:rsidRPr="0084093B">
        <w:t xml:space="preserve"> </w:t>
      </w:r>
      <w:proofErr w:type="spellStart"/>
      <w:r w:rsidRPr="0084093B">
        <w:t>chercheurs</w:t>
      </w:r>
      <w:proofErr w:type="spellEnd"/>
      <w:r w:rsidRPr="0084093B">
        <w:t xml:space="preserve">, qui ne </w:t>
      </w:r>
      <w:proofErr w:type="spellStart"/>
      <w:r w:rsidRPr="0084093B">
        <w:t>peuvent</w:t>
      </w:r>
      <w:proofErr w:type="spellEnd"/>
      <w:r w:rsidRPr="0084093B">
        <w:t xml:space="preserve"> de </w:t>
      </w:r>
      <w:proofErr w:type="spellStart"/>
      <w:r w:rsidRPr="0084093B">
        <w:t>ce</w:t>
      </w:r>
      <w:proofErr w:type="spellEnd"/>
      <w:r w:rsidRPr="0084093B">
        <w:t xml:space="preserve"> fait </w:t>
      </w:r>
      <w:proofErr w:type="spellStart"/>
      <w:r w:rsidRPr="0084093B">
        <w:t>être</w:t>
      </w:r>
      <w:proofErr w:type="spellEnd"/>
      <w:r w:rsidRPr="0084093B">
        <w:t xml:space="preserve"> </w:t>
      </w:r>
      <w:proofErr w:type="spellStart"/>
      <w:r w:rsidRPr="0084093B">
        <w:t>acceptées</w:t>
      </w:r>
      <w:proofErr w:type="spellEnd"/>
      <w:r w:rsidRPr="0084093B">
        <w:t xml:space="preserve">. </w:t>
      </w:r>
      <w:proofErr w:type="spellStart"/>
      <w:r w:rsidRPr="0084093B">
        <w:t>L’ensemble</w:t>
      </w:r>
      <w:proofErr w:type="spellEnd"/>
      <w:r w:rsidRPr="0084093B">
        <w:t xml:space="preserve"> des </w:t>
      </w:r>
      <w:proofErr w:type="spellStart"/>
      <w:r w:rsidRPr="0084093B">
        <w:t>critères</w:t>
      </w:r>
      <w:proofErr w:type="spellEnd"/>
      <w:r w:rsidRPr="0084093B">
        <w:t xml:space="preserve"> </w:t>
      </w:r>
      <w:proofErr w:type="spellStart"/>
      <w:r w:rsidRPr="0084093B">
        <w:t>nécessaires</w:t>
      </w:r>
      <w:proofErr w:type="spellEnd"/>
      <w:r w:rsidRPr="0084093B">
        <w:t xml:space="preserve"> à </w:t>
      </w:r>
      <w:proofErr w:type="spellStart"/>
      <w:r w:rsidRPr="0084093B">
        <w:t>l’acceptation</w:t>
      </w:r>
      <w:proofErr w:type="spellEnd"/>
      <w:r w:rsidRPr="0084093B">
        <w:t xml:space="preserve"> d’un dossier de candidature sur </w:t>
      </w:r>
      <w:r w:rsidRPr="0084093B">
        <w:rPr>
          <w:i/>
        </w:rPr>
        <w:t>O</w:t>
      </w:r>
      <w:r w:rsidR="00606CA6">
        <w:rPr>
          <w:i/>
        </w:rPr>
        <w:t>E</w:t>
      </w:r>
      <w:r>
        <w:rPr>
          <w:i/>
        </w:rPr>
        <w:t> </w:t>
      </w:r>
      <w:r w:rsidRPr="0084093B">
        <w:rPr>
          <w:i/>
        </w:rPr>
        <w:t>Journals</w:t>
      </w:r>
      <w:r w:rsidRPr="0084093B">
        <w:t xml:space="preserve"> </w:t>
      </w:r>
      <w:proofErr w:type="spellStart"/>
      <w:r w:rsidRPr="0084093B">
        <w:t>est</w:t>
      </w:r>
      <w:proofErr w:type="spellEnd"/>
      <w:r w:rsidRPr="0084093B">
        <w:t xml:space="preserve"> </w:t>
      </w:r>
      <w:proofErr w:type="spellStart"/>
      <w:r w:rsidRPr="0084093B">
        <w:t>décrit</w:t>
      </w:r>
      <w:proofErr w:type="spellEnd"/>
      <w:r w:rsidRPr="0084093B">
        <w:t xml:space="preserve"> dans </w:t>
      </w:r>
      <w:proofErr w:type="spellStart"/>
      <w:r w:rsidRPr="0084093B">
        <w:t>l’article</w:t>
      </w:r>
      <w:proofErr w:type="spellEnd"/>
      <w:r w:rsidRPr="0084093B">
        <w:t xml:space="preserve"> « </w:t>
      </w:r>
      <w:proofErr w:type="spellStart"/>
      <w:r w:rsidRPr="0084093B">
        <w:t>Candidater</w:t>
      </w:r>
      <w:proofErr w:type="spellEnd"/>
      <w:r w:rsidRPr="0084093B">
        <w:t xml:space="preserve"> pour </w:t>
      </w:r>
      <w:proofErr w:type="spellStart"/>
      <w:r w:rsidRPr="0084093B">
        <w:t>une</w:t>
      </w:r>
      <w:proofErr w:type="spellEnd"/>
      <w:r w:rsidRPr="0084093B">
        <w:t xml:space="preserve"> revue »</w:t>
      </w:r>
      <w:r>
        <w:t xml:space="preserve"> du site </w:t>
      </w:r>
      <w:proofErr w:type="spellStart"/>
      <w:r>
        <w:t>d’</w:t>
      </w:r>
      <w:r w:rsidRPr="0046321A">
        <w:rPr>
          <w:i/>
        </w:rPr>
        <w:t>O</w:t>
      </w:r>
      <w:r w:rsidR="00606CA6">
        <w:rPr>
          <w:i/>
        </w:rPr>
        <w:t>E</w:t>
      </w:r>
      <w:proofErr w:type="spellEnd"/>
      <w:r w:rsidRPr="0084093B">
        <w:t xml:space="preserve"> (</w:t>
      </w:r>
      <w:hyperlink r:id="rId3" w:history="1">
        <w:r w:rsidRPr="0084093B">
          <w:rPr>
            <w:rStyle w:val="Lienhypertexte"/>
          </w:rPr>
          <w:t>https://www.openedition.org/10824</w:t>
        </w:r>
      </w:hyperlink>
      <w:r>
        <w:t>).</w:t>
      </w:r>
    </w:p>
  </w:footnote>
  <w:footnote w:id="10">
    <w:p w14:paraId="50F24B95" w14:textId="12D65D25" w:rsidR="00825334" w:rsidRPr="00F31C3F" w:rsidRDefault="00825334" w:rsidP="00F31C3F">
      <w:pPr>
        <w:pStyle w:val="Notedebasdepage"/>
        <w:jc w:val="both"/>
        <w:rPr>
          <w:lang w:val="fr-BE"/>
        </w:rPr>
      </w:pPr>
      <w:r w:rsidRPr="004166B2">
        <w:rPr>
          <w:rStyle w:val="Appelnotedebasdep"/>
        </w:rPr>
        <w:footnoteRef/>
      </w:r>
      <w:r>
        <w:t xml:space="preserve"> </w:t>
      </w:r>
      <w:r>
        <w:rPr>
          <w:lang w:val="fr-BE"/>
        </w:rPr>
        <w:t xml:space="preserve">On peut citer, </w:t>
      </w:r>
      <w:r w:rsidR="00E869C4">
        <w:rPr>
          <w:lang w:val="fr-BE"/>
        </w:rPr>
        <w:t>comme exemple</w:t>
      </w:r>
      <w:r>
        <w:rPr>
          <w:lang w:val="fr-BE"/>
        </w:rPr>
        <w:t xml:space="preserve">, les carnets </w:t>
      </w:r>
      <w:r w:rsidRPr="00F31C3F">
        <w:rPr>
          <w:i/>
          <w:iCs/>
          <w:lang w:val="fr-BE"/>
        </w:rPr>
        <w:t>124-SORBONNE: Carnet de l'École doctorale d'histoire de l'art et d'archéologie</w:t>
      </w:r>
      <w:r>
        <w:rPr>
          <w:i/>
          <w:iCs/>
          <w:lang w:val="fr-BE"/>
        </w:rPr>
        <w:t xml:space="preserve"> </w:t>
      </w:r>
      <w:r>
        <w:rPr>
          <w:lang w:val="fr-BE"/>
        </w:rPr>
        <w:t>(</w:t>
      </w:r>
      <w:hyperlink r:id="rId4" w:history="1">
        <w:r w:rsidRPr="002B069A">
          <w:rPr>
            <w:rStyle w:val="Lienhypertexte"/>
            <w:lang w:val="fr-BE"/>
          </w:rPr>
          <w:t>https://124revue.hypotheses.org/</w:t>
        </w:r>
      </w:hyperlink>
      <w:r>
        <w:rPr>
          <w:lang w:val="fr-BE"/>
        </w:rPr>
        <w:t>)</w:t>
      </w:r>
      <w:r w:rsidRPr="00F31C3F">
        <w:rPr>
          <w:i/>
          <w:iCs/>
          <w:lang w:val="fr-BE"/>
        </w:rPr>
        <w:t>,</w:t>
      </w:r>
      <w:r>
        <w:rPr>
          <w:i/>
          <w:iCs/>
          <w:lang w:val="fr-BE"/>
        </w:rPr>
        <w:t xml:space="preserve"> </w:t>
      </w:r>
      <w:r w:rsidRPr="00F31C3F">
        <w:rPr>
          <w:i/>
          <w:iCs/>
          <w:lang w:val="fr-BE"/>
        </w:rPr>
        <w:t>Les cahiers de pédagogies radicales</w:t>
      </w:r>
      <w:r>
        <w:rPr>
          <w:i/>
          <w:iCs/>
          <w:lang w:val="fr-BE"/>
        </w:rPr>
        <w:t xml:space="preserve"> </w:t>
      </w:r>
      <w:r>
        <w:rPr>
          <w:lang w:val="fr-BE"/>
        </w:rPr>
        <w:t>(</w:t>
      </w:r>
      <w:hyperlink r:id="rId5" w:history="1">
        <w:r w:rsidRPr="002B069A">
          <w:rPr>
            <w:rStyle w:val="Lienhypertexte"/>
            <w:lang w:val="fr-BE"/>
          </w:rPr>
          <w:t>https://pedaradicale.hypotheses.org/</w:t>
        </w:r>
      </w:hyperlink>
      <w:r>
        <w:rPr>
          <w:lang w:val="fr-BE"/>
        </w:rPr>
        <w:t>) et</w:t>
      </w:r>
      <w:r w:rsidRPr="00F31C3F">
        <w:rPr>
          <w:i/>
          <w:iCs/>
          <w:lang w:val="fr-BE"/>
        </w:rPr>
        <w:t xml:space="preserve"> Groupe </w:t>
      </w:r>
      <w:proofErr w:type="spellStart"/>
      <w:r w:rsidRPr="00F31C3F">
        <w:rPr>
          <w:i/>
          <w:iCs/>
          <w:lang w:val="fr-BE"/>
        </w:rPr>
        <w:t>fmr</w:t>
      </w:r>
      <w:proofErr w:type="spellEnd"/>
      <w:r w:rsidRPr="00F31C3F">
        <w:rPr>
          <w:i/>
          <w:iCs/>
          <w:lang w:val="fr-BE"/>
        </w:rPr>
        <w:t xml:space="preserve"> (flux, matrices, réseaux)</w:t>
      </w:r>
      <w:r>
        <w:rPr>
          <w:i/>
          <w:iCs/>
          <w:lang w:val="fr-BE"/>
        </w:rPr>
        <w:t xml:space="preserve"> (</w:t>
      </w:r>
      <w:hyperlink r:id="rId6" w:history="1">
        <w:r w:rsidRPr="00931540">
          <w:rPr>
            <w:rStyle w:val="Lienhypertexte"/>
            <w:lang w:val="fr-BE"/>
          </w:rPr>
          <w:t>https://groupefmr.hypotheses.org/</w:t>
        </w:r>
      </w:hyperlink>
      <w:r>
        <w:rPr>
          <w:i/>
          <w:iCs/>
          <w:lang w:val="fr-BE"/>
        </w:rPr>
        <w:t>)</w:t>
      </w:r>
      <w:r>
        <w:rPr>
          <w:lang w:val="fr-BE"/>
        </w:rPr>
        <w:t>. Notons que les deux premiers sont bien catégorisés dans le catalogue comme des carnets accompagnant une publication, le dernier l’étant comme « carnet méthodologique » (il y est cependant fait mention d’une collection « Textes », agrégeant des publications du groupe sur HAL).</w:t>
      </w:r>
    </w:p>
  </w:footnote>
  <w:footnote w:id="11">
    <w:p w14:paraId="4BCF3491" w14:textId="4F069909" w:rsidR="00825334" w:rsidRPr="0069409D" w:rsidRDefault="00825334" w:rsidP="004E4E91">
      <w:pPr>
        <w:pStyle w:val="Notedebasdepage"/>
        <w:jc w:val="both"/>
        <w:rPr>
          <w:lang w:val="fr-BE"/>
        </w:rPr>
      </w:pPr>
      <w:r w:rsidRPr="004166B2">
        <w:rPr>
          <w:rStyle w:val="Appelnotedebasdep"/>
        </w:rPr>
        <w:footnoteRef/>
      </w:r>
      <w:r>
        <w:t xml:space="preserve"> L</w:t>
      </w:r>
      <w:r>
        <w:rPr>
          <w:lang w:val="fr-BE"/>
        </w:rPr>
        <w:t>es matériaux issus de cette période d’échanges ont en effet été mis à notre disposition durant notre recherche doctorale</w:t>
      </w:r>
      <w:r w:rsidR="0009700C">
        <w:rPr>
          <w:lang w:val="fr-BE"/>
        </w:rPr>
        <w:t xml:space="preserve"> </w:t>
      </w:r>
      <w:r w:rsidR="0009700C" w:rsidRPr="0009700C">
        <w:rPr>
          <w:rFonts w:cs="Times New Roman"/>
        </w:rPr>
        <w:t>(Mayeur, 2019)</w:t>
      </w:r>
      <w:r>
        <w:rPr>
          <w:lang w:val="fr-BE"/>
        </w:rPr>
        <w:t xml:space="preserve">. </w:t>
      </w:r>
    </w:p>
  </w:footnote>
  <w:footnote w:id="12">
    <w:p w14:paraId="0CEE0432" w14:textId="77777777" w:rsidR="00825334" w:rsidRPr="0084093B" w:rsidRDefault="00825334" w:rsidP="00386DA3">
      <w:pPr>
        <w:pStyle w:val="Notedebasdepage"/>
      </w:pPr>
      <w:r w:rsidRPr="004166B2">
        <w:rPr>
          <w:rStyle w:val="Appelnotedebasdep"/>
        </w:rPr>
        <w:footnoteRef/>
      </w:r>
      <w:r>
        <w:t xml:space="preserve"> On </w:t>
      </w:r>
      <w:proofErr w:type="spellStart"/>
      <w:r>
        <w:t>complétera</w:t>
      </w:r>
      <w:proofErr w:type="spellEnd"/>
      <w:r>
        <w:t xml:space="preserve"> </w:t>
      </w:r>
      <w:proofErr w:type="spellStart"/>
      <w:r>
        <w:t>en</w:t>
      </w:r>
      <w:proofErr w:type="spellEnd"/>
      <w:r>
        <w:t xml:space="preserve"> </w:t>
      </w:r>
      <w:proofErr w:type="spellStart"/>
      <w:r>
        <w:t>signalant</w:t>
      </w:r>
      <w:proofErr w:type="spellEnd"/>
      <w:r>
        <w:t xml:space="preserve"> </w:t>
      </w:r>
      <w:r w:rsidRPr="0084093B">
        <w:t xml:space="preserve">que le site </w:t>
      </w:r>
      <w:proofErr w:type="spellStart"/>
      <w:r w:rsidRPr="0084093B">
        <w:t>d’accompagnement</w:t>
      </w:r>
      <w:proofErr w:type="spellEnd"/>
      <w:r w:rsidRPr="0084093B">
        <w:t xml:space="preserve"> </w:t>
      </w:r>
      <w:r w:rsidRPr="0084093B">
        <w:rPr>
          <w:i/>
        </w:rPr>
        <w:t xml:space="preserve">La </w:t>
      </w:r>
      <w:proofErr w:type="spellStart"/>
      <w:r w:rsidRPr="0084093B">
        <w:rPr>
          <w:i/>
        </w:rPr>
        <w:t>maison</w:t>
      </w:r>
      <w:proofErr w:type="spellEnd"/>
      <w:r w:rsidRPr="0084093B">
        <w:rPr>
          <w:i/>
        </w:rPr>
        <w:t xml:space="preserve"> des revues et des livres</w:t>
      </w:r>
      <w:r w:rsidRPr="0084093B">
        <w:t xml:space="preserve"> </w:t>
      </w:r>
      <w:proofErr w:type="spellStart"/>
      <w:r w:rsidRPr="0084093B">
        <w:t>consacre</w:t>
      </w:r>
      <w:proofErr w:type="spellEnd"/>
      <w:r w:rsidRPr="0084093B">
        <w:t xml:space="preserve"> u</w:t>
      </w:r>
      <w:r>
        <w:t xml:space="preserve">n article à </w:t>
      </w:r>
      <w:proofErr w:type="spellStart"/>
      <w:r>
        <w:t>ce</w:t>
      </w:r>
      <w:proofErr w:type="spellEnd"/>
      <w:r>
        <w:t xml:space="preserve"> type de carnet </w:t>
      </w:r>
      <w:r w:rsidRPr="0084093B">
        <w:t>(</w:t>
      </w:r>
      <w:r>
        <w:t>« </w:t>
      </w:r>
      <w:r w:rsidRPr="008F6F13">
        <w:t xml:space="preserve">Les carnets </w:t>
      </w:r>
      <w:proofErr w:type="spellStart"/>
      <w:r w:rsidRPr="008F6F13">
        <w:t>d'accompagnement</w:t>
      </w:r>
      <w:proofErr w:type="spellEnd"/>
      <w:r w:rsidRPr="008F6F13">
        <w:t xml:space="preserve"> de publication sur </w:t>
      </w:r>
      <w:proofErr w:type="spellStart"/>
      <w:r w:rsidRPr="00AA706A">
        <w:rPr>
          <w:i/>
        </w:rPr>
        <w:t>Hypothèses</w:t>
      </w:r>
      <w:proofErr w:type="spellEnd"/>
      <w:r>
        <w:t xml:space="preserve"> », </w:t>
      </w:r>
      <w:proofErr w:type="spellStart"/>
      <w:r>
        <w:t>s.d.</w:t>
      </w:r>
      <w:proofErr w:type="spellEnd"/>
      <w:r>
        <w:t xml:space="preserve">, </w:t>
      </w:r>
      <w:hyperlink r:id="rId7" w:history="1">
        <w:r w:rsidRPr="0084093B">
          <w:rPr>
            <w:rStyle w:val="Lienhypertexte"/>
          </w:rPr>
          <w:t>http://www.maisondesrevues.org/459</w:t>
        </w:r>
      </w:hyperlink>
      <w:r w:rsidRPr="0084093B">
        <w:rPr>
          <w:rStyle w:val="Lienhypertexte"/>
        </w:rPr>
        <w:t>)</w:t>
      </w:r>
      <w:r w:rsidRPr="00514DC0">
        <w:rPr>
          <w:rStyle w:val="Lienhypertexte"/>
        </w:rPr>
        <w:t xml:space="preserve">. </w:t>
      </w:r>
      <w:r w:rsidRPr="0084093B">
        <w:t xml:space="preserve">Il y </w:t>
      </w:r>
      <w:proofErr w:type="spellStart"/>
      <w:r w:rsidRPr="0084093B">
        <w:t>est</w:t>
      </w:r>
      <w:proofErr w:type="spellEnd"/>
      <w:r w:rsidRPr="0084093B">
        <w:t xml:space="preserve"> </w:t>
      </w:r>
      <w:proofErr w:type="spellStart"/>
      <w:r w:rsidRPr="0084093B">
        <w:t>précisé</w:t>
      </w:r>
      <w:proofErr w:type="spellEnd"/>
      <w:r w:rsidRPr="0084093B">
        <w:t xml:space="preserve"> </w:t>
      </w:r>
      <w:proofErr w:type="spellStart"/>
      <w:r w:rsidRPr="0084093B">
        <w:t>qu</w:t>
      </w:r>
      <w:proofErr w:type="spellEnd"/>
      <w:r w:rsidRPr="0084093B">
        <w:t xml:space="preserve">’« un carnet de revue </w:t>
      </w:r>
      <w:proofErr w:type="spellStart"/>
      <w:r w:rsidRPr="0084093B">
        <w:t>n'est</w:t>
      </w:r>
      <w:proofErr w:type="spellEnd"/>
      <w:r w:rsidRPr="0084093B">
        <w:t xml:space="preserve"> pas </w:t>
      </w:r>
      <w:proofErr w:type="spellStart"/>
      <w:r w:rsidRPr="0084093B">
        <w:t>là</w:t>
      </w:r>
      <w:proofErr w:type="spellEnd"/>
      <w:r w:rsidRPr="0084093B">
        <w:t xml:space="preserve"> pour </w:t>
      </w:r>
      <w:proofErr w:type="spellStart"/>
      <w:r w:rsidRPr="0084093B">
        <w:t>publier</w:t>
      </w:r>
      <w:proofErr w:type="spellEnd"/>
      <w:r w:rsidRPr="0084093B">
        <w:t xml:space="preserve"> </w:t>
      </w:r>
      <w:proofErr w:type="spellStart"/>
      <w:r w:rsidRPr="0084093B">
        <w:t>une</w:t>
      </w:r>
      <w:proofErr w:type="spellEnd"/>
      <w:r w:rsidRPr="0084093B">
        <w:t xml:space="preserve"> revue et les candidatures qui </w:t>
      </w:r>
      <w:proofErr w:type="spellStart"/>
      <w:r w:rsidRPr="0084093B">
        <w:t>iraient</w:t>
      </w:r>
      <w:proofErr w:type="spellEnd"/>
      <w:r w:rsidRPr="0084093B">
        <w:t xml:space="preserve"> dans </w:t>
      </w:r>
      <w:proofErr w:type="spellStart"/>
      <w:r w:rsidRPr="0084093B">
        <w:t>ce</w:t>
      </w:r>
      <w:proofErr w:type="spellEnd"/>
      <w:r w:rsidRPr="0084093B">
        <w:t xml:space="preserve"> </w:t>
      </w:r>
      <w:proofErr w:type="spellStart"/>
      <w:r w:rsidRPr="0084093B">
        <w:t>sens</w:t>
      </w:r>
      <w:proofErr w:type="spellEnd"/>
      <w:r w:rsidRPr="0084093B">
        <w:t xml:space="preserve"> sur </w:t>
      </w:r>
      <w:proofErr w:type="spellStart"/>
      <w:r w:rsidRPr="0084093B">
        <w:t>Hypothèses</w:t>
      </w:r>
      <w:proofErr w:type="spellEnd"/>
      <w:r w:rsidRPr="0084093B">
        <w:t xml:space="preserve"> </w:t>
      </w:r>
      <w:proofErr w:type="spellStart"/>
      <w:r w:rsidRPr="0084093B">
        <w:t>seraient</w:t>
      </w:r>
      <w:proofErr w:type="spellEnd"/>
      <w:r w:rsidRPr="0084093B">
        <w:t xml:space="preserve"> </w:t>
      </w:r>
      <w:proofErr w:type="spellStart"/>
      <w:r w:rsidRPr="0084093B">
        <w:t>refusées</w:t>
      </w:r>
      <w:proofErr w:type="spellEnd"/>
      <w:r w:rsidRPr="0084093B">
        <w:t xml:space="preserve">. On </w:t>
      </w:r>
      <w:proofErr w:type="spellStart"/>
      <w:r w:rsidRPr="0084093B">
        <w:t>peut</w:t>
      </w:r>
      <w:proofErr w:type="spellEnd"/>
      <w:r w:rsidRPr="0084093B">
        <w:t xml:space="preserve"> tout de </w:t>
      </w:r>
      <w:proofErr w:type="spellStart"/>
      <w:r w:rsidRPr="0084093B">
        <w:t>même</w:t>
      </w:r>
      <w:proofErr w:type="spellEnd"/>
      <w:r w:rsidRPr="0084093B">
        <w:t xml:space="preserve"> y </w:t>
      </w:r>
      <w:proofErr w:type="spellStart"/>
      <w:r w:rsidRPr="0084093B">
        <w:t>publier</w:t>
      </w:r>
      <w:proofErr w:type="spellEnd"/>
      <w:r w:rsidRPr="0084093B">
        <w:t xml:space="preserve"> des </w:t>
      </w:r>
      <w:proofErr w:type="spellStart"/>
      <w:r w:rsidRPr="0084093B">
        <w:t>textes</w:t>
      </w:r>
      <w:proofErr w:type="spellEnd"/>
      <w:r w:rsidRPr="0084093B">
        <w:t xml:space="preserve"> qui </w:t>
      </w:r>
      <w:proofErr w:type="spellStart"/>
      <w:r w:rsidRPr="0084093B">
        <w:t>n'ont</w:t>
      </w:r>
      <w:proofErr w:type="spellEnd"/>
      <w:r w:rsidRPr="0084093B">
        <w:t xml:space="preserve"> pas </w:t>
      </w:r>
      <w:proofErr w:type="spellStart"/>
      <w:r w:rsidRPr="0084093B">
        <w:t>été</w:t>
      </w:r>
      <w:proofErr w:type="spellEnd"/>
      <w:r w:rsidRPr="0084093B">
        <w:t xml:space="preserve"> </w:t>
      </w:r>
      <w:proofErr w:type="spellStart"/>
      <w:r w:rsidRPr="0084093B">
        <w:t>publiés</w:t>
      </w:r>
      <w:proofErr w:type="spellEnd"/>
      <w:r w:rsidRPr="0084093B">
        <w:t xml:space="preserve"> dans la revue </w:t>
      </w:r>
      <w:proofErr w:type="gramStart"/>
      <w:r w:rsidRPr="0084093B">
        <w:t>pour</w:t>
      </w:r>
      <w:proofErr w:type="gramEnd"/>
      <w:r w:rsidRPr="0084093B">
        <w:t xml:space="preserve"> x raisons (format, </w:t>
      </w:r>
      <w:proofErr w:type="spellStart"/>
      <w:r w:rsidRPr="0084093B">
        <w:t>ligne</w:t>
      </w:r>
      <w:proofErr w:type="spellEnd"/>
      <w:r w:rsidRPr="0084093B">
        <w:t xml:space="preserve"> </w:t>
      </w:r>
      <w:proofErr w:type="spellStart"/>
      <w:r w:rsidRPr="0084093B">
        <w:t>éditoriale</w:t>
      </w:r>
      <w:proofErr w:type="spellEnd"/>
      <w:r w:rsidRPr="0084093B">
        <w:t xml:space="preserve">...). On </w:t>
      </w:r>
      <w:proofErr w:type="spellStart"/>
      <w:r w:rsidRPr="0084093B">
        <w:t>peut</w:t>
      </w:r>
      <w:proofErr w:type="spellEnd"/>
      <w:r w:rsidRPr="0084093B">
        <w:t xml:space="preserve"> </w:t>
      </w:r>
      <w:proofErr w:type="spellStart"/>
      <w:r w:rsidRPr="0084093B">
        <w:t>même</w:t>
      </w:r>
      <w:proofErr w:type="spellEnd"/>
      <w:r w:rsidRPr="0084093B">
        <w:t xml:space="preserve"> y </w:t>
      </w:r>
      <w:proofErr w:type="spellStart"/>
      <w:r w:rsidRPr="0084093B">
        <w:t>publier</w:t>
      </w:r>
      <w:proofErr w:type="spellEnd"/>
      <w:r w:rsidRPr="0084093B">
        <w:t xml:space="preserve"> à nouveau des articles déjà </w:t>
      </w:r>
      <w:proofErr w:type="spellStart"/>
      <w:r w:rsidRPr="0084093B">
        <w:t>parus</w:t>
      </w:r>
      <w:proofErr w:type="spellEnd"/>
      <w:r w:rsidRPr="0084093B">
        <w:t xml:space="preserve"> dans la revue, </w:t>
      </w:r>
      <w:proofErr w:type="spellStart"/>
      <w:r w:rsidRPr="0084093B">
        <w:t>en</w:t>
      </w:r>
      <w:proofErr w:type="spellEnd"/>
      <w:r w:rsidRPr="0084093B">
        <w:t xml:space="preserve"> </w:t>
      </w:r>
      <w:proofErr w:type="spellStart"/>
      <w:r w:rsidRPr="0084093B">
        <w:t>leur</w:t>
      </w:r>
      <w:proofErr w:type="spellEnd"/>
      <w:r w:rsidRPr="0084093B">
        <w:t xml:space="preserve"> </w:t>
      </w:r>
      <w:proofErr w:type="spellStart"/>
      <w:r w:rsidRPr="0084093B">
        <w:t>offrant</w:t>
      </w:r>
      <w:proofErr w:type="spellEnd"/>
      <w:r w:rsidRPr="0084093B">
        <w:t xml:space="preserve"> </w:t>
      </w:r>
      <w:proofErr w:type="spellStart"/>
      <w:r w:rsidRPr="0084093B">
        <w:t>une</w:t>
      </w:r>
      <w:proofErr w:type="spellEnd"/>
      <w:r w:rsidRPr="0084093B">
        <w:t xml:space="preserve"> nouvelle </w:t>
      </w:r>
      <w:proofErr w:type="spellStart"/>
      <w:r w:rsidRPr="0084093B">
        <w:t>valorisation</w:t>
      </w:r>
      <w:proofErr w:type="spellEnd"/>
      <w:r w:rsidRPr="0084093B">
        <w:t xml:space="preserve">/classification </w:t>
      </w:r>
      <w:proofErr w:type="spellStart"/>
      <w:r w:rsidRPr="0084093B">
        <w:t>thématique</w:t>
      </w:r>
      <w:proofErr w:type="spellEnd"/>
      <w:r w:rsidRPr="0084093B">
        <w:t>... » (</w:t>
      </w:r>
      <w:proofErr w:type="spellStart"/>
      <w:r>
        <w:t>paragr</w:t>
      </w:r>
      <w:proofErr w:type="spellEnd"/>
      <w:r>
        <w:t xml:space="preserve">. </w:t>
      </w:r>
      <w:r w:rsidRPr="00514DC0">
        <w:t>3</w:t>
      </w:r>
      <w:r w:rsidRPr="0084093B">
        <w:t>).</w:t>
      </w:r>
    </w:p>
  </w:footnote>
  <w:footnote w:id="13">
    <w:p w14:paraId="31471732" w14:textId="77777777" w:rsidR="00825334" w:rsidRDefault="00825334" w:rsidP="007F4A74">
      <w:pPr>
        <w:pStyle w:val="Notedebasdepage"/>
        <w:jc w:val="both"/>
      </w:pPr>
      <w:r>
        <w:rPr>
          <w:rStyle w:val="Appelnotedebasdep"/>
        </w:rPr>
        <w:footnoteRef/>
      </w:r>
      <w:r>
        <w:t xml:space="preserve"> </w:t>
      </w:r>
      <w:r>
        <w:rPr>
          <w:lang w:val="fr-BE"/>
        </w:rPr>
        <w:t>O</w:t>
      </w:r>
      <w:r w:rsidRPr="00A17981">
        <w:rPr>
          <w:lang w:val="fr-BE"/>
        </w:rPr>
        <w:t xml:space="preserve">n entend par </w:t>
      </w:r>
      <w:r>
        <w:rPr>
          <w:lang w:val="fr-BE"/>
        </w:rPr>
        <w:t>« format électronique »</w:t>
      </w:r>
      <w:r w:rsidRPr="00A17981">
        <w:rPr>
          <w:lang w:val="fr-BE"/>
        </w:rPr>
        <w:t xml:space="preserve"> les revues dont le numéro courant peut être consulté in extenso </w:t>
      </w:r>
      <w:r>
        <w:rPr>
          <w:lang w:val="fr-BE"/>
        </w:rPr>
        <w:t>en ligne</w:t>
      </w:r>
      <w:r w:rsidRPr="00A17981">
        <w:rPr>
          <w:lang w:val="fr-BE"/>
        </w:rPr>
        <w:t xml:space="preserve">, avec ou sans barrière d’accès payante. </w:t>
      </w:r>
      <w:r>
        <w:rPr>
          <w:lang w:val="fr-BE"/>
        </w:rPr>
        <w:t>En ce sens, u</w:t>
      </w:r>
      <w:r w:rsidRPr="00A17981">
        <w:rPr>
          <w:lang w:val="fr-BE"/>
        </w:rPr>
        <w:t>n</w:t>
      </w:r>
      <w:r>
        <w:rPr>
          <w:lang w:val="fr-BE"/>
        </w:rPr>
        <w:t>e mise en ligne</w:t>
      </w:r>
      <w:r w:rsidRPr="00A17981">
        <w:rPr>
          <w:lang w:val="fr-BE"/>
        </w:rPr>
        <w:t xml:space="preserve"> de type </w:t>
      </w:r>
      <w:r w:rsidRPr="001C15C7">
        <w:rPr>
          <w:i/>
          <w:lang w:val="fr-BE"/>
        </w:rPr>
        <w:t>Persée</w:t>
      </w:r>
      <w:r w:rsidRPr="00A17981">
        <w:rPr>
          <w:lang w:val="fr-BE"/>
        </w:rPr>
        <w:t xml:space="preserve"> ou le stockage de PDF d’anciens numéros en ligne n’est pas assimilé à une publication numérique de revue, </w:t>
      </w:r>
      <w:r>
        <w:rPr>
          <w:lang w:val="fr-BE"/>
        </w:rPr>
        <w:t>même s’</w:t>
      </w:r>
      <w:r w:rsidRPr="00A17981">
        <w:rPr>
          <w:lang w:val="fr-BE"/>
        </w:rPr>
        <w:t xml:space="preserve">il </w:t>
      </w:r>
      <w:r>
        <w:rPr>
          <w:lang w:val="fr-BE"/>
        </w:rPr>
        <w:t>est</w:t>
      </w:r>
      <w:r w:rsidRPr="00A17981">
        <w:rPr>
          <w:lang w:val="fr-BE"/>
        </w:rPr>
        <w:t xml:space="preserve"> la trace d’une présence numérique en ligne.</w:t>
      </w:r>
    </w:p>
  </w:footnote>
  <w:footnote w:id="14">
    <w:p w14:paraId="0F51A3DF" w14:textId="77777777" w:rsidR="00825334" w:rsidRDefault="00825334" w:rsidP="00306638">
      <w:pPr>
        <w:pStyle w:val="Notedebasdepage"/>
      </w:pPr>
      <w:r>
        <w:rPr>
          <w:rStyle w:val="Appelnotedebasdep"/>
        </w:rPr>
        <w:footnoteRef/>
      </w:r>
      <w:r>
        <w:t xml:space="preserve"> </w:t>
      </w:r>
      <w:proofErr w:type="spellStart"/>
      <w:r>
        <w:t>Données</w:t>
      </w:r>
      <w:proofErr w:type="spellEnd"/>
      <w:r>
        <w:t xml:space="preserve"> </w:t>
      </w:r>
      <w:proofErr w:type="spellStart"/>
      <w:r w:rsidRPr="001A27D0">
        <w:rPr>
          <w:i/>
        </w:rPr>
        <w:t>JournalBase</w:t>
      </w:r>
      <w:proofErr w:type="spellEnd"/>
      <w:r>
        <w:t xml:space="preserve"> </w:t>
      </w:r>
      <w:proofErr w:type="gramStart"/>
      <w:r>
        <w:t>2021 :</w:t>
      </w:r>
      <w:proofErr w:type="gramEnd"/>
      <w:r>
        <w:t xml:space="preserve"> </w:t>
      </w:r>
      <w:hyperlink r:id="rId8" w:history="1">
        <w:r w:rsidRPr="00220F57">
          <w:rPr>
            <w:rStyle w:val="Lienhypertexte"/>
          </w:rPr>
          <w:t>https://journalbase.cnrs.fr/</w:t>
        </w:r>
      </w:hyperlink>
    </w:p>
  </w:footnote>
  <w:footnote w:id="15">
    <w:p w14:paraId="4A085929" w14:textId="77777777" w:rsidR="00825334" w:rsidRDefault="00825334" w:rsidP="00306638">
      <w:pPr>
        <w:pStyle w:val="Notedebasdepage"/>
      </w:pPr>
      <w:r>
        <w:rPr>
          <w:rStyle w:val="Appelnotedebasdep"/>
        </w:rPr>
        <w:footnoteRef/>
      </w:r>
      <w:r>
        <w:t xml:space="preserve"> </w:t>
      </w:r>
      <w:proofErr w:type="spellStart"/>
      <w:r>
        <w:t>Données</w:t>
      </w:r>
      <w:proofErr w:type="spellEnd"/>
      <w:r>
        <w:t xml:space="preserve"> issues du site </w:t>
      </w:r>
      <w:proofErr w:type="spellStart"/>
      <w:r w:rsidRPr="00A970EB">
        <w:rPr>
          <w:i/>
        </w:rPr>
        <w:t>Mir@</w:t>
      </w:r>
      <w:proofErr w:type="gramStart"/>
      <w:r w:rsidRPr="00A970EB">
        <w:rPr>
          <w:i/>
        </w:rPr>
        <w:t>bel</w:t>
      </w:r>
      <w:proofErr w:type="spellEnd"/>
      <w:r>
        <w:t> :</w:t>
      </w:r>
      <w:proofErr w:type="gramEnd"/>
      <w:r>
        <w:t xml:space="preserve"> </w:t>
      </w:r>
      <w:hyperlink r:id="rId9" w:history="1">
        <w:r w:rsidRPr="00124B9C">
          <w:rPr>
            <w:rStyle w:val="Lienhypertexte"/>
          </w:rPr>
          <w:t>https://reseau-mirabel.info/</w:t>
        </w:r>
      </w:hyperlink>
    </w:p>
  </w:footnote>
  <w:footnote w:id="16">
    <w:p w14:paraId="7BA47F56" w14:textId="6E096B5C" w:rsidR="00C20D51" w:rsidRPr="00070E68" w:rsidRDefault="00825334" w:rsidP="00FE7B25">
      <w:pPr>
        <w:pStyle w:val="Notedebasdepage"/>
        <w:rPr>
          <w:lang w:val="fr-BE"/>
        </w:rPr>
      </w:pPr>
      <w:r>
        <w:rPr>
          <w:rStyle w:val="Appelnotedebasdep"/>
        </w:rPr>
        <w:footnoteRef/>
      </w:r>
      <w:r>
        <w:t xml:space="preserve"> </w:t>
      </w:r>
      <w:r w:rsidRPr="00ED129C">
        <w:rPr>
          <w:smallCaps/>
        </w:rPr>
        <w:t>D</w:t>
      </w:r>
      <w:r w:rsidR="00C20D51">
        <w:rPr>
          <w:smallCaps/>
        </w:rPr>
        <w:t xml:space="preserve">EMAGNY (L.) </w:t>
      </w:r>
      <w:r>
        <w:t>(dir.)</w:t>
      </w:r>
      <w:r w:rsidR="00C20D51">
        <w:t xml:space="preserve"> (</w:t>
      </w:r>
      <w:r>
        <w:t>2020</w:t>
      </w:r>
      <w:r w:rsidR="00C20D51">
        <w:t xml:space="preserve">, </w:t>
      </w:r>
      <w:r>
        <w:t xml:space="preserve">10 </w:t>
      </w:r>
      <w:proofErr w:type="spellStart"/>
      <w:r>
        <w:t>av</w:t>
      </w:r>
      <w:r w:rsidR="00C20D51">
        <w:t>r</w:t>
      </w:r>
      <w:proofErr w:type="spellEnd"/>
      <w:r w:rsidR="00C20D51">
        <w:t xml:space="preserve">.). </w:t>
      </w:r>
      <w:r>
        <w:t>“</w:t>
      </w:r>
      <w:proofErr w:type="spellStart"/>
      <w:r>
        <w:t>Autour</w:t>
      </w:r>
      <w:proofErr w:type="spellEnd"/>
      <w:r>
        <w:t xml:space="preserve"> de la </w:t>
      </w:r>
      <w:proofErr w:type="spellStart"/>
      <w:r>
        <w:t>crise</w:t>
      </w:r>
      <w:proofErr w:type="spellEnd"/>
      <w:r>
        <w:t xml:space="preserve"> du covid-19”</w:t>
      </w:r>
      <w:r w:rsidR="00C20D51">
        <w:t xml:space="preserve">. </w:t>
      </w:r>
      <w:r w:rsidRPr="00ED129C">
        <w:rPr>
          <w:i/>
          <w:iCs/>
        </w:rPr>
        <w:t xml:space="preserve">Les Carnets de Sciences </w:t>
      </w:r>
      <w:proofErr w:type="spellStart"/>
      <w:r w:rsidRPr="00ED129C">
        <w:rPr>
          <w:i/>
          <w:iCs/>
        </w:rPr>
        <w:t>Sociales</w:t>
      </w:r>
      <w:proofErr w:type="spellEnd"/>
      <w:r w:rsidRPr="00ED129C">
        <w:rPr>
          <w:i/>
          <w:iCs/>
        </w:rPr>
        <w:t xml:space="preserve"> et Santé</w:t>
      </w:r>
      <w:r>
        <w:t xml:space="preserve">, </w:t>
      </w:r>
      <w:hyperlink r:id="rId10" w:history="1">
        <w:r w:rsidRPr="00CC6173">
          <w:rPr>
            <w:rStyle w:val="Lienhypertexte"/>
          </w:rPr>
          <w:t>https://sss.hypotheses.org/3143</w:t>
        </w:r>
      </w:hyperlink>
      <w:r>
        <w:t>.</w:t>
      </w:r>
      <w:r w:rsidR="00C20D51" w:rsidRPr="007325D1">
        <w:rPr>
          <w:rFonts w:ascii="Arial" w:hAnsi="Arial" w:cs="Arial"/>
        </w:rPr>
        <w:br/>
      </w:r>
      <w:hyperlink r:id="rId11" w:history="1">
        <w:r w:rsidR="00C20D51" w:rsidRPr="007325D1">
          <w:rPr>
            <w:rFonts w:ascii="Arial" w:hAnsi="Arial" w:cs="Arial"/>
            <w:color w:val="0000FF"/>
            <w:u w:val="single"/>
          </w:rPr>
          <w:t>http://www.ac-versailles.fr/PEDAGOGI/ses/themes/consommation/philippe_breton.html</w:t>
        </w:r>
      </w:hyperlink>
    </w:p>
  </w:footnote>
  <w:footnote w:id="17">
    <w:p w14:paraId="1981BFC8" w14:textId="3201DE31" w:rsidR="00825334" w:rsidRPr="00887942" w:rsidRDefault="00825334" w:rsidP="00FE7B25">
      <w:pPr>
        <w:pStyle w:val="Notedebasdepage"/>
        <w:rPr>
          <w:lang w:val="fr-BE"/>
        </w:rPr>
      </w:pPr>
      <w:r>
        <w:rPr>
          <w:rStyle w:val="Appelnotedebasdep"/>
        </w:rPr>
        <w:footnoteRef/>
      </w:r>
      <w:r>
        <w:t xml:space="preserve"> </w:t>
      </w:r>
      <w:r w:rsidRPr="00ED129C">
        <w:rPr>
          <w:smallCaps/>
        </w:rPr>
        <w:t>W</w:t>
      </w:r>
      <w:r w:rsidR="00C20D51">
        <w:rPr>
          <w:smallCaps/>
        </w:rPr>
        <w:t>IEVORKA (M.)</w:t>
      </w:r>
      <w:r>
        <w:t xml:space="preserve"> (dir.), </w:t>
      </w:r>
      <w:proofErr w:type="spellStart"/>
      <w:r>
        <w:t>s.d.</w:t>
      </w:r>
      <w:proofErr w:type="spellEnd"/>
      <w:r>
        <w:t xml:space="preserve">, “Revue de </w:t>
      </w:r>
      <w:proofErr w:type="spellStart"/>
      <w:r>
        <w:t>presse</w:t>
      </w:r>
      <w:proofErr w:type="spellEnd"/>
      <w:r>
        <w:t xml:space="preserve">”, </w:t>
      </w:r>
      <w:r w:rsidRPr="00ED129C">
        <w:rPr>
          <w:i/>
          <w:iCs/>
        </w:rPr>
        <w:t>Les Carnets de la revue Socio</w:t>
      </w:r>
      <w:r>
        <w:t xml:space="preserve">, </w:t>
      </w:r>
      <w:hyperlink r:id="rId12" w:history="1">
        <w:r w:rsidRPr="00CC6173">
          <w:rPr>
            <w:rStyle w:val="Lienhypertexte"/>
          </w:rPr>
          <w:t>https://socio.hypotheses.org/category/revue-de-presse</w:t>
        </w:r>
      </w:hyperlink>
    </w:p>
  </w:footnote>
  <w:footnote w:id="18">
    <w:p w14:paraId="21A72337" w14:textId="77777777" w:rsidR="00825334" w:rsidRPr="00B52F8C" w:rsidRDefault="00825334" w:rsidP="00FE7B25">
      <w:pPr>
        <w:pStyle w:val="Notedebasdepage"/>
        <w:rPr>
          <w:lang w:val="fr-BE"/>
        </w:rPr>
      </w:pPr>
      <w:r>
        <w:rPr>
          <w:rStyle w:val="Appelnotedebasdep"/>
        </w:rPr>
        <w:footnoteRef/>
      </w:r>
      <w:r>
        <w:t xml:space="preserve"> </w:t>
      </w:r>
      <w:hyperlink r:id="rId13" w:history="1">
        <w:r w:rsidRPr="00357A1F">
          <w:rPr>
            <w:rStyle w:val="Lienhypertexte"/>
          </w:rPr>
          <w:t>https://lms.hypotheses.org/11874</w:t>
        </w:r>
      </w:hyperlink>
      <w:r>
        <w:t xml:space="preserve"> </w:t>
      </w:r>
    </w:p>
  </w:footnote>
  <w:footnote w:id="19">
    <w:p w14:paraId="23FEBA5E" w14:textId="77777777" w:rsidR="00825334" w:rsidRPr="00C56109" w:rsidRDefault="00825334" w:rsidP="00FE7B25">
      <w:pPr>
        <w:pStyle w:val="Notedebasdepage"/>
        <w:rPr>
          <w:lang w:val="fr-BE"/>
        </w:rPr>
      </w:pPr>
      <w:r>
        <w:rPr>
          <w:rStyle w:val="Appelnotedebasdep"/>
        </w:rPr>
        <w:footnoteRef/>
      </w:r>
      <w:r>
        <w:t xml:space="preserve"> </w:t>
      </w:r>
      <w:r>
        <w:rPr>
          <w:lang w:val="fr-BE"/>
        </w:rPr>
        <w:t>Destinée à accueillir des débats critiques, cette rubrique n’abrite, en réalité, qu’un unique billet.</w:t>
      </w:r>
    </w:p>
  </w:footnote>
  <w:footnote w:id="20">
    <w:p w14:paraId="7E406343" w14:textId="77777777" w:rsidR="00825334" w:rsidRPr="006B17E1" w:rsidRDefault="00825334" w:rsidP="00FE7B25">
      <w:pPr>
        <w:pStyle w:val="Notedebasdepage"/>
        <w:rPr>
          <w:lang w:val="fr-BE"/>
        </w:rPr>
      </w:pPr>
      <w:r>
        <w:rPr>
          <w:rStyle w:val="Appelnotedebasdep"/>
        </w:rPr>
        <w:footnoteRef/>
      </w:r>
      <w:r>
        <w:t xml:space="preserve"> </w:t>
      </w:r>
      <w:r>
        <w:rPr>
          <w:lang w:val="fr-BE"/>
        </w:rPr>
        <w:t>Ces présentations des numéros parus constituent d’ailleurs la fonction éditoriale la plus représentée au sein du corpus : nous n’avons repéré que trois carnets (</w:t>
      </w:r>
      <w:proofErr w:type="spellStart"/>
      <w:r w:rsidRPr="006B17E1">
        <w:rPr>
          <w:i/>
          <w:iCs/>
          <w:lang w:val="fr-BE"/>
        </w:rPr>
        <w:t>Cybergeo</w:t>
      </w:r>
      <w:proofErr w:type="spellEnd"/>
      <w:r w:rsidRPr="006B17E1">
        <w:rPr>
          <w:i/>
          <w:iCs/>
          <w:lang w:val="fr-BE"/>
        </w:rPr>
        <w:t xml:space="preserve"> conversation</w:t>
      </w:r>
      <w:r>
        <w:rPr>
          <w:lang w:val="fr-BE"/>
        </w:rPr>
        <w:t xml:space="preserve">, </w:t>
      </w:r>
      <w:r w:rsidRPr="00E87ECA">
        <w:rPr>
          <w:i/>
          <w:iCs/>
          <w:lang w:val="fr-BE"/>
        </w:rPr>
        <w:t>Carnet de la NRT</w:t>
      </w:r>
      <w:r>
        <w:rPr>
          <w:lang w:val="fr-BE"/>
        </w:rPr>
        <w:t xml:space="preserve"> et </w:t>
      </w:r>
      <w:proofErr w:type="spellStart"/>
      <w:proofErr w:type="gramStart"/>
      <w:r w:rsidRPr="00AF05FB">
        <w:rPr>
          <w:i/>
          <w:iCs/>
          <w:lang w:val="fr-BE"/>
        </w:rPr>
        <w:t>Textyles</w:t>
      </w:r>
      <w:proofErr w:type="spellEnd"/>
      <w:r w:rsidRPr="00AF05FB">
        <w:rPr>
          <w:i/>
          <w:iCs/>
          <w:lang w:val="fr-BE"/>
        </w:rPr>
        <w:t>:</w:t>
      </w:r>
      <w:proofErr w:type="gramEnd"/>
      <w:r w:rsidRPr="00AF05FB">
        <w:rPr>
          <w:i/>
          <w:iCs/>
          <w:lang w:val="fr-BE"/>
        </w:rPr>
        <w:t xml:space="preserve"> Le blog de la revue des lettres belges de langue française</w:t>
      </w:r>
      <w:r>
        <w:rPr>
          <w:lang w:val="fr-BE"/>
        </w:rPr>
        <w:t>) ne l’investissant pas.</w:t>
      </w:r>
    </w:p>
  </w:footnote>
  <w:footnote w:id="21">
    <w:p w14:paraId="072D0D9C" w14:textId="77777777" w:rsidR="00825334" w:rsidRPr="0097272D" w:rsidRDefault="00825334" w:rsidP="000C6A37">
      <w:pPr>
        <w:pStyle w:val="Notedebasdepage"/>
        <w:jc w:val="both"/>
        <w:rPr>
          <w:i/>
          <w:iCs/>
          <w:lang w:val="fr-BE"/>
        </w:rPr>
      </w:pPr>
      <w:r>
        <w:rPr>
          <w:rStyle w:val="Appelnotedebasdep"/>
        </w:rPr>
        <w:footnoteRef/>
      </w:r>
      <w:r>
        <w:t xml:space="preserve"> </w:t>
      </w:r>
      <w:r w:rsidRPr="0097272D">
        <w:rPr>
          <w:i/>
          <w:iCs/>
          <w:lang w:val="fr-BE"/>
        </w:rPr>
        <w:t>Amades</w:t>
      </w:r>
      <w:r>
        <w:rPr>
          <w:lang w:val="fr-BE"/>
        </w:rPr>
        <w:t xml:space="preserve"> (un unique billet), </w:t>
      </w:r>
      <w:r w:rsidRPr="0097272D">
        <w:rPr>
          <w:i/>
          <w:iCs/>
          <w:lang w:val="fr-BE"/>
        </w:rPr>
        <w:t>Dissidences : le blog</w:t>
      </w:r>
      <w:r w:rsidRPr="0097272D">
        <w:rPr>
          <w:lang w:val="fr-BE"/>
        </w:rPr>
        <w:t xml:space="preserve">, </w:t>
      </w:r>
      <w:r w:rsidRPr="0097272D">
        <w:rPr>
          <w:i/>
          <w:iCs/>
          <w:lang w:val="fr-BE"/>
        </w:rPr>
        <w:t>Droit et Société</w:t>
      </w:r>
      <w:r>
        <w:rPr>
          <w:lang w:val="fr-BE"/>
        </w:rPr>
        <w:t xml:space="preserve">, </w:t>
      </w:r>
      <w:r>
        <w:rPr>
          <w:i/>
          <w:iCs/>
          <w:lang w:val="fr-BE"/>
        </w:rPr>
        <w:t>Le carnet du Mouvement social</w:t>
      </w:r>
      <w:r>
        <w:rPr>
          <w:lang w:val="fr-BE"/>
        </w:rPr>
        <w:t>.</w:t>
      </w:r>
    </w:p>
  </w:footnote>
  <w:footnote w:id="22">
    <w:p w14:paraId="666FCE58" w14:textId="77777777" w:rsidR="00825334" w:rsidRPr="00871E2C" w:rsidRDefault="00825334" w:rsidP="000C6A37">
      <w:pPr>
        <w:pStyle w:val="Notedebasdepage"/>
        <w:jc w:val="both"/>
        <w:rPr>
          <w:lang w:val="fr-BE"/>
        </w:rPr>
      </w:pPr>
      <w:r>
        <w:rPr>
          <w:rStyle w:val="Appelnotedebasdep"/>
        </w:rPr>
        <w:footnoteRef/>
      </w:r>
      <w:r>
        <w:t xml:space="preserve"> </w:t>
      </w:r>
      <w:r>
        <w:rPr>
          <w:lang w:val="fr-BE"/>
        </w:rPr>
        <w:t>Ce carnet n’a pas été pris en compte dans le corpus, étant donné qu’il est resté non — bien qu’un billet d’appel de poste y ait été publié le 3 septembre 2021.</w:t>
      </w:r>
    </w:p>
  </w:footnote>
  <w:footnote w:id="23">
    <w:p w14:paraId="6A4BFA68" w14:textId="77777777" w:rsidR="00825334" w:rsidRPr="00E46CE1" w:rsidRDefault="00825334" w:rsidP="000C6A37">
      <w:pPr>
        <w:pStyle w:val="Notedebasdepage"/>
        <w:jc w:val="both"/>
        <w:rPr>
          <w:lang w:val="fr-BE"/>
        </w:rPr>
      </w:pPr>
      <w:r>
        <w:rPr>
          <w:rStyle w:val="Appelnotedebasdep"/>
        </w:rPr>
        <w:footnoteRef/>
      </w:r>
      <w:r>
        <w:t xml:space="preserve"> </w:t>
      </w:r>
      <w:r w:rsidRPr="00E46CE1">
        <w:t>Lamy</w:t>
      </w:r>
      <w:r>
        <w:t xml:space="preserve"> Jérôme et</w:t>
      </w:r>
      <w:r w:rsidRPr="00E46CE1">
        <w:t xml:space="preserve"> Arnaud Saint-Martin</w:t>
      </w:r>
      <w:r>
        <w:t xml:space="preserve">. 2019 [23 </w:t>
      </w:r>
      <w:proofErr w:type="spellStart"/>
      <w:r>
        <w:t>février</w:t>
      </w:r>
      <w:proofErr w:type="spellEnd"/>
      <w:r>
        <w:t xml:space="preserve">]. “Rideau”, </w:t>
      </w:r>
      <w:proofErr w:type="spellStart"/>
      <w:r>
        <w:rPr>
          <w:i/>
          <w:iCs/>
        </w:rPr>
        <w:t>Zilsel</w:t>
      </w:r>
      <w:proofErr w:type="spellEnd"/>
      <w:r>
        <w:t xml:space="preserve">, </w:t>
      </w:r>
      <w:hyperlink r:id="rId14" w:history="1">
        <w:r w:rsidRPr="002C2A2A">
          <w:rPr>
            <w:rStyle w:val="Lienhypertexte"/>
          </w:rPr>
          <w:t>https://zilsel.hypotheses.org/3612</w:t>
        </w:r>
      </w:hyperlink>
      <w:r>
        <w:t xml:space="preserve">. </w:t>
      </w:r>
    </w:p>
  </w:footnote>
  <w:footnote w:id="24">
    <w:p w14:paraId="1E563DDC" w14:textId="77777777" w:rsidR="00825334" w:rsidRDefault="00825334" w:rsidP="000C6A37">
      <w:pPr>
        <w:pStyle w:val="Notedebasdepage"/>
        <w:jc w:val="both"/>
      </w:pPr>
      <w:r>
        <w:rPr>
          <w:rStyle w:val="Appelnotedebasdep"/>
        </w:rPr>
        <w:footnoteRef/>
      </w:r>
      <w:r>
        <w:t xml:space="preserve"> On </w:t>
      </w:r>
      <w:proofErr w:type="spellStart"/>
      <w:r>
        <w:t>trouve</w:t>
      </w:r>
      <w:proofErr w:type="spellEnd"/>
      <w:r>
        <w:t xml:space="preserve"> </w:t>
      </w:r>
      <w:proofErr w:type="spellStart"/>
      <w:r>
        <w:t>également</w:t>
      </w:r>
      <w:proofErr w:type="spellEnd"/>
      <w:r>
        <w:t xml:space="preserve"> sur la page </w:t>
      </w:r>
      <w:proofErr w:type="spellStart"/>
      <w:r>
        <w:t>d’accueil</w:t>
      </w:r>
      <w:proofErr w:type="spellEnd"/>
      <w:r>
        <w:t xml:space="preserve"> du site </w:t>
      </w:r>
      <w:proofErr w:type="spellStart"/>
      <w:r w:rsidRPr="00721C10">
        <w:rPr>
          <w:i/>
        </w:rPr>
        <w:t>Criminocorpus</w:t>
      </w:r>
      <w:proofErr w:type="spellEnd"/>
      <w:r>
        <w:t xml:space="preserve"> un lien </w:t>
      </w:r>
      <w:proofErr w:type="spellStart"/>
      <w:r>
        <w:t>vers</w:t>
      </w:r>
      <w:proofErr w:type="spellEnd"/>
      <w:r>
        <w:t xml:space="preserve"> la </w:t>
      </w:r>
      <w:proofErr w:type="spellStart"/>
      <w:r>
        <w:t>liste</w:t>
      </w:r>
      <w:proofErr w:type="spellEnd"/>
      <w:r>
        <w:t xml:space="preserve"> des auteurs du site </w:t>
      </w:r>
      <w:proofErr w:type="spellStart"/>
      <w:r>
        <w:t>où</w:t>
      </w:r>
      <w:proofErr w:type="spellEnd"/>
      <w:r>
        <w:t xml:space="preserve"> </w:t>
      </w:r>
      <w:proofErr w:type="spellStart"/>
      <w:r>
        <w:t>l’on</w:t>
      </w:r>
      <w:proofErr w:type="spellEnd"/>
      <w:r>
        <w:t xml:space="preserve"> </w:t>
      </w:r>
      <w:proofErr w:type="spellStart"/>
      <w:r>
        <w:t>retrouve</w:t>
      </w:r>
      <w:proofErr w:type="spellEnd"/>
      <w:r>
        <w:t xml:space="preserve"> </w:t>
      </w:r>
      <w:proofErr w:type="spellStart"/>
      <w:r>
        <w:t>une</w:t>
      </w:r>
      <w:proofErr w:type="spellEnd"/>
      <w:r>
        <w:t xml:space="preserve"> </w:t>
      </w:r>
      <w:proofErr w:type="spellStart"/>
      <w:r>
        <w:t>partie</w:t>
      </w:r>
      <w:proofErr w:type="spellEnd"/>
      <w:r>
        <w:t xml:space="preserve"> des </w:t>
      </w:r>
      <w:proofErr w:type="spellStart"/>
      <w:r>
        <w:t>noms</w:t>
      </w:r>
      <w:proofErr w:type="spellEnd"/>
      <w:r>
        <w:t xml:space="preserve"> des auteurs des billets du carnet.</w:t>
      </w:r>
    </w:p>
  </w:footnote>
  <w:footnote w:id="25">
    <w:p w14:paraId="6D8FEED8" w14:textId="77777777" w:rsidR="00825334" w:rsidRDefault="00825334" w:rsidP="000C6A37">
      <w:pPr>
        <w:pStyle w:val="Notedebasdepage"/>
        <w:jc w:val="both"/>
      </w:pPr>
      <w:r>
        <w:rPr>
          <w:rStyle w:val="Appelnotedebasdep"/>
        </w:rPr>
        <w:footnoteRef/>
      </w:r>
      <w:r>
        <w:t xml:space="preserve"> </w:t>
      </w:r>
      <w:proofErr w:type="spellStart"/>
      <w:r>
        <w:t>Actuellement</w:t>
      </w:r>
      <w:proofErr w:type="spellEnd"/>
      <w:r>
        <w:t xml:space="preserve">, </w:t>
      </w:r>
      <w:proofErr w:type="spellStart"/>
      <w:r>
        <w:t>anciens</w:t>
      </w:r>
      <w:proofErr w:type="spellEnd"/>
      <w:r>
        <w:t xml:space="preserve"> </w:t>
      </w:r>
      <w:proofErr w:type="spellStart"/>
      <w:r>
        <w:t>membres</w:t>
      </w:r>
      <w:proofErr w:type="spellEnd"/>
      <w:r>
        <w:t xml:space="preserve"> du </w:t>
      </w:r>
      <w:proofErr w:type="spellStart"/>
      <w:r>
        <w:t>comité</w:t>
      </w:r>
      <w:proofErr w:type="spellEnd"/>
      <w:r>
        <w:t xml:space="preserve"> de </w:t>
      </w:r>
      <w:proofErr w:type="spellStart"/>
      <w:r>
        <w:t>rédaction</w:t>
      </w:r>
      <w:proofErr w:type="spellEnd"/>
      <w:r>
        <w:t xml:space="preserve"> pour la </w:t>
      </w:r>
      <w:proofErr w:type="spellStart"/>
      <w:r>
        <w:t>plupart</w:t>
      </w:r>
      <w:proofErr w:type="spellEnd"/>
      <w:r>
        <w:t xml:space="preserve"> </w:t>
      </w:r>
      <w:proofErr w:type="spellStart"/>
      <w:r>
        <w:t>d’entre</w:t>
      </w:r>
      <w:proofErr w:type="spellEnd"/>
      <w:r>
        <w:t xml:space="preserve"> </w:t>
      </w:r>
      <w:proofErr w:type="spellStart"/>
      <w:r>
        <w:t>eux</w:t>
      </w:r>
      <w:proofErr w:type="spellEnd"/>
      <w:r>
        <w:t xml:space="preserve"> </w:t>
      </w:r>
      <w:proofErr w:type="spellStart"/>
      <w:r>
        <w:t>mais</w:t>
      </w:r>
      <w:proofErr w:type="spellEnd"/>
      <w:r>
        <w:t xml:space="preserve"> </w:t>
      </w:r>
      <w:proofErr w:type="spellStart"/>
      <w:r>
        <w:t>actifs</w:t>
      </w:r>
      <w:proofErr w:type="spellEnd"/>
      <w:r>
        <w:t xml:space="preserve"> dans la </w:t>
      </w:r>
      <w:proofErr w:type="spellStart"/>
      <w:r>
        <w:t>période</w:t>
      </w:r>
      <w:proofErr w:type="spellEnd"/>
      <w:r>
        <w:t xml:space="preserve"> </w:t>
      </w:r>
      <w:proofErr w:type="spellStart"/>
      <w:r>
        <w:t>concernée</w:t>
      </w:r>
      <w:proofErr w:type="spellEnd"/>
      <w:r>
        <w:t xml:space="preserve"> par </w:t>
      </w:r>
      <w:proofErr w:type="spellStart"/>
      <w:r>
        <w:t>notre</w:t>
      </w:r>
      <w:proofErr w:type="spellEnd"/>
      <w:r>
        <w:t xml:space="preserve"> corpus.</w:t>
      </w:r>
    </w:p>
  </w:footnote>
  <w:footnote w:id="26">
    <w:p w14:paraId="77C6F21C" w14:textId="4996AD75" w:rsidR="00644D72" w:rsidRPr="00644D72" w:rsidRDefault="00644D72" w:rsidP="000C6A37">
      <w:pPr>
        <w:pStyle w:val="Notedebasdepage"/>
        <w:jc w:val="both"/>
        <w:rPr>
          <w:lang w:val="fr-FR"/>
        </w:rPr>
      </w:pPr>
      <w:r>
        <w:rPr>
          <w:rStyle w:val="Appelnotedebasdep"/>
        </w:rPr>
        <w:footnoteRef/>
      </w:r>
      <w:r>
        <w:t xml:space="preserve"> </w:t>
      </w:r>
      <w:r w:rsidRPr="000C6A37">
        <w:rPr>
          <w:i/>
          <w:iCs/>
        </w:rPr>
        <w:t>Cf</w:t>
      </w:r>
      <w:r w:rsidR="00243BD3" w:rsidRPr="000C6A37">
        <w:rPr>
          <w:i/>
          <w:iCs/>
        </w:rPr>
        <w:t>.</w:t>
      </w:r>
      <w:r>
        <w:t xml:space="preserve"> </w:t>
      </w:r>
      <w:proofErr w:type="spellStart"/>
      <w:r>
        <w:t>l’analyse</w:t>
      </w:r>
      <w:proofErr w:type="spellEnd"/>
      <w:r>
        <w:t xml:space="preserve"> plus </w:t>
      </w:r>
      <w:proofErr w:type="spellStart"/>
      <w:r>
        <w:t>approfondie</w:t>
      </w:r>
      <w:proofErr w:type="spellEnd"/>
      <w:r>
        <w:t xml:space="preserve"> des </w:t>
      </w:r>
      <w:proofErr w:type="spellStart"/>
      <w:r>
        <w:t>r</w:t>
      </w:r>
      <w:r w:rsidR="00C2290B">
        <w:t>éseaux</w:t>
      </w:r>
      <w:proofErr w:type="spellEnd"/>
      <w:r w:rsidR="00C2290B">
        <w:t xml:space="preserve"> </w:t>
      </w:r>
      <w:proofErr w:type="spellStart"/>
      <w:r w:rsidR="00C2290B">
        <w:t>d’auteurs</w:t>
      </w:r>
      <w:proofErr w:type="spellEnd"/>
      <w:r w:rsidR="00C2290B">
        <w:t xml:space="preserve"> de carnets d’</w:t>
      </w:r>
      <w:r w:rsidR="00C2290B" w:rsidRPr="00C2290B">
        <w:rPr>
          <w:i/>
        </w:rPr>
        <w:t xml:space="preserve">Hypotheses.org </w:t>
      </w:r>
      <w:r w:rsidR="00C2290B">
        <w:t>par Prime-</w:t>
      </w:r>
      <w:proofErr w:type="spellStart"/>
      <w:r w:rsidR="00C2290B">
        <w:t>Claverie</w:t>
      </w:r>
      <w:proofErr w:type="spellEnd"/>
      <w:r w:rsidR="00C2290B">
        <w:t xml:space="preserve"> et </w:t>
      </w:r>
      <w:proofErr w:type="spellStart"/>
      <w:r w:rsidR="00C2290B">
        <w:t>Poupardin</w:t>
      </w:r>
      <w:proofErr w:type="spellEnd"/>
      <w:r w:rsidR="00C2290B">
        <w:t xml:space="preserve"> (à </w:t>
      </w:r>
      <w:proofErr w:type="spellStart"/>
      <w:r w:rsidR="00C2290B">
        <w:t>paraître</w:t>
      </w:r>
      <w:proofErr w:type="spellEnd"/>
      <w:r w:rsidR="00C2290B">
        <w:t xml:space="preserve">, </w:t>
      </w:r>
      <w:proofErr w:type="spellStart"/>
      <w:r w:rsidR="00C2290B" w:rsidRPr="00217405">
        <w:rPr>
          <w:i/>
          <w:iCs/>
        </w:rPr>
        <w:t>op.cit</w:t>
      </w:r>
      <w:proofErr w:type="spellEnd"/>
      <w:r w:rsidR="00C2290B">
        <w:t>.).</w:t>
      </w:r>
    </w:p>
  </w:footnote>
  <w:footnote w:id="27">
    <w:p w14:paraId="543142A1" w14:textId="6733C7AE" w:rsidR="002B0180" w:rsidRPr="002B0180" w:rsidRDefault="002B0180">
      <w:pPr>
        <w:pStyle w:val="Notedebasdepage"/>
        <w:rPr>
          <w:lang w:val="fr-FR"/>
        </w:rPr>
      </w:pPr>
      <w:r>
        <w:rPr>
          <w:rStyle w:val="Appelnotedebasdep"/>
        </w:rPr>
        <w:footnoteRef/>
      </w:r>
      <w:r>
        <w:t xml:space="preserve"> </w:t>
      </w:r>
      <w:r>
        <w:rPr>
          <w:lang w:val="fr-FR"/>
        </w:rPr>
        <w:t>Et cette pratique n’a d’ailleurs pas essaimé dans les pratiques SHS d’autres pays, aucune revue étrangère n’apparaissant dans le corpus des carnets d’accompagnement.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06FC"/>
    <w:multiLevelType w:val="hybridMultilevel"/>
    <w:tmpl w:val="AA9468A8"/>
    <w:lvl w:ilvl="0" w:tplc="C09CB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93C54"/>
    <w:multiLevelType w:val="hybridMultilevel"/>
    <w:tmpl w:val="3822FDA0"/>
    <w:lvl w:ilvl="0" w:tplc="AC2EF73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025A3"/>
    <w:multiLevelType w:val="hybridMultilevel"/>
    <w:tmpl w:val="17B85820"/>
    <w:lvl w:ilvl="0" w:tplc="AC2EF73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552A0"/>
    <w:multiLevelType w:val="hybridMultilevel"/>
    <w:tmpl w:val="C1649852"/>
    <w:lvl w:ilvl="0" w:tplc="BD563C50">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E41D0"/>
    <w:multiLevelType w:val="hybridMultilevel"/>
    <w:tmpl w:val="FF3402F0"/>
    <w:lvl w:ilvl="0" w:tplc="AC2EF73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D4548"/>
    <w:multiLevelType w:val="hybridMultilevel"/>
    <w:tmpl w:val="5FFEEB02"/>
    <w:lvl w:ilvl="0" w:tplc="AC2EF73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801E0F"/>
    <w:multiLevelType w:val="hybridMultilevel"/>
    <w:tmpl w:val="F36AD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6562C"/>
    <w:multiLevelType w:val="hybridMultilevel"/>
    <w:tmpl w:val="3EACA162"/>
    <w:lvl w:ilvl="0" w:tplc="D3EA74A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4EA20E4"/>
    <w:multiLevelType w:val="hybridMultilevel"/>
    <w:tmpl w:val="2884C64A"/>
    <w:lvl w:ilvl="0" w:tplc="AC2EF73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DD6EDE"/>
    <w:multiLevelType w:val="hybridMultilevel"/>
    <w:tmpl w:val="2ED407A4"/>
    <w:lvl w:ilvl="0" w:tplc="AC2EF73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44328D"/>
    <w:multiLevelType w:val="hybridMultilevel"/>
    <w:tmpl w:val="820A37D4"/>
    <w:lvl w:ilvl="0" w:tplc="84E85126">
      <w:start w:val="137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4A5D04BB"/>
    <w:multiLevelType w:val="hybridMultilevel"/>
    <w:tmpl w:val="447E03B6"/>
    <w:lvl w:ilvl="0" w:tplc="AC2EF73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0F68D9"/>
    <w:multiLevelType w:val="hybridMultilevel"/>
    <w:tmpl w:val="9D368720"/>
    <w:lvl w:ilvl="0" w:tplc="16400D1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467EC"/>
    <w:multiLevelType w:val="hybridMultilevel"/>
    <w:tmpl w:val="2C040E1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6B992B82"/>
    <w:multiLevelType w:val="hybridMultilevel"/>
    <w:tmpl w:val="8E18D1AC"/>
    <w:lvl w:ilvl="0" w:tplc="AC2EF73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8B1718"/>
    <w:multiLevelType w:val="hybridMultilevel"/>
    <w:tmpl w:val="93A00EA8"/>
    <w:lvl w:ilvl="0" w:tplc="AC2EF736">
      <w:start w:val="1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7"/>
  </w:num>
  <w:num w:numId="5">
    <w:abstractNumId w:val="3"/>
  </w:num>
  <w:num w:numId="6">
    <w:abstractNumId w:val="13"/>
  </w:num>
  <w:num w:numId="7">
    <w:abstractNumId w:val="15"/>
  </w:num>
  <w:num w:numId="8">
    <w:abstractNumId w:val="14"/>
  </w:num>
  <w:num w:numId="9">
    <w:abstractNumId w:val="1"/>
  </w:num>
  <w:num w:numId="10">
    <w:abstractNumId w:val="10"/>
  </w:num>
  <w:num w:numId="11">
    <w:abstractNumId w:val="2"/>
  </w:num>
  <w:num w:numId="12">
    <w:abstractNumId w:val="8"/>
  </w:num>
  <w:num w:numId="13">
    <w:abstractNumId w:val="5"/>
  </w:num>
  <w:num w:numId="14">
    <w:abstractNumId w:val="11"/>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79"/>
    <w:rsid w:val="000020DB"/>
    <w:rsid w:val="00011093"/>
    <w:rsid w:val="00016E31"/>
    <w:rsid w:val="0002166D"/>
    <w:rsid w:val="00024F95"/>
    <w:rsid w:val="00034372"/>
    <w:rsid w:val="00035033"/>
    <w:rsid w:val="000351DF"/>
    <w:rsid w:val="00044285"/>
    <w:rsid w:val="000525AD"/>
    <w:rsid w:val="00054FC7"/>
    <w:rsid w:val="00056171"/>
    <w:rsid w:val="00061A24"/>
    <w:rsid w:val="00061D93"/>
    <w:rsid w:val="00065BAE"/>
    <w:rsid w:val="00073911"/>
    <w:rsid w:val="00080B46"/>
    <w:rsid w:val="00081046"/>
    <w:rsid w:val="00091A4D"/>
    <w:rsid w:val="00093ED4"/>
    <w:rsid w:val="0009700C"/>
    <w:rsid w:val="000976EF"/>
    <w:rsid w:val="000A69B3"/>
    <w:rsid w:val="000A7F18"/>
    <w:rsid w:val="000C684D"/>
    <w:rsid w:val="000C6A37"/>
    <w:rsid w:val="000C7EE4"/>
    <w:rsid w:val="000D0B96"/>
    <w:rsid w:val="000E0481"/>
    <w:rsid w:val="000E5AD0"/>
    <w:rsid w:val="00113FE9"/>
    <w:rsid w:val="00126367"/>
    <w:rsid w:val="00126591"/>
    <w:rsid w:val="00132C66"/>
    <w:rsid w:val="001400ED"/>
    <w:rsid w:val="00142CBC"/>
    <w:rsid w:val="00152DC3"/>
    <w:rsid w:val="001534BD"/>
    <w:rsid w:val="00153A52"/>
    <w:rsid w:val="0015547F"/>
    <w:rsid w:val="001632D8"/>
    <w:rsid w:val="001639F1"/>
    <w:rsid w:val="00166662"/>
    <w:rsid w:val="00171F25"/>
    <w:rsid w:val="00176B92"/>
    <w:rsid w:val="00177CDA"/>
    <w:rsid w:val="00181148"/>
    <w:rsid w:val="00182955"/>
    <w:rsid w:val="00190A54"/>
    <w:rsid w:val="0019193C"/>
    <w:rsid w:val="001A1056"/>
    <w:rsid w:val="001A15CC"/>
    <w:rsid w:val="001A27D0"/>
    <w:rsid w:val="001A39B9"/>
    <w:rsid w:val="001B0468"/>
    <w:rsid w:val="001B0A32"/>
    <w:rsid w:val="001B7FE4"/>
    <w:rsid w:val="001C15C7"/>
    <w:rsid w:val="001C3F6C"/>
    <w:rsid w:val="001D3A9B"/>
    <w:rsid w:val="001F058B"/>
    <w:rsid w:val="001F0A62"/>
    <w:rsid w:val="001F0B2A"/>
    <w:rsid w:val="001F2653"/>
    <w:rsid w:val="00201C71"/>
    <w:rsid w:val="00204007"/>
    <w:rsid w:val="00206762"/>
    <w:rsid w:val="002119FF"/>
    <w:rsid w:val="00211D3C"/>
    <w:rsid w:val="00217405"/>
    <w:rsid w:val="00217E71"/>
    <w:rsid w:val="00223511"/>
    <w:rsid w:val="002268F3"/>
    <w:rsid w:val="00227168"/>
    <w:rsid w:val="0023072E"/>
    <w:rsid w:val="00230FE6"/>
    <w:rsid w:val="002357C0"/>
    <w:rsid w:val="0023775B"/>
    <w:rsid w:val="00243BD3"/>
    <w:rsid w:val="00245100"/>
    <w:rsid w:val="00245A36"/>
    <w:rsid w:val="00246E27"/>
    <w:rsid w:val="00254843"/>
    <w:rsid w:val="002577AC"/>
    <w:rsid w:val="002662F8"/>
    <w:rsid w:val="00266B81"/>
    <w:rsid w:val="002700F1"/>
    <w:rsid w:val="00280A44"/>
    <w:rsid w:val="00285B94"/>
    <w:rsid w:val="002870A5"/>
    <w:rsid w:val="002975C8"/>
    <w:rsid w:val="002A564B"/>
    <w:rsid w:val="002A6EB0"/>
    <w:rsid w:val="002A77D7"/>
    <w:rsid w:val="002B0180"/>
    <w:rsid w:val="002C3FB9"/>
    <w:rsid w:val="002C42F9"/>
    <w:rsid w:val="002C4343"/>
    <w:rsid w:val="002D3B68"/>
    <w:rsid w:val="002E34FA"/>
    <w:rsid w:val="002E5570"/>
    <w:rsid w:val="002E78EA"/>
    <w:rsid w:val="002E7BE2"/>
    <w:rsid w:val="002F4A8A"/>
    <w:rsid w:val="0030164E"/>
    <w:rsid w:val="00304BBE"/>
    <w:rsid w:val="003059A5"/>
    <w:rsid w:val="00306638"/>
    <w:rsid w:val="00315A75"/>
    <w:rsid w:val="00322791"/>
    <w:rsid w:val="00322BEE"/>
    <w:rsid w:val="0032624A"/>
    <w:rsid w:val="003265B6"/>
    <w:rsid w:val="003266D9"/>
    <w:rsid w:val="00326E88"/>
    <w:rsid w:val="0032797F"/>
    <w:rsid w:val="003335CA"/>
    <w:rsid w:val="00345023"/>
    <w:rsid w:val="00346224"/>
    <w:rsid w:val="00347A78"/>
    <w:rsid w:val="003526A3"/>
    <w:rsid w:val="00365ABB"/>
    <w:rsid w:val="00366D58"/>
    <w:rsid w:val="0037408B"/>
    <w:rsid w:val="003769CA"/>
    <w:rsid w:val="0038174C"/>
    <w:rsid w:val="00382A54"/>
    <w:rsid w:val="00386DA3"/>
    <w:rsid w:val="00390ADB"/>
    <w:rsid w:val="00391A84"/>
    <w:rsid w:val="00397986"/>
    <w:rsid w:val="003A293B"/>
    <w:rsid w:val="003A5FEA"/>
    <w:rsid w:val="003A6C11"/>
    <w:rsid w:val="003A785C"/>
    <w:rsid w:val="003B036F"/>
    <w:rsid w:val="003B7861"/>
    <w:rsid w:val="003C1818"/>
    <w:rsid w:val="003D5061"/>
    <w:rsid w:val="003D66E1"/>
    <w:rsid w:val="003E0ACF"/>
    <w:rsid w:val="003E2336"/>
    <w:rsid w:val="003E2716"/>
    <w:rsid w:val="003E5F82"/>
    <w:rsid w:val="003F54A7"/>
    <w:rsid w:val="004010BE"/>
    <w:rsid w:val="00404F39"/>
    <w:rsid w:val="0040522E"/>
    <w:rsid w:val="004151E8"/>
    <w:rsid w:val="0041612F"/>
    <w:rsid w:val="004166B2"/>
    <w:rsid w:val="004215E7"/>
    <w:rsid w:val="004225DF"/>
    <w:rsid w:val="00424C82"/>
    <w:rsid w:val="00424DB2"/>
    <w:rsid w:val="00424E74"/>
    <w:rsid w:val="00425CE4"/>
    <w:rsid w:val="0042795B"/>
    <w:rsid w:val="0044132F"/>
    <w:rsid w:val="004479B0"/>
    <w:rsid w:val="004513B7"/>
    <w:rsid w:val="0047568C"/>
    <w:rsid w:val="004759CA"/>
    <w:rsid w:val="0048390E"/>
    <w:rsid w:val="00483DF6"/>
    <w:rsid w:val="00484962"/>
    <w:rsid w:val="00484D68"/>
    <w:rsid w:val="00493FFD"/>
    <w:rsid w:val="004A0861"/>
    <w:rsid w:val="004A6115"/>
    <w:rsid w:val="004B5D67"/>
    <w:rsid w:val="004C5415"/>
    <w:rsid w:val="004C55E4"/>
    <w:rsid w:val="004C63D3"/>
    <w:rsid w:val="004C6742"/>
    <w:rsid w:val="004E1CF4"/>
    <w:rsid w:val="004E4E91"/>
    <w:rsid w:val="004E5509"/>
    <w:rsid w:val="004E5557"/>
    <w:rsid w:val="004E76C1"/>
    <w:rsid w:val="004F15D1"/>
    <w:rsid w:val="004F34F7"/>
    <w:rsid w:val="004F643E"/>
    <w:rsid w:val="004F7F6C"/>
    <w:rsid w:val="0050260D"/>
    <w:rsid w:val="005073F7"/>
    <w:rsid w:val="00512688"/>
    <w:rsid w:val="00514BC8"/>
    <w:rsid w:val="00516F7D"/>
    <w:rsid w:val="00524B8B"/>
    <w:rsid w:val="00532FD5"/>
    <w:rsid w:val="0053430B"/>
    <w:rsid w:val="00542EA4"/>
    <w:rsid w:val="005442B4"/>
    <w:rsid w:val="005512DE"/>
    <w:rsid w:val="00567737"/>
    <w:rsid w:val="0057312D"/>
    <w:rsid w:val="0057400C"/>
    <w:rsid w:val="005839A1"/>
    <w:rsid w:val="00594DB7"/>
    <w:rsid w:val="005B3C85"/>
    <w:rsid w:val="005B55EF"/>
    <w:rsid w:val="005C04FB"/>
    <w:rsid w:val="005C4DE4"/>
    <w:rsid w:val="005E0BF0"/>
    <w:rsid w:val="005E182C"/>
    <w:rsid w:val="005E6079"/>
    <w:rsid w:val="005F336C"/>
    <w:rsid w:val="005F7C43"/>
    <w:rsid w:val="006013C5"/>
    <w:rsid w:val="006044B8"/>
    <w:rsid w:val="0060519F"/>
    <w:rsid w:val="00606CA6"/>
    <w:rsid w:val="00607C23"/>
    <w:rsid w:val="0061207B"/>
    <w:rsid w:val="00620329"/>
    <w:rsid w:val="00621CC8"/>
    <w:rsid w:val="00622688"/>
    <w:rsid w:val="00630A05"/>
    <w:rsid w:val="00635771"/>
    <w:rsid w:val="00637B56"/>
    <w:rsid w:val="006435CD"/>
    <w:rsid w:val="00644D72"/>
    <w:rsid w:val="00665FCC"/>
    <w:rsid w:val="00675009"/>
    <w:rsid w:val="0068278F"/>
    <w:rsid w:val="00682DCE"/>
    <w:rsid w:val="0069409D"/>
    <w:rsid w:val="00697754"/>
    <w:rsid w:val="006B101A"/>
    <w:rsid w:val="006B5292"/>
    <w:rsid w:val="006D721B"/>
    <w:rsid w:val="006F1AA0"/>
    <w:rsid w:val="006F1B36"/>
    <w:rsid w:val="007006E3"/>
    <w:rsid w:val="00703324"/>
    <w:rsid w:val="007067E9"/>
    <w:rsid w:val="00713DE1"/>
    <w:rsid w:val="00721C10"/>
    <w:rsid w:val="007258DD"/>
    <w:rsid w:val="007279BF"/>
    <w:rsid w:val="00731259"/>
    <w:rsid w:val="0073179A"/>
    <w:rsid w:val="007335B5"/>
    <w:rsid w:val="007349D6"/>
    <w:rsid w:val="00735B8B"/>
    <w:rsid w:val="00740426"/>
    <w:rsid w:val="007433BB"/>
    <w:rsid w:val="00744096"/>
    <w:rsid w:val="00750449"/>
    <w:rsid w:val="0075232B"/>
    <w:rsid w:val="0075652B"/>
    <w:rsid w:val="00757C46"/>
    <w:rsid w:val="00762CFD"/>
    <w:rsid w:val="00764A41"/>
    <w:rsid w:val="00766521"/>
    <w:rsid w:val="00770245"/>
    <w:rsid w:val="007756C7"/>
    <w:rsid w:val="007832A9"/>
    <w:rsid w:val="007A35EF"/>
    <w:rsid w:val="007B18AF"/>
    <w:rsid w:val="007B239D"/>
    <w:rsid w:val="007B2D94"/>
    <w:rsid w:val="007B3093"/>
    <w:rsid w:val="007B4C5A"/>
    <w:rsid w:val="007C14BE"/>
    <w:rsid w:val="007D011C"/>
    <w:rsid w:val="007D45B5"/>
    <w:rsid w:val="007D5188"/>
    <w:rsid w:val="007F1A13"/>
    <w:rsid w:val="007F4A74"/>
    <w:rsid w:val="00804C6C"/>
    <w:rsid w:val="00804EB3"/>
    <w:rsid w:val="0080751B"/>
    <w:rsid w:val="00813816"/>
    <w:rsid w:val="00825334"/>
    <w:rsid w:val="00825EBA"/>
    <w:rsid w:val="00846C10"/>
    <w:rsid w:val="0085117B"/>
    <w:rsid w:val="00856220"/>
    <w:rsid w:val="00867E32"/>
    <w:rsid w:val="00877614"/>
    <w:rsid w:val="00877918"/>
    <w:rsid w:val="00877EC4"/>
    <w:rsid w:val="00881406"/>
    <w:rsid w:val="008822B2"/>
    <w:rsid w:val="00882484"/>
    <w:rsid w:val="0088334C"/>
    <w:rsid w:val="00886FAC"/>
    <w:rsid w:val="008A6A67"/>
    <w:rsid w:val="008B0F92"/>
    <w:rsid w:val="008B23B6"/>
    <w:rsid w:val="008B3D43"/>
    <w:rsid w:val="008C0D34"/>
    <w:rsid w:val="008C0F84"/>
    <w:rsid w:val="008C1230"/>
    <w:rsid w:val="008C2075"/>
    <w:rsid w:val="008D4186"/>
    <w:rsid w:val="008E2EA0"/>
    <w:rsid w:val="008E465D"/>
    <w:rsid w:val="008E742E"/>
    <w:rsid w:val="008F171A"/>
    <w:rsid w:val="00900833"/>
    <w:rsid w:val="009012E5"/>
    <w:rsid w:val="00901D31"/>
    <w:rsid w:val="009051F8"/>
    <w:rsid w:val="009055C6"/>
    <w:rsid w:val="00905974"/>
    <w:rsid w:val="00927089"/>
    <w:rsid w:val="00931540"/>
    <w:rsid w:val="0093465D"/>
    <w:rsid w:val="009409FC"/>
    <w:rsid w:val="00952666"/>
    <w:rsid w:val="00953D4D"/>
    <w:rsid w:val="00962F47"/>
    <w:rsid w:val="00970284"/>
    <w:rsid w:val="00970700"/>
    <w:rsid w:val="00971901"/>
    <w:rsid w:val="009829FA"/>
    <w:rsid w:val="00984B1F"/>
    <w:rsid w:val="00987853"/>
    <w:rsid w:val="00994CD2"/>
    <w:rsid w:val="009A572B"/>
    <w:rsid w:val="009C7B81"/>
    <w:rsid w:val="009D22AB"/>
    <w:rsid w:val="009D5976"/>
    <w:rsid w:val="009E7A66"/>
    <w:rsid w:val="00A15110"/>
    <w:rsid w:val="00A15693"/>
    <w:rsid w:val="00A16838"/>
    <w:rsid w:val="00A16F38"/>
    <w:rsid w:val="00A22362"/>
    <w:rsid w:val="00A2531E"/>
    <w:rsid w:val="00A30A82"/>
    <w:rsid w:val="00A3183F"/>
    <w:rsid w:val="00A339B2"/>
    <w:rsid w:val="00A40C8F"/>
    <w:rsid w:val="00A46A65"/>
    <w:rsid w:val="00A54EA6"/>
    <w:rsid w:val="00A554FD"/>
    <w:rsid w:val="00A67D1D"/>
    <w:rsid w:val="00A731B7"/>
    <w:rsid w:val="00A93EB7"/>
    <w:rsid w:val="00A946AF"/>
    <w:rsid w:val="00A970EB"/>
    <w:rsid w:val="00AA0C0E"/>
    <w:rsid w:val="00AB290C"/>
    <w:rsid w:val="00AB3B03"/>
    <w:rsid w:val="00AC0F94"/>
    <w:rsid w:val="00AC68F2"/>
    <w:rsid w:val="00AE5A18"/>
    <w:rsid w:val="00AF1328"/>
    <w:rsid w:val="00AF2812"/>
    <w:rsid w:val="00AF4A65"/>
    <w:rsid w:val="00AF52EA"/>
    <w:rsid w:val="00B02F13"/>
    <w:rsid w:val="00B04A97"/>
    <w:rsid w:val="00B249CC"/>
    <w:rsid w:val="00B26DE4"/>
    <w:rsid w:val="00B30C59"/>
    <w:rsid w:val="00B34806"/>
    <w:rsid w:val="00B35D44"/>
    <w:rsid w:val="00B41848"/>
    <w:rsid w:val="00B56FF0"/>
    <w:rsid w:val="00B62250"/>
    <w:rsid w:val="00B74C23"/>
    <w:rsid w:val="00B774B8"/>
    <w:rsid w:val="00B864EA"/>
    <w:rsid w:val="00B86FB6"/>
    <w:rsid w:val="00B91DEE"/>
    <w:rsid w:val="00BB7D2B"/>
    <w:rsid w:val="00BC4AA5"/>
    <w:rsid w:val="00BC7553"/>
    <w:rsid w:val="00BD06A0"/>
    <w:rsid w:val="00BD1426"/>
    <w:rsid w:val="00BE28BF"/>
    <w:rsid w:val="00BF15AF"/>
    <w:rsid w:val="00C033C6"/>
    <w:rsid w:val="00C04D03"/>
    <w:rsid w:val="00C057B5"/>
    <w:rsid w:val="00C20D51"/>
    <w:rsid w:val="00C22096"/>
    <w:rsid w:val="00C2290B"/>
    <w:rsid w:val="00C23077"/>
    <w:rsid w:val="00C31036"/>
    <w:rsid w:val="00C32888"/>
    <w:rsid w:val="00C36AC9"/>
    <w:rsid w:val="00C61666"/>
    <w:rsid w:val="00C62924"/>
    <w:rsid w:val="00C64DF9"/>
    <w:rsid w:val="00C92455"/>
    <w:rsid w:val="00CA5950"/>
    <w:rsid w:val="00CA633A"/>
    <w:rsid w:val="00CC1D30"/>
    <w:rsid w:val="00CD2FDF"/>
    <w:rsid w:val="00CD7582"/>
    <w:rsid w:val="00CE1782"/>
    <w:rsid w:val="00CF235F"/>
    <w:rsid w:val="00CF63D3"/>
    <w:rsid w:val="00D04239"/>
    <w:rsid w:val="00D0753F"/>
    <w:rsid w:val="00D35783"/>
    <w:rsid w:val="00D44C4E"/>
    <w:rsid w:val="00D45E2C"/>
    <w:rsid w:val="00D57A08"/>
    <w:rsid w:val="00D61DB7"/>
    <w:rsid w:val="00D61F23"/>
    <w:rsid w:val="00D6237C"/>
    <w:rsid w:val="00D77966"/>
    <w:rsid w:val="00D80623"/>
    <w:rsid w:val="00D81E38"/>
    <w:rsid w:val="00DA0377"/>
    <w:rsid w:val="00DB187C"/>
    <w:rsid w:val="00DB4F4C"/>
    <w:rsid w:val="00DD63B2"/>
    <w:rsid w:val="00DD78EA"/>
    <w:rsid w:val="00E01C69"/>
    <w:rsid w:val="00E02544"/>
    <w:rsid w:val="00E049F9"/>
    <w:rsid w:val="00E12B53"/>
    <w:rsid w:val="00E146D9"/>
    <w:rsid w:val="00E2402A"/>
    <w:rsid w:val="00E32DCF"/>
    <w:rsid w:val="00E34843"/>
    <w:rsid w:val="00E37698"/>
    <w:rsid w:val="00E400A0"/>
    <w:rsid w:val="00E40FCF"/>
    <w:rsid w:val="00E50018"/>
    <w:rsid w:val="00E70B2A"/>
    <w:rsid w:val="00E73BE3"/>
    <w:rsid w:val="00E7674F"/>
    <w:rsid w:val="00E869C4"/>
    <w:rsid w:val="00EA6C10"/>
    <w:rsid w:val="00EA6CF8"/>
    <w:rsid w:val="00EA75F1"/>
    <w:rsid w:val="00EB13A7"/>
    <w:rsid w:val="00EB1D0A"/>
    <w:rsid w:val="00EC1871"/>
    <w:rsid w:val="00EC34C9"/>
    <w:rsid w:val="00EC4F23"/>
    <w:rsid w:val="00ED3797"/>
    <w:rsid w:val="00ED6C92"/>
    <w:rsid w:val="00ED7D56"/>
    <w:rsid w:val="00EE0191"/>
    <w:rsid w:val="00EE5AFF"/>
    <w:rsid w:val="00EE5CFB"/>
    <w:rsid w:val="00EE7A47"/>
    <w:rsid w:val="00EF580E"/>
    <w:rsid w:val="00EF6732"/>
    <w:rsid w:val="00EF6DF6"/>
    <w:rsid w:val="00EF730B"/>
    <w:rsid w:val="00F02B92"/>
    <w:rsid w:val="00F24727"/>
    <w:rsid w:val="00F252DE"/>
    <w:rsid w:val="00F272C0"/>
    <w:rsid w:val="00F31C3F"/>
    <w:rsid w:val="00F461EA"/>
    <w:rsid w:val="00F572CA"/>
    <w:rsid w:val="00F67C55"/>
    <w:rsid w:val="00F67CC2"/>
    <w:rsid w:val="00F75D9B"/>
    <w:rsid w:val="00F81505"/>
    <w:rsid w:val="00F92B62"/>
    <w:rsid w:val="00F94E73"/>
    <w:rsid w:val="00F967B7"/>
    <w:rsid w:val="00FA6746"/>
    <w:rsid w:val="00FC1319"/>
    <w:rsid w:val="00FC66D7"/>
    <w:rsid w:val="00FD0D57"/>
    <w:rsid w:val="00FD7D55"/>
    <w:rsid w:val="00FE73C7"/>
    <w:rsid w:val="00FE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CF28"/>
  <w15:chartTrackingRefBased/>
  <w15:docId w15:val="{E856A09A-2723-454B-A2BE-16FAA4AD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7D0"/>
    <w:rPr>
      <w:rFonts w:ascii="Times New Roman" w:hAnsi="Times New Roman"/>
    </w:rPr>
  </w:style>
  <w:style w:type="paragraph" w:styleId="Titre1">
    <w:name w:val="heading 1"/>
    <w:basedOn w:val="Normal"/>
    <w:next w:val="Normal"/>
    <w:link w:val="Titre1Car"/>
    <w:uiPriority w:val="9"/>
    <w:qFormat/>
    <w:rsid w:val="00C61666"/>
    <w:pPr>
      <w:keepNext/>
      <w:keepLines/>
      <w:spacing w:before="240" w:after="0"/>
      <w:outlineLvl w:val="0"/>
    </w:pPr>
    <w:rPr>
      <w:rFonts w:ascii="Cambria" w:eastAsiaTheme="majorEastAsia" w:hAnsi="Cambria" w:cstheme="majorBidi"/>
      <w:b/>
      <w:sz w:val="32"/>
      <w:szCs w:val="3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1666"/>
    <w:rPr>
      <w:rFonts w:ascii="Cambria" w:eastAsiaTheme="majorEastAsia" w:hAnsi="Cambria" w:cstheme="majorBidi"/>
      <w:b/>
      <w:sz w:val="32"/>
      <w:szCs w:val="32"/>
      <w:lang w:val="fr-BE"/>
    </w:rPr>
  </w:style>
  <w:style w:type="paragraph" w:styleId="Paragraphedeliste">
    <w:name w:val="List Paragraph"/>
    <w:basedOn w:val="Normal"/>
    <w:uiPriority w:val="34"/>
    <w:qFormat/>
    <w:rsid w:val="005E6079"/>
    <w:pPr>
      <w:ind w:left="720"/>
      <w:contextualSpacing/>
    </w:pPr>
  </w:style>
  <w:style w:type="character" w:styleId="Lienhypertexte">
    <w:name w:val="Hyperlink"/>
    <w:basedOn w:val="Policepardfaut"/>
    <w:uiPriority w:val="99"/>
    <w:unhideWhenUsed/>
    <w:rsid w:val="005E6079"/>
    <w:rPr>
      <w:color w:val="0563C1" w:themeColor="hyperlink"/>
      <w:u w:val="single"/>
    </w:rPr>
  </w:style>
  <w:style w:type="paragraph" w:styleId="Notedebasdepage">
    <w:name w:val="footnote text"/>
    <w:basedOn w:val="Normal"/>
    <w:link w:val="NotedebasdepageCar"/>
    <w:uiPriority w:val="99"/>
    <w:unhideWhenUsed/>
    <w:rsid w:val="005E6079"/>
    <w:pPr>
      <w:spacing w:after="0" w:line="240" w:lineRule="auto"/>
    </w:pPr>
    <w:rPr>
      <w:sz w:val="20"/>
      <w:szCs w:val="20"/>
    </w:rPr>
  </w:style>
  <w:style w:type="character" w:customStyle="1" w:styleId="NotedebasdepageCar">
    <w:name w:val="Note de bas de page Car"/>
    <w:basedOn w:val="Policepardfaut"/>
    <w:link w:val="Notedebasdepage"/>
    <w:uiPriority w:val="99"/>
    <w:rsid w:val="005E6079"/>
    <w:rPr>
      <w:sz w:val="20"/>
      <w:szCs w:val="20"/>
    </w:rPr>
  </w:style>
  <w:style w:type="character" w:styleId="Appelnotedebasdep">
    <w:name w:val="footnote reference"/>
    <w:basedOn w:val="Policepardfaut"/>
    <w:uiPriority w:val="99"/>
    <w:unhideWhenUsed/>
    <w:rsid w:val="005E6079"/>
    <w:rPr>
      <w:vertAlign w:val="superscript"/>
    </w:rPr>
  </w:style>
  <w:style w:type="paragraph" w:styleId="Bibliographie">
    <w:name w:val="Bibliography"/>
    <w:basedOn w:val="Normal"/>
    <w:next w:val="Normal"/>
    <w:uiPriority w:val="37"/>
    <w:unhideWhenUsed/>
    <w:rsid w:val="005E6079"/>
    <w:pPr>
      <w:spacing w:after="0" w:line="480" w:lineRule="auto"/>
      <w:ind w:left="720" w:hanging="720"/>
    </w:pPr>
  </w:style>
  <w:style w:type="paragraph" w:styleId="Titre">
    <w:name w:val="Title"/>
    <w:basedOn w:val="Normal"/>
    <w:next w:val="Normal"/>
    <w:link w:val="TitreCar"/>
    <w:uiPriority w:val="10"/>
    <w:qFormat/>
    <w:rsid w:val="005E60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6079"/>
    <w:rPr>
      <w:rFonts w:asciiTheme="majorHAnsi" w:eastAsiaTheme="majorEastAsia" w:hAnsiTheme="majorHAnsi" w:cstheme="majorBidi"/>
      <w:spacing w:val="-10"/>
      <w:kern w:val="28"/>
      <w:sz w:val="56"/>
      <w:szCs w:val="56"/>
    </w:rPr>
  </w:style>
  <w:style w:type="paragraph" w:styleId="Citation">
    <w:name w:val="Quote"/>
    <w:basedOn w:val="Normal"/>
    <w:next w:val="Normal"/>
    <w:link w:val="CitationCar"/>
    <w:uiPriority w:val="29"/>
    <w:qFormat/>
    <w:rsid w:val="00386DA3"/>
    <w:pPr>
      <w:spacing w:before="200" w:after="240" w:line="240" w:lineRule="auto"/>
      <w:ind w:left="709" w:right="567"/>
      <w:jc w:val="both"/>
    </w:pPr>
    <w:rPr>
      <w:rFonts w:eastAsia="Times New Roman" w:cs="Times New Roman"/>
      <w:iCs/>
      <w:color w:val="404040" w:themeColor="text1" w:themeTint="BF"/>
      <w:szCs w:val="24"/>
      <w:lang w:val="fr-FR" w:eastAsia="fr-FR"/>
    </w:rPr>
  </w:style>
  <w:style w:type="character" w:customStyle="1" w:styleId="CitationCar">
    <w:name w:val="Citation Car"/>
    <w:basedOn w:val="Policepardfaut"/>
    <w:link w:val="Citation"/>
    <w:uiPriority w:val="29"/>
    <w:rsid w:val="00386DA3"/>
    <w:rPr>
      <w:rFonts w:ascii="Times New Roman" w:eastAsia="Times New Roman" w:hAnsi="Times New Roman" w:cs="Times New Roman"/>
      <w:iCs/>
      <w:color w:val="404040" w:themeColor="text1" w:themeTint="BF"/>
      <w:sz w:val="24"/>
      <w:szCs w:val="24"/>
      <w:lang w:val="fr-FR" w:eastAsia="fr-FR"/>
    </w:rPr>
  </w:style>
  <w:style w:type="character" w:styleId="Mentionnonrsolue">
    <w:name w:val="Unresolved Mention"/>
    <w:basedOn w:val="Policepardfaut"/>
    <w:uiPriority w:val="99"/>
    <w:semiHidden/>
    <w:unhideWhenUsed/>
    <w:rsid w:val="00F31C3F"/>
    <w:rPr>
      <w:color w:val="605E5C"/>
      <w:shd w:val="clear" w:color="auto" w:fill="E1DFDD"/>
    </w:rPr>
  </w:style>
  <w:style w:type="character" w:styleId="Appeldenotedefin">
    <w:name w:val="endnote reference"/>
    <w:basedOn w:val="Policepardfaut"/>
    <w:uiPriority w:val="99"/>
    <w:semiHidden/>
    <w:unhideWhenUsed/>
    <w:rsid w:val="004166B2"/>
    <w:rPr>
      <w:vertAlign w:val="superscript"/>
    </w:rPr>
  </w:style>
  <w:style w:type="paragraph" w:styleId="Rvision">
    <w:name w:val="Revision"/>
    <w:hidden/>
    <w:uiPriority w:val="99"/>
    <w:semiHidden/>
    <w:rsid w:val="005512DE"/>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5512DE"/>
    <w:rPr>
      <w:sz w:val="16"/>
      <w:szCs w:val="16"/>
    </w:rPr>
  </w:style>
  <w:style w:type="paragraph" w:styleId="Commentaire">
    <w:name w:val="annotation text"/>
    <w:basedOn w:val="Normal"/>
    <w:link w:val="CommentaireCar"/>
    <w:uiPriority w:val="99"/>
    <w:unhideWhenUsed/>
    <w:rsid w:val="005512DE"/>
    <w:pPr>
      <w:spacing w:line="240" w:lineRule="auto"/>
    </w:pPr>
    <w:rPr>
      <w:sz w:val="20"/>
      <w:szCs w:val="20"/>
    </w:rPr>
  </w:style>
  <w:style w:type="character" w:customStyle="1" w:styleId="CommentaireCar">
    <w:name w:val="Commentaire Car"/>
    <w:basedOn w:val="Policepardfaut"/>
    <w:link w:val="Commentaire"/>
    <w:uiPriority w:val="99"/>
    <w:rsid w:val="005512DE"/>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5512DE"/>
    <w:rPr>
      <w:b/>
      <w:bCs/>
    </w:rPr>
  </w:style>
  <w:style w:type="character" w:customStyle="1" w:styleId="ObjetducommentaireCar">
    <w:name w:val="Objet du commentaire Car"/>
    <w:basedOn w:val="CommentaireCar"/>
    <w:link w:val="Objetducommentaire"/>
    <w:uiPriority w:val="99"/>
    <w:semiHidden/>
    <w:rsid w:val="005512DE"/>
    <w:rPr>
      <w:rFonts w:ascii="Times New Roman" w:hAnsi="Times New Roman"/>
      <w:b/>
      <w:bCs/>
      <w:sz w:val="20"/>
      <w:szCs w:val="20"/>
    </w:rPr>
  </w:style>
  <w:style w:type="paragraph" w:styleId="Textedebulles">
    <w:name w:val="Balloon Text"/>
    <w:basedOn w:val="Normal"/>
    <w:link w:val="TextedebullesCar"/>
    <w:uiPriority w:val="99"/>
    <w:semiHidden/>
    <w:unhideWhenUsed/>
    <w:rsid w:val="005512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2DE"/>
    <w:rPr>
      <w:rFonts w:ascii="Segoe UI" w:hAnsi="Segoe UI" w:cs="Segoe UI"/>
      <w:sz w:val="18"/>
      <w:szCs w:val="18"/>
    </w:rPr>
  </w:style>
  <w:style w:type="table" w:styleId="Grilledutableau">
    <w:name w:val="Table Grid"/>
    <w:basedOn w:val="TableauNormal"/>
    <w:uiPriority w:val="39"/>
    <w:rsid w:val="00132C66"/>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306638"/>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Policepardfaut"/>
    <w:rsid w:val="00376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hypothes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ese.nicolassauret.net/" TargetMode="External"/><Relationship Id="rId4" Type="http://schemas.openxmlformats.org/officeDocument/2006/relationships/settings" Target="settings.xml"/><Relationship Id="rId9" Type="http://schemas.openxmlformats.org/officeDocument/2006/relationships/hyperlink" Target="http://hdl.handle.net/2268/23225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ournalbase.cnrs.fr/" TargetMode="External"/><Relationship Id="rId13" Type="http://schemas.openxmlformats.org/officeDocument/2006/relationships/hyperlink" Target="https://lms.hypotheses.org/11874" TargetMode="External"/><Relationship Id="rId3" Type="http://schemas.openxmlformats.org/officeDocument/2006/relationships/hyperlink" Target="https://www.openedition.org/10824" TargetMode="External"/><Relationship Id="rId7" Type="http://schemas.openxmlformats.org/officeDocument/2006/relationships/hyperlink" Target="http://www.maisondesrevues.org/459" TargetMode="External"/><Relationship Id="rId12" Type="http://schemas.openxmlformats.org/officeDocument/2006/relationships/hyperlink" Target="https://socio.hypotheses.org/category/revue-de-presse" TargetMode="External"/><Relationship Id="rId2" Type="http://schemas.openxmlformats.org/officeDocument/2006/relationships/hyperlink" Target="https://metacarnet.hypotheses.org/" TargetMode="External"/><Relationship Id="rId1" Type="http://schemas.openxmlformats.org/officeDocument/2006/relationships/hyperlink" Target="https://www.openedition.org/34701?file=1" TargetMode="External"/><Relationship Id="rId6" Type="http://schemas.openxmlformats.org/officeDocument/2006/relationships/hyperlink" Target="https://groupefmr.hypotheses.org/" TargetMode="External"/><Relationship Id="rId11" Type="http://schemas.openxmlformats.org/officeDocument/2006/relationships/hyperlink" Target="http://www.ac-versailles.fr/PEDAGOGI/ses/themes/consommation/philippe_breton.html" TargetMode="External"/><Relationship Id="rId5" Type="http://schemas.openxmlformats.org/officeDocument/2006/relationships/hyperlink" Target="https://pedaradicale.hypotheses.org/" TargetMode="External"/><Relationship Id="rId10" Type="http://schemas.openxmlformats.org/officeDocument/2006/relationships/hyperlink" Target="https://sss.hypotheses.org/3143" TargetMode="External"/><Relationship Id="rId4" Type="http://schemas.openxmlformats.org/officeDocument/2006/relationships/hyperlink" Target="https://124revue.hypotheses.org/" TargetMode="External"/><Relationship Id="rId9" Type="http://schemas.openxmlformats.org/officeDocument/2006/relationships/hyperlink" Target="https://reseau-mirabel.info/" TargetMode="External"/><Relationship Id="rId14" Type="http://schemas.openxmlformats.org/officeDocument/2006/relationships/hyperlink" Target="https://zilsel.hypotheses.org/36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418C3-AACF-436D-B50E-88554CE7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12</Pages>
  <Words>5853</Words>
  <Characters>32196</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nob</cp:lastModifiedBy>
  <cp:revision>295</cp:revision>
  <dcterms:created xsi:type="dcterms:W3CDTF">2022-04-04T08:53:00Z</dcterms:created>
  <dcterms:modified xsi:type="dcterms:W3CDTF">2022-09-07T07:23:00Z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zotero-version="6.0.12"&gt;&lt;session id="mX4c2hYh"/&gt;&lt;style id="http://www.zotero.org/styles/apa" locale="fr-FR" hasBibliography="1" bibliographyStyleHasBeenSet="1"/&gt;&lt;prefs&gt;&lt;pref name="fieldType" value="Field"/&gt;&lt;/prefs&gt;&lt;/data&gt;</vt:lpwstr>
  </property>
</Properties>
</file>