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BC751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NeoSansStd-Medium" w:hAnsi="NeoSansStd-Medium" w:cs="NeoSansStd-Medium"/>
          <w:color w:val="FFFFFF"/>
          <w:kern w:val="0"/>
          <w:sz w:val="50"/>
          <w:szCs w:val="50"/>
        </w:rPr>
      </w:pPr>
      <w:r>
        <w:rPr>
          <w:rFonts w:ascii="NeoSansStd-Medium" w:hAnsi="NeoSansStd-Medium" w:cs="NeoSansStd-Medium"/>
          <w:color w:val="FFFFFF"/>
          <w:kern w:val="0"/>
          <w:sz w:val="50"/>
          <w:szCs w:val="50"/>
        </w:rPr>
        <w:t>SOMMAIRE</w:t>
      </w:r>
    </w:p>
    <w:p w14:paraId="668A64CF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NeoSansStd-Regular" w:hAnsi="NeoSansStd-Regular" w:cs="NeoSansStd-Regular"/>
          <w:color w:val="333333"/>
          <w:kern w:val="0"/>
          <w:sz w:val="24"/>
          <w:szCs w:val="24"/>
        </w:rPr>
      </w:pPr>
      <w:r>
        <w:rPr>
          <w:rFonts w:ascii="NeoSansStd-Regular" w:hAnsi="NeoSansStd-Regular" w:cs="NeoSansStd-Regular"/>
          <w:color w:val="000000"/>
          <w:kern w:val="0"/>
        </w:rPr>
        <w:t xml:space="preserve">INTRODUCTION </w:t>
      </w:r>
      <w:r>
        <w:rPr>
          <w:rFonts w:ascii="NeoSansStd-Regular" w:hAnsi="NeoSansStd-Regular" w:cs="NeoSansStd-Regular"/>
          <w:color w:val="333333"/>
          <w:kern w:val="0"/>
          <w:sz w:val="24"/>
          <w:szCs w:val="24"/>
        </w:rPr>
        <w:t>7</w:t>
      </w:r>
    </w:p>
    <w:p w14:paraId="06734955" w14:textId="77777777" w:rsidR="00E41CFA" w:rsidRDefault="00E41CFA" w:rsidP="00847DF9">
      <w:pPr>
        <w:autoSpaceDE w:val="0"/>
        <w:autoSpaceDN w:val="0"/>
        <w:adjustRightInd w:val="0"/>
        <w:spacing w:after="0" w:line="240" w:lineRule="auto"/>
        <w:rPr>
          <w:rFonts w:ascii="NeoSansStd-Regular" w:hAnsi="NeoSansStd-Regular" w:cs="NeoSansStd-Regular"/>
          <w:color w:val="333333"/>
          <w:kern w:val="0"/>
          <w:sz w:val="24"/>
          <w:szCs w:val="24"/>
        </w:rPr>
      </w:pPr>
    </w:p>
    <w:p w14:paraId="664A591A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NeoSansStd-Regular" w:hAnsi="NeoSansStd-Regular" w:cs="NeoSansStd-Regular"/>
          <w:color w:val="000000"/>
          <w:kern w:val="0"/>
        </w:rPr>
      </w:pPr>
      <w:r>
        <w:rPr>
          <w:rFonts w:ascii="NeoSansStd-Regular" w:hAnsi="NeoSansStd-Regular" w:cs="NeoSansStd-Regular"/>
          <w:color w:val="000000"/>
          <w:kern w:val="0"/>
        </w:rPr>
        <w:t>Le partage des données quantitatives en SHS :</w:t>
      </w:r>
    </w:p>
    <w:p w14:paraId="4D49169B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NeoSansStd-Regular" w:hAnsi="NeoSansStd-Regular" w:cs="NeoSansStd-Regular"/>
          <w:color w:val="000000"/>
          <w:kern w:val="0"/>
        </w:rPr>
      </w:pPr>
      <w:proofErr w:type="gramStart"/>
      <w:r>
        <w:rPr>
          <w:rFonts w:ascii="NeoSansStd-Regular" w:hAnsi="NeoSansStd-Regular" w:cs="NeoSansStd-Regular"/>
          <w:color w:val="000000"/>
          <w:kern w:val="0"/>
        </w:rPr>
        <w:t>enjeux</w:t>
      </w:r>
      <w:proofErr w:type="gramEnd"/>
      <w:r>
        <w:rPr>
          <w:rFonts w:ascii="NeoSansStd-Regular" w:hAnsi="NeoSansStd-Regular" w:cs="NeoSansStd-Regular"/>
          <w:color w:val="000000"/>
          <w:kern w:val="0"/>
        </w:rPr>
        <w:t xml:space="preserve"> scientifiques et éthiques, conditions matérielles</w:t>
      </w:r>
    </w:p>
    <w:p w14:paraId="07F52230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NeoSansStd-Regular" w:hAnsi="NeoSansStd-Regular" w:cs="NeoSansStd-Regular"/>
          <w:color w:val="333333"/>
          <w:kern w:val="0"/>
          <w:sz w:val="24"/>
          <w:szCs w:val="24"/>
        </w:rPr>
      </w:pPr>
      <w:r>
        <w:rPr>
          <w:rFonts w:ascii="NeoSansStd-Regular" w:hAnsi="NeoSansStd-Regular" w:cs="NeoSansStd-Regular"/>
          <w:color w:val="000000"/>
          <w:kern w:val="0"/>
          <w:sz w:val="20"/>
          <w:szCs w:val="20"/>
        </w:rPr>
        <w:t xml:space="preserve">Sébastien OLIVEAU </w:t>
      </w:r>
      <w:r>
        <w:rPr>
          <w:rFonts w:ascii="NeoSansStd-Regular" w:hAnsi="NeoSansStd-Regular" w:cs="NeoSansStd-Regular"/>
          <w:color w:val="333333"/>
          <w:kern w:val="0"/>
          <w:sz w:val="24"/>
          <w:szCs w:val="24"/>
        </w:rPr>
        <w:t>13</w:t>
      </w:r>
    </w:p>
    <w:p w14:paraId="622D31CD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NeoSansStd-Regular" w:hAnsi="NeoSansStd-Regular" w:cs="NeoSansStd-Regular"/>
          <w:color w:val="000000"/>
          <w:kern w:val="0"/>
        </w:rPr>
      </w:pPr>
      <w:r>
        <w:rPr>
          <w:rFonts w:ascii="NeoSansStd-Regular" w:hAnsi="NeoSansStd-Regular" w:cs="NeoSansStd-Regular"/>
          <w:color w:val="000000"/>
          <w:kern w:val="0"/>
        </w:rPr>
        <w:t>Carnetiers et blogueurs de sciences : analyser des modèles</w:t>
      </w:r>
    </w:p>
    <w:p w14:paraId="7ADC5F4F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NeoSansStd-Regular" w:hAnsi="NeoSansStd-Regular" w:cs="NeoSansStd-Regular"/>
          <w:color w:val="000000"/>
          <w:kern w:val="0"/>
        </w:rPr>
      </w:pPr>
      <w:proofErr w:type="gramStart"/>
      <w:r>
        <w:rPr>
          <w:rFonts w:ascii="NeoSansStd-Regular" w:hAnsi="NeoSansStd-Regular" w:cs="NeoSansStd-Regular"/>
          <w:color w:val="000000"/>
          <w:kern w:val="0"/>
        </w:rPr>
        <w:t>et</w:t>
      </w:r>
      <w:proofErr w:type="gramEnd"/>
      <w:r>
        <w:rPr>
          <w:rFonts w:ascii="NeoSansStd-Regular" w:hAnsi="NeoSansStd-Regular" w:cs="NeoSansStd-Regular"/>
          <w:color w:val="000000"/>
          <w:kern w:val="0"/>
        </w:rPr>
        <w:t xml:space="preserve"> des communautés en construction</w:t>
      </w:r>
    </w:p>
    <w:p w14:paraId="734151BB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NeoSansStd-Regular" w:hAnsi="NeoSansStd-Regular" w:cs="NeoSansStd-Regular"/>
          <w:color w:val="333333"/>
          <w:kern w:val="0"/>
          <w:sz w:val="24"/>
          <w:szCs w:val="24"/>
        </w:rPr>
      </w:pPr>
      <w:r>
        <w:rPr>
          <w:rFonts w:ascii="NeoSansStd-Regular" w:hAnsi="NeoSansStd-Regular" w:cs="NeoSansStd-Regular"/>
          <w:color w:val="000000"/>
          <w:kern w:val="0"/>
          <w:sz w:val="20"/>
          <w:szCs w:val="20"/>
        </w:rPr>
        <w:t xml:space="preserve">Camille PRIME-CLAVERIE, Elsa POUPARDIN </w:t>
      </w:r>
      <w:r>
        <w:rPr>
          <w:rFonts w:ascii="NeoSansStd-Regular" w:hAnsi="NeoSansStd-Regular" w:cs="NeoSansStd-Regular"/>
          <w:color w:val="333333"/>
          <w:kern w:val="0"/>
          <w:sz w:val="24"/>
          <w:szCs w:val="24"/>
        </w:rPr>
        <w:t>27</w:t>
      </w:r>
    </w:p>
    <w:p w14:paraId="2BE972D6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NeoSansStd-Regular" w:hAnsi="NeoSansStd-Regular" w:cs="NeoSansStd-Regular"/>
          <w:color w:val="000000"/>
          <w:kern w:val="0"/>
        </w:rPr>
      </w:pPr>
      <w:r>
        <w:rPr>
          <w:rFonts w:ascii="NeoSansStd-Regular" w:hAnsi="NeoSansStd-Regular" w:cs="NeoSansStd-Regular"/>
          <w:color w:val="000000"/>
          <w:kern w:val="0"/>
        </w:rPr>
        <w:t>Les carnets d’accompagnement des revues sur Hypotheses.org :</w:t>
      </w:r>
    </w:p>
    <w:p w14:paraId="35E757FB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NeoSansStd-Regular" w:hAnsi="NeoSansStd-Regular" w:cs="NeoSansStd-Regular"/>
          <w:color w:val="000000"/>
          <w:kern w:val="0"/>
        </w:rPr>
      </w:pPr>
      <w:proofErr w:type="gramStart"/>
      <w:r>
        <w:rPr>
          <w:rFonts w:ascii="NeoSansStd-Regular" w:hAnsi="NeoSansStd-Regular" w:cs="NeoSansStd-Regular"/>
          <w:color w:val="000000"/>
          <w:kern w:val="0"/>
        </w:rPr>
        <w:t>rapports</w:t>
      </w:r>
      <w:proofErr w:type="gramEnd"/>
      <w:r>
        <w:rPr>
          <w:rFonts w:ascii="NeoSansStd-Regular" w:hAnsi="NeoSansStd-Regular" w:cs="NeoSansStd-Regular"/>
          <w:color w:val="000000"/>
          <w:kern w:val="0"/>
        </w:rPr>
        <w:t xml:space="preserve"> de complémentarité et logiques éditoriales</w:t>
      </w:r>
    </w:p>
    <w:p w14:paraId="072702AB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NeoSansStd-Regular" w:hAnsi="NeoSansStd-Regular" w:cs="NeoSansStd-Regular"/>
          <w:color w:val="333333"/>
          <w:kern w:val="0"/>
          <w:sz w:val="24"/>
          <w:szCs w:val="24"/>
        </w:rPr>
      </w:pPr>
      <w:r>
        <w:rPr>
          <w:rFonts w:ascii="NeoSansStd-Regular" w:hAnsi="NeoSansStd-Regular" w:cs="NeoSansStd-Regular"/>
          <w:color w:val="000000"/>
          <w:kern w:val="0"/>
          <w:sz w:val="20"/>
          <w:szCs w:val="20"/>
        </w:rPr>
        <w:t xml:space="preserve">Ingrid MAYEUR, </w:t>
      </w:r>
      <w:proofErr w:type="spellStart"/>
      <w:r>
        <w:rPr>
          <w:rFonts w:ascii="NeoSansStd-Regular" w:hAnsi="NeoSansStd-Regular" w:cs="NeoSansStd-Regular"/>
          <w:color w:val="000000"/>
          <w:kern w:val="0"/>
          <w:sz w:val="20"/>
          <w:szCs w:val="20"/>
        </w:rPr>
        <w:t>Annaïg</w:t>
      </w:r>
      <w:proofErr w:type="spellEnd"/>
      <w:r>
        <w:rPr>
          <w:rFonts w:ascii="NeoSansStd-Regular" w:hAnsi="NeoSansStd-Regular" w:cs="NeoSansStd-Regular"/>
          <w:color w:val="000000"/>
          <w:kern w:val="0"/>
          <w:sz w:val="20"/>
          <w:szCs w:val="20"/>
        </w:rPr>
        <w:t xml:space="preserve"> MAHÉ </w:t>
      </w:r>
      <w:r>
        <w:rPr>
          <w:rFonts w:ascii="NeoSansStd-Regular" w:hAnsi="NeoSansStd-Regular" w:cs="NeoSansStd-Regular"/>
          <w:color w:val="333333"/>
          <w:kern w:val="0"/>
          <w:sz w:val="24"/>
          <w:szCs w:val="24"/>
        </w:rPr>
        <w:t>47</w:t>
      </w:r>
    </w:p>
    <w:p w14:paraId="7E9DFC5C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NeoSansStd-Regular" w:hAnsi="NeoSansStd-Regular" w:cs="NeoSansStd-Regular"/>
          <w:color w:val="000000"/>
          <w:kern w:val="0"/>
        </w:rPr>
      </w:pPr>
      <w:r>
        <w:rPr>
          <w:rFonts w:ascii="NeoSansStd-Regular" w:hAnsi="NeoSansStd-Regular" w:cs="NeoSansStd-Regular"/>
          <w:color w:val="000000"/>
          <w:kern w:val="0"/>
        </w:rPr>
        <w:t>Données et métadonnées dans l’hybridation et le bricolage</w:t>
      </w:r>
    </w:p>
    <w:p w14:paraId="0DE75601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NeoSansStd-Regular" w:hAnsi="NeoSansStd-Regular" w:cs="NeoSansStd-Regular"/>
          <w:color w:val="000000"/>
          <w:kern w:val="0"/>
        </w:rPr>
      </w:pPr>
      <w:proofErr w:type="gramStart"/>
      <w:r>
        <w:rPr>
          <w:rFonts w:ascii="NeoSansStd-Regular" w:hAnsi="NeoSansStd-Regular" w:cs="NeoSansStd-Regular"/>
          <w:color w:val="000000"/>
          <w:kern w:val="0"/>
        </w:rPr>
        <w:t>des</w:t>
      </w:r>
      <w:proofErr w:type="gramEnd"/>
      <w:r>
        <w:rPr>
          <w:rFonts w:ascii="NeoSansStd-Regular" w:hAnsi="NeoSansStd-Regular" w:cs="NeoSansStd-Regular"/>
          <w:color w:val="000000"/>
          <w:kern w:val="0"/>
        </w:rPr>
        <w:t xml:space="preserve"> pratiques des chercheurs en contexte de science ouverte.</w:t>
      </w:r>
    </w:p>
    <w:p w14:paraId="7EDB0C26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NeoSansStd-Regular" w:hAnsi="NeoSansStd-Regular" w:cs="NeoSansStd-Regular"/>
          <w:color w:val="000000"/>
          <w:kern w:val="0"/>
        </w:rPr>
      </w:pPr>
      <w:r>
        <w:rPr>
          <w:rFonts w:ascii="NeoSansStd-Regular" w:hAnsi="NeoSansStd-Regular" w:cs="NeoSansStd-Regular"/>
          <w:color w:val="000000"/>
          <w:kern w:val="0"/>
        </w:rPr>
        <w:t>Un retour d’expérience du GDR « SILEX »</w:t>
      </w:r>
    </w:p>
    <w:p w14:paraId="346DF8F4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NeoSansStd-Regular" w:hAnsi="NeoSansStd-Regular" w:cs="NeoSansStd-Regular"/>
          <w:color w:val="000000"/>
          <w:kern w:val="0"/>
          <w:sz w:val="20"/>
          <w:szCs w:val="20"/>
        </w:rPr>
      </w:pPr>
      <w:r>
        <w:rPr>
          <w:rFonts w:ascii="NeoSansStd-Regular" w:hAnsi="NeoSansStd-Regular" w:cs="NeoSansStd-Regular"/>
          <w:color w:val="000000"/>
          <w:kern w:val="0"/>
          <w:sz w:val="20"/>
          <w:szCs w:val="20"/>
        </w:rPr>
        <w:t>Christophe TUFFÉRY, Vincent DELVIGNE, Paul FERNANDES,</w:t>
      </w:r>
    </w:p>
    <w:p w14:paraId="79F478E3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NeoSansStd-Regular" w:hAnsi="NeoSansStd-Regular" w:cs="NeoSansStd-Regular"/>
          <w:color w:val="333333"/>
          <w:kern w:val="0"/>
          <w:sz w:val="24"/>
          <w:szCs w:val="24"/>
        </w:rPr>
      </w:pPr>
      <w:r>
        <w:rPr>
          <w:rFonts w:ascii="NeoSansStd-Regular" w:hAnsi="NeoSansStd-Regular" w:cs="NeoSansStd-Regular"/>
          <w:color w:val="000000"/>
          <w:kern w:val="0"/>
          <w:sz w:val="20"/>
          <w:szCs w:val="20"/>
        </w:rPr>
        <w:t xml:space="preserve">Jérémy GARNIAUX, Stéphane RENAULT </w:t>
      </w:r>
      <w:r>
        <w:rPr>
          <w:rFonts w:ascii="NeoSansStd-Regular" w:hAnsi="NeoSansStd-Regular" w:cs="NeoSansStd-Regular"/>
          <w:color w:val="333333"/>
          <w:kern w:val="0"/>
          <w:sz w:val="24"/>
          <w:szCs w:val="24"/>
        </w:rPr>
        <w:t>65</w:t>
      </w:r>
    </w:p>
    <w:p w14:paraId="32CE8AE9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NeoSansStd-Regular" w:hAnsi="NeoSansStd-Regular" w:cs="NeoSansStd-Regular"/>
          <w:color w:val="000000"/>
          <w:kern w:val="0"/>
        </w:rPr>
      </w:pPr>
      <w:r>
        <w:rPr>
          <w:rFonts w:ascii="NeoSansStd-Regular" w:hAnsi="NeoSansStd-Regular" w:cs="NeoSansStd-Regular"/>
          <w:color w:val="000000"/>
          <w:kern w:val="0"/>
        </w:rPr>
        <w:t>Ouverture des résultats de la recherche et du développement</w:t>
      </w:r>
    </w:p>
    <w:p w14:paraId="38B3DC98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NeoSansStd-Regular" w:hAnsi="NeoSansStd-Regular" w:cs="NeoSansStd-Regular"/>
          <w:color w:val="000000"/>
          <w:kern w:val="0"/>
        </w:rPr>
      </w:pPr>
      <w:proofErr w:type="gramStart"/>
      <w:r>
        <w:rPr>
          <w:rFonts w:ascii="NeoSansStd-Regular" w:hAnsi="NeoSansStd-Regular" w:cs="NeoSansStd-Regular"/>
          <w:color w:val="000000"/>
          <w:kern w:val="0"/>
        </w:rPr>
        <w:t>en</w:t>
      </w:r>
      <w:proofErr w:type="gramEnd"/>
      <w:r>
        <w:rPr>
          <w:rFonts w:ascii="NeoSansStd-Regular" w:hAnsi="NeoSansStd-Regular" w:cs="NeoSansStd-Regular"/>
          <w:color w:val="000000"/>
          <w:kern w:val="0"/>
        </w:rPr>
        <w:t xml:space="preserve"> bioéconomie : le cas de la région Hauts-de</w:t>
      </w:r>
      <w:r>
        <w:rPr>
          <w:rFonts w:ascii="Cambria Math" w:hAnsi="Cambria Math" w:cs="Cambria Math"/>
          <w:color w:val="000000"/>
          <w:kern w:val="0"/>
        </w:rPr>
        <w:t>‑</w:t>
      </w:r>
      <w:r>
        <w:rPr>
          <w:rFonts w:ascii="NeoSansStd-Regular" w:hAnsi="NeoSansStd-Regular" w:cs="NeoSansStd-Regular"/>
          <w:color w:val="000000"/>
          <w:kern w:val="0"/>
        </w:rPr>
        <w:t>France</w:t>
      </w:r>
    </w:p>
    <w:p w14:paraId="672285CA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NeoSansStd-Regular" w:hAnsi="NeoSansStd-Regular" w:cs="NeoSansStd-Regular"/>
          <w:color w:val="333333"/>
          <w:kern w:val="0"/>
          <w:sz w:val="24"/>
          <w:szCs w:val="24"/>
        </w:rPr>
      </w:pPr>
      <w:r>
        <w:rPr>
          <w:rFonts w:ascii="NeoSansStd-Regular" w:hAnsi="NeoSansStd-Regular" w:cs="NeoSansStd-Regular"/>
          <w:color w:val="000000"/>
          <w:kern w:val="0"/>
          <w:sz w:val="20"/>
          <w:szCs w:val="20"/>
        </w:rPr>
        <w:t xml:space="preserve">Marianne DUQUENNE </w:t>
      </w:r>
      <w:r>
        <w:rPr>
          <w:rFonts w:ascii="NeoSansStd-Regular" w:hAnsi="NeoSansStd-Regular" w:cs="NeoSansStd-Regular"/>
          <w:color w:val="333333"/>
          <w:kern w:val="0"/>
          <w:sz w:val="24"/>
          <w:szCs w:val="24"/>
        </w:rPr>
        <w:t>83</w:t>
      </w:r>
    </w:p>
    <w:p w14:paraId="327376AB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NeoSansStd-Regular" w:hAnsi="NeoSansStd-Regular" w:cs="NeoSansStd-Regular"/>
          <w:color w:val="000000"/>
          <w:kern w:val="0"/>
        </w:rPr>
      </w:pPr>
      <w:r>
        <w:rPr>
          <w:rFonts w:ascii="NeoSansStd-Regular" w:hAnsi="NeoSansStd-Regular" w:cs="NeoSansStd-Regular"/>
          <w:color w:val="000000"/>
          <w:kern w:val="0"/>
        </w:rPr>
        <w:t>Les petites mains de l’édition : réflexions pour des environnements</w:t>
      </w:r>
    </w:p>
    <w:p w14:paraId="129C4143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NeoSansStd-Regular" w:hAnsi="NeoSansStd-Regular" w:cs="NeoSansStd-Regular"/>
          <w:color w:val="000000"/>
          <w:kern w:val="0"/>
        </w:rPr>
      </w:pPr>
      <w:proofErr w:type="gramStart"/>
      <w:r>
        <w:rPr>
          <w:rFonts w:ascii="NeoSansStd-Regular" w:hAnsi="NeoSansStd-Regular" w:cs="NeoSansStd-Regular"/>
          <w:color w:val="000000"/>
          <w:kern w:val="0"/>
        </w:rPr>
        <w:t>éditoriaux</w:t>
      </w:r>
      <w:proofErr w:type="gramEnd"/>
      <w:r>
        <w:rPr>
          <w:rFonts w:ascii="NeoSansStd-Regular" w:hAnsi="NeoSansStd-Regular" w:cs="NeoSansStd-Regular"/>
          <w:color w:val="000000"/>
          <w:kern w:val="0"/>
        </w:rPr>
        <w:t xml:space="preserve"> équitables, pluriels et inclusifs</w:t>
      </w:r>
    </w:p>
    <w:p w14:paraId="0F80513A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NeoSansStd-Regular" w:hAnsi="NeoSansStd-Regular" w:cs="NeoSansStd-Regular"/>
          <w:color w:val="333333"/>
          <w:kern w:val="0"/>
          <w:sz w:val="24"/>
          <w:szCs w:val="24"/>
        </w:rPr>
      </w:pPr>
      <w:r>
        <w:rPr>
          <w:rFonts w:ascii="NeoSansStd-Regular" w:hAnsi="NeoSansStd-Regular" w:cs="NeoSansStd-Regular"/>
          <w:color w:val="000000"/>
          <w:kern w:val="0"/>
          <w:sz w:val="20"/>
          <w:szCs w:val="20"/>
        </w:rPr>
        <w:t xml:space="preserve">Margot MELLET </w:t>
      </w:r>
      <w:r>
        <w:rPr>
          <w:rFonts w:ascii="NeoSansStd-Regular" w:hAnsi="NeoSansStd-Regular" w:cs="NeoSansStd-Regular"/>
          <w:color w:val="333333"/>
          <w:kern w:val="0"/>
          <w:sz w:val="24"/>
          <w:szCs w:val="24"/>
        </w:rPr>
        <w:t>103</w:t>
      </w:r>
    </w:p>
    <w:p w14:paraId="48B8E627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NeoSansStd-Regular" w:hAnsi="NeoSansStd-Regular" w:cs="NeoSansStd-Regular"/>
          <w:color w:val="000000"/>
          <w:kern w:val="0"/>
        </w:rPr>
      </w:pPr>
      <w:r>
        <w:rPr>
          <w:rFonts w:ascii="NeoSansStd-Regular" w:hAnsi="NeoSansStd-Regular" w:cs="NeoSansStd-Regular"/>
          <w:color w:val="000000"/>
          <w:kern w:val="0"/>
        </w:rPr>
        <w:t>Les enjeux de l’agencement de la publication scientifique</w:t>
      </w:r>
    </w:p>
    <w:p w14:paraId="786235F7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NeoSansStd-Regular" w:hAnsi="NeoSansStd-Regular" w:cs="NeoSansStd-Regular"/>
          <w:color w:val="000000"/>
          <w:kern w:val="0"/>
        </w:rPr>
      </w:pPr>
      <w:proofErr w:type="gramStart"/>
      <w:r>
        <w:rPr>
          <w:rFonts w:ascii="NeoSansStd-Regular" w:hAnsi="NeoSansStd-Regular" w:cs="NeoSansStd-Regular"/>
          <w:color w:val="000000"/>
          <w:kern w:val="0"/>
        </w:rPr>
        <w:t>vidéo</w:t>
      </w:r>
      <w:proofErr w:type="gramEnd"/>
      <w:r>
        <w:rPr>
          <w:rFonts w:ascii="NeoSansStd-Regular" w:hAnsi="NeoSansStd-Regular" w:cs="NeoSansStd-Regular"/>
          <w:color w:val="000000"/>
          <w:kern w:val="0"/>
        </w:rPr>
        <w:t xml:space="preserve"> : le cas des VMA de </w:t>
      </w:r>
      <w:proofErr w:type="spellStart"/>
      <w:r>
        <w:rPr>
          <w:rFonts w:ascii="NeoSansStd-Regular" w:hAnsi="NeoSansStd-Regular" w:cs="NeoSansStd-Regular"/>
          <w:color w:val="000000"/>
          <w:kern w:val="0"/>
        </w:rPr>
        <w:t>JoVE</w:t>
      </w:r>
      <w:proofErr w:type="spellEnd"/>
    </w:p>
    <w:p w14:paraId="6ABD2FBA" w14:textId="77777777" w:rsidR="00847DF9" w:rsidRP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NeoSansStd-Regular" w:hAnsi="NeoSansStd-Regular" w:cs="NeoSansStd-Regular"/>
          <w:color w:val="333333"/>
          <w:kern w:val="0"/>
          <w:sz w:val="24"/>
          <w:szCs w:val="24"/>
          <w:lang w:val="en-US"/>
        </w:rPr>
      </w:pPr>
      <w:r w:rsidRPr="00847DF9">
        <w:rPr>
          <w:rFonts w:ascii="NeoSansStd-Regular" w:hAnsi="NeoSansStd-Regular" w:cs="NeoSansStd-Regular"/>
          <w:color w:val="000000"/>
          <w:kern w:val="0"/>
          <w:sz w:val="20"/>
          <w:szCs w:val="20"/>
          <w:lang w:val="en-US"/>
        </w:rPr>
        <w:t xml:space="preserve">Sarah RAKOTOARY </w:t>
      </w:r>
      <w:r w:rsidRPr="00847DF9">
        <w:rPr>
          <w:rFonts w:ascii="NeoSansStd-Regular" w:hAnsi="NeoSansStd-Regular" w:cs="NeoSansStd-Regular"/>
          <w:color w:val="333333"/>
          <w:kern w:val="0"/>
          <w:sz w:val="24"/>
          <w:szCs w:val="24"/>
          <w:lang w:val="en-US"/>
        </w:rPr>
        <w:t>121</w:t>
      </w:r>
    </w:p>
    <w:p w14:paraId="76DCDB18" w14:textId="77777777" w:rsidR="00847DF9" w:rsidRP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NeoSansStd-Regular" w:hAnsi="NeoSansStd-Regular" w:cs="NeoSansStd-Regular"/>
          <w:color w:val="000000"/>
          <w:kern w:val="0"/>
          <w:lang w:val="en-US"/>
        </w:rPr>
      </w:pPr>
      <w:r w:rsidRPr="00847DF9">
        <w:rPr>
          <w:rFonts w:ascii="NeoSansStd-Regular" w:hAnsi="NeoSansStd-Regular" w:cs="NeoSansStd-Regular"/>
          <w:color w:val="000000"/>
          <w:kern w:val="0"/>
          <w:lang w:val="en-US"/>
        </w:rPr>
        <w:t xml:space="preserve">« Where Data Goes to Die </w:t>
      </w:r>
      <w:proofErr w:type="gramStart"/>
      <w:r w:rsidRPr="00847DF9">
        <w:rPr>
          <w:rFonts w:ascii="NeoSansStd-Regular" w:hAnsi="NeoSansStd-Regular" w:cs="NeoSansStd-Regular"/>
          <w:color w:val="000000"/>
          <w:kern w:val="0"/>
          <w:lang w:val="en-US"/>
        </w:rPr>
        <w:t>» :</w:t>
      </w:r>
      <w:proofErr w:type="gramEnd"/>
      <w:r w:rsidRPr="00847DF9">
        <w:rPr>
          <w:rFonts w:ascii="NeoSansStd-Regular" w:hAnsi="NeoSansStd-Regular" w:cs="NeoSansStd-Regular"/>
          <w:color w:val="000000"/>
          <w:kern w:val="0"/>
          <w:lang w:val="en-US"/>
        </w:rPr>
        <w:t xml:space="preserve"> Re-engineering the PDF</w:t>
      </w:r>
    </w:p>
    <w:p w14:paraId="11CE1079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NeoSansStd-Regular" w:hAnsi="NeoSansStd-Regular" w:cs="NeoSansStd-Regular"/>
          <w:color w:val="000000"/>
          <w:kern w:val="0"/>
        </w:rPr>
      </w:pPr>
      <w:r>
        <w:rPr>
          <w:rFonts w:ascii="NeoSansStd-Regular" w:hAnsi="NeoSansStd-Regular" w:cs="NeoSansStd-Regular"/>
          <w:color w:val="000000"/>
          <w:kern w:val="0"/>
        </w:rPr>
        <w:t>File Format for Open Data</w:t>
      </w:r>
    </w:p>
    <w:p w14:paraId="295AA309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NeoSansStd-Regular" w:hAnsi="NeoSansStd-Regular" w:cs="NeoSansStd-Regular"/>
          <w:color w:val="333333"/>
          <w:kern w:val="0"/>
          <w:sz w:val="24"/>
          <w:szCs w:val="24"/>
        </w:rPr>
      </w:pPr>
      <w:r>
        <w:rPr>
          <w:rFonts w:ascii="NeoSansStd-Regular" w:hAnsi="NeoSansStd-Regular" w:cs="NeoSansStd-Regular"/>
          <w:color w:val="000000"/>
          <w:kern w:val="0"/>
          <w:sz w:val="20"/>
          <w:szCs w:val="20"/>
        </w:rPr>
        <w:t xml:space="preserve">Jean-François BLANCHETTE </w:t>
      </w:r>
      <w:r>
        <w:rPr>
          <w:rFonts w:ascii="NeoSansStd-Regular" w:hAnsi="NeoSansStd-Regular" w:cs="NeoSansStd-Regular"/>
          <w:color w:val="333333"/>
          <w:kern w:val="0"/>
          <w:sz w:val="24"/>
          <w:szCs w:val="24"/>
        </w:rPr>
        <w:t>133</w:t>
      </w:r>
    </w:p>
    <w:p w14:paraId="152D6923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NeoSansStd-Regular" w:hAnsi="NeoSansStd-Regular" w:cs="NeoSansStd-Regular"/>
          <w:color w:val="000000"/>
          <w:kern w:val="0"/>
        </w:rPr>
      </w:pPr>
      <w:r>
        <w:rPr>
          <w:rFonts w:ascii="NeoSansStd-Regular" w:hAnsi="NeoSansStd-Regular" w:cs="NeoSansStd-Regular"/>
          <w:color w:val="000000"/>
          <w:kern w:val="0"/>
        </w:rPr>
        <w:t xml:space="preserve">« Effets correcteurs » de l’Open </w:t>
      </w:r>
      <w:proofErr w:type="spellStart"/>
      <w:r>
        <w:rPr>
          <w:rFonts w:ascii="NeoSansStd-Regular" w:hAnsi="NeoSansStd-Regular" w:cs="NeoSansStd-Regular"/>
          <w:color w:val="000000"/>
          <w:kern w:val="0"/>
        </w:rPr>
        <w:t>Scholarly</w:t>
      </w:r>
      <w:proofErr w:type="spellEnd"/>
      <w:r>
        <w:rPr>
          <w:rFonts w:ascii="NeoSansStd-Regular" w:hAnsi="NeoSansStd-Regular" w:cs="NeoSansStd-Regular"/>
          <w:color w:val="000000"/>
          <w:kern w:val="0"/>
        </w:rPr>
        <w:t xml:space="preserve"> Communication</w:t>
      </w:r>
    </w:p>
    <w:p w14:paraId="0A272787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NeoSansStd-Regular" w:hAnsi="NeoSansStd-Regular" w:cs="NeoSansStd-Regular"/>
          <w:color w:val="333333"/>
          <w:kern w:val="0"/>
          <w:sz w:val="24"/>
          <w:szCs w:val="24"/>
        </w:rPr>
      </w:pPr>
      <w:r>
        <w:rPr>
          <w:rFonts w:ascii="NeoSansStd-Regular" w:hAnsi="NeoSansStd-Regular" w:cs="NeoSansStd-Regular"/>
          <w:color w:val="000000"/>
          <w:kern w:val="0"/>
          <w:sz w:val="20"/>
          <w:szCs w:val="20"/>
        </w:rPr>
        <w:t xml:space="preserve">Gabriel GALLEZOT, </w:t>
      </w:r>
      <w:proofErr w:type="spellStart"/>
      <w:r>
        <w:rPr>
          <w:rFonts w:ascii="NeoSansStd-Regular" w:hAnsi="NeoSansStd-Regular" w:cs="NeoSansStd-Regular"/>
          <w:color w:val="000000"/>
          <w:kern w:val="0"/>
          <w:sz w:val="20"/>
          <w:szCs w:val="20"/>
        </w:rPr>
        <w:t>Mariannig</w:t>
      </w:r>
      <w:proofErr w:type="spellEnd"/>
      <w:r>
        <w:rPr>
          <w:rFonts w:ascii="NeoSansStd-Regular" w:hAnsi="NeoSansStd-Regular" w:cs="NeoSansStd-Regular"/>
          <w:color w:val="000000"/>
          <w:kern w:val="0"/>
          <w:sz w:val="20"/>
          <w:szCs w:val="20"/>
        </w:rPr>
        <w:t xml:space="preserve"> LE BÉCHEC </w:t>
      </w:r>
      <w:r>
        <w:rPr>
          <w:rFonts w:ascii="NeoSansStd-Regular" w:hAnsi="NeoSansStd-Regular" w:cs="NeoSansStd-Regular"/>
          <w:color w:val="333333"/>
          <w:kern w:val="0"/>
          <w:sz w:val="24"/>
          <w:szCs w:val="24"/>
        </w:rPr>
        <w:t>143</w:t>
      </w:r>
    </w:p>
    <w:p w14:paraId="1B242848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NeoSansStd-Regular" w:hAnsi="NeoSansStd-Regular" w:cs="NeoSansStd-Regular"/>
          <w:color w:val="000000"/>
          <w:kern w:val="0"/>
        </w:rPr>
      </w:pPr>
      <w:r>
        <w:rPr>
          <w:rFonts w:ascii="NeoSansStd-Regular" w:hAnsi="NeoSansStd-Regular" w:cs="NeoSansStd-Regular"/>
          <w:color w:val="000000"/>
          <w:kern w:val="0"/>
        </w:rPr>
        <w:t>Quelle place les rapports AÉRES et HCÉRES font-ils</w:t>
      </w:r>
    </w:p>
    <w:p w14:paraId="552A1B83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NeoSansStd-Regular" w:hAnsi="NeoSansStd-Regular" w:cs="NeoSansStd-Regular"/>
          <w:color w:val="000000"/>
          <w:kern w:val="0"/>
        </w:rPr>
      </w:pPr>
      <w:proofErr w:type="gramStart"/>
      <w:r>
        <w:rPr>
          <w:rFonts w:ascii="NeoSansStd-Regular" w:hAnsi="NeoSansStd-Regular" w:cs="NeoSansStd-Regular"/>
          <w:color w:val="000000"/>
          <w:kern w:val="0"/>
        </w:rPr>
        <w:t>à</w:t>
      </w:r>
      <w:proofErr w:type="gramEnd"/>
      <w:r>
        <w:rPr>
          <w:rFonts w:ascii="NeoSansStd-Regular" w:hAnsi="NeoSansStd-Regular" w:cs="NeoSansStd-Regular"/>
          <w:color w:val="000000"/>
          <w:kern w:val="0"/>
        </w:rPr>
        <w:t xml:space="preserve"> la Science Ouverte ? Réponses par une analyse</w:t>
      </w:r>
    </w:p>
    <w:p w14:paraId="4B6E43C3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NeoSansStd-Regular" w:hAnsi="NeoSansStd-Regular" w:cs="NeoSansStd-Regular"/>
          <w:color w:val="000000"/>
          <w:kern w:val="0"/>
        </w:rPr>
      </w:pPr>
      <w:proofErr w:type="spellStart"/>
      <w:proofErr w:type="gramStart"/>
      <w:r>
        <w:rPr>
          <w:rFonts w:ascii="NeoSansStd-Regular" w:hAnsi="NeoSansStd-Regular" w:cs="NeoSansStd-Regular"/>
          <w:color w:val="000000"/>
          <w:kern w:val="0"/>
        </w:rPr>
        <w:t>textométrique</w:t>
      </w:r>
      <w:proofErr w:type="spellEnd"/>
      <w:proofErr w:type="gramEnd"/>
      <w:r>
        <w:rPr>
          <w:rFonts w:ascii="NeoSansStd-Regular" w:hAnsi="NeoSansStd-Regular" w:cs="NeoSansStd-Regular"/>
          <w:color w:val="000000"/>
          <w:kern w:val="0"/>
        </w:rPr>
        <w:t xml:space="preserve"> (2009-2021)</w:t>
      </w:r>
    </w:p>
    <w:p w14:paraId="602A5B24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NeoSansStd-Regular" w:hAnsi="NeoSansStd-Regular" w:cs="NeoSansStd-Regular"/>
          <w:color w:val="333333"/>
          <w:kern w:val="0"/>
          <w:sz w:val="24"/>
          <w:szCs w:val="24"/>
        </w:rPr>
      </w:pPr>
      <w:r>
        <w:rPr>
          <w:rFonts w:ascii="NeoSansStd-Regular" w:hAnsi="NeoSansStd-Regular" w:cs="NeoSansStd-Regular"/>
          <w:color w:val="000000"/>
          <w:kern w:val="0"/>
          <w:sz w:val="20"/>
          <w:szCs w:val="20"/>
        </w:rPr>
        <w:t xml:space="preserve">Frédérique BORDIGNON, </w:t>
      </w:r>
      <w:proofErr w:type="spellStart"/>
      <w:r>
        <w:rPr>
          <w:rFonts w:ascii="NeoSansStd-Regular" w:hAnsi="NeoSansStd-Regular" w:cs="NeoSansStd-Regular"/>
          <w:color w:val="000000"/>
          <w:kern w:val="0"/>
          <w:sz w:val="20"/>
          <w:szCs w:val="20"/>
        </w:rPr>
        <w:t>Chérifa</w:t>
      </w:r>
      <w:proofErr w:type="spellEnd"/>
      <w:r>
        <w:rPr>
          <w:rFonts w:ascii="NeoSansStd-Regular" w:hAnsi="NeoSansStd-Regular" w:cs="NeoSansStd-Regular"/>
          <w:color w:val="000000"/>
          <w:kern w:val="0"/>
          <w:sz w:val="20"/>
          <w:szCs w:val="20"/>
        </w:rPr>
        <w:t xml:space="preserve"> BOUKACEM-ZEGHMOURI </w:t>
      </w:r>
      <w:r>
        <w:rPr>
          <w:rFonts w:ascii="NeoSansStd-Regular" w:hAnsi="NeoSansStd-Regular" w:cs="NeoSansStd-Regular"/>
          <w:color w:val="333333"/>
          <w:kern w:val="0"/>
          <w:sz w:val="24"/>
          <w:szCs w:val="24"/>
        </w:rPr>
        <w:t>159</w:t>
      </w:r>
    </w:p>
    <w:p w14:paraId="53F762F9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12"/>
          <w:szCs w:val="12"/>
        </w:rPr>
      </w:pPr>
      <w:r>
        <w:rPr>
          <w:rFonts w:ascii="Helvetica" w:hAnsi="Helvetica" w:cs="Helvetica"/>
          <w:color w:val="000000"/>
          <w:kern w:val="0"/>
          <w:sz w:val="12"/>
          <w:szCs w:val="12"/>
        </w:rPr>
        <w:t xml:space="preserve">9782807357105_INT_001-256_SCIENTIFITIQUE.indb 5 13/02/2023 </w:t>
      </w:r>
      <w:proofErr w:type="gramStart"/>
      <w:r>
        <w:rPr>
          <w:rFonts w:ascii="Helvetica" w:hAnsi="Helvetica" w:cs="Helvetica"/>
          <w:color w:val="000000"/>
          <w:kern w:val="0"/>
          <w:sz w:val="12"/>
          <w:szCs w:val="12"/>
        </w:rPr>
        <w:t>15:</w:t>
      </w:r>
      <w:proofErr w:type="gramEnd"/>
      <w:r>
        <w:rPr>
          <w:rFonts w:ascii="Helvetica" w:hAnsi="Helvetica" w:cs="Helvetica"/>
          <w:color w:val="000000"/>
          <w:kern w:val="0"/>
          <w:sz w:val="12"/>
          <w:szCs w:val="12"/>
        </w:rPr>
        <w:t>37</w:t>
      </w:r>
    </w:p>
    <w:p w14:paraId="549CBDB4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NeoSansStd-Regular" w:hAnsi="NeoSansStd-Regular" w:cs="NeoSansStd-Regular"/>
          <w:color w:val="000000"/>
          <w:kern w:val="0"/>
          <w:sz w:val="20"/>
          <w:szCs w:val="20"/>
        </w:rPr>
      </w:pPr>
      <w:r>
        <w:rPr>
          <w:rFonts w:ascii="SerifaStd-Bold" w:hAnsi="SerifaStd-Bold" w:cs="SerifaStd-Bold"/>
          <w:b/>
          <w:bCs/>
          <w:color w:val="333333"/>
          <w:kern w:val="0"/>
        </w:rPr>
        <w:t>6</w:t>
      </w:r>
      <w:r>
        <w:rPr>
          <w:rFonts w:ascii="NeoSansStd-Regular" w:hAnsi="NeoSansStd-Regular" w:cs="NeoSansStd-Regular"/>
          <w:color w:val="000000"/>
          <w:kern w:val="0"/>
          <w:sz w:val="20"/>
          <w:szCs w:val="20"/>
        </w:rPr>
        <w:t>﻿</w:t>
      </w:r>
    </w:p>
    <w:p w14:paraId="1C2674AA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NeoSansStd-Regular" w:hAnsi="NeoSansStd-Regular" w:cs="NeoSansStd-Regular"/>
          <w:color w:val="000000"/>
          <w:kern w:val="0"/>
        </w:rPr>
      </w:pPr>
      <w:r>
        <w:rPr>
          <w:rFonts w:ascii="NeoSansStd-Regular" w:hAnsi="NeoSansStd-Regular" w:cs="NeoSansStd-Regular"/>
          <w:color w:val="000000"/>
          <w:kern w:val="0"/>
        </w:rPr>
        <w:t>Sauvegarde et données de la recherche :</w:t>
      </w:r>
    </w:p>
    <w:p w14:paraId="0A56622C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NeoSansStd-Regular" w:hAnsi="NeoSansStd-Regular" w:cs="NeoSansStd-Regular"/>
          <w:color w:val="000000"/>
          <w:kern w:val="0"/>
        </w:rPr>
      </w:pPr>
      <w:proofErr w:type="gramStart"/>
      <w:r>
        <w:rPr>
          <w:rFonts w:ascii="NeoSansStd-Regular" w:hAnsi="NeoSansStd-Regular" w:cs="NeoSansStd-Regular"/>
          <w:color w:val="000000"/>
          <w:kern w:val="0"/>
        </w:rPr>
        <w:t>quel</w:t>
      </w:r>
      <w:proofErr w:type="gramEnd"/>
      <w:r>
        <w:rPr>
          <w:rFonts w:ascii="NeoSansStd-Regular" w:hAnsi="NeoSansStd-Regular" w:cs="NeoSansStd-Regular"/>
          <w:color w:val="000000"/>
          <w:kern w:val="0"/>
        </w:rPr>
        <w:t xml:space="preserve"> tiers de confiance ?</w:t>
      </w:r>
    </w:p>
    <w:p w14:paraId="2F00DF3E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NeoSansStd-Regular" w:hAnsi="NeoSansStd-Regular" w:cs="NeoSansStd-Regular"/>
          <w:color w:val="333333"/>
          <w:kern w:val="0"/>
          <w:sz w:val="24"/>
          <w:szCs w:val="24"/>
        </w:rPr>
      </w:pPr>
      <w:proofErr w:type="spellStart"/>
      <w:r>
        <w:rPr>
          <w:rFonts w:ascii="NeoSansStd-Regular" w:hAnsi="NeoSansStd-Regular" w:cs="NeoSansStd-Regular"/>
          <w:color w:val="000000"/>
          <w:kern w:val="0"/>
          <w:sz w:val="20"/>
          <w:szCs w:val="20"/>
        </w:rPr>
        <w:t>Mariannig</w:t>
      </w:r>
      <w:proofErr w:type="spellEnd"/>
      <w:r>
        <w:rPr>
          <w:rFonts w:ascii="NeoSansStd-Regular" w:hAnsi="NeoSansStd-Regular" w:cs="NeoSansStd-Regular"/>
          <w:color w:val="000000"/>
          <w:kern w:val="0"/>
          <w:sz w:val="20"/>
          <w:szCs w:val="20"/>
        </w:rPr>
        <w:t xml:space="preserve"> LE BÉCHEC, Philippe CHARRIER, Gabriel GALLEZOT </w:t>
      </w:r>
      <w:r>
        <w:rPr>
          <w:rFonts w:ascii="NeoSansStd-Regular" w:hAnsi="NeoSansStd-Regular" w:cs="NeoSansStd-Regular"/>
          <w:color w:val="333333"/>
          <w:kern w:val="0"/>
          <w:sz w:val="24"/>
          <w:szCs w:val="24"/>
        </w:rPr>
        <w:t>173</w:t>
      </w:r>
    </w:p>
    <w:p w14:paraId="4F811C46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NeoSansStd-Regular" w:hAnsi="NeoSansStd-Regular" w:cs="NeoSansStd-Regular"/>
          <w:color w:val="000000"/>
          <w:kern w:val="0"/>
        </w:rPr>
      </w:pPr>
      <w:r>
        <w:rPr>
          <w:rFonts w:ascii="NeoSansStd-Regular" w:hAnsi="NeoSansStd-Regular" w:cs="NeoSansStd-Regular"/>
          <w:color w:val="000000"/>
          <w:kern w:val="0"/>
        </w:rPr>
        <w:t>Comprendre les comportements informationnels</w:t>
      </w:r>
    </w:p>
    <w:p w14:paraId="27267F99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NeoSansStd-Regular" w:hAnsi="NeoSansStd-Regular" w:cs="NeoSansStd-Regular"/>
          <w:color w:val="000000"/>
          <w:kern w:val="0"/>
        </w:rPr>
      </w:pPr>
      <w:proofErr w:type="gramStart"/>
      <w:r>
        <w:rPr>
          <w:rFonts w:ascii="NeoSansStd-Regular" w:hAnsi="NeoSansStd-Regular" w:cs="NeoSansStd-Regular"/>
          <w:color w:val="000000"/>
          <w:kern w:val="0"/>
        </w:rPr>
        <w:t>des</w:t>
      </w:r>
      <w:proofErr w:type="gramEnd"/>
      <w:r>
        <w:rPr>
          <w:rFonts w:ascii="NeoSansStd-Regular" w:hAnsi="NeoSansStd-Regular" w:cs="NeoSansStd-Regular"/>
          <w:color w:val="000000"/>
          <w:kern w:val="0"/>
        </w:rPr>
        <w:t xml:space="preserve"> </w:t>
      </w:r>
      <w:proofErr w:type="spellStart"/>
      <w:r>
        <w:rPr>
          <w:rFonts w:ascii="NeoSansStd-Regular" w:hAnsi="NeoSansStd-Regular" w:cs="NeoSansStd-Regular"/>
          <w:color w:val="000000"/>
          <w:kern w:val="0"/>
        </w:rPr>
        <w:t>étudiant.e.s</w:t>
      </w:r>
      <w:proofErr w:type="spellEnd"/>
      <w:r>
        <w:rPr>
          <w:rFonts w:ascii="NeoSansStd-Regular" w:hAnsi="NeoSansStd-Regular" w:cs="NeoSansStd-Regular"/>
          <w:color w:val="000000"/>
          <w:kern w:val="0"/>
        </w:rPr>
        <w:t xml:space="preserve"> dans un contexte Open :</w:t>
      </w:r>
    </w:p>
    <w:p w14:paraId="0AF9E614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NeoSansStd-Regular" w:hAnsi="NeoSansStd-Regular" w:cs="NeoSansStd-Regular"/>
          <w:color w:val="000000"/>
          <w:kern w:val="0"/>
        </w:rPr>
      </w:pPr>
      <w:proofErr w:type="gramStart"/>
      <w:r>
        <w:rPr>
          <w:rFonts w:ascii="NeoSansStd-Regular" w:hAnsi="NeoSansStd-Regular" w:cs="NeoSansStd-Regular"/>
          <w:color w:val="000000"/>
          <w:kern w:val="0"/>
        </w:rPr>
        <w:t>approches</w:t>
      </w:r>
      <w:proofErr w:type="gramEnd"/>
      <w:r>
        <w:rPr>
          <w:rFonts w:ascii="NeoSansStd-Regular" w:hAnsi="NeoSansStd-Regular" w:cs="NeoSansStd-Regular"/>
          <w:color w:val="000000"/>
          <w:kern w:val="0"/>
        </w:rPr>
        <w:t xml:space="preserve"> croisées basées sur les pratiques</w:t>
      </w:r>
    </w:p>
    <w:p w14:paraId="2FFC4A69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NeoSansStd-Regular" w:hAnsi="NeoSansStd-Regular" w:cs="NeoSansStd-Regular"/>
          <w:color w:val="333333"/>
          <w:kern w:val="0"/>
          <w:sz w:val="24"/>
          <w:szCs w:val="24"/>
        </w:rPr>
      </w:pPr>
      <w:r>
        <w:rPr>
          <w:rFonts w:ascii="NeoSansStd-Regular" w:hAnsi="NeoSansStd-Regular" w:cs="NeoSansStd-Regular"/>
          <w:color w:val="000000"/>
          <w:kern w:val="0"/>
          <w:sz w:val="20"/>
          <w:szCs w:val="20"/>
        </w:rPr>
        <w:t xml:space="preserve">Benoît EPRON, Marie MERMINOD, Elise POINT </w:t>
      </w:r>
      <w:r>
        <w:rPr>
          <w:rFonts w:ascii="NeoSansStd-Regular" w:hAnsi="NeoSansStd-Regular" w:cs="NeoSansStd-Regular"/>
          <w:color w:val="333333"/>
          <w:kern w:val="0"/>
          <w:sz w:val="24"/>
          <w:szCs w:val="24"/>
        </w:rPr>
        <w:t>183</w:t>
      </w:r>
    </w:p>
    <w:p w14:paraId="7CBF5A02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NeoSansStd-Regular" w:hAnsi="NeoSansStd-Regular" w:cs="NeoSansStd-Regular"/>
          <w:color w:val="000000"/>
          <w:kern w:val="0"/>
        </w:rPr>
      </w:pPr>
      <w:r>
        <w:rPr>
          <w:rFonts w:ascii="NeoSansStd-Regular" w:hAnsi="NeoSansStd-Regular" w:cs="NeoSansStd-Regular"/>
          <w:color w:val="000000"/>
          <w:kern w:val="0"/>
        </w:rPr>
        <w:t>Article « exécutable » et science ouverte :</w:t>
      </w:r>
    </w:p>
    <w:p w14:paraId="53ED03F3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NeoSansStd-Regular" w:hAnsi="NeoSansStd-Regular" w:cs="NeoSansStd-Regular"/>
          <w:color w:val="000000"/>
          <w:kern w:val="0"/>
        </w:rPr>
      </w:pPr>
      <w:proofErr w:type="gramStart"/>
      <w:r>
        <w:rPr>
          <w:rFonts w:ascii="NeoSansStd-Regular" w:hAnsi="NeoSansStd-Regular" w:cs="NeoSansStd-Regular"/>
          <w:color w:val="000000"/>
          <w:kern w:val="0"/>
        </w:rPr>
        <w:t>entre</w:t>
      </w:r>
      <w:proofErr w:type="gramEnd"/>
      <w:r>
        <w:rPr>
          <w:rFonts w:ascii="NeoSansStd-Regular" w:hAnsi="NeoSansStd-Regular" w:cs="NeoSansStd-Regular"/>
          <w:color w:val="000000"/>
          <w:kern w:val="0"/>
        </w:rPr>
        <w:t xml:space="preserve"> renouvellement des pratiques de publication</w:t>
      </w:r>
    </w:p>
    <w:p w14:paraId="46BD599E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NeoSansStd-Regular" w:hAnsi="NeoSansStd-Regular" w:cs="NeoSansStd-Regular"/>
          <w:color w:val="000000"/>
          <w:kern w:val="0"/>
        </w:rPr>
      </w:pPr>
      <w:proofErr w:type="gramStart"/>
      <w:r>
        <w:rPr>
          <w:rFonts w:ascii="NeoSansStd-Regular" w:hAnsi="NeoSansStd-Regular" w:cs="NeoSansStd-Regular"/>
          <w:color w:val="000000"/>
          <w:kern w:val="0"/>
        </w:rPr>
        <w:t>et</w:t>
      </w:r>
      <w:proofErr w:type="gramEnd"/>
      <w:r>
        <w:rPr>
          <w:rFonts w:ascii="NeoSansStd-Regular" w:hAnsi="NeoSansStd-Regular" w:cs="NeoSansStd-Regular"/>
          <w:color w:val="000000"/>
          <w:kern w:val="0"/>
        </w:rPr>
        <w:t xml:space="preserve"> recomposition des communautés scientifiques</w:t>
      </w:r>
    </w:p>
    <w:p w14:paraId="6923E228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NeoSansStd-Regular" w:hAnsi="NeoSansStd-Regular" w:cs="NeoSansStd-Regular"/>
          <w:color w:val="333333"/>
          <w:kern w:val="0"/>
          <w:sz w:val="24"/>
          <w:szCs w:val="24"/>
        </w:rPr>
      </w:pPr>
      <w:r>
        <w:rPr>
          <w:rFonts w:ascii="NeoSansStd-Regular" w:hAnsi="NeoSansStd-Regular" w:cs="NeoSansStd-Regular"/>
          <w:color w:val="000000"/>
          <w:kern w:val="0"/>
          <w:sz w:val="20"/>
          <w:szCs w:val="20"/>
        </w:rPr>
        <w:t xml:space="preserve">Jonathan ZURBACH </w:t>
      </w:r>
      <w:r>
        <w:rPr>
          <w:rFonts w:ascii="NeoSansStd-Regular" w:hAnsi="NeoSansStd-Regular" w:cs="NeoSansStd-Regular"/>
          <w:color w:val="333333"/>
          <w:kern w:val="0"/>
          <w:sz w:val="24"/>
          <w:szCs w:val="24"/>
        </w:rPr>
        <w:t>193</w:t>
      </w:r>
    </w:p>
    <w:p w14:paraId="20A7F79E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NeoSansStd-Regular" w:hAnsi="NeoSansStd-Regular" w:cs="NeoSansStd-Regular"/>
          <w:color w:val="000000"/>
          <w:kern w:val="0"/>
        </w:rPr>
      </w:pPr>
      <w:r>
        <w:rPr>
          <w:rFonts w:ascii="NeoSansStd-Regular" w:hAnsi="NeoSansStd-Regular" w:cs="NeoSansStd-Regular"/>
          <w:color w:val="000000"/>
          <w:kern w:val="0"/>
        </w:rPr>
        <w:t>Des différences disciplinaires dans le contexte</w:t>
      </w:r>
    </w:p>
    <w:p w14:paraId="66D32F21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NeoSansStd-Regular" w:hAnsi="NeoSansStd-Regular" w:cs="NeoSansStd-Regular"/>
          <w:color w:val="000000"/>
          <w:kern w:val="0"/>
        </w:rPr>
      </w:pPr>
      <w:proofErr w:type="gramStart"/>
      <w:r>
        <w:rPr>
          <w:rFonts w:ascii="NeoSansStd-Regular" w:hAnsi="NeoSansStd-Regular" w:cs="NeoSansStd-Regular"/>
          <w:color w:val="000000"/>
          <w:kern w:val="0"/>
        </w:rPr>
        <w:t>de</w:t>
      </w:r>
      <w:proofErr w:type="gramEnd"/>
      <w:r>
        <w:rPr>
          <w:rFonts w:ascii="NeoSansStd-Regular" w:hAnsi="NeoSansStd-Regular" w:cs="NeoSansStd-Regular"/>
          <w:color w:val="000000"/>
          <w:kern w:val="0"/>
        </w:rPr>
        <w:t xml:space="preserve"> la Science ouverte. Étude avec les publications</w:t>
      </w:r>
    </w:p>
    <w:p w14:paraId="4EC3F0CF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NeoSansStd-Regular" w:hAnsi="NeoSansStd-Regular" w:cs="NeoSansStd-Regular"/>
          <w:color w:val="000000"/>
          <w:kern w:val="0"/>
        </w:rPr>
      </w:pPr>
      <w:proofErr w:type="gramStart"/>
      <w:r>
        <w:rPr>
          <w:rFonts w:ascii="NeoSansStd-Regular" w:hAnsi="NeoSansStd-Regular" w:cs="NeoSansStd-Regular"/>
          <w:color w:val="000000"/>
          <w:kern w:val="0"/>
        </w:rPr>
        <w:lastRenderedPageBreak/>
        <w:t>de</w:t>
      </w:r>
      <w:proofErr w:type="gramEnd"/>
      <w:r>
        <w:rPr>
          <w:rFonts w:ascii="NeoSansStd-Regular" w:hAnsi="NeoSansStd-Regular" w:cs="NeoSansStd-Regular"/>
          <w:color w:val="000000"/>
          <w:kern w:val="0"/>
        </w:rPr>
        <w:t xml:space="preserve"> l’archive ouverte HAL</w:t>
      </w:r>
    </w:p>
    <w:p w14:paraId="4DFA1DA6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NeoSansStd-Regular" w:hAnsi="NeoSansStd-Regular" w:cs="NeoSansStd-Regular"/>
          <w:color w:val="333333"/>
          <w:kern w:val="0"/>
          <w:sz w:val="24"/>
          <w:szCs w:val="24"/>
        </w:rPr>
      </w:pPr>
      <w:r>
        <w:rPr>
          <w:rFonts w:ascii="NeoSansStd-Regular" w:hAnsi="NeoSansStd-Regular" w:cs="NeoSansStd-Regular"/>
          <w:color w:val="000000"/>
          <w:kern w:val="0"/>
          <w:sz w:val="20"/>
          <w:szCs w:val="20"/>
        </w:rPr>
        <w:t xml:space="preserve">Maxence LARRIEU, Joachim SCHÖPFEL </w:t>
      </w:r>
      <w:r>
        <w:rPr>
          <w:rFonts w:ascii="NeoSansStd-Regular" w:hAnsi="NeoSansStd-Regular" w:cs="NeoSansStd-Regular"/>
          <w:color w:val="333333"/>
          <w:kern w:val="0"/>
          <w:sz w:val="24"/>
          <w:szCs w:val="24"/>
        </w:rPr>
        <w:t>211</w:t>
      </w:r>
    </w:p>
    <w:p w14:paraId="0F504B17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NeoSansStd-Regular" w:hAnsi="NeoSansStd-Regular" w:cs="NeoSansStd-Regular"/>
          <w:color w:val="000000"/>
          <w:kern w:val="0"/>
        </w:rPr>
      </w:pPr>
      <w:r>
        <w:rPr>
          <w:rFonts w:ascii="NeoSansStd-Regular" w:hAnsi="NeoSansStd-Regular" w:cs="NeoSansStd-Regular"/>
          <w:color w:val="000000"/>
          <w:kern w:val="0"/>
        </w:rPr>
        <w:t>Les revues SIC face à l’enjeu de la transparence</w:t>
      </w:r>
    </w:p>
    <w:p w14:paraId="165D6668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NeoSansStd-Regular" w:hAnsi="NeoSansStd-Regular" w:cs="NeoSansStd-Regular"/>
          <w:color w:val="000000"/>
          <w:kern w:val="0"/>
        </w:rPr>
      </w:pPr>
      <w:proofErr w:type="gramStart"/>
      <w:r>
        <w:rPr>
          <w:rFonts w:ascii="NeoSansStd-Regular" w:hAnsi="NeoSansStd-Regular" w:cs="NeoSansStd-Regular"/>
          <w:color w:val="000000"/>
          <w:kern w:val="0"/>
        </w:rPr>
        <w:t>et</w:t>
      </w:r>
      <w:proofErr w:type="gramEnd"/>
      <w:r>
        <w:rPr>
          <w:rFonts w:ascii="NeoSansStd-Regular" w:hAnsi="NeoSansStd-Regular" w:cs="NeoSansStd-Regular"/>
          <w:color w:val="000000"/>
          <w:kern w:val="0"/>
        </w:rPr>
        <w:t xml:space="preserve"> de l’ouverture. Une étude empirique</w:t>
      </w:r>
    </w:p>
    <w:p w14:paraId="182E6E56" w14:textId="77777777" w:rsidR="00847DF9" w:rsidRP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NeoSansStd-Regular" w:hAnsi="NeoSansStd-Regular" w:cs="NeoSansStd-Regular"/>
          <w:color w:val="000000"/>
          <w:kern w:val="0"/>
          <w:sz w:val="20"/>
          <w:szCs w:val="20"/>
          <w:lang w:val="en-US"/>
        </w:rPr>
      </w:pPr>
      <w:r w:rsidRPr="00847DF9">
        <w:rPr>
          <w:rFonts w:ascii="NeoSansStd-Regular" w:hAnsi="NeoSansStd-Regular" w:cs="NeoSansStd-Regular"/>
          <w:color w:val="000000"/>
          <w:kern w:val="0"/>
          <w:sz w:val="20"/>
          <w:szCs w:val="20"/>
          <w:lang w:val="en-US"/>
        </w:rPr>
        <w:t>Joachim SCHÖPFEL, Eric KERGOSIEN, Stéphane CHAUDIRON,</w:t>
      </w:r>
    </w:p>
    <w:p w14:paraId="484BA8D1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NeoSansStd-Regular" w:hAnsi="NeoSansStd-Regular" w:cs="NeoSansStd-Regular"/>
          <w:color w:val="333333"/>
          <w:kern w:val="0"/>
          <w:sz w:val="24"/>
          <w:szCs w:val="24"/>
        </w:rPr>
      </w:pPr>
      <w:r>
        <w:rPr>
          <w:rFonts w:ascii="NeoSansStd-Regular" w:hAnsi="NeoSansStd-Regular" w:cs="NeoSansStd-Regular"/>
          <w:color w:val="000000"/>
          <w:kern w:val="0"/>
          <w:sz w:val="20"/>
          <w:szCs w:val="20"/>
        </w:rPr>
        <w:t xml:space="preserve">Bernard JACQUEMIN, Hélène PROST </w:t>
      </w:r>
      <w:r>
        <w:rPr>
          <w:rFonts w:ascii="NeoSansStd-Regular" w:hAnsi="NeoSansStd-Regular" w:cs="NeoSansStd-Regular"/>
          <w:color w:val="333333"/>
          <w:kern w:val="0"/>
          <w:sz w:val="24"/>
          <w:szCs w:val="24"/>
        </w:rPr>
        <w:t>231</w:t>
      </w:r>
    </w:p>
    <w:p w14:paraId="19983005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NeoSansStd-Regular" w:hAnsi="NeoSansStd-Regular" w:cs="NeoSansStd-Regular"/>
          <w:color w:val="333333"/>
          <w:kern w:val="0"/>
          <w:sz w:val="24"/>
          <w:szCs w:val="24"/>
        </w:rPr>
      </w:pPr>
      <w:r>
        <w:rPr>
          <w:rFonts w:ascii="NeoSansStd-Regular" w:hAnsi="NeoSansStd-Regular" w:cs="NeoSansStd-Regular"/>
          <w:color w:val="000000"/>
          <w:kern w:val="0"/>
        </w:rPr>
        <w:t xml:space="preserve">PRÉSENTATION DES AUTEURS </w:t>
      </w:r>
      <w:r>
        <w:rPr>
          <w:rFonts w:ascii="NeoSansStd-Regular" w:hAnsi="NeoSansStd-Regular" w:cs="NeoSansStd-Regular"/>
          <w:color w:val="333333"/>
          <w:kern w:val="0"/>
          <w:sz w:val="24"/>
          <w:szCs w:val="24"/>
        </w:rPr>
        <w:t>245</w:t>
      </w:r>
    </w:p>
    <w:p w14:paraId="7E76FE56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NeoSansStd-Regular" w:hAnsi="NeoSansStd-Regular" w:cs="NeoSansStd-Regular"/>
          <w:color w:val="333333"/>
          <w:kern w:val="0"/>
          <w:sz w:val="24"/>
          <w:szCs w:val="24"/>
        </w:rPr>
      </w:pPr>
      <w:r>
        <w:rPr>
          <w:rFonts w:ascii="NeoSansStd-Regular" w:hAnsi="NeoSansStd-Regular" w:cs="NeoSansStd-Regular"/>
          <w:color w:val="000000"/>
          <w:kern w:val="0"/>
        </w:rPr>
        <w:t xml:space="preserve">TABLE DES MATIÈRES </w:t>
      </w:r>
      <w:r>
        <w:rPr>
          <w:rFonts w:ascii="NeoSansStd-Regular" w:hAnsi="NeoSansStd-Regular" w:cs="NeoSansStd-Regular"/>
          <w:color w:val="333333"/>
          <w:kern w:val="0"/>
          <w:sz w:val="24"/>
          <w:szCs w:val="24"/>
        </w:rPr>
        <w:t>247</w:t>
      </w:r>
    </w:p>
    <w:p w14:paraId="3608373B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12"/>
          <w:szCs w:val="12"/>
        </w:rPr>
      </w:pPr>
      <w:r>
        <w:rPr>
          <w:rFonts w:ascii="Helvetica" w:hAnsi="Helvetica" w:cs="Helvetica"/>
          <w:color w:val="000000"/>
          <w:kern w:val="0"/>
          <w:sz w:val="12"/>
          <w:szCs w:val="12"/>
        </w:rPr>
        <w:t xml:space="preserve">9782807357105_INT_001-256_SCIENTIFITIQUE.indb 6 13/02/2023 </w:t>
      </w:r>
      <w:proofErr w:type="gramStart"/>
      <w:r>
        <w:rPr>
          <w:rFonts w:ascii="Helvetica" w:hAnsi="Helvetica" w:cs="Helvetica"/>
          <w:color w:val="000000"/>
          <w:kern w:val="0"/>
          <w:sz w:val="12"/>
          <w:szCs w:val="12"/>
        </w:rPr>
        <w:t>15:</w:t>
      </w:r>
      <w:proofErr w:type="gramEnd"/>
      <w:r>
        <w:rPr>
          <w:rFonts w:ascii="Helvetica" w:hAnsi="Helvetica" w:cs="Helvetica"/>
          <w:color w:val="000000"/>
          <w:kern w:val="0"/>
          <w:sz w:val="12"/>
          <w:szCs w:val="12"/>
        </w:rPr>
        <w:t>37</w:t>
      </w:r>
    </w:p>
    <w:p w14:paraId="743BB45D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Bold" w:hAnsi="SerifaStd-Bold" w:cs="SerifaStd-Bold"/>
          <w:b/>
          <w:bCs/>
          <w:color w:val="333333"/>
          <w:kern w:val="0"/>
        </w:rPr>
      </w:pPr>
      <w:r>
        <w:rPr>
          <w:rFonts w:ascii="SerifaStd-Bold" w:hAnsi="SerifaStd-Bold" w:cs="SerifaStd-Bold"/>
          <w:b/>
          <w:bCs/>
          <w:color w:val="333333"/>
          <w:kern w:val="0"/>
        </w:rPr>
        <w:t>7</w:t>
      </w:r>
    </w:p>
    <w:p w14:paraId="31833D23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NeoSansStd-Medium" w:hAnsi="NeoSansStd-Medium" w:cs="NeoSansStd-Medium"/>
          <w:color w:val="FFFFFF"/>
          <w:kern w:val="0"/>
          <w:sz w:val="50"/>
          <w:szCs w:val="50"/>
        </w:rPr>
      </w:pPr>
      <w:r>
        <w:rPr>
          <w:rFonts w:ascii="NeoSansStd-Medium" w:hAnsi="NeoSansStd-Medium" w:cs="NeoSansStd-Medium"/>
          <w:color w:val="FFFFFF"/>
          <w:kern w:val="0"/>
          <w:sz w:val="50"/>
          <w:szCs w:val="50"/>
        </w:rPr>
        <w:t>INTRODUCTION</w:t>
      </w:r>
    </w:p>
    <w:p w14:paraId="12CD2A2E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La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huitieme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conférence « Document numérique &amp; société » (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DocSoc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),</w:t>
      </w:r>
    </w:p>
    <w:p w14:paraId="63D7DE9B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organisée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conjointement par le laboratoire </w:t>
      </w:r>
      <w:proofErr w:type="spellStart"/>
      <w:r>
        <w:rPr>
          <w:rFonts w:ascii="SerifaStd-Italic" w:hAnsi="SerifaStd-Italic" w:cs="SerifaStd-Italic"/>
          <w:i/>
          <w:iCs/>
          <w:color w:val="000000"/>
          <w:kern w:val="0"/>
          <w:sz w:val="18"/>
          <w:szCs w:val="18"/>
        </w:rPr>
        <w:t>Dicen-Idf</w:t>
      </w:r>
      <w:proofErr w:type="spellEnd"/>
      <w:r>
        <w:rPr>
          <w:rFonts w:ascii="SerifaStd-Italic" w:hAnsi="SerifaStd-Italic" w:cs="SerifaStd-Italic"/>
          <w:i/>
          <w:iCs/>
          <w:color w:val="000000"/>
          <w:kern w:val="0"/>
          <w:sz w:val="18"/>
          <w:szCs w:val="18"/>
        </w:rPr>
        <w:t xml:space="preserve"> </w:t>
      </w: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(EA 7339) et</w:t>
      </w:r>
    </w:p>
    <w:p w14:paraId="6B83CD7A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le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</w:t>
      </w:r>
      <w:r>
        <w:rPr>
          <w:rFonts w:ascii="SerifaStd-Italic" w:hAnsi="SerifaStd-Italic" w:cs="SerifaStd-Italic"/>
          <w:i/>
          <w:iCs/>
          <w:color w:val="000000"/>
          <w:kern w:val="0"/>
          <w:sz w:val="18"/>
          <w:szCs w:val="18"/>
        </w:rPr>
        <w:t xml:space="preserve">Lemme </w:t>
      </w: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(UR Traverses), s’est tenue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a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l’Université de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Liege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les</w:t>
      </w:r>
    </w:p>
    <w:p w14:paraId="3A6EB41C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23 et 24 juin 2022. Cet événement rassemble, tous les deux ans,</w:t>
      </w:r>
    </w:p>
    <w:p w14:paraId="44007A80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des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chercheurs et chercheuses intéressés par l’évolution de la place</w:t>
      </w:r>
    </w:p>
    <w:p w14:paraId="616862A8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du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document dans notre société, en apportant des éclairages sur</w:t>
      </w:r>
    </w:p>
    <w:p w14:paraId="7C9D9EEB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les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dimensions économiques et sociétales des documents et des</w:t>
      </w:r>
    </w:p>
    <w:p w14:paraId="45E6A00C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données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numériques. Le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theme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retenu pour l’édition 2022 était</w:t>
      </w:r>
    </w:p>
    <w:p w14:paraId="3B96BDCF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« Communication numérique et science ouverte : opportunités, tensions</w:t>
      </w:r>
    </w:p>
    <w:p w14:paraId="20FC72B0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et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paradoxes ». Pareil choix n’était pas sans résonance avec</w:t>
      </w:r>
    </w:p>
    <w:p w14:paraId="0FC87E2A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les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préoccupations de l’institution hôte : tout d’abord, la rentrée</w:t>
      </w:r>
    </w:p>
    <w:p w14:paraId="199CDBE4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2021 a vu s’ouvrir </w:t>
      </w:r>
      <w:proofErr w:type="spellStart"/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a</w:t>
      </w:r>
      <w:proofErr w:type="spellEnd"/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l’Université de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Liege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une Chaire UNESCO</w:t>
      </w:r>
    </w:p>
    <w:p w14:paraId="31AC6A02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pour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la science ouverte, présentée par le Premier Vice-Recteur</w:t>
      </w:r>
    </w:p>
    <w:p w14:paraId="3E6BA0B3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Jean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Winand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dans une allocution d’ouverture</w:t>
      </w:r>
      <w:r>
        <w:rPr>
          <w:rFonts w:ascii="SerifaStd-Roman" w:hAnsi="SerifaStd-Roman" w:cs="SerifaStd-Roman"/>
          <w:color w:val="000000"/>
          <w:kern w:val="0"/>
          <w:sz w:val="11"/>
          <w:szCs w:val="11"/>
        </w:rPr>
        <w:t>1</w:t>
      </w: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. Mais surtout, la</w:t>
      </w:r>
    </w:p>
    <w:p w14:paraId="4200C1ED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politique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de l’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ULiege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en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matiere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d’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acces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ouvert des publications</w:t>
      </w:r>
    </w:p>
    <w:p w14:paraId="321C8534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scientifiques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a fait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oeuvre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pionniere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avec le lancement, des 2007,</w:t>
      </w:r>
    </w:p>
    <w:p w14:paraId="0B2EE925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du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dépôt institutionnel Orbi (</w:t>
      </w:r>
      <w:r>
        <w:rPr>
          <w:rFonts w:ascii="SerifaStd-Italic" w:hAnsi="SerifaStd-Italic" w:cs="SerifaStd-Italic"/>
          <w:i/>
          <w:iCs/>
          <w:color w:val="000000"/>
          <w:kern w:val="0"/>
          <w:sz w:val="18"/>
          <w:szCs w:val="18"/>
        </w:rPr>
        <w:t>Open Repository and Bibliography</w:t>
      </w: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)</w:t>
      </w:r>
    </w:p>
    <w:p w14:paraId="21B2EE56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– le bibliothécaire en chef Paul Thirion l’a ainsi rappelé dans son</w:t>
      </w:r>
    </w:p>
    <w:p w14:paraId="686E0E11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intervention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liminaire. Si cette politique a permis un accroissement</w:t>
      </w:r>
    </w:p>
    <w:p w14:paraId="611E7E30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sans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précédent de l’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acces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aux publications scientifiques, ainsi</w:t>
      </w:r>
    </w:p>
    <w:p w14:paraId="69DBD35F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qu’une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sécurité relative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a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l’archivage des connaissances dans leur</w:t>
      </w:r>
    </w:p>
    <w:p w14:paraId="3148DED8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lieu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de production, elle s’est assortie dans le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meme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mouvement</w:t>
      </w:r>
    </w:p>
    <w:p w14:paraId="5399DD8F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d’outils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de quantification et de catégorisation de la recherche a</w:t>
      </w:r>
    </w:p>
    <w:p w14:paraId="50D58FAA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des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fins de monitoring de l’activité des chercheurs. Il s’agissait</w:t>
      </w:r>
    </w:p>
    <w:p w14:paraId="2BF548FF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donc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d’identifier, de caractériser, d’interroger les opportunités,</w:t>
      </w:r>
    </w:p>
    <w:p w14:paraId="7BFE291D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tensions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et paradoxes pour la communication scientifique dans</w:t>
      </w:r>
    </w:p>
    <w:p w14:paraId="607C2C81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cet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environnement.</w:t>
      </w:r>
    </w:p>
    <w:p w14:paraId="16C42B28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Le mouvement de la science ouverte vise </w:t>
      </w:r>
      <w:proofErr w:type="spellStart"/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a</w:t>
      </w:r>
      <w:proofErr w:type="spellEnd"/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institutionnaliser des</w:t>
      </w:r>
    </w:p>
    <w:p w14:paraId="7EB84C48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Italic" w:hAnsi="SerifaStd-Italic" w:cs="SerifaStd-Italic"/>
          <w:i/>
          <w:iCs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pratiques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de communication scientifique </w:t>
      </w:r>
      <w:r>
        <w:rPr>
          <w:rFonts w:ascii="SerifaStd-Italic" w:hAnsi="SerifaStd-Italic" w:cs="SerifaStd-Italic"/>
          <w:i/>
          <w:iCs/>
          <w:color w:val="000000"/>
          <w:kern w:val="0"/>
          <w:sz w:val="18"/>
          <w:szCs w:val="18"/>
        </w:rPr>
        <w:t>transparentes, collaboratives</w:t>
      </w:r>
    </w:p>
    <w:p w14:paraId="7F53738B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et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</w:t>
      </w:r>
      <w:r>
        <w:rPr>
          <w:rFonts w:ascii="SerifaStd-Italic" w:hAnsi="SerifaStd-Italic" w:cs="SerifaStd-Italic"/>
          <w:i/>
          <w:iCs/>
          <w:color w:val="000000"/>
          <w:kern w:val="0"/>
          <w:sz w:val="18"/>
          <w:szCs w:val="18"/>
        </w:rPr>
        <w:t xml:space="preserve">cumulatives </w:t>
      </w: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par la mise en commun de publications et de</w:t>
      </w:r>
    </w:p>
    <w:p w14:paraId="3F849268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données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de recherche, avec des objectifs multiples : renforcer l’intégrité</w:t>
      </w:r>
    </w:p>
    <w:p w14:paraId="5BF183CF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scientifique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, mettre en visibilité les résultats des projets</w:t>
      </w:r>
    </w:p>
    <w:p w14:paraId="5B5A88D8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financés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sur fonds public, élargir la diffusion des résultats a des</w:t>
      </w:r>
    </w:p>
    <w:p w14:paraId="3B40AED8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couches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élargies de la population (entreprises, citoyens, etc.),</w:t>
      </w:r>
    </w:p>
    <w:p w14:paraId="3B806F48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favoriser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l’interdisciplinarité… Sous le vocable de </w:t>
      </w:r>
      <w:r>
        <w:rPr>
          <w:rFonts w:ascii="SerifaStd-Italic" w:hAnsi="SerifaStd-Italic" w:cs="SerifaStd-Italic"/>
          <w:i/>
          <w:iCs/>
          <w:color w:val="000000"/>
          <w:kern w:val="0"/>
          <w:sz w:val="18"/>
          <w:szCs w:val="18"/>
        </w:rPr>
        <w:t>science ouverte</w:t>
      </w: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,</w:t>
      </w:r>
    </w:p>
    <w:p w14:paraId="4939FCB1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se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déploie donc désormais une déclinaison de pratiques, dans un</w:t>
      </w:r>
    </w:p>
    <w:p w14:paraId="509FDC7B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contexte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pluridisciplinaire, en SHS (sciences humaines et sociales) et</w:t>
      </w:r>
    </w:p>
    <w:p w14:paraId="1FDA2DC8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STM (sciences techniques et médicales). La conférence invitait des</w:t>
      </w:r>
    </w:p>
    <w:p w14:paraId="101B15FE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lors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a rendre compte et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a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débattre des différentes formes d’évolution</w:t>
      </w:r>
    </w:p>
    <w:p w14:paraId="7A277DEC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de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la communication scientifique en contexte de science ouverte</w:t>
      </w:r>
    </w:p>
    <w:p w14:paraId="5816BFF8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selon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plusieurs dimensions possibles : l’observation de nouvelles</w:t>
      </w:r>
    </w:p>
    <w:p w14:paraId="7BCF6308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formes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d’expressions médiatiques pour la construction et la diffusion</w:t>
      </w:r>
    </w:p>
    <w:p w14:paraId="5E173738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des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connaissances, leurs hybridations et leurs complémentarités ;</w:t>
      </w:r>
    </w:p>
    <w:p w14:paraId="3BAE4F5D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les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stratégies du chercheur ou de la chercheuse concernant les</w:t>
      </w:r>
    </w:p>
    <w:p w14:paraId="29276B78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choix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des canaux de communication (rôle des prépublications, des</w:t>
      </w:r>
    </w:p>
    <w:p w14:paraId="68529569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revues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en open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access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, diffusion des données de recherche, etc.) ; les</w:t>
      </w:r>
    </w:p>
    <w:p w14:paraId="433ACD89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4"/>
          <w:szCs w:val="14"/>
        </w:rPr>
      </w:pPr>
      <w:r>
        <w:rPr>
          <w:rFonts w:ascii="SerifaStd-Roman" w:hAnsi="SerifaStd-Roman" w:cs="SerifaStd-Roman"/>
          <w:color w:val="000000"/>
          <w:kern w:val="0"/>
          <w:sz w:val="14"/>
          <w:szCs w:val="14"/>
        </w:rPr>
        <w:t>1 Cette chaire est consacrée au rôle des humanités dans la production et la circulation des savoirs.</w:t>
      </w:r>
    </w:p>
    <w:p w14:paraId="41EBEC4B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4"/>
          <w:szCs w:val="14"/>
        </w:rPr>
      </w:pPr>
      <w:r>
        <w:rPr>
          <w:rFonts w:ascii="SerifaStd-Roman" w:hAnsi="SerifaStd-Roman" w:cs="SerifaStd-Roman"/>
          <w:color w:val="000000"/>
          <w:kern w:val="0"/>
          <w:sz w:val="14"/>
          <w:szCs w:val="14"/>
        </w:rPr>
        <w:t>Pour plus d’informations, voir la page institutionnelle : « La Chaire », https://www.chaire-unesco.</w:t>
      </w:r>
    </w:p>
    <w:p w14:paraId="12D4C5D3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4"/>
          <w:szCs w:val="14"/>
        </w:rPr>
      </w:pPr>
      <w:r>
        <w:rPr>
          <w:rFonts w:ascii="SerifaStd-Roman" w:hAnsi="SerifaStd-Roman" w:cs="SerifaStd-Roman"/>
          <w:color w:val="000000"/>
          <w:kern w:val="0"/>
          <w:sz w:val="14"/>
          <w:szCs w:val="14"/>
        </w:rPr>
        <w:t>uliege.be/</w:t>
      </w:r>
      <w:proofErr w:type="spellStart"/>
      <w:r>
        <w:rPr>
          <w:rFonts w:ascii="SerifaStd-Roman" w:hAnsi="SerifaStd-Roman" w:cs="SerifaStd-Roman"/>
          <w:color w:val="000000"/>
          <w:kern w:val="0"/>
          <w:sz w:val="14"/>
          <w:szCs w:val="14"/>
        </w:rPr>
        <w:t>cms</w:t>
      </w:r>
      <w:proofErr w:type="spellEnd"/>
      <w:r>
        <w:rPr>
          <w:rFonts w:ascii="SerifaStd-Roman" w:hAnsi="SerifaStd-Roman" w:cs="SerifaStd-Roman"/>
          <w:color w:val="000000"/>
          <w:kern w:val="0"/>
          <w:sz w:val="14"/>
          <w:szCs w:val="14"/>
        </w:rPr>
        <w:t>/c_14635746/</w:t>
      </w:r>
      <w:proofErr w:type="spellStart"/>
      <w:r>
        <w:rPr>
          <w:rFonts w:ascii="SerifaStd-Roman" w:hAnsi="SerifaStd-Roman" w:cs="SerifaStd-Roman"/>
          <w:color w:val="000000"/>
          <w:kern w:val="0"/>
          <w:sz w:val="14"/>
          <w:szCs w:val="14"/>
        </w:rPr>
        <w:t>fr</w:t>
      </w:r>
      <w:proofErr w:type="spellEnd"/>
      <w:r>
        <w:rPr>
          <w:rFonts w:ascii="SerifaStd-Roman" w:hAnsi="SerifaStd-Roman" w:cs="SerifaStd-Roman"/>
          <w:color w:val="000000"/>
          <w:kern w:val="0"/>
          <w:sz w:val="14"/>
          <w:szCs w:val="14"/>
        </w:rPr>
        <w:t>/</w:t>
      </w:r>
      <w:proofErr w:type="spellStart"/>
      <w:r>
        <w:rPr>
          <w:rFonts w:ascii="SerifaStd-Roman" w:hAnsi="SerifaStd-Roman" w:cs="SerifaStd-Roman"/>
          <w:color w:val="000000"/>
          <w:kern w:val="0"/>
          <w:sz w:val="14"/>
          <w:szCs w:val="14"/>
        </w:rPr>
        <w:t>unesco</w:t>
      </w:r>
      <w:proofErr w:type="spellEnd"/>
      <w:r>
        <w:rPr>
          <w:rFonts w:ascii="SerifaStd-Roman" w:hAnsi="SerifaStd-Roman" w:cs="SerifaStd-Roman"/>
          <w:color w:val="000000"/>
          <w:kern w:val="0"/>
          <w:sz w:val="14"/>
          <w:szCs w:val="14"/>
        </w:rPr>
        <w:t>-la-chaire, consulté le 24 septembre 2022.</w:t>
      </w:r>
    </w:p>
    <w:p w14:paraId="07B5FB8F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12"/>
          <w:szCs w:val="12"/>
        </w:rPr>
      </w:pPr>
      <w:r>
        <w:rPr>
          <w:rFonts w:ascii="Helvetica" w:hAnsi="Helvetica" w:cs="Helvetica"/>
          <w:color w:val="000000"/>
          <w:kern w:val="0"/>
          <w:sz w:val="12"/>
          <w:szCs w:val="12"/>
        </w:rPr>
        <w:t xml:space="preserve">9782807357105_INT_001-256_SCIENTIFITIQUE.indb 7 13/02/2023 </w:t>
      </w:r>
      <w:proofErr w:type="gramStart"/>
      <w:r>
        <w:rPr>
          <w:rFonts w:ascii="Helvetica" w:hAnsi="Helvetica" w:cs="Helvetica"/>
          <w:color w:val="000000"/>
          <w:kern w:val="0"/>
          <w:sz w:val="12"/>
          <w:szCs w:val="12"/>
        </w:rPr>
        <w:t>15:</w:t>
      </w:r>
      <w:proofErr w:type="gramEnd"/>
      <w:r>
        <w:rPr>
          <w:rFonts w:ascii="Helvetica" w:hAnsi="Helvetica" w:cs="Helvetica"/>
          <w:color w:val="000000"/>
          <w:kern w:val="0"/>
          <w:sz w:val="12"/>
          <w:szCs w:val="12"/>
        </w:rPr>
        <w:t>37</w:t>
      </w:r>
    </w:p>
    <w:p w14:paraId="6B80507F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NeoSansStd-Regular" w:hAnsi="NeoSansStd-Regular" w:cs="NeoSansStd-Regular"/>
          <w:color w:val="000000"/>
          <w:kern w:val="0"/>
          <w:sz w:val="20"/>
          <w:szCs w:val="20"/>
        </w:rPr>
      </w:pPr>
      <w:r>
        <w:rPr>
          <w:rFonts w:ascii="SerifaStd-Bold" w:hAnsi="SerifaStd-Bold" w:cs="SerifaStd-Bold"/>
          <w:b/>
          <w:bCs/>
          <w:color w:val="333333"/>
          <w:kern w:val="0"/>
        </w:rPr>
        <w:t>8</w:t>
      </w:r>
      <w:r>
        <w:rPr>
          <w:rFonts w:ascii="NeoSansStd-Regular" w:hAnsi="NeoSansStd-Regular" w:cs="NeoSansStd-Regular"/>
          <w:color w:val="000000"/>
          <w:kern w:val="0"/>
          <w:sz w:val="20"/>
          <w:szCs w:val="20"/>
        </w:rPr>
        <w:t>Introduction</w:t>
      </w:r>
    </w:p>
    <w:p w14:paraId="349D1724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lastRenderedPageBreak/>
        <w:t>spécificités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des champs disciplinaires et les pratiques comparées ;</w:t>
      </w:r>
    </w:p>
    <w:p w14:paraId="098D956D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la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réception de la science ouverte selon les zones linguistiques/</w:t>
      </w:r>
    </w:p>
    <w:p w14:paraId="17AA25CE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politiques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/géopolitiques, ou encore les innovations face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a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des pratiques</w:t>
      </w:r>
    </w:p>
    <w:p w14:paraId="757913F1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normatives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comme les processus d’évaluation.</w:t>
      </w:r>
    </w:p>
    <w:p w14:paraId="40FF0906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La conférence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pléniere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a ainsi donné l’occasion </w:t>
      </w:r>
      <w:proofErr w:type="spellStart"/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a</w:t>
      </w:r>
      <w:proofErr w:type="spellEnd"/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Sébastien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Oliveau</w:t>
      </w:r>
      <w:proofErr w:type="spellEnd"/>
    </w:p>
    <w:p w14:paraId="130A0A6B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de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revenir sur les enjeux du partage des données scientifiques en</w:t>
      </w:r>
    </w:p>
    <w:p w14:paraId="033E592E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France, depuis son expérience de directeur de l’infrastructure de</w:t>
      </w:r>
    </w:p>
    <w:p w14:paraId="09EFF6EE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science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ouverte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Progedo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axée sur la gestion de données quantitatives</w:t>
      </w:r>
    </w:p>
    <w:p w14:paraId="55E0CB4C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issues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d’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enquetes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en sciences sociales. Les communications</w:t>
      </w:r>
    </w:p>
    <w:p w14:paraId="2BE41458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proposées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se sont ensuite structurées autour des axes suivants :</w:t>
      </w:r>
    </w:p>
    <w:p w14:paraId="67ED342E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Bold" w:hAnsi="SerifaStd-Bold" w:cs="SerifaStd-Bold"/>
          <w:b/>
          <w:bCs/>
          <w:color w:val="000000"/>
          <w:kern w:val="0"/>
          <w:sz w:val="24"/>
          <w:szCs w:val="24"/>
        </w:rPr>
      </w:pPr>
      <w:r>
        <w:rPr>
          <w:rFonts w:ascii="SerifaStd-Bold" w:hAnsi="SerifaStd-Bold" w:cs="SerifaStd-Bold"/>
          <w:b/>
          <w:bCs/>
          <w:color w:val="000000"/>
          <w:kern w:val="0"/>
          <w:sz w:val="24"/>
          <w:szCs w:val="24"/>
        </w:rPr>
        <w:t>AXE 1 – LA DIVERSITÉ DES FORMES D’EXPRESSION</w:t>
      </w:r>
    </w:p>
    <w:p w14:paraId="11F7BC1B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Bold" w:hAnsi="SerifaStd-Bold" w:cs="SerifaStd-Bold"/>
          <w:b/>
          <w:bCs/>
          <w:color w:val="000000"/>
          <w:kern w:val="0"/>
          <w:sz w:val="24"/>
          <w:szCs w:val="24"/>
        </w:rPr>
      </w:pPr>
      <w:r>
        <w:rPr>
          <w:rFonts w:ascii="SerifaStd-Bold" w:hAnsi="SerifaStd-Bold" w:cs="SerifaStd-Bold"/>
          <w:b/>
          <w:bCs/>
          <w:color w:val="000000"/>
          <w:kern w:val="0"/>
          <w:sz w:val="24"/>
          <w:szCs w:val="24"/>
        </w:rPr>
        <w:t>SCIENTIFIQUE, D’HYBRIDATIONS ET DE STRATÉGIES</w:t>
      </w:r>
    </w:p>
    <w:p w14:paraId="67F800CB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Bold" w:hAnsi="SerifaStd-Bold" w:cs="SerifaStd-Bold"/>
          <w:b/>
          <w:bCs/>
          <w:color w:val="000000"/>
          <w:kern w:val="0"/>
          <w:sz w:val="24"/>
          <w:szCs w:val="24"/>
        </w:rPr>
      </w:pPr>
      <w:r>
        <w:rPr>
          <w:rFonts w:ascii="SerifaStd-Bold" w:hAnsi="SerifaStd-Bold" w:cs="SerifaStd-Bold"/>
          <w:b/>
          <w:bCs/>
          <w:color w:val="000000"/>
          <w:kern w:val="0"/>
          <w:sz w:val="24"/>
          <w:szCs w:val="24"/>
        </w:rPr>
        <w:t>DES CHERCHEURS EN CONTEXTE</w:t>
      </w:r>
    </w:p>
    <w:p w14:paraId="3043534C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Cet axe proposait d’interroger la diversification créative des modes</w:t>
      </w:r>
    </w:p>
    <w:p w14:paraId="21DF6580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d’écriture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qui s’observe avec la panoplie élargie des moyens d’expression</w:t>
      </w:r>
    </w:p>
    <w:p w14:paraId="12459FA4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(</w:t>
      </w: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textes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écrits, oraux enregistrés, filmés) et la variété des supports</w:t>
      </w:r>
    </w:p>
    <w:p w14:paraId="140A1CA4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(</w:t>
      </w: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blogs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, podcasts, utilisation des plateformes Twitch, YouTube,</w:t>
      </w:r>
    </w:p>
    <w:p w14:paraId="62F96CAF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TikTok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, etc.). L’</w:t>
      </w:r>
      <w:proofErr w:type="spellStart"/>
      <w:r>
        <w:rPr>
          <w:rFonts w:ascii="SerifaStd-Italic" w:hAnsi="SerifaStd-Italic" w:cs="SerifaStd-Italic"/>
          <w:i/>
          <w:iCs/>
          <w:color w:val="000000"/>
          <w:kern w:val="0"/>
          <w:sz w:val="18"/>
          <w:szCs w:val="18"/>
        </w:rPr>
        <w:t>écrilecture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, en tant que pratique collaborative de</w:t>
      </w:r>
    </w:p>
    <w:p w14:paraId="15CB5CC1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co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-écriture critique, est connue dans les usages des humanités et</w:t>
      </w:r>
    </w:p>
    <w:p w14:paraId="35B21029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sciences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. Ainsi, de quels renouvellements ou continuités le blogging</w:t>
      </w:r>
    </w:p>
    <w:p w14:paraId="0B22C9A4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est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-il le signe, par exemple ? Comment le discours scientifique</w:t>
      </w:r>
    </w:p>
    <w:p w14:paraId="509E5CC3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entre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-t-il en résonnance avec d’autres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spheres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d’activités (sociales,</w:t>
      </w:r>
    </w:p>
    <w:p w14:paraId="665989EB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culturelles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, etc.) débordant du champ académique au sens strict ?</w:t>
      </w:r>
    </w:p>
    <w:p w14:paraId="140CD77D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Du côté de l’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écrilecture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technique, des innovations enrichissent</w:t>
      </w:r>
    </w:p>
    <w:p w14:paraId="4BB38517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les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publications scientifiques : jeux de données, </w:t>
      </w:r>
      <w:r>
        <w:rPr>
          <w:rFonts w:ascii="SerifaStd-Italic" w:hAnsi="SerifaStd-Italic" w:cs="SerifaStd-Italic"/>
          <w:i/>
          <w:iCs/>
          <w:color w:val="000000"/>
          <w:kern w:val="0"/>
          <w:sz w:val="18"/>
          <w:szCs w:val="18"/>
        </w:rPr>
        <w:t xml:space="preserve">data </w:t>
      </w:r>
      <w:proofErr w:type="spellStart"/>
      <w:r>
        <w:rPr>
          <w:rFonts w:ascii="SerifaStd-Italic" w:hAnsi="SerifaStd-Italic" w:cs="SerifaStd-Italic"/>
          <w:i/>
          <w:iCs/>
          <w:color w:val="000000"/>
          <w:kern w:val="0"/>
          <w:sz w:val="18"/>
          <w:szCs w:val="18"/>
        </w:rPr>
        <w:t>papers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, </w:t>
      </w:r>
      <w:r>
        <w:rPr>
          <w:rFonts w:ascii="SerifaStd-Italic" w:hAnsi="SerifaStd-Italic" w:cs="SerifaStd-Italic"/>
          <w:i/>
          <w:iCs/>
          <w:color w:val="000000"/>
          <w:kern w:val="0"/>
          <w:sz w:val="18"/>
          <w:szCs w:val="18"/>
        </w:rPr>
        <w:t>notebooks</w:t>
      </w: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,</w:t>
      </w:r>
    </w:p>
    <w:p w14:paraId="4105A36A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Italic" w:hAnsi="SerifaStd-Italic" w:cs="SerifaStd-Italic"/>
          <w:i/>
          <w:iCs/>
          <w:color w:val="000000"/>
          <w:kern w:val="0"/>
          <w:sz w:val="18"/>
          <w:szCs w:val="18"/>
        </w:rPr>
      </w:pP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etc. sont publiés par des plateformes et services (</w:t>
      </w:r>
      <w:proofErr w:type="spellStart"/>
      <w:r>
        <w:rPr>
          <w:rFonts w:ascii="SerifaStd-Italic" w:hAnsi="SerifaStd-Italic" w:cs="SerifaStd-Italic"/>
          <w:i/>
          <w:iCs/>
          <w:color w:val="000000"/>
          <w:kern w:val="0"/>
          <w:sz w:val="18"/>
          <w:szCs w:val="18"/>
        </w:rPr>
        <w:t>Authorea</w:t>
      </w:r>
      <w:proofErr w:type="spellEnd"/>
      <w:r>
        <w:rPr>
          <w:rFonts w:ascii="SerifaStd-Italic" w:hAnsi="SerifaStd-Italic" w:cs="SerifaStd-Italic"/>
          <w:i/>
          <w:iCs/>
          <w:color w:val="000000"/>
          <w:kern w:val="0"/>
          <w:sz w:val="18"/>
          <w:szCs w:val="18"/>
        </w:rPr>
        <w:t>,</w:t>
      </w:r>
    </w:p>
    <w:p w14:paraId="105AEE1B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spellStart"/>
      <w:r>
        <w:rPr>
          <w:rFonts w:ascii="SerifaStd-Italic" w:hAnsi="SerifaStd-Italic" w:cs="SerifaStd-Italic"/>
          <w:i/>
          <w:iCs/>
          <w:color w:val="000000"/>
          <w:kern w:val="0"/>
          <w:sz w:val="18"/>
          <w:szCs w:val="18"/>
        </w:rPr>
        <w:t>Figshare</w:t>
      </w:r>
      <w:proofErr w:type="spellEnd"/>
      <w:r>
        <w:rPr>
          <w:rFonts w:ascii="SerifaStd-Italic" w:hAnsi="SerifaStd-Italic" w:cs="SerifaStd-Italic"/>
          <w:i/>
          <w:iCs/>
          <w:color w:val="000000"/>
          <w:kern w:val="0"/>
          <w:sz w:val="18"/>
          <w:szCs w:val="18"/>
        </w:rPr>
        <w:t xml:space="preserve">, </w:t>
      </w:r>
      <w:proofErr w:type="spellStart"/>
      <w:r>
        <w:rPr>
          <w:rFonts w:ascii="SerifaStd-Italic" w:hAnsi="SerifaStd-Italic" w:cs="SerifaStd-Italic"/>
          <w:i/>
          <w:iCs/>
          <w:color w:val="000000"/>
          <w:kern w:val="0"/>
          <w:sz w:val="18"/>
          <w:szCs w:val="18"/>
        </w:rPr>
        <w:t>Zenodo</w:t>
      </w:r>
      <w:proofErr w:type="spellEnd"/>
      <w:r>
        <w:rPr>
          <w:rFonts w:ascii="SerifaStd-Italic" w:hAnsi="SerifaStd-Italic" w:cs="SerifaStd-Italic"/>
          <w:i/>
          <w:iCs/>
          <w:color w:val="000000"/>
          <w:kern w:val="0"/>
          <w:sz w:val="18"/>
          <w:szCs w:val="18"/>
        </w:rPr>
        <w:t>)</w:t>
      </w: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. Sont-elles l’apanage de certaines disciplines ?</w:t>
      </w:r>
    </w:p>
    <w:p w14:paraId="0B6D380F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Comment les humanités numériques se les approprient-elles ? L’étude</w:t>
      </w:r>
    </w:p>
    <w:p w14:paraId="780C5E67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des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stratégies des chercheurs dans l’investissement des canaux de</w:t>
      </w:r>
    </w:p>
    <w:p w14:paraId="0D8E9626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diffusion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indique des articulations entre les modes de publication et</w:t>
      </w:r>
    </w:p>
    <w:p w14:paraId="3222E5AE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les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choix entre ces canaux qu’il a semblé utile d’explorer : revues</w:t>
      </w:r>
    </w:p>
    <w:p w14:paraId="7FD20EB0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open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internationales, blogging, médias collaboratifs,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preprints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,</w:t>
      </w:r>
    </w:p>
    <w:p w14:paraId="388A64E8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réseaux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sociaux (</w:t>
      </w:r>
      <w:r>
        <w:rPr>
          <w:rFonts w:ascii="SerifaStd-Italic" w:hAnsi="SerifaStd-Italic" w:cs="SerifaStd-Italic"/>
          <w:i/>
          <w:iCs/>
          <w:color w:val="000000"/>
          <w:kern w:val="0"/>
          <w:sz w:val="18"/>
          <w:szCs w:val="18"/>
        </w:rPr>
        <w:t xml:space="preserve">Twitter, </w:t>
      </w:r>
      <w:proofErr w:type="spellStart"/>
      <w:r>
        <w:rPr>
          <w:rFonts w:ascii="SerifaStd-Italic" w:hAnsi="SerifaStd-Italic" w:cs="SerifaStd-Italic"/>
          <w:i/>
          <w:iCs/>
          <w:color w:val="000000"/>
          <w:kern w:val="0"/>
          <w:sz w:val="18"/>
          <w:szCs w:val="18"/>
        </w:rPr>
        <w:t>Slideshare</w:t>
      </w:r>
      <w:proofErr w:type="spellEnd"/>
      <w:r>
        <w:rPr>
          <w:rFonts w:ascii="SerifaStd-Italic" w:hAnsi="SerifaStd-Italic" w:cs="SerifaStd-Italic"/>
          <w:i/>
          <w:iCs/>
          <w:color w:val="000000"/>
          <w:kern w:val="0"/>
          <w:sz w:val="18"/>
          <w:szCs w:val="18"/>
        </w:rPr>
        <w:t xml:space="preserve">, Academia, </w:t>
      </w:r>
      <w:proofErr w:type="spellStart"/>
      <w:r>
        <w:rPr>
          <w:rFonts w:ascii="SerifaStd-Italic" w:hAnsi="SerifaStd-Italic" w:cs="SerifaStd-Italic"/>
          <w:i/>
          <w:iCs/>
          <w:color w:val="000000"/>
          <w:kern w:val="0"/>
          <w:sz w:val="18"/>
          <w:szCs w:val="18"/>
        </w:rPr>
        <w:t>ResearchGate</w:t>
      </w:r>
      <w:proofErr w:type="spellEnd"/>
      <w:r>
        <w:rPr>
          <w:rFonts w:ascii="SerifaStd-Italic" w:hAnsi="SerifaStd-Italic" w:cs="SerifaStd-Italic"/>
          <w:i/>
          <w:iCs/>
          <w:color w:val="000000"/>
          <w:kern w:val="0"/>
          <w:sz w:val="18"/>
          <w:szCs w:val="18"/>
        </w:rPr>
        <w:t xml:space="preserve">, </w:t>
      </w: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etc.).</w:t>
      </w:r>
    </w:p>
    <w:p w14:paraId="304DF292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C’est ainsi que le premier panel s’est intéressé aux publications</w:t>
      </w:r>
    </w:p>
    <w:p w14:paraId="395FA029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Italic" w:hAnsi="SerifaStd-Italic" w:cs="SerifaStd-Italic"/>
          <w:i/>
          <w:iCs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issues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de la plateforme de blogging en SHS, </w:t>
      </w:r>
      <w:proofErr w:type="spellStart"/>
      <w:r>
        <w:rPr>
          <w:rFonts w:ascii="SerifaStd-Italic" w:hAnsi="SerifaStd-Italic" w:cs="SerifaStd-Italic"/>
          <w:i/>
          <w:iCs/>
          <w:color w:val="000000"/>
          <w:kern w:val="0"/>
          <w:sz w:val="18"/>
          <w:szCs w:val="18"/>
        </w:rPr>
        <w:t>Hypotheses</w:t>
      </w:r>
      <w:proofErr w:type="spellEnd"/>
      <w:r>
        <w:rPr>
          <w:rFonts w:ascii="SerifaStd-Italic" w:hAnsi="SerifaStd-Italic" w:cs="SerifaStd-Italic"/>
          <w:i/>
          <w:iCs/>
          <w:color w:val="000000"/>
          <w:kern w:val="0"/>
          <w:sz w:val="18"/>
          <w:szCs w:val="18"/>
        </w:rPr>
        <w:t>.</w:t>
      </w:r>
    </w:p>
    <w:p w14:paraId="2490058F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spellStart"/>
      <w:proofErr w:type="gramStart"/>
      <w:r>
        <w:rPr>
          <w:rFonts w:ascii="SerifaStd-Italic" w:hAnsi="SerifaStd-Italic" w:cs="SerifaStd-Italic"/>
          <w:i/>
          <w:iCs/>
          <w:color w:val="000000"/>
          <w:kern w:val="0"/>
          <w:sz w:val="18"/>
          <w:szCs w:val="18"/>
        </w:rPr>
        <w:t>org</w:t>
      </w:r>
      <w:proofErr w:type="spellEnd"/>
      <w:proofErr w:type="gramEnd"/>
      <w:r>
        <w:rPr>
          <w:rFonts w:ascii="SerifaStd-Italic" w:hAnsi="SerifaStd-Italic" w:cs="SerifaStd-Italic"/>
          <w:i/>
          <w:iCs/>
          <w:color w:val="000000"/>
          <w:kern w:val="0"/>
          <w:sz w:val="18"/>
          <w:szCs w:val="18"/>
        </w:rPr>
        <w:t xml:space="preserve"> </w:t>
      </w: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(</w:t>
      </w:r>
      <w:proofErr w:type="spellStart"/>
      <w:r>
        <w:rPr>
          <w:rFonts w:ascii="SerifaStd-Italic" w:hAnsi="SerifaStd-Italic" w:cs="SerifaStd-Italic"/>
          <w:i/>
          <w:iCs/>
          <w:color w:val="000000"/>
          <w:kern w:val="0"/>
          <w:sz w:val="18"/>
          <w:szCs w:val="18"/>
        </w:rPr>
        <w:t>OpenEdition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), en présentant les travaux du collectif HYCAR</w:t>
      </w:r>
      <w:r>
        <w:rPr>
          <w:rFonts w:ascii="SerifaStd-Roman" w:hAnsi="SerifaStd-Roman" w:cs="SerifaStd-Roman"/>
          <w:color w:val="000000"/>
          <w:kern w:val="0"/>
          <w:sz w:val="11"/>
          <w:szCs w:val="11"/>
        </w:rPr>
        <w:t>2</w:t>
      </w: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.</w:t>
      </w:r>
    </w:p>
    <w:p w14:paraId="44320F6C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Dans leur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enquete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, Camille Prime-Claverie et Elsa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Poupardin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se</w:t>
      </w:r>
    </w:p>
    <w:p w14:paraId="4F867F38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sont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intéressées aux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modeles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de communautés en construction</w:t>
      </w:r>
    </w:p>
    <w:p w14:paraId="75CB7124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tels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qu’on les voit apparaître par l’analyse des citations et des cosignatures</w:t>
      </w:r>
    </w:p>
    <w:p w14:paraId="18C05E34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des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publications de ces blogs au fil du temps.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Annaig</w:t>
      </w:r>
      <w:proofErr w:type="spellEnd"/>
    </w:p>
    <w:p w14:paraId="26EAA890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Mahé et Ingrid Mayeur ont pour leur part exploré les rapports</w:t>
      </w:r>
    </w:p>
    <w:p w14:paraId="13517495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de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complémentarité et les logiques éditoriales qu’entretiennent</w:t>
      </w:r>
    </w:p>
    <w:p w14:paraId="36F22A8E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avec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la revue qu’ils escortent les carnets d’accompagnement des</w:t>
      </w:r>
    </w:p>
    <w:p w14:paraId="03576CCC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revues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sur </w:t>
      </w:r>
      <w:r>
        <w:rPr>
          <w:rFonts w:ascii="SerifaStd-Italic" w:hAnsi="SerifaStd-Italic" w:cs="SerifaStd-Italic"/>
          <w:i/>
          <w:iCs/>
          <w:color w:val="000000"/>
          <w:kern w:val="0"/>
          <w:sz w:val="18"/>
          <w:szCs w:val="18"/>
        </w:rPr>
        <w:t>Hypotheses.org</w:t>
      </w: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.</w:t>
      </w:r>
    </w:p>
    <w:p w14:paraId="4BF56E1A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Christophe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Tufféry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, Vincent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Delvigne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, Paul Fernandes, Jérémy</w:t>
      </w:r>
    </w:p>
    <w:p w14:paraId="218DCACA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Garniaux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et Stéphane Renault ont ensuite présenté un retour</w:t>
      </w:r>
    </w:p>
    <w:p w14:paraId="57A97E13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d’expérience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du GDR SILEX, issu de la conduite de plusieurs</w:t>
      </w:r>
    </w:p>
    <w:p w14:paraId="1C567ED0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projets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échelonnés sur une quinzaine d’années et ayant mené a</w:t>
      </w:r>
    </w:p>
    <w:p w14:paraId="3D4BB838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4"/>
          <w:szCs w:val="14"/>
        </w:rPr>
      </w:pPr>
      <w:r>
        <w:rPr>
          <w:rFonts w:ascii="SerifaStd-Roman" w:hAnsi="SerifaStd-Roman" w:cs="SerifaStd-Roman"/>
          <w:color w:val="000000"/>
          <w:kern w:val="0"/>
          <w:sz w:val="14"/>
          <w:szCs w:val="14"/>
        </w:rPr>
        <w:t>2 Carnet de recherche et présence numérique –https://metacarnet.hypotheses.org/. Consulté le</w:t>
      </w:r>
    </w:p>
    <w:p w14:paraId="1CE72133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4"/>
          <w:szCs w:val="14"/>
        </w:rPr>
      </w:pPr>
      <w:r>
        <w:rPr>
          <w:rFonts w:ascii="SerifaStd-Roman" w:hAnsi="SerifaStd-Roman" w:cs="SerifaStd-Roman"/>
          <w:color w:val="000000"/>
          <w:kern w:val="0"/>
          <w:sz w:val="14"/>
          <w:szCs w:val="14"/>
        </w:rPr>
        <w:t>24 septembre 2022.</w:t>
      </w:r>
    </w:p>
    <w:p w14:paraId="69F167BC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12"/>
          <w:szCs w:val="12"/>
        </w:rPr>
      </w:pPr>
      <w:r>
        <w:rPr>
          <w:rFonts w:ascii="Helvetica" w:hAnsi="Helvetica" w:cs="Helvetica"/>
          <w:color w:val="000000"/>
          <w:kern w:val="0"/>
          <w:sz w:val="12"/>
          <w:szCs w:val="12"/>
        </w:rPr>
        <w:t xml:space="preserve">9782807357105_INT_001-256_SCIENTIFITIQUE.indb 8 13/02/2023 </w:t>
      </w:r>
      <w:proofErr w:type="gramStart"/>
      <w:r>
        <w:rPr>
          <w:rFonts w:ascii="Helvetica" w:hAnsi="Helvetica" w:cs="Helvetica"/>
          <w:color w:val="000000"/>
          <w:kern w:val="0"/>
          <w:sz w:val="12"/>
          <w:szCs w:val="12"/>
        </w:rPr>
        <w:t>15:</w:t>
      </w:r>
      <w:proofErr w:type="gramEnd"/>
      <w:r>
        <w:rPr>
          <w:rFonts w:ascii="Helvetica" w:hAnsi="Helvetica" w:cs="Helvetica"/>
          <w:color w:val="000000"/>
          <w:kern w:val="0"/>
          <w:sz w:val="12"/>
          <w:szCs w:val="12"/>
        </w:rPr>
        <w:t>37</w:t>
      </w:r>
    </w:p>
    <w:p w14:paraId="6D2578B4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Bold" w:hAnsi="SerifaStd-Bold" w:cs="SerifaStd-Bold"/>
          <w:b/>
          <w:bCs/>
          <w:color w:val="333333"/>
          <w:kern w:val="0"/>
        </w:rPr>
      </w:pPr>
      <w:r>
        <w:rPr>
          <w:rFonts w:ascii="SerifaStd-Bold" w:hAnsi="SerifaStd-Bold" w:cs="SerifaStd-Bold"/>
          <w:b/>
          <w:bCs/>
          <w:color w:val="333333"/>
          <w:kern w:val="0"/>
        </w:rPr>
        <w:t>9</w:t>
      </w:r>
    </w:p>
    <w:p w14:paraId="51947053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NeoSansStd-Regular" w:hAnsi="NeoSansStd-Regular" w:cs="NeoSansStd-Regular"/>
          <w:color w:val="000000"/>
          <w:kern w:val="0"/>
          <w:sz w:val="20"/>
          <w:szCs w:val="20"/>
        </w:rPr>
      </w:pPr>
      <w:r>
        <w:rPr>
          <w:rFonts w:ascii="NeoSansStd-Regular" w:hAnsi="NeoSansStd-Regular" w:cs="NeoSansStd-Regular"/>
          <w:color w:val="000000"/>
          <w:kern w:val="0"/>
          <w:sz w:val="20"/>
          <w:szCs w:val="20"/>
        </w:rPr>
        <w:t>Communication scientifique et science ouverte</w:t>
      </w:r>
    </w:p>
    <w:p w14:paraId="46A5FF63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la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production de données autour de la localisation des gîtes a silex</w:t>
      </w:r>
    </w:p>
    <w:p w14:paraId="69434DA2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découverts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lors des fouilles et des prospections. Ce sont ici les pratiques</w:t>
      </w:r>
    </w:p>
    <w:p w14:paraId="5606236E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Italic" w:hAnsi="SerifaStd-Italic" w:cs="SerifaStd-Italic"/>
          <w:i/>
          <w:iCs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des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chercheurs pour ouvrir leurs données et les </w:t>
      </w:r>
      <w:r>
        <w:rPr>
          <w:rFonts w:ascii="SerifaStd-Italic" w:hAnsi="SerifaStd-Italic" w:cs="SerifaStd-Italic"/>
          <w:i/>
          <w:iCs/>
          <w:color w:val="000000"/>
          <w:kern w:val="0"/>
          <w:sz w:val="18"/>
          <w:szCs w:val="18"/>
        </w:rPr>
        <w:t>bricolages</w:t>
      </w:r>
    </w:p>
    <w:p w14:paraId="448A1C29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auxquels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elles ont pu donner lieu qui sont exposés. C’est encore</w:t>
      </w:r>
    </w:p>
    <w:p w14:paraId="01672BA3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sur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la base d’une pratique de terrain qu’intervenait Marianne</w:t>
      </w:r>
    </w:p>
    <w:p w14:paraId="6E01BE6A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Duquenne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, exposant les résultats d’une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enquete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sur l’ouverture</w:t>
      </w:r>
    </w:p>
    <w:p w14:paraId="53F2DD2C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de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la production scientifique dans le domaine de la bioéconomie</w:t>
      </w:r>
    </w:p>
    <w:p w14:paraId="271BBF52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en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région Hauts-de-France. Margot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Mellet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étudiait pour sa part le</w:t>
      </w:r>
    </w:p>
    <w:p w14:paraId="6E877A90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rôle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des « petites mains » dans le processus de production scientifique,</w:t>
      </w:r>
    </w:p>
    <w:p w14:paraId="5E75D4FB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et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plus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particulierement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au sein des pratiques éditoriales de</w:t>
      </w:r>
    </w:p>
    <w:p w14:paraId="697885F6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la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science ouverte : sa communication mettait ainsi en évidence le</w:t>
      </w:r>
    </w:p>
    <w:p w14:paraId="4FB813F8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besoin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d’</w:t>
      </w:r>
      <w:r>
        <w:rPr>
          <w:rFonts w:ascii="SerifaStd-Italic" w:hAnsi="SerifaStd-Italic" w:cs="SerifaStd-Italic"/>
          <w:i/>
          <w:iCs/>
          <w:color w:val="000000"/>
          <w:kern w:val="0"/>
          <w:sz w:val="18"/>
          <w:szCs w:val="18"/>
        </w:rPr>
        <w:t>environnements éditoriaux équitables, pluriels et inclusifs</w:t>
      </w: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.</w:t>
      </w:r>
    </w:p>
    <w:p w14:paraId="63E2F69F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lastRenderedPageBreak/>
        <w:t xml:space="preserve">Les deux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dernieres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interventions inscrites dans cet axe ont porté</w:t>
      </w:r>
    </w:p>
    <w:p w14:paraId="151C1053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sur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les formats de publication scientifique et des données associées,</w:t>
      </w:r>
    </w:p>
    <w:p w14:paraId="70AAFC78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présentées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a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des fins de validation. Sarah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Rakotoary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s’est ainsi intéressée</w:t>
      </w:r>
    </w:p>
    <w:p w14:paraId="6AA469E6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Italic" w:hAnsi="SerifaStd-Italic" w:cs="SerifaStd-Italic"/>
          <w:i/>
          <w:iCs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au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format des revues vidéo depuis le cas des </w:t>
      </w:r>
      <w:r>
        <w:rPr>
          <w:rFonts w:ascii="SerifaStd-Italic" w:hAnsi="SerifaStd-Italic" w:cs="SerifaStd-Italic"/>
          <w:i/>
          <w:iCs/>
          <w:color w:val="000000"/>
          <w:kern w:val="0"/>
          <w:sz w:val="18"/>
          <w:szCs w:val="18"/>
        </w:rPr>
        <w:t xml:space="preserve">VMA </w:t>
      </w: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(</w:t>
      </w:r>
      <w:proofErr w:type="spellStart"/>
      <w:r>
        <w:rPr>
          <w:rFonts w:ascii="SerifaStd-Italic" w:hAnsi="SerifaStd-Italic" w:cs="SerifaStd-Italic"/>
          <w:i/>
          <w:iCs/>
          <w:color w:val="000000"/>
          <w:kern w:val="0"/>
          <w:sz w:val="18"/>
          <w:szCs w:val="18"/>
        </w:rPr>
        <w:t>Video</w:t>
      </w:r>
      <w:proofErr w:type="spellEnd"/>
    </w:p>
    <w:p w14:paraId="407F8262" w14:textId="77777777" w:rsidR="00847DF9" w:rsidRP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  <w:lang w:val="en-US"/>
        </w:rPr>
      </w:pPr>
      <w:r w:rsidRPr="00847DF9">
        <w:rPr>
          <w:rFonts w:ascii="SerifaStd-Italic" w:hAnsi="SerifaStd-Italic" w:cs="SerifaStd-Italic"/>
          <w:i/>
          <w:iCs/>
          <w:color w:val="000000"/>
          <w:kern w:val="0"/>
          <w:sz w:val="18"/>
          <w:szCs w:val="18"/>
          <w:lang w:val="en-US"/>
        </w:rPr>
        <w:t>Method Articles</w:t>
      </w:r>
      <w:r w:rsidRPr="00847DF9">
        <w:rPr>
          <w:rFonts w:ascii="SerifaStd-Roman" w:hAnsi="SerifaStd-Roman" w:cs="SerifaStd-Roman"/>
          <w:color w:val="000000"/>
          <w:kern w:val="0"/>
          <w:sz w:val="18"/>
          <w:szCs w:val="18"/>
          <w:lang w:val="en-US"/>
        </w:rPr>
        <w:t xml:space="preserve">) de </w:t>
      </w:r>
      <w:proofErr w:type="spellStart"/>
      <w:r w:rsidRPr="00847DF9">
        <w:rPr>
          <w:rFonts w:ascii="SerifaStd-Italic" w:hAnsi="SerifaStd-Italic" w:cs="SerifaStd-Italic"/>
          <w:i/>
          <w:iCs/>
          <w:color w:val="000000"/>
          <w:kern w:val="0"/>
          <w:sz w:val="18"/>
          <w:szCs w:val="18"/>
          <w:lang w:val="en-US"/>
        </w:rPr>
        <w:t>JoVE</w:t>
      </w:r>
      <w:proofErr w:type="spellEnd"/>
      <w:r w:rsidRPr="00847DF9">
        <w:rPr>
          <w:rFonts w:ascii="SerifaStd-Italic" w:hAnsi="SerifaStd-Italic" w:cs="SerifaStd-Italic"/>
          <w:i/>
          <w:iCs/>
          <w:color w:val="000000"/>
          <w:kern w:val="0"/>
          <w:sz w:val="18"/>
          <w:szCs w:val="18"/>
          <w:lang w:val="en-US"/>
        </w:rPr>
        <w:t xml:space="preserve"> </w:t>
      </w:r>
      <w:r w:rsidRPr="00847DF9">
        <w:rPr>
          <w:rFonts w:ascii="SerifaStd-Roman" w:hAnsi="SerifaStd-Roman" w:cs="SerifaStd-Roman"/>
          <w:color w:val="000000"/>
          <w:kern w:val="0"/>
          <w:sz w:val="18"/>
          <w:szCs w:val="18"/>
          <w:lang w:val="en-US"/>
        </w:rPr>
        <w:t>(</w:t>
      </w:r>
      <w:r w:rsidRPr="00847DF9">
        <w:rPr>
          <w:rFonts w:ascii="SerifaStd-Italic" w:hAnsi="SerifaStd-Italic" w:cs="SerifaStd-Italic"/>
          <w:i/>
          <w:iCs/>
          <w:color w:val="000000"/>
          <w:kern w:val="0"/>
          <w:sz w:val="18"/>
          <w:szCs w:val="18"/>
          <w:lang w:val="en-US"/>
        </w:rPr>
        <w:t>Journal of Visualized Experiments</w:t>
      </w:r>
      <w:r w:rsidRPr="00847DF9">
        <w:rPr>
          <w:rFonts w:ascii="SerifaStd-Roman" w:hAnsi="SerifaStd-Roman" w:cs="SerifaStd-Roman"/>
          <w:color w:val="000000"/>
          <w:kern w:val="0"/>
          <w:sz w:val="18"/>
          <w:szCs w:val="18"/>
          <w:lang w:val="en-US"/>
        </w:rPr>
        <w:t xml:space="preserve">), </w:t>
      </w:r>
      <w:proofErr w:type="spellStart"/>
      <w:r w:rsidRPr="00847DF9">
        <w:rPr>
          <w:rFonts w:ascii="SerifaStd-Roman" w:hAnsi="SerifaStd-Roman" w:cs="SerifaStd-Roman"/>
          <w:color w:val="000000"/>
          <w:kern w:val="0"/>
          <w:sz w:val="18"/>
          <w:szCs w:val="18"/>
          <w:lang w:val="en-US"/>
        </w:rPr>
        <w:t>tandis</w:t>
      </w:r>
      <w:proofErr w:type="spellEnd"/>
    </w:p>
    <w:p w14:paraId="76B9BDAB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que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Jean-François Blanchette abordait les formats d’archivage des</w:t>
      </w:r>
    </w:p>
    <w:p w14:paraId="4EAE41AE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données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liées aux articles de la science ouverte, en se concentrant</w:t>
      </w:r>
    </w:p>
    <w:p w14:paraId="0E1A9418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plus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spécifiquement sur les avatars évolutifs du classique</w:t>
      </w:r>
    </w:p>
    <w:p w14:paraId="2CB01511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fichier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PDF.</w:t>
      </w:r>
    </w:p>
    <w:p w14:paraId="7A24F76D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Bold" w:hAnsi="SerifaStd-Bold" w:cs="SerifaStd-Bold"/>
          <w:b/>
          <w:bCs/>
          <w:color w:val="000000"/>
          <w:kern w:val="0"/>
          <w:sz w:val="24"/>
          <w:szCs w:val="24"/>
        </w:rPr>
      </w:pPr>
      <w:r>
        <w:rPr>
          <w:rFonts w:ascii="SerifaStd-Bold" w:hAnsi="SerifaStd-Bold" w:cs="SerifaStd-Bold"/>
          <w:b/>
          <w:bCs/>
          <w:color w:val="000000"/>
          <w:kern w:val="0"/>
          <w:sz w:val="24"/>
          <w:szCs w:val="24"/>
        </w:rPr>
        <w:t>AXE 2 – LA RÉCEPTION SOCIALE, POLITIQUE,</w:t>
      </w:r>
    </w:p>
    <w:p w14:paraId="77351106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Bold" w:hAnsi="SerifaStd-Bold" w:cs="SerifaStd-Bold"/>
          <w:b/>
          <w:bCs/>
          <w:color w:val="000000"/>
          <w:kern w:val="0"/>
          <w:sz w:val="24"/>
          <w:szCs w:val="24"/>
        </w:rPr>
      </w:pPr>
      <w:r>
        <w:rPr>
          <w:rFonts w:ascii="SerifaStd-Bold" w:hAnsi="SerifaStd-Bold" w:cs="SerifaStd-Bold"/>
          <w:b/>
          <w:bCs/>
          <w:color w:val="000000"/>
          <w:kern w:val="0"/>
          <w:sz w:val="24"/>
          <w:szCs w:val="24"/>
        </w:rPr>
        <w:t>CULTURELLE, ÉPISTÉMIQUE DE LA SCIENCE</w:t>
      </w:r>
    </w:p>
    <w:p w14:paraId="49DAF9E8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Bold" w:hAnsi="SerifaStd-Bold" w:cs="SerifaStd-Bold"/>
          <w:b/>
          <w:bCs/>
          <w:color w:val="000000"/>
          <w:kern w:val="0"/>
          <w:sz w:val="24"/>
          <w:szCs w:val="24"/>
        </w:rPr>
      </w:pPr>
      <w:r>
        <w:rPr>
          <w:rFonts w:ascii="SerifaStd-Bold" w:hAnsi="SerifaStd-Bold" w:cs="SerifaStd-Bold"/>
          <w:b/>
          <w:bCs/>
          <w:color w:val="000000"/>
          <w:kern w:val="0"/>
          <w:sz w:val="24"/>
          <w:szCs w:val="24"/>
        </w:rPr>
        <w:t>OUVERTE</w:t>
      </w:r>
    </w:p>
    <w:p w14:paraId="70B21451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La réception de la science ouverte est observable sous plusieurs</w:t>
      </w:r>
    </w:p>
    <w:p w14:paraId="7AC25BDC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angles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comme celui du développement du pouvoir d’agir (</w:t>
      </w:r>
      <w:proofErr w:type="spellStart"/>
      <w:r>
        <w:rPr>
          <w:rFonts w:ascii="SerifaStd-Italic" w:hAnsi="SerifaStd-Italic" w:cs="SerifaStd-Italic"/>
          <w:i/>
          <w:iCs/>
          <w:color w:val="000000"/>
          <w:kern w:val="0"/>
          <w:sz w:val="18"/>
          <w:szCs w:val="18"/>
        </w:rPr>
        <w:t>empowerment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).</w:t>
      </w:r>
    </w:p>
    <w:p w14:paraId="0D4B119E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Nous avions souhaité interroger les adhésions </w:t>
      </w: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a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la science</w:t>
      </w:r>
    </w:p>
    <w:p w14:paraId="13EF9645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ouverte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selon les zones linguistique/politique/géopolitique et</w:t>
      </w:r>
    </w:p>
    <w:p w14:paraId="69648D8F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l’éventuelle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existence d’une spécificité francophone. Du côté de</w:t>
      </w:r>
    </w:p>
    <w:p w14:paraId="5197A581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l’évaluation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et de ses différents processus, il s’agissait également</w:t>
      </w:r>
    </w:p>
    <w:p w14:paraId="41B517AF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de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questionner la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maniere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dont sont pris en compte les différentes</w:t>
      </w:r>
    </w:p>
    <w:p w14:paraId="5B5A7BE6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formes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d’investissement de l’expression scientifique et le renouvellement</w:t>
      </w:r>
    </w:p>
    <w:p w14:paraId="395012E7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des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criteres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par d’éventuelles nouvelles formes d’évaluation.</w:t>
      </w:r>
    </w:p>
    <w:p w14:paraId="4FF1F46B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C’est sur ce dernier aspect que portait l’intervention de Gabriel</w:t>
      </w:r>
    </w:p>
    <w:p w14:paraId="103A982C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Gallezot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et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Mariannig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Le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Béchec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. A partir de nombreux exemples</w:t>
      </w:r>
    </w:p>
    <w:p w14:paraId="32EC87A8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et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d’analyses récentes, ils mettent en évidence plusieurs effets</w:t>
      </w:r>
    </w:p>
    <w:p w14:paraId="371D104C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« </w:t>
      </w: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correcteurs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» de l’</w:t>
      </w:r>
      <w:r>
        <w:rPr>
          <w:rFonts w:ascii="SerifaStd-Italic" w:hAnsi="SerifaStd-Italic" w:cs="SerifaStd-Italic"/>
          <w:i/>
          <w:iCs/>
          <w:color w:val="000000"/>
          <w:kern w:val="0"/>
          <w:sz w:val="18"/>
          <w:szCs w:val="18"/>
        </w:rPr>
        <w:t xml:space="preserve">Open </w:t>
      </w:r>
      <w:proofErr w:type="spellStart"/>
      <w:r>
        <w:rPr>
          <w:rFonts w:ascii="SerifaStd-Italic" w:hAnsi="SerifaStd-Italic" w:cs="SerifaStd-Italic"/>
          <w:i/>
          <w:iCs/>
          <w:color w:val="000000"/>
          <w:kern w:val="0"/>
          <w:sz w:val="18"/>
          <w:szCs w:val="18"/>
        </w:rPr>
        <w:t>Scholarly</w:t>
      </w:r>
      <w:proofErr w:type="spellEnd"/>
      <w:r>
        <w:rPr>
          <w:rFonts w:ascii="SerifaStd-Italic" w:hAnsi="SerifaStd-Italic" w:cs="SerifaStd-Italic"/>
          <w:i/>
          <w:iCs/>
          <w:color w:val="000000"/>
          <w:kern w:val="0"/>
          <w:sz w:val="18"/>
          <w:szCs w:val="18"/>
        </w:rPr>
        <w:t xml:space="preserve"> </w:t>
      </w:r>
      <w:proofErr w:type="spellStart"/>
      <w:r>
        <w:rPr>
          <w:rFonts w:ascii="SerifaStd-Italic" w:hAnsi="SerifaStd-Italic" w:cs="SerifaStd-Italic"/>
          <w:i/>
          <w:iCs/>
          <w:color w:val="000000"/>
          <w:kern w:val="0"/>
          <w:sz w:val="18"/>
          <w:szCs w:val="18"/>
        </w:rPr>
        <w:t>Publishing</w:t>
      </w:r>
      <w:proofErr w:type="spellEnd"/>
      <w:r>
        <w:rPr>
          <w:rFonts w:ascii="SerifaStd-Italic" w:hAnsi="SerifaStd-Italic" w:cs="SerifaStd-Italic"/>
          <w:i/>
          <w:iCs/>
          <w:color w:val="000000"/>
          <w:kern w:val="0"/>
          <w:sz w:val="18"/>
          <w:szCs w:val="18"/>
        </w:rPr>
        <w:t xml:space="preserve"> </w:t>
      </w: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; en d’autres termes,</w:t>
      </w:r>
    </w:p>
    <w:p w14:paraId="71070C66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ils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montrent comment les processus de publications ouvertes sont</w:t>
      </w:r>
    </w:p>
    <w:p w14:paraId="36738843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susceptibles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de favoriser les pratiques vertueuses et de contrer</w:t>
      </w:r>
    </w:p>
    <w:p w14:paraId="093F38B4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le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productivisme de la recherche induit par des politiques institutionnelles</w:t>
      </w:r>
    </w:p>
    <w:p w14:paraId="596EF402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alignées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sur le </w:t>
      </w:r>
      <w:r>
        <w:rPr>
          <w:rFonts w:ascii="SerifaStd-Italic" w:hAnsi="SerifaStd-Italic" w:cs="SerifaStd-Italic"/>
          <w:i/>
          <w:iCs/>
          <w:color w:val="000000"/>
          <w:kern w:val="0"/>
          <w:sz w:val="18"/>
          <w:szCs w:val="18"/>
        </w:rPr>
        <w:t>New Public Management</w:t>
      </w: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. Par une</w:t>
      </w:r>
    </w:p>
    <w:p w14:paraId="1093C76C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analyse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textométrique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, Frédérique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Bordignon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et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Chérifa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Boukacem</w:t>
      </w:r>
      <w:proofErr w:type="spellEnd"/>
    </w:p>
    <w:p w14:paraId="105633C8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Zeghmouri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ont ensuite étudié la place accordée aux diverses formes</w:t>
      </w:r>
    </w:p>
    <w:p w14:paraId="560D4650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d’ouverture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de la science dans les rapports d’évaluation de la</w:t>
      </w:r>
    </w:p>
    <w:p w14:paraId="564F4FEA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recherche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issus de l’AÉRES et du HCÉRES afin de mesurer son</w:t>
      </w:r>
    </w:p>
    <w:p w14:paraId="3BB9B094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évolution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et les thématiques abordées. La question des stratégies</w:t>
      </w:r>
    </w:p>
    <w:p w14:paraId="5DB7FF2C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de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sauvegarde des données de la recherche a enfin été abordée</w:t>
      </w:r>
    </w:p>
    <w:p w14:paraId="76C519EA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par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Mariannig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Le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Béchec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, Gabriel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Gallezot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et Philippe Charrier.</w:t>
      </w:r>
    </w:p>
    <w:p w14:paraId="02802B89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Une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enquete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sur les pratiques des chercheuses et chercheurs</w:t>
      </w:r>
    </w:p>
    <w:p w14:paraId="0A12CE43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français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leur permet de faire ressortir les grandes disparités sociodémographiques</w:t>
      </w:r>
    </w:p>
    <w:p w14:paraId="0E7F8942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liées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aux contextes de travail et a l’attachement</w:t>
      </w:r>
    </w:p>
    <w:p w14:paraId="4DC153D3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personnel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variables a ses données.</w:t>
      </w:r>
    </w:p>
    <w:p w14:paraId="0CB9B2B7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12"/>
          <w:szCs w:val="12"/>
        </w:rPr>
      </w:pPr>
      <w:r>
        <w:rPr>
          <w:rFonts w:ascii="Helvetica" w:hAnsi="Helvetica" w:cs="Helvetica"/>
          <w:color w:val="000000"/>
          <w:kern w:val="0"/>
          <w:sz w:val="12"/>
          <w:szCs w:val="12"/>
        </w:rPr>
        <w:t xml:space="preserve">9782807357105_INT_001-256_SCIENTIFITIQUE.indb 9 13/02/2023 </w:t>
      </w:r>
      <w:proofErr w:type="gramStart"/>
      <w:r>
        <w:rPr>
          <w:rFonts w:ascii="Helvetica" w:hAnsi="Helvetica" w:cs="Helvetica"/>
          <w:color w:val="000000"/>
          <w:kern w:val="0"/>
          <w:sz w:val="12"/>
          <w:szCs w:val="12"/>
        </w:rPr>
        <w:t>15:</w:t>
      </w:r>
      <w:proofErr w:type="gramEnd"/>
      <w:r>
        <w:rPr>
          <w:rFonts w:ascii="Helvetica" w:hAnsi="Helvetica" w:cs="Helvetica"/>
          <w:color w:val="000000"/>
          <w:kern w:val="0"/>
          <w:sz w:val="12"/>
          <w:szCs w:val="12"/>
        </w:rPr>
        <w:t>37</w:t>
      </w:r>
    </w:p>
    <w:p w14:paraId="4B09C53C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NeoSansStd-Regular" w:hAnsi="NeoSansStd-Regular" w:cs="NeoSansStd-Regular"/>
          <w:color w:val="000000"/>
          <w:kern w:val="0"/>
          <w:sz w:val="20"/>
          <w:szCs w:val="20"/>
        </w:rPr>
      </w:pPr>
      <w:r>
        <w:rPr>
          <w:rFonts w:ascii="SerifaStd-Bold" w:hAnsi="SerifaStd-Bold" w:cs="SerifaStd-Bold"/>
          <w:b/>
          <w:bCs/>
          <w:color w:val="333333"/>
          <w:kern w:val="0"/>
        </w:rPr>
        <w:t>10</w:t>
      </w:r>
      <w:r>
        <w:rPr>
          <w:rFonts w:ascii="NeoSansStd-Regular" w:hAnsi="NeoSansStd-Regular" w:cs="NeoSansStd-Regular"/>
          <w:color w:val="000000"/>
          <w:kern w:val="0"/>
          <w:sz w:val="20"/>
          <w:szCs w:val="20"/>
        </w:rPr>
        <w:t>Introduction</w:t>
      </w:r>
    </w:p>
    <w:p w14:paraId="50E075D3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Bold" w:hAnsi="SerifaStd-Bold" w:cs="SerifaStd-Bold"/>
          <w:b/>
          <w:bCs/>
          <w:color w:val="000000"/>
          <w:kern w:val="0"/>
          <w:sz w:val="24"/>
          <w:szCs w:val="24"/>
        </w:rPr>
      </w:pPr>
      <w:r>
        <w:rPr>
          <w:rFonts w:ascii="SerifaStd-Bold" w:hAnsi="SerifaStd-Bold" w:cs="SerifaStd-Bold"/>
          <w:b/>
          <w:bCs/>
          <w:color w:val="000000"/>
          <w:kern w:val="0"/>
          <w:sz w:val="24"/>
          <w:szCs w:val="24"/>
        </w:rPr>
        <w:t>AXE 3 – L’ÉCOSYSTÈME DOCUMENTAIRE</w:t>
      </w:r>
    </w:p>
    <w:p w14:paraId="4E14F020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Bold" w:hAnsi="SerifaStd-Bold" w:cs="SerifaStd-Bold"/>
          <w:b/>
          <w:bCs/>
          <w:color w:val="000000"/>
          <w:kern w:val="0"/>
          <w:sz w:val="24"/>
          <w:szCs w:val="24"/>
        </w:rPr>
      </w:pPr>
      <w:r>
        <w:rPr>
          <w:rFonts w:ascii="SerifaStd-Bold" w:hAnsi="SerifaStd-Bold" w:cs="SerifaStd-Bold"/>
          <w:b/>
          <w:bCs/>
          <w:color w:val="000000"/>
          <w:kern w:val="0"/>
          <w:sz w:val="24"/>
          <w:szCs w:val="24"/>
        </w:rPr>
        <w:t>EN ÉVOLUTION ?</w:t>
      </w:r>
    </w:p>
    <w:p w14:paraId="144CD89D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La science ouverte fait évoluer les pratiques documentaires</w:t>
      </w:r>
    </w:p>
    <w:p w14:paraId="631EC278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encadrant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la communication scientifique : le choix des sources, l’indexation,</w:t>
      </w:r>
    </w:p>
    <w:p w14:paraId="2E1761B7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les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plateformes et les outils de diffusion, l’archivage, la</w:t>
      </w:r>
    </w:p>
    <w:p w14:paraId="520C8771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citation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, le référencement, la gestion des données sont autant d’indices</w:t>
      </w:r>
    </w:p>
    <w:p w14:paraId="45B4CB59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de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changements qu’il s’agissait de décrire. Dans ce contexte,</w:t>
      </w:r>
    </w:p>
    <w:p w14:paraId="43E9F23E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les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modeles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économiques trouvés entre acteurs pour pérenniser</w:t>
      </w:r>
    </w:p>
    <w:p w14:paraId="00FF175C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l’offre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des ressources, de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meme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que le rôle des pouvoirs publics,</w:t>
      </w:r>
    </w:p>
    <w:p w14:paraId="552FC7F0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méritaient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d’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etre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précisés. La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bibliodiversité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, avec ce qui peut apparaître</w:t>
      </w:r>
    </w:p>
    <w:p w14:paraId="25161FC7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comme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une inflation de l’offre – selon les disciplines – est</w:t>
      </w:r>
    </w:p>
    <w:p w14:paraId="5CCDCF36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confrontée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a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des formes inédites de concentration des acteurs. Les</w:t>
      </w:r>
    </w:p>
    <w:p w14:paraId="5E93341D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changements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en termes de conditions d’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acces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a l’information scientifique</w:t>
      </w:r>
    </w:p>
    <w:p w14:paraId="50433325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provoquent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certains effets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a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mesurer : désintermédiation,</w:t>
      </w:r>
    </w:p>
    <w:p w14:paraId="3D0E00E3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inégalité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ou amplification des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acces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, poids des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acces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illégitimes.</w:t>
      </w:r>
    </w:p>
    <w:p w14:paraId="5D44D443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Enfin, on peut se demander si la science ouverte a déplacé l’attention</w:t>
      </w:r>
    </w:p>
    <w:p w14:paraId="348FF957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des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usagers en ce qui concerne leurs choix de lecture. De façon</w:t>
      </w:r>
    </w:p>
    <w:p w14:paraId="125D40C5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plus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globale, quelles transformations de l’économie de l’attention</w:t>
      </w:r>
    </w:p>
    <w:p w14:paraId="1E8A87F5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en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contexte scientifique sont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a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remarquer ?</w:t>
      </w:r>
    </w:p>
    <w:p w14:paraId="438E72EF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Dans ce dernier axe, l’intervention de Benoît Epron, Élise Point et</w:t>
      </w:r>
    </w:p>
    <w:p w14:paraId="4ADC05C1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Marie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Merminod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a porté sur les pratiques informationnelles des</w:t>
      </w:r>
    </w:p>
    <w:p w14:paraId="75D5892A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étudiants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et étudiantes dans un environnement </w:t>
      </w:r>
      <w:r>
        <w:rPr>
          <w:rFonts w:ascii="SerifaStd-Italic" w:hAnsi="SerifaStd-Italic" w:cs="SerifaStd-Italic"/>
          <w:i/>
          <w:iCs/>
          <w:color w:val="000000"/>
          <w:kern w:val="0"/>
          <w:sz w:val="18"/>
          <w:szCs w:val="18"/>
        </w:rPr>
        <w:t xml:space="preserve">open. </w:t>
      </w: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En combinant</w:t>
      </w:r>
    </w:p>
    <w:p w14:paraId="1BFBF81C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lastRenderedPageBreak/>
        <w:t>en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particulier une captation des actions réalisées par l’étudiant ou</w:t>
      </w:r>
    </w:p>
    <w:p w14:paraId="2C6A1AB9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l’étudiante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sur son ordinateur et une analyse des citations de références</w:t>
      </w:r>
    </w:p>
    <w:p w14:paraId="7D8FE8CB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dans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leurs mémoires, ils tentent d’évaluer le rôle et la place</w:t>
      </w:r>
    </w:p>
    <w:p w14:paraId="14E2BFCA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qu’occupent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les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bibliotheques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universitaires dans ces pratiques</w:t>
      </w:r>
    </w:p>
    <w:p w14:paraId="59E46E97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documentaires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. Jonathan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Zurbach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a, pour sa part, évoqué le format</w:t>
      </w:r>
    </w:p>
    <w:p w14:paraId="2B737844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de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l’article scientifique exécutable, une pratique émergente dans</w:t>
      </w:r>
    </w:p>
    <w:p w14:paraId="07D98147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les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communautés de recherche. Pour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Zurbach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, ce format propose</w:t>
      </w:r>
    </w:p>
    <w:p w14:paraId="3E413997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un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type de contrat particulier entre auteurs et lecteurs dans un</w:t>
      </w:r>
    </w:p>
    <w:p w14:paraId="674B238E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spellStart"/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écosysteme</w:t>
      </w:r>
      <w:proofErr w:type="spellEnd"/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de publication ouverte, qui conduit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a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une forme de</w:t>
      </w:r>
    </w:p>
    <w:p w14:paraId="489FE649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renouvellement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des représentations et des sociabilités documentaires</w:t>
      </w:r>
    </w:p>
    <w:p w14:paraId="39526758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associées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a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l’exercice du métier de chercheur. Maxence</w:t>
      </w:r>
    </w:p>
    <w:p w14:paraId="2953793B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Larrieu et Joachim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Schöpfel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ont ensuite présenté le résultat d’une</w:t>
      </w:r>
    </w:p>
    <w:p w14:paraId="025E933F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étude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sur les variations disciplinaires dans l’archive ouverte française</w:t>
      </w:r>
    </w:p>
    <w:p w14:paraId="01437DF4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HAL, identifiant les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parametres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distinctifs tels que la diversité</w:t>
      </w:r>
    </w:p>
    <w:p w14:paraId="1543B79D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typologique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, la visibilité dans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WoS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/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Scopus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ou la dépendance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a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l’oligopole</w:t>
      </w:r>
    </w:p>
    <w:p w14:paraId="61E7AE76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de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l’édition scientifique. Pour terminer, Joachim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Schöpfel</w:t>
      </w:r>
      <w:proofErr w:type="spellEnd"/>
    </w:p>
    <w:p w14:paraId="101CC6EF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toujours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, Éric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Kergosien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, Stéphane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Chaudiron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, Bernard Jacquemin</w:t>
      </w:r>
    </w:p>
    <w:p w14:paraId="3B087140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et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Hélene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Prost, ont rendu compte du positionnement des revues</w:t>
      </w:r>
    </w:p>
    <w:p w14:paraId="4DED8774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en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sciences de l’information et de la communication par rapport</w:t>
      </w:r>
    </w:p>
    <w:p w14:paraId="2C7259DD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aux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enjeux d’ouverture et de transparence, deux lignes directrices</w:t>
      </w:r>
    </w:p>
    <w:p w14:paraId="39EE3C44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de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l’</w:t>
      </w:r>
      <w:r>
        <w:rPr>
          <w:rFonts w:ascii="SerifaStd-Italic" w:hAnsi="SerifaStd-Italic" w:cs="SerifaStd-Italic"/>
          <w:i/>
          <w:iCs/>
          <w:color w:val="000000"/>
          <w:kern w:val="0"/>
          <w:sz w:val="18"/>
          <w:szCs w:val="18"/>
        </w:rPr>
        <w:t>open science</w:t>
      </w: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. A partir des instructions données aux auteurs</w:t>
      </w:r>
    </w:p>
    <w:p w14:paraId="038AD366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sur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des sujets variés (citation, ouverture des données de recherche,</w:t>
      </w:r>
    </w:p>
    <w:p w14:paraId="7FDCA999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partage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des codes, etc.) relevés dans 100 revues reconnues par</w:t>
      </w:r>
    </w:p>
    <w:p w14:paraId="4F633F9A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la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section 71 du CNU, ils analysent leur politique éditoriale et la</w:t>
      </w:r>
    </w:p>
    <w:p w14:paraId="2D8BDBE0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comparent</w:t>
      </w:r>
      <w:proofErr w:type="gramEnd"/>
    </w:p>
    <w:p w14:paraId="697EED8D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aux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résultats obtenus dans une étude antérieure similaire</w:t>
      </w:r>
    </w:p>
    <w:p w14:paraId="456C1782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menée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sur 138 revues françaises dans six domaines SHS.</w:t>
      </w:r>
    </w:p>
    <w:p w14:paraId="5ECEB589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La 8</w:t>
      </w:r>
      <w:r>
        <w:rPr>
          <w:rFonts w:ascii="SerifaStd-Roman" w:hAnsi="SerifaStd-Roman" w:cs="SerifaStd-Roman"/>
          <w:color w:val="000000"/>
          <w:kern w:val="0"/>
          <w:sz w:val="11"/>
          <w:szCs w:val="11"/>
        </w:rPr>
        <w:t xml:space="preserve">e </w:t>
      </w: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conférence « Document numérique et société », ainsi que</w:t>
      </w:r>
    </w:p>
    <w:p w14:paraId="3B172468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la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publication de ces actes, ont reçu le soutien du Laboratoire</w:t>
      </w:r>
    </w:p>
    <w:p w14:paraId="01DC893E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Dicen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-</w:t>
      </w:r>
    </w:p>
    <w:p w14:paraId="0489D2BD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IdF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, du CNAM, du Laboratoire d’Excellence d’Histoire et</w:t>
      </w:r>
    </w:p>
    <w:p w14:paraId="36664D84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Anthropologie des Savoirs, des Techniques et Croyances (ANR-10-</w:t>
      </w:r>
    </w:p>
    <w:p w14:paraId="0DB89BE9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LABX-85), de l’École Pratique des Hautes Études – Université PSL,</w:t>
      </w:r>
    </w:p>
    <w:p w14:paraId="7E41F176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12"/>
          <w:szCs w:val="12"/>
        </w:rPr>
      </w:pPr>
      <w:r>
        <w:rPr>
          <w:rFonts w:ascii="Helvetica" w:hAnsi="Helvetica" w:cs="Helvetica"/>
          <w:color w:val="000000"/>
          <w:kern w:val="0"/>
          <w:sz w:val="12"/>
          <w:szCs w:val="12"/>
        </w:rPr>
        <w:t xml:space="preserve">9782807357105_INT_001-256_SCIENTIFITIQUE.indb 10 13/02/2023 </w:t>
      </w:r>
      <w:proofErr w:type="gramStart"/>
      <w:r>
        <w:rPr>
          <w:rFonts w:ascii="Helvetica" w:hAnsi="Helvetica" w:cs="Helvetica"/>
          <w:color w:val="000000"/>
          <w:kern w:val="0"/>
          <w:sz w:val="12"/>
          <w:szCs w:val="12"/>
        </w:rPr>
        <w:t>15:</w:t>
      </w:r>
      <w:proofErr w:type="gramEnd"/>
      <w:r>
        <w:rPr>
          <w:rFonts w:ascii="Helvetica" w:hAnsi="Helvetica" w:cs="Helvetica"/>
          <w:color w:val="000000"/>
          <w:kern w:val="0"/>
          <w:sz w:val="12"/>
          <w:szCs w:val="12"/>
        </w:rPr>
        <w:t>37</w:t>
      </w:r>
    </w:p>
    <w:p w14:paraId="42D9486F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Bold" w:hAnsi="SerifaStd-Bold" w:cs="SerifaStd-Bold"/>
          <w:b/>
          <w:bCs/>
          <w:color w:val="333333"/>
          <w:kern w:val="0"/>
        </w:rPr>
      </w:pPr>
      <w:r>
        <w:rPr>
          <w:rFonts w:ascii="SerifaStd-Bold" w:hAnsi="SerifaStd-Bold" w:cs="SerifaStd-Bold"/>
          <w:b/>
          <w:bCs/>
          <w:color w:val="333333"/>
          <w:kern w:val="0"/>
        </w:rPr>
        <w:t>11</w:t>
      </w:r>
    </w:p>
    <w:p w14:paraId="24BC9AE0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NeoSansStd-Regular" w:hAnsi="NeoSansStd-Regular" w:cs="NeoSansStd-Regular"/>
          <w:color w:val="000000"/>
          <w:kern w:val="0"/>
          <w:sz w:val="20"/>
          <w:szCs w:val="20"/>
        </w:rPr>
      </w:pPr>
      <w:r>
        <w:rPr>
          <w:rFonts w:ascii="NeoSansStd-Regular" w:hAnsi="NeoSansStd-Regular" w:cs="NeoSansStd-Regular"/>
          <w:color w:val="000000"/>
          <w:kern w:val="0"/>
          <w:sz w:val="20"/>
          <w:szCs w:val="20"/>
        </w:rPr>
        <w:t>Communication scientifique et science ouverte</w:t>
      </w:r>
    </w:p>
    <w:p w14:paraId="728E40F7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de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l’Unité de Recherche Traverses et de la Faculté de Philosophie</w:t>
      </w:r>
    </w:p>
    <w:p w14:paraId="565F2968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et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Lettre de l’Université de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Liege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ainsi que du laboratoire LISEC</w:t>
      </w:r>
    </w:p>
    <w:p w14:paraId="1BC4675B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gram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de</w:t>
      </w:r>
      <w:proofErr w:type="gram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l’université de Strasbourg et du GIS Réseau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Urfist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.</w:t>
      </w:r>
    </w:p>
    <w:p w14:paraId="58BDC91A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Bold" w:hAnsi="SerifaStd-Bold" w:cs="SerifaStd-Bold"/>
          <w:b/>
          <w:bCs/>
          <w:color w:val="000000"/>
          <w:kern w:val="0"/>
          <w:sz w:val="24"/>
          <w:szCs w:val="24"/>
        </w:rPr>
      </w:pPr>
      <w:r>
        <w:rPr>
          <w:rFonts w:ascii="SerifaStd-Bold" w:hAnsi="SerifaStd-Bold" w:cs="SerifaStd-Bold"/>
          <w:b/>
          <w:bCs/>
          <w:color w:val="000000"/>
          <w:kern w:val="0"/>
          <w:sz w:val="24"/>
          <w:szCs w:val="24"/>
        </w:rPr>
        <w:t>ÉDITRICES SCIENTIFIQUES</w:t>
      </w:r>
    </w:p>
    <w:p w14:paraId="03D8C962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Camille Prime-Claverie</w:t>
      </w:r>
    </w:p>
    <w:p w14:paraId="2EB26D66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Annaig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Mahé</w:t>
      </w:r>
    </w:p>
    <w:p w14:paraId="0E1BAFC2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Ingrid Mayeur</w:t>
      </w:r>
    </w:p>
    <w:p w14:paraId="573266D0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Elsa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Poupardin</w:t>
      </w:r>
      <w:proofErr w:type="spellEnd"/>
    </w:p>
    <w:p w14:paraId="439F2263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Bold" w:hAnsi="SerifaStd-Bold" w:cs="SerifaStd-Bold"/>
          <w:b/>
          <w:bCs/>
          <w:color w:val="000000"/>
          <w:kern w:val="0"/>
          <w:sz w:val="24"/>
          <w:szCs w:val="24"/>
        </w:rPr>
      </w:pPr>
      <w:r>
        <w:rPr>
          <w:rFonts w:ascii="SerifaStd-Bold" w:hAnsi="SerifaStd-Bold" w:cs="SerifaStd-Bold"/>
          <w:b/>
          <w:bCs/>
          <w:color w:val="000000"/>
          <w:kern w:val="0"/>
          <w:sz w:val="24"/>
          <w:szCs w:val="24"/>
        </w:rPr>
        <w:t>COMITÉ D’ORGANISATION</w:t>
      </w:r>
    </w:p>
    <w:p w14:paraId="4AF70E39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Björn-Olav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Dozo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(Université de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Liege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, Belgique)</w:t>
      </w:r>
    </w:p>
    <w:p w14:paraId="02E98DE2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Ingrid Mayeur (Université de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Liege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, Belgique)</w:t>
      </w:r>
    </w:p>
    <w:p w14:paraId="54F4BD2A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Paul Bertrand (Université catholique de Louvain, Belgique)</w:t>
      </w:r>
    </w:p>
    <w:p w14:paraId="4C09D897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Évelyne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Broudoux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(Cnam, Paris)</w:t>
      </w:r>
    </w:p>
    <w:p w14:paraId="30C6EBA7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Ghislaine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Chartron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(Cnam, Paris)</w:t>
      </w:r>
    </w:p>
    <w:p w14:paraId="5A4B347E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Camille Prime-Claverie (Université Paris Nanterre)</w:t>
      </w:r>
    </w:p>
    <w:p w14:paraId="1229A2EA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Annaig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Mahé (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Urfist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de Paris, École nationale des Chartes)</w:t>
      </w:r>
    </w:p>
    <w:p w14:paraId="625B9604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Elsa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Poupardin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(Université Paris Cité)</w:t>
      </w:r>
    </w:p>
    <w:p w14:paraId="6E96FB54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12"/>
          <w:szCs w:val="12"/>
        </w:rPr>
      </w:pPr>
      <w:r>
        <w:rPr>
          <w:rFonts w:ascii="Helvetica" w:hAnsi="Helvetica" w:cs="Helvetica"/>
          <w:color w:val="000000"/>
          <w:kern w:val="0"/>
          <w:sz w:val="12"/>
          <w:szCs w:val="12"/>
        </w:rPr>
        <w:t xml:space="preserve">9782807357105_INT_001-256_SCIENTIFITIQUE.indb 11 13/02/2023 </w:t>
      </w:r>
      <w:proofErr w:type="gramStart"/>
      <w:r>
        <w:rPr>
          <w:rFonts w:ascii="Helvetica" w:hAnsi="Helvetica" w:cs="Helvetica"/>
          <w:color w:val="000000"/>
          <w:kern w:val="0"/>
          <w:sz w:val="12"/>
          <w:szCs w:val="12"/>
        </w:rPr>
        <w:t>15:</w:t>
      </w:r>
      <w:proofErr w:type="gramEnd"/>
      <w:r>
        <w:rPr>
          <w:rFonts w:ascii="Helvetica" w:hAnsi="Helvetica" w:cs="Helvetica"/>
          <w:color w:val="000000"/>
          <w:kern w:val="0"/>
          <w:sz w:val="12"/>
          <w:szCs w:val="12"/>
        </w:rPr>
        <w:t>37</w:t>
      </w:r>
    </w:p>
    <w:p w14:paraId="3134CA97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NeoSansStd-Regular" w:hAnsi="NeoSansStd-Regular" w:cs="NeoSansStd-Regular"/>
          <w:color w:val="000000"/>
          <w:kern w:val="0"/>
          <w:sz w:val="20"/>
          <w:szCs w:val="20"/>
        </w:rPr>
      </w:pPr>
      <w:r>
        <w:rPr>
          <w:rFonts w:ascii="SerifaStd-Bold" w:hAnsi="SerifaStd-Bold" w:cs="SerifaStd-Bold"/>
          <w:b/>
          <w:bCs/>
          <w:color w:val="333333"/>
          <w:kern w:val="0"/>
        </w:rPr>
        <w:t>12</w:t>
      </w:r>
      <w:r>
        <w:rPr>
          <w:rFonts w:ascii="NeoSansStd-Regular" w:hAnsi="NeoSansStd-Regular" w:cs="NeoSansStd-Regular"/>
          <w:color w:val="000000"/>
          <w:kern w:val="0"/>
          <w:sz w:val="20"/>
          <w:szCs w:val="20"/>
        </w:rPr>
        <w:t>Introduction</w:t>
      </w:r>
    </w:p>
    <w:p w14:paraId="514CCD1C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Bold" w:hAnsi="SerifaStd-Bold" w:cs="SerifaStd-Bold"/>
          <w:b/>
          <w:bCs/>
          <w:color w:val="000000"/>
          <w:kern w:val="0"/>
          <w:sz w:val="24"/>
          <w:szCs w:val="24"/>
        </w:rPr>
      </w:pPr>
      <w:r>
        <w:rPr>
          <w:rFonts w:ascii="SerifaStd-Bold" w:hAnsi="SerifaStd-Bold" w:cs="SerifaStd-Bold"/>
          <w:b/>
          <w:bCs/>
          <w:color w:val="000000"/>
          <w:kern w:val="0"/>
          <w:sz w:val="24"/>
          <w:szCs w:val="24"/>
        </w:rPr>
        <w:t>COMITÉ SCIENTIFIQUE</w:t>
      </w:r>
    </w:p>
    <w:p w14:paraId="0A65853D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Évelyne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Broudoux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(Cnam, Paris)</w:t>
      </w:r>
    </w:p>
    <w:p w14:paraId="73B5355F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Ghislaine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Chartron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(Cnam, Paris)</w:t>
      </w:r>
    </w:p>
    <w:p w14:paraId="09CD70E8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Stéphane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Chaudiron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(Université de Lille)</w:t>
      </w:r>
    </w:p>
    <w:p w14:paraId="29711D45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Camille Prime-Claverie (Université Paris Nanterre)</w:t>
      </w:r>
    </w:p>
    <w:p w14:paraId="737CA140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Lyne Da Sylva (EBSI, Université de Montréal)</w:t>
      </w:r>
    </w:p>
    <w:p w14:paraId="0F431581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Hans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Dillaerts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(Université Paul Valéry Montpellier 3)</w:t>
      </w:r>
    </w:p>
    <w:p w14:paraId="1B9CB614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Björn-Olav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Dozo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(Université de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Liege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, Belgique)</w:t>
      </w:r>
    </w:p>
    <w:p w14:paraId="6601EA4A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Benoît Epron (HEG, Suisse)</w:t>
      </w:r>
    </w:p>
    <w:p w14:paraId="72860E98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Gabriel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Gallezot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(Université de Côte d’Azur)</w:t>
      </w:r>
    </w:p>
    <w:p w14:paraId="1BEAC4C6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lastRenderedPageBreak/>
        <w:t>Antonietta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Folino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(Université de Calabre, Italie)</w:t>
      </w:r>
    </w:p>
    <w:p w14:paraId="188B949B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Tanguy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Habrand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(Université de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Liege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, Belgique)</w:t>
      </w:r>
    </w:p>
    <w:p w14:paraId="3DD0CC62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Pierre-Yves Hurel (Université de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Liege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, Belgique)</w:t>
      </w:r>
    </w:p>
    <w:p w14:paraId="0E3DAFC9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Madjid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Ihadjadene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(Université Paris 8)</w:t>
      </w:r>
    </w:p>
    <w:p w14:paraId="6F8D5FE0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Gérald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Kembellec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(Institut historique allemand)</w:t>
      </w:r>
    </w:p>
    <w:p w14:paraId="1DA3F483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Marc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Jahjah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(Université de Nantes)</w:t>
      </w:r>
    </w:p>
    <w:p w14:paraId="35E7FADD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Anna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Lezon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(Université Paris 8)</w:t>
      </w:r>
    </w:p>
    <w:p w14:paraId="1F8FCFBF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Annaig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Mahé (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Urfist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de Paris, École nationale des Chartes)</w:t>
      </w:r>
    </w:p>
    <w:p w14:paraId="6B219598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Dominique Maurel (EBSI, Université de Montréal)</w:t>
      </w:r>
    </w:p>
    <w:p w14:paraId="0274E5CD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Ingrid Mayeur (Université de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Liege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, Belgique)</w:t>
      </w:r>
    </w:p>
    <w:p w14:paraId="59A0AD6E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Angeliki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Monnier (Université de Lorraine)</w:t>
      </w:r>
    </w:p>
    <w:p w14:paraId="042A4B81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Nathalie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Pinede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(Université de Bordeaux)</w:t>
      </w:r>
    </w:p>
    <w:p w14:paraId="659F459D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François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Provenzano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(Université de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Liege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, Belgique)</w:t>
      </w:r>
    </w:p>
    <w:p w14:paraId="2A3E8941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Elsa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Poupardin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(Université Paris Cité)</w:t>
      </w:r>
    </w:p>
    <w:p w14:paraId="3C2447B3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Lise Renaud (Université d’Avignon)</w:t>
      </w:r>
    </w:p>
    <w:p w14:paraId="56DF63A2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Pascal Robert (Enssib, Villeurbanne)</w:t>
      </w:r>
    </w:p>
    <w:p w14:paraId="52FE343D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Joachim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Schöpfel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(Université de Lille)</w:t>
      </w:r>
    </w:p>
    <w:p w14:paraId="7D26E1B2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Christine Servais (Université de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Liege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, Belgique)</w:t>
      </w:r>
    </w:p>
    <w:p w14:paraId="57AD6C30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Brigitte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Simonnot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(Université de Lorraine)</w:t>
      </w:r>
    </w:p>
    <w:p w14:paraId="331C5776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Florence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Thiault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(Université de Haute-Bretagne)</w:t>
      </w:r>
    </w:p>
    <w:p w14:paraId="61542487" w14:textId="77777777" w:rsidR="00847DF9" w:rsidRDefault="00847DF9" w:rsidP="00847DF9">
      <w:pPr>
        <w:autoSpaceDE w:val="0"/>
        <w:autoSpaceDN w:val="0"/>
        <w:adjustRightInd w:val="0"/>
        <w:spacing w:after="0" w:line="240" w:lineRule="auto"/>
        <w:rPr>
          <w:rFonts w:ascii="SerifaStd-Roman" w:hAnsi="SerifaStd-Roman" w:cs="SerifaStd-Roman"/>
          <w:color w:val="000000"/>
          <w:kern w:val="0"/>
          <w:sz w:val="18"/>
          <w:szCs w:val="18"/>
        </w:rPr>
      </w:pPr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Lise 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Verlaet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(Université Paul Valéry Montpellier 3)</w:t>
      </w:r>
    </w:p>
    <w:p w14:paraId="1FBF33CF" w14:textId="740A4700" w:rsidR="00E12F57" w:rsidRDefault="00847DF9" w:rsidP="00847DF9"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Guillaume Sire (</w:t>
      </w:r>
      <w:proofErr w:type="spellStart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>Urfist</w:t>
      </w:r>
      <w:proofErr w:type="spellEnd"/>
      <w:r>
        <w:rPr>
          <w:rFonts w:ascii="SerifaStd-Roman" w:hAnsi="SerifaStd-Roman" w:cs="SerifaStd-Roman"/>
          <w:color w:val="000000"/>
          <w:kern w:val="0"/>
          <w:sz w:val="18"/>
          <w:szCs w:val="18"/>
        </w:rPr>
        <w:t xml:space="preserve"> de Toulouse)</w:t>
      </w:r>
    </w:p>
    <w:sectPr w:rsidR="00E12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oSansStd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Std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rifaStd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rifaStd-Roman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rifaStd-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DF9"/>
    <w:rsid w:val="00847DF9"/>
    <w:rsid w:val="00E12F57"/>
    <w:rsid w:val="00E4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00818"/>
  <w15:chartTrackingRefBased/>
  <w15:docId w15:val="{CDD53C76-B8EC-4949-9B87-A8BA1530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2755</Words>
  <Characters>15153</Characters>
  <Application>Microsoft Office Word</Application>
  <DocSecurity>0</DocSecurity>
  <Lines>126</Lines>
  <Paragraphs>35</Paragraphs>
  <ScaleCrop>false</ScaleCrop>
  <Company/>
  <LinksUpToDate>false</LinksUpToDate>
  <CharactersWithSpaces>17873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Mayeur Ingrid</dc:creator>
  <cp:keywords/>
  <dc:description/>
  <cp:lastModifiedBy>Mayeur Ingrid</cp:lastModifiedBy>
  <cp:revision>2</cp:revision>
  <dcterms:created xsi:type="dcterms:W3CDTF">2023-12-08T10:50:00Z</dcterms:created>
  <dcterms:modified xsi:type="dcterms:W3CDTF">2023-12-08T10:51:00Z</dcterms:modified>
</cp:coreProperties>
</file>