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317D" w:rsidRPr="00AC317D" w:rsidRDefault="00AC317D" w:rsidP="00AC317D">
      <w:pPr>
        <w:pStyle w:val="Titreprincipal"/>
        <w:rPr>
          <w:lang w:bidi="en-US"/>
        </w:rPr>
      </w:pPr>
      <w:r w:rsidRPr="00AC317D">
        <w:rPr>
          <w:lang w:bidi="en-US"/>
        </w:rPr>
        <w:t xml:space="preserve">Molecular genetic characterization of Congolese patients with </w:t>
      </w:r>
      <w:proofErr w:type="spellStart"/>
      <w:r w:rsidRPr="00AC317D">
        <w:rPr>
          <w:lang w:bidi="en-US"/>
        </w:rPr>
        <w:t>oculocutaneous</w:t>
      </w:r>
      <w:proofErr w:type="spellEnd"/>
      <w:r w:rsidRPr="00AC317D">
        <w:rPr>
          <w:lang w:bidi="en-US"/>
        </w:rPr>
        <w:t xml:space="preserve"> albinism</w:t>
      </w:r>
    </w:p>
    <w:p w:rsidR="007C250D" w:rsidRPr="00AC317D" w:rsidRDefault="00AC317D" w:rsidP="00DB4C7F">
      <w:pPr>
        <w:rPr>
          <w:lang w:bidi="en-US"/>
        </w:rPr>
      </w:pPr>
      <w:r w:rsidRPr="00AC317D">
        <w:rPr>
          <w:lang w:bidi="en-US"/>
        </w:rPr>
        <w:t xml:space="preserve">Laetitia </w:t>
      </w:r>
      <w:proofErr w:type="spellStart"/>
      <w:r w:rsidRPr="00AC317D">
        <w:rPr>
          <w:lang w:bidi="en-US"/>
        </w:rPr>
        <w:t>Mpola</w:t>
      </w:r>
      <w:proofErr w:type="spellEnd"/>
      <w:r w:rsidRPr="00AC317D">
        <w:rPr>
          <w:lang w:bidi="en-US"/>
        </w:rPr>
        <w:t xml:space="preserve"> </w:t>
      </w:r>
      <w:proofErr w:type="spellStart"/>
      <w:r w:rsidRPr="00AC317D">
        <w:rPr>
          <w:lang w:bidi="en-US"/>
        </w:rPr>
        <w:t>Mavinga</w:t>
      </w:r>
      <w:hyperlink w:anchor="bookmark2" w:tooltip="Current Document">
        <w:r w:rsidRPr="00A61941">
          <w:rPr>
            <w:vertAlign w:val="superscript"/>
            <w:lang w:bidi="en-US"/>
          </w:rPr>
          <w:t>a</w:t>
        </w:r>
        <w:proofErr w:type="spellEnd"/>
        <w:r w:rsidRPr="00A61941">
          <w:rPr>
            <w:vertAlign w:val="superscript"/>
            <w:lang w:bidi="en-US"/>
          </w:rPr>
          <w:t xml:space="preserve">, </w:t>
        </w:r>
      </w:hyperlink>
      <w:hyperlink w:anchor="bookmark3" w:tooltip="Current Document">
        <w:r w:rsidRPr="00A61941">
          <w:rPr>
            <w:vertAlign w:val="superscript"/>
            <w:lang w:bidi="en-US"/>
          </w:rPr>
          <w:t>c</w:t>
        </w:r>
      </w:hyperlink>
      <w:r w:rsidRPr="00A61941">
        <w:rPr>
          <w:lang w:bidi="en-US"/>
        </w:rPr>
        <w:t>*</w:t>
      </w:r>
      <w:r w:rsidR="00A61941">
        <w:rPr>
          <w:lang w:bidi="en-US"/>
        </w:rPr>
        <w:t xml:space="preserve">, Veronique </w:t>
      </w:r>
      <w:proofErr w:type="spellStart"/>
      <w:r w:rsidR="00A61941">
        <w:rPr>
          <w:lang w:bidi="en-US"/>
        </w:rPr>
        <w:t>Kakiese</w:t>
      </w:r>
      <w:hyperlink w:anchor="bookmark4" w:tooltip="Current Document">
        <w:r w:rsidRPr="00A61941">
          <w:rPr>
            <w:vertAlign w:val="superscript"/>
            <w:lang w:bidi="en-US"/>
          </w:rPr>
          <w:t>b</w:t>
        </w:r>
        <w:proofErr w:type="spellEnd"/>
        <w:r w:rsidRPr="00A61941">
          <w:rPr>
            <w:lang w:bidi="en-US"/>
          </w:rPr>
          <w:t xml:space="preserve">, </w:t>
        </w:r>
        <w:proofErr w:type="spellStart"/>
        <w:r w:rsidRPr="00A61941">
          <w:rPr>
            <w:lang w:bidi="en-US"/>
          </w:rPr>
          <w:t>Mamy</w:t>
        </w:r>
        <w:proofErr w:type="spellEnd"/>
        <w:r w:rsidRPr="00A61941">
          <w:rPr>
            <w:lang w:bidi="en-US"/>
          </w:rPr>
          <w:t xml:space="preserve"> </w:t>
        </w:r>
        <w:proofErr w:type="spellStart"/>
        <w:r w:rsidRPr="00A61941">
          <w:rPr>
            <w:lang w:bidi="en-US"/>
          </w:rPr>
          <w:t>Ngole</w:t>
        </w:r>
      </w:hyperlink>
      <w:hyperlink w:anchor="bookmark3" w:tooltip="Current Document">
        <w:r w:rsidRPr="00A61941">
          <w:rPr>
            <w:vertAlign w:val="superscript"/>
            <w:lang w:bidi="en-US"/>
          </w:rPr>
          <w:t>c</w:t>
        </w:r>
        <w:proofErr w:type="spellEnd"/>
        <w:r w:rsidR="00A61941">
          <w:rPr>
            <w:lang w:bidi="en-US"/>
          </w:rPr>
          <w:t xml:space="preserve">, Cathy </w:t>
        </w:r>
        <w:proofErr w:type="spellStart"/>
        <w:r w:rsidR="00A61941">
          <w:rPr>
            <w:lang w:bidi="en-US"/>
          </w:rPr>
          <w:t>Songo</w:t>
        </w:r>
        <w:r w:rsidRPr="00A61941">
          <w:rPr>
            <w:vertAlign w:val="superscript"/>
            <w:lang w:bidi="en-US"/>
          </w:rPr>
          <w:t>c</w:t>
        </w:r>
        <w:proofErr w:type="spellEnd"/>
        <w:r w:rsidRPr="00A61941">
          <w:rPr>
            <w:lang w:bidi="en-US"/>
          </w:rPr>
          <w:t>,</w:t>
        </w:r>
      </w:hyperlink>
      <w:r w:rsidRPr="00AC317D">
        <w:rPr>
          <w:lang w:bidi="en-US"/>
        </w:rPr>
        <w:t xml:space="preserve"> </w:t>
      </w:r>
      <w:proofErr w:type="spellStart"/>
      <w:r w:rsidRPr="00AC317D">
        <w:rPr>
          <w:lang w:bidi="en-US"/>
        </w:rPr>
        <w:t>Aime</w:t>
      </w:r>
      <w:proofErr w:type="spellEnd"/>
      <w:r w:rsidRPr="00AC317D">
        <w:rPr>
          <w:lang w:bidi="en-US"/>
        </w:rPr>
        <w:t xml:space="preserve"> </w:t>
      </w:r>
      <w:proofErr w:type="spellStart"/>
      <w:r w:rsidRPr="00AC317D">
        <w:rPr>
          <w:lang w:bidi="en-US"/>
        </w:rPr>
        <w:t>Lumaka</w:t>
      </w:r>
      <w:hyperlink w:anchor="bookmark2" w:tooltip="Current Document">
        <w:r w:rsidRPr="00A61941">
          <w:rPr>
            <w:lang w:bidi="en-US"/>
          </w:rPr>
          <w:t>a</w:t>
        </w:r>
      </w:hyperlink>
      <w:hyperlink w:anchor="bookmark3" w:tooltip="Current Document">
        <w:r w:rsidRPr="00A61941">
          <w:rPr>
            <w:vertAlign w:val="superscript"/>
            <w:lang w:bidi="en-US"/>
          </w:rPr>
          <w:t>c,</w:t>
        </w:r>
      </w:hyperlink>
      <w:hyperlink w:anchor="bookmark5" w:tooltip="Current Document">
        <w:r w:rsidRPr="00A61941">
          <w:rPr>
            <w:vertAlign w:val="superscript"/>
            <w:lang w:bidi="en-US"/>
          </w:rPr>
          <w:t>d</w:t>
        </w:r>
        <w:proofErr w:type="spellEnd"/>
        <w:r w:rsidR="00A61941">
          <w:rPr>
            <w:lang w:bidi="en-US"/>
          </w:rPr>
          <w:t>, V</w:t>
        </w:r>
        <w:r w:rsidRPr="00A61941">
          <w:rPr>
            <w:lang w:bidi="en-US"/>
          </w:rPr>
          <w:t xml:space="preserve">alerie </w:t>
        </w:r>
        <w:proofErr w:type="spellStart"/>
        <w:r w:rsidRPr="00A61941">
          <w:rPr>
            <w:lang w:bidi="en-US"/>
          </w:rPr>
          <w:t>Race</w:t>
        </w:r>
      </w:hyperlink>
      <w:hyperlink w:anchor="bookmark6" w:tooltip="Current Document">
        <w:r w:rsidRPr="00A61941">
          <w:rPr>
            <w:vertAlign w:val="superscript"/>
            <w:lang w:bidi="en-US"/>
          </w:rPr>
          <w:t>e</w:t>
        </w:r>
        <w:proofErr w:type="spellEnd"/>
        <w:r w:rsidRPr="00A61941">
          <w:rPr>
            <w:lang w:bidi="en-US"/>
          </w:rPr>
          <w:t xml:space="preserve">, Prosper </w:t>
        </w:r>
        <w:proofErr w:type="spellStart"/>
        <w:r w:rsidRPr="00A61941">
          <w:rPr>
            <w:lang w:bidi="en-US"/>
          </w:rPr>
          <w:t>Tshilobo</w:t>
        </w:r>
        <w:proofErr w:type="spellEnd"/>
        <w:r w:rsidRPr="00A61941">
          <w:rPr>
            <w:lang w:bidi="en-US"/>
          </w:rPr>
          <w:t xml:space="preserve"> </w:t>
        </w:r>
        <w:proofErr w:type="spellStart"/>
        <w:r w:rsidRPr="00A61941">
          <w:rPr>
            <w:lang w:bidi="en-US"/>
          </w:rPr>
          <w:t>Lukusa</w:t>
        </w:r>
      </w:hyperlink>
      <w:hyperlink w:anchor="bookmark2" w:tooltip="Current Document">
        <w:r w:rsidRPr="00A61941">
          <w:rPr>
            <w:lang w:bidi="en-US"/>
          </w:rPr>
          <w:t>a</w:t>
        </w:r>
      </w:hyperlink>
      <w:hyperlink w:anchor="bookmark3" w:tooltip="Current Document">
        <w:r w:rsidRPr="00A61941">
          <w:rPr>
            <w:vertAlign w:val="superscript"/>
            <w:lang w:bidi="en-US"/>
          </w:rPr>
          <w:t>c</w:t>
        </w:r>
        <w:proofErr w:type="spellEnd"/>
        <w:r w:rsidR="00A61941">
          <w:rPr>
            <w:vertAlign w:val="superscript"/>
            <w:lang w:bidi="en-US"/>
          </w:rPr>
          <w:t>, e</w:t>
        </w:r>
      </w:hyperlink>
      <w:hyperlink w:anchor="bookmark6" w:tooltip="Current Document">
        <w:r w:rsidR="00A61941">
          <w:rPr>
            <w:lang w:bidi="en-US"/>
          </w:rPr>
          <w:t xml:space="preserve">, </w:t>
        </w:r>
        <w:proofErr w:type="spellStart"/>
        <w:r w:rsidRPr="00A61941">
          <w:rPr>
            <w:lang w:bidi="en-US"/>
          </w:rPr>
          <w:t>Koenraad</w:t>
        </w:r>
        <w:proofErr w:type="spellEnd"/>
        <w:r w:rsidRPr="00A61941">
          <w:rPr>
            <w:lang w:bidi="en-US"/>
          </w:rPr>
          <w:t xml:space="preserve"> </w:t>
        </w:r>
        <w:proofErr w:type="spellStart"/>
        <w:r w:rsidRPr="00A61941">
          <w:rPr>
            <w:lang w:bidi="en-US"/>
          </w:rPr>
          <w:t>Devriendt</w:t>
        </w:r>
        <w:r w:rsidRPr="00A61941">
          <w:rPr>
            <w:vertAlign w:val="superscript"/>
            <w:lang w:bidi="en-US"/>
          </w:rPr>
          <w:t>e</w:t>
        </w:r>
        <w:proofErr w:type="spellEnd"/>
      </w:hyperlink>
    </w:p>
    <w:p w:rsidR="007A0DD6" w:rsidRPr="007A0DD6" w:rsidRDefault="007A0DD6" w:rsidP="007A0DD6">
      <w:pPr>
        <w:pStyle w:val="Affiliation"/>
        <w:rPr>
          <w:lang w:bidi="en-US"/>
        </w:rPr>
      </w:pPr>
      <w:r w:rsidRPr="007A0DD6">
        <w:rPr>
          <w:vertAlign w:val="superscript"/>
          <w:lang w:bidi="en-US"/>
        </w:rPr>
        <w:t>a</w:t>
      </w:r>
      <w:r w:rsidRPr="007A0DD6">
        <w:rPr>
          <w:lang w:bidi="en-US"/>
        </w:rPr>
        <w:t xml:space="preserve"> </w:t>
      </w:r>
      <w:r w:rsidRPr="007A0DD6">
        <w:rPr>
          <w:iCs/>
          <w:lang w:bidi="en-US"/>
        </w:rPr>
        <w:t>Department of Pediatrics, Faculty of Medicine, University of Kinshasa, Democratic Republic of the Congo, The</w:t>
      </w:r>
    </w:p>
    <w:p w:rsidR="007A0DD6" w:rsidRPr="007A0DD6" w:rsidRDefault="007A0DD6" w:rsidP="007A0DD6">
      <w:pPr>
        <w:pStyle w:val="Affiliation"/>
        <w:rPr>
          <w:lang w:bidi="en-US"/>
        </w:rPr>
      </w:pPr>
      <w:r w:rsidRPr="007A0DD6">
        <w:rPr>
          <w:vertAlign w:val="superscript"/>
          <w:lang w:bidi="en-US"/>
        </w:rPr>
        <w:t>b</w:t>
      </w:r>
      <w:r w:rsidRPr="007A0DD6">
        <w:rPr>
          <w:lang w:bidi="en-US"/>
        </w:rPr>
        <w:t xml:space="preserve"> </w:t>
      </w:r>
      <w:r w:rsidRPr="007A0DD6">
        <w:rPr>
          <w:iCs/>
          <w:lang w:bidi="en-US"/>
        </w:rPr>
        <w:t>Department of Dermatology, Faculty of Medicine, University of Kinshasa, Democratic Republic of the Congo, The</w:t>
      </w:r>
    </w:p>
    <w:p w:rsidR="007A0DD6" w:rsidRPr="007A0DD6" w:rsidRDefault="007A0DD6" w:rsidP="007A0DD6">
      <w:pPr>
        <w:pStyle w:val="Affiliation"/>
        <w:rPr>
          <w:lang w:bidi="en-US"/>
        </w:rPr>
      </w:pPr>
      <w:r w:rsidRPr="007A0DD6">
        <w:rPr>
          <w:vertAlign w:val="superscript"/>
          <w:lang w:bidi="en-US"/>
        </w:rPr>
        <w:t>c</w:t>
      </w:r>
      <w:r w:rsidRPr="007A0DD6">
        <w:rPr>
          <w:lang w:bidi="en-US"/>
        </w:rPr>
        <w:t xml:space="preserve"> </w:t>
      </w:r>
      <w:r w:rsidRPr="007A0DD6">
        <w:rPr>
          <w:iCs/>
          <w:lang w:bidi="en-US"/>
        </w:rPr>
        <w:t>Centre for Human Genetics, Faculty of Medicine, University of Kinshasa, Democratic Republic of the Congo, The</w:t>
      </w:r>
    </w:p>
    <w:p w:rsidR="007A0DD6" w:rsidRPr="007A0DD6" w:rsidRDefault="007A0DD6" w:rsidP="007A0DD6">
      <w:pPr>
        <w:pStyle w:val="Affiliation"/>
        <w:rPr>
          <w:lang w:bidi="en-US"/>
        </w:rPr>
      </w:pPr>
      <w:r w:rsidRPr="007A0DD6">
        <w:rPr>
          <w:vertAlign w:val="superscript"/>
          <w:lang w:bidi="en-US"/>
        </w:rPr>
        <w:t>d</w:t>
      </w:r>
      <w:r w:rsidRPr="007A0DD6">
        <w:rPr>
          <w:lang w:bidi="en-US"/>
        </w:rPr>
        <w:t xml:space="preserve"> </w:t>
      </w:r>
      <w:r w:rsidRPr="007A0DD6">
        <w:rPr>
          <w:iCs/>
          <w:lang w:bidi="en-US"/>
        </w:rPr>
        <w:t>Laboratory of Human Genetics, GIGA-R, University of Li</w:t>
      </w:r>
      <w:r w:rsidR="00A61941">
        <w:rPr>
          <w:iCs/>
          <w:lang w:bidi="en-US"/>
        </w:rPr>
        <w:t>è</w:t>
      </w:r>
      <w:r w:rsidRPr="007A0DD6">
        <w:rPr>
          <w:iCs/>
          <w:lang w:bidi="en-US"/>
        </w:rPr>
        <w:t>ge, Belgium</w:t>
      </w:r>
    </w:p>
    <w:p w:rsidR="007A0DD6" w:rsidRDefault="007A0DD6" w:rsidP="007A0DD6">
      <w:pPr>
        <w:pStyle w:val="Affiliation"/>
        <w:rPr>
          <w:iCs/>
          <w:lang w:bidi="en-US"/>
        </w:rPr>
      </w:pPr>
      <w:r w:rsidRPr="007A0DD6">
        <w:rPr>
          <w:vertAlign w:val="superscript"/>
          <w:lang w:bidi="en-US"/>
        </w:rPr>
        <w:t>e</w:t>
      </w:r>
      <w:r w:rsidRPr="007A0DD6">
        <w:rPr>
          <w:lang w:bidi="en-US"/>
        </w:rPr>
        <w:t xml:space="preserve"> </w:t>
      </w:r>
      <w:r w:rsidRPr="007A0DD6">
        <w:rPr>
          <w:iCs/>
          <w:lang w:bidi="en-US"/>
        </w:rPr>
        <w:t>Center for Human Genetics, University Hospital, KU Leuven, Belgium</w:t>
      </w:r>
    </w:p>
    <w:p w:rsidR="00AE1979" w:rsidRDefault="00AE1979" w:rsidP="007A0DD6">
      <w:pPr>
        <w:pStyle w:val="Affiliation"/>
        <w:rPr>
          <w:iCs/>
          <w:lang w:bidi="en-US"/>
        </w:rPr>
      </w:pPr>
    </w:p>
    <w:p w:rsidR="00AE1979" w:rsidRPr="00AE1979" w:rsidRDefault="00AE1979" w:rsidP="00AE1979">
      <w:pPr>
        <w:pStyle w:val="Affiliation"/>
        <w:rPr>
          <w:lang w:bidi="en-US"/>
        </w:rPr>
      </w:pPr>
      <w:r>
        <w:rPr>
          <w:lang w:bidi="en-US"/>
        </w:rPr>
        <w:t xml:space="preserve">* </w:t>
      </w:r>
      <w:r w:rsidRPr="00AE1979">
        <w:rPr>
          <w:lang w:bidi="en-US"/>
        </w:rPr>
        <w:t xml:space="preserve">Corresponding author. Department of Pediatrics, Faculty of Medicine, University of Kinshasa, Democratic Republic of the Congo, The. </w:t>
      </w:r>
      <w:r w:rsidRPr="00AE1979">
        <w:rPr>
          <w:iCs/>
          <w:lang w:bidi="en-US"/>
        </w:rPr>
        <w:t xml:space="preserve">E-mail addresses: </w:t>
      </w:r>
      <w:r w:rsidRPr="00AE1979">
        <w:rPr>
          <w:lang w:bidi="en-US"/>
        </w:rPr>
        <w:t xml:space="preserve">mavingalaetitia@gmail.com, laetitia.mavinga@unikin.ac.cd (L.M. </w:t>
      </w:r>
      <w:proofErr w:type="spellStart"/>
      <w:r w:rsidRPr="00AE1979">
        <w:rPr>
          <w:lang w:bidi="en-US"/>
        </w:rPr>
        <w:t>Mavinga</w:t>
      </w:r>
      <w:proofErr w:type="spellEnd"/>
      <w:r w:rsidRPr="00AE1979">
        <w:rPr>
          <w:lang w:bidi="en-US"/>
        </w:rPr>
        <w:t>).</w:t>
      </w:r>
    </w:p>
    <w:p w:rsidR="00813E80" w:rsidRPr="00AE1979" w:rsidRDefault="00813E80" w:rsidP="00BF0B82">
      <w:pPr>
        <w:shd w:val="clear" w:color="auto" w:fill="FFFFFF"/>
        <w:rPr>
          <w:b/>
          <w:iCs/>
          <w:smallCaps/>
        </w:rPr>
      </w:pPr>
      <w:bookmarkStart w:id="0" w:name="_GoBack"/>
      <w:bookmarkEnd w:id="0"/>
    </w:p>
    <w:p w:rsidR="007A0DD6" w:rsidRPr="007A0DD6" w:rsidRDefault="001B279E" w:rsidP="007A0DD6">
      <w:pPr>
        <w:shd w:val="clear" w:color="auto" w:fill="FFFFFF"/>
        <w:rPr>
          <w:iCs/>
          <w:lang w:bidi="en-US"/>
        </w:rPr>
      </w:pPr>
      <w:r w:rsidRPr="007A0DD6">
        <w:rPr>
          <w:b/>
          <w:iCs/>
          <w:smallCaps/>
        </w:rPr>
        <w:t>Keywords:</w:t>
      </w:r>
      <w:r w:rsidRPr="007A0DD6">
        <w:rPr>
          <w:iCs/>
        </w:rPr>
        <w:t xml:space="preserve"> </w:t>
      </w:r>
      <w:r w:rsidR="007A0DD6" w:rsidRPr="007A0DD6">
        <w:rPr>
          <w:iCs/>
          <w:lang w:bidi="en-US"/>
        </w:rPr>
        <w:t xml:space="preserve">OCA </w:t>
      </w:r>
      <w:r w:rsidR="007A0DD6">
        <w:rPr>
          <w:iCs/>
          <w:lang w:bidi="en-US"/>
        </w:rPr>
        <w:t xml:space="preserve">-- </w:t>
      </w:r>
      <w:r w:rsidR="007A0DD6" w:rsidRPr="007A0DD6">
        <w:rPr>
          <w:iCs/>
          <w:lang w:bidi="en-US"/>
        </w:rPr>
        <w:t>Melanin</w:t>
      </w:r>
      <w:r w:rsidR="007A0DD6">
        <w:rPr>
          <w:iCs/>
          <w:lang w:bidi="en-US"/>
        </w:rPr>
        <w:t xml:space="preserve"> -- </w:t>
      </w:r>
      <w:r w:rsidR="007A0DD6" w:rsidRPr="007A0DD6">
        <w:rPr>
          <w:i/>
          <w:iCs/>
          <w:lang w:bidi="en-US"/>
        </w:rPr>
        <w:t>OCA2</w:t>
      </w:r>
      <w:r w:rsidR="007A0DD6" w:rsidRPr="007A0DD6">
        <w:rPr>
          <w:iCs/>
          <w:lang w:bidi="en-US"/>
        </w:rPr>
        <w:t xml:space="preserve"> gene </w:t>
      </w:r>
      <w:r w:rsidR="007A0DD6">
        <w:rPr>
          <w:iCs/>
          <w:lang w:bidi="en-US"/>
        </w:rPr>
        <w:t xml:space="preserve">-- </w:t>
      </w:r>
      <w:proofErr w:type="spellStart"/>
      <w:r w:rsidR="007A0DD6" w:rsidRPr="007A0DD6">
        <w:rPr>
          <w:iCs/>
          <w:lang w:bidi="en-US"/>
        </w:rPr>
        <w:t>DRCongo</w:t>
      </w:r>
      <w:proofErr w:type="spellEnd"/>
    </w:p>
    <w:p w:rsidR="001B279E" w:rsidRPr="007A0DD6" w:rsidRDefault="001B279E" w:rsidP="00BF0B82">
      <w:pPr>
        <w:shd w:val="clear" w:color="auto" w:fill="FFFFFF"/>
        <w:rPr>
          <w:rFonts w:ascii="Arial" w:hAnsi="Arial" w:cs="Arial"/>
          <w:sz w:val="24"/>
          <w:szCs w:val="24"/>
        </w:rPr>
      </w:pPr>
    </w:p>
    <w:p w:rsidR="001B279E" w:rsidRPr="00164A9C" w:rsidRDefault="001B279E" w:rsidP="001B279E">
      <w:pPr>
        <w:rPr>
          <w:b/>
          <w:smallCaps/>
          <w:lang w:val="fr-BE"/>
        </w:rPr>
      </w:pPr>
      <w:r w:rsidRPr="00164A9C">
        <w:rPr>
          <w:b/>
          <w:smallCaps/>
          <w:lang w:val="fr-BE"/>
        </w:rPr>
        <w:t>Abstract</w:t>
      </w:r>
    </w:p>
    <w:p w:rsidR="007A0DD6" w:rsidRPr="007A0DD6" w:rsidRDefault="007A0DD6" w:rsidP="007A0DD6">
      <w:pPr>
        <w:rPr>
          <w:lang w:bidi="en-US"/>
        </w:rPr>
      </w:pPr>
      <w:r w:rsidRPr="007A0DD6">
        <w:rPr>
          <w:i/>
          <w:iCs/>
          <w:lang w:bidi="en-US"/>
        </w:rPr>
        <w:t>Background:</w:t>
      </w:r>
      <w:r w:rsidRPr="007A0DD6">
        <w:rPr>
          <w:lang w:bidi="en-US"/>
        </w:rPr>
        <w:t xml:space="preserve"> </w:t>
      </w:r>
      <w:proofErr w:type="spellStart"/>
      <w:r w:rsidRPr="007A0DD6">
        <w:rPr>
          <w:lang w:bidi="en-US"/>
        </w:rPr>
        <w:t>Oculocutaneous</w:t>
      </w:r>
      <w:proofErr w:type="spellEnd"/>
      <w:r w:rsidRPr="007A0DD6">
        <w:rPr>
          <w:lang w:bidi="en-US"/>
        </w:rPr>
        <w:t xml:space="preserve"> albinism (OCA) is an autosomal recessive genetic disorder associated with reduced or absent pigmentation in the skin, hair and eyes. OCA type 2 (OCA2) is the most common type in Sub-Saharan Africa, related to a recurrent 2.7 kb intragenic deletion. Genomic data from Congolese patients are lacking. We aimed to describe genetic causes of OCA2 in a cohort of Congolese persons with OCA, and explore possible genotype-phenotype correlations.</w:t>
      </w:r>
    </w:p>
    <w:p w:rsidR="007A0DD6" w:rsidRPr="007A0DD6" w:rsidRDefault="007A0DD6" w:rsidP="007A0DD6">
      <w:pPr>
        <w:rPr>
          <w:lang w:bidi="en-US"/>
        </w:rPr>
      </w:pPr>
      <w:r w:rsidRPr="007A0DD6">
        <w:rPr>
          <w:i/>
          <w:iCs/>
          <w:lang w:bidi="en-US"/>
        </w:rPr>
        <w:t>Methods:</w:t>
      </w:r>
      <w:r w:rsidRPr="007A0DD6">
        <w:rPr>
          <w:lang w:bidi="en-US"/>
        </w:rPr>
        <w:t xml:space="preserve"> A cross sectional study was conducted from January 2015 to December 2017 in Kinshasa, Democratic Republic of Congo (DRC). 165 Congolese unrelated families with non-syndromic OCA, identified through patients’ associations, consented to participate to this study. All index cases were tested for the known 2.7 kb deletion involving the exon 7 of the </w:t>
      </w:r>
      <w:r w:rsidRPr="007A0DD6">
        <w:rPr>
          <w:i/>
          <w:iCs/>
          <w:lang w:bidi="en-US"/>
        </w:rPr>
        <w:t>OCA2</w:t>
      </w:r>
      <w:r w:rsidRPr="007A0DD6">
        <w:rPr>
          <w:lang w:bidi="en-US"/>
        </w:rPr>
        <w:t xml:space="preserve"> gene. Patients heterozygous for the deletion underwent Sanger sequencing of all exons and flanking sequences in the </w:t>
      </w:r>
      <w:r w:rsidRPr="007A0DD6">
        <w:rPr>
          <w:i/>
          <w:iCs/>
          <w:lang w:bidi="en-US"/>
        </w:rPr>
        <w:t>OCA2</w:t>
      </w:r>
      <w:r w:rsidRPr="007A0DD6">
        <w:rPr>
          <w:lang w:bidi="en-US"/>
        </w:rPr>
        <w:t xml:space="preserve"> gene. Family segregation was performed for candidate pathogenic variants.</w:t>
      </w:r>
    </w:p>
    <w:p w:rsidR="007A0DD6" w:rsidRPr="007A0DD6" w:rsidRDefault="007A0DD6" w:rsidP="007A0DD6">
      <w:pPr>
        <w:rPr>
          <w:lang w:bidi="en-US"/>
        </w:rPr>
      </w:pPr>
      <w:r w:rsidRPr="007A0DD6">
        <w:rPr>
          <w:i/>
          <w:iCs/>
          <w:lang w:bidi="en-US"/>
        </w:rPr>
        <w:t>Results:</w:t>
      </w:r>
      <w:r w:rsidRPr="007A0DD6">
        <w:rPr>
          <w:lang w:bidi="en-US"/>
        </w:rPr>
        <w:t xml:space="preserve"> The 2.7 kb deletion in the </w:t>
      </w:r>
      <w:r w:rsidRPr="007A0DD6">
        <w:rPr>
          <w:i/>
          <w:iCs/>
          <w:lang w:bidi="en-US"/>
        </w:rPr>
        <w:t>OCA2</w:t>
      </w:r>
      <w:r w:rsidRPr="007A0DD6">
        <w:rPr>
          <w:lang w:bidi="en-US"/>
        </w:rPr>
        <w:t xml:space="preserve"> gene was identified in 136/165 (82.4%) index cases, including 113 (68.5%) homozygotes and 23 (13.9%) heterozygotes. Sanger sequencing identified a pathogenic or likely pathogenic variant in the </w:t>
      </w:r>
      <w:r w:rsidRPr="007A0DD6">
        <w:rPr>
          <w:i/>
          <w:iCs/>
          <w:lang w:bidi="en-US"/>
        </w:rPr>
        <w:t>OCA2</w:t>
      </w:r>
      <w:r w:rsidRPr="007A0DD6">
        <w:rPr>
          <w:lang w:bidi="en-US"/>
        </w:rPr>
        <w:t xml:space="preserve"> gene in 12 out of 23 heterozygotes investigated (52.1%). Segregation analysis allowed us to locate the point mutation on the </w:t>
      </w:r>
      <w:r w:rsidRPr="007A0DD6">
        <w:rPr>
          <w:i/>
          <w:iCs/>
          <w:lang w:bidi="en-US"/>
        </w:rPr>
        <w:t>trans</w:t>
      </w:r>
      <w:r w:rsidRPr="007A0DD6">
        <w:rPr>
          <w:lang w:bidi="en-US"/>
        </w:rPr>
        <w:t xml:space="preserve"> allele in the three patients from whom parental DNA was available.</w:t>
      </w:r>
    </w:p>
    <w:p w:rsidR="00AE5754" w:rsidRPr="007A0DD6" w:rsidRDefault="007A0DD6" w:rsidP="007A0DD6">
      <w:r w:rsidRPr="007A0DD6">
        <w:rPr>
          <w:i/>
          <w:iCs/>
          <w:lang w:bidi="en-US"/>
        </w:rPr>
        <w:t>Conclusion:</w:t>
      </w:r>
      <w:r w:rsidRPr="007A0DD6">
        <w:rPr>
          <w:lang w:bidi="en-US"/>
        </w:rPr>
        <w:t xml:space="preserve"> The </w:t>
      </w:r>
      <w:r w:rsidRPr="007A0DD6">
        <w:rPr>
          <w:i/>
          <w:iCs/>
          <w:lang w:bidi="en-US"/>
        </w:rPr>
        <w:t>OCA2</w:t>
      </w:r>
      <w:r w:rsidRPr="007A0DD6">
        <w:rPr>
          <w:lang w:bidi="en-US"/>
        </w:rPr>
        <w:t xml:space="preserve"> 2.7 kb deletion is the major cause of non-syndromic OCA in Congolese patients recruited in this study, confirming results from other Sub-Saharan African populations. Several </w:t>
      </w:r>
      <w:r w:rsidRPr="007A0DD6">
        <w:rPr>
          <w:lang w:bidi="en-US"/>
        </w:rPr>
        <w:lastRenderedPageBreak/>
        <w:t>additional mutations were detected in OCA patient’s heterozygote for the deletion, with to date no evidence for a second frequent founder mutation. The confirmation of a single mutation as the major cause will facilitate genetic counselling in this country.</w:t>
      </w:r>
    </w:p>
    <w:p w:rsidR="00AE5754" w:rsidRPr="007A0DD6" w:rsidRDefault="00AE5754" w:rsidP="00517B48">
      <w:pPr>
        <w:sectPr w:rsidR="00AE5754" w:rsidRPr="007A0DD6">
          <w:headerReference w:type="default" r:id="rId8"/>
          <w:footerReference w:type="default" r:id="rId9"/>
          <w:pgSz w:w="11906" w:h="16838"/>
          <w:pgMar w:top="1417" w:right="1417" w:bottom="1417" w:left="1417" w:header="708" w:footer="708" w:gutter="0"/>
          <w:cols w:space="708"/>
          <w:docGrid w:linePitch="360"/>
        </w:sectPr>
      </w:pPr>
    </w:p>
    <w:p w:rsidR="00CC643B" w:rsidRPr="007A0DD6" w:rsidRDefault="007A0DD6" w:rsidP="00AE5754">
      <w:pPr>
        <w:pStyle w:val="Titre1"/>
        <w:rPr>
          <w:lang w:val="en-US"/>
        </w:rPr>
      </w:pPr>
      <w:r w:rsidRPr="007A0DD6">
        <w:rPr>
          <w:lang w:val="en-US"/>
        </w:rPr>
        <w:lastRenderedPageBreak/>
        <w:t>1. Introduction</w:t>
      </w:r>
    </w:p>
    <w:p w:rsidR="007A0DD6" w:rsidRPr="007A0DD6" w:rsidRDefault="007A0DD6" w:rsidP="007A0DD6">
      <w:pPr>
        <w:rPr>
          <w:lang w:bidi="en-US"/>
        </w:rPr>
      </w:pPr>
      <w:proofErr w:type="spellStart"/>
      <w:r w:rsidRPr="007A0DD6">
        <w:rPr>
          <w:lang w:bidi="en-US"/>
        </w:rPr>
        <w:t>Oculocutaneous</w:t>
      </w:r>
      <w:proofErr w:type="spellEnd"/>
      <w:r w:rsidRPr="007A0DD6">
        <w:rPr>
          <w:lang w:bidi="en-US"/>
        </w:rPr>
        <w:t xml:space="preserve"> albinism (OCA) is a rare autosomal recessive disorder of melanin biosynthesis observed world-wide. It is more prevalent in Sub-Saharan African populations (1/2000 to 1/4000) compared to Caucasians (between 1/17,000-1/20,000) (Summers and Hand, 2019; </w:t>
      </w:r>
      <w:proofErr w:type="spellStart"/>
      <w:r w:rsidR="00006C30">
        <w:rPr>
          <w:lang w:bidi="en-US"/>
        </w:rPr>
        <w:t>Grønskov</w:t>
      </w:r>
      <w:proofErr w:type="spellEnd"/>
      <w:r w:rsidRPr="007A0DD6">
        <w:rPr>
          <w:lang w:bidi="en-US"/>
        </w:rPr>
        <w:t xml:space="preserve"> et al., 2007; </w:t>
      </w:r>
      <w:proofErr w:type="spellStart"/>
      <w:r w:rsidRPr="007A0DD6">
        <w:rPr>
          <w:lang w:bidi="en-US"/>
        </w:rPr>
        <w:t>Kamaraj</w:t>
      </w:r>
      <w:proofErr w:type="spellEnd"/>
      <w:r w:rsidRPr="007A0DD6">
        <w:rPr>
          <w:lang w:bidi="en-US"/>
        </w:rPr>
        <w:t xml:space="preserve"> and </w:t>
      </w:r>
      <w:proofErr w:type="spellStart"/>
      <w:r w:rsidRPr="007A0DD6">
        <w:rPr>
          <w:lang w:bidi="en-US"/>
        </w:rPr>
        <w:t>Purohit</w:t>
      </w:r>
      <w:proofErr w:type="spellEnd"/>
      <w:r w:rsidRPr="007A0DD6">
        <w:rPr>
          <w:lang w:bidi="en-US"/>
        </w:rPr>
        <w:t>, 2014). The deficiency in melanin is responsible for reduction or absence of pigmentation in skin, hair and eyes (Ali et al., 2016). OCA is associated with significant</w:t>
      </w:r>
      <w:r w:rsidR="00006C30">
        <w:rPr>
          <w:lang w:bidi="en-US"/>
        </w:rPr>
        <w:t xml:space="preserve"> </w:t>
      </w:r>
      <w:r w:rsidRPr="007A0DD6">
        <w:rPr>
          <w:lang w:bidi="en-US"/>
        </w:rPr>
        <w:t>morbidity and mortality, with serious and early vision problems and skin manifestations, including cancer (</w:t>
      </w:r>
      <w:proofErr w:type="spellStart"/>
      <w:r w:rsidRPr="007A0DD6">
        <w:rPr>
          <w:lang w:bidi="en-US"/>
        </w:rPr>
        <w:t>Simeonov</w:t>
      </w:r>
      <w:proofErr w:type="spellEnd"/>
      <w:r w:rsidRPr="007A0DD6">
        <w:rPr>
          <w:lang w:bidi="en-US"/>
        </w:rPr>
        <w:t xml:space="preserve"> et al., 2013a; Franklin et al., 2018).</w:t>
      </w:r>
    </w:p>
    <w:p w:rsidR="007A0DD6" w:rsidRPr="007A0DD6" w:rsidRDefault="007A0DD6" w:rsidP="007A0DD6">
      <w:pPr>
        <w:rPr>
          <w:lang w:bidi="en-US"/>
        </w:rPr>
      </w:pPr>
      <w:r w:rsidRPr="007A0DD6">
        <w:rPr>
          <w:lang w:bidi="en-US"/>
        </w:rPr>
        <w:t>In many Sub-Saharan African countries, people with albinism are considered as cursed or carriers of mystical power or both. Because of these misconceptions, they face discrimination, exclusion and violence. They risk being hunted and killed and their body parts being used in magic potions or witchcraft rituals. To address these inhumane attacks against persons with albinism in Africa, The United Nations Human</w:t>
      </w:r>
      <w:r w:rsidR="00006C30">
        <w:rPr>
          <w:lang w:bidi="en-US"/>
        </w:rPr>
        <w:t xml:space="preserve"> </w:t>
      </w:r>
      <w:r w:rsidRPr="007A0DD6">
        <w:rPr>
          <w:lang w:bidi="en-US"/>
        </w:rPr>
        <w:t>Rights Council issued in 2017 a Regional Action Plan on Albinism.</w:t>
      </w:r>
    </w:p>
    <w:p w:rsidR="007A0DD6" w:rsidRPr="007A0DD6" w:rsidRDefault="007A0DD6" w:rsidP="007A0DD6">
      <w:pPr>
        <w:rPr>
          <w:lang w:bidi="en-US"/>
        </w:rPr>
      </w:pPr>
      <w:r w:rsidRPr="007A0DD6">
        <w:rPr>
          <w:lang w:bidi="en-US"/>
        </w:rPr>
        <w:t xml:space="preserve">OCA is etiologically heterogeneous, with seven non-syndromic types of albinism caused by mutations in different genes (named OCA1 to OCA7) (Wang et al., 2017). The clinical diagnosis of different types of OCA is limited because of phenotypic variation and clinical overlap between them (Hawkes et al., 2013). Of interest, the majority of cases in Sub-Saharan African (SSA) are caused by a founder mutation in the </w:t>
      </w:r>
      <w:r w:rsidRPr="007A0DD6">
        <w:rPr>
          <w:i/>
          <w:iCs/>
          <w:lang w:bidi="en-US"/>
        </w:rPr>
        <w:t>OCA2</w:t>
      </w:r>
      <w:r w:rsidRPr="007A0DD6">
        <w:rPr>
          <w:lang w:bidi="en-US"/>
        </w:rPr>
        <w:t xml:space="preserve"> gene (or </w:t>
      </w:r>
      <w:r w:rsidRPr="007A0DD6">
        <w:rPr>
          <w:i/>
          <w:iCs/>
          <w:lang w:bidi="en-US"/>
        </w:rPr>
        <w:t>P</w:t>
      </w:r>
      <w:r w:rsidRPr="007A0DD6">
        <w:rPr>
          <w:lang w:bidi="en-US"/>
        </w:rPr>
        <w:t xml:space="preserve"> gene), an intragenic deletion of 2.7 kb (Krause and Seymour, 2018; Durham-Pierre et al., 1994). In the Democratic Republic of Congo (DRC), no genetic studies have been carried out. The aim of this study was to describe the contribution of </w:t>
      </w:r>
      <w:r w:rsidRPr="007A0DD6">
        <w:rPr>
          <w:i/>
          <w:iCs/>
          <w:lang w:bidi="en-US"/>
        </w:rPr>
        <w:t>OCA2</w:t>
      </w:r>
      <w:r w:rsidRPr="007A0DD6">
        <w:rPr>
          <w:lang w:bidi="en-US"/>
        </w:rPr>
        <w:t xml:space="preserve"> gene mutations in Congolese persons with OCA.</w:t>
      </w:r>
    </w:p>
    <w:p w:rsidR="007A0DD6" w:rsidRPr="007A0DD6" w:rsidRDefault="00012C5E" w:rsidP="00012C5E">
      <w:pPr>
        <w:pStyle w:val="Titre1"/>
        <w:rPr>
          <w:lang w:bidi="en-US"/>
        </w:rPr>
      </w:pPr>
      <w:r>
        <w:rPr>
          <w:lang w:bidi="en-US"/>
        </w:rPr>
        <w:t xml:space="preserve">2. </w:t>
      </w:r>
      <w:r w:rsidR="007A0DD6" w:rsidRPr="007A0DD6">
        <w:rPr>
          <w:lang w:bidi="en-US"/>
        </w:rPr>
        <w:t>Methods</w:t>
      </w:r>
    </w:p>
    <w:p w:rsidR="007A0DD6" w:rsidRPr="007A0DD6" w:rsidRDefault="00012C5E" w:rsidP="00012C5E">
      <w:pPr>
        <w:pStyle w:val="Titre2"/>
        <w:rPr>
          <w:lang w:bidi="en-US"/>
        </w:rPr>
      </w:pPr>
      <w:r>
        <w:rPr>
          <w:lang w:bidi="en-US"/>
        </w:rPr>
        <w:t xml:space="preserve">2.1. </w:t>
      </w:r>
      <w:r w:rsidR="007A0DD6" w:rsidRPr="007A0DD6">
        <w:rPr>
          <w:lang w:bidi="en-US"/>
        </w:rPr>
        <w:t>Study design and participants</w:t>
      </w:r>
    </w:p>
    <w:p w:rsidR="007A0DD6" w:rsidRPr="007A0DD6" w:rsidRDefault="007A0DD6" w:rsidP="007A0DD6">
      <w:pPr>
        <w:rPr>
          <w:lang w:bidi="en-US"/>
        </w:rPr>
      </w:pPr>
      <w:r w:rsidRPr="007A0DD6">
        <w:rPr>
          <w:lang w:bidi="en-US"/>
        </w:rPr>
        <w:t xml:space="preserve">A cross sectional study was conducted from January 2015 to December 2017 among 165 apparently unrelated Congolese families with OCA living in Kinshasa, the capital of DR Congo (DRC), identified through the Albinism patients’ associations. We collected clinical data including presence of freckles and visual impairment. Patients skin pigmentation was classified into one of three </w:t>
      </w:r>
      <w:proofErr w:type="spellStart"/>
      <w:r w:rsidRPr="007A0DD6">
        <w:rPr>
          <w:lang w:bidi="en-US"/>
        </w:rPr>
        <w:t>phototypes</w:t>
      </w:r>
      <w:proofErr w:type="spellEnd"/>
      <w:r w:rsidRPr="007A0DD6">
        <w:rPr>
          <w:lang w:bidi="en-US"/>
        </w:rPr>
        <w:t xml:space="preserve"> of skin pigmentation according to Von </w:t>
      </w:r>
      <w:proofErr w:type="spellStart"/>
      <w:r w:rsidRPr="007A0DD6">
        <w:rPr>
          <w:lang w:bidi="en-US"/>
        </w:rPr>
        <w:t>Luschan</w:t>
      </w:r>
      <w:proofErr w:type="spellEnd"/>
      <w:r w:rsidRPr="007A0DD6">
        <w:rPr>
          <w:lang w:bidi="en-US"/>
        </w:rPr>
        <w:t xml:space="preserve"> (</w:t>
      </w:r>
      <w:proofErr w:type="spellStart"/>
      <w:r w:rsidRPr="007A0DD6">
        <w:rPr>
          <w:lang w:bidi="en-US"/>
        </w:rPr>
        <w:t>Swiatoniowski</w:t>
      </w:r>
      <w:proofErr w:type="spellEnd"/>
      <w:r w:rsidRPr="007A0DD6">
        <w:rPr>
          <w:lang w:bidi="en-US"/>
        </w:rPr>
        <w:t xml:space="preserve"> et al., 2013). All individuals had the characteristic OCA2 phenotype, none presented clear evidence suggesting any of the other types of OCA.</w:t>
      </w:r>
    </w:p>
    <w:p w:rsidR="007A0DD6" w:rsidRPr="007A0DD6" w:rsidRDefault="007A0DD6" w:rsidP="007A0DD6">
      <w:pPr>
        <w:rPr>
          <w:lang w:bidi="en-US"/>
        </w:rPr>
      </w:pPr>
      <w:r w:rsidRPr="007A0DD6">
        <w:rPr>
          <w:lang w:bidi="en-US"/>
        </w:rPr>
        <w:t xml:space="preserve">A 5 ml blood sample was collected from each patient in an EDTA tube. Genomic DNA was extracted from lymphocytes using the « Salting Out » technique. The concentration and purity of the extracted DNA samples were evaluated by Spectrophotometry using a </w:t>
      </w:r>
      <w:proofErr w:type="spellStart"/>
      <w:r w:rsidRPr="007A0DD6">
        <w:rPr>
          <w:lang w:bidi="en-US"/>
        </w:rPr>
        <w:t>Nanodrop</w:t>
      </w:r>
      <w:proofErr w:type="spellEnd"/>
      <w:r w:rsidRPr="007A0DD6">
        <w:rPr>
          <w:lang w:bidi="en-US"/>
        </w:rPr>
        <w:t xml:space="preserve"> model ND 2000 (</w:t>
      </w:r>
      <w:proofErr w:type="spellStart"/>
      <w:r w:rsidRPr="007A0DD6">
        <w:rPr>
          <w:lang w:bidi="en-US"/>
        </w:rPr>
        <w:t>Nanodrop</w:t>
      </w:r>
      <w:proofErr w:type="spellEnd"/>
      <w:r w:rsidRPr="007A0DD6">
        <w:rPr>
          <w:lang w:bidi="en-US"/>
        </w:rPr>
        <w:t>-</w:t>
      </w:r>
      <w:r w:rsidRPr="007A0DD6">
        <w:rPr>
          <w:lang w:bidi="en-US"/>
        </w:rPr>
        <w:lastRenderedPageBreak/>
        <w:t xml:space="preserve">Spectrophotometer </w:t>
      </w:r>
      <w:proofErr w:type="spellStart"/>
      <w:r w:rsidRPr="007A0DD6">
        <w:rPr>
          <w:lang w:bidi="en-US"/>
        </w:rPr>
        <w:t>Thermo</w:t>
      </w:r>
      <w:proofErr w:type="spellEnd"/>
      <w:r w:rsidRPr="007A0DD6">
        <w:rPr>
          <w:lang w:bidi="en-US"/>
        </w:rPr>
        <w:t xml:space="preserve"> Fisher Scientific). Targeted detection of the 2.7 kb deletion was done by PCR as described (Durham-Pierre et al., 1994). PCR products were separated by capillary</w:t>
      </w:r>
      <w:r w:rsidR="00006C30">
        <w:rPr>
          <w:lang w:bidi="en-US"/>
        </w:rPr>
        <w:t xml:space="preserve"> </w:t>
      </w:r>
      <w:r w:rsidRPr="007A0DD6">
        <w:rPr>
          <w:lang w:bidi="en-US"/>
        </w:rPr>
        <w:t xml:space="preserve">electrophoresis on </w:t>
      </w:r>
      <w:proofErr w:type="spellStart"/>
      <w:r w:rsidRPr="007A0DD6">
        <w:rPr>
          <w:lang w:bidi="en-US"/>
        </w:rPr>
        <w:t>Qiaxcel</w:t>
      </w:r>
      <w:proofErr w:type="spellEnd"/>
      <w:r w:rsidRPr="007A0DD6">
        <w:rPr>
          <w:lang w:bidi="en-US"/>
        </w:rPr>
        <w:t xml:space="preserve"> (QIAGEN, Germany). In heterozygotes, all OCA2 exons were sequenced by Sanger sequencing on an 8-capillary sequencer Applied </w:t>
      </w:r>
      <w:proofErr w:type="spellStart"/>
      <w:r w:rsidRPr="007A0DD6">
        <w:rPr>
          <w:lang w:bidi="en-US"/>
        </w:rPr>
        <w:t>Biosystems</w:t>
      </w:r>
      <w:proofErr w:type="spellEnd"/>
      <w:r w:rsidRPr="007A0DD6">
        <w:rPr>
          <w:lang w:bidi="en-US"/>
        </w:rPr>
        <w:t xml:space="preserve"> 3500 DX (California, USA). Segregation analysis was performed for variants identified through Sanger sequencing when biological parents were available. Variants were classified following the ACMG guidelines (Richards et al., 2015). Variants positions are reported based on the OCA2 transcript NM_000275.3 according to the hg19 reference genome.</w:t>
      </w:r>
    </w:p>
    <w:p w:rsidR="007A0DD6" w:rsidRPr="007A0DD6" w:rsidRDefault="00012C5E" w:rsidP="00012C5E">
      <w:pPr>
        <w:pStyle w:val="Titre2"/>
        <w:rPr>
          <w:lang w:bidi="en-US"/>
        </w:rPr>
      </w:pPr>
      <w:r>
        <w:rPr>
          <w:lang w:bidi="en-US"/>
        </w:rPr>
        <w:t xml:space="preserve">2.2. </w:t>
      </w:r>
      <w:r w:rsidR="007A0DD6" w:rsidRPr="007A0DD6">
        <w:rPr>
          <w:lang w:bidi="en-US"/>
        </w:rPr>
        <w:t>Statistical analysis</w:t>
      </w:r>
    </w:p>
    <w:p w:rsidR="007A0DD6" w:rsidRPr="007A0DD6" w:rsidRDefault="007A0DD6" w:rsidP="007A0DD6">
      <w:pPr>
        <w:rPr>
          <w:lang w:bidi="en-US"/>
        </w:rPr>
      </w:pPr>
      <w:r w:rsidRPr="007A0DD6">
        <w:rPr>
          <w:lang w:bidi="en-US"/>
        </w:rPr>
        <w:t xml:space="preserve">Statistical analysis was performed using Microsoft Excel 2013 and data were analyzed using SPSS for Windows version 23.0. A deviation was considered statistically significant when p </w:t>
      </w:r>
      <w:r w:rsidRPr="007A0DD6">
        <w:rPr>
          <w:i/>
          <w:iCs/>
          <w:lang w:bidi="en-US"/>
        </w:rPr>
        <w:t>&lt;</w:t>
      </w:r>
      <w:r w:rsidRPr="007A0DD6">
        <w:rPr>
          <w:lang w:bidi="en-US"/>
        </w:rPr>
        <w:t xml:space="preserve"> 0.05.</w:t>
      </w:r>
    </w:p>
    <w:p w:rsidR="007A0DD6" w:rsidRPr="007A0DD6" w:rsidRDefault="00012C5E" w:rsidP="00012C5E">
      <w:pPr>
        <w:pStyle w:val="Titre2"/>
        <w:rPr>
          <w:lang w:bidi="en-US"/>
        </w:rPr>
      </w:pPr>
      <w:r>
        <w:rPr>
          <w:lang w:bidi="en-US"/>
        </w:rPr>
        <w:t xml:space="preserve">2.3. </w:t>
      </w:r>
      <w:r w:rsidR="007A0DD6" w:rsidRPr="007A0DD6">
        <w:rPr>
          <w:lang w:bidi="en-US"/>
        </w:rPr>
        <w:t>Compliance and ethical standards</w:t>
      </w:r>
    </w:p>
    <w:p w:rsidR="007A0DD6" w:rsidRPr="007A0DD6" w:rsidRDefault="007A0DD6" w:rsidP="007A0DD6">
      <w:pPr>
        <w:rPr>
          <w:lang w:bidi="en-US"/>
        </w:rPr>
      </w:pPr>
      <w:r w:rsidRPr="007A0DD6">
        <w:rPr>
          <w:lang w:bidi="en-US"/>
        </w:rPr>
        <w:t>The study was approved by the National Committee of the Public Health School of the University of Kinshasa/DRC in compliance with the principles of Helsinki Declaration (study number ESP/CE/049/2015). Written informed consent form was obtained from participants and parents of children at the recruitment.</w:t>
      </w:r>
    </w:p>
    <w:p w:rsidR="007A0DD6" w:rsidRPr="007A0DD6" w:rsidRDefault="00012C5E" w:rsidP="00012C5E">
      <w:pPr>
        <w:pStyle w:val="Titre1"/>
        <w:rPr>
          <w:lang w:bidi="en-US"/>
        </w:rPr>
      </w:pPr>
      <w:r>
        <w:rPr>
          <w:lang w:bidi="en-US"/>
        </w:rPr>
        <w:t xml:space="preserve">3. </w:t>
      </w:r>
      <w:r w:rsidR="007A0DD6" w:rsidRPr="007A0DD6">
        <w:rPr>
          <w:lang w:bidi="en-US"/>
        </w:rPr>
        <w:t>Results</w:t>
      </w:r>
    </w:p>
    <w:p w:rsidR="007A0DD6" w:rsidRPr="007A0DD6" w:rsidRDefault="007A0DD6" w:rsidP="007A0DD6">
      <w:pPr>
        <w:rPr>
          <w:lang w:bidi="en-US"/>
        </w:rPr>
      </w:pPr>
      <w:r w:rsidRPr="007A0DD6">
        <w:rPr>
          <w:lang w:bidi="en-US"/>
        </w:rPr>
        <w:t xml:space="preserve">The 2.7 kb deletion involving exon 7 of the </w:t>
      </w:r>
      <w:r w:rsidRPr="007A0DD6">
        <w:rPr>
          <w:i/>
          <w:iCs/>
          <w:lang w:bidi="en-US"/>
        </w:rPr>
        <w:t>OCA2</w:t>
      </w:r>
      <w:r w:rsidRPr="007A0DD6">
        <w:rPr>
          <w:lang w:bidi="en-US"/>
        </w:rPr>
        <w:t xml:space="preserve"> gene was identified in 136 of the 165 index patients (82.4%). Fig. 1 summarizes the results from </w:t>
      </w:r>
      <w:r w:rsidRPr="007A0DD6">
        <w:rPr>
          <w:i/>
          <w:iCs/>
          <w:lang w:bidi="en-US"/>
        </w:rPr>
        <w:t>OCA2</w:t>
      </w:r>
      <w:r w:rsidRPr="007A0DD6">
        <w:rPr>
          <w:lang w:bidi="en-US"/>
        </w:rPr>
        <w:t xml:space="preserve"> gene analysis.</w:t>
      </w:r>
    </w:p>
    <w:p w:rsidR="007A0DD6" w:rsidRPr="007A0DD6" w:rsidRDefault="007A0DD6" w:rsidP="007A0DD6">
      <w:pPr>
        <w:rPr>
          <w:lang w:bidi="en-US"/>
        </w:rPr>
      </w:pPr>
      <w:r w:rsidRPr="007A0DD6">
        <w:rPr>
          <w:lang w:bidi="en-US"/>
        </w:rPr>
        <w:t>The proportions of the different genotypes were 68.5% (113/165) for the homozygous Del+/Del+, 17.6% (29/165) for the homozygous WT/ WT and 13.9% (23/165) for the heterozygous Del+/WT (Table 1).</w:t>
      </w:r>
    </w:p>
    <w:p w:rsidR="007A0DD6" w:rsidRPr="007A0DD6" w:rsidRDefault="007A0DD6" w:rsidP="007A0DD6">
      <w:pPr>
        <w:rPr>
          <w:lang w:bidi="en-US"/>
        </w:rPr>
      </w:pPr>
      <w:r w:rsidRPr="007A0DD6">
        <w:rPr>
          <w:i/>
          <w:iCs/>
          <w:lang w:bidi="en-US"/>
        </w:rPr>
        <w:t>OCA2</w:t>
      </w:r>
      <w:r w:rsidRPr="007A0DD6">
        <w:rPr>
          <w:lang w:bidi="en-US"/>
        </w:rPr>
        <w:t xml:space="preserve"> gene sequencing in the 23 patients heterozygous for the </w:t>
      </w:r>
      <w:r w:rsidRPr="007A0DD6">
        <w:rPr>
          <w:i/>
          <w:iCs/>
          <w:lang w:bidi="en-US"/>
        </w:rPr>
        <w:t xml:space="preserve">OCA2 </w:t>
      </w:r>
      <w:r w:rsidRPr="007A0DD6">
        <w:rPr>
          <w:lang w:bidi="en-US"/>
        </w:rPr>
        <w:t>2.7 kb deletion from whom DNA was available, revealed a second</w:t>
      </w:r>
      <w:r>
        <w:rPr>
          <w:lang w:bidi="en-US"/>
        </w:rPr>
        <w:t xml:space="preserve"> </w:t>
      </w:r>
      <w:r w:rsidRPr="007A0DD6">
        <w:rPr>
          <w:lang w:bidi="en-US"/>
        </w:rPr>
        <w:t xml:space="preserve">mutation of clinical interest in 12 of them (Table 1). In three patients in whom parental DNA was available (OCA11, OCA20 &amp; OCA95), segregation analysis confirmed that the two mutations were in </w:t>
      </w:r>
      <w:r w:rsidRPr="007A0DD6">
        <w:rPr>
          <w:i/>
          <w:iCs/>
          <w:lang w:bidi="en-US"/>
        </w:rPr>
        <w:t>trans</w:t>
      </w:r>
      <w:r w:rsidRPr="007A0DD6">
        <w:rPr>
          <w:lang w:bidi="en-US"/>
        </w:rPr>
        <w:t xml:space="preserve">, thereby establishing the compound heterozygous state of the two variants. No variants of clinical relevance were found among the remaining 10 families. Due to limited resources, we had to restrict sequencing of the </w:t>
      </w:r>
      <w:r w:rsidRPr="007A0DD6">
        <w:rPr>
          <w:i/>
          <w:iCs/>
          <w:lang w:bidi="en-US"/>
        </w:rPr>
        <w:t>OCA2</w:t>
      </w:r>
      <w:r w:rsidRPr="007A0DD6">
        <w:rPr>
          <w:lang w:bidi="en-US"/>
        </w:rPr>
        <w:t xml:space="preserve"> gene to patients heterozygous for the deletion, since they had the highest chance of harboring an </w:t>
      </w:r>
      <w:r w:rsidRPr="007A0DD6">
        <w:rPr>
          <w:i/>
          <w:iCs/>
          <w:lang w:bidi="en-US"/>
        </w:rPr>
        <w:t>OCA2</w:t>
      </w:r>
      <w:r w:rsidRPr="007A0DD6">
        <w:rPr>
          <w:lang w:bidi="en-US"/>
        </w:rPr>
        <w:t xml:space="preserve"> variant. We identified 3 splicing and 1 truncating variant, classified as likely pathogenic in 9 families (Table 1): C.646+1G </w:t>
      </w:r>
      <w:r w:rsidRPr="007A0DD6">
        <w:rPr>
          <w:i/>
          <w:iCs/>
          <w:lang w:bidi="en-US"/>
        </w:rPr>
        <w:t>&gt;</w:t>
      </w:r>
      <w:r w:rsidRPr="007A0DD6">
        <w:rPr>
          <w:lang w:bidi="en-US"/>
        </w:rPr>
        <w:t xml:space="preserve"> T in exon 6 in three families, c.1364-1G&gt;Ain exon 14 in three families, c.1842+2 T&gt;C in exon 17 in one family, and c.2225dupT (</w:t>
      </w:r>
      <w:proofErr w:type="gramStart"/>
      <w:r w:rsidRPr="007A0DD6">
        <w:rPr>
          <w:lang w:bidi="en-US"/>
        </w:rPr>
        <w:t>p.Phe</w:t>
      </w:r>
      <w:proofErr w:type="gramEnd"/>
      <w:r w:rsidRPr="007A0DD6">
        <w:rPr>
          <w:lang w:bidi="en-US"/>
        </w:rPr>
        <w:t>744ValfsTer17) in exon 21 in two families. Clinically significant missense variants were identified in 3 families (Table 1): c.1001C&gt;T, (</w:t>
      </w:r>
      <w:proofErr w:type="gramStart"/>
      <w:r w:rsidRPr="007A0DD6">
        <w:rPr>
          <w:lang w:bidi="en-US"/>
        </w:rPr>
        <w:t>p.Ala</w:t>
      </w:r>
      <w:proofErr w:type="gramEnd"/>
      <w:r w:rsidRPr="007A0DD6">
        <w:rPr>
          <w:lang w:bidi="en-US"/>
        </w:rPr>
        <w:t xml:space="preserve">334Val) in exon </w:t>
      </w:r>
      <w:r w:rsidRPr="007A0DD6">
        <w:rPr>
          <w:lang w:bidi="en-US"/>
        </w:rPr>
        <w:lastRenderedPageBreak/>
        <w:t xml:space="preserve">9, c.1211C&gt;T, (p.Thr404Met) in exon 12, and c.2360C&gt;T, (p.Ala787Val) in exon 23.4/7 pathogenic variants were not present in </w:t>
      </w:r>
      <w:proofErr w:type="spellStart"/>
      <w:r w:rsidRPr="007A0DD6">
        <w:rPr>
          <w:lang w:bidi="en-US"/>
        </w:rPr>
        <w:t>ClinVar</w:t>
      </w:r>
      <w:proofErr w:type="spellEnd"/>
      <w:r w:rsidRPr="007A0DD6">
        <w:rPr>
          <w:lang w:bidi="en-US"/>
        </w:rPr>
        <w:t>.</w:t>
      </w:r>
    </w:p>
    <w:p w:rsidR="007A0DD6" w:rsidRDefault="007A0DD6" w:rsidP="007A0DD6">
      <w:pPr>
        <w:rPr>
          <w:lang w:bidi="en-US"/>
        </w:rPr>
      </w:pPr>
      <w:r w:rsidRPr="007A0DD6">
        <w:rPr>
          <w:lang w:bidi="en-US"/>
        </w:rPr>
        <w:t>There was no significant association between the different genotypes</w:t>
      </w:r>
      <w:r w:rsidR="00006C30">
        <w:rPr>
          <w:lang w:bidi="en-US"/>
        </w:rPr>
        <w:t xml:space="preserve"> </w:t>
      </w:r>
      <w:r w:rsidRPr="007A0DD6">
        <w:rPr>
          <w:lang w:bidi="en-US"/>
        </w:rPr>
        <w:t xml:space="preserve">(WT/WT, WT/Del and Del/Del) and different </w:t>
      </w:r>
      <w:proofErr w:type="spellStart"/>
      <w:r w:rsidRPr="007A0DD6">
        <w:rPr>
          <w:lang w:bidi="en-US"/>
        </w:rPr>
        <w:t>phototypes</w:t>
      </w:r>
      <w:proofErr w:type="spellEnd"/>
      <w:r w:rsidRPr="007A0DD6">
        <w:rPr>
          <w:lang w:bidi="en-US"/>
        </w:rPr>
        <w:t xml:space="preserve"> of skin color (Fig. 2) (p = 0.821), or the presence of freckles (p = 0.620). However, we observed a significant association between the presence of visual impairment and the OCA2 genotype (p = 0.043), which was due to homozygotes for the deletion presenting less frequently visual impairment compared to those heterozygous for the deletion (Table 2). The presentation of visual impairment may be age dependent, but we did not observe any difference in median age between the three genotype groups (p = 0.128), nor between the homozygous and heterozygous patients (p = 0.080).</w:t>
      </w:r>
    </w:p>
    <w:p w:rsidR="00012C5E" w:rsidRPr="00164A9C" w:rsidRDefault="00012C5E" w:rsidP="00012C5E">
      <w:pPr>
        <w:rPr>
          <w:i/>
          <w:sz w:val="20"/>
        </w:rPr>
      </w:pPr>
      <w:r w:rsidRPr="00164A9C">
        <w:rPr>
          <w:b/>
          <w:bCs/>
          <w:i/>
          <w:sz w:val="20"/>
        </w:rPr>
        <w:t xml:space="preserve">Figure 1. </w:t>
      </w:r>
      <w:r w:rsidRPr="007A0DD6">
        <w:rPr>
          <w:i/>
          <w:sz w:val="20"/>
          <w:lang w:bidi="en-US"/>
        </w:rPr>
        <w:t xml:space="preserve">Summary of results of </w:t>
      </w:r>
      <w:r w:rsidRPr="007A0DD6">
        <w:rPr>
          <w:i/>
          <w:iCs/>
          <w:sz w:val="20"/>
          <w:lang w:bidi="en-US"/>
        </w:rPr>
        <w:t>OCA2</w:t>
      </w:r>
      <w:r w:rsidRPr="007A0DD6">
        <w:rPr>
          <w:i/>
          <w:sz w:val="20"/>
          <w:lang w:bidi="en-US"/>
        </w:rPr>
        <w:t xml:space="preserve"> mutation analysis in 165 index cases with OCA</w:t>
      </w:r>
    </w:p>
    <w:p w:rsidR="00012C5E" w:rsidRDefault="007A692D" w:rsidP="00012C5E">
      <w:pPr>
        <w:rPr>
          <w:rFonts w:ascii="Arial" w:hAnsi="Arial" w:cs="Arial"/>
          <w:sz w:val="24"/>
          <w:szCs w:val="24"/>
        </w:rPr>
      </w:pPr>
      <w:r>
        <w:rPr>
          <w:noProof/>
          <w:lang w:val="fr-BE" w:eastAsia="fr-BE"/>
        </w:rPr>
        <w:drawing>
          <wp:inline distT="0" distB="0" distL="0" distR="0" wp14:anchorId="1677E92C" wp14:editId="6019EBE5">
            <wp:extent cx="3600000" cy="3298815"/>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0000" cy="3298815"/>
                    </a:xfrm>
                    <a:prstGeom prst="rect">
                      <a:avLst/>
                    </a:prstGeom>
                  </pic:spPr>
                </pic:pic>
              </a:graphicData>
            </a:graphic>
          </wp:inline>
        </w:drawing>
      </w:r>
    </w:p>
    <w:p w:rsidR="00012C5E" w:rsidRDefault="00012C5E">
      <w:pPr>
        <w:spacing w:after="0" w:line="240" w:lineRule="auto"/>
        <w:jc w:val="left"/>
        <w:rPr>
          <w:rFonts w:ascii="Arial" w:hAnsi="Arial" w:cs="Arial"/>
          <w:sz w:val="24"/>
          <w:szCs w:val="24"/>
        </w:rPr>
      </w:pPr>
      <w:r>
        <w:rPr>
          <w:rFonts w:ascii="Arial" w:hAnsi="Arial" w:cs="Arial"/>
          <w:sz w:val="24"/>
          <w:szCs w:val="24"/>
        </w:rPr>
        <w:br w:type="page"/>
      </w:r>
    </w:p>
    <w:p w:rsidR="00012C5E" w:rsidRPr="00012C5E" w:rsidRDefault="00012C5E" w:rsidP="00012C5E">
      <w:pPr>
        <w:rPr>
          <w:i/>
          <w:sz w:val="20"/>
          <w:lang w:bidi="en-US"/>
        </w:rPr>
      </w:pPr>
      <w:r>
        <w:rPr>
          <w:b/>
          <w:bCs/>
          <w:i/>
          <w:sz w:val="20"/>
        </w:rPr>
        <w:lastRenderedPageBreak/>
        <w:t>Table</w:t>
      </w:r>
      <w:r w:rsidRPr="00164A9C">
        <w:rPr>
          <w:b/>
          <w:bCs/>
          <w:i/>
          <w:sz w:val="20"/>
        </w:rPr>
        <w:t xml:space="preserve"> 1. </w:t>
      </w:r>
      <w:r w:rsidRPr="00012C5E">
        <w:rPr>
          <w:i/>
          <w:sz w:val="20"/>
          <w:lang w:bidi="en-US"/>
        </w:rPr>
        <w:t xml:space="preserve">Clinically relevant </w:t>
      </w:r>
      <w:r w:rsidRPr="00012C5E">
        <w:rPr>
          <w:i/>
          <w:iCs/>
          <w:sz w:val="20"/>
          <w:lang w:bidi="en-US"/>
        </w:rPr>
        <w:t>OCA2</w:t>
      </w:r>
      <w:r w:rsidRPr="00012C5E">
        <w:rPr>
          <w:i/>
          <w:sz w:val="20"/>
          <w:lang w:bidi="en-US"/>
        </w:rPr>
        <w:t xml:space="preserve"> variants detected in patients heterozygous for the OCA2 deletion.</w:t>
      </w:r>
    </w:p>
    <w:tbl>
      <w:tblPr>
        <w:tblOverlap w:val="never"/>
        <w:tblW w:w="10464" w:type="dxa"/>
        <w:jc w:val="center"/>
        <w:tblLayout w:type="fixed"/>
        <w:tblCellMar>
          <w:left w:w="10" w:type="dxa"/>
          <w:right w:w="10" w:type="dxa"/>
        </w:tblCellMar>
        <w:tblLook w:val="0000" w:firstRow="0" w:lastRow="0" w:firstColumn="0" w:lastColumn="0" w:noHBand="0" w:noVBand="0"/>
      </w:tblPr>
      <w:tblGrid>
        <w:gridCol w:w="2126"/>
        <w:gridCol w:w="970"/>
        <w:gridCol w:w="1296"/>
        <w:gridCol w:w="1555"/>
        <w:gridCol w:w="2146"/>
        <w:gridCol w:w="2371"/>
      </w:tblGrid>
      <w:tr w:rsidR="00012C5E" w:rsidRPr="00012C5E" w:rsidTr="006903EE">
        <w:tblPrEx>
          <w:tblCellMar>
            <w:top w:w="0" w:type="dxa"/>
            <w:bottom w:w="0" w:type="dxa"/>
          </w:tblCellMar>
        </w:tblPrEx>
        <w:trPr>
          <w:trHeight w:hRule="exact" w:val="226"/>
          <w:jc w:val="center"/>
        </w:trPr>
        <w:tc>
          <w:tcPr>
            <w:tcW w:w="2126" w:type="dxa"/>
            <w:tcBorders>
              <w:top w:val="single" w:sz="4" w:space="0" w:color="auto"/>
            </w:tcBorders>
            <w:shd w:val="clear" w:color="auto" w:fill="auto"/>
            <w:vAlign w:val="bottom"/>
          </w:tcPr>
          <w:p w:rsidR="00012C5E" w:rsidRPr="00012C5E" w:rsidRDefault="00012C5E" w:rsidP="006903EE">
            <w:pPr>
              <w:rPr>
                <w:sz w:val="12"/>
                <w:lang w:bidi="en-US"/>
              </w:rPr>
            </w:pPr>
            <w:r w:rsidRPr="00012C5E">
              <w:rPr>
                <w:sz w:val="12"/>
                <w:lang w:bidi="en-US"/>
              </w:rPr>
              <w:t>Patient</w:t>
            </w:r>
            <w:r w:rsidRPr="00012C5E">
              <w:rPr>
                <w:sz w:val="12"/>
                <w:lang w:bidi="en-US"/>
              </w:rPr>
              <w:tab/>
              <w:t>Chromosomal</w:t>
            </w:r>
          </w:p>
        </w:tc>
        <w:tc>
          <w:tcPr>
            <w:tcW w:w="970" w:type="dxa"/>
            <w:vMerge w:val="restart"/>
            <w:tcBorders>
              <w:top w:val="single" w:sz="4" w:space="0" w:color="auto"/>
            </w:tcBorders>
            <w:shd w:val="clear" w:color="auto" w:fill="auto"/>
            <w:vAlign w:val="center"/>
          </w:tcPr>
          <w:p w:rsidR="00012C5E" w:rsidRPr="00012C5E" w:rsidRDefault="00012C5E" w:rsidP="006903EE">
            <w:pPr>
              <w:rPr>
                <w:sz w:val="12"/>
                <w:lang w:bidi="en-US"/>
              </w:rPr>
            </w:pPr>
            <w:r w:rsidRPr="00012C5E">
              <w:rPr>
                <w:sz w:val="12"/>
                <w:lang w:bidi="en-US"/>
              </w:rPr>
              <w:t>Nucleotide change</w:t>
            </w:r>
          </w:p>
        </w:tc>
        <w:tc>
          <w:tcPr>
            <w:tcW w:w="1296" w:type="dxa"/>
            <w:vMerge w:val="restart"/>
            <w:tcBorders>
              <w:top w:val="single" w:sz="4" w:space="0" w:color="auto"/>
            </w:tcBorders>
            <w:shd w:val="clear" w:color="auto" w:fill="auto"/>
          </w:tcPr>
          <w:p w:rsidR="00012C5E" w:rsidRPr="00012C5E" w:rsidRDefault="00012C5E" w:rsidP="006903EE">
            <w:pPr>
              <w:rPr>
                <w:sz w:val="12"/>
                <w:lang w:bidi="en-US"/>
              </w:rPr>
            </w:pPr>
            <w:r w:rsidRPr="00012C5E">
              <w:rPr>
                <w:sz w:val="12"/>
                <w:lang w:bidi="en-US"/>
              </w:rPr>
              <w:t>Protein change</w:t>
            </w:r>
          </w:p>
        </w:tc>
        <w:tc>
          <w:tcPr>
            <w:tcW w:w="1555" w:type="dxa"/>
            <w:vMerge w:val="restart"/>
            <w:tcBorders>
              <w:top w:val="single" w:sz="4" w:space="0" w:color="auto"/>
            </w:tcBorders>
            <w:shd w:val="clear" w:color="auto" w:fill="auto"/>
            <w:vAlign w:val="center"/>
          </w:tcPr>
          <w:p w:rsidR="00012C5E" w:rsidRPr="00012C5E" w:rsidRDefault="00012C5E" w:rsidP="006903EE">
            <w:pPr>
              <w:rPr>
                <w:sz w:val="12"/>
                <w:lang w:bidi="en-US"/>
              </w:rPr>
            </w:pPr>
            <w:proofErr w:type="spellStart"/>
            <w:r w:rsidRPr="00012C5E">
              <w:rPr>
                <w:sz w:val="12"/>
                <w:lang w:bidi="en-US"/>
              </w:rPr>
              <w:t>gnomAD</w:t>
            </w:r>
            <w:proofErr w:type="spellEnd"/>
            <w:r w:rsidRPr="00012C5E">
              <w:rPr>
                <w:sz w:val="12"/>
                <w:lang w:bidi="en-US"/>
              </w:rPr>
              <w:t xml:space="preserve"> (allele count) v2</w:t>
            </w:r>
          </w:p>
        </w:tc>
        <w:tc>
          <w:tcPr>
            <w:tcW w:w="2146" w:type="dxa"/>
            <w:vMerge w:val="restart"/>
            <w:tcBorders>
              <w:top w:val="single" w:sz="4" w:space="0" w:color="auto"/>
            </w:tcBorders>
            <w:shd w:val="clear" w:color="auto" w:fill="auto"/>
          </w:tcPr>
          <w:p w:rsidR="00012C5E" w:rsidRPr="00012C5E" w:rsidRDefault="00012C5E" w:rsidP="006903EE">
            <w:pPr>
              <w:rPr>
                <w:sz w:val="12"/>
                <w:lang w:bidi="en-US"/>
              </w:rPr>
            </w:pPr>
            <w:proofErr w:type="spellStart"/>
            <w:r w:rsidRPr="00012C5E">
              <w:rPr>
                <w:sz w:val="12"/>
                <w:lang w:bidi="en-US"/>
              </w:rPr>
              <w:t>Clinvar</w:t>
            </w:r>
            <w:proofErr w:type="spellEnd"/>
          </w:p>
        </w:tc>
        <w:tc>
          <w:tcPr>
            <w:tcW w:w="2371" w:type="dxa"/>
            <w:vMerge w:val="restart"/>
            <w:tcBorders>
              <w:top w:val="single" w:sz="4" w:space="0" w:color="auto"/>
            </w:tcBorders>
            <w:shd w:val="clear" w:color="auto" w:fill="auto"/>
            <w:vAlign w:val="center"/>
          </w:tcPr>
          <w:p w:rsidR="00012C5E" w:rsidRPr="00012C5E" w:rsidRDefault="00012C5E" w:rsidP="006903EE">
            <w:pPr>
              <w:rPr>
                <w:sz w:val="12"/>
                <w:lang w:bidi="en-US"/>
              </w:rPr>
            </w:pPr>
            <w:r w:rsidRPr="00012C5E">
              <w:rPr>
                <w:sz w:val="12"/>
                <w:lang w:bidi="en-US"/>
              </w:rPr>
              <w:t>ACMG classification and literature reference</w:t>
            </w:r>
          </w:p>
        </w:tc>
      </w:tr>
      <w:tr w:rsidR="00012C5E" w:rsidRPr="00012C5E" w:rsidTr="006903EE">
        <w:tblPrEx>
          <w:tblCellMar>
            <w:top w:w="0" w:type="dxa"/>
            <w:bottom w:w="0" w:type="dxa"/>
          </w:tblCellMar>
        </w:tblPrEx>
        <w:trPr>
          <w:trHeight w:hRule="exact" w:val="211"/>
          <w:jc w:val="center"/>
        </w:trPr>
        <w:tc>
          <w:tcPr>
            <w:tcW w:w="2126" w:type="dxa"/>
            <w:shd w:val="clear" w:color="auto" w:fill="auto"/>
          </w:tcPr>
          <w:p w:rsidR="00012C5E" w:rsidRPr="00012C5E" w:rsidRDefault="00012C5E" w:rsidP="006903EE">
            <w:pPr>
              <w:rPr>
                <w:sz w:val="12"/>
                <w:lang w:bidi="en-US"/>
              </w:rPr>
            </w:pPr>
            <w:r w:rsidRPr="00012C5E">
              <w:rPr>
                <w:sz w:val="12"/>
                <w:lang w:bidi="en-US"/>
              </w:rPr>
              <w:t>ID</w:t>
            </w:r>
            <w:r w:rsidRPr="00012C5E">
              <w:rPr>
                <w:sz w:val="12"/>
                <w:lang w:bidi="en-US"/>
              </w:rPr>
              <w:tab/>
              <w:t>position</w:t>
            </w:r>
          </w:p>
        </w:tc>
        <w:tc>
          <w:tcPr>
            <w:tcW w:w="970" w:type="dxa"/>
            <w:vMerge/>
            <w:shd w:val="clear" w:color="auto" w:fill="auto"/>
            <w:vAlign w:val="center"/>
          </w:tcPr>
          <w:p w:rsidR="00012C5E" w:rsidRPr="00012C5E" w:rsidRDefault="00012C5E" w:rsidP="006903EE">
            <w:pPr>
              <w:rPr>
                <w:sz w:val="12"/>
                <w:lang w:bidi="en-US"/>
              </w:rPr>
            </w:pPr>
          </w:p>
        </w:tc>
        <w:tc>
          <w:tcPr>
            <w:tcW w:w="1296" w:type="dxa"/>
            <w:vMerge/>
            <w:shd w:val="clear" w:color="auto" w:fill="auto"/>
          </w:tcPr>
          <w:p w:rsidR="00012C5E" w:rsidRPr="00012C5E" w:rsidRDefault="00012C5E" w:rsidP="006903EE">
            <w:pPr>
              <w:rPr>
                <w:sz w:val="12"/>
                <w:lang w:bidi="en-US"/>
              </w:rPr>
            </w:pPr>
          </w:p>
        </w:tc>
        <w:tc>
          <w:tcPr>
            <w:tcW w:w="1555" w:type="dxa"/>
            <w:vMerge/>
            <w:shd w:val="clear" w:color="auto" w:fill="auto"/>
            <w:vAlign w:val="center"/>
          </w:tcPr>
          <w:p w:rsidR="00012C5E" w:rsidRPr="00012C5E" w:rsidRDefault="00012C5E" w:rsidP="006903EE">
            <w:pPr>
              <w:rPr>
                <w:sz w:val="12"/>
                <w:lang w:bidi="en-US"/>
              </w:rPr>
            </w:pPr>
          </w:p>
        </w:tc>
        <w:tc>
          <w:tcPr>
            <w:tcW w:w="2146" w:type="dxa"/>
            <w:vMerge/>
            <w:shd w:val="clear" w:color="auto" w:fill="auto"/>
          </w:tcPr>
          <w:p w:rsidR="00012C5E" w:rsidRPr="00012C5E" w:rsidRDefault="00012C5E" w:rsidP="006903EE">
            <w:pPr>
              <w:rPr>
                <w:sz w:val="12"/>
                <w:lang w:bidi="en-US"/>
              </w:rPr>
            </w:pPr>
          </w:p>
        </w:tc>
        <w:tc>
          <w:tcPr>
            <w:tcW w:w="2371" w:type="dxa"/>
            <w:vMerge/>
            <w:shd w:val="clear" w:color="auto" w:fill="auto"/>
            <w:vAlign w:val="center"/>
          </w:tcPr>
          <w:p w:rsidR="00012C5E" w:rsidRPr="00012C5E" w:rsidRDefault="00012C5E" w:rsidP="006903EE">
            <w:pPr>
              <w:rPr>
                <w:sz w:val="12"/>
                <w:lang w:bidi="en-US"/>
              </w:rPr>
            </w:pPr>
          </w:p>
        </w:tc>
      </w:tr>
      <w:tr w:rsidR="00012C5E" w:rsidRPr="00012C5E" w:rsidTr="006903EE">
        <w:tblPrEx>
          <w:tblCellMar>
            <w:top w:w="0" w:type="dxa"/>
            <w:bottom w:w="0" w:type="dxa"/>
          </w:tblCellMar>
        </w:tblPrEx>
        <w:trPr>
          <w:trHeight w:hRule="exact" w:val="671"/>
          <w:jc w:val="center"/>
        </w:trPr>
        <w:tc>
          <w:tcPr>
            <w:tcW w:w="2126" w:type="dxa"/>
            <w:tcBorders>
              <w:top w:val="single" w:sz="4" w:space="0" w:color="auto"/>
            </w:tcBorders>
            <w:shd w:val="clear" w:color="auto" w:fill="auto"/>
            <w:vAlign w:val="bottom"/>
          </w:tcPr>
          <w:p w:rsidR="00012C5E" w:rsidRPr="00012C5E" w:rsidRDefault="00012C5E" w:rsidP="006903EE">
            <w:pPr>
              <w:rPr>
                <w:sz w:val="12"/>
                <w:lang w:bidi="en-US"/>
              </w:rPr>
            </w:pPr>
            <w:r w:rsidRPr="00012C5E">
              <w:rPr>
                <w:b/>
                <w:bCs/>
                <w:i/>
                <w:iCs/>
                <w:sz w:val="12"/>
                <w:lang w:bidi="en-US"/>
              </w:rPr>
              <w:t>Truncating and splicing variants</w:t>
            </w:r>
          </w:p>
          <w:p w:rsidR="00012C5E" w:rsidRPr="00012C5E" w:rsidRDefault="00012C5E" w:rsidP="006903EE">
            <w:pPr>
              <w:rPr>
                <w:sz w:val="12"/>
                <w:lang w:bidi="en-US"/>
              </w:rPr>
            </w:pPr>
            <w:r w:rsidRPr="00012C5E">
              <w:rPr>
                <w:sz w:val="12"/>
                <w:lang w:bidi="en-US"/>
              </w:rPr>
              <w:t>95, 97,</w:t>
            </w:r>
            <w:r w:rsidRPr="00012C5E">
              <w:rPr>
                <w:sz w:val="12"/>
                <w:lang w:bidi="en-US"/>
              </w:rPr>
              <w:tab/>
              <w:t>chr15:28267646C</w:t>
            </w:r>
          </w:p>
        </w:tc>
        <w:tc>
          <w:tcPr>
            <w:tcW w:w="970" w:type="dxa"/>
            <w:tcBorders>
              <w:top w:val="single" w:sz="4" w:space="0" w:color="auto"/>
            </w:tcBorders>
            <w:shd w:val="clear" w:color="auto" w:fill="auto"/>
            <w:vAlign w:val="bottom"/>
          </w:tcPr>
          <w:p w:rsidR="00012C5E" w:rsidRPr="00012C5E" w:rsidRDefault="00012C5E" w:rsidP="006903EE">
            <w:pPr>
              <w:rPr>
                <w:sz w:val="12"/>
                <w:lang w:bidi="en-US"/>
              </w:rPr>
            </w:pPr>
            <w:r w:rsidRPr="00012C5E">
              <w:rPr>
                <w:sz w:val="12"/>
                <w:lang w:bidi="en-US"/>
              </w:rPr>
              <w:t xml:space="preserve">c.646+1G </w:t>
            </w:r>
            <w:r w:rsidRPr="00012C5E">
              <w:rPr>
                <w:i/>
                <w:iCs/>
                <w:sz w:val="12"/>
                <w:lang w:bidi="en-US"/>
              </w:rPr>
              <w:t>&gt;</w:t>
            </w:r>
          </w:p>
        </w:tc>
        <w:tc>
          <w:tcPr>
            <w:tcW w:w="1296" w:type="dxa"/>
            <w:tcBorders>
              <w:top w:val="single" w:sz="4" w:space="0" w:color="auto"/>
            </w:tcBorders>
            <w:shd w:val="clear" w:color="auto" w:fill="auto"/>
          </w:tcPr>
          <w:p w:rsidR="00012C5E" w:rsidRPr="00012C5E" w:rsidRDefault="00012C5E" w:rsidP="006903EE">
            <w:pPr>
              <w:rPr>
                <w:sz w:val="12"/>
                <w:lang w:bidi="en-US"/>
              </w:rPr>
            </w:pPr>
          </w:p>
        </w:tc>
        <w:tc>
          <w:tcPr>
            <w:tcW w:w="1555" w:type="dxa"/>
            <w:tcBorders>
              <w:top w:val="single" w:sz="4" w:space="0" w:color="auto"/>
            </w:tcBorders>
            <w:shd w:val="clear" w:color="auto" w:fill="auto"/>
            <w:vAlign w:val="bottom"/>
          </w:tcPr>
          <w:p w:rsidR="00012C5E" w:rsidRPr="00012C5E" w:rsidRDefault="00012C5E" w:rsidP="006903EE">
            <w:pPr>
              <w:rPr>
                <w:sz w:val="12"/>
                <w:lang w:bidi="en-US"/>
              </w:rPr>
            </w:pPr>
            <w:r w:rsidRPr="00012C5E">
              <w:rPr>
                <w:sz w:val="12"/>
                <w:lang w:bidi="en-US"/>
              </w:rPr>
              <w:t>Absent</w:t>
            </w:r>
          </w:p>
        </w:tc>
        <w:tc>
          <w:tcPr>
            <w:tcW w:w="2146" w:type="dxa"/>
            <w:tcBorders>
              <w:top w:val="single" w:sz="4" w:space="0" w:color="auto"/>
            </w:tcBorders>
            <w:shd w:val="clear" w:color="auto" w:fill="auto"/>
            <w:vAlign w:val="bottom"/>
          </w:tcPr>
          <w:p w:rsidR="00012C5E" w:rsidRPr="00012C5E" w:rsidRDefault="00012C5E" w:rsidP="006903EE">
            <w:pPr>
              <w:rPr>
                <w:sz w:val="12"/>
                <w:lang w:bidi="en-US"/>
              </w:rPr>
            </w:pPr>
            <w:r w:rsidRPr="00012C5E">
              <w:rPr>
                <w:sz w:val="12"/>
                <w:lang w:bidi="en-US"/>
              </w:rPr>
              <w:t>Absent</w:t>
            </w:r>
          </w:p>
        </w:tc>
        <w:tc>
          <w:tcPr>
            <w:tcW w:w="2371" w:type="dxa"/>
            <w:tcBorders>
              <w:top w:val="single" w:sz="4" w:space="0" w:color="auto"/>
            </w:tcBorders>
            <w:shd w:val="clear" w:color="auto" w:fill="auto"/>
            <w:vAlign w:val="bottom"/>
          </w:tcPr>
          <w:p w:rsidR="00012C5E" w:rsidRPr="00012C5E" w:rsidRDefault="00012C5E" w:rsidP="006903EE">
            <w:pPr>
              <w:rPr>
                <w:sz w:val="12"/>
                <w:lang w:bidi="en-US"/>
              </w:rPr>
            </w:pPr>
            <w:r w:rsidRPr="00012C5E">
              <w:rPr>
                <w:sz w:val="12"/>
                <w:lang w:bidi="en-US"/>
              </w:rPr>
              <w:t>Pathogenic based on PVS1, PM2,</w:t>
            </w:r>
          </w:p>
        </w:tc>
      </w:tr>
      <w:tr w:rsidR="00012C5E" w:rsidRPr="00012C5E" w:rsidTr="006903EE">
        <w:tblPrEx>
          <w:tblCellMar>
            <w:top w:w="0" w:type="dxa"/>
            <w:bottom w:w="0" w:type="dxa"/>
          </w:tblCellMar>
        </w:tblPrEx>
        <w:trPr>
          <w:trHeight w:hRule="exact" w:val="557"/>
          <w:jc w:val="center"/>
        </w:trPr>
        <w:tc>
          <w:tcPr>
            <w:tcW w:w="2126" w:type="dxa"/>
            <w:shd w:val="clear" w:color="auto" w:fill="auto"/>
            <w:vAlign w:val="bottom"/>
          </w:tcPr>
          <w:p w:rsidR="00012C5E" w:rsidRPr="00012C5E" w:rsidRDefault="00012C5E" w:rsidP="006903EE">
            <w:pPr>
              <w:rPr>
                <w:sz w:val="12"/>
                <w:lang w:bidi="en-US"/>
              </w:rPr>
            </w:pPr>
            <w:r w:rsidRPr="00012C5E">
              <w:rPr>
                <w:sz w:val="12"/>
                <w:lang w:bidi="en-US"/>
              </w:rPr>
              <w:t>132</w:t>
            </w:r>
            <w:r w:rsidRPr="00012C5E">
              <w:rPr>
                <w:sz w:val="12"/>
                <w:lang w:bidi="en-US"/>
              </w:rPr>
              <w:tab/>
            </w:r>
            <w:r w:rsidRPr="00012C5E">
              <w:rPr>
                <w:i/>
                <w:iCs/>
                <w:sz w:val="12"/>
                <w:lang w:bidi="en-US"/>
              </w:rPr>
              <w:t>&gt;</w:t>
            </w:r>
            <w:r w:rsidRPr="00012C5E">
              <w:rPr>
                <w:sz w:val="12"/>
                <w:lang w:bidi="en-US"/>
              </w:rPr>
              <w:t xml:space="preserve"> A</w:t>
            </w:r>
          </w:p>
          <w:p w:rsidR="00012C5E" w:rsidRPr="00012C5E" w:rsidRDefault="00012C5E" w:rsidP="006903EE">
            <w:pPr>
              <w:rPr>
                <w:sz w:val="12"/>
                <w:lang w:bidi="en-US"/>
              </w:rPr>
            </w:pPr>
            <w:r w:rsidRPr="00012C5E">
              <w:rPr>
                <w:sz w:val="12"/>
                <w:lang w:bidi="en-US"/>
              </w:rPr>
              <w:t>52, 115,</w:t>
            </w:r>
            <w:r w:rsidRPr="00012C5E">
              <w:rPr>
                <w:sz w:val="12"/>
                <w:lang w:bidi="en-US"/>
              </w:rPr>
              <w:tab/>
              <w:t>chr15:28228630C</w:t>
            </w:r>
          </w:p>
        </w:tc>
        <w:tc>
          <w:tcPr>
            <w:tcW w:w="970" w:type="dxa"/>
            <w:shd w:val="clear" w:color="auto" w:fill="auto"/>
            <w:vAlign w:val="bottom"/>
          </w:tcPr>
          <w:p w:rsidR="00012C5E" w:rsidRPr="00012C5E" w:rsidRDefault="00012C5E" w:rsidP="006903EE">
            <w:pPr>
              <w:rPr>
                <w:sz w:val="12"/>
                <w:lang w:bidi="en-US"/>
              </w:rPr>
            </w:pPr>
            <w:r w:rsidRPr="00012C5E">
              <w:rPr>
                <w:sz w:val="12"/>
                <w:lang w:bidi="en-US"/>
              </w:rPr>
              <w:t xml:space="preserve">T c.1365-1G </w:t>
            </w:r>
            <w:r w:rsidRPr="00012C5E">
              <w:rPr>
                <w:i/>
                <w:iCs/>
                <w:sz w:val="12"/>
                <w:lang w:bidi="en-US"/>
              </w:rPr>
              <w:t>&gt;</w:t>
            </w:r>
          </w:p>
        </w:tc>
        <w:tc>
          <w:tcPr>
            <w:tcW w:w="1296" w:type="dxa"/>
            <w:shd w:val="clear" w:color="auto" w:fill="auto"/>
          </w:tcPr>
          <w:p w:rsidR="00012C5E" w:rsidRPr="00012C5E" w:rsidRDefault="00012C5E" w:rsidP="006903EE">
            <w:pPr>
              <w:rPr>
                <w:sz w:val="12"/>
                <w:lang w:bidi="en-US"/>
              </w:rPr>
            </w:pPr>
          </w:p>
        </w:tc>
        <w:tc>
          <w:tcPr>
            <w:tcW w:w="1555" w:type="dxa"/>
            <w:shd w:val="clear" w:color="auto" w:fill="auto"/>
            <w:vAlign w:val="bottom"/>
          </w:tcPr>
          <w:p w:rsidR="00012C5E" w:rsidRPr="00012C5E" w:rsidRDefault="00012C5E" w:rsidP="006903EE">
            <w:pPr>
              <w:rPr>
                <w:sz w:val="12"/>
                <w:lang w:bidi="en-US"/>
              </w:rPr>
            </w:pPr>
            <w:r w:rsidRPr="00012C5E">
              <w:rPr>
                <w:sz w:val="12"/>
                <w:lang w:bidi="en-US"/>
              </w:rPr>
              <w:t>Absent</w:t>
            </w:r>
          </w:p>
        </w:tc>
        <w:tc>
          <w:tcPr>
            <w:tcW w:w="2146" w:type="dxa"/>
            <w:shd w:val="clear" w:color="auto" w:fill="auto"/>
            <w:vAlign w:val="bottom"/>
          </w:tcPr>
          <w:p w:rsidR="00012C5E" w:rsidRPr="00012C5E" w:rsidRDefault="00012C5E" w:rsidP="006903EE">
            <w:pPr>
              <w:rPr>
                <w:sz w:val="12"/>
                <w:lang w:bidi="en-US"/>
              </w:rPr>
            </w:pPr>
            <w:r w:rsidRPr="00012C5E">
              <w:rPr>
                <w:sz w:val="12"/>
                <w:lang w:bidi="en-US"/>
              </w:rPr>
              <w:t>Absent</w:t>
            </w:r>
          </w:p>
        </w:tc>
        <w:tc>
          <w:tcPr>
            <w:tcW w:w="2371" w:type="dxa"/>
            <w:shd w:val="clear" w:color="auto" w:fill="auto"/>
            <w:vAlign w:val="bottom"/>
          </w:tcPr>
          <w:p w:rsidR="00012C5E" w:rsidRPr="00012C5E" w:rsidRDefault="00012C5E" w:rsidP="006903EE">
            <w:pPr>
              <w:rPr>
                <w:sz w:val="12"/>
                <w:lang w:bidi="en-US"/>
              </w:rPr>
            </w:pPr>
            <w:r w:rsidRPr="00012C5E">
              <w:rPr>
                <w:sz w:val="12"/>
                <w:lang w:bidi="en-US"/>
              </w:rPr>
              <w:t>PM3 &amp; PP3</w:t>
            </w:r>
          </w:p>
          <w:p w:rsidR="00012C5E" w:rsidRPr="00012C5E" w:rsidRDefault="00012C5E" w:rsidP="006903EE">
            <w:pPr>
              <w:rPr>
                <w:sz w:val="12"/>
                <w:lang w:bidi="en-US"/>
              </w:rPr>
            </w:pPr>
            <w:r w:rsidRPr="00012C5E">
              <w:rPr>
                <w:sz w:val="12"/>
                <w:lang w:bidi="en-US"/>
              </w:rPr>
              <w:t>Pathogenic based on PVS1, PM2,</w:t>
            </w:r>
          </w:p>
        </w:tc>
      </w:tr>
      <w:tr w:rsidR="00012C5E" w:rsidRPr="00012C5E" w:rsidTr="006903EE">
        <w:tblPrEx>
          <w:tblCellMar>
            <w:top w:w="0" w:type="dxa"/>
            <w:bottom w:w="0" w:type="dxa"/>
          </w:tblCellMar>
        </w:tblPrEx>
        <w:trPr>
          <w:trHeight w:hRule="exact" w:val="648"/>
          <w:jc w:val="center"/>
        </w:trPr>
        <w:tc>
          <w:tcPr>
            <w:tcW w:w="2126" w:type="dxa"/>
            <w:shd w:val="clear" w:color="auto" w:fill="auto"/>
            <w:vAlign w:val="bottom"/>
          </w:tcPr>
          <w:p w:rsidR="00012C5E" w:rsidRPr="00012C5E" w:rsidRDefault="00012C5E" w:rsidP="006903EE">
            <w:pPr>
              <w:rPr>
                <w:sz w:val="12"/>
                <w:lang w:bidi="en-US"/>
              </w:rPr>
            </w:pPr>
            <w:r w:rsidRPr="00012C5E">
              <w:rPr>
                <w:sz w:val="12"/>
                <w:lang w:bidi="en-US"/>
              </w:rPr>
              <w:t>127</w:t>
            </w:r>
            <w:r w:rsidRPr="00012C5E">
              <w:rPr>
                <w:sz w:val="12"/>
                <w:lang w:bidi="en-US"/>
              </w:rPr>
              <w:tab/>
            </w:r>
            <w:r w:rsidRPr="00012C5E">
              <w:rPr>
                <w:i/>
                <w:iCs/>
                <w:sz w:val="12"/>
                <w:lang w:bidi="en-US"/>
              </w:rPr>
              <w:t>&gt;</w:t>
            </w:r>
            <w:r w:rsidRPr="00012C5E">
              <w:rPr>
                <w:sz w:val="12"/>
                <w:lang w:bidi="en-US"/>
              </w:rPr>
              <w:t xml:space="preserve"> T</w:t>
            </w:r>
          </w:p>
          <w:p w:rsidR="00012C5E" w:rsidRPr="00012C5E" w:rsidRDefault="00012C5E" w:rsidP="006903EE">
            <w:pPr>
              <w:rPr>
                <w:sz w:val="12"/>
                <w:lang w:bidi="en-US"/>
              </w:rPr>
            </w:pPr>
            <w:r w:rsidRPr="00012C5E">
              <w:rPr>
                <w:sz w:val="12"/>
                <w:lang w:bidi="en-US"/>
              </w:rPr>
              <w:t>62</w:t>
            </w:r>
            <w:r w:rsidRPr="00012C5E">
              <w:rPr>
                <w:sz w:val="12"/>
                <w:lang w:bidi="en-US"/>
              </w:rPr>
              <w:tab/>
              <w:t>chr15:28200302 A</w:t>
            </w:r>
          </w:p>
        </w:tc>
        <w:tc>
          <w:tcPr>
            <w:tcW w:w="970" w:type="dxa"/>
            <w:shd w:val="clear" w:color="auto" w:fill="auto"/>
            <w:vAlign w:val="bottom"/>
          </w:tcPr>
          <w:p w:rsidR="00012C5E" w:rsidRPr="00012C5E" w:rsidRDefault="00012C5E" w:rsidP="006903EE">
            <w:pPr>
              <w:rPr>
                <w:sz w:val="12"/>
                <w:lang w:bidi="en-US"/>
              </w:rPr>
            </w:pPr>
            <w:r w:rsidRPr="00012C5E">
              <w:rPr>
                <w:sz w:val="12"/>
                <w:lang w:bidi="en-US"/>
              </w:rPr>
              <w:t>A c.1842+2 T</w:t>
            </w:r>
          </w:p>
        </w:tc>
        <w:tc>
          <w:tcPr>
            <w:tcW w:w="1296" w:type="dxa"/>
            <w:shd w:val="clear" w:color="auto" w:fill="auto"/>
          </w:tcPr>
          <w:p w:rsidR="00012C5E" w:rsidRPr="00012C5E" w:rsidRDefault="00012C5E" w:rsidP="006903EE">
            <w:pPr>
              <w:rPr>
                <w:sz w:val="12"/>
                <w:lang w:bidi="en-US"/>
              </w:rPr>
            </w:pPr>
          </w:p>
        </w:tc>
        <w:tc>
          <w:tcPr>
            <w:tcW w:w="1555" w:type="dxa"/>
            <w:shd w:val="clear" w:color="auto" w:fill="auto"/>
            <w:vAlign w:val="bottom"/>
          </w:tcPr>
          <w:p w:rsidR="00012C5E" w:rsidRPr="00012C5E" w:rsidRDefault="00012C5E" w:rsidP="006903EE">
            <w:pPr>
              <w:rPr>
                <w:sz w:val="12"/>
                <w:lang w:bidi="en-US"/>
              </w:rPr>
            </w:pPr>
            <w:r w:rsidRPr="00012C5E">
              <w:rPr>
                <w:sz w:val="12"/>
                <w:lang w:bidi="en-US"/>
              </w:rPr>
              <w:t>Total 1/251,490,</w:t>
            </w:r>
          </w:p>
        </w:tc>
        <w:tc>
          <w:tcPr>
            <w:tcW w:w="2146" w:type="dxa"/>
            <w:shd w:val="clear" w:color="auto" w:fill="auto"/>
            <w:vAlign w:val="bottom"/>
          </w:tcPr>
          <w:p w:rsidR="00012C5E" w:rsidRPr="00012C5E" w:rsidRDefault="00012C5E" w:rsidP="006903EE">
            <w:pPr>
              <w:rPr>
                <w:sz w:val="12"/>
                <w:lang w:bidi="en-US"/>
              </w:rPr>
            </w:pPr>
            <w:r w:rsidRPr="00012C5E">
              <w:rPr>
                <w:sz w:val="12"/>
                <w:lang w:bidi="en-US"/>
              </w:rPr>
              <w:t xml:space="preserve">Absent (but c.1842+1G </w:t>
            </w:r>
            <w:r w:rsidRPr="00012C5E">
              <w:rPr>
                <w:i/>
                <w:iCs/>
                <w:sz w:val="12"/>
                <w:lang w:bidi="en-US"/>
              </w:rPr>
              <w:t>&gt;</w:t>
            </w:r>
            <w:r w:rsidRPr="00012C5E">
              <w:rPr>
                <w:sz w:val="12"/>
                <w:lang w:bidi="en-US"/>
              </w:rPr>
              <w:t xml:space="preserve"> T is</w:t>
            </w:r>
          </w:p>
        </w:tc>
        <w:tc>
          <w:tcPr>
            <w:tcW w:w="2371" w:type="dxa"/>
            <w:shd w:val="clear" w:color="auto" w:fill="auto"/>
            <w:vAlign w:val="bottom"/>
          </w:tcPr>
          <w:p w:rsidR="00012C5E" w:rsidRPr="00012C5E" w:rsidRDefault="00012C5E" w:rsidP="006903EE">
            <w:pPr>
              <w:rPr>
                <w:sz w:val="12"/>
                <w:lang w:bidi="en-US"/>
              </w:rPr>
            </w:pPr>
            <w:r w:rsidRPr="00012C5E">
              <w:rPr>
                <w:sz w:val="12"/>
                <w:lang w:bidi="en-US"/>
              </w:rPr>
              <w:t>PM3 &amp; PP3</w:t>
            </w:r>
          </w:p>
          <w:p w:rsidR="00012C5E" w:rsidRPr="00012C5E" w:rsidRDefault="00012C5E" w:rsidP="006903EE">
            <w:pPr>
              <w:rPr>
                <w:sz w:val="12"/>
                <w:lang w:bidi="en-US"/>
              </w:rPr>
            </w:pPr>
            <w:r w:rsidRPr="00012C5E">
              <w:rPr>
                <w:sz w:val="12"/>
                <w:lang w:bidi="en-US"/>
              </w:rPr>
              <w:t>Pathogenic based on PVS1, PM2,</w:t>
            </w:r>
          </w:p>
        </w:tc>
      </w:tr>
      <w:tr w:rsidR="00012C5E" w:rsidRPr="00012C5E" w:rsidTr="006903EE">
        <w:tblPrEx>
          <w:tblCellMar>
            <w:top w:w="0" w:type="dxa"/>
            <w:bottom w:w="0" w:type="dxa"/>
          </w:tblCellMar>
        </w:tblPrEx>
        <w:trPr>
          <w:trHeight w:hRule="exact" w:val="173"/>
          <w:jc w:val="center"/>
        </w:trPr>
        <w:tc>
          <w:tcPr>
            <w:tcW w:w="2126" w:type="dxa"/>
            <w:shd w:val="clear" w:color="auto" w:fill="auto"/>
            <w:vAlign w:val="bottom"/>
          </w:tcPr>
          <w:p w:rsidR="00012C5E" w:rsidRPr="00012C5E" w:rsidRDefault="00012C5E" w:rsidP="006903EE">
            <w:pPr>
              <w:rPr>
                <w:sz w:val="12"/>
                <w:lang w:bidi="en-US"/>
              </w:rPr>
            </w:pPr>
            <w:r w:rsidRPr="00012C5E">
              <w:rPr>
                <w:i/>
                <w:iCs/>
                <w:sz w:val="12"/>
                <w:lang w:bidi="en-US"/>
              </w:rPr>
              <w:t>&gt;</w:t>
            </w:r>
            <w:r w:rsidRPr="00012C5E">
              <w:rPr>
                <w:sz w:val="12"/>
                <w:lang w:bidi="en-US"/>
              </w:rPr>
              <w:t>G</w:t>
            </w:r>
          </w:p>
        </w:tc>
        <w:tc>
          <w:tcPr>
            <w:tcW w:w="970" w:type="dxa"/>
            <w:shd w:val="clear" w:color="auto" w:fill="auto"/>
            <w:vAlign w:val="bottom"/>
          </w:tcPr>
          <w:p w:rsidR="00012C5E" w:rsidRPr="00012C5E" w:rsidRDefault="00012C5E" w:rsidP="006903EE">
            <w:pPr>
              <w:rPr>
                <w:sz w:val="12"/>
                <w:lang w:bidi="en-US"/>
              </w:rPr>
            </w:pPr>
            <w:r w:rsidRPr="00012C5E">
              <w:rPr>
                <w:i/>
                <w:iCs/>
                <w:sz w:val="12"/>
                <w:lang w:bidi="en-US"/>
              </w:rPr>
              <w:t>&gt;</w:t>
            </w:r>
            <w:r w:rsidRPr="00012C5E">
              <w:rPr>
                <w:sz w:val="12"/>
                <w:lang w:bidi="en-US"/>
              </w:rPr>
              <w:t>C</w:t>
            </w:r>
          </w:p>
        </w:tc>
        <w:tc>
          <w:tcPr>
            <w:tcW w:w="1296" w:type="dxa"/>
            <w:shd w:val="clear" w:color="auto" w:fill="auto"/>
          </w:tcPr>
          <w:p w:rsidR="00012C5E" w:rsidRPr="00012C5E" w:rsidRDefault="00012C5E" w:rsidP="006903EE">
            <w:pPr>
              <w:rPr>
                <w:sz w:val="12"/>
                <w:lang w:bidi="en-US"/>
              </w:rPr>
            </w:pPr>
          </w:p>
        </w:tc>
        <w:tc>
          <w:tcPr>
            <w:tcW w:w="1555" w:type="dxa"/>
            <w:shd w:val="clear" w:color="auto" w:fill="auto"/>
            <w:vAlign w:val="bottom"/>
          </w:tcPr>
          <w:p w:rsidR="00012C5E" w:rsidRPr="00012C5E" w:rsidRDefault="00012C5E" w:rsidP="006903EE">
            <w:pPr>
              <w:rPr>
                <w:sz w:val="12"/>
                <w:lang w:bidi="en-US"/>
              </w:rPr>
            </w:pPr>
            <w:r w:rsidRPr="00012C5E">
              <w:rPr>
                <w:sz w:val="12"/>
                <w:lang w:bidi="en-US"/>
              </w:rPr>
              <w:t>African 0/16,256 No</w:t>
            </w:r>
          </w:p>
        </w:tc>
        <w:tc>
          <w:tcPr>
            <w:tcW w:w="2146" w:type="dxa"/>
            <w:shd w:val="clear" w:color="auto" w:fill="auto"/>
            <w:vAlign w:val="bottom"/>
          </w:tcPr>
          <w:p w:rsidR="00012C5E" w:rsidRPr="00012C5E" w:rsidRDefault="00012C5E" w:rsidP="006903EE">
            <w:pPr>
              <w:rPr>
                <w:sz w:val="12"/>
                <w:lang w:bidi="en-US"/>
              </w:rPr>
            </w:pPr>
            <w:r w:rsidRPr="00012C5E">
              <w:rPr>
                <w:sz w:val="12"/>
                <w:lang w:bidi="en-US"/>
              </w:rPr>
              <w:t>recorded as pathogenic based on</w:t>
            </w:r>
          </w:p>
        </w:tc>
        <w:tc>
          <w:tcPr>
            <w:tcW w:w="2371" w:type="dxa"/>
            <w:shd w:val="clear" w:color="auto" w:fill="auto"/>
            <w:vAlign w:val="bottom"/>
          </w:tcPr>
          <w:p w:rsidR="00012C5E" w:rsidRPr="00012C5E" w:rsidRDefault="00012C5E" w:rsidP="006903EE">
            <w:pPr>
              <w:rPr>
                <w:sz w:val="12"/>
                <w:lang w:bidi="en-US"/>
              </w:rPr>
            </w:pPr>
            <w:r w:rsidRPr="00012C5E">
              <w:rPr>
                <w:sz w:val="12"/>
                <w:lang w:bidi="en-US"/>
              </w:rPr>
              <w:t>PM3 &amp; PP3</w:t>
            </w:r>
          </w:p>
        </w:tc>
      </w:tr>
      <w:tr w:rsidR="00012C5E" w:rsidRPr="00012C5E" w:rsidTr="006903EE">
        <w:tblPrEx>
          <w:tblCellMar>
            <w:top w:w="0" w:type="dxa"/>
            <w:bottom w:w="0" w:type="dxa"/>
          </w:tblCellMar>
        </w:tblPrEx>
        <w:trPr>
          <w:trHeight w:hRule="exact" w:val="346"/>
          <w:jc w:val="center"/>
        </w:trPr>
        <w:tc>
          <w:tcPr>
            <w:tcW w:w="2126" w:type="dxa"/>
            <w:shd w:val="clear" w:color="auto" w:fill="auto"/>
            <w:vAlign w:val="bottom"/>
          </w:tcPr>
          <w:p w:rsidR="00012C5E" w:rsidRPr="00012C5E" w:rsidRDefault="00012C5E" w:rsidP="006903EE">
            <w:pPr>
              <w:rPr>
                <w:sz w:val="12"/>
                <w:lang w:bidi="en-US"/>
              </w:rPr>
            </w:pPr>
            <w:r w:rsidRPr="00012C5E">
              <w:rPr>
                <w:sz w:val="12"/>
                <w:lang w:bidi="en-US"/>
              </w:rPr>
              <w:t>20, 88</w:t>
            </w:r>
            <w:r w:rsidRPr="00012C5E">
              <w:rPr>
                <w:sz w:val="12"/>
                <w:lang w:bidi="en-US"/>
              </w:rPr>
              <w:tab/>
              <w:t>chr15:28116319</w:t>
            </w:r>
          </w:p>
        </w:tc>
        <w:tc>
          <w:tcPr>
            <w:tcW w:w="970" w:type="dxa"/>
            <w:shd w:val="clear" w:color="auto" w:fill="auto"/>
            <w:vAlign w:val="bottom"/>
          </w:tcPr>
          <w:p w:rsidR="00012C5E" w:rsidRPr="00012C5E" w:rsidRDefault="00012C5E" w:rsidP="006903EE">
            <w:pPr>
              <w:rPr>
                <w:sz w:val="12"/>
                <w:lang w:bidi="en-US"/>
              </w:rPr>
            </w:pPr>
            <w:r w:rsidRPr="00012C5E">
              <w:rPr>
                <w:sz w:val="12"/>
                <w:lang w:bidi="en-US"/>
              </w:rPr>
              <w:t>c.2225dupT</w:t>
            </w:r>
          </w:p>
        </w:tc>
        <w:tc>
          <w:tcPr>
            <w:tcW w:w="1296" w:type="dxa"/>
            <w:shd w:val="clear" w:color="auto" w:fill="auto"/>
            <w:vAlign w:val="bottom"/>
          </w:tcPr>
          <w:p w:rsidR="00012C5E" w:rsidRPr="00012C5E" w:rsidRDefault="00012C5E" w:rsidP="006903EE">
            <w:pPr>
              <w:rPr>
                <w:sz w:val="12"/>
                <w:lang w:bidi="en-US"/>
              </w:rPr>
            </w:pPr>
            <w:r w:rsidRPr="00012C5E">
              <w:rPr>
                <w:sz w:val="12"/>
                <w:lang w:bidi="en-US"/>
              </w:rPr>
              <w:t>p.</w:t>
            </w:r>
          </w:p>
        </w:tc>
        <w:tc>
          <w:tcPr>
            <w:tcW w:w="1555" w:type="dxa"/>
            <w:shd w:val="clear" w:color="auto" w:fill="auto"/>
            <w:vAlign w:val="bottom"/>
          </w:tcPr>
          <w:p w:rsidR="00012C5E" w:rsidRPr="00012C5E" w:rsidRDefault="00012C5E" w:rsidP="006903EE">
            <w:pPr>
              <w:rPr>
                <w:sz w:val="12"/>
                <w:lang w:bidi="en-US"/>
              </w:rPr>
            </w:pPr>
            <w:r w:rsidRPr="00012C5E">
              <w:rPr>
                <w:sz w:val="12"/>
                <w:lang w:bidi="en-US"/>
              </w:rPr>
              <w:t>homozygotes Absent</w:t>
            </w:r>
          </w:p>
        </w:tc>
        <w:tc>
          <w:tcPr>
            <w:tcW w:w="2146" w:type="dxa"/>
            <w:shd w:val="clear" w:color="auto" w:fill="auto"/>
            <w:vAlign w:val="bottom"/>
          </w:tcPr>
          <w:p w:rsidR="00012C5E" w:rsidRPr="00012C5E" w:rsidRDefault="00012C5E" w:rsidP="006903EE">
            <w:pPr>
              <w:rPr>
                <w:sz w:val="12"/>
                <w:lang w:bidi="en-US"/>
              </w:rPr>
            </w:pPr>
            <w:r w:rsidRPr="00012C5E">
              <w:rPr>
                <w:sz w:val="12"/>
                <w:lang w:bidi="en-US"/>
              </w:rPr>
              <w:t>PMID: 8,302,318)</w:t>
            </w:r>
          </w:p>
          <w:p w:rsidR="00012C5E" w:rsidRPr="00012C5E" w:rsidRDefault="00012C5E" w:rsidP="006903EE">
            <w:pPr>
              <w:rPr>
                <w:sz w:val="12"/>
                <w:lang w:bidi="en-US"/>
              </w:rPr>
            </w:pPr>
            <w:r w:rsidRPr="00012C5E">
              <w:rPr>
                <w:sz w:val="12"/>
                <w:lang w:bidi="en-US"/>
              </w:rPr>
              <w:t>Absent</w:t>
            </w:r>
          </w:p>
        </w:tc>
        <w:tc>
          <w:tcPr>
            <w:tcW w:w="2371" w:type="dxa"/>
            <w:shd w:val="clear" w:color="auto" w:fill="auto"/>
            <w:vAlign w:val="bottom"/>
          </w:tcPr>
          <w:p w:rsidR="00012C5E" w:rsidRPr="00012C5E" w:rsidRDefault="00012C5E" w:rsidP="006903EE">
            <w:pPr>
              <w:rPr>
                <w:sz w:val="12"/>
                <w:lang w:bidi="en-US"/>
              </w:rPr>
            </w:pPr>
            <w:r w:rsidRPr="00012C5E">
              <w:rPr>
                <w:sz w:val="12"/>
                <w:lang w:bidi="en-US"/>
              </w:rPr>
              <w:t>Pathogenic based on PVS1, PM2,</w:t>
            </w:r>
          </w:p>
        </w:tc>
      </w:tr>
      <w:tr w:rsidR="00012C5E" w:rsidRPr="00012C5E" w:rsidTr="006903EE">
        <w:tblPrEx>
          <w:tblCellMar>
            <w:top w:w="0" w:type="dxa"/>
            <w:bottom w:w="0" w:type="dxa"/>
          </w:tblCellMar>
        </w:tblPrEx>
        <w:trPr>
          <w:trHeight w:hRule="exact" w:val="509"/>
          <w:jc w:val="center"/>
        </w:trPr>
        <w:tc>
          <w:tcPr>
            <w:tcW w:w="2126" w:type="dxa"/>
            <w:shd w:val="clear" w:color="auto" w:fill="auto"/>
            <w:vAlign w:val="bottom"/>
          </w:tcPr>
          <w:p w:rsidR="00012C5E" w:rsidRPr="00012C5E" w:rsidRDefault="00012C5E" w:rsidP="006903EE">
            <w:pPr>
              <w:rPr>
                <w:sz w:val="12"/>
                <w:lang w:val="fr-BE" w:bidi="en-US"/>
              </w:rPr>
            </w:pPr>
            <w:proofErr w:type="spellStart"/>
            <w:proofErr w:type="gramStart"/>
            <w:r w:rsidRPr="00012C5E">
              <w:rPr>
                <w:sz w:val="12"/>
                <w:lang w:val="fr-BE" w:bidi="en-US"/>
              </w:rPr>
              <w:t>delA</w:t>
            </w:r>
            <w:proofErr w:type="spellEnd"/>
            <w:proofErr w:type="gramEnd"/>
          </w:p>
          <w:p w:rsidR="00012C5E" w:rsidRPr="00012C5E" w:rsidRDefault="00012C5E" w:rsidP="006903EE">
            <w:pPr>
              <w:rPr>
                <w:sz w:val="12"/>
                <w:lang w:val="fr-BE" w:bidi="en-US"/>
              </w:rPr>
            </w:pPr>
            <w:proofErr w:type="spellStart"/>
            <w:r w:rsidRPr="00012C5E">
              <w:rPr>
                <w:b/>
                <w:bCs/>
                <w:i/>
                <w:iCs/>
                <w:sz w:val="12"/>
                <w:lang w:val="fr-BE" w:bidi="en-US"/>
              </w:rPr>
              <w:t>Missense</w:t>
            </w:r>
            <w:proofErr w:type="spellEnd"/>
            <w:r w:rsidRPr="00012C5E">
              <w:rPr>
                <w:b/>
                <w:bCs/>
                <w:i/>
                <w:iCs/>
                <w:sz w:val="12"/>
                <w:lang w:val="fr-BE" w:bidi="en-US"/>
              </w:rPr>
              <w:t xml:space="preserve"> </w:t>
            </w:r>
            <w:proofErr w:type="spellStart"/>
            <w:r w:rsidRPr="00012C5E">
              <w:rPr>
                <w:b/>
                <w:bCs/>
                <w:i/>
                <w:iCs/>
                <w:sz w:val="12"/>
                <w:lang w:val="fr-BE" w:bidi="en-US"/>
              </w:rPr>
              <w:t>variants</w:t>
            </w:r>
            <w:proofErr w:type="spellEnd"/>
          </w:p>
          <w:p w:rsidR="00012C5E" w:rsidRPr="00012C5E" w:rsidRDefault="00012C5E" w:rsidP="006903EE">
            <w:pPr>
              <w:rPr>
                <w:sz w:val="12"/>
                <w:lang w:val="fr-BE" w:bidi="en-US"/>
              </w:rPr>
            </w:pPr>
            <w:r w:rsidRPr="00012C5E">
              <w:rPr>
                <w:sz w:val="12"/>
                <w:lang w:val="fr-BE" w:bidi="en-US"/>
              </w:rPr>
              <w:t>133</w:t>
            </w:r>
            <w:r w:rsidRPr="00012C5E">
              <w:rPr>
                <w:sz w:val="12"/>
                <w:lang w:val="fr-BE" w:bidi="en-US"/>
              </w:rPr>
              <w:tab/>
              <w:t>chr15:28259965G</w:t>
            </w:r>
          </w:p>
        </w:tc>
        <w:tc>
          <w:tcPr>
            <w:tcW w:w="970" w:type="dxa"/>
            <w:shd w:val="clear" w:color="auto" w:fill="auto"/>
            <w:vAlign w:val="bottom"/>
          </w:tcPr>
          <w:p w:rsidR="00012C5E" w:rsidRPr="00012C5E" w:rsidRDefault="00012C5E" w:rsidP="006903EE">
            <w:pPr>
              <w:rPr>
                <w:sz w:val="12"/>
                <w:lang w:bidi="en-US"/>
              </w:rPr>
            </w:pPr>
            <w:r w:rsidRPr="00012C5E">
              <w:rPr>
                <w:sz w:val="12"/>
                <w:lang w:bidi="en-US"/>
              </w:rPr>
              <w:t xml:space="preserve">c.1001C </w:t>
            </w:r>
            <w:r w:rsidRPr="00012C5E">
              <w:rPr>
                <w:i/>
                <w:iCs/>
                <w:sz w:val="12"/>
                <w:lang w:bidi="en-US"/>
              </w:rPr>
              <w:t>&gt;</w:t>
            </w:r>
            <w:r w:rsidRPr="00012C5E">
              <w:rPr>
                <w:sz w:val="12"/>
                <w:lang w:bidi="en-US"/>
              </w:rPr>
              <w:t xml:space="preserve"> T</w:t>
            </w:r>
          </w:p>
        </w:tc>
        <w:tc>
          <w:tcPr>
            <w:tcW w:w="1296" w:type="dxa"/>
            <w:shd w:val="clear" w:color="auto" w:fill="auto"/>
            <w:vAlign w:val="bottom"/>
          </w:tcPr>
          <w:p w:rsidR="00012C5E" w:rsidRPr="00012C5E" w:rsidRDefault="00012C5E" w:rsidP="006903EE">
            <w:pPr>
              <w:rPr>
                <w:sz w:val="12"/>
                <w:lang w:bidi="en-US"/>
              </w:rPr>
            </w:pPr>
            <w:r w:rsidRPr="00012C5E">
              <w:rPr>
                <w:sz w:val="12"/>
                <w:lang w:bidi="en-US"/>
              </w:rPr>
              <w:t>Phe744ValfsTer17</w:t>
            </w:r>
          </w:p>
          <w:p w:rsidR="00012C5E" w:rsidRPr="00012C5E" w:rsidRDefault="00012C5E" w:rsidP="006903EE">
            <w:pPr>
              <w:rPr>
                <w:sz w:val="12"/>
                <w:lang w:bidi="en-US"/>
              </w:rPr>
            </w:pPr>
            <w:r w:rsidRPr="00012C5E">
              <w:rPr>
                <w:sz w:val="12"/>
                <w:lang w:bidi="en-US"/>
              </w:rPr>
              <w:t>p.Ala334Val</w:t>
            </w:r>
          </w:p>
        </w:tc>
        <w:tc>
          <w:tcPr>
            <w:tcW w:w="1555" w:type="dxa"/>
            <w:shd w:val="clear" w:color="auto" w:fill="auto"/>
            <w:vAlign w:val="bottom"/>
          </w:tcPr>
          <w:p w:rsidR="00012C5E" w:rsidRPr="00012C5E" w:rsidRDefault="00012C5E" w:rsidP="006903EE">
            <w:pPr>
              <w:rPr>
                <w:sz w:val="12"/>
                <w:lang w:bidi="en-US"/>
              </w:rPr>
            </w:pPr>
            <w:r w:rsidRPr="00012C5E">
              <w:rPr>
                <w:sz w:val="12"/>
                <w:lang w:bidi="en-US"/>
              </w:rPr>
              <w:t>Total 2/251,086</w:t>
            </w:r>
          </w:p>
        </w:tc>
        <w:tc>
          <w:tcPr>
            <w:tcW w:w="2146" w:type="dxa"/>
            <w:shd w:val="clear" w:color="auto" w:fill="auto"/>
            <w:vAlign w:val="bottom"/>
          </w:tcPr>
          <w:p w:rsidR="00012C5E" w:rsidRPr="00012C5E" w:rsidRDefault="00012C5E" w:rsidP="006903EE">
            <w:pPr>
              <w:rPr>
                <w:sz w:val="12"/>
                <w:lang w:bidi="en-US"/>
              </w:rPr>
            </w:pPr>
            <w:r w:rsidRPr="00012C5E">
              <w:rPr>
                <w:sz w:val="12"/>
                <w:lang w:bidi="en-US"/>
              </w:rPr>
              <w:t>VCV000000958.1</w:t>
            </w:r>
          </w:p>
        </w:tc>
        <w:tc>
          <w:tcPr>
            <w:tcW w:w="2371" w:type="dxa"/>
            <w:shd w:val="clear" w:color="auto" w:fill="auto"/>
            <w:vAlign w:val="bottom"/>
          </w:tcPr>
          <w:p w:rsidR="00012C5E" w:rsidRPr="00012C5E" w:rsidRDefault="00012C5E" w:rsidP="006903EE">
            <w:pPr>
              <w:rPr>
                <w:sz w:val="12"/>
                <w:lang w:bidi="en-US"/>
              </w:rPr>
            </w:pPr>
            <w:r w:rsidRPr="00012C5E">
              <w:rPr>
                <w:sz w:val="12"/>
                <w:lang w:bidi="en-US"/>
              </w:rPr>
              <w:t>PM3 &amp; PP3</w:t>
            </w:r>
          </w:p>
          <w:p w:rsidR="00012C5E" w:rsidRPr="00012C5E" w:rsidRDefault="00012C5E" w:rsidP="006903EE">
            <w:pPr>
              <w:rPr>
                <w:sz w:val="12"/>
                <w:lang w:bidi="en-US"/>
              </w:rPr>
            </w:pPr>
            <w:r w:rsidRPr="00012C5E">
              <w:rPr>
                <w:sz w:val="12"/>
                <w:lang w:bidi="en-US"/>
              </w:rPr>
              <w:t>Pathogenic based on PS1, PM2,</w:t>
            </w:r>
          </w:p>
        </w:tc>
      </w:tr>
      <w:tr w:rsidR="00012C5E" w:rsidRPr="00012C5E" w:rsidTr="006903EE">
        <w:tblPrEx>
          <w:tblCellMar>
            <w:top w:w="0" w:type="dxa"/>
            <w:bottom w:w="0" w:type="dxa"/>
          </w:tblCellMar>
        </w:tblPrEx>
        <w:trPr>
          <w:trHeight w:hRule="exact" w:val="686"/>
          <w:jc w:val="center"/>
        </w:trPr>
        <w:tc>
          <w:tcPr>
            <w:tcW w:w="2126" w:type="dxa"/>
            <w:shd w:val="clear" w:color="auto" w:fill="auto"/>
            <w:vAlign w:val="bottom"/>
          </w:tcPr>
          <w:p w:rsidR="00012C5E" w:rsidRPr="00012C5E" w:rsidRDefault="00012C5E" w:rsidP="006903EE">
            <w:pPr>
              <w:rPr>
                <w:sz w:val="12"/>
                <w:lang w:bidi="en-US"/>
              </w:rPr>
            </w:pPr>
            <w:r w:rsidRPr="00012C5E">
              <w:rPr>
                <w:i/>
                <w:iCs/>
                <w:sz w:val="12"/>
                <w:lang w:bidi="en-US"/>
              </w:rPr>
              <w:t>&gt;</w:t>
            </w:r>
            <w:r w:rsidRPr="00012C5E">
              <w:rPr>
                <w:sz w:val="12"/>
                <w:lang w:bidi="en-US"/>
              </w:rPr>
              <w:t>A</w:t>
            </w:r>
          </w:p>
          <w:p w:rsidR="00012C5E" w:rsidRPr="00012C5E" w:rsidRDefault="00012C5E" w:rsidP="006903EE">
            <w:pPr>
              <w:rPr>
                <w:sz w:val="12"/>
                <w:lang w:bidi="en-US"/>
              </w:rPr>
            </w:pPr>
            <w:r w:rsidRPr="00012C5E">
              <w:rPr>
                <w:sz w:val="12"/>
                <w:lang w:bidi="en-US"/>
              </w:rPr>
              <w:t>11</w:t>
            </w:r>
            <w:r w:rsidRPr="00012C5E">
              <w:rPr>
                <w:sz w:val="12"/>
                <w:lang w:bidi="en-US"/>
              </w:rPr>
              <w:tab/>
              <w:t>chr15:28231761G</w:t>
            </w:r>
          </w:p>
        </w:tc>
        <w:tc>
          <w:tcPr>
            <w:tcW w:w="970" w:type="dxa"/>
            <w:shd w:val="clear" w:color="auto" w:fill="auto"/>
            <w:vAlign w:val="bottom"/>
          </w:tcPr>
          <w:p w:rsidR="00012C5E" w:rsidRPr="00012C5E" w:rsidRDefault="00012C5E" w:rsidP="006903EE">
            <w:pPr>
              <w:rPr>
                <w:sz w:val="12"/>
                <w:lang w:bidi="en-US"/>
              </w:rPr>
            </w:pPr>
            <w:r w:rsidRPr="00012C5E">
              <w:rPr>
                <w:sz w:val="12"/>
                <w:lang w:bidi="en-US"/>
              </w:rPr>
              <w:t xml:space="preserve">c.1211C </w:t>
            </w:r>
            <w:r w:rsidRPr="00012C5E">
              <w:rPr>
                <w:i/>
                <w:iCs/>
                <w:sz w:val="12"/>
                <w:lang w:bidi="en-US"/>
              </w:rPr>
              <w:t>&gt;</w:t>
            </w:r>
            <w:r w:rsidRPr="00012C5E">
              <w:rPr>
                <w:sz w:val="12"/>
                <w:lang w:bidi="en-US"/>
              </w:rPr>
              <w:t xml:space="preserve"> T</w:t>
            </w:r>
          </w:p>
        </w:tc>
        <w:tc>
          <w:tcPr>
            <w:tcW w:w="1296" w:type="dxa"/>
            <w:shd w:val="clear" w:color="auto" w:fill="auto"/>
            <w:vAlign w:val="bottom"/>
          </w:tcPr>
          <w:p w:rsidR="00012C5E" w:rsidRPr="00012C5E" w:rsidRDefault="00012C5E" w:rsidP="006903EE">
            <w:pPr>
              <w:rPr>
                <w:sz w:val="12"/>
                <w:lang w:bidi="en-US"/>
              </w:rPr>
            </w:pPr>
            <w:r w:rsidRPr="00012C5E">
              <w:rPr>
                <w:sz w:val="12"/>
                <w:lang w:bidi="en-US"/>
              </w:rPr>
              <w:t>p.Thr404Met</w:t>
            </w:r>
          </w:p>
        </w:tc>
        <w:tc>
          <w:tcPr>
            <w:tcW w:w="1555" w:type="dxa"/>
            <w:shd w:val="clear" w:color="auto" w:fill="auto"/>
            <w:vAlign w:val="bottom"/>
          </w:tcPr>
          <w:p w:rsidR="00012C5E" w:rsidRPr="00012C5E" w:rsidRDefault="00012C5E" w:rsidP="006903EE">
            <w:pPr>
              <w:rPr>
                <w:sz w:val="12"/>
                <w:lang w:bidi="en-US"/>
              </w:rPr>
            </w:pPr>
            <w:r w:rsidRPr="00012C5E">
              <w:rPr>
                <w:sz w:val="12"/>
                <w:lang w:bidi="en-US"/>
              </w:rPr>
              <w:t>African 0/16,228 No homozygotes</w:t>
            </w:r>
          </w:p>
          <w:p w:rsidR="00012C5E" w:rsidRPr="00012C5E" w:rsidRDefault="00012C5E" w:rsidP="006903EE">
            <w:pPr>
              <w:rPr>
                <w:sz w:val="12"/>
                <w:lang w:bidi="en-US"/>
              </w:rPr>
            </w:pPr>
            <w:r w:rsidRPr="00012C5E">
              <w:rPr>
                <w:sz w:val="12"/>
                <w:lang w:bidi="en-US"/>
              </w:rPr>
              <w:t>Total 22/282,846</w:t>
            </w:r>
          </w:p>
        </w:tc>
        <w:tc>
          <w:tcPr>
            <w:tcW w:w="2146" w:type="dxa"/>
            <w:shd w:val="clear" w:color="auto" w:fill="auto"/>
            <w:vAlign w:val="bottom"/>
          </w:tcPr>
          <w:p w:rsidR="00012C5E" w:rsidRPr="00012C5E" w:rsidRDefault="00012C5E" w:rsidP="006903EE">
            <w:pPr>
              <w:rPr>
                <w:sz w:val="12"/>
                <w:lang w:bidi="en-US"/>
              </w:rPr>
            </w:pPr>
            <w:r w:rsidRPr="00012C5E">
              <w:rPr>
                <w:sz w:val="12"/>
                <w:lang w:bidi="en-US"/>
              </w:rPr>
              <w:t>VCV000211766.1</w:t>
            </w:r>
          </w:p>
        </w:tc>
        <w:tc>
          <w:tcPr>
            <w:tcW w:w="2371" w:type="dxa"/>
            <w:shd w:val="clear" w:color="auto" w:fill="auto"/>
            <w:vAlign w:val="bottom"/>
          </w:tcPr>
          <w:p w:rsidR="00012C5E" w:rsidRPr="00012C5E" w:rsidRDefault="00012C5E" w:rsidP="006903EE">
            <w:pPr>
              <w:rPr>
                <w:sz w:val="12"/>
                <w:lang w:val="fr-BE" w:bidi="en-US"/>
              </w:rPr>
            </w:pPr>
            <w:r w:rsidRPr="00012C5E">
              <w:rPr>
                <w:sz w:val="12"/>
                <w:lang w:val="fr-BE" w:bidi="en-US"/>
              </w:rPr>
              <w:t>PM3, PP2, PP3</w:t>
            </w:r>
          </w:p>
          <w:p w:rsidR="00012C5E" w:rsidRPr="00012C5E" w:rsidRDefault="00012C5E" w:rsidP="006903EE">
            <w:pPr>
              <w:rPr>
                <w:sz w:val="12"/>
                <w:lang w:bidi="en-US"/>
              </w:rPr>
            </w:pPr>
            <w:r w:rsidRPr="00012C5E">
              <w:rPr>
                <w:sz w:val="12"/>
                <w:lang w:val="fr-BE" w:bidi="en-US"/>
              </w:rPr>
              <w:t xml:space="preserve">Kerr R et al. </w:t>
            </w:r>
            <w:r w:rsidRPr="00012C5E">
              <w:rPr>
                <w:sz w:val="12"/>
                <w:lang w:bidi="en-US"/>
              </w:rPr>
              <w:t>(2000) (Kerr et al., 2000) PMID: 10649493</w:t>
            </w:r>
          </w:p>
          <w:p w:rsidR="00012C5E" w:rsidRPr="00012C5E" w:rsidRDefault="00012C5E" w:rsidP="006903EE">
            <w:pPr>
              <w:rPr>
                <w:sz w:val="12"/>
                <w:lang w:bidi="en-US"/>
              </w:rPr>
            </w:pPr>
            <w:r w:rsidRPr="00012C5E">
              <w:rPr>
                <w:sz w:val="12"/>
                <w:lang w:bidi="en-US"/>
              </w:rPr>
              <w:t>Pathogenic based on PS1, PM3, PP2,</w:t>
            </w:r>
          </w:p>
        </w:tc>
      </w:tr>
      <w:tr w:rsidR="00012C5E" w:rsidRPr="00012C5E" w:rsidTr="006903EE">
        <w:tblPrEx>
          <w:tblCellMar>
            <w:top w:w="0" w:type="dxa"/>
            <w:bottom w:w="0" w:type="dxa"/>
          </w:tblCellMar>
        </w:tblPrEx>
        <w:trPr>
          <w:trHeight w:hRule="exact" w:val="1027"/>
          <w:jc w:val="center"/>
        </w:trPr>
        <w:tc>
          <w:tcPr>
            <w:tcW w:w="2126" w:type="dxa"/>
            <w:shd w:val="clear" w:color="auto" w:fill="auto"/>
            <w:vAlign w:val="bottom"/>
          </w:tcPr>
          <w:p w:rsidR="00012C5E" w:rsidRPr="00012C5E" w:rsidRDefault="00012C5E" w:rsidP="006903EE">
            <w:pPr>
              <w:rPr>
                <w:sz w:val="12"/>
                <w:lang w:bidi="en-US"/>
              </w:rPr>
            </w:pPr>
            <w:r w:rsidRPr="00012C5E">
              <w:rPr>
                <w:i/>
                <w:iCs/>
                <w:sz w:val="12"/>
                <w:lang w:bidi="en-US"/>
              </w:rPr>
              <w:t>&gt;</w:t>
            </w:r>
            <w:r w:rsidRPr="00012C5E">
              <w:rPr>
                <w:sz w:val="12"/>
                <w:lang w:bidi="en-US"/>
              </w:rPr>
              <w:t>A</w:t>
            </w:r>
          </w:p>
          <w:p w:rsidR="00012C5E" w:rsidRPr="00012C5E" w:rsidRDefault="00012C5E" w:rsidP="006903EE">
            <w:pPr>
              <w:rPr>
                <w:sz w:val="12"/>
                <w:lang w:bidi="en-US"/>
              </w:rPr>
            </w:pPr>
            <w:r w:rsidRPr="00012C5E">
              <w:rPr>
                <w:sz w:val="12"/>
                <w:lang w:bidi="en-US"/>
              </w:rPr>
              <w:t>131</w:t>
            </w:r>
            <w:r w:rsidRPr="00012C5E">
              <w:rPr>
                <w:sz w:val="12"/>
                <w:lang w:bidi="en-US"/>
              </w:rPr>
              <w:tab/>
              <w:t>chr15:28090177G</w:t>
            </w:r>
          </w:p>
        </w:tc>
        <w:tc>
          <w:tcPr>
            <w:tcW w:w="970" w:type="dxa"/>
            <w:shd w:val="clear" w:color="auto" w:fill="auto"/>
            <w:vAlign w:val="bottom"/>
          </w:tcPr>
          <w:p w:rsidR="00012C5E" w:rsidRPr="00012C5E" w:rsidRDefault="00012C5E" w:rsidP="006903EE">
            <w:pPr>
              <w:rPr>
                <w:sz w:val="12"/>
                <w:lang w:bidi="en-US"/>
              </w:rPr>
            </w:pPr>
            <w:r w:rsidRPr="00012C5E">
              <w:rPr>
                <w:sz w:val="12"/>
                <w:lang w:bidi="en-US"/>
              </w:rPr>
              <w:t xml:space="preserve">c.2360C </w:t>
            </w:r>
            <w:r w:rsidRPr="00012C5E">
              <w:rPr>
                <w:i/>
                <w:iCs/>
                <w:sz w:val="12"/>
                <w:lang w:bidi="en-US"/>
              </w:rPr>
              <w:t>&gt;</w:t>
            </w:r>
            <w:r w:rsidRPr="00012C5E">
              <w:rPr>
                <w:sz w:val="12"/>
                <w:lang w:bidi="en-US"/>
              </w:rPr>
              <w:t xml:space="preserve"> T</w:t>
            </w:r>
          </w:p>
        </w:tc>
        <w:tc>
          <w:tcPr>
            <w:tcW w:w="1296" w:type="dxa"/>
            <w:shd w:val="clear" w:color="auto" w:fill="auto"/>
            <w:vAlign w:val="bottom"/>
          </w:tcPr>
          <w:p w:rsidR="00012C5E" w:rsidRPr="00012C5E" w:rsidRDefault="00012C5E" w:rsidP="006903EE">
            <w:pPr>
              <w:rPr>
                <w:sz w:val="12"/>
                <w:lang w:bidi="en-US"/>
              </w:rPr>
            </w:pPr>
            <w:r w:rsidRPr="00012C5E">
              <w:rPr>
                <w:sz w:val="12"/>
                <w:lang w:bidi="en-US"/>
              </w:rPr>
              <w:t>p.Ala787Val</w:t>
            </w:r>
          </w:p>
        </w:tc>
        <w:tc>
          <w:tcPr>
            <w:tcW w:w="1555" w:type="dxa"/>
            <w:shd w:val="clear" w:color="auto" w:fill="auto"/>
            <w:vAlign w:val="bottom"/>
          </w:tcPr>
          <w:p w:rsidR="00012C5E" w:rsidRPr="00012C5E" w:rsidRDefault="00012C5E" w:rsidP="006903EE">
            <w:pPr>
              <w:rPr>
                <w:sz w:val="12"/>
                <w:lang w:bidi="en-US"/>
              </w:rPr>
            </w:pPr>
            <w:r w:rsidRPr="00012C5E">
              <w:rPr>
                <w:sz w:val="12"/>
                <w:lang w:bidi="en-US"/>
              </w:rPr>
              <w:t>African 17/24,962 No homozygotes</w:t>
            </w:r>
          </w:p>
          <w:p w:rsidR="00012C5E" w:rsidRPr="00012C5E" w:rsidRDefault="00012C5E" w:rsidP="006903EE">
            <w:pPr>
              <w:rPr>
                <w:sz w:val="12"/>
                <w:lang w:bidi="en-US"/>
              </w:rPr>
            </w:pPr>
            <w:r w:rsidRPr="00012C5E">
              <w:rPr>
                <w:sz w:val="12"/>
                <w:lang w:bidi="en-US"/>
              </w:rPr>
              <w:t>Total 7/282,850</w:t>
            </w:r>
          </w:p>
        </w:tc>
        <w:tc>
          <w:tcPr>
            <w:tcW w:w="2146" w:type="dxa"/>
            <w:shd w:val="clear" w:color="auto" w:fill="auto"/>
            <w:vAlign w:val="bottom"/>
          </w:tcPr>
          <w:p w:rsidR="00012C5E" w:rsidRPr="00012C5E" w:rsidRDefault="00012C5E" w:rsidP="006903EE">
            <w:pPr>
              <w:rPr>
                <w:sz w:val="12"/>
                <w:lang w:bidi="en-US"/>
              </w:rPr>
            </w:pPr>
            <w:r w:rsidRPr="00012C5E">
              <w:rPr>
                <w:sz w:val="12"/>
                <w:lang w:bidi="en-US"/>
              </w:rPr>
              <w:t>VCV000617810.5</w:t>
            </w:r>
          </w:p>
        </w:tc>
        <w:tc>
          <w:tcPr>
            <w:tcW w:w="2371" w:type="dxa"/>
            <w:shd w:val="clear" w:color="auto" w:fill="auto"/>
            <w:vAlign w:val="bottom"/>
          </w:tcPr>
          <w:p w:rsidR="00012C5E" w:rsidRPr="00012C5E" w:rsidRDefault="00012C5E" w:rsidP="006903EE">
            <w:pPr>
              <w:rPr>
                <w:sz w:val="12"/>
                <w:lang w:val="fr-BE" w:bidi="en-US"/>
              </w:rPr>
            </w:pPr>
            <w:r w:rsidRPr="00012C5E">
              <w:rPr>
                <w:sz w:val="12"/>
                <w:lang w:val="fr-BE" w:bidi="en-US"/>
              </w:rPr>
              <w:t>PP3</w:t>
            </w:r>
          </w:p>
          <w:p w:rsidR="00012C5E" w:rsidRPr="00012C5E" w:rsidRDefault="00012C5E" w:rsidP="006903EE">
            <w:pPr>
              <w:rPr>
                <w:sz w:val="12"/>
                <w:lang w:val="fr-BE" w:bidi="en-US"/>
              </w:rPr>
            </w:pPr>
            <w:proofErr w:type="spellStart"/>
            <w:r w:rsidRPr="00012C5E">
              <w:rPr>
                <w:sz w:val="12"/>
                <w:lang w:val="fr-BE" w:bidi="en-US"/>
              </w:rPr>
              <w:t>Shahzad</w:t>
            </w:r>
            <w:proofErr w:type="spellEnd"/>
            <w:r w:rsidRPr="00012C5E">
              <w:rPr>
                <w:sz w:val="12"/>
                <w:lang w:val="fr-BE" w:bidi="en-US"/>
              </w:rPr>
              <w:t xml:space="preserve"> M et al. (2017) (</w:t>
            </w:r>
            <w:proofErr w:type="spellStart"/>
            <w:r w:rsidRPr="00012C5E">
              <w:rPr>
                <w:sz w:val="12"/>
                <w:lang w:val="fr-BE" w:bidi="en-US"/>
              </w:rPr>
              <w:t>Shahzad</w:t>
            </w:r>
            <w:proofErr w:type="spellEnd"/>
            <w:r w:rsidRPr="00012C5E">
              <w:rPr>
                <w:sz w:val="12"/>
                <w:lang w:val="fr-BE" w:bidi="en-US"/>
              </w:rPr>
              <w:t xml:space="preserve"> et al., 2017),</w:t>
            </w:r>
          </w:p>
          <w:p w:rsidR="00012C5E" w:rsidRPr="00012C5E" w:rsidRDefault="00012C5E" w:rsidP="006903EE">
            <w:pPr>
              <w:rPr>
                <w:sz w:val="12"/>
                <w:lang w:bidi="en-US"/>
              </w:rPr>
            </w:pPr>
            <w:proofErr w:type="spellStart"/>
            <w:r w:rsidRPr="00012C5E">
              <w:rPr>
                <w:sz w:val="12"/>
                <w:lang w:val="fr-BE" w:bidi="en-US"/>
              </w:rPr>
              <w:t>Simeonov</w:t>
            </w:r>
            <w:proofErr w:type="spellEnd"/>
            <w:r w:rsidRPr="00012C5E">
              <w:rPr>
                <w:sz w:val="12"/>
                <w:lang w:val="fr-BE" w:bidi="en-US"/>
              </w:rPr>
              <w:t xml:space="preserve"> D.R et al. </w:t>
            </w:r>
            <w:r w:rsidRPr="00012C5E">
              <w:rPr>
                <w:sz w:val="12"/>
                <w:lang w:bidi="en-US"/>
              </w:rPr>
              <w:t>(2013) (</w:t>
            </w:r>
            <w:proofErr w:type="spellStart"/>
            <w:r w:rsidRPr="00012C5E">
              <w:rPr>
                <w:sz w:val="12"/>
                <w:lang w:bidi="en-US"/>
              </w:rPr>
              <w:t>Simeonov</w:t>
            </w:r>
            <w:proofErr w:type="spellEnd"/>
            <w:r w:rsidRPr="00012C5E">
              <w:rPr>
                <w:sz w:val="12"/>
                <w:lang w:bidi="en-US"/>
              </w:rPr>
              <w:t xml:space="preserve"> et al., 2013b)</w:t>
            </w:r>
          </w:p>
          <w:p w:rsidR="00012C5E" w:rsidRPr="00012C5E" w:rsidRDefault="00012C5E" w:rsidP="006903EE">
            <w:pPr>
              <w:rPr>
                <w:sz w:val="12"/>
                <w:lang w:bidi="en-US"/>
              </w:rPr>
            </w:pPr>
            <w:r w:rsidRPr="00012C5E">
              <w:rPr>
                <w:sz w:val="12"/>
                <w:lang w:bidi="en-US"/>
              </w:rPr>
              <w:t>Pathogenic based on PM1, PM3,</w:t>
            </w:r>
          </w:p>
        </w:tc>
      </w:tr>
      <w:tr w:rsidR="00012C5E" w:rsidRPr="00012C5E" w:rsidTr="006903EE">
        <w:tblPrEx>
          <w:tblCellMar>
            <w:top w:w="0" w:type="dxa"/>
            <w:bottom w:w="0" w:type="dxa"/>
          </w:tblCellMar>
        </w:tblPrEx>
        <w:trPr>
          <w:trHeight w:hRule="exact" w:val="734"/>
          <w:jc w:val="center"/>
        </w:trPr>
        <w:tc>
          <w:tcPr>
            <w:tcW w:w="2126" w:type="dxa"/>
            <w:tcBorders>
              <w:bottom w:val="single" w:sz="4" w:space="0" w:color="auto"/>
            </w:tcBorders>
            <w:shd w:val="clear" w:color="auto" w:fill="auto"/>
          </w:tcPr>
          <w:p w:rsidR="00012C5E" w:rsidRPr="00012C5E" w:rsidRDefault="00012C5E" w:rsidP="006903EE">
            <w:pPr>
              <w:rPr>
                <w:sz w:val="12"/>
                <w:lang w:bidi="en-US"/>
              </w:rPr>
            </w:pPr>
            <w:r w:rsidRPr="00012C5E">
              <w:rPr>
                <w:i/>
                <w:iCs/>
                <w:sz w:val="12"/>
                <w:lang w:bidi="en-US"/>
              </w:rPr>
              <w:t>&gt;</w:t>
            </w:r>
            <w:r w:rsidRPr="00012C5E">
              <w:rPr>
                <w:sz w:val="12"/>
                <w:lang w:bidi="en-US"/>
              </w:rPr>
              <w:t>A</w:t>
            </w:r>
          </w:p>
        </w:tc>
        <w:tc>
          <w:tcPr>
            <w:tcW w:w="970" w:type="dxa"/>
            <w:tcBorders>
              <w:bottom w:val="single" w:sz="4" w:space="0" w:color="auto"/>
            </w:tcBorders>
            <w:shd w:val="clear" w:color="auto" w:fill="auto"/>
          </w:tcPr>
          <w:p w:rsidR="00012C5E" w:rsidRPr="00012C5E" w:rsidRDefault="00012C5E" w:rsidP="006903EE">
            <w:pPr>
              <w:rPr>
                <w:sz w:val="12"/>
                <w:lang w:bidi="en-US"/>
              </w:rPr>
            </w:pPr>
          </w:p>
        </w:tc>
        <w:tc>
          <w:tcPr>
            <w:tcW w:w="1296" w:type="dxa"/>
            <w:tcBorders>
              <w:bottom w:val="single" w:sz="4" w:space="0" w:color="auto"/>
            </w:tcBorders>
            <w:shd w:val="clear" w:color="auto" w:fill="auto"/>
          </w:tcPr>
          <w:p w:rsidR="00012C5E" w:rsidRPr="00012C5E" w:rsidRDefault="00012C5E" w:rsidP="006903EE">
            <w:pPr>
              <w:rPr>
                <w:sz w:val="12"/>
                <w:lang w:bidi="en-US"/>
              </w:rPr>
            </w:pPr>
          </w:p>
        </w:tc>
        <w:tc>
          <w:tcPr>
            <w:tcW w:w="1555" w:type="dxa"/>
            <w:tcBorders>
              <w:bottom w:val="single" w:sz="4" w:space="0" w:color="auto"/>
            </w:tcBorders>
            <w:shd w:val="clear" w:color="auto" w:fill="auto"/>
          </w:tcPr>
          <w:p w:rsidR="00012C5E" w:rsidRPr="00012C5E" w:rsidRDefault="00012C5E" w:rsidP="006903EE">
            <w:pPr>
              <w:rPr>
                <w:sz w:val="12"/>
                <w:lang w:bidi="en-US"/>
              </w:rPr>
            </w:pPr>
            <w:r w:rsidRPr="00012C5E">
              <w:rPr>
                <w:sz w:val="12"/>
                <w:lang w:bidi="en-US"/>
              </w:rPr>
              <w:t>African 3/24,956 No homozygotes</w:t>
            </w:r>
          </w:p>
        </w:tc>
        <w:tc>
          <w:tcPr>
            <w:tcW w:w="2146" w:type="dxa"/>
            <w:tcBorders>
              <w:bottom w:val="single" w:sz="4" w:space="0" w:color="auto"/>
            </w:tcBorders>
            <w:shd w:val="clear" w:color="auto" w:fill="auto"/>
          </w:tcPr>
          <w:p w:rsidR="00012C5E" w:rsidRPr="00012C5E" w:rsidRDefault="00012C5E" w:rsidP="006903EE">
            <w:pPr>
              <w:rPr>
                <w:sz w:val="12"/>
                <w:lang w:bidi="en-US"/>
              </w:rPr>
            </w:pPr>
          </w:p>
        </w:tc>
        <w:tc>
          <w:tcPr>
            <w:tcW w:w="2371" w:type="dxa"/>
            <w:tcBorders>
              <w:bottom w:val="single" w:sz="4" w:space="0" w:color="auto"/>
            </w:tcBorders>
            <w:shd w:val="clear" w:color="auto" w:fill="auto"/>
          </w:tcPr>
          <w:p w:rsidR="00012C5E" w:rsidRPr="00012C5E" w:rsidRDefault="00012C5E" w:rsidP="006903EE">
            <w:pPr>
              <w:rPr>
                <w:sz w:val="12"/>
                <w:lang w:bidi="en-US"/>
              </w:rPr>
            </w:pPr>
            <w:r w:rsidRPr="00012C5E">
              <w:rPr>
                <w:sz w:val="12"/>
                <w:lang w:val="fr-BE" w:bidi="en-US"/>
              </w:rPr>
              <w:t xml:space="preserve">PM5, PP2, PP3, PP5 </w:t>
            </w:r>
            <w:proofErr w:type="spellStart"/>
            <w:r w:rsidRPr="00012C5E">
              <w:rPr>
                <w:sz w:val="12"/>
                <w:lang w:val="fr-BE" w:bidi="en-US"/>
              </w:rPr>
              <w:t>Shahzad</w:t>
            </w:r>
            <w:proofErr w:type="spellEnd"/>
            <w:r w:rsidRPr="00012C5E">
              <w:rPr>
                <w:sz w:val="12"/>
                <w:lang w:val="fr-BE" w:bidi="en-US"/>
              </w:rPr>
              <w:t xml:space="preserve"> M et al. (2017) (</w:t>
            </w:r>
            <w:proofErr w:type="spellStart"/>
            <w:r w:rsidRPr="00012C5E">
              <w:rPr>
                <w:sz w:val="12"/>
                <w:lang w:val="fr-BE" w:bidi="en-US"/>
              </w:rPr>
              <w:t>Shahzad</w:t>
            </w:r>
            <w:proofErr w:type="spellEnd"/>
            <w:r w:rsidRPr="00012C5E">
              <w:rPr>
                <w:sz w:val="12"/>
                <w:lang w:val="fr-BE" w:bidi="en-US"/>
              </w:rPr>
              <w:t xml:space="preserve"> et al., 2017), </w:t>
            </w:r>
            <w:proofErr w:type="spellStart"/>
            <w:r w:rsidRPr="00012C5E">
              <w:rPr>
                <w:sz w:val="12"/>
                <w:lang w:val="fr-BE" w:bidi="en-US"/>
              </w:rPr>
              <w:t>Oetting</w:t>
            </w:r>
            <w:proofErr w:type="spellEnd"/>
            <w:r w:rsidRPr="00012C5E">
              <w:rPr>
                <w:sz w:val="12"/>
                <w:lang w:val="fr-BE" w:bidi="en-US"/>
              </w:rPr>
              <w:t xml:space="preserve"> W.S et al. </w:t>
            </w:r>
            <w:r w:rsidRPr="00012C5E">
              <w:rPr>
                <w:sz w:val="12"/>
                <w:lang w:bidi="en-US"/>
              </w:rPr>
              <w:t>(1998) (</w:t>
            </w:r>
            <w:proofErr w:type="spellStart"/>
            <w:r w:rsidRPr="00012C5E">
              <w:rPr>
                <w:sz w:val="12"/>
                <w:lang w:bidi="en-US"/>
              </w:rPr>
              <w:t>Oetting</w:t>
            </w:r>
            <w:proofErr w:type="spellEnd"/>
            <w:r w:rsidRPr="00012C5E">
              <w:rPr>
                <w:sz w:val="12"/>
                <w:lang w:bidi="en-US"/>
              </w:rPr>
              <w:t xml:space="preserve"> et al., 1998)</w:t>
            </w:r>
          </w:p>
        </w:tc>
      </w:tr>
    </w:tbl>
    <w:p w:rsidR="007A0DD6" w:rsidRPr="007A0DD6" w:rsidRDefault="007A692D" w:rsidP="007A692D">
      <w:pPr>
        <w:pStyle w:val="Titre1"/>
        <w:rPr>
          <w:lang w:bidi="en-US"/>
        </w:rPr>
      </w:pPr>
      <w:r>
        <w:rPr>
          <w:lang w:bidi="en-US"/>
        </w:rPr>
        <w:t xml:space="preserve">4. </w:t>
      </w:r>
      <w:r w:rsidR="007A0DD6" w:rsidRPr="007A0DD6">
        <w:rPr>
          <w:lang w:bidi="en-US"/>
        </w:rPr>
        <w:t>Discussion</w:t>
      </w:r>
    </w:p>
    <w:p w:rsidR="007A0DD6" w:rsidRPr="007A0DD6" w:rsidRDefault="007A0DD6" w:rsidP="007A0DD6">
      <w:pPr>
        <w:rPr>
          <w:lang w:bidi="en-US"/>
        </w:rPr>
      </w:pPr>
      <w:r w:rsidRPr="007A0DD6">
        <w:rPr>
          <w:lang w:bidi="en-US"/>
        </w:rPr>
        <w:t xml:space="preserve">A founder mutation, the 2.7 kb deletion in the </w:t>
      </w:r>
      <w:r w:rsidRPr="007A0DD6">
        <w:rPr>
          <w:i/>
          <w:iCs/>
          <w:lang w:bidi="en-US"/>
        </w:rPr>
        <w:t>OCA2</w:t>
      </w:r>
      <w:r w:rsidRPr="007A0DD6">
        <w:rPr>
          <w:lang w:bidi="en-US"/>
        </w:rPr>
        <w:t xml:space="preserve"> gene is the leading cause of OCA2 in African and African-American Blacks (Stevens et al., 1995; </w:t>
      </w:r>
      <w:proofErr w:type="spellStart"/>
      <w:r w:rsidRPr="007A0DD6">
        <w:rPr>
          <w:lang w:bidi="en-US"/>
        </w:rPr>
        <w:t>Aquaron</w:t>
      </w:r>
      <w:proofErr w:type="spellEnd"/>
      <w:r w:rsidRPr="007A0DD6">
        <w:rPr>
          <w:lang w:bidi="en-US"/>
        </w:rPr>
        <w:t xml:space="preserve"> et al., 2007). In line with this, we show that also in the DRC, the majority of OCA patients living in Kinshasa (82.4%) are</w:t>
      </w:r>
      <w:r>
        <w:rPr>
          <w:lang w:bidi="en-US"/>
        </w:rPr>
        <w:t xml:space="preserve"> </w:t>
      </w:r>
      <w:r w:rsidRPr="007A0DD6">
        <w:rPr>
          <w:lang w:bidi="en-US"/>
        </w:rPr>
        <w:t xml:space="preserve">homozygous or heterozygous for this deletion. In various studies in SSA, the proportion of OCA patients related to OCA2 ranged from 66% to 99%. In a study of Cameroonian albinos, </w:t>
      </w:r>
      <w:proofErr w:type="spellStart"/>
      <w:r w:rsidRPr="007A0DD6">
        <w:rPr>
          <w:lang w:bidi="en-US"/>
        </w:rPr>
        <w:t>Aquaron</w:t>
      </w:r>
      <w:proofErr w:type="spellEnd"/>
      <w:r w:rsidRPr="007A0DD6">
        <w:rPr>
          <w:lang w:bidi="en-US"/>
        </w:rPr>
        <w:t xml:space="preserve"> et al. showed that 66% of Cameroonians with albinism belonged to the OCA2 group (Sone et al., 2016). In Johannesburg, South Africa, molecular studies found a frequency of 78% of OCA2 (</w:t>
      </w:r>
      <w:proofErr w:type="spellStart"/>
      <w:r w:rsidRPr="007A0DD6">
        <w:rPr>
          <w:lang w:bidi="en-US"/>
        </w:rPr>
        <w:t>Aquaron</w:t>
      </w:r>
      <w:proofErr w:type="spellEnd"/>
      <w:r w:rsidRPr="007A0DD6">
        <w:rPr>
          <w:lang w:bidi="en-US"/>
        </w:rPr>
        <w:t xml:space="preserve"> et al., 2007). Other similar frequencies were reported in Zimbabwe (99%), Tanzania (77%) and Zambia (79%). This mutation has never been found in West African albinism patients (Senegal, Togo, Niger and Burkina Faso) (Brilliant, 2015).</w:t>
      </w:r>
    </w:p>
    <w:p w:rsidR="007A0DD6" w:rsidRPr="007A0DD6" w:rsidRDefault="007A0DD6" w:rsidP="007A0DD6">
      <w:pPr>
        <w:rPr>
          <w:lang w:bidi="en-US"/>
        </w:rPr>
      </w:pPr>
      <w:r w:rsidRPr="007A0DD6">
        <w:rPr>
          <w:lang w:bidi="en-US"/>
        </w:rPr>
        <w:t xml:space="preserve">Genetic counselling for OCA in the DR Congo is currently limited. The finding of a high proportion of OCA patients carrying a recurrent </w:t>
      </w:r>
      <w:r w:rsidRPr="007A0DD6">
        <w:rPr>
          <w:i/>
          <w:iCs/>
          <w:lang w:bidi="en-US"/>
        </w:rPr>
        <w:t>OCA2</w:t>
      </w:r>
      <w:r w:rsidRPr="007A0DD6">
        <w:rPr>
          <w:lang w:bidi="en-US"/>
        </w:rPr>
        <w:t xml:space="preserve"> mutation which is easily detectable and financially affordable will open the way to improved counselling for this condition.</w:t>
      </w:r>
    </w:p>
    <w:p w:rsidR="007A0DD6" w:rsidRPr="007A0DD6" w:rsidRDefault="007A0DD6" w:rsidP="007A0DD6">
      <w:pPr>
        <w:rPr>
          <w:lang w:bidi="en-US"/>
        </w:rPr>
      </w:pPr>
      <w:r w:rsidRPr="007A0DD6">
        <w:rPr>
          <w:lang w:bidi="en-US"/>
        </w:rPr>
        <w:t>The analysis of the haplotypes carried out previously suggested a unique origin for this mutation before the expansion of the Bantu 2000-3000 years ago (</w:t>
      </w:r>
      <w:proofErr w:type="spellStart"/>
      <w:r w:rsidRPr="007A0DD6">
        <w:rPr>
          <w:lang w:bidi="en-US"/>
        </w:rPr>
        <w:t>Aquaron</w:t>
      </w:r>
      <w:proofErr w:type="spellEnd"/>
      <w:r w:rsidRPr="007A0DD6">
        <w:rPr>
          <w:lang w:bidi="en-US"/>
        </w:rPr>
        <w:t xml:space="preserve"> et al., 2007).</w:t>
      </w:r>
    </w:p>
    <w:p w:rsidR="007A0DD6" w:rsidRPr="007A0DD6" w:rsidRDefault="007A0DD6" w:rsidP="007A0DD6">
      <w:pPr>
        <w:rPr>
          <w:lang w:bidi="en-US"/>
        </w:rPr>
      </w:pPr>
      <w:proofErr w:type="gramStart"/>
      <w:r w:rsidRPr="007A0DD6">
        <w:rPr>
          <w:lang w:bidi="en-US"/>
        </w:rPr>
        <w:t>Twenty three</w:t>
      </w:r>
      <w:proofErr w:type="gramEnd"/>
      <w:r w:rsidRPr="007A0DD6">
        <w:rPr>
          <w:lang w:bidi="en-US"/>
        </w:rPr>
        <w:t xml:space="preserve"> patients were heterozygous for this recurrent deletion, and in about half of them, a second </w:t>
      </w:r>
      <w:r w:rsidRPr="007A0DD6">
        <w:rPr>
          <w:i/>
          <w:iCs/>
          <w:lang w:bidi="en-US"/>
        </w:rPr>
        <w:t>OCA2</w:t>
      </w:r>
      <w:r w:rsidRPr="007A0DD6">
        <w:rPr>
          <w:lang w:bidi="en-US"/>
        </w:rPr>
        <w:t xml:space="preserve"> mutation was found by sequencing the exons and flanking </w:t>
      </w:r>
      <w:proofErr w:type="spellStart"/>
      <w:r w:rsidRPr="007A0DD6">
        <w:rPr>
          <w:lang w:bidi="en-US"/>
        </w:rPr>
        <w:t>intronic</w:t>
      </w:r>
      <w:proofErr w:type="spellEnd"/>
      <w:r w:rsidRPr="007A0DD6">
        <w:rPr>
          <w:lang w:bidi="en-US"/>
        </w:rPr>
        <w:t xml:space="preserve"> regions. This </w:t>
      </w:r>
      <w:r w:rsidRPr="007A0DD6">
        <w:rPr>
          <w:lang w:bidi="en-US"/>
        </w:rPr>
        <w:lastRenderedPageBreak/>
        <w:t xml:space="preserve">finding is consistent with the existence of other variants in Africans on the </w:t>
      </w:r>
      <w:r w:rsidRPr="007A0DD6">
        <w:rPr>
          <w:i/>
          <w:iCs/>
          <w:lang w:bidi="en-US"/>
        </w:rPr>
        <w:t xml:space="preserve">OCA2 </w:t>
      </w:r>
      <w:r w:rsidRPr="007A0DD6">
        <w:rPr>
          <w:lang w:bidi="en-US"/>
        </w:rPr>
        <w:t xml:space="preserve">gene alongside the predominant deletion frequently found in SSA as reported by Krause et al. (Krause and Seymour, 2018). Of interest, of the 7 pathogenic variants identified, 3 were detected in more than one family, and had not been reported in the literature before and were absent from </w:t>
      </w:r>
      <w:proofErr w:type="spellStart"/>
      <w:r w:rsidRPr="007A0DD6">
        <w:rPr>
          <w:lang w:bidi="en-US"/>
        </w:rPr>
        <w:t>Clinvar</w:t>
      </w:r>
      <w:proofErr w:type="spellEnd"/>
      <w:r w:rsidRPr="007A0DD6">
        <w:rPr>
          <w:lang w:bidi="en-US"/>
        </w:rPr>
        <w:t xml:space="preserve">. This may indicate the presence of other founder mutations in this population. It is remarkable that in about 50% of heterozygotes, no variant of interest could be identified at the Sanger sequencing. Likewise, </w:t>
      </w:r>
      <w:proofErr w:type="spellStart"/>
      <w:r w:rsidRPr="007A0DD6">
        <w:rPr>
          <w:lang w:bidi="en-US"/>
        </w:rPr>
        <w:t>Simeonov</w:t>
      </w:r>
      <w:proofErr w:type="spellEnd"/>
      <w:r w:rsidRPr="007A0DD6">
        <w:rPr>
          <w:lang w:bidi="en-US"/>
        </w:rPr>
        <w:t xml:space="preserve"> et al. also failed to detect a second </w:t>
      </w:r>
      <w:r w:rsidRPr="007A0DD6">
        <w:rPr>
          <w:i/>
          <w:iCs/>
          <w:lang w:bidi="en-US"/>
        </w:rPr>
        <w:t>OCA2</w:t>
      </w:r>
      <w:r w:rsidRPr="007A0DD6">
        <w:rPr>
          <w:lang w:bidi="en-US"/>
        </w:rPr>
        <w:t xml:space="preserve"> mutation in 25% of families from their cohort (</w:t>
      </w:r>
      <w:proofErr w:type="spellStart"/>
      <w:r w:rsidRPr="007A0DD6">
        <w:rPr>
          <w:lang w:bidi="en-US"/>
        </w:rPr>
        <w:t>Simeonov</w:t>
      </w:r>
      <w:proofErr w:type="spellEnd"/>
      <w:r w:rsidRPr="007A0DD6">
        <w:rPr>
          <w:lang w:bidi="en-US"/>
        </w:rPr>
        <w:t xml:space="preserve"> et al., 2013a). This may suggest that there are mutations escaping detection by Sanger sequencing (e.g. </w:t>
      </w:r>
      <w:proofErr w:type="spellStart"/>
      <w:r w:rsidRPr="007A0DD6">
        <w:rPr>
          <w:lang w:bidi="en-US"/>
        </w:rPr>
        <w:t>intronic</w:t>
      </w:r>
      <w:proofErr w:type="spellEnd"/>
      <w:r w:rsidRPr="007A0DD6">
        <w:rPr>
          <w:lang w:bidi="en-US"/>
        </w:rPr>
        <w:t xml:space="preserve">, regulatory or structural variants). A small proportion of heterozygotes may have another type of OCA, and be carrier of the </w:t>
      </w:r>
      <w:r w:rsidRPr="007A0DD6">
        <w:rPr>
          <w:i/>
          <w:iCs/>
          <w:lang w:bidi="en-US"/>
        </w:rPr>
        <w:t>OCA2</w:t>
      </w:r>
      <w:r w:rsidRPr="007A0DD6">
        <w:rPr>
          <w:lang w:bidi="en-US"/>
        </w:rPr>
        <w:t xml:space="preserve"> deletion by chance. Further studies are required to resolve this.</w:t>
      </w:r>
    </w:p>
    <w:p w:rsidR="007A0DD6" w:rsidRDefault="007A0DD6" w:rsidP="007A0DD6">
      <w:pPr>
        <w:rPr>
          <w:lang w:bidi="en-US"/>
        </w:rPr>
      </w:pPr>
      <w:r w:rsidRPr="007A0DD6">
        <w:rPr>
          <w:lang w:bidi="en-US"/>
        </w:rPr>
        <w:t xml:space="preserve">There was no significant association between the different genotypes regarding the </w:t>
      </w:r>
      <w:r w:rsidRPr="007A0DD6">
        <w:rPr>
          <w:i/>
          <w:iCs/>
          <w:lang w:bidi="en-US"/>
        </w:rPr>
        <w:t>OCA2</w:t>
      </w:r>
      <w:r w:rsidRPr="007A0DD6">
        <w:rPr>
          <w:lang w:bidi="en-US"/>
        </w:rPr>
        <w:t xml:space="preserve"> 2.7 kb deletion and skin color or freckles. However, we found that homozygotes for the deletion had less frequently individual impairment compared to heterozygotes. We have no biological explanation for this, and certainly, this needs replication in a larger cohort.</w:t>
      </w:r>
    </w:p>
    <w:p w:rsidR="00012C5E" w:rsidRPr="00012C5E" w:rsidRDefault="00012C5E" w:rsidP="007A0DD6">
      <w:pPr>
        <w:rPr>
          <w:bCs/>
          <w:i/>
          <w:sz w:val="20"/>
        </w:rPr>
      </w:pPr>
      <w:r w:rsidRPr="00012C5E">
        <w:rPr>
          <w:b/>
          <w:bCs/>
          <w:i/>
          <w:sz w:val="20"/>
        </w:rPr>
        <w:t xml:space="preserve">Figure 2. </w:t>
      </w:r>
      <w:r w:rsidRPr="00012C5E">
        <w:rPr>
          <w:bCs/>
          <w:i/>
          <w:sz w:val="20"/>
        </w:rPr>
        <w:t xml:space="preserve">Different </w:t>
      </w:r>
      <w:proofErr w:type="spellStart"/>
      <w:r w:rsidRPr="00012C5E">
        <w:rPr>
          <w:bCs/>
          <w:i/>
          <w:sz w:val="20"/>
        </w:rPr>
        <w:t>phototypes</w:t>
      </w:r>
      <w:proofErr w:type="spellEnd"/>
      <w:r w:rsidRPr="00012C5E">
        <w:rPr>
          <w:bCs/>
          <w:i/>
          <w:sz w:val="20"/>
        </w:rPr>
        <w:t xml:space="preserve"> of skin color</w:t>
      </w:r>
    </w:p>
    <w:p w:rsidR="00012C5E" w:rsidRDefault="00012C5E" w:rsidP="007A0DD6">
      <w:pPr>
        <w:rPr>
          <w:lang w:bidi="en-US"/>
        </w:rPr>
      </w:pPr>
      <w:r>
        <w:rPr>
          <w:noProof/>
          <w:lang w:val="fr-BE" w:eastAsia="fr-BE"/>
        </w:rPr>
        <w:drawing>
          <wp:inline distT="0" distB="0" distL="0" distR="0" wp14:anchorId="365961CB">
            <wp:extent cx="5596890" cy="2018030"/>
            <wp:effectExtent l="0" t="0" r="381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6890" cy="2018030"/>
                    </a:xfrm>
                    <a:prstGeom prst="rect">
                      <a:avLst/>
                    </a:prstGeom>
                    <a:noFill/>
                  </pic:spPr>
                </pic:pic>
              </a:graphicData>
            </a:graphic>
          </wp:inline>
        </w:drawing>
      </w:r>
    </w:p>
    <w:p w:rsidR="00012C5E" w:rsidRDefault="00012C5E" w:rsidP="00012C5E">
      <w:pPr>
        <w:rPr>
          <w:lang w:bidi="en-US"/>
        </w:rPr>
      </w:pPr>
      <w:proofErr w:type="spellStart"/>
      <w:proofErr w:type="gramStart"/>
      <w:r w:rsidRPr="00012C5E">
        <w:t>Légende</w:t>
      </w:r>
      <w:proofErr w:type="spellEnd"/>
      <w:r w:rsidRPr="00012C5E">
        <w:t> :</w:t>
      </w:r>
      <w:proofErr w:type="gramEnd"/>
      <w:r w:rsidRPr="00012C5E">
        <w:t xml:space="preserve"> </w:t>
      </w:r>
      <w:r w:rsidRPr="00012C5E">
        <w:rPr>
          <w:lang w:bidi="en-US"/>
        </w:rPr>
        <w:t xml:space="preserve">The panel A shows the </w:t>
      </w:r>
      <w:proofErr w:type="spellStart"/>
      <w:r w:rsidRPr="00012C5E">
        <w:rPr>
          <w:lang w:bidi="en-US"/>
        </w:rPr>
        <w:t>Phototype</w:t>
      </w:r>
      <w:proofErr w:type="spellEnd"/>
      <w:r w:rsidRPr="00012C5E">
        <w:rPr>
          <w:lang w:bidi="en-US"/>
        </w:rPr>
        <w:t xml:space="preserve"> I, corresponding to patients with very light skin. The panel B displays the </w:t>
      </w:r>
      <w:proofErr w:type="spellStart"/>
      <w:r w:rsidRPr="00012C5E">
        <w:rPr>
          <w:lang w:bidi="en-US"/>
        </w:rPr>
        <w:t>Phototype</w:t>
      </w:r>
      <w:proofErr w:type="spellEnd"/>
      <w:r w:rsidRPr="00012C5E">
        <w:rPr>
          <w:lang w:bidi="en-US"/>
        </w:rPr>
        <w:t xml:space="preserve"> II, representing patients with light skin. The </w:t>
      </w:r>
      <w:proofErr w:type="spellStart"/>
      <w:r w:rsidRPr="00012C5E">
        <w:rPr>
          <w:lang w:bidi="en-US"/>
        </w:rPr>
        <w:t>Phototype</w:t>
      </w:r>
      <w:proofErr w:type="spellEnd"/>
      <w:r w:rsidRPr="00012C5E">
        <w:rPr>
          <w:lang w:bidi="en-US"/>
        </w:rPr>
        <w:t xml:space="preserve"> III for patients with intermediate skin, is shown in panel </w:t>
      </w:r>
      <w:proofErr w:type="gramStart"/>
      <w:r w:rsidRPr="00012C5E">
        <w:rPr>
          <w:lang w:bidi="en-US"/>
        </w:rPr>
        <w:t>C. .</w:t>
      </w:r>
      <w:proofErr w:type="gramEnd"/>
      <w:r w:rsidRPr="00012C5E">
        <w:rPr>
          <w:lang w:bidi="en-US"/>
        </w:rPr>
        <w:t xml:space="preserve"> (For interpretation of the references to color in this figure legend, the reader is referred to the Web version of this article.)</w:t>
      </w:r>
    </w:p>
    <w:p w:rsidR="007A692D" w:rsidRDefault="007A692D">
      <w:pPr>
        <w:spacing w:after="0" w:line="240" w:lineRule="auto"/>
        <w:jc w:val="left"/>
        <w:rPr>
          <w:lang w:bidi="en-US"/>
        </w:rPr>
      </w:pPr>
      <w:r>
        <w:rPr>
          <w:lang w:bidi="en-US"/>
        </w:rPr>
        <w:br w:type="page"/>
      </w:r>
    </w:p>
    <w:p w:rsidR="00012C5E" w:rsidRDefault="00012C5E" w:rsidP="00012C5E">
      <w:pPr>
        <w:rPr>
          <w:bCs/>
          <w:i/>
          <w:sz w:val="20"/>
          <w:lang w:bidi="en-US"/>
        </w:rPr>
      </w:pPr>
      <w:r>
        <w:rPr>
          <w:b/>
          <w:bCs/>
          <w:i/>
          <w:sz w:val="20"/>
        </w:rPr>
        <w:lastRenderedPageBreak/>
        <w:t>Table</w:t>
      </w:r>
      <w:r w:rsidRPr="00012C5E">
        <w:rPr>
          <w:b/>
          <w:bCs/>
          <w:i/>
          <w:sz w:val="20"/>
        </w:rPr>
        <w:t xml:space="preserve"> 2. </w:t>
      </w:r>
      <w:r w:rsidRPr="00012C5E">
        <w:rPr>
          <w:bCs/>
          <w:i/>
          <w:sz w:val="20"/>
          <w:lang w:bidi="en-US"/>
        </w:rPr>
        <w:t>Associations between some phenotypes and genotypes</w:t>
      </w:r>
    </w:p>
    <w:tbl>
      <w:tblPr>
        <w:tblOverlap w:val="never"/>
        <w:tblW w:w="0" w:type="auto"/>
        <w:tblLayout w:type="fixed"/>
        <w:tblCellMar>
          <w:left w:w="10" w:type="dxa"/>
          <w:right w:w="10" w:type="dxa"/>
        </w:tblCellMar>
        <w:tblLook w:val="0000" w:firstRow="0" w:lastRow="0" w:firstColumn="0" w:lastColumn="0" w:noHBand="0" w:noVBand="0"/>
      </w:tblPr>
      <w:tblGrid>
        <w:gridCol w:w="1701"/>
        <w:gridCol w:w="1379"/>
        <w:gridCol w:w="1315"/>
        <w:gridCol w:w="1417"/>
        <w:gridCol w:w="992"/>
      </w:tblGrid>
      <w:tr w:rsidR="00012C5E" w:rsidRPr="007A692D" w:rsidTr="007A692D">
        <w:tblPrEx>
          <w:tblCellMar>
            <w:top w:w="0" w:type="dxa"/>
            <w:bottom w:w="0" w:type="dxa"/>
          </w:tblCellMar>
        </w:tblPrEx>
        <w:trPr>
          <w:trHeight w:hRule="exact" w:val="567"/>
        </w:trPr>
        <w:tc>
          <w:tcPr>
            <w:tcW w:w="1701" w:type="dxa"/>
            <w:vMerge w:val="restart"/>
            <w:tcBorders>
              <w:top w:val="single" w:sz="4" w:space="0" w:color="auto"/>
            </w:tcBorders>
            <w:shd w:val="clear" w:color="auto" w:fill="auto"/>
          </w:tcPr>
          <w:p w:rsidR="00012C5E" w:rsidRPr="007A692D" w:rsidRDefault="00012C5E" w:rsidP="00012C5E">
            <w:pPr>
              <w:rPr>
                <w:sz w:val="20"/>
                <w:lang w:bidi="en-US"/>
              </w:rPr>
            </w:pPr>
            <w:r w:rsidRPr="007A692D">
              <w:rPr>
                <w:sz w:val="20"/>
                <w:lang w:bidi="en-US"/>
              </w:rPr>
              <w:t>Phenotype</w:t>
            </w:r>
          </w:p>
        </w:tc>
        <w:tc>
          <w:tcPr>
            <w:tcW w:w="4111" w:type="dxa"/>
            <w:gridSpan w:val="3"/>
            <w:tcBorders>
              <w:top w:val="single" w:sz="4" w:space="0" w:color="auto"/>
            </w:tcBorders>
            <w:shd w:val="clear" w:color="auto" w:fill="auto"/>
            <w:vAlign w:val="bottom"/>
          </w:tcPr>
          <w:p w:rsidR="00012C5E" w:rsidRPr="007A692D" w:rsidRDefault="00012C5E" w:rsidP="00012C5E">
            <w:pPr>
              <w:rPr>
                <w:sz w:val="20"/>
                <w:lang w:bidi="en-US"/>
              </w:rPr>
            </w:pPr>
            <w:r w:rsidRPr="007A692D">
              <w:rPr>
                <w:sz w:val="20"/>
                <w:lang w:bidi="en-US"/>
              </w:rPr>
              <w:t>Genotype with regard to OCA2 2.7 kb deletion</w:t>
            </w:r>
          </w:p>
        </w:tc>
        <w:tc>
          <w:tcPr>
            <w:tcW w:w="992" w:type="dxa"/>
            <w:vMerge w:val="restart"/>
            <w:tcBorders>
              <w:top w:val="single" w:sz="4" w:space="0" w:color="auto"/>
            </w:tcBorders>
            <w:shd w:val="clear" w:color="auto" w:fill="auto"/>
          </w:tcPr>
          <w:p w:rsidR="00012C5E" w:rsidRPr="007A692D" w:rsidRDefault="00012C5E" w:rsidP="00012C5E">
            <w:pPr>
              <w:rPr>
                <w:sz w:val="20"/>
                <w:lang w:bidi="en-US"/>
              </w:rPr>
            </w:pPr>
            <w:r w:rsidRPr="007A692D">
              <w:rPr>
                <w:sz w:val="20"/>
                <w:lang w:bidi="en-US"/>
              </w:rPr>
              <w:t>P</w:t>
            </w:r>
          </w:p>
        </w:tc>
      </w:tr>
      <w:tr w:rsidR="00012C5E" w:rsidRPr="007A692D" w:rsidTr="007A692D">
        <w:tblPrEx>
          <w:tblCellMar>
            <w:top w:w="0" w:type="dxa"/>
            <w:bottom w:w="0" w:type="dxa"/>
          </w:tblCellMar>
        </w:tblPrEx>
        <w:trPr>
          <w:trHeight w:hRule="exact" w:val="567"/>
        </w:trPr>
        <w:tc>
          <w:tcPr>
            <w:tcW w:w="1701" w:type="dxa"/>
            <w:vMerge/>
            <w:shd w:val="clear" w:color="auto" w:fill="auto"/>
          </w:tcPr>
          <w:p w:rsidR="00012C5E" w:rsidRPr="007A692D" w:rsidRDefault="00012C5E" w:rsidP="00012C5E">
            <w:pPr>
              <w:rPr>
                <w:sz w:val="20"/>
                <w:lang w:bidi="en-US"/>
              </w:rPr>
            </w:pPr>
          </w:p>
        </w:tc>
        <w:tc>
          <w:tcPr>
            <w:tcW w:w="1379" w:type="dxa"/>
            <w:tcBorders>
              <w:top w:val="single" w:sz="4" w:space="0" w:color="auto"/>
            </w:tcBorders>
            <w:shd w:val="clear" w:color="auto" w:fill="auto"/>
            <w:vAlign w:val="center"/>
          </w:tcPr>
          <w:p w:rsidR="00012C5E" w:rsidRPr="007A692D" w:rsidRDefault="00012C5E" w:rsidP="00012C5E">
            <w:pPr>
              <w:rPr>
                <w:sz w:val="20"/>
                <w:lang w:bidi="en-US"/>
              </w:rPr>
            </w:pPr>
            <w:r w:rsidRPr="007A692D">
              <w:rPr>
                <w:sz w:val="20"/>
                <w:lang w:bidi="en-US"/>
              </w:rPr>
              <w:t>WT/WT n (%)</w:t>
            </w:r>
          </w:p>
        </w:tc>
        <w:tc>
          <w:tcPr>
            <w:tcW w:w="1315" w:type="dxa"/>
            <w:tcBorders>
              <w:top w:val="single" w:sz="4" w:space="0" w:color="auto"/>
            </w:tcBorders>
            <w:shd w:val="clear" w:color="auto" w:fill="auto"/>
            <w:vAlign w:val="center"/>
          </w:tcPr>
          <w:p w:rsidR="00012C5E" w:rsidRPr="007A692D" w:rsidRDefault="00012C5E" w:rsidP="00012C5E">
            <w:pPr>
              <w:rPr>
                <w:sz w:val="20"/>
                <w:lang w:bidi="en-US"/>
              </w:rPr>
            </w:pPr>
            <w:r w:rsidRPr="007A692D">
              <w:rPr>
                <w:sz w:val="20"/>
                <w:lang w:bidi="en-US"/>
              </w:rPr>
              <w:t>Del/Del n (%)</w:t>
            </w:r>
          </w:p>
        </w:tc>
        <w:tc>
          <w:tcPr>
            <w:tcW w:w="1417" w:type="dxa"/>
            <w:tcBorders>
              <w:top w:val="single" w:sz="4" w:space="0" w:color="auto"/>
            </w:tcBorders>
            <w:shd w:val="clear" w:color="auto" w:fill="auto"/>
            <w:vAlign w:val="center"/>
          </w:tcPr>
          <w:p w:rsidR="00012C5E" w:rsidRPr="007A692D" w:rsidRDefault="00012C5E" w:rsidP="00012C5E">
            <w:pPr>
              <w:rPr>
                <w:sz w:val="20"/>
                <w:lang w:bidi="en-US"/>
              </w:rPr>
            </w:pPr>
            <w:r w:rsidRPr="007A692D">
              <w:rPr>
                <w:sz w:val="20"/>
                <w:lang w:bidi="en-US"/>
              </w:rPr>
              <w:t>WT/Del n (%)</w:t>
            </w:r>
          </w:p>
        </w:tc>
        <w:tc>
          <w:tcPr>
            <w:tcW w:w="992" w:type="dxa"/>
            <w:vMerge/>
            <w:shd w:val="clear" w:color="auto" w:fill="auto"/>
          </w:tcPr>
          <w:p w:rsidR="00012C5E" w:rsidRPr="007A692D" w:rsidRDefault="00012C5E" w:rsidP="00012C5E">
            <w:pPr>
              <w:rPr>
                <w:sz w:val="20"/>
                <w:lang w:bidi="en-US"/>
              </w:rPr>
            </w:pPr>
          </w:p>
        </w:tc>
      </w:tr>
      <w:tr w:rsidR="00012C5E" w:rsidRPr="007A692D" w:rsidTr="007A692D">
        <w:tblPrEx>
          <w:tblCellMar>
            <w:top w:w="0" w:type="dxa"/>
            <w:bottom w:w="0" w:type="dxa"/>
          </w:tblCellMar>
        </w:tblPrEx>
        <w:trPr>
          <w:trHeight w:hRule="exact" w:val="397"/>
        </w:trPr>
        <w:tc>
          <w:tcPr>
            <w:tcW w:w="1701" w:type="dxa"/>
            <w:tcBorders>
              <w:top w:val="single" w:sz="4" w:space="0" w:color="auto"/>
            </w:tcBorders>
            <w:shd w:val="clear" w:color="auto" w:fill="auto"/>
            <w:vAlign w:val="bottom"/>
          </w:tcPr>
          <w:p w:rsidR="00012C5E" w:rsidRPr="007A692D" w:rsidRDefault="00012C5E" w:rsidP="00012C5E">
            <w:pPr>
              <w:rPr>
                <w:sz w:val="20"/>
                <w:lang w:bidi="en-US"/>
              </w:rPr>
            </w:pPr>
            <w:r w:rsidRPr="007A692D">
              <w:rPr>
                <w:sz w:val="20"/>
                <w:lang w:bidi="en-US"/>
              </w:rPr>
              <w:t>Skin color</w:t>
            </w:r>
          </w:p>
        </w:tc>
        <w:tc>
          <w:tcPr>
            <w:tcW w:w="1379" w:type="dxa"/>
            <w:tcBorders>
              <w:top w:val="single" w:sz="4" w:space="0" w:color="auto"/>
            </w:tcBorders>
            <w:shd w:val="clear" w:color="auto" w:fill="auto"/>
          </w:tcPr>
          <w:p w:rsidR="00012C5E" w:rsidRPr="007A692D" w:rsidRDefault="00012C5E" w:rsidP="00012C5E">
            <w:pPr>
              <w:rPr>
                <w:sz w:val="20"/>
                <w:lang w:bidi="en-US"/>
              </w:rPr>
            </w:pPr>
          </w:p>
        </w:tc>
        <w:tc>
          <w:tcPr>
            <w:tcW w:w="1315" w:type="dxa"/>
            <w:tcBorders>
              <w:top w:val="single" w:sz="4" w:space="0" w:color="auto"/>
            </w:tcBorders>
            <w:shd w:val="clear" w:color="auto" w:fill="auto"/>
          </w:tcPr>
          <w:p w:rsidR="00012C5E" w:rsidRPr="007A692D" w:rsidRDefault="00012C5E" w:rsidP="00012C5E">
            <w:pPr>
              <w:rPr>
                <w:sz w:val="20"/>
                <w:lang w:bidi="en-US"/>
              </w:rPr>
            </w:pPr>
          </w:p>
        </w:tc>
        <w:tc>
          <w:tcPr>
            <w:tcW w:w="1417" w:type="dxa"/>
            <w:tcBorders>
              <w:top w:val="single" w:sz="4" w:space="0" w:color="auto"/>
            </w:tcBorders>
            <w:shd w:val="clear" w:color="auto" w:fill="auto"/>
          </w:tcPr>
          <w:p w:rsidR="00012C5E" w:rsidRPr="007A692D" w:rsidRDefault="00012C5E" w:rsidP="00012C5E">
            <w:pPr>
              <w:rPr>
                <w:sz w:val="20"/>
                <w:lang w:bidi="en-US"/>
              </w:rPr>
            </w:pPr>
          </w:p>
        </w:tc>
        <w:tc>
          <w:tcPr>
            <w:tcW w:w="992" w:type="dxa"/>
            <w:tcBorders>
              <w:top w:val="single" w:sz="4" w:space="0" w:color="auto"/>
            </w:tcBorders>
            <w:shd w:val="clear" w:color="auto" w:fill="auto"/>
            <w:vAlign w:val="bottom"/>
          </w:tcPr>
          <w:p w:rsidR="00012C5E" w:rsidRPr="007A692D" w:rsidRDefault="00012C5E" w:rsidP="00012C5E">
            <w:pPr>
              <w:rPr>
                <w:sz w:val="20"/>
                <w:lang w:bidi="en-US"/>
              </w:rPr>
            </w:pPr>
            <w:r w:rsidRPr="007A692D">
              <w:rPr>
                <w:sz w:val="20"/>
                <w:lang w:bidi="en-US"/>
              </w:rPr>
              <w:t>0,821</w:t>
            </w:r>
          </w:p>
        </w:tc>
      </w:tr>
      <w:tr w:rsidR="00012C5E" w:rsidRPr="007A692D" w:rsidTr="007A692D">
        <w:tblPrEx>
          <w:tblCellMar>
            <w:top w:w="0" w:type="dxa"/>
            <w:bottom w:w="0" w:type="dxa"/>
          </w:tblCellMar>
        </w:tblPrEx>
        <w:trPr>
          <w:trHeight w:hRule="exact" w:val="397"/>
        </w:trPr>
        <w:tc>
          <w:tcPr>
            <w:tcW w:w="1701" w:type="dxa"/>
            <w:shd w:val="clear" w:color="auto" w:fill="auto"/>
            <w:vAlign w:val="bottom"/>
          </w:tcPr>
          <w:p w:rsidR="00012C5E" w:rsidRPr="007A692D" w:rsidRDefault="00012C5E" w:rsidP="00012C5E">
            <w:pPr>
              <w:rPr>
                <w:sz w:val="20"/>
                <w:lang w:bidi="en-US"/>
              </w:rPr>
            </w:pPr>
            <w:proofErr w:type="spellStart"/>
            <w:r w:rsidRPr="007A692D">
              <w:rPr>
                <w:sz w:val="20"/>
                <w:lang w:bidi="en-US"/>
              </w:rPr>
              <w:t>Phototype</w:t>
            </w:r>
            <w:proofErr w:type="spellEnd"/>
            <w:r w:rsidRPr="007A692D">
              <w:rPr>
                <w:sz w:val="20"/>
                <w:lang w:bidi="en-US"/>
              </w:rPr>
              <w:t xml:space="preserve"> I</w:t>
            </w:r>
          </w:p>
        </w:tc>
        <w:tc>
          <w:tcPr>
            <w:tcW w:w="1379" w:type="dxa"/>
            <w:shd w:val="clear" w:color="auto" w:fill="auto"/>
            <w:vAlign w:val="bottom"/>
          </w:tcPr>
          <w:p w:rsidR="00012C5E" w:rsidRPr="007A692D" w:rsidRDefault="00012C5E" w:rsidP="00012C5E">
            <w:pPr>
              <w:rPr>
                <w:sz w:val="20"/>
                <w:lang w:bidi="en-US"/>
              </w:rPr>
            </w:pPr>
            <w:r w:rsidRPr="007A692D">
              <w:rPr>
                <w:sz w:val="20"/>
                <w:lang w:bidi="en-US"/>
              </w:rPr>
              <w:t>11 (37,9%)</w:t>
            </w:r>
          </w:p>
        </w:tc>
        <w:tc>
          <w:tcPr>
            <w:tcW w:w="1315" w:type="dxa"/>
            <w:shd w:val="clear" w:color="auto" w:fill="auto"/>
            <w:vAlign w:val="bottom"/>
          </w:tcPr>
          <w:p w:rsidR="00012C5E" w:rsidRPr="007A692D" w:rsidRDefault="00012C5E" w:rsidP="00012C5E">
            <w:pPr>
              <w:rPr>
                <w:sz w:val="20"/>
                <w:lang w:bidi="en-US"/>
              </w:rPr>
            </w:pPr>
            <w:r w:rsidRPr="007A692D">
              <w:rPr>
                <w:sz w:val="20"/>
                <w:lang w:bidi="en-US"/>
              </w:rPr>
              <w:t>35 (31,0%)</w:t>
            </w:r>
          </w:p>
        </w:tc>
        <w:tc>
          <w:tcPr>
            <w:tcW w:w="1417" w:type="dxa"/>
            <w:shd w:val="clear" w:color="auto" w:fill="auto"/>
            <w:vAlign w:val="bottom"/>
          </w:tcPr>
          <w:p w:rsidR="00012C5E" w:rsidRPr="007A692D" w:rsidRDefault="00012C5E" w:rsidP="00012C5E">
            <w:pPr>
              <w:rPr>
                <w:sz w:val="20"/>
                <w:lang w:bidi="en-US"/>
              </w:rPr>
            </w:pPr>
            <w:r w:rsidRPr="007A692D">
              <w:rPr>
                <w:sz w:val="20"/>
                <w:lang w:bidi="en-US"/>
              </w:rPr>
              <w:t>9 (39,1%)</w:t>
            </w:r>
          </w:p>
        </w:tc>
        <w:tc>
          <w:tcPr>
            <w:tcW w:w="992" w:type="dxa"/>
            <w:shd w:val="clear" w:color="auto" w:fill="auto"/>
          </w:tcPr>
          <w:p w:rsidR="00012C5E" w:rsidRPr="007A692D" w:rsidRDefault="00012C5E" w:rsidP="00012C5E">
            <w:pPr>
              <w:rPr>
                <w:sz w:val="20"/>
                <w:lang w:bidi="en-US"/>
              </w:rPr>
            </w:pPr>
          </w:p>
        </w:tc>
      </w:tr>
      <w:tr w:rsidR="00012C5E" w:rsidRPr="007A692D" w:rsidTr="007A692D">
        <w:tblPrEx>
          <w:tblCellMar>
            <w:top w:w="0" w:type="dxa"/>
            <w:bottom w:w="0" w:type="dxa"/>
          </w:tblCellMar>
        </w:tblPrEx>
        <w:trPr>
          <w:trHeight w:hRule="exact" w:val="397"/>
        </w:trPr>
        <w:tc>
          <w:tcPr>
            <w:tcW w:w="1701" w:type="dxa"/>
            <w:shd w:val="clear" w:color="auto" w:fill="auto"/>
            <w:vAlign w:val="bottom"/>
          </w:tcPr>
          <w:p w:rsidR="00012C5E" w:rsidRPr="007A692D" w:rsidRDefault="00012C5E" w:rsidP="00012C5E">
            <w:pPr>
              <w:rPr>
                <w:sz w:val="20"/>
                <w:lang w:bidi="en-US"/>
              </w:rPr>
            </w:pPr>
            <w:proofErr w:type="spellStart"/>
            <w:r w:rsidRPr="007A692D">
              <w:rPr>
                <w:sz w:val="20"/>
                <w:lang w:bidi="en-US"/>
              </w:rPr>
              <w:t>Phototype</w:t>
            </w:r>
            <w:proofErr w:type="spellEnd"/>
            <w:r w:rsidRPr="007A692D">
              <w:rPr>
                <w:sz w:val="20"/>
                <w:lang w:bidi="en-US"/>
              </w:rPr>
              <w:t xml:space="preserve"> II</w:t>
            </w:r>
          </w:p>
        </w:tc>
        <w:tc>
          <w:tcPr>
            <w:tcW w:w="1379" w:type="dxa"/>
            <w:shd w:val="clear" w:color="auto" w:fill="auto"/>
            <w:vAlign w:val="bottom"/>
          </w:tcPr>
          <w:p w:rsidR="00012C5E" w:rsidRPr="007A692D" w:rsidRDefault="00012C5E" w:rsidP="00012C5E">
            <w:pPr>
              <w:rPr>
                <w:sz w:val="20"/>
                <w:lang w:bidi="en-US"/>
              </w:rPr>
            </w:pPr>
            <w:r w:rsidRPr="007A692D">
              <w:rPr>
                <w:sz w:val="20"/>
                <w:lang w:bidi="en-US"/>
              </w:rPr>
              <w:t>10 (34,5%)</w:t>
            </w:r>
          </w:p>
        </w:tc>
        <w:tc>
          <w:tcPr>
            <w:tcW w:w="1315" w:type="dxa"/>
            <w:shd w:val="clear" w:color="auto" w:fill="auto"/>
            <w:vAlign w:val="bottom"/>
          </w:tcPr>
          <w:p w:rsidR="00012C5E" w:rsidRPr="007A692D" w:rsidRDefault="00012C5E" w:rsidP="00012C5E">
            <w:pPr>
              <w:rPr>
                <w:sz w:val="20"/>
                <w:lang w:bidi="en-US"/>
              </w:rPr>
            </w:pPr>
            <w:r w:rsidRPr="007A692D">
              <w:rPr>
                <w:sz w:val="20"/>
                <w:lang w:bidi="en-US"/>
              </w:rPr>
              <w:t>41 (36,3%)</w:t>
            </w:r>
          </w:p>
        </w:tc>
        <w:tc>
          <w:tcPr>
            <w:tcW w:w="1417" w:type="dxa"/>
            <w:shd w:val="clear" w:color="auto" w:fill="auto"/>
            <w:vAlign w:val="bottom"/>
          </w:tcPr>
          <w:p w:rsidR="00012C5E" w:rsidRPr="007A692D" w:rsidRDefault="00012C5E" w:rsidP="00012C5E">
            <w:pPr>
              <w:rPr>
                <w:sz w:val="20"/>
                <w:lang w:bidi="en-US"/>
              </w:rPr>
            </w:pPr>
            <w:r w:rsidRPr="007A692D">
              <w:rPr>
                <w:sz w:val="20"/>
                <w:lang w:bidi="en-US"/>
              </w:rPr>
              <w:t>9 (39,1%)</w:t>
            </w:r>
          </w:p>
        </w:tc>
        <w:tc>
          <w:tcPr>
            <w:tcW w:w="992" w:type="dxa"/>
            <w:shd w:val="clear" w:color="auto" w:fill="auto"/>
          </w:tcPr>
          <w:p w:rsidR="00012C5E" w:rsidRPr="007A692D" w:rsidRDefault="00012C5E" w:rsidP="00012C5E">
            <w:pPr>
              <w:rPr>
                <w:sz w:val="20"/>
                <w:lang w:bidi="en-US"/>
              </w:rPr>
            </w:pPr>
          </w:p>
        </w:tc>
      </w:tr>
      <w:tr w:rsidR="00012C5E" w:rsidRPr="007A692D" w:rsidTr="007A692D">
        <w:tblPrEx>
          <w:tblCellMar>
            <w:top w:w="0" w:type="dxa"/>
            <w:bottom w:w="0" w:type="dxa"/>
          </w:tblCellMar>
        </w:tblPrEx>
        <w:trPr>
          <w:trHeight w:hRule="exact" w:val="397"/>
        </w:trPr>
        <w:tc>
          <w:tcPr>
            <w:tcW w:w="1701" w:type="dxa"/>
            <w:shd w:val="clear" w:color="auto" w:fill="auto"/>
            <w:vAlign w:val="bottom"/>
          </w:tcPr>
          <w:p w:rsidR="00012C5E" w:rsidRPr="007A692D" w:rsidRDefault="00012C5E" w:rsidP="00012C5E">
            <w:pPr>
              <w:rPr>
                <w:sz w:val="20"/>
                <w:lang w:bidi="en-US"/>
              </w:rPr>
            </w:pPr>
            <w:proofErr w:type="spellStart"/>
            <w:r w:rsidRPr="007A692D">
              <w:rPr>
                <w:sz w:val="20"/>
                <w:lang w:bidi="en-US"/>
              </w:rPr>
              <w:t>Phototype</w:t>
            </w:r>
            <w:proofErr w:type="spellEnd"/>
            <w:r w:rsidRPr="007A692D">
              <w:rPr>
                <w:sz w:val="20"/>
                <w:lang w:bidi="en-US"/>
              </w:rPr>
              <w:t xml:space="preserve"> III</w:t>
            </w:r>
          </w:p>
        </w:tc>
        <w:tc>
          <w:tcPr>
            <w:tcW w:w="1379" w:type="dxa"/>
            <w:shd w:val="clear" w:color="auto" w:fill="auto"/>
            <w:vAlign w:val="bottom"/>
          </w:tcPr>
          <w:p w:rsidR="00012C5E" w:rsidRPr="007A692D" w:rsidRDefault="00012C5E" w:rsidP="00012C5E">
            <w:pPr>
              <w:rPr>
                <w:sz w:val="20"/>
                <w:lang w:bidi="en-US"/>
              </w:rPr>
            </w:pPr>
            <w:r w:rsidRPr="007A692D">
              <w:rPr>
                <w:sz w:val="20"/>
                <w:lang w:bidi="en-US"/>
              </w:rPr>
              <w:t>8 (27,6%)</w:t>
            </w:r>
          </w:p>
        </w:tc>
        <w:tc>
          <w:tcPr>
            <w:tcW w:w="1315" w:type="dxa"/>
            <w:shd w:val="clear" w:color="auto" w:fill="auto"/>
            <w:vAlign w:val="bottom"/>
          </w:tcPr>
          <w:p w:rsidR="00012C5E" w:rsidRPr="007A692D" w:rsidRDefault="00012C5E" w:rsidP="00012C5E">
            <w:pPr>
              <w:rPr>
                <w:sz w:val="20"/>
                <w:lang w:bidi="en-US"/>
              </w:rPr>
            </w:pPr>
            <w:r w:rsidRPr="007A692D">
              <w:rPr>
                <w:sz w:val="20"/>
                <w:lang w:bidi="en-US"/>
              </w:rPr>
              <w:t>37 (32,7%)</w:t>
            </w:r>
          </w:p>
        </w:tc>
        <w:tc>
          <w:tcPr>
            <w:tcW w:w="1417" w:type="dxa"/>
            <w:shd w:val="clear" w:color="auto" w:fill="auto"/>
            <w:vAlign w:val="bottom"/>
          </w:tcPr>
          <w:p w:rsidR="00012C5E" w:rsidRPr="007A692D" w:rsidRDefault="00012C5E" w:rsidP="00012C5E">
            <w:pPr>
              <w:rPr>
                <w:sz w:val="20"/>
                <w:lang w:bidi="en-US"/>
              </w:rPr>
            </w:pPr>
            <w:r w:rsidRPr="007A692D">
              <w:rPr>
                <w:sz w:val="20"/>
                <w:lang w:bidi="en-US"/>
              </w:rPr>
              <w:t>5 (21,8%)</w:t>
            </w:r>
          </w:p>
        </w:tc>
        <w:tc>
          <w:tcPr>
            <w:tcW w:w="992" w:type="dxa"/>
            <w:shd w:val="clear" w:color="auto" w:fill="auto"/>
          </w:tcPr>
          <w:p w:rsidR="00012C5E" w:rsidRPr="007A692D" w:rsidRDefault="00012C5E" w:rsidP="00012C5E">
            <w:pPr>
              <w:rPr>
                <w:sz w:val="20"/>
                <w:lang w:bidi="en-US"/>
              </w:rPr>
            </w:pPr>
          </w:p>
        </w:tc>
      </w:tr>
      <w:tr w:rsidR="00012C5E" w:rsidRPr="007A692D" w:rsidTr="007A692D">
        <w:tblPrEx>
          <w:tblCellMar>
            <w:top w:w="0" w:type="dxa"/>
            <w:bottom w:w="0" w:type="dxa"/>
          </w:tblCellMar>
        </w:tblPrEx>
        <w:trPr>
          <w:trHeight w:hRule="exact" w:val="397"/>
        </w:trPr>
        <w:tc>
          <w:tcPr>
            <w:tcW w:w="1701" w:type="dxa"/>
            <w:shd w:val="clear" w:color="auto" w:fill="auto"/>
            <w:vAlign w:val="bottom"/>
          </w:tcPr>
          <w:p w:rsidR="00012C5E" w:rsidRPr="007A692D" w:rsidRDefault="00012C5E" w:rsidP="00012C5E">
            <w:pPr>
              <w:rPr>
                <w:sz w:val="20"/>
                <w:lang w:bidi="en-US"/>
              </w:rPr>
            </w:pPr>
            <w:r w:rsidRPr="007A692D">
              <w:rPr>
                <w:sz w:val="20"/>
                <w:lang w:bidi="en-US"/>
              </w:rPr>
              <w:t>Freckles</w:t>
            </w:r>
          </w:p>
        </w:tc>
        <w:tc>
          <w:tcPr>
            <w:tcW w:w="1379" w:type="dxa"/>
            <w:shd w:val="clear" w:color="auto" w:fill="auto"/>
          </w:tcPr>
          <w:p w:rsidR="00012C5E" w:rsidRPr="007A692D" w:rsidRDefault="00012C5E" w:rsidP="00012C5E">
            <w:pPr>
              <w:rPr>
                <w:sz w:val="20"/>
                <w:lang w:bidi="en-US"/>
              </w:rPr>
            </w:pPr>
          </w:p>
        </w:tc>
        <w:tc>
          <w:tcPr>
            <w:tcW w:w="1315" w:type="dxa"/>
            <w:shd w:val="clear" w:color="auto" w:fill="auto"/>
          </w:tcPr>
          <w:p w:rsidR="00012C5E" w:rsidRPr="007A692D" w:rsidRDefault="00012C5E" w:rsidP="00012C5E">
            <w:pPr>
              <w:rPr>
                <w:sz w:val="20"/>
                <w:lang w:bidi="en-US"/>
              </w:rPr>
            </w:pPr>
          </w:p>
        </w:tc>
        <w:tc>
          <w:tcPr>
            <w:tcW w:w="1417" w:type="dxa"/>
            <w:shd w:val="clear" w:color="auto" w:fill="auto"/>
          </w:tcPr>
          <w:p w:rsidR="00012C5E" w:rsidRPr="007A692D" w:rsidRDefault="00012C5E" w:rsidP="00012C5E">
            <w:pPr>
              <w:rPr>
                <w:sz w:val="20"/>
                <w:lang w:bidi="en-US"/>
              </w:rPr>
            </w:pPr>
          </w:p>
        </w:tc>
        <w:tc>
          <w:tcPr>
            <w:tcW w:w="992" w:type="dxa"/>
            <w:shd w:val="clear" w:color="auto" w:fill="auto"/>
            <w:vAlign w:val="bottom"/>
          </w:tcPr>
          <w:p w:rsidR="00012C5E" w:rsidRPr="007A692D" w:rsidRDefault="00012C5E" w:rsidP="00012C5E">
            <w:pPr>
              <w:rPr>
                <w:sz w:val="20"/>
                <w:lang w:bidi="en-US"/>
              </w:rPr>
            </w:pPr>
            <w:r w:rsidRPr="007A692D">
              <w:rPr>
                <w:sz w:val="20"/>
                <w:lang w:bidi="en-US"/>
              </w:rPr>
              <w:t>0,620</w:t>
            </w:r>
          </w:p>
        </w:tc>
      </w:tr>
      <w:tr w:rsidR="00012C5E" w:rsidRPr="007A692D" w:rsidTr="007A692D">
        <w:tblPrEx>
          <w:tblCellMar>
            <w:top w:w="0" w:type="dxa"/>
            <w:bottom w:w="0" w:type="dxa"/>
          </w:tblCellMar>
        </w:tblPrEx>
        <w:trPr>
          <w:trHeight w:hRule="exact" w:val="397"/>
        </w:trPr>
        <w:tc>
          <w:tcPr>
            <w:tcW w:w="1701" w:type="dxa"/>
            <w:shd w:val="clear" w:color="auto" w:fill="auto"/>
            <w:vAlign w:val="bottom"/>
          </w:tcPr>
          <w:p w:rsidR="00012C5E" w:rsidRPr="007A692D" w:rsidRDefault="00012C5E" w:rsidP="00012C5E">
            <w:pPr>
              <w:rPr>
                <w:sz w:val="20"/>
                <w:lang w:bidi="en-US"/>
              </w:rPr>
            </w:pPr>
            <w:r w:rsidRPr="007A692D">
              <w:rPr>
                <w:sz w:val="20"/>
                <w:lang w:bidi="en-US"/>
              </w:rPr>
              <w:t>Presence</w:t>
            </w:r>
          </w:p>
        </w:tc>
        <w:tc>
          <w:tcPr>
            <w:tcW w:w="1379" w:type="dxa"/>
            <w:shd w:val="clear" w:color="auto" w:fill="auto"/>
            <w:vAlign w:val="bottom"/>
          </w:tcPr>
          <w:p w:rsidR="00012C5E" w:rsidRPr="007A692D" w:rsidRDefault="00012C5E" w:rsidP="00012C5E">
            <w:pPr>
              <w:rPr>
                <w:sz w:val="20"/>
                <w:lang w:bidi="en-US"/>
              </w:rPr>
            </w:pPr>
            <w:r w:rsidRPr="007A692D">
              <w:rPr>
                <w:sz w:val="20"/>
                <w:lang w:bidi="en-US"/>
              </w:rPr>
              <w:t>22 (75,8%)</w:t>
            </w:r>
          </w:p>
        </w:tc>
        <w:tc>
          <w:tcPr>
            <w:tcW w:w="1315" w:type="dxa"/>
            <w:shd w:val="clear" w:color="auto" w:fill="auto"/>
            <w:vAlign w:val="bottom"/>
          </w:tcPr>
          <w:p w:rsidR="00012C5E" w:rsidRPr="007A692D" w:rsidRDefault="00012C5E" w:rsidP="00012C5E">
            <w:pPr>
              <w:rPr>
                <w:sz w:val="20"/>
                <w:lang w:bidi="en-US"/>
              </w:rPr>
            </w:pPr>
            <w:r w:rsidRPr="007A692D">
              <w:rPr>
                <w:sz w:val="20"/>
                <w:lang w:bidi="en-US"/>
              </w:rPr>
              <w:t>88 (77,8%)</w:t>
            </w:r>
          </w:p>
        </w:tc>
        <w:tc>
          <w:tcPr>
            <w:tcW w:w="1417" w:type="dxa"/>
            <w:shd w:val="clear" w:color="auto" w:fill="auto"/>
            <w:vAlign w:val="bottom"/>
          </w:tcPr>
          <w:p w:rsidR="00012C5E" w:rsidRPr="007A692D" w:rsidRDefault="00012C5E" w:rsidP="00012C5E">
            <w:pPr>
              <w:rPr>
                <w:sz w:val="20"/>
                <w:lang w:bidi="en-US"/>
              </w:rPr>
            </w:pPr>
            <w:r w:rsidRPr="007A692D">
              <w:rPr>
                <w:sz w:val="20"/>
                <w:lang w:bidi="en-US"/>
              </w:rPr>
              <w:t>20 (87,0%)</w:t>
            </w:r>
          </w:p>
        </w:tc>
        <w:tc>
          <w:tcPr>
            <w:tcW w:w="992" w:type="dxa"/>
            <w:shd w:val="clear" w:color="auto" w:fill="auto"/>
          </w:tcPr>
          <w:p w:rsidR="00012C5E" w:rsidRPr="007A692D" w:rsidRDefault="00012C5E" w:rsidP="00012C5E">
            <w:pPr>
              <w:rPr>
                <w:sz w:val="20"/>
                <w:lang w:bidi="en-US"/>
              </w:rPr>
            </w:pPr>
          </w:p>
        </w:tc>
      </w:tr>
      <w:tr w:rsidR="00012C5E" w:rsidRPr="007A692D" w:rsidTr="007A692D">
        <w:tblPrEx>
          <w:tblCellMar>
            <w:top w:w="0" w:type="dxa"/>
            <w:bottom w:w="0" w:type="dxa"/>
          </w:tblCellMar>
        </w:tblPrEx>
        <w:trPr>
          <w:trHeight w:hRule="exact" w:val="397"/>
        </w:trPr>
        <w:tc>
          <w:tcPr>
            <w:tcW w:w="1701" w:type="dxa"/>
            <w:shd w:val="clear" w:color="auto" w:fill="auto"/>
            <w:vAlign w:val="bottom"/>
          </w:tcPr>
          <w:p w:rsidR="00012C5E" w:rsidRPr="007A692D" w:rsidRDefault="00012C5E" w:rsidP="00012C5E">
            <w:pPr>
              <w:rPr>
                <w:sz w:val="20"/>
                <w:lang w:bidi="en-US"/>
              </w:rPr>
            </w:pPr>
            <w:r w:rsidRPr="007A692D">
              <w:rPr>
                <w:sz w:val="20"/>
                <w:lang w:bidi="en-US"/>
              </w:rPr>
              <w:t>Absence</w:t>
            </w:r>
          </w:p>
        </w:tc>
        <w:tc>
          <w:tcPr>
            <w:tcW w:w="1379" w:type="dxa"/>
            <w:shd w:val="clear" w:color="auto" w:fill="auto"/>
            <w:vAlign w:val="bottom"/>
          </w:tcPr>
          <w:p w:rsidR="00012C5E" w:rsidRPr="007A692D" w:rsidRDefault="00012C5E" w:rsidP="00012C5E">
            <w:pPr>
              <w:rPr>
                <w:sz w:val="20"/>
                <w:lang w:bidi="en-US"/>
              </w:rPr>
            </w:pPr>
            <w:r w:rsidRPr="007A692D">
              <w:rPr>
                <w:sz w:val="20"/>
                <w:lang w:bidi="en-US"/>
              </w:rPr>
              <w:t>7 (24,2%)</w:t>
            </w:r>
          </w:p>
        </w:tc>
        <w:tc>
          <w:tcPr>
            <w:tcW w:w="1315" w:type="dxa"/>
            <w:shd w:val="clear" w:color="auto" w:fill="auto"/>
            <w:vAlign w:val="bottom"/>
          </w:tcPr>
          <w:p w:rsidR="00012C5E" w:rsidRPr="007A692D" w:rsidRDefault="00012C5E" w:rsidP="00012C5E">
            <w:pPr>
              <w:rPr>
                <w:sz w:val="20"/>
                <w:lang w:bidi="en-US"/>
              </w:rPr>
            </w:pPr>
            <w:r w:rsidRPr="007A692D">
              <w:rPr>
                <w:sz w:val="20"/>
                <w:lang w:bidi="en-US"/>
              </w:rPr>
              <w:t>25 (22,2%)</w:t>
            </w:r>
          </w:p>
        </w:tc>
        <w:tc>
          <w:tcPr>
            <w:tcW w:w="1417" w:type="dxa"/>
            <w:shd w:val="clear" w:color="auto" w:fill="auto"/>
            <w:vAlign w:val="bottom"/>
          </w:tcPr>
          <w:p w:rsidR="00012C5E" w:rsidRPr="007A692D" w:rsidRDefault="00012C5E" w:rsidP="00012C5E">
            <w:pPr>
              <w:rPr>
                <w:sz w:val="20"/>
                <w:lang w:bidi="en-US"/>
              </w:rPr>
            </w:pPr>
            <w:r w:rsidRPr="007A692D">
              <w:rPr>
                <w:sz w:val="20"/>
                <w:lang w:bidi="en-US"/>
              </w:rPr>
              <w:t>3 (13%)</w:t>
            </w:r>
          </w:p>
        </w:tc>
        <w:tc>
          <w:tcPr>
            <w:tcW w:w="992" w:type="dxa"/>
            <w:shd w:val="clear" w:color="auto" w:fill="auto"/>
          </w:tcPr>
          <w:p w:rsidR="00012C5E" w:rsidRPr="007A692D" w:rsidRDefault="00012C5E" w:rsidP="00012C5E">
            <w:pPr>
              <w:rPr>
                <w:sz w:val="20"/>
                <w:lang w:bidi="en-US"/>
              </w:rPr>
            </w:pPr>
          </w:p>
        </w:tc>
      </w:tr>
      <w:tr w:rsidR="00012C5E" w:rsidRPr="007A692D" w:rsidTr="007A692D">
        <w:tblPrEx>
          <w:tblCellMar>
            <w:top w:w="0" w:type="dxa"/>
            <w:bottom w:w="0" w:type="dxa"/>
          </w:tblCellMar>
        </w:tblPrEx>
        <w:trPr>
          <w:trHeight w:hRule="exact" w:val="397"/>
        </w:trPr>
        <w:tc>
          <w:tcPr>
            <w:tcW w:w="1701" w:type="dxa"/>
            <w:shd w:val="clear" w:color="auto" w:fill="auto"/>
            <w:vAlign w:val="bottom"/>
          </w:tcPr>
          <w:p w:rsidR="00012C5E" w:rsidRPr="007A692D" w:rsidRDefault="00012C5E" w:rsidP="00012C5E">
            <w:pPr>
              <w:rPr>
                <w:sz w:val="20"/>
                <w:lang w:bidi="en-US"/>
              </w:rPr>
            </w:pPr>
            <w:r w:rsidRPr="007A692D">
              <w:rPr>
                <w:sz w:val="20"/>
                <w:lang w:bidi="en-US"/>
              </w:rPr>
              <w:t>Visual impairment</w:t>
            </w:r>
          </w:p>
        </w:tc>
        <w:tc>
          <w:tcPr>
            <w:tcW w:w="1379" w:type="dxa"/>
            <w:shd w:val="clear" w:color="auto" w:fill="auto"/>
          </w:tcPr>
          <w:p w:rsidR="00012C5E" w:rsidRPr="007A692D" w:rsidRDefault="00012C5E" w:rsidP="00012C5E">
            <w:pPr>
              <w:rPr>
                <w:sz w:val="20"/>
                <w:lang w:bidi="en-US"/>
              </w:rPr>
            </w:pPr>
          </w:p>
        </w:tc>
        <w:tc>
          <w:tcPr>
            <w:tcW w:w="1315" w:type="dxa"/>
            <w:shd w:val="clear" w:color="auto" w:fill="auto"/>
          </w:tcPr>
          <w:p w:rsidR="00012C5E" w:rsidRPr="007A692D" w:rsidRDefault="00012C5E" w:rsidP="00012C5E">
            <w:pPr>
              <w:rPr>
                <w:sz w:val="20"/>
                <w:lang w:bidi="en-US"/>
              </w:rPr>
            </w:pPr>
          </w:p>
        </w:tc>
        <w:tc>
          <w:tcPr>
            <w:tcW w:w="1417" w:type="dxa"/>
            <w:shd w:val="clear" w:color="auto" w:fill="auto"/>
          </w:tcPr>
          <w:p w:rsidR="00012C5E" w:rsidRPr="007A692D" w:rsidRDefault="00012C5E" w:rsidP="00012C5E">
            <w:pPr>
              <w:rPr>
                <w:sz w:val="20"/>
                <w:lang w:bidi="en-US"/>
              </w:rPr>
            </w:pPr>
          </w:p>
        </w:tc>
        <w:tc>
          <w:tcPr>
            <w:tcW w:w="992" w:type="dxa"/>
            <w:shd w:val="clear" w:color="auto" w:fill="auto"/>
            <w:vAlign w:val="bottom"/>
          </w:tcPr>
          <w:p w:rsidR="00012C5E" w:rsidRPr="007A692D" w:rsidRDefault="00012C5E" w:rsidP="00012C5E">
            <w:pPr>
              <w:rPr>
                <w:sz w:val="20"/>
                <w:lang w:bidi="en-US"/>
              </w:rPr>
            </w:pPr>
            <w:r w:rsidRPr="007A692D">
              <w:rPr>
                <w:sz w:val="20"/>
                <w:lang w:bidi="en-US"/>
              </w:rPr>
              <w:t>0,043</w:t>
            </w:r>
          </w:p>
        </w:tc>
      </w:tr>
      <w:tr w:rsidR="00012C5E" w:rsidRPr="007A692D" w:rsidTr="007A692D">
        <w:tblPrEx>
          <w:tblCellMar>
            <w:top w:w="0" w:type="dxa"/>
            <w:bottom w:w="0" w:type="dxa"/>
          </w:tblCellMar>
        </w:tblPrEx>
        <w:trPr>
          <w:trHeight w:hRule="exact" w:val="397"/>
        </w:trPr>
        <w:tc>
          <w:tcPr>
            <w:tcW w:w="1701" w:type="dxa"/>
            <w:shd w:val="clear" w:color="auto" w:fill="auto"/>
            <w:vAlign w:val="bottom"/>
          </w:tcPr>
          <w:p w:rsidR="00012C5E" w:rsidRPr="007A692D" w:rsidRDefault="00012C5E" w:rsidP="00012C5E">
            <w:pPr>
              <w:rPr>
                <w:sz w:val="20"/>
                <w:lang w:bidi="en-US"/>
              </w:rPr>
            </w:pPr>
            <w:r w:rsidRPr="007A692D">
              <w:rPr>
                <w:sz w:val="20"/>
                <w:lang w:bidi="en-US"/>
              </w:rPr>
              <w:t>Presence</w:t>
            </w:r>
          </w:p>
        </w:tc>
        <w:tc>
          <w:tcPr>
            <w:tcW w:w="1379" w:type="dxa"/>
            <w:shd w:val="clear" w:color="auto" w:fill="auto"/>
            <w:vAlign w:val="bottom"/>
          </w:tcPr>
          <w:p w:rsidR="00012C5E" w:rsidRPr="007A692D" w:rsidRDefault="00012C5E" w:rsidP="00012C5E">
            <w:pPr>
              <w:rPr>
                <w:sz w:val="20"/>
                <w:lang w:bidi="en-US"/>
              </w:rPr>
            </w:pPr>
            <w:r w:rsidRPr="007A692D">
              <w:rPr>
                <w:sz w:val="20"/>
                <w:lang w:bidi="en-US"/>
              </w:rPr>
              <w:t>21 (72,4%)</w:t>
            </w:r>
          </w:p>
        </w:tc>
        <w:tc>
          <w:tcPr>
            <w:tcW w:w="1315" w:type="dxa"/>
            <w:shd w:val="clear" w:color="auto" w:fill="auto"/>
            <w:vAlign w:val="bottom"/>
          </w:tcPr>
          <w:p w:rsidR="00012C5E" w:rsidRPr="007A692D" w:rsidRDefault="00012C5E" w:rsidP="00012C5E">
            <w:pPr>
              <w:rPr>
                <w:sz w:val="20"/>
                <w:lang w:bidi="en-US"/>
              </w:rPr>
            </w:pPr>
            <w:r w:rsidRPr="007A692D">
              <w:rPr>
                <w:sz w:val="20"/>
                <w:lang w:bidi="en-US"/>
              </w:rPr>
              <w:t>65 (57,5%)</w:t>
            </w:r>
          </w:p>
        </w:tc>
        <w:tc>
          <w:tcPr>
            <w:tcW w:w="1417" w:type="dxa"/>
            <w:shd w:val="clear" w:color="auto" w:fill="auto"/>
            <w:vAlign w:val="bottom"/>
          </w:tcPr>
          <w:p w:rsidR="00012C5E" w:rsidRPr="007A692D" w:rsidRDefault="00012C5E" w:rsidP="00012C5E">
            <w:pPr>
              <w:rPr>
                <w:sz w:val="20"/>
                <w:lang w:bidi="en-US"/>
              </w:rPr>
            </w:pPr>
            <w:r w:rsidRPr="007A692D">
              <w:rPr>
                <w:sz w:val="20"/>
                <w:lang w:bidi="en-US"/>
              </w:rPr>
              <w:t>19 (82,6%)</w:t>
            </w:r>
          </w:p>
        </w:tc>
        <w:tc>
          <w:tcPr>
            <w:tcW w:w="992" w:type="dxa"/>
            <w:shd w:val="clear" w:color="auto" w:fill="auto"/>
          </w:tcPr>
          <w:p w:rsidR="00012C5E" w:rsidRPr="007A692D" w:rsidRDefault="00012C5E" w:rsidP="00012C5E">
            <w:pPr>
              <w:rPr>
                <w:sz w:val="20"/>
                <w:lang w:bidi="en-US"/>
              </w:rPr>
            </w:pPr>
          </w:p>
        </w:tc>
      </w:tr>
      <w:tr w:rsidR="00012C5E" w:rsidRPr="007A692D" w:rsidTr="007A692D">
        <w:tblPrEx>
          <w:tblCellMar>
            <w:top w:w="0" w:type="dxa"/>
            <w:bottom w:w="0" w:type="dxa"/>
          </w:tblCellMar>
        </w:tblPrEx>
        <w:trPr>
          <w:trHeight w:hRule="exact" w:val="397"/>
        </w:trPr>
        <w:tc>
          <w:tcPr>
            <w:tcW w:w="1701" w:type="dxa"/>
            <w:tcBorders>
              <w:bottom w:val="single" w:sz="4" w:space="0" w:color="auto"/>
            </w:tcBorders>
            <w:shd w:val="clear" w:color="auto" w:fill="auto"/>
          </w:tcPr>
          <w:p w:rsidR="00012C5E" w:rsidRPr="007A692D" w:rsidRDefault="00012C5E" w:rsidP="00012C5E">
            <w:pPr>
              <w:rPr>
                <w:sz w:val="20"/>
                <w:lang w:bidi="en-US"/>
              </w:rPr>
            </w:pPr>
            <w:r w:rsidRPr="007A692D">
              <w:rPr>
                <w:sz w:val="20"/>
                <w:lang w:bidi="en-US"/>
              </w:rPr>
              <w:t>Absence</w:t>
            </w:r>
          </w:p>
        </w:tc>
        <w:tc>
          <w:tcPr>
            <w:tcW w:w="1379" w:type="dxa"/>
            <w:tcBorders>
              <w:bottom w:val="single" w:sz="4" w:space="0" w:color="auto"/>
            </w:tcBorders>
            <w:shd w:val="clear" w:color="auto" w:fill="auto"/>
          </w:tcPr>
          <w:p w:rsidR="00012C5E" w:rsidRPr="007A692D" w:rsidRDefault="00012C5E" w:rsidP="00012C5E">
            <w:pPr>
              <w:rPr>
                <w:sz w:val="20"/>
                <w:lang w:bidi="en-US"/>
              </w:rPr>
            </w:pPr>
            <w:r w:rsidRPr="007A692D">
              <w:rPr>
                <w:sz w:val="20"/>
                <w:lang w:bidi="en-US"/>
              </w:rPr>
              <w:t>8 (27,6%)</w:t>
            </w:r>
          </w:p>
        </w:tc>
        <w:tc>
          <w:tcPr>
            <w:tcW w:w="1315" w:type="dxa"/>
            <w:tcBorders>
              <w:bottom w:val="single" w:sz="4" w:space="0" w:color="auto"/>
            </w:tcBorders>
            <w:shd w:val="clear" w:color="auto" w:fill="auto"/>
          </w:tcPr>
          <w:p w:rsidR="00012C5E" w:rsidRPr="007A692D" w:rsidRDefault="00012C5E" w:rsidP="00012C5E">
            <w:pPr>
              <w:rPr>
                <w:sz w:val="20"/>
                <w:lang w:bidi="en-US"/>
              </w:rPr>
            </w:pPr>
            <w:r w:rsidRPr="007A692D">
              <w:rPr>
                <w:sz w:val="20"/>
                <w:lang w:bidi="en-US"/>
              </w:rPr>
              <w:t>48 (42,5%)</w:t>
            </w:r>
          </w:p>
        </w:tc>
        <w:tc>
          <w:tcPr>
            <w:tcW w:w="1417" w:type="dxa"/>
            <w:tcBorders>
              <w:bottom w:val="single" w:sz="4" w:space="0" w:color="auto"/>
            </w:tcBorders>
            <w:shd w:val="clear" w:color="auto" w:fill="auto"/>
          </w:tcPr>
          <w:p w:rsidR="00012C5E" w:rsidRPr="007A692D" w:rsidRDefault="00012C5E" w:rsidP="00012C5E">
            <w:pPr>
              <w:rPr>
                <w:sz w:val="20"/>
                <w:lang w:bidi="en-US"/>
              </w:rPr>
            </w:pPr>
            <w:r w:rsidRPr="007A692D">
              <w:rPr>
                <w:sz w:val="20"/>
                <w:lang w:bidi="en-US"/>
              </w:rPr>
              <w:t>4 (17,4%)</w:t>
            </w:r>
          </w:p>
        </w:tc>
        <w:tc>
          <w:tcPr>
            <w:tcW w:w="992" w:type="dxa"/>
            <w:tcBorders>
              <w:bottom w:val="single" w:sz="4" w:space="0" w:color="auto"/>
            </w:tcBorders>
            <w:shd w:val="clear" w:color="auto" w:fill="auto"/>
          </w:tcPr>
          <w:p w:rsidR="00012C5E" w:rsidRPr="007A692D" w:rsidRDefault="00012C5E" w:rsidP="00012C5E">
            <w:pPr>
              <w:rPr>
                <w:sz w:val="20"/>
                <w:lang w:bidi="en-US"/>
              </w:rPr>
            </w:pPr>
          </w:p>
        </w:tc>
      </w:tr>
    </w:tbl>
    <w:p w:rsidR="007A0DD6" w:rsidRPr="007A0DD6" w:rsidRDefault="007A692D" w:rsidP="007A692D">
      <w:pPr>
        <w:pStyle w:val="Titre1"/>
        <w:rPr>
          <w:lang w:bidi="en-US"/>
        </w:rPr>
      </w:pPr>
      <w:r>
        <w:rPr>
          <w:lang w:bidi="en-US"/>
        </w:rPr>
        <w:t xml:space="preserve">5. </w:t>
      </w:r>
      <w:r w:rsidR="007A0DD6" w:rsidRPr="007A0DD6">
        <w:rPr>
          <w:lang w:bidi="en-US"/>
        </w:rPr>
        <w:t>Conclusion</w:t>
      </w:r>
    </w:p>
    <w:p w:rsidR="007A0DD6" w:rsidRDefault="007A0DD6" w:rsidP="007A0DD6">
      <w:pPr>
        <w:rPr>
          <w:lang w:bidi="en-US"/>
        </w:rPr>
      </w:pPr>
      <w:r w:rsidRPr="007A0DD6">
        <w:rPr>
          <w:lang w:bidi="en-US"/>
        </w:rPr>
        <w:t>This study demonstrated that the OCA2 2.7 kb deletion is the major cause of non-syndromic OCA in Congolese patients. This confirmation of a single mutation as the major cause will facilitate genetic counselling in Congolese families and allows targeted carrier screening to be offered to individuals with positive family history for OCA in DR Congo. Several additional mutations were detected in OCA patients heterozygous for the 2.7 OCA2 deletion. Additional investigations are needed to unravel</w:t>
      </w:r>
      <w:r w:rsidR="00006C30">
        <w:rPr>
          <w:lang w:bidi="en-US"/>
        </w:rPr>
        <w:t xml:space="preserve"> </w:t>
      </w:r>
      <w:r w:rsidRPr="007A0DD6">
        <w:rPr>
          <w:lang w:bidi="en-US"/>
        </w:rPr>
        <w:t>the causal genetic defects in non-carriers of the 2.7 deletion.</w:t>
      </w:r>
    </w:p>
    <w:p w:rsidR="00006C30" w:rsidRDefault="00006C30">
      <w:pPr>
        <w:spacing w:after="0" w:line="240" w:lineRule="auto"/>
        <w:jc w:val="left"/>
        <w:rPr>
          <w:b/>
          <w:bCs/>
          <w:lang w:bidi="en-US"/>
        </w:rPr>
      </w:pPr>
      <w:r>
        <w:rPr>
          <w:b/>
          <w:bCs/>
          <w:lang w:bidi="en-US"/>
        </w:rPr>
        <w:br w:type="page"/>
      </w:r>
    </w:p>
    <w:p w:rsidR="007A0DD6" w:rsidRPr="007A0DD6" w:rsidRDefault="007A0DD6" w:rsidP="007A0DD6">
      <w:pPr>
        <w:rPr>
          <w:b/>
          <w:bCs/>
          <w:lang w:bidi="en-US"/>
        </w:rPr>
      </w:pPr>
      <w:proofErr w:type="spellStart"/>
      <w:r w:rsidRPr="007A0DD6">
        <w:rPr>
          <w:b/>
          <w:bCs/>
          <w:lang w:bidi="en-US"/>
        </w:rPr>
        <w:lastRenderedPageBreak/>
        <w:t>CRediT</w:t>
      </w:r>
      <w:proofErr w:type="spellEnd"/>
      <w:r w:rsidRPr="007A0DD6">
        <w:rPr>
          <w:b/>
          <w:bCs/>
          <w:lang w:bidi="en-US"/>
        </w:rPr>
        <w:t xml:space="preserve"> authorship contribution statement</w:t>
      </w:r>
    </w:p>
    <w:p w:rsidR="007A0DD6" w:rsidRPr="007A0DD6" w:rsidRDefault="007A0DD6" w:rsidP="007A0DD6">
      <w:pPr>
        <w:rPr>
          <w:lang w:bidi="en-US"/>
        </w:rPr>
      </w:pPr>
      <w:r w:rsidRPr="007A0DD6">
        <w:rPr>
          <w:b/>
          <w:bCs/>
          <w:lang w:bidi="en-US"/>
        </w:rPr>
        <w:t xml:space="preserve">Laetitia </w:t>
      </w:r>
      <w:proofErr w:type="spellStart"/>
      <w:r w:rsidRPr="007A0DD6">
        <w:rPr>
          <w:b/>
          <w:bCs/>
          <w:lang w:bidi="en-US"/>
        </w:rPr>
        <w:t>Mpola</w:t>
      </w:r>
      <w:proofErr w:type="spellEnd"/>
      <w:r w:rsidRPr="007A0DD6">
        <w:rPr>
          <w:b/>
          <w:bCs/>
          <w:lang w:bidi="en-US"/>
        </w:rPr>
        <w:t xml:space="preserve"> </w:t>
      </w:r>
      <w:proofErr w:type="spellStart"/>
      <w:r w:rsidRPr="007A0DD6">
        <w:rPr>
          <w:b/>
          <w:bCs/>
          <w:lang w:bidi="en-US"/>
        </w:rPr>
        <w:t>Mavinga</w:t>
      </w:r>
      <w:proofErr w:type="spellEnd"/>
      <w:r w:rsidRPr="007A0DD6">
        <w:rPr>
          <w:b/>
          <w:bCs/>
          <w:lang w:bidi="en-US"/>
        </w:rPr>
        <w:t xml:space="preserve">: </w:t>
      </w:r>
      <w:r w:rsidRPr="007A0DD6">
        <w:rPr>
          <w:lang w:bidi="en-US"/>
        </w:rPr>
        <w:t xml:space="preserve">Data curation, Investigation, Methodology, Visualization, Writing - original draft, Writing - review &amp; editing. </w:t>
      </w:r>
      <w:r w:rsidRPr="007A0DD6">
        <w:rPr>
          <w:b/>
          <w:bCs/>
          <w:lang w:bidi="en-US"/>
        </w:rPr>
        <w:t xml:space="preserve">Veronique </w:t>
      </w:r>
      <w:proofErr w:type="spellStart"/>
      <w:r w:rsidRPr="007A0DD6">
        <w:rPr>
          <w:b/>
          <w:bCs/>
          <w:lang w:bidi="en-US"/>
        </w:rPr>
        <w:t>Kakiese</w:t>
      </w:r>
      <w:proofErr w:type="spellEnd"/>
      <w:r w:rsidRPr="007A0DD6">
        <w:rPr>
          <w:b/>
          <w:bCs/>
          <w:lang w:bidi="en-US"/>
        </w:rPr>
        <w:t xml:space="preserve">: </w:t>
      </w:r>
      <w:r w:rsidRPr="007A0DD6">
        <w:rPr>
          <w:lang w:bidi="en-US"/>
        </w:rPr>
        <w:t xml:space="preserve">Resources. </w:t>
      </w:r>
      <w:proofErr w:type="spellStart"/>
      <w:r w:rsidRPr="007A0DD6">
        <w:rPr>
          <w:b/>
          <w:bCs/>
          <w:lang w:bidi="en-US"/>
        </w:rPr>
        <w:t>Mamy</w:t>
      </w:r>
      <w:proofErr w:type="spellEnd"/>
      <w:r w:rsidRPr="007A0DD6">
        <w:rPr>
          <w:b/>
          <w:bCs/>
          <w:lang w:bidi="en-US"/>
        </w:rPr>
        <w:t xml:space="preserve"> </w:t>
      </w:r>
      <w:proofErr w:type="spellStart"/>
      <w:r w:rsidRPr="007A0DD6">
        <w:rPr>
          <w:b/>
          <w:bCs/>
          <w:lang w:bidi="en-US"/>
        </w:rPr>
        <w:t>Ngole</w:t>
      </w:r>
      <w:proofErr w:type="spellEnd"/>
      <w:r w:rsidRPr="007A0DD6">
        <w:rPr>
          <w:b/>
          <w:bCs/>
          <w:lang w:bidi="en-US"/>
        </w:rPr>
        <w:t xml:space="preserve">: </w:t>
      </w:r>
      <w:r w:rsidRPr="007A0DD6">
        <w:rPr>
          <w:lang w:bidi="en-US"/>
        </w:rPr>
        <w:t xml:space="preserve">Resources. </w:t>
      </w:r>
      <w:r w:rsidRPr="007A0DD6">
        <w:rPr>
          <w:b/>
          <w:bCs/>
          <w:lang w:bidi="en-US"/>
        </w:rPr>
        <w:t xml:space="preserve">Cathy </w:t>
      </w:r>
      <w:proofErr w:type="spellStart"/>
      <w:r w:rsidRPr="007A0DD6">
        <w:rPr>
          <w:b/>
          <w:bCs/>
          <w:lang w:bidi="en-US"/>
        </w:rPr>
        <w:t>Songo</w:t>
      </w:r>
      <w:proofErr w:type="spellEnd"/>
      <w:r w:rsidRPr="007A0DD6">
        <w:rPr>
          <w:b/>
          <w:bCs/>
          <w:lang w:bidi="en-US"/>
        </w:rPr>
        <w:t xml:space="preserve">: </w:t>
      </w:r>
      <w:r w:rsidRPr="007A0DD6">
        <w:rPr>
          <w:lang w:bidi="en-US"/>
        </w:rPr>
        <w:t xml:space="preserve">Resources. </w:t>
      </w:r>
      <w:proofErr w:type="spellStart"/>
      <w:r w:rsidRPr="007A0DD6">
        <w:rPr>
          <w:b/>
          <w:bCs/>
          <w:lang w:bidi="en-US"/>
        </w:rPr>
        <w:t>Aim</w:t>
      </w:r>
      <w:r w:rsidRPr="007A0DD6">
        <w:rPr>
          <w:lang w:bidi="en-US"/>
        </w:rPr>
        <w:t>e</w:t>
      </w:r>
      <w:proofErr w:type="spellEnd"/>
      <w:r w:rsidRPr="007A0DD6">
        <w:rPr>
          <w:lang w:bidi="en-US"/>
        </w:rPr>
        <w:t xml:space="preserve"> </w:t>
      </w:r>
      <w:proofErr w:type="spellStart"/>
      <w:r w:rsidRPr="007A0DD6">
        <w:rPr>
          <w:b/>
          <w:bCs/>
          <w:lang w:bidi="en-US"/>
        </w:rPr>
        <w:t>Lumaka</w:t>
      </w:r>
      <w:proofErr w:type="spellEnd"/>
      <w:r w:rsidRPr="007A0DD6">
        <w:rPr>
          <w:b/>
          <w:bCs/>
          <w:lang w:bidi="en-US"/>
        </w:rPr>
        <w:t xml:space="preserve">: </w:t>
      </w:r>
      <w:r w:rsidRPr="007A0DD6">
        <w:rPr>
          <w:lang w:bidi="en-US"/>
        </w:rPr>
        <w:t xml:space="preserve">Formal analysis, Software. </w:t>
      </w:r>
      <w:r w:rsidRPr="007A0DD6">
        <w:rPr>
          <w:b/>
          <w:bCs/>
          <w:lang w:bidi="en-US"/>
        </w:rPr>
        <w:t xml:space="preserve">Valerie Race: </w:t>
      </w:r>
      <w:r w:rsidRPr="007A0DD6">
        <w:rPr>
          <w:lang w:bidi="en-US"/>
        </w:rPr>
        <w:t xml:space="preserve">Methodology, Investigation, Resources. </w:t>
      </w:r>
      <w:r w:rsidRPr="007A0DD6">
        <w:rPr>
          <w:b/>
          <w:bCs/>
          <w:lang w:bidi="en-US"/>
        </w:rPr>
        <w:t xml:space="preserve">Prosper </w:t>
      </w:r>
      <w:proofErr w:type="spellStart"/>
      <w:r w:rsidRPr="007A0DD6">
        <w:rPr>
          <w:b/>
          <w:bCs/>
          <w:lang w:bidi="en-US"/>
        </w:rPr>
        <w:t>Tshilobo</w:t>
      </w:r>
      <w:proofErr w:type="spellEnd"/>
      <w:r w:rsidRPr="007A0DD6">
        <w:rPr>
          <w:b/>
          <w:bCs/>
          <w:lang w:bidi="en-US"/>
        </w:rPr>
        <w:t xml:space="preserve"> </w:t>
      </w:r>
      <w:proofErr w:type="spellStart"/>
      <w:r w:rsidRPr="007A0DD6">
        <w:rPr>
          <w:b/>
          <w:bCs/>
          <w:lang w:bidi="en-US"/>
        </w:rPr>
        <w:t>Lukusa</w:t>
      </w:r>
      <w:proofErr w:type="spellEnd"/>
      <w:r w:rsidRPr="007A0DD6">
        <w:rPr>
          <w:b/>
          <w:bCs/>
          <w:lang w:bidi="en-US"/>
        </w:rPr>
        <w:t xml:space="preserve">: </w:t>
      </w:r>
      <w:r w:rsidRPr="007A0DD6">
        <w:rPr>
          <w:lang w:bidi="en-US"/>
        </w:rPr>
        <w:t xml:space="preserve">Conceptualization, Validation, Supervision. </w:t>
      </w:r>
      <w:proofErr w:type="spellStart"/>
      <w:r w:rsidRPr="007A0DD6">
        <w:rPr>
          <w:b/>
          <w:bCs/>
          <w:lang w:bidi="en-US"/>
        </w:rPr>
        <w:t>Koenraad</w:t>
      </w:r>
      <w:proofErr w:type="spellEnd"/>
      <w:r w:rsidRPr="007A0DD6">
        <w:rPr>
          <w:b/>
          <w:bCs/>
          <w:lang w:bidi="en-US"/>
        </w:rPr>
        <w:t xml:space="preserve"> Dev- </w:t>
      </w:r>
      <w:proofErr w:type="spellStart"/>
      <w:r w:rsidRPr="007A0DD6">
        <w:rPr>
          <w:b/>
          <w:bCs/>
          <w:lang w:bidi="en-US"/>
        </w:rPr>
        <w:t>riendt</w:t>
      </w:r>
      <w:proofErr w:type="spellEnd"/>
      <w:r w:rsidRPr="007A0DD6">
        <w:rPr>
          <w:b/>
          <w:bCs/>
          <w:lang w:bidi="en-US"/>
        </w:rPr>
        <w:t xml:space="preserve">: </w:t>
      </w:r>
      <w:r w:rsidRPr="007A0DD6">
        <w:rPr>
          <w:lang w:bidi="en-US"/>
        </w:rPr>
        <w:t>Conceptualization, Funding acquisition, Validation, Project administration.</w:t>
      </w:r>
    </w:p>
    <w:p w:rsidR="007A0DD6" w:rsidRPr="007A0DD6" w:rsidRDefault="007A0DD6" w:rsidP="007A0DD6">
      <w:pPr>
        <w:rPr>
          <w:b/>
          <w:bCs/>
          <w:lang w:bidi="en-US"/>
        </w:rPr>
      </w:pPr>
      <w:r w:rsidRPr="007A0DD6">
        <w:rPr>
          <w:b/>
          <w:bCs/>
          <w:lang w:bidi="en-US"/>
        </w:rPr>
        <w:t>Data availability</w:t>
      </w:r>
    </w:p>
    <w:p w:rsidR="007A0DD6" w:rsidRPr="007A0DD6" w:rsidRDefault="007A0DD6" w:rsidP="007A0DD6">
      <w:pPr>
        <w:rPr>
          <w:lang w:bidi="en-US"/>
        </w:rPr>
      </w:pPr>
      <w:r w:rsidRPr="007A0DD6">
        <w:rPr>
          <w:lang w:bidi="en-US"/>
        </w:rPr>
        <w:t>The data that has been used is confidential.</w:t>
      </w:r>
    </w:p>
    <w:p w:rsidR="007A0DD6" w:rsidRPr="007A0DD6" w:rsidRDefault="007A0DD6" w:rsidP="007A0DD6">
      <w:pPr>
        <w:rPr>
          <w:b/>
          <w:bCs/>
          <w:lang w:bidi="en-US"/>
        </w:rPr>
      </w:pPr>
      <w:r w:rsidRPr="007A0DD6">
        <w:rPr>
          <w:b/>
          <w:bCs/>
          <w:lang w:bidi="en-US"/>
        </w:rPr>
        <w:t>Acknowledgements</w:t>
      </w:r>
    </w:p>
    <w:p w:rsidR="007A0DD6" w:rsidRPr="007A0DD6" w:rsidRDefault="007A0DD6" w:rsidP="007A0DD6">
      <w:pPr>
        <w:rPr>
          <w:lang w:bidi="en-US"/>
        </w:rPr>
      </w:pPr>
      <w:r w:rsidRPr="007A0DD6">
        <w:rPr>
          <w:lang w:bidi="en-US"/>
        </w:rPr>
        <w:t>We thank all patients and their families for their collaboration. We also thank the associations of people living with albinism for their cooperation. We acknowledge the support from the Fair Nature and Society.</w:t>
      </w:r>
    </w:p>
    <w:p w:rsidR="001A4540" w:rsidRPr="007A692D" w:rsidRDefault="001B10D6" w:rsidP="007A692D">
      <w:pPr>
        <w:pStyle w:val="Titre1"/>
        <w:rPr>
          <w:sz w:val="22"/>
          <w:szCs w:val="22"/>
          <w:lang w:bidi="en-US"/>
        </w:rPr>
      </w:pPr>
      <w:r>
        <w:br w:type="page"/>
      </w:r>
      <w:proofErr w:type="spellStart"/>
      <w:r w:rsidR="001A4540">
        <w:lastRenderedPageBreak/>
        <w:t>References</w:t>
      </w:r>
      <w:proofErr w:type="spellEnd"/>
    </w:p>
    <w:p w:rsidR="007A692D" w:rsidRPr="007A692D" w:rsidRDefault="007A692D" w:rsidP="007A692D">
      <w:pPr>
        <w:pStyle w:val="Rfrencesarticle"/>
        <w:rPr>
          <w:lang w:bidi="en-US"/>
        </w:rPr>
      </w:pPr>
      <w:r>
        <w:rPr>
          <w:lang w:val="fr-BE" w:bidi="en-US"/>
        </w:rPr>
        <w:tab/>
      </w:r>
      <w:r w:rsidRPr="007A692D">
        <w:rPr>
          <w:lang w:val="fr-BE" w:bidi="en-US"/>
        </w:rPr>
        <w:t xml:space="preserve">Ali, I., </w:t>
      </w:r>
      <w:proofErr w:type="spellStart"/>
      <w:r w:rsidRPr="007A692D">
        <w:rPr>
          <w:lang w:val="fr-BE" w:bidi="en-US"/>
        </w:rPr>
        <w:t>Abbassi</w:t>
      </w:r>
      <w:proofErr w:type="spellEnd"/>
      <w:r w:rsidRPr="007A692D">
        <w:rPr>
          <w:lang w:val="fr-BE" w:bidi="en-US"/>
        </w:rPr>
        <w:t xml:space="preserve">, A.A., </w:t>
      </w:r>
      <w:proofErr w:type="spellStart"/>
      <w:r w:rsidRPr="007A692D">
        <w:rPr>
          <w:lang w:val="fr-BE" w:bidi="en-US"/>
        </w:rPr>
        <w:t>Niaz</w:t>
      </w:r>
      <w:proofErr w:type="spellEnd"/>
      <w:r w:rsidRPr="007A692D">
        <w:rPr>
          <w:lang w:val="fr-BE" w:bidi="en-US"/>
        </w:rPr>
        <w:t xml:space="preserve">, U., </w:t>
      </w:r>
      <w:proofErr w:type="spellStart"/>
      <w:r w:rsidRPr="007A692D">
        <w:rPr>
          <w:lang w:val="fr-BE" w:bidi="en-US"/>
        </w:rPr>
        <w:t>Asghar</w:t>
      </w:r>
      <w:proofErr w:type="spellEnd"/>
      <w:r w:rsidRPr="007A692D">
        <w:rPr>
          <w:lang w:val="fr-BE" w:bidi="en-US"/>
        </w:rPr>
        <w:t xml:space="preserve">, R., </w:t>
      </w:r>
      <w:proofErr w:type="spellStart"/>
      <w:r w:rsidRPr="007A692D">
        <w:rPr>
          <w:lang w:val="fr-BE" w:bidi="en-US"/>
        </w:rPr>
        <w:t>Ishaq</w:t>
      </w:r>
      <w:proofErr w:type="spellEnd"/>
      <w:r w:rsidRPr="007A692D">
        <w:rPr>
          <w:lang w:val="fr-BE" w:bidi="en-US"/>
        </w:rPr>
        <w:t xml:space="preserve">, K., Aziz, T., et al., 2016. </w:t>
      </w:r>
      <w:r w:rsidRPr="007A692D">
        <w:rPr>
          <w:lang w:bidi="en-US"/>
        </w:rPr>
        <w:t xml:space="preserve">Molecular Analysis of Families Afflicted with Autosomal Recessive </w:t>
      </w:r>
      <w:proofErr w:type="spellStart"/>
      <w:r w:rsidRPr="007A692D">
        <w:rPr>
          <w:lang w:bidi="en-US"/>
        </w:rPr>
        <w:t>Occulocutanious</w:t>
      </w:r>
      <w:proofErr w:type="spellEnd"/>
      <w:r w:rsidRPr="007A692D">
        <w:rPr>
          <w:lang w:bidi="en-US"/>
        </w:rPr>
        <w:t xml:space="preserve"> </w:t>
      </w:r>
      <w:proofErr w:type="spellStart"/>
      <w:r w:rsidRPr="007A692D">
        <w:rPr>
          <w:lang w:bidi="en-US"/>
        </w:rPr>
        <w:t>Albinisim</w:t>
      </w:r>
      <w:proofErr w:type="spellEnd"/>
      <w:r w:rsidRPr="007A692D">
        <w:rPr>
          <w:lang w:bidi="en-US"/>
        </w:rPr>
        <w:t xml:space="preserve"> from Azad Jammu and Kashmir, vol. 5, pp. 107-113, 1.</w:t>
      </w:r>
    </w:p>
    <w:p w:rsidR="007A692D" w:rsidRPr="007A692D" w:rsidRDefault="007A692D" w:rsidP="007A692D">
      <w:pPr>
        <w:pStyle w:val="Rfrencesarticle"/>
        <w:rPr>
          <w:lang w:bidi="en-US"/>
        </w:rPr>
      </w:pPr>
      <w:r>
        <w:rPr>
          <w:lang w:bidi="en-US"/>
        </w:rPr>
        <w:tab/>
      </w:r>
      <w:proofErr w:type="spellStart"/>
      <w:r w:rsidRPr="007A692D">
        <w:rPr>
          <w:lang w:bidi="en-US"/>
        </w:rPr>
        <w:t>Aquaron</w:t>
      </w:r>
      <w:proofErr w:type="spellEnd"/>
      <w:r w:rsidRPr="007A692D">
        <w:rPr>
          <w:lang w:bidi="en-US"/>
        </w:rPr>
        <w:t xml:space="preserve">, R., </w:t>
      </w:r>
      <w:proofErr w:type="spellStart"/>
      <w:r w:rsidRPr="007A692D">
        <w:rPr>
          <w:lang w:bidi="en-US"/>
        </w:rPr>
        <w:t>Bergee-Lefranc</w:t>
      </w:r>
      <w:proofErr w:type="spellEnd"/>
      <w:r w:rsidRPr="007A692D">
        <w:rPr>
          <w:lang w:bidi="en-US"/>
        </w:rPr>
        <w:t xml:space="preserve">, J.L., </w:t>
      </w:r>
      <w:proofErr w:type="spellStart"/>
      <w:r w:rsidRPr="007A692D">
        <w:rPr>
          <w:lang w:bidi="en-US"/>
        </w:rPr>
        <w:t>Badens</w:t>
      </w:r>
      <w:proofErr w:type="spellEnd"/>
      <w:r w:rsidRPr="007A692D">
        <w:rPr>
          <w:lang w:bidi="en-US"/>
        </w:rPr>
        <w:t xml:space="preserve">, C., Austerlitz, F.G.B., 2007. </w:t>
      </w:r>
      <w:proofErr w:type="spellStart"/>
      <w:r w:rsidRPr="007A692D">
        <w:rPr>
          <w:lang w:bidi="en-US"/>
        </w:rPr>
        <w:t>Oculocutaneous</w:t>
      </w:r>
      <w:proofErr w:type="spellEnd"/>
      <w:r w:rsidRPr="007A692D">
        <w:rPr>
          <w:lang w:bidi="en-US"/>
        </w:rPr>
        <w:t xml:space="preserve"> albinism type 2 (OCA2) with homozygous 2.7-kb deletion of the P gene and sickle cell disease in a Cameroonian </w:t>
      </w:r>
      <w:proofErr w:type="gramStart"/>
      <w:r w:rsidRPr="007A692D">
        <w:rPr>
          <w:lang w:bidi="en-US"/>
        </w:rPr>
        <w:t>family .</w:t>
      </w:r>
      <w:proofErr w:type="gramEnd"/>
      <w:r w:rsidRPr="007A692D">
        <w:rPr>
          <w:lang w:bidi="en-US"/>
        </w:rPr>
        <w:t xml:space="preserve"> Identification of a common TAG haplotype in the mutated P gene. J. Hum. Genet. 52, 771-780.</w:t>
      </w:r>
    </w:p>
    <w:p w:rsidR="007A692D" w:rsidRPr="007A692D" w:rsidRDefault="007A692D" w:rsidP="007A692D">
      <w:pPr>
        <w:pStyle w:val="Rfrencesarticle"/>
        <w:rPr>
          <w:lang w:val="fr-BE" w:bidi="en-US"/>
        </w:rPr>
      </w:pPr>
      <w:r>
        <w:rPr>
          <w:lang w:bidi="en-US"/>
        </w:rPr>
        <w:tab/>
      </w:r>
      <w:r w:rsidRPr="007A692D">
        <w:rPr>
          <w:lang w:bidi="en-US"/>
        </w:rPr>
        <w:t xml:space="preserve">Brilliant, M.H., 2015. Albinism in Africa: a medical and social emergency. </w:t>
      </w:r>
      <w:r w:rsidRPr="007A692D">
        <w:rPr>
          <w:lang w:val="fr-BE" w:bidi="en-US"/>
        </w:rPr>
        <w:t xml:space="preserve">Int </w:t>
      </w:r>
      <w:proofErr w:type="spellStart"/>
      <w:r w:rsidRPr="007A692D">
        <w:rPr>
          <w:lang w:val="fr-BE" w:bidi="en-US"/>
        </w:rPr>
        <w:t>Health</w:t>
      </w:r>
      <w:proofErr w:type="spellEnd"/>
      <w:r w:rsidRPr="007A692D">
        <w:rPr>
          <w:lang w:val="fr-BE" w:bidi="en-US"/>
        </w:rPr>
        <w:t xml:space="preserve"> 7 (4), 223-225.</w:t>
      </w:r>
    </w:p>
    <w:p w:rsidR="007A692D" w:rsidRPr="007A692D" w:rsidRDefault="007A692D" w:rsidP="007A692D">
      <w:pPr>
        <w:pStyle w:val="Rfrencesarticle"/>
        <w:rPr>
          <w:lang w:bidi="en-US"/>
        </w:rPr>
      </w:pPr>
      <w:r>
        <w:rPr>
          <w:lang w:bidi="en-US"/>
        </w:rPr>
        <w:tab/>
      </w:r>
      <w:r w:rsidRPr="007A692D">
        <w:rPr>
          <w:lang w:bidi="en-US"/>
        </w:rPr>
        <w:t xml:space="preserve">Durham-Pierre, D., Gardner, J.M., </w:t>
      </w:r>
      <w:proofErr w:type="spellStart"/>
      <w:r w:rsidRPr="007A692D">
        <w:rPr>
          <w:lang w:bidi="en-US"/>
        </w:rPr>
        <w:t>Nakatsu</w:t>
      </w:r>
      <w:proofErr w:type="spellEnd"/>
      <w:r w:rsidRPr="007A692D">
        <w:rPr>
          <w:lang w:bidi="en-US"/>
        </w:rPr>
        <w:t xml:space="preserve">, Y., King, R.A., </w:t>
      </w:r>
      <w:proofErr w:type="spellStart"/>
      <w:r w:rsidRPr="007A692D">
        <w:rPr>
          <w:lang w:bidi="en-US"/>
        </w:rPr>
        <w:t>Francke</w:t>
      </w:r>
      <w:proofErr w:type="spellEnd"/>
      <w:r w:rsidRPr="007A692D">
        <w:rPr>
          <w:lang w:bidi="en-US"/>
        </w:rPr>
        <w:t xml:space="preserve">, U., </w:t>
      </w:r>
      <w:proofErr w:type="spellStart"/>
      <w:r w:rsidRPr="007A692D">
        <w:rPr>
          <w:lang w:bidi="en-US"/>
        </w:rPr>
        <w:t>Ching</w:t>
      </w:r>
      <w:proofErr w:type="spellEnd"/>
      <w:r w:rsidRPr="007A692D">
        <w:rPr>
          <w:lang w:bidi="en-US"/>
        </w:rPr>
        <w:t xml:space="preserve">, A., et al., 1994. African origin of an intragenic deletion of the human P gene in </w:t>
      </w:r>
      <w:proofErr w:type="spellStart"/>
      <w:r w:rsidRPr="007A692D">
        <w:rPr>
          <w:lang w:bidi="en-US"/>
        </w:rPr>
        <w:t>tyrosinase</w:t>
      </w:r>
      <w:proofErr w:type="spellEnd"/>
      <w:r w:rsidRPr="007A692D">
        <w:rPr>
          <w:lang w:bidi="en-US"/>
        </w:rPr>
        <w:t xml:space="preserve"> positive </w:t>
      </w:r>
      <w:proofErr w:type="spellStart"/>
      <w:r w:rsidRPr="007A692D">
        <w:rPr>
          <w:lang w:bidi="en-US"/>
        </w:rPr>
        <w:t>oculocutaneous</w:t>
      </w:r>
      <w:proofErr w:type="spellEnd"/>
      <w:r w:rsidRPr="007A692D">
        <w:rPr>
          <w:lang w:bidi="en-US"/>
        </w:rPr>
        <w:t xml:space="preserve"> albinism. Nat. Genet. 7, 176-179.</w:t>
      </w:r>
    </w:p>
    <w:p w:rsidR="007A692D" w:rsidRPr="007A692D" w:rsidRDefault="007A692D" w:rsidP="007A692D">
      <w:pPr>
        <w:pStyle w:val="Rfrencesarticle"/>
        <w:rPr>
          <w:lang w:bidi="en-US"/>
        </w:rPr>
      </w:pPr>
      <w:r>
        <w:rPr>
          <w:lang w:bidi="en-US"/>
        </w:rPr>
        <w:tab/>
      </w:r>
      <w:r w:rsidRPr="007A692D">
        <w:rPr>
          <w:lang w:bidi="en-US"/>
        </w:rPr>
        <w:t>Franklin, A., Lund, P., Bradbury-jones, C., Taylor, J., 2018. Children with Albinism in</w:t>
      </w:r>
      <w:r>
        <w:rPr>
          <w:lang w:bidi="en-US"/>
        </w:rPr>
        <w:t xml:space="preserve"> </w:t>
      </w:r>
      <w:r w:rsidRPr="007A692D">
        <w:rPr>
          <w:lang w:bidi="en-US"/>
        </w:rPr>
        <w:t xml:space="preserve">African </w:t>
      </w:r>
      <w:proofErr w:type="gramStart"/>
      <w:r w:rsidRPr="007A692D">
        <w:rPr>
          <w:lang w:bidi="en-US"/>
        </w:rPr>
        <w:t>Regions :</w:t>
      </w:r>
      <w:proofErr w:type="gramEnd"/>
      <w:r w:rsidRPr="007A692D">
        <w:rPr>
          <w:lang w:bidi="en-US"/>
        </w:rPr>
        <w:t xml:space="preserve"> Their Rights to ‘ Being ’ and ‘ Doing, pp. 1-8.</w:t>
      </w:r>
    </w:p>
    <w:p w:rsidR="007A692D" w:rsidRPr="007A692D" w:rsidRDefault="007A692D" w:rsidP="007A692D">
      <w:pPr>
        <w:pStyle w:val="Rfrencesarticle"/>
        <w:rPr>
          <w:lang w:bidi="en-US"/>
        </w:rPr>
      </w:pPr>
      <w:r>
        <w:rPr>
          <w:lang w:bidi="en-US"/>
        </w:rPr>
        <w:tab/>
      </w:r>
      <w:proofErr w:type="spellStart"/>
      <w:r w:rsidR="00006C30">
        <w:rPr>
          <w:lang w:bidi="en-US"/>
        </w:rPr>
        <w:t>Grønskov</w:t>
      </w:r>
      <w:proofErr w:type="spellEnd"/>
      <w:r w:rsidRPr="007A692D">
        <w:rPr>
          <w:lang w:bidi="en-US"/>
        </w:rPr>
        <w:t xml:space="preserve">, K., </w:t>
      </w:r>
      <w:proofErr w:type="spellStart"/>
      <w:r w:rsidRPr="007A692D">
        <w:rPr>
          <w:lang w:bidi="en-US"/>
        </w:rPr>
        <w:t>Ek</w:t>
      </w:r>
      <w:proofErr w:type="spellEnd"/>
      <w:r w:rsidRPr="007A692D">
        <w:rPr>
          <w:lang w:bidi="en-US"/>
        </w:rPr>
        <w:t xml:space="preserve">, J., </w:t>
      </w:r>
      <w:proofErr w:type="spellStart"/>
      <w:r w:rsidRPr="007A692D">
        <w:rPr>
          <w:lang w:bidi="en-US"/>
        </w:rPr>
        <w:t>Brondum-nielsen</w:t>
      </w:r>
      <w:proofErr w:type="spellEnd"/>
      <w:r w:rsidRPr="007A692D">
        <w:rPr>
          <w:lang w:bidi="en-US"/>
        </w:rPr>
        <w:t xml:space="preserve">, K., 2007. </w:t>
      </w:r>
      <w:proofErr w:type="spellStart"/>
      <w:r w:rsidRPr="007A692D">
        <w:rPr>
          <w:lang w:bidi="en-US"/>
        </w:rPr>
        <w:t>Oculocutaneous</w:t>
      </w:r>
      <w:proofErr w:type="spellEnd"/>
      <w:r w:rsidRPr="007A692D">
        <w:rPr>
          <w:lang w:bidi="en-US"/>
        </w:rPr>
        <w:t xml:space="preserve"> albinism. </w:t>
      </w:r>
      <w:proofErr w:type="spellStart"/>
      <w:r w:rsidRPr="007A692D">
        <w:rPr>
          <w:lang w:bidi="en-US"/>
        </w:rPr>
        <w:t>Orphanet</w:t>
      </w:r>
      <w:proofErr w:type="spellEnd"/>
      <w:r w:rsidRPr="007A692D">
        <w:rPr>
          <w:lang w:bidi="en-US"/>
        </w:rPr>
        <w:t xml:space="preserve"> J. Rare Dis. 8, 1-8.</w:t>
      </w:r>
    </w:p>
    <w:p w:rsidR="007A692D" w:rsidRPr="007A692D" w:rsidRDefault="007A692D" w:rsidP="007A692D">
      <w:pPr>
        <w:pStyle w:val="Rfrencesarticle"/>
        <w:rPr>
          <w:lang w:val="fr-BE" w:bidi="en-US"/>
        </w:rPr>
      </w:pPr>
      <w:r>
        <w:rPr>
          <w:lang w:bidi="en-US"/>
        </w:rPr>
        <w:tab/>
      </w:r>
      <w:r w:rsidRPr="007A692D">
        <w:rPr>
          <w:lang w:bidi="en-US"/>
        </w:rPr>
        <w:t xml:space="preserve">Hawkes, J.E., Cassidy, P.B., Manga, P., </w:t>
      </w:r>
      <w:proofErr w:type="spellStart"/>
      <w:r w:rsidRPr="007A692D">
        <w:rPr>
          <w:lang w:bidi="en-US"/>
        </w:rPr>
        <w:t>Boissy</w:t>
      </w:r>
      <w:proofErr w:type="spellEnd"/>
      <w:r w:rsidRPr="007A692D">
        <w:rPr>
          <w:lang w:bidi="en-US"/>
        </w:rPr>
        <w:t xml:space="preserve">, R.E., </w:t>
      </w:r>
      <w:proofErr w:type="spellStart"/>
      <w:r w:rsidRPr="007A692D">
        <w:rPr>
          <w:lang w:bidi="en-US"/>
        </w:rPr>
        <w:t>Goldgar</w:t>
      </w:r>
      <w:proofErr w:type="spellEnd"/>
      <w:r w:rsidRPr="007A692D">
        <w:rPr>
          <w:lang w:bidi="en-US"/>
        </w:rPr>
        <w:t xml:space="preserve">, D., Cannon-Albright, L., et al., 2013. Report of a novel OCA2 gene mutation and an investigation of OCA2 variants on melanoma risk in a familial melanoma pedigree. </w:t>
      </w:r>
      <w:r w:rsidRPr="007A692D">
        <w:rPr>
          <w:lang w:val="fr-BE" w:bidi="en-US"/>
        </w:rPr>
        <w:t xml:space="preserve">J. </w:t>
      </w:r>
      <w:proofErr w:type="spellStart"/>
      <w:r w:rsidRPr="007A692D">
        <w:rPr>
          <w:lang w:val="fr-BE" w:bidi="en-US"/>
        </w:rPr>
        <w:t>Dermatol</w:t>
      </w:r>
      <w:proofErr w:type="spellEnd"/>
      <w:r w:rsidRPr="007A692D">
        <w:rPr>
          <w:lang w:val="fr-BE" w:bidi="en-US"/>
        </w:rPr>
        <w:t xml:space="preserve">. </w:t>
      </w:r>
      <w:proofErr w:type="spellStart"/>
      <w:r w:rsidRPr="007A692D">
        <w:rPr>
          <w:lang w:val="fr-BE" w:bidi="en-US"/>
        </w:rPr>
        <w:t>Sci</w:t>
      </w:r>
      <w:proofErr w:type="spellEnd"/>
      <w:r w:rsidRPr="007A692D">
        <w:rPr>
          <w:lang w:val="fr-BE" w:bidi="en-US"/>
        </w:rPr>
        <w:t>. 69 (1), 30-37.</w:t>
      </w:r>
    </w:p>
    <w:p w:rsidR="007A692D" w:rsidRPr="007A692D" w:rsidRDefault="007A692D" w:rsidP="007A692D">
      <w:pPr>
        <w:pStyle w:val="Rfrencesarticle"/>
        <w:rPr>
          <w:lang w:bidi="en-US"/>
        </w:rPr>
      </w:pPr>
      <w:r>
        <w:rPr>
          <w:lang w:bidi="en-US"/>
        </w:rPr>
        <w:tab/>
      </w:r>
      <w:proofErr w:type="spellStart"/>
      <w:r w:rsidRPr="007A692D">
        <w:rPr>
          <w:lang w:bidi="en-US"/>
        </w:rPr>
        <w:t>Kamaraj</w:t>
      </w:r>
      <w:proofErr w:type="spellEnd"/>
      <w:r w:rsidRPr="007A692D">
        <w:rPr>
          <w:lang w:bidi="en-US"/>
        </w:rPr>
        <w:t xml:space="preserve">, B., </w:t>
      </w:r>
      <w:proofErr w:type="spellStart"/>
      <w:r w:rsidRPr="007A692D">
        <w:rPr>
          <w:lang w:bidi="en-US"/>
        </w:rPr>
        <w:t>Purohit</w:t>
      </w:r>
      <w:proofErr w:type="spellEnd"/>
      <w:r w:rsidRPr="007A692D">
        <w:rPr>
          <w:lang w:bidi="en-US"/>
        </w:rPr>
        <w:t xml:space="preserve">, R., 2014. Mutational analysis of </w:t>
      </w:r>
      <w:proofErr w:type="spellStart"/>
      <w:r w:rsidRPr="007A692D">
        <w:rPr>
          <w:lang w:bidi="en-US"/>
        </w:rPr>
        <w:t>oculocutaneous</w:t>
      </w:r>
      <w:proofErr w:type="spellEnd"/>
      <w:r w:rsidRPr="007A692D">
        <w:rPr>
          <w:lang w:bidi="en-US"/>
        </w:rPr>
        <w:t xml:space="preserve"> </w:t>
      </w:r>
      <w:proofErr w:type="gramStart"/>
      <w:r w:rsidRPr="007A692D">
        <w:rPr>
          <w:lang w:bidi="en-US"/>
        </w:rPr>
        <w:t>albinism :</w:t>
      </w:r>
      <w:proofErr w:type="gramEnd"/>
      <w:r w:rsidRPr="007A692D">
        <w:rPr>
          <w:lang w:bidi="en-US"/>
        </w:rPr>
        <w:t xml:space="preserve"> a compact review. </w:t>
      </w:r>
      <w:proofErr w:type="spellStart"/>
      <w:r w:rsidRPr="007A692D">
        <w:rPr>
          <w:lang w:bidi="en-US"/>
        </w:rPr>
        <w:t>BioMed</w:t>
      </w:r>
      <w:proofErr w:type="spellEnd"/>
      <w:r w:rsidRPr="007A692D">
        <w:rPr>
          <w:lang w:bidi="en-US"/>
        </w:rPr>
        <w:t xml:space="preserve"> Res. Int. 905472, 1-10.</w:t>
      </w:r>
    </w:p>
    <w:p w:rsidR="007A692D" w:rsidRPr="007A692D" w:rsidRDefault="007A692D" w:rsidP="007A692D">
      <w:pPr>
        <w:pStyle w:val="Rfrencesarticle"/>
        <w:rPr>
          <w:lang w:bidi="en-US"/>
        </w:rPr>
      </w:pPr>
      <w:r>
        <w:rPr>
          <w:lang w:bidi="en-US"/>
        </w:rPr>
        <w:tab/>
      </w:r>
      <w:r w:rsidRPr="007A692D">
        <w:rPr>
          <w:lang w:bidi="en-US"/>
        </w:rPr>
        <w:t xml:space="preserve">Kerr, R., Stevens, G., Manga, P., </w:t>
      </w:r>
      <w:proofErr w:type="spellStart"/>
      <w:r w:rsidRPr="007A692D">
        <w:rPr>
          <w:lang w:bidi="en-US"/>
        </w:rPr>
        <w:t>Salm</w:t>
      </w:r>
      <w:proofErr w:type="spellEnd"/>
      <w:r w:rsidRPr="007A692D">
        <w:rPr>
          <w:lang w:bidi="en-US"/>
        </w:rPr>
        <w:t xml:space="preserve">, S., John, P., Haw, T., et al., 2000. Identification of </w:t>
      </w:r>
      <w:r w:rsidRPr="007A692D">
        <w:rPr>
          <w:i/>
          <w:iCs/>
          <w:lang w:bidi="en-US"/>
        </w:rPr>
        <w:t>P</w:t>
      </w:r>
      <w:r w:rsidRPr="007A692D">
        <w:rPr>
          <w:lang w:bidi="en-US"/>
        </w:rPr>
        <w:t xml:space="preserve"> gene mutations in individuals with </w:t>
      </w:r>
      <w:proofErr w:type="spellStart"/>
      <w:r w:rsidRPr="007A692D">
        <w:rPr>
          <w:lang w:bidi="en-US"/>
        </w:rPr>
        <w:t>oculocutaneous</w:t>
      </w:r>
      <w:proofErr w:type="spellEnd"/>
      <w:r w:rsidRPr="007A692D">
        <w:rPr>
          <w:lang w:bidi="en-US"/>
        </w:rPr>
        <w:t xml:space="preserve"> albinism in Sub-Saharan Africa. Hum. </w:t>
      </w:r>
      <w:proofErr w:type="spellStart"/>
      <w:r w:rsidRPr="007A692D">
        <w:rPr>
          <w:lang w:bidi="en-US"/>
        </w:rPr>
        <w:t>Mutat</w:t>
      </w:r>
      <w:proofErr w:type="spellEnd"/>
      <w:r w:rsidRPr="007A692D">
        <w:rPr>
          <w:lang w:bidi="en-US"/>
        </w:rPr>
        <w:t>. 15, 166-172.</w:t>
      </w:r>
    </w:p>
    <w:p w:rsidR="007A692D" w:rsidRPr="007A692D" w:rsidRDefault="007A692D" w:rsidP="007A692D">
      <w:pPr>
        <w:pStyle w:val="Rfrencesarticle"/>
        <w:rPr>
          <w:lang w:bidi="en-US"/>
        </w:rPr>
      </w:pPr>
      <w:r>
        <w:rPr>
          <w:lang w:bidi="en-US"/>
        </w:rPr>
        <w:tab/>
      </w:r>
      <w:r w:rsidRPr="007A692D">
        <w:rPr>
          <w:lang w:bidi="en-US"/>
        </w:rPr>
        <w:t xml:space="preserve">Krause, A., Seymour, H., 2018. Common and founder mutations for monogenic traits in </w:t>
      </w:r>
      <w:proofErr w:type="spellStart"/>
      <w:r w:rsidRPr="007A692D">
        <w:rPr>
          <w:lang w:bidi="en-US"/>
        </w:rPr>
        <w:t>sub-saharan</w:t>
      </w:r>
      <w:proofErr w:type="spellEnd"/>
      <w:r w:rsidRPr="007A692D">
        <w:rPr>
          <w:lang w:bidi="en-US"/>
        </w:rPr>
        <w:t xml:space="preserve"> </w:t>
      </w:r>
      <w:proofErr w:type="spellStart"/>
      <w:r w:rsidRPr="007A692D">
        <w:rPr>
          <w:lang w:bidi="en-US"/>
        </w:rPr>
        <w:t>african</w:t>
      </w:r>
      <w:proofErr w:type="spellEnd"/>
      <w:r w:rsidRPr="007A692D">
        <w:rPr>
          <w:lang w:bidi="en-US"/>
        </w:rPr>
        <w:t xml:space="preserve"> populations. </w:t>
      </w:r>
      <w:proofErr w:type="spellStart"/>
      <w:r w:rsidRPr="007A692D">
        <w:rPr>
          <w:lang w:bidi="en-US"/>
        </w:rPr>
        <w:t>Annu</w:t>
      </w:r>
      <w:proofErr w:type="spellEnd"/>
      <w:r w:rsidRPr="007A692D">
        <w:rPr>
          <w:lang w:bidi="en-US"/>
        </w:rPr>
        <w:t xml:space="preserve">. Rev. </w:t>
      </w:r>
      <w:proofErr w:type="spellStart"/>
      <w:r w:rsidRPr="007A692D">
        <w:rPr>
          <w:lang w:bidi="en-US"/>
        </w:rPr>
        <w:t>Genom</w:t>
      </w:r>
      <w:proofErr w:type="spellEnd"/>
      <w:r w:rsidRPr="007A692D">
        <w:rPr>
          <w:lang w:bidi="en-US"/>
        </w:rPr>
        <w:t>. Hum. Genet. 19, 149-175.</w:t>
      </w:r>
    </w:p>
    <w:p w:rsidR="007A692D" w:rsidRPr="007A692D" w:rsidRDefault="007A692D" w:rsidP="007A692D">
      <w:pPr>
        <w:pStyle w:val="Rfrencesarticle"/>
        <w:rPr>
          <w:lang w:val="fr-BE"/>
        </w:rPr>
      </w:pPr>
      <w:r>
        <w:rPr>
          <w:lang w:bidi="en-US"/>
        </w:rPr>
        <w:tab/>
      </w:r>
      <w:proofErr w:type="spellStart"/>
      <w:r w:rsidRPr="007A692D">
        <w:rPr>
          <w:lang w:bidi="en-US"/>
        </w:rPr>
        <w:t>Oetting</w:t>
      </w:r>
      <w:proofErr w:type="spellEnd"/>
      <w:r w:rsidRPr="007A692D">
        <w:rPr>
          <w:lang w:bidi="en-US"/>
        </w:rPr>
        <w:t xml:space="preserve">, W.S., Gardner, J.M., Fryer, J.P., </w:t>
      </w:r>
      <w:proofErr w:type="spellStart"/>
      <w:r w:rsidRPr="007A692D">
        <w:rPr>
          <w:lang w:bidi="en-US"/>
        </w:rPr>
        <w:t>Ching</w:t>
      </w:r>
      <w:proofErr w:type="spellEnd"/>
      <w:r w:rsidRPr="007A692D">
        <w:rPr>
          <w:lang w:bidi="en-US"/>
        </w:rPr>
        <w:t xml:space="preserve">, A., Durham-Pierre, D., King, R.A., Brilliant, M.H., 1998. Mutations of the human P gene associated with Type II </w:t>
      </w:r>
      <w:proofErr w:type="spellStart"/>
      <w:r w:rsidRPr="007A692D">
        <w:rPr>
          <w:lang w:bidi="en-US"/>
        </w:rPr>
        <w:t>oculocutaneous</w:t>
      </w:r>
      <w:proofErr w:type="spellEnd"/>
      <w:r w:rsidRPr="007A692D">
        <w:rPr>
          <w:lang w:bidi="en-US"/>
        </w:rPr>
        <w:t xml:space="preserve"> albinism (OCA2). </w:t>
      </w:r>
      <w:r w:rsidRPr="007A692D">
        <w:rPr>
          <w:lang w:val="fr-BE"/>
        </w:rPr>
        <w:t xml:space="preserve">Hum. </w:t>
      </w:r>
      <w:proofErr w:type="spellStart"/>
      <w:r w:rsidRPr="007A692D">
        <w:rPr>
          <w:lang w:val="fr-BE"/>
        </w:rPr>
        <w:t>Mutat</w:t>
      </w:r>
      <w:proofErr w:type="spellEnd"/>
      <w:r w:rsidRPr="007A692D">
        <w:rPr>
          <w:lang w:val="fr-BE"/>
        </w:rPr>
        <w:t>. 12 (6), 434.</w:t>
      </w:r>
    </w:p>
    <w:p w:rsidR="007A692D" w:rsidRPr="007A692D" w:rsidRDefault="007A692D" w:rsidP="007A692D">
      <w:pPr>
        <w:pStyle w:val="Rfrencesarticle"/>
        <w:rPr>
          <w:lang w:bidi="en-US"/>
        </w:rPr>
      </w:pPr>
      <w:r>
        <w:rPr>
          <w:lang w:val="fr-BE"/>
        </w:rPr>
        <w:tab/>
      </w:r>
      <w:r w:rsidRPr="007A692D">
        <w:rPr>
          <w:lang w:val="fr-BE"/>
        </w:rPr>
        <w:t xml:space="preserve">Richards, S., Aziz, N., Bale, S., </w:t>
      </w:r>
      <w:proofErr w:type="spellStart"/>
      <w:r w:rsidRPr="007A692D">
        <w:rPr>
          <w:lang w:val="fr-BE"/>
        </w:rPr>
        <w:t>Bick</w:t>
      </w:r>
      <w:proofErr w:type="spellEnd"/>
      <w:r w:rsidRPr="007A692D">
        <w:rPr>
          <w:lang w:val="fr-BE"/>
        </w:rPr>
        <w:t xml:space="preserve">, D., </w:t>
      </w:r>
      <w:proofErr w:type="spellStart"/>
      <w:r w:rsidRPr="007A692D">
        <w:rPr>
          <w:lang w:val="fr-BE"/>
        </w:rPr>
        <w:t>Das</w:t>
      </w:r>
      <w:proofErr w:type="spellEnd"/>
      <w:r w:rsidRPr="007A692D">
        <w:rPr>
          <w:lang w:val="fr-BE"/>
        </w:rPr>
        <w:t xml:space="preserve">, S., </w:t>
      </w:r>
      <w:proofErr w:type="spellStart"/>
      <w:r w:rsidRPr="007A692D">
        <w:rPr>
          <w:lang w:val="fr-BE"/>
        </w:rPr>
        <w:t>Gastier</w:t>
      </w:r>
      <w:proofErr w:type="spellEnd"/>
      <w:r w:rsidRPr="007A692D">
        <w:rPr>
          <w:lang w:val="fr-BE"/>
        </w:rPr>
        <w:t xml:space="preserve">-Foster, J., et al., 2015. </w:t>
      </w:r>
      <w:r w:rsidRPr="007A692D">
        <w:rPr>
          <w:lang w:bidi="en-US"/>
        </w:rPr>
        <w:t>Standards and guidelines for the interpretation of sequence variants: a joint consensus recommendation of the American college of medical genetics and genomics and the association for molecular pathology. Genet. Med. 17 (5), 405-424.</w:t>
      </w:r>
    </w:p>
    <w:p w:rsidR="007A692D" w:rsidRPr="007A692D" w:rsidRDefault="007A692D" w:rsidP="007A692D">
      <w:pPr>
        <w:pStyle w:val="Rfrencesarticle"/>
        <w:rPr>
          <w:lang w:bidi="en-US"/>
        </w:rPr>
      </w:pPr>
      <w:r>
        <w:rPr>
          <w:lang w:bidi="en-US"/>
        </w:rPr>
        <w:tab/>
      </w:r>
      <w:proofErr w:type="spellStart"/>
      <w:r w:rsidRPr="007A692D">
        <w:rPr>
          <w:lang w:bidi="en-US"/>
        </w:rPr>
        <w:t>Shahzad</w:t>
      </w:r>
      <w:proofErr w:type="spellEnd"/>
      <w:r w:rsidRPr="007A692D">
        <w:rPr>
          <w:lang w:bidi="en-US"/>
        </w:rPr>
        <w:t xml:space="preserve">, M., </w:t>
      </w:r>
      <w:proofErr w:type="spellStart"/>
      <w:r w:rsidRPr="007A692D">
        <w:rPr>
          <w:lang w:bidi="en-US"/>
        </w:rPr>
        <w:t>Yousaf</w:t>
      </w:r>
      <w:proofErr w:type="spellEnd"/>
      <w:r w:rsidRPr="007A692D">
        <w:rPr>
          <w:lang w:bidi="en-US"/>
        </w:rPr>
        <w:t xml:space="preserve">, S., </w:t>
      </w:r>
      <w:proofErr w:type="spellStart"/>
      <w:r w:rsidRPr="007A692D">
        <w:rPr>
          <w:lang w:bidi="en-US"/>
        </w:rPr>
        <w:t>Waryah</w:t>
      </w:r>
      <w:proofErr w:type="spellEnd"/>
      <w:r w:rsidRPr="007A692D">
        <w:rPr>
          <w:lang w:bidi="en-US"/>
        </w:rPr>
        <w:t xml:space="preserve">, Y.M., Gul, H., </w:t>
      </w:r>
      <w:proofErr w:type="spellStart"/>
      <w:r w:rsidRPr="007A692D">
        <w:rPr>
          <w:lang w:bidi="en-US"/>
        </w:rPr>
        <w:t>Kausar</w:t>
      </w:r>
      <w:proofErr w:type="spellEnd"/>
      <w:r w:rsidRPr="007A692D">
        <w:rPr>
          <w:lang w:bidi="en-US"/>
        </w:rPr>
        <w:t>, T., Shaikh, R.S., et al., 2017.</w:t>
      </w:r>
      <w:r>
        <w:rPr>
          <w:lang w:bidi="en-US"/>
        </w:rPr>
        <w:t xml:space="preserve"> </w:t>
      </w:r>
      <w:r w:rsidRPr="007A692D">
        <w:rPr>
          <w:lang w:bidi="en-US"/>
        </w:rPr>
        <w:t xml:space="preserve">Molecular outcomes, clinical consequences, and genetic diagnosis of </w:t>
      </w:r>
      <w:proofErr w:type="spellStart"/>
      <w:r w:rsidRPr="007A692D">
        <w:rPr>
          <w:lang w:bidi="en-US"/>
        </w:rPr>
        <w:t>Oculocutaneous</w:t>
      </w:r>
      <w:proofErr w:type="spellEnd"/>
      <w:r w:rsidRPr="007A692D">
        <w:rPr>
          <w:lang w:bidi="en-US"/>
        </w:rPr>
        <w:t xml:space="preserve"> Albinism in Pakistani population. Nat </w:t>
      </w:r>
      <w:proofErr w:type="spellStart"/>
      <w:r w:rsidRPr="007A692D">
        <w:rPr>
          <w:lang w:bidi="en-US"/>
        </w:rPr>
        <w:t>Publ</w:t>
      </w:r>
      <w:proofErr w:type="spellEnd"/>
      <w:r w:rsidRPr="007A692D">
        <w:rPr>
          <w:lang w:bidi="en-US"/>
        </w:rPr>
        <w:t xml:space="preserve"> Gr 1-15. October 2016.</w:t>
      </w:r>
    </w:p>
    <w:p w:rsidR="007A692D" w:rsidRPr="007A692D" w:rsidRDefault="007A692D" w:rsidP="007A692D">
      <w:pPr>
        <w:pStyle w:val="Rfrencesarticle"/>
        <w:rPr>
          <w:lang w:bidi="en-US"/>
        </w:rPr>
      </w:pPr>
      <w:r>
        <w:rPr>
          <w:lang w:bidi="en-US"/>
        </w:rPr>
        <w:tab/>
      </w:r>
      <w:proofErr w:type="spellStart"/>
      <w:r w:rsidRPr="007A692D">
        <w:rPr>
          <w:lang w:bidi="en-US"/>
        </w:rPr>
        <w:t>Simeonov</w:t>
      </w:r>
      <w:proofErr w:type="spellEnd"/>
      <w:r w:rsidRPr="007A692D">
        <w:rPr>
          <w:lang w:bidi="en-US"/>
        </w:rPr>
        <w:t xml:space="preserve"> DR, Wang X, Wang C, </w:t>
      </w:r>
      <w:proofErr w:type="spellStart"/>
      <w:r w:rsidRPr="007A692D">
        <w:rPr>
          <w:lang w:bidi="en-US"/>
        </w:rPr>
        <w:t>Sergeev</w:t>
      </w:r>
      <w:proofErr w:type="spellEnd"/>
      <w:r w:rsidRPr="007A692D">
        <w:rPr>
          <w:lang w:bidi="en-US"/>
        </w:rPr>
        <w:t xml:space="preserve"> Y, </w:t>
      </w:r>
      <w:proofErr w:type="spellStart"/>
      <w:r w:rsidRPr="007A692D">
        <w:rPr>
          <w:lang w:bidi="en-US"/>
        </w:rPr>
        <w:t>Dolinska</w:t>
      </w:r>
      <w:proofErr w:type="spellEnd"/>
      <w:r w:rsidRPr="007A692D">
        <w:rPr>
          <w:lang w:bidi="en-US"/>
        </w:rPr>
        <w:t xml:space="preserve"> M, Bower M, et al. DNA Variations in </w:t>
      </w:r>
      <w:proofErr w:type="spellStart"/>
      <w:r w:rsidRPr="007A692D">
        <w:rPr>
          <w:lang w:bidi="en-US"/>
        </w:rPr>
        <w:t>Oculocutaneous</w:t>
      </w:r>
      <w:proofErr w:type="spellEnd"/>
      <w:r w:rsidRPr="007A692D">
        <w:rPr>
          <w:lang w:bidi="en-US"/>
        </w:rPr>
        <w:t xml:space="preserve"> Albinism: </w:t>
      </w:r>
      <w:proofErr w:type="gramStart"/>
      <w:r w:rsidRPr="007A692D">
        <w:rPr>
          <w:lang w:bidi="en-US"/>
        </w:rPr>
        <w:t>an</w:t>
      </w:r>
      <w:proofErr w:type="gramEnd"/>
      <w:r w:rsidRPr="007A692D">
        <w:rPr>
          <w:lang w:bidi="en-US"/>
        </w:rPr>
        <w:t xml:space="preserve"> Updated Mutation List and Current Outstanding Issues in Molecular Diagnostics. Hum </w:t>
      </w:r>
      <w:proofErr w:type="spellStart"/>
      <w:r w:rsidRPr="007A692D">
        <w:rPr>
          <w:lang w:bidi="en-US"/>
        </w:rPr>
        <w:t>Mutat</w:t>
      </w:r>
      <w:proofErr w:type="spellEnd"/>
      <w:r w:rsidRPr="007A692D">
        <w:rPr>
          <w:lang w:bidi="en-US"/>
        </w:rPr>
        <w:t xml:space="preserve">. </w:t>
      </w:r>
      <w:proofErr w:type="gramStart"/>
      <w:r w:rsidRPr="007A692D">
        <w:rPr>
          <w:lang w:bidi="en-US"/>
        </w:rPr>
        <w:t>2013;vol.</w:t>
      </w:r>
      <w:proofErr w:type="gramEnd"/>
      <w:r w:rsidRPr="007A692D">
        <w:rPr>
          <w:lang w:bidi="en-US"/>
        </w:rPr>
        <w:t xml:space="preserve"> 34(6):827-835.</w:t>
      </w:r>
    </w:p>
    <w:p w:rsidR="007A692D" w:rsidRPr="007A692D" w:rsidRDefault="007A692D" w:rsidP="007A692D">
      <w:pPr>
        <w:pStyle w:val="Rfrencesarticle"/>
      </w:pPr>
      <w:r>
        <w:rPr>
          <w:lang w:bidi="en-US"/>
        </w:rPr>
        <w:tab/>
      </w:r>
      <w:proofErr w:type="spellStart"/>
      <w:r w:rsidRPr="007A692D">
        <w:rPr>
          <w:lang w:bidi="en-US"/>
        </w:rPr>
        <w:t>Simeonov</w:t>
      </w:r>
      <w:proofErr w:type="spellEnd"/>
      <w:r w:rsidRPr="007A692D">
        <w:rPr>
          <w:lang w:bidi="en-US"/>
        </w:rPr>
        <w:t xml:space="preserve">, D.R., Wang, X., Wang, C., </w:t>
      </w:r>
      <w:proofErr w:type="spellStart"/>
      <w:r w:rsidRPr="007A692D">
        <w:rPr>
          <w:lang w:bidi="en-US"/>
        </w:rPr>
        <w:t>Sergeev</w:t>
      </w:r>
      <w:proofErr w:type="spellEnd"/>
      <w:r w:rsidRPr="007A692D">
        <w:rPr>
          <w:lang w:bidi="en-US"/>
        </w:rPr>
        <w:t xml:space="preserve">, Y., </w:t>
      </w:r>
      <w:proofErr w:type="spellStart"/>
      <w:r w:rsidRPr="007A692D">
        <w:rPr>
          <w:lang w:bidi="en-US"/>
        </w:rPr>
        <w:t>Dolinska</w:t>
      </w:r>
      <w:proofErr w:type="spellEnd"/>
      <w:r w:rsidRPr="007A692D">
        <w:rPr>
          <w:lang w:bidi="en-US"/>
        </w:rPr>
        <w:t>, M., Bower, M., et al., 2013b.</w:t>
      </w:r>
      <w:r>
        <w:rPr>
          <w:lang w:bidi="en-US"/>
        </w:rPr>
        <w:t xml:space="preserve"> </w:t>
      </w:r>
      <w:r w:rsidRPr="007A692D">
        <w:rPr>
          <w:lang w:bidi="en-US"/>
        </w:rPr>
        <w:t xml:space="preserve">DNA variations in </w:t>
      </w:r>
      <w:proofErr w:type="spellStart"/>
      <w:r w:rsidRPr="007A692D">
        <w:rPr>
          <w:lang w:bidi="en-US"/>
        </w:rPr>
        <w:t>oculocutaneous</w:t>
      </w:r>
      <w:proofErr w:type="spellEnd"/>
      <w:r w:rsidRPr="007A692D">
        <w:rPr>
          <w:lang w:bidi="en-US"/>
        </w:rPr>
        <w:t xml:space="preserve"> albinism: an updated mutation list and current outstanding issues in molecular diagnostics. </w:t>
      </w:r>
      <w:r w:rsidRPr="007A692D">
        <w:t xml:space="preserve">Hum. </w:t>
      </w:r>
      <w:proofErr w:type="spellStart"/>
      <w:r w:rsidRPr="007A692D">
        <w:t>Mutat</w:t>
      </w:r>
      <w:proofErr w:type="spellEnd"/>
      <w:r w:rsidRPr="007A692D">
        <w:t>. 34, 827-835.</w:t>
      </w:r>
    </w:p>
    <w:p w:rsidR="007A692D" w:rsidRPr="007A692D" w:rsidRDefault="007A692D" w:rsidP="007A692D">
      <w:pPr>
        <w:pStyle w:val="Rfrencesarticle"/>
        <w:rPr>
          <w:lang w:bidi="en-US"/>
        </w:rPr>
      </w:pPr>
      <w:r>
        <w:lastRenderedPageBreak/>
        <w:tab/>
      </w:r>
      <w:r w:rsidRPr="007A692D">
        <w:t xml:space="preserve">Sone, M., </w:t>
      </w:r>
      <w:proofErr w:type="spellStart"/>
      <w:r w:rsidRPr="007A692D">
        <w:t>Aquaron</w:t>
      </w:r>
      <w:proofErr w:type="spellEnd"/>
      <w:r w:rsidRPr="007A692D">
        <w:t xml:space="preserve">, R., Baker, C., 2016. Premier </w:t>
      </w:r>
      <w:proofErr w:type="spellStart"/>
      <w:r w:rsidRPr="007A692D">
        <w:t>colloque</w:t>
      </w:r>
      <w:proofErr w:type="spellEnd"/>
      <w:r w:rsidRPr="007A692D">
        <w:t xml:space="preserve"> international sur </w:t>
      </w:r>
      <w:proofErr w:type="spellStart"/>
      <w:r w:rsidRPr="007A692D">
        <w:t>l’albinisme</w:t>
      </w:r>
      <w:proofErr w:type="spellEnd"/>
      <w:r w:rsidRPr="007A692D">
        <w:t xml:space="preserve"> </w:t>
      </w:r>
      <w:proofErr w:type="spellStart"/>
      <w:r w:rsidRPr="007A692D">
        <w:t>oculocutanee</w:t>
      </w:r>
      <w:proofErr w:type="spellEnd"/>
      <w:r w:rsidRPr="007A692D">
        <w:t xml:space="preserve"> </w:t>
      </w:r>
      <w:proofErr w:type="spellStart"/>
      <w:r w:rsidRPr="007A692D">
        <w:t>en</w:t>
      </w:r>
      <w:proofErr w:type="spellEnd"/>
      <w:r w:rsidRPr="007A692D">
        <w:t xml:space="preserve"> </w:t>
      </w:r>
      <w:proofErr w:type="spellStart"/>
      <w:r w:rsidRPr="007A692D">
        <w:t>Afrique</w:t>
      </w:r>
      <w:proofErr w:type="spellEnd"/>
      <w:r w:rsidRPr="007A692D">
        <w:t xml:space="preserve"> </w:t>
      </w:r>
      <w:proofErr w:type="spellStart"/>
      <w:r w:rsidRPr="007A692D">
        <w:t>subsaharienne</w:t>
      </w:r>
      <w:proofErr w:type="spellEnd"/>
      <w:r w:rsidRPr="007A692D">
        <w:t xml:space="preserve">, Douala, Cameroun, 24-25 </w:t>
      </w:r>
      <w:proofErr w:type="spellStart"/>
      <w:r w:rsidRPr="007A692D">
        <w:t>juillet</w:t>
      </w:r>
      <w:proofErr w:type="spellEnd"/>
      <w:r w:rsidRPr="007A692D">
        <w:t xml:space="preserve"> 2015. </w:t>
      </w:r>
      <w:r w:rsidRPr="007A692D">
        <w:rPr>
          <w:lang w:bidi="en-US"/>
        </w:rPr>
        <w:t xml:space="preserve">Douala (Cameroun). Med </w:t>
      </w:r>
      <w:proofErr w:type="spellStart"/>
      <w:r w:rsidRPr="007A692D">
        <w:rPr>
          <w:lang w:bidi="en-US"/>
        </w:rPr>
        <w:t>Sante</w:t>
      </w:r>
      <w:proofErr w:type="spellEnd"/>
      <w:r w:rsidRPr="007A692D">
        <w:rPr>
          <w:lang w:bidi="en-US"/>
        </w:rPr>
        <w:t xml:space="preserve"> Trop 26, 118-121.</w:t>
      </w:r>
    </w:p>
    <w:p w:rsidR="007A692D" w:rsidRPr="007A692D" w:rsidRDefault="007A692D" w:rsidP="007A692D">
      <w:pPr>
        <w:pStyle w:val="Rfrencesarticle"/>
        <w:rPr>
          <w:lang w:bidi="en-US"/>
        </w:rPr>
      </w:pPr>
      <w:r>
        <w:rPr>
          <w:lang w:bidi="en-US"/>
        </w:rPr>
        <w:tab/>
      </w:r>
      <w:r w:rsidRPr="007A692D">
        <w:rPr>
          <w:lang w:bidi="en-US"/>
        </w:rPr>
        <w:t xml:space="preserve">Stevens, G., Jenkins, T., Ramsay, M., 1995. An intragenic deletion of the P gene is the common mutation causing </w:t>
      </w:r>
      <w:proofErr w:type="spellStart"/>
      <w:r w:rsidRPr="007A692D">
        <w:rPr>
          <w:lang w:bidi="en-US"/>
        </w:rPr>
        <w:t>tyrosinase</w:t>
      </w:r>
      <w:proofErr w:type="spellEnd"/>
      <w:r w:rsidRPr="007A692D">
        <w:rPr>
          <w:lang w:bidi="en-US"/>
        </w:rPr>
        <w:t xml:space="preserve">-positive </w:t>
      </w:r>
      <w:proofErr w:type="spellStart"/>
      <w:r w:rsidRPr="007A692D">
        <w:rPr>
          <w:lang w:bidi="en-US"/>
        </w:rPr>
        <w:t>oculocutaneous</w:t>
      </w:r>
      <w:proofErr w:type="spellEnd"/>
      <w:r w:rsidRPr="007A692D">
        <w:rPr>
          <w:lang w:bidi="en-US"/>
        </w:rPr>
        <w:t xml:space="preserve"> albinism in southern </w:t>
      </w:r>
      <w:proofErr w:type="spellStart"/>
      <w:r w:rsidRPr="007A692D">
        <w:rPr>
          <w:lang w:bidi="en-US"/>
        </w:rPr>
        <w:t>african</w:t>
      </w:r>
      <w:proofErr w:type="spellEnd"/>
      <w:r w:rsidRPr="007A692D">
        <w:rPr>
          <w:lang w:bidi="en-US"/>
        </w:rPr>
        <w:t xml:space="preserve"> </w:t>
      </w:r>
      <w:proofErr w:type="spellStart"/>
      <w:r w:rsidRPr="007A692D">
        <w:rPr>
          <w:lang w:bidi="en-US"/>
        </w:rPr>
        <w:t>negroids</w:t>
      </w:r>
      <w:proofErr w:type="spellEnd"/>
      <w:r w:rsidRPr="007A692D">
        <w:rPr>
          <w:lang w:bidi="en-US"/>
        </w:rPr>
        <w:t>. Am. J. Hum. Genet. 56, 586-591.</w:t>
      </w:r>
    </w:p>
    <w:p w:rsidR="007A692D" w:rsidRPr="007A692D" w:rsidRDefault="007A692D" w:rsidP="007A692D">
      <w:pPr>
        <w:pStyle w:val="Rfrencesarticle"/>
        <w:rPr>
          <w:lang w:bidi="en-US"/>
        </w:rPr>
      </w:pPr>
      <w:r>
        <w:rPr>
          <w:lang w:bidi="en-US"/>
        </w:rPr>
        <w:tab/>
      </w:r>
      <w:r w:rsidRPr="007A692D">
        <w:rPr>
          <w:lang w:bidi="en-US"/>
        </w:rPr>
        <w:t xml:space="preserve">Summers, A.C.G., Hand, J.L., 2019. </w:t>
      </w:r>
      <w:proofErr w:type="spellStart"/>
      <w:r w:rsidRPr="007A692D">
        <w:rPr>
          <w:lang w:bidi="en-US"/>
        </w:rPr>
        <w:t>Oculocutaneous</w:t>
      </w:r>
      <w:proofErr w:type="spellEnd"/>
      <w:r w:rsidRPr="007A692D">
        <w:rPr>
          <w:lang w:bidi="en-US"/>
        </w:rPr>
        <w:t xml:space="preserve"> albinism. </w:t>
      </w:r>
      <w:proofErr w:type="spellStart"/>
      <w:r w:rsidRPr="007A692D">
        <w:rPr>
          <w:lang w:bidi="en-US"/>
        </w:rPr>
        <w:t>Oculocutaneous</w:t>
      </w:r>
      <w:proofErr w:type="spellEnd"/>
      <w:r w:rsidRPr="007A692D">
        <w:rPr>
          <w:lang w:bidi="en-US"/>
        </w:rPr>
        <w:t xml:space="preserve"> albinism - </w:t>
      </w:r>
      <w:proofErr w:type="spellStart"/>
      <w:r w:rsidRPr="007A692D">
        <w:rPr>
          <w:lang w:bidi="en-US"/>
        </w:rPr>
        <w:t>UpToDate</w:t>
      </w:r>
      <w:proofErr w:type="spellEnd"/>
      <w:r w:rsidRPr="007A692D">
        <w:rPr>
          <w:lang w:bidi="en-US"/>
        </w:rPr>
        <w:t xml:space="preserve"> 1-54.</w:t>
      </w:r>
    </w:p>
    <w:p w:rsidR="007A692D" w:rsidRPr="007A692D" w:rsidRDefault="007A692D" w:rsidP="007A692D">
      <w:pPr>
        <w:pStyle w:val="Rfrencesarticle"/>
        <w:rPr>
          <w:lang w:bidi="en-US"/>
        </w:rPr>
      </w:pPr>
      <w:r>
        <w:rPr>
          <w:lang w:bidi="en-US"/>
        </w:rPr>
        <w:tab/>
      </w:r>
      <w:proofErr w:type="spellStart"/>
      <w:r w:rsidRPr="007A692D">
        <w:rPr>
          <w:lang w:bidi="en-US"/>
        </w:rPr>
        <w:t>Swiatoniowski</w:t>
      </w:r>
      <w:proofErr w:type="spellEnd"/>
      <w:r w:rsidRPr="007A692D">
        <w:rPr>
          <w:lang w:bidi="en-US"/>
        </w:rPr>
        <w:t xml:space="preserve">, A.K., </w:t>
      </w:r>
      <w:proofErr w:type="spellStart"/>
      <w:r w:rsidRPr="007A692D">
        <w:rPr>
          <w:lang w:bidi="en-US"/>
        </w:rPr>
        <w:t>Quillen</w:t>
      </w:r>
      <w:proofErr w:type="spellEnd"/>
      <w:r w:rsidRPr="007A692D">
        <w:rPr>
          <w:lang w:bidi="en-US"/>
        </w:rPr>
        <w:t xml:space="preserve">, E.E., Shriver, M.D., Jablonski, N.G., 2013. Technical </w:t>
      </w:r>
      <w:proofErr w:type="gramStart"/>
      <w:r w:rsidRPr="007A692D">
        <w:rPr>
          <w:lang w:bidi="en-US"/>
        </w:rPr>
        <w:t>Note :</w:t>
      </w:r>
      <w:proofErr w:type="gramEnd"/>
      <w:r w:rsidRPr="007A692D">
        <w:rPr>
          <w:lang w:bidi="en-US"/>
        </w:rPr>
        <w:t xml:space="preserve"> Comparing von </w:t>
      </w:r>
      <w:proofErr w:type="spellStart"/>
      <w:r w:rsidRPr="007A692D">
        <w:rPr>
          <w:lang w:bidi="en-US"/>
        </w:rPr>
        <w:t>Luschan</w:t>
      </w:r>
      <w:proofErr w:type="spellEnd"/>
      <w:r w:rsidRPr="007A692D">
        <w:rPr>
          <w:lang w:bidi="en-US"/>
        </w:rPr>
        <w:t xml:space="preserve"> Skin Color Tiles and Modern Spectrophotometry for Measuring Human Skin Pigmentation, vol. 330, pp. 325-330.</w:t>
      </w:r>
    </w:p>
    <w:p w:rsidR="007A692D" w:rsidRPr="007A692D" w:rsidRDefault="00A61941" w:rsidP="007A692D">
      <w:pPr>
        <w:pStyle w:val="Rfrencesarticle"/>
        <w:rPr>
          <w:lang w:bidi="en-US"/>
        </w:rPr>
      </w:pPr>
      <w:r>
        <w:rPr>
          <w:lang w:bidi="en-US"/>
        </w:rPr>
        <w:tab/>
      </w:r>
      <w:r w:rsidR="007A692D" w:rsidRPr="007A692D">
        <w:rPr>
          <w:lang w:bidi="en-US"/>
        </w:rPr>
        <w:t xml:space="preserve">Wang, X., Zhu, Y., Shen, N., Peng, J., Wang, C., Liu, H., 2017. Mutational Analysis of a Chinese Family with </w:t>
      </w:r>
      <w:proofErr w:type="spellStart"/>
      <w:r w:rsidR="007A692D" w:rsidRPr="007A692D">
        <w:rPr>
          <w:lang w:bidi="en-US"/>
        </w:rPr>
        <w:t>Oculocutaneous</w:t>
      </w:r>
      <w:proofErr w:type="spellEnd"/>
      <w:r w:rsidR="007A692D" w:rsidRPr="007A692D">
        <w:rPr>
          <w:lang w:bidi="en-US"/>
        </w:rPr>
        <w:t xml:space="preserve"> Albinism Type 2, vol. 8, pp. 70345-70355, 41.</w:t>
      </w:r>
    </w:p>
    <w:p w:rsidR="007A692D" w:rsidRPr="007A692D" w:rsidRDefault="007A692D" w:rsidP="007A692D">
      <w:pPr>
        <w:pStyle w:val="Rfrencesarticle"/>
        <w:rPr>
          <w:b/>
          <w:bCs/>
          <w:lang w:bidi="en-US"/>
        </w:rPr>
      </w:pPr>
      <w:r w:rsidRPr="007A692D">
        <w:rPr>
          <w:b/>
          <w:bCs/>
          <w:lang w:bidi="en-US"/>
        </w:rPr>
        <w:t>Further reading</w:t>
      </w:r>
    </w:p>
    <w:p w:rsidR="007A692D" w:rsidRPr="007A692D" w:rsidRDefault="00A61941" w:rsidP="007A692D">
      <w:pPr>
        <w:pStyle w:val="Rfrencesarticle"/>
        <w:rPr>
          <w:lang w:val="fr-BE" w:bidi="en-US"/>
        </w:rPr>
      </w:pPr>
      <w:r>
        <w:rPr>
          <w:lang w:bidi="en-US"/>
        </w:rPr>
        <w:tab/>
      </w:r>
      <w:r w:rsidR="007A692D" w:rsidRPr="007A692D">
        <w:rPr>
          <w:lang w:bidi="en-US"/>
        </w:rPr>
        <w:t xml:space="preserve">Jennifer </w:t>
      </w:r>
      <w:proofErr w:type="spellStart"/>
      <w:r w:rsidR="007A692D" w:rsidRPr="007A692D">
        <w:rPr>
          <w:lang w:bidi="en-US"/>
        </w:rPr>
        <w:t>Kromberg</w:t>
      </w:r>
      <w:proofErr w:type="spellEnd"/>
      <w:r w:rsidR="007A692D" w:rsidRPr="007A692D">
        <w:rPr>
          <w:lang w:bidi="en-US"/>
        </w:rPr>
        <w:t xml:space="preserve">, P.M., 2018. In: </w:t>
      </w:r>
      <w:proofErr w:type="spellStart"/>
      <w:r w:rsidR="007A692D" w:rsidRPr="007A692D">
        <w:rPr>
          <w:lang w:bidi="en-US"/>
        </w:rPr>
        <w:t>Linsley</w:t>
      </w:r>
      <w:proofErr w:type="spellEnd"/>
      <w:r w:rsidR="007A692D" w:rsidRPr="007A692D">
        <w:rPr>
          <w:lang w:bidi="en-US"/>
        </w:rPr>
        <w:t xml:space="preserve">, P.B. (Ed.), Albinism in </w:t>
      </w:r>
      <w:proofErr w:type="gramStart"/>
      <w:r w:rsidR="007A692D" w:rsidRPr="007A692D">
        <w:rPr>
          <w:lang w:bidi="en-US"/>
        </w:rPr>
        <w:t>Africa :</w:t>
      </w:r>
      <w:proofErr w:type="gramEnd"/>
      <w:r w:rsidR="007A692D" w:rsidRPr="007A692D">
        <w:rPr>
          <w:lang w:bidi="en-US"/>
        </w:rPr>
        <w:t xml:space="preserve"> Historical, Geographic, Medical, Genetic, and Psychosocial Aspects. </w:t>
      </w:r>
      <w:r w:rsidR="007A692D" w:rsidRPr="007A692D">
        <w:rPr>
          <w:lang w:val="fr-BE" w:bidi="en-US"/>
        </w:rPr>
        <w:t>Elsevier, London, p. 339.</w:t>
      </w:r>
    </w:p>
    <w:sectPr w:rsidR="007A692D" w:rsidRPr="007A692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032" w:rsidRDefault="00375032" w:rsidP="001B279E">
      <w:r>
        <w:separator/>
      </w:r>
    </w:p>
  </w:endnote>
  <w:endnote w:type="continuationSeparator" w:id="0">
    <w:p w:rsidR="00375032" w:rsidRDefault="00375032" w:rsidP="001B2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haris SIL">
    <w:altName w:val="Charis SI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F71" w:rsidRDefault="00ED3F71" w:rsidP="00BF0F6B">
    <w:pPr>
      <w:pStyle w:val="Pieddepage"/>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032" w:rsidRDefault="00375032" w:rsidP="001B279E">
      <w:r>
        <w:separator/>
      </w:r>
    </w:p>
  </w:footnote>
  <w:footnote w:type="continuationSeparator" w:id="0">
    <w:p w:rsidR="00375032" w:rsidRDefault="00375032" w:rsidP="001B279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Ind w:w="-34" w:type="dxa"/>
      <w:tblLook w:val="04A0" w:firstRow="1" w:lastRow="0" w:firstColumn="1" w:lastColumn="0" w:noHBand="0" w:noVBand="1"/>
    </w:tblPr>
    <w:tblGrid>
      <w:gridCol w:w="6946"/>
      <w:gridCol w:w="2552"/>
    </w:tblGrid>
    <w:tr w:rsidR="0032376E" w:rsidTr="00633381">
      <w:trPr>
        <w:trHeight w:val="1135"/>
      </w:trPr>
      <w:tc>
        <w:tcPr>
          <w:tcW w:w="6946" w:type="dxa"/>
          <w:shd w:val="clear" w:color="auto" w:fill="auto"/>
        </w:tcPr>
        <w:p w:rsidR="0032376E" w:rsidRPr="00A44770" w:rsidRDefault="0032376E" w:rsidP="00A44770">
          <w:pPr>
            <w:pStyle w:val="En-tte"/>
            <w:jc w:val="left"/>
            <w:rPr>
              <w:i/>
              <w:sz w:val="18"/>
              <w:szCs w:val="18"/>
            </w:rPr>
          </w:pPr>
          <w:r w:rsidRPr="00A44770">
            <w:rPr>
              <w:i/>
              <w:sz w:val="18"/>
              <w:szCs w:val="18"/>
            </w:rPr>
            <w:t xml:space="preserve">Published </w:t>
          </w:r>
          <w:proofErr w:type="gramStart"/>
          <w:r w:rsidRPr="00A44770">
            <w:rPr>
              <w:i/>
              <w:sz w:val="18"/>
              <w:szCs w:val="18"/>
            </w:rPr>
            <w:t>in :</w:t>
          </w:r>
          <w:proofErr w:type="gramEnd"/>
          <w:r w:rsidRPr="00A44770">
            <w:rPr>
              <w:i/>
              <w:sz w:val="18"/>
              <w:szCs w:val="18"/>
            </w:rPr>
            <w:t xml:space="preserve"> </w:t>
          </w:r>
          <w:r w:rsidR="00A61941" w:rsidRPr="00A61941">
            <w:rPr>
              <w:i/>
              <w:iCs/>
              <w:sz w:val="18"/>
              <w:szCs w:val="18"/>
            </w:rPr>
            <w:t>European Journal of Medical Genetics</w:t>
          </w:r>
          <w:r w:rsidR="00A61941" w:rsidRPr="00A61941">
            <w:rPr>
              <w:i/>
              <w:sz w:val="18"/>
              <w:szCs w:val="18"/>
            </w:rPr>
            <w:t xml:space="preserve"> </w:t>
          </w:r>
          <w:r w:rsidR="00517B48">
            <w:rPr>
              <w:i/>
              <w:sz w:val="18"/>
              <w:szCs w:val="18"/>
            </w:rPr>
            <w:t>(</w:t>
          </w:r>
          <w:r w:rsidR="00A61941">
            <w:rPr>
              <w:i/>
              <w:sz w:val="18"/>
              <w:szCs w:val="18"/>
            </w:rPr>
            <w:t>2022</w:t>
          </w:r>
          <w:r w:rsidRPr="00A44770">
            <w:rPr>
              <w:i/>
              <w:sz w:val="18"/>
              <w:szCs w:val="18"/>
            </w:rPr>
            <w:t xml:space="preserve">), vol. </w:t>
          </w:r>
          <w:r w:rsidR="00A61941">
            <w:rPr>
              <w:i/>
              <w:sz w:val="18"/>
              <w:szCs w:val="18"/>
            </w:rPr>
            <w:t>65</w:t>
          </w:r>
          <w:r w:rsidR="00517B48">
            <w:rPr>
              <w:i/>
              <w:sz w:val="18"/>
              <w:szCs w:val="18"/>
            </w:rPr>
            <w:t xml:space="preserve">, </w:t>
          </w:r>
          <w:r w:rsidR="00A61941">
            <w:rPr>
              <w:i/>
              <w:sz w:val="18"/>
              <w:szCs w:val="18"/>
            </w:rPr>
            <w:t>104611</w:t>
          </w:r>
        </w:p>
        <w:p w:rsidR="0032376E" w:rsidRPr="00A44770" w:rsidRDefault="0032376E" w:rsidP="00A61941">
          <w:pPr>
            <w:pStyle w:val="En-tte"/>
            <w:jc w:val="left"/>
            <w:rPr>
              <w:i/>
              <w:sz w:val="18"/>
              <w:szCs w:val="18"/>
            </w:rPr>
          </w:pPr>
          <w:r w:rsidRPr="00A44770">
            <w:rPr>
              <w:i/>
              <w:sz w:val="18"/>
              <w:szCs w:val="18"/>
            </w:rPr>
            <w:t>DOI:</w:t>
          </w:r>
          <w:r w:rsidR="00A61941" w:rsidRPr="00A61941">
            <w:rPr>
              <w:rFonts w:ascii="Charis SIL" w:hAnsi="Charis SIL" w:cs="Charis SIL"/>
              <w:color w:val="000000"/>
              <w:sz w:val="24"/>
              <w:szCs w:val="24"/>
              <w:lang w:val="fr-BE" w:eastAsia="fr-BE"/>
            </w:rPr>
            <w:t xml:space="preserve"> </w:t>
          </w:r>
          <w:r w:rsidR="00A61941" w:rsidRPr="00A61941">
            <w:rPr>
              <w:i/>
              <w:sz w:val="18"/>
              <w:szCs w:val="18"/>
              <w:lang w:val="fr-BE"/>
            </w:rPr>
            <w:t>10.1016/j.ejmg.2022.104611</w:t>
          </w:r>
        </w:p>
        <w:p w:rsidR="0032376E" w:rsidRPr="00A44770" w:rsidRDefault="0032376E" w:rsidP="00A44770">
          <w:pPr>
            <w:pStyle w:val="En-tte"/>
            <w:jc w:val="left"/>
            <w:rPr>
              <w:i/>
            </w:rPr>
          </w:pPr>
          <w:r w:rsidRPr="00A44770">
            <w:rPr>
              <w:i/>
              <w:sz w:val="18"/>
              <w:szCs w:val="18"/>
            </w:rPr>
            <w:t xml:space="preserve">Status : </w:t>
          </w:r>
          <w:proofErr w:type="spellStart"/>
          <w:r w:rsidRPr="00A44770">
            <w:rPr>
              <w:i/>
              <w:sz w:val="18"/>
              <w:szCs w:val="18"/>
            </w:rPr>
            <w:t>Postprint</w:t>
          </w:r>
          <w:proofErr w:type="spellEnd"/>
          <w:r w:rsidRPr="00A44770">
            <w:rPr>
              <w:i/>
              <w:sz w:val="18"/>
              <w:szCs w:val="18"/>
            </w:rPr>
            <w:t xml:space="preserve"> (Author’s version) </w:t>
          </w:r>
        </w:p>
      </w:tc>
      <w:tc>
        <w:tcPr>
          <w:tcW w:w="2552" w:type="dxa"/>
          <w:shd w:val="clear" w:color="auto" w:fill="auto"/>
        </w:tcPr>
        <w:p w:rsidR="0032376E" w:rsidRDefault="00F513BE" w:rsidP="00A44770">
          <w:pPr>
            <w:pStyle w:val="En-tte"/>
            <w:jc w:val="right"/>
          </w:pPr>
          <w:r>
            <w:rPr>
              <w:noProof/>
              <w:lang w:val="fr-BE" w:eastAsia="fr-BE"/>
            </w:rPr>
            <w:drawing>
              <wp:inline distT="0" distB="0" distL="0" distR="0">
                <wp:extent cx="1273175" cy="596265"/>
                <wp:effectExtent l="0" t="0" r="0" b="0"/>
                <wp:docPr id="1" name="Image 1" descr="uLIEGE_Logo_Compact_RGB_p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IEGE_Logo_Compact_RGB_pos-logo"/>
                        <pic:cNvPicPr>
                          <a:picLocks noChangeAspect="1" noChangeArrowheads="1"/>
                        </pic:cNvPicPr>
                      </pic:nvPicPr>
                      <pic:blipFill>
                        <a:blip r:embed="rId1">
                          <a:extLst>
                            <a:ext uri="{28A0092B-C50C-407E-A947-70E740481C1C}">
                              <a14:useLocalDpi xmlns:a14="http://schemas.microsoft.com/office/drawing/2010/main" val="0"/>
                            </a:ext>
                          </a:extLst>
                        </a:blip>
                        <a:srcRect t="12500" r="8904"/>
                        <a:stretch>
                          <a:fillRect/>
                        </a:stretch>
                      </pic:blipFill>
                      <pic:spPr bwMode="auto">
                        <a:xfrm>
                          <a:off x="0" y="0"/>
                          <a:ext cx="1273175" cy="596265"/>
                        </a:xfrm>
                        <a:prstGeom prst="rect">
                          <a:avLst/>
                        </a:prstGeom>
                        <a:noFill/>
                        <a:ln>
                          <a:noFill/>
                        </a:ln>
                      </pic:spPr>
                    </pic:pic>
                  </a:graphicData>
                </a:graphic>
              </wp:inline>
            </w:drawing>
          </w:r>
        </w:p>
      </w:tc>
    </w:tr>
  </w:tbl>
  <w:p w:rsidR="001B279E" w:rsidRPr="001B279E" w:rsidRDefault="001B279E" w:rsidP="001B279E">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A25680"/>
    <w:multiLevelType w:val="hybridMultilevel"/>
    <w:tmpl w:val="6064727E"/>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1" w15:restartNumberingAfterBreak="0">
    <w:nsid w:val="71A93549"/>
    <w:multiLevelType w:val="multilevel"/>
    <w:tmpl w:val="FDECFC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79E"/>
    <w:rsid w:val="00006C30"/>
    <w:rsid w:val="00012C5E"/>
    <w:rsid w:val="00092C41"/>
    <w:rsid w:val="000E38B2"/>
    <w:rsid w:val="0010430B"/>
    <w:rsid w:val="00164A9C"/>
    <w:rsid w:val="00185833"/>
    <w:rsid w:val="00195CFA"/>
    <w:rsid w:val="001A4540"/>
    <w:rsid w:val="001B10D6"/>
    <w:rsid w:val="001B279E"/>
    <w:rsid w:val="002F5630"/>
    <w:rsid w:val="0032376E"/>
    <w:rsid w:val="00371B3E"/>
    <w:rsid w:val="00375032"/>
    <w:rsid w:val="00387CC5"/>
    <w:rsid w:val="003D710E"/>
    <w:rsid w:val="003E710F"/>
    <w:rsid w:val="0043061F"/>
    <w:rsid w:val="004642F4"/>
    <w:rsid w:val="00466F60"/>
    <w:rsid w:val="004B1A3C"/>
    <w:rsid w:val="004B66EF"/>
    <w:rsid w:val="004D7D10"/>
    <w:rsid w:val="00513A03"/>
    <w:rsid w:val="00517B48"/>
    <w:rsid w:val="005569B0"/>
    <w:rsid w:val="00567C99"/>
    <w:rsid w:val="006250CC"/>
    <w:rsid w:val="00633381"/>
    <w:rsid w:val="0064176C"/>
    <w:rsid w:val="00681C0E"/>
    <w:rsid w:val="006A2335"/>
    <w:rsid w:val="00711008"/>
    <w:rsid w:val="00753BF5"/>
    <w:rsid w:val="00767A19"/>
    <w:rsid w:val="007A0DD6"/>
    <w:rsid w:val="007A2CD7"/>
    <w:rsid w:val="007A692D"/>
    <w:rsid w:val="007C250D"/>
    <w:rsid w:val="00813E80"/>
    <w:rsid w:val="00832ED2"/>
    <w:rsid w:val="00845DCD"/>
    <w:rsid w:val="00861AB7"/>
    <w:rsid w:val="00870A61"/>
    <w:rsid w:val="008B11E0"/>
    <w:rsid w:val="008E565A"/>
    <w:rsid w:val="00983688"/>
    <w:rsid w:val="009D67C3"/>
    <w:rsid w:val="009F174B"/>
    <w:rsid w:val="00A44770"/>
    <w:rsid w:val="00A54802"/>
    <w:rsid w:val="00A61941"/>
    <w:rsid w:val="00A73F1F"/>
    <w:rsid w:val="00A97E66"/>
    <w:rsid w:val="00AC317D"/>
    <w:rsid w:val="00AD06C7"/>
    <w:rsid w:val="00AE1979"/>
    <w:rsid w:val="00AE5754"/>
    <w:rsid w:val="00AF4B89"/>
    <w:rsid w:val="00AF7353"/>
    <w:rsid w:val="00B16FAC"/>
    <w:rsid w:val="00B473A1"/>
    <w:rsid w:val="00BF0B82"/>
    <w:rsid w:val="00BF0F6B"/>
    <w:rsid w:val="00BF2AF5"/>
    <w:rsid w:val="00BF56CB"/>
    <w:rsid w:val="00BF64A3"/>
    <w:rsid w:val="00BF74E0"/>
    <w:rsid w:val="00C24B33"/>
    <w:rsid w:val="00C66559"/>
    <w:rsid w:val="00C955E5"/>
    <w:rsid w:val="00CC643B"/>
    <w:rsid w:val="00D1080C"/>
    <w:rsid w:val="00D33C82"/>
    <w:rsid w:val="00DB4C7F"/>
    <w:rsid w:val="00DF26FC"/>
    <w:rsid w:val="00E04D03"/>
    <w:rsid w:val="00E40646"/>
    <w:rsid w:val="00EC69B3"/>
    <w:rsid w:val="00ED3F71"/>
    <w:rsid w:val="00F1126E"/>
    <w:rsid w:val="00F513BE"/>
    <w:rsid w:val="00F627A4"/>
    <w:rsid w:val="00FC5E3D"/>
    <w:rsid w:val="00FD320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A7D76A"/>
  <w15:chartTrackingRefBased/>
  <w15:docId w15:val="{B0A597E6-99EF-4A39-A068-ABB594E17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B48"/>
    <w:pPr>
      <w:spacing w:after="120" w:line="276" w:lineRule="auto"/>
      <w:jc w:val="both"/>
    </w:pPr>
    <w:rPr>
      <w:rFonts w:ascii="Source Sans Pro" w:hAnsi="Source Sans Pro"/>
      <w:sz w:val="22"/>
      <w:szCs w:val="22"/>
      <w:lang w:val="en-US" w:eastAsia="en-US"/>
    </w:rPr>
  </w:style>
  <w:style w:type="paragraph" w:styleId="Titre1">
    <w:name w:val="heading 1"/>
    <w:basedOn w:val="Normal"/>
    <w:next w:val="Normal"/>
    <w:link w:val="Titre1Car"/>
    <w:uiPriority w:val="9"/>
    <w:qFormat/>
    <w:rsid w:val="008B11E0"/>
    <w:pPr>
      <w:keepNext/>
      <w:keepLines/>
      <w:spacing w:before="600" w:after="200"/>
      <w:outlineLvl w:val="0"/>
    </w:pPr>
    <w:rPr>
      <w:rFonts w:eastAsia="Times New Roman"/>
      <w:b/>
      <w:bCs/>
      <w:color w:val="007983"/>
      <w:sz w:val="36"/>
      <w:szCs w:val="28"/>
      <w:lang w:val="fr-FR"/>
    </w:rPr>
  </w:style>
  <w:style w:type="paragraph" w:styleId="Titre2">
    <w:name w:val="heading 2"/>
    <w:basedOn w:val="Normal"/>
    <w:next w:val="Normal"/>
    <w:link w:val="Titre2Car"/>
    <w:uiPriority w:val="9"/>
    <w:unhideWhenUsed/>
    <w:qFormat/>
    <w:rsid w:val="008B11E0"/>
    <w:pPr>
      <w:keepNext/>
      <w:keepLines/>
      <w:spacing w:before="360"/>
      <w:outlineLvl w:val="1"/>
    </w:pPr>
    <w:rPr>
      <w:rFonts w:eastAsia="Times New Roman"/>
      <w:b/>
      <w:bCs/>
      <w:caps/>
      <w:sz w:val="26"/>
      <w:szCs w:val="26"/>
    </w:rPr>
  </w:style>
  <w:style w:type="paragraph" w:styleId="Titre3">
    <w:name w:val="heading 3"/>
    <w:next w:val="Normal"/>
    <w:link w:val="Titre3Car"/>
    <w:uiPriority w:val="9"/>
    <w:unhideWhenUsed/>
    <w:qFormat/>
    <w:rsid w:val="008B11E0"/>
    <w:pPr>
      <w:spacing w:before="240" w:after="80" w:line="276" w:lineRule="auto"/>
      <w:outlineLvl w:val="2"/>
    </w:pPr>
    <w:rPr>
      <w:rFonts w:ascii="Source Sans Pro Light" w:eastAsia="Times New Roman" w:hAnsi="Source Sans Pro Light"/>
      <w:b/>
      <w:bCs/>
      <w:caps/>
      <w:sz w:val="24"/>
      <w:szCs w:val="26"/>
      <w:lang w:eastAsia="en-US"/>
    </w:rPr>
  </w:style>
  <w:style w:type="paragraph" w:styleId="Titre4">
    <w:name w:val="heading 4"/>
    <w:basedOn w:val="Normal"/>
    <w:next w:val="Normal"/>
    <w:link w:val="Titre4Car"/>
    <w:uiPriority w:val="9"/>
    <w:unhideWhenUsed/>
    <w:qFormat/>
    <w:rsid w:val="008B11E0"/>
    <w:pPr>
      <w:keepNext/>
      <w:keepLines/>
      <w:spacing w:before="200" w:after="40"/>
      <w:outlineLvl w:val="3"/>
    </w:pPr>
    <w:rPr>
      <w:rFonts w:eastAsia="Times New Roman"/>
      <w:b/>
      <w:bCs/>
      <w:i/>
      <w:iC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92C41"/>
    <w:pPr>
      <w:spacing w:after="0" w:line="240" w:lineRule="auto"/>
    </w:pPr>
    <w:rPr>
      <w:rFonts w:ascii="Tahoma" w:hAnsi="Tahoma" w:cs="Tahoma"/>
      <w:sz w:val="16"/>
      <w:szCs w:val="16"/>
    </w:rPr>
  </w:style>
  <w:style w:type="paragraph" w:styleId="Sous-titre">
    <w:name w:val="Subtitle"/>
    <w:basedOn w:val="Normal"/>
    <w:next w:val="Normal"/>
    <w:link w:val="Sous-titreCar"/>
    <w:uiPriority w:val="11"/>
    <w:qFormat/>
    <w:rsid w:val="00C955E5"/>
    <w:pPr>
      <w:numPr>
        <w:ilvl w:val="1"/>
      </w:numPr>
    </w:pPr>
    <w:rPr>
      <w:rFonts w:ascii="Source Sans Pro Light" w:eastAsia="Times New Roman" w:hAnsi="Source Sans Pro Light"/>
      <w:i/>
      <w:iCs/>
      <w:spacing w:val="15"/>
      <w:sz w:val="56"/>
      <w:szCs w:val="24"/>
    </w:rPr>
  </w:style>
  <w:style w:type="character" w:customStyle="1" w:styleId="Sous-titreCar">
    <w:name w:val="Sous-titre Car"/>
    <w:link w:val="Sous-titre"/>
    <w:uiPriority w:val="11"/>
    <w:rsid w:val="00C955E5"/>
    <w:rPr>
      <w:rFonts w:ascii="Source Sans Pro Light" w:eastAsia="Times New Roman" w:hAnsi="Source Sans Pro Light" w:cs="Times New Roman"/>
      <w:i/>
      <w:iCs/>
      <w:spacing w:val="15"/>
      <w:sz w:val="56"/>
      <w:szCs w:val="24"/>
    </w:rPr>
  </w:style>
  <w:style w:type="paragraph" w:styleId="Titre">
    <w:name w:val="Title"/>
    <w:basedOn w:val="Normal"/>
    <w:next w:val="Normal"/>
    <w:link w:val="TitreCar"/>
    <w:uiPriority w:val="10"/>
    <w:rsid w:val="00C955E5"/>
    <w:rPr>
      <w:b/>
      <w:caps/>
      <w:color w:val="007983"/>
      <w:sz w:val="100"/>
    </w:rPr>
  </w:style>
  <w:style w:type="character" w:customStyle="1" w:styleId="TitreCar">
    <w:name w:val="Titre Car"/>
    <w:link w:val="Titre"/>
    <w:uiPriority w:val="10"/>
    <w:rsid w:val="00C955E5"/>
    <w:rPr>
      <w:rFonts w:ascii="Source Sans Pro" w:hAnsi="Source Sans Pro"/>
      <w:b/>
      <w:caps/>
      <w:color w:val="007983"/>
      <w:sz w:val="100"/>
    </w:rPr>
  </w:style>
  <w:style w:type="character" w:customStyle="1" w:styleId="TextedebullesCar">
    <w:name w:val="Texte de bulles Car"/>
    <w:link w:val="Textedebulles"/>
    <w:uiPriority w:val="99"/>
    <w:semiHidden/>
    <w:rsid w:val="00092C41"/>
    <w:rPr>
      <w:rFonts w:ascii="Tahoma" w:hAnsi="Tahoma" w:cs="Tahoma"/>
      <w:sz w:val="16"/>
      <w:szCs w:val="16"/>
    </w:rPr>
  </w:style>
  <w:style w:type="paragraph" w:styleId="En-tte">
    <w:name w:val="header"/>
    <w:basedOn w:val="Normal"/>
    <w:link w:val="En-tteCar"/>
    <w:uiPriority w:val="99"/>
    <w:unhideWhenUsed/>
    <w:rsid w:val="00E04D03"/>
    <w:pPr>
      <w:tabs>
        <w:tab w:val="center" w:pos="4536"/>
        <w:tab w:val="right" w:pos="9072"/>
      </w:tabs>
      <w:spacing w:after="0" w:line="240" w:lineRule="auto"/>
    </w:pPr>
  </w:style>
  <w:style w:type="character" w:customStyle="1" w:styleId="En-tteCar">
    <w:name w:val="En-tête Car"/>
    <w:basedOn w:val="Policepardfaut"/>
    <w:link w:val="En-tte"/>
    <w:uiPriority w:val="99"/>
    <w:rsid w:val="00E04D03"/>
  </w:style>
  <w:style w:type="paragraph" w:styleId="Pieddepage">
    <w:name w:val="footer"/>
    <w:basedOn w:val="Normal"/>
    <w:link w:val="PieddepageCar"/>
    <w:uiPriority w:val="99"/>
    <w:unhideWhenUsed/>
    <w:rsid w:val="00E04D0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04D03"/>
  </w:style>
  <w:style w:type="character" w:customStyle="1" w:styleId="Titre1Car">
    <w:name w:val="Titre 1 Car"/>
    <w:link w:val="Titre1"/>
    <w:uiPriority w:val="9"/>
    <w:rsid w:val="008B11E0"/>
    <w:rPr>
      <w:rFonts w:ascii="Source Sans Pro" w:eastAsia="Times New Roman" w:hAnsi="Source Sans Pro"/>
      <w:b/>
      <w:bCs/>
      <w:color w:val="007983"/>
      <w:sz w:val="36"/>
      <w:szCs w:val="28"/>
      <w:lang w:val="fr-FR" w:eastAsia="en-US"/>
    </w:rPr>
  </w:style>
  <w:style w:type="paragraph" w:styleId="Citation">
    <w:name w:val="Quote"/>
    <w:basedOn w:val="Normal"/>
    <w:next w:val="Normal"/>
    <w:link w:val="CitationCar"/>
    <w:uiPriority w:val="29"/>
    <w:qFormat/>
    <w:rsid w:val="00AD06C7"/>
    <w:rPr>
      <w:b/>
      <w:i/>
      <w:color w:val="007983"/>
      <w:sz w:val="32"/>
    </w:rPr>
  </w:style>
  <w:style w:type="character" w:customStyle="1" w:styleId="CitationCar">
    <w:name w:val="Citation Car"/>
    <w:link w:val="Citation"/>
    <w:uiPriority w:val="29"/>
    <w:rsid w:val="00AD06C7"/>
    <w:rPr>
      <w:rFonts w:ascii="Source Sans Pro" w:hAnsi="Source Sans Pro"/>
      <w:b/>
      <w:i/>
      <w:color w:val="007983"/>
      <w:sz w:val="32"/>
    </w:rPr>
  </w:style>
  <w:style w:type="paragraph" w:customStyle="1" w:styleId="Introduction">
    <w:name w:val="Introduction"/>
    <w:basedOn w:val="Citation"/>
    <w:qFormat/>
    <w:rsid w:val="00AD06C7"/>
    <w:rPr>
      <w:sz w:val="22"/>
    </w:rPr>
  </w:style>
  <w:style w:type="paragraph" w:styleId="NormalWeb">
    <w:name w:val="Normal (Web)"/>
    <w:basedOn w:val="Normal"/>
    <w:uiPriority w:val="99"/>
    <w:semiHidden/>
    <w:unhideWhenUsed/>
    <w:rsid w:val="00845DCD"/>
    <w:pPr>
      <w:spacing w:before="100" w:beforeAutospacing="1" w:after="100" w:afterAutospacing="1" w:line="240" w:lineRule="auto"/>
    </w:pPr>
    <w:rPr>
      <w:rFonts w:ascii="Times New Roman" w:eastAsia="Times New Roman" w:hAnsi="Times New Roman"/>
      <w:sz w:val="24"/>
      <w:szCs w:val="24"/>
      <w:lang w:eastAsia="fr-BE"/>
    </w:rPr>
  </w:style>
  <w:style w:type="character" w:customStyle="1" w:styleId="Titre2Car">
    <w:name w:val="Titre 2 Car"/>
    <w:link w:val="Titre2"/>
    <w:uiPriority w:val="9"/>
    <w:rsid w:val="008B11E0"/>
    <w:rPr>
      <w:rFonts w:ascii="Source Sans Pro" w:eastAsia="Times New Roman" w:hAnsi="Source Sans Pro"/>
      <w:b/>
      <w:bCs/>
      <w:caps/>
      <w:sz w:val="26"/>
      <w:szCs w:val="26"/>
      <w:lang w:val="en-US" w:eastAsia="en-US"/>
    </w:rPr>
  </w:style>
  <w:style w:type="paragraph" w:styleId="Lgende">
    <w:name w:val="caption"/>
    <w:basedOn w:val="Normal"/>
    <w:next w:val="Normal"/>
    <w:uiPriority w:val="34"/>
    <w:qFormat/>
    <w:rsid w:val="00517B48"/>
    <w:pPr>
      <w:spacing w:after="360" w:line="240" w:lineRule="auto"/>
    </w:pPr>
    <w:rPr>
      <w:bCs/>
      <w:color w:val="000000"/>
      <w:sz w:val="18"/>
      <w:szCs w:val="18"/>
    </w:rPr>
  </w:style>
  <w:style w:type="character" w:customStyle="1" w:styleId="Titre3Car">
    <w:name w:val="Titre 3 Car"/>
    <w:link w:val="Titre3"/>
    <w:uiPriority w:val="9"/>
    <w:rsid w:val="008B11E0"/>
    <w:rPr>
      <w:rFonts w:ascii="Source Sans Pro Light" w:eastAsia="Times New Roman" w:hAnsi="Source Sans Pro Light"/>
      <w:b/>
      <w:bCs/>
      <w:caps/>
      <w:sz w:val="24"/>
      <w:szCs w:val="26"/>
      <w:lang w:eastAsia="en-US"/>
    </w:rPr>
  </w:style>
  <w:style w:type="character" w:customStyle="1" w:styleId="Titre4Car">
    <w:name w:val="Titre 4 Car"/>
    <w:link w:val="Titre4"/>
    <w:uiPriority w:val="9"/>
    <w:rsid w:val="008B11E0"/>
    <w:rPr>
      <w:rFonts w:ascii="Source Sans Pro" w:eastAsia="Times New Roman" w:hAnsi="Source Sans Pro"/>
      <w:b/>
      <w:bCs/>
      <w:i/>
      <w:iCs/>
      <w:sz w:val="22"/>
      <w:szCs w:val="22"/>
      <w:lang w:val="en-US" w:eastAsia="en-US"/>
    </w:rPr>
  </w:style>
  <w:style w:type="character" w:styleId="Lienhypertexte">
    <w:name w:val="Hyperlink"/>
    <w:uiPriority w:val="99"/>
    <w:unhideWhenUsed/>
    <w:rsid w:val="001A4540"/>
    <w:rPr>
      <w:rFonts w:ascii="Source Sans Pro" w:hAnsi="Source Sans Pro"/>
      <w:color w:val="007983"/>
      <w:sz w:val="22"/>
      <w:u w:val="single"/>
    </w:rPr>
  </w:style>
  <w:style w:type="character" w:styleId="Titredulivre">
    <w:name w:val="Book Title"/>
    <w:uiPriority w:val="33"/>
    <w:qFormat/>
    <w:rsid w:val="001B279E"/>
    <w:rPr>
      <w:bCs/>
      <w:smallCaps/>
      <w:color w:val="auto"/>
      <w:spacing w:val="5"/>
      <w:sz w:val="32"/>
    </w:rPr>
  </w:style>
  <w:style w:type="paragraph" w:customStyle="1" w:styleId="Affiliation">
    <w:name w:val="Affiliation"/>
    <w:basedOn w:val="Normal"/>
    <w:qFormat/>
    <w:rsid w:val="00AE5754"/>
    <w:pPr>
      <w:spacing w:before="120" w:after="240" w:line="240" w:lineRule="auto"/>
      <w:contextualSpacing/>
    </w:pPr>
    <w:rPr>
      <w:i/>
      <w:sz w:val="20"/>
    </w:rPr>
  </w:style>
  <w:style w:type="table" w:styleId="Grilledutableau">
    <w:name w:val="Table Grid"/>
    <w:basedOn w:val="TableauNormal"/>
    <w:uiPriority w:val="59"/>
    <w:rsid w:val="003237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principal">
    <w:name w:val="Titre principal"/>
    <w:basedOn w:val="Normal"/>
    <w:qFormat/>
    <w:rsid w:val="00681C0E"/>
    <w:pPr>
      <w:spacing w:before="240" w:after="840"/>
      <w:jc w:val="center"/>
    </w:pPr>
    <w:rPr>
      <w:smallCaps/>
      <w:sz w:val="36"/>
    </w:rPr>
  </w:style>
  <w:style w:type="paragraph" w:customStyle="1" w:styleId="Rfrencesarticle">
    <w:name w:val="Références article"/>
    <w:basedOn w:val="Normal"/>
    <w:qFormat/>
    <w:rsid w:val="000E38B2"/>
    <w:pPr>
      <w:tabs>
        <w:tab w:val="left" w:pos="567"/>
      </w:tabs>
    </w:pPr>
    <w:rPr>
      <w:sz w:val="20"/>
      <w:szCs w:val="20"/>
    </w:rPr>
  </w:style>
  <w:style w:type="paragraph" w:styleId="Bibliographie">
    <w:name w:val="Bibliography"/>
    <w:basedOn w:val="Normal"/>
    <w:next w:val="Normal"/>
    <w:uiPriority w:val="37"/>
    <w:semiHidden/>
    <w:unhideWhenUsed/>
    <w:rsid w:val="00517B48"/>
    <w:rPr>
      <w:sz w:val="20"/>
    </w:rPr>
  </w:style>
  <w:style w:type="paragraph" w:styleId="Paragraphedeliste">
    <w:name w:val="List Paragraph"/>
    <w:basedOn w:val="Normal"/>
    <w:uiPriority w:val="34"/>
    <w:qFormat/>
    <w:rsid w:val="00012C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010777">
      <w:bodyDiv w:val="1"/>
      <w:marLeft w:val="0"/>
      <w:marRight w:val="0"/>
      <w:marTop w:val="0"/>
      <w:marBottom w:val="0"/>
      <w:divBdr>
        <w:top w:val="none" w:sz="0" w:space="0" w:color="auto"/>
        <w:left w:val="none" w:sz="0" w:space="0" w:color="auto"/>
        <w:bottom w:val="none" w:sz="0" w:space="0" w:color="auto"/>
        <w:right w:val="none" w:sz="0" w:space="0" w:color="auto"/>
      </w:divBdr>
    </w:div>
    <w:div w:id="503397296">
      <w:bodyDiv w:val="1"/>
      <w:marLeft w:val="0"/>
      <w:marRight w:val="0"/>
      <w:marTop w:val="0"/>
      <w:marBottom w:val="0"/>
      <w:divBdr>
        <w:top w:val="none" w:sz="0" w:space="0" w:color="auto"/>
        <w:left w:val="none" w:sz="0" w:space="0" w:color="auto"/>
        <w:bottom w:val="none" w:sz="0" w:space="0" w:color="auto"/>
        <w:right w:val="none" w:sz="0" w:space="0" w:color="auto"/>
      </w:divBdr>
    </w:div>
    <w:div w:id="696976046">
      <w:bodyDiv w:val="1"/>
      <w:marLeft w:val="0"/>
      <w:marRight w:val="0"/>
      <w:marTop w:val="0"/>
      <w:marBottom w:val="0"/>
      <w:divBdr>
        <w:top w:val="none" w:sz="0" w:space="0" w:color="auto"/>
        <w:left w:val="none" w:sz="0" w:space="0" w:color="auto"/>
        <w:bottom w:val="none" w:sz="0" w:space="0" w:color="auto"/>
        <w:right w:val="none" w:sz="0" w:space="0" w:color="auto"/>
      </w:divBdr>
    </w:div>
    <w:div w:id="1422603285">
      <w:bodyDiv w:val="1"/>
      <w:marLeft w:val="0"/>
      <w:marRight w:val="0"/>
      <w:marTop w:val="0"/>
      <w:marBottom w:val="0"/>
      <w:divBdr>
        <w:top w:val="none" w:sz="0" w:space="0" w:color="auto"/>
        <w:left w:val="none" w:sz="0" w:space="0" w:color="auto"/>
        <w:bottom w:val="none" w:sz="0" w:space="0" w:color="auto"/>
        <w:right w:val="none" w:sz="0" w:space="0" w:color="auto"/>
      </w:divBdr>
    </w:div>
    <w:div w:id="1757901559">
      <w:bodyDiv w:val="1"/>
      <w:marLeft w:val="0"/>
      <w:marRight w:val="0"/>
      <w:marTop w:val="0"/>
      <w:marBottom w:val="0"/>
      <w:divBdr>
        <w:top w:val="none" w:sz="0" w:space="0" w:color="auto"/>
        <w:left w:val="none" w:sz="0" w:space="0" w:color="auto"/>
        <w:bottom w:val="none" w:sz="0" w:space="0" w:color="auto"/>
        <w:right w:val="none" w:sz="0" w:space="0" w:color="auto"/>
      </w:divBdr>
      <w:divsChild>
        <w:div w:id="8477171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2A4F0-16ED-4AC4-B796-FBBEA2015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3223</Words>
  <Characters>17729</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Cécile Dohogne</dc:creator>
  <cp:keywords/>
  <cp:lastModifiedBy>Yvonne</cp:lastModifiedBy>
  <cp:revision>4</cp:revision>
  <cp:lastPrinted>2018-12-03T10:11:00Z</cp:lastPrinted>
  <dcterms:created xsi:type="dcterms:W3CDTF">2022-11-28T14:37:00Z</dcterms:created>
  <dcterms:modified xsi:type="dcterms:W3CDTF">2022-11-28T14:47:00Z</dcterms:modified>
</cp:coreProperties>
</file>