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media/image1.jpeg" ContentType="image/jpeg"/>
  <Override PartName="/word/media/image2.png" ContentType="image/png"/>
  <Override PartName="/word/media/image4.jpeg" ContentType="image/jpeg"/>
  <Override PartName="/word/media/image3.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left"/>
        <w:rPr/>
      </w:pPr>
      <w:r>
        <w:rPr/>
      </w:r>
    </w:p>
    <w:p>
      <w:pPr>
        <w:pStyle w:val="Normal"/>
        <w:bidi w:val="0"/>
        <w:jc w:val="left"/>
        <w:rPr/>
      </w:pPr>
      <w:r>
        <w:rPr/>
        <w:drawing>
          <wp:inline distT="0" distB="0" distL="0" distR="0">
            <wp:extent cx="5921375" cy="83712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21375" cy="8371205"/>
                    </a:xfrm>
                    <a:prstGeom prst="rect">
                      <a:avLst/>
                    </a:prstGeom>
                  </pic:spPr>
                </pic:pic>
              </a:graphicData>
            </a:graphic>
          </wp:inline>
        </w:drawing>
      </w:r>
      <w:r>
        <w:rPr/>
        <w:t xml:space="preserve"> </w:t>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Lignehorizontale"/>
        <w:bidi w:val="0"/>
        <w:jc w:val="left"/>
        <w:rPr/>
      </w:pPr>
      <w:r>
        <w:rPr/>
      </w:r>
    </w:p>
    <w:p>
      <w:pPr>
        <w:pStyle w:val="Corpsdetexte"/>
        <w:rPr/>
      </w:pPr>
      <w:r>
        <w:rPr/>
        <w:drawing>
          <wp:inline distT="0" distB="0" distL="0" distR="0">
            <wp:extent cx="11430000" cy="571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430000" cy="571500"/>
                    </a:xfrm>
                    <a:prstGeom prst="rect">
                      <a:avLst/>
                    </a:prstGeom>
                  </pic:spPr>
                </pic:pic>
              </a:graphicData>
            </a:graphic>
          </wp:inline>
        </w:drawing>
      </w:r>
    </w:p>
    <w:p>
      <w:pPr>
        <w:pStyle w:val="Titre2"/>
        <w:rPr/>
      </w:pPr>
      <w:r>
        <w:rPr/>
        <w:drawing>
          <wp:inline distT="0" distB="0" distL="0" distR="0">
            <wp:extent cx="1428750" cy="2028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28750" cy="2028825"/>
                    </a:xfrm>
                    <a:prstGeom prst="rect">
                      <a:avLst/>
                    </a:prstGeom>
                  </pic:spPr>
                </pic:pic>
              </a:graphicData>
            </a:graphic>
          </wp:inline>
        </w:drawing>
      </w:r>
    </w:p>
    <w:p>
      <w:pPr>
        <w:pStyle w:val="Titre2"/>
        <w:rPr/>
      </w:pPr>
      <w:r>
        <w:rPr/>
        <w:t>New Orleans, 100 Ans de Musiques</w:t>
      </w:r>
    </w:p>
    <w:p>
      <w:pPr>
        <w:pStyle w:val="Titre3"/>
        <w:rPr/>
      </w:pPr>
      <w:r>
        <w:rPr/>
        <w:t>Eric Doidy et Lola Reynaerts</w:t>
      </w:r>
    </w:p>
    <w:p>
      <w:pPr>
        <w:pStyle w:val="Corpsdetexte"/>
        <w:rPr/>
      </w:pPr>
      <w:r>
        <w:rPr>
          <w:rStyle w:val="Accentuationforte"/>
        </w:rPr>
        <w:t>Le Mot et le Reste (2022), 264 pages, ISBN 978-2-38431-077-7</w:t>
      </w:r>
    </w:p>
    <w:p>
      <w:pPr>
        <w:pStyle w:val="Corpsdetexte"/>
        <w:rPr/>
      </w:pPr>
      <w:r>
        <w:rPr/>
        <w:t>Dans une longue et intéressante introduction, Eric Doidy développe l’importance de La Nouvelle-Orléans dans l’histoire des musiques Africaines-Américaines et par extension celle de toutes les musiques populaires. Cette ville fut – et reste – un carrefour incontournable des cultures et un creuset de tous les styles musicaux, de la fin du XIXe siècle à nos jours, située idéalement sur le plan géographique : un port de mer sur le Golfe du Mexique ouvert au reste du monde, près du Deep South (Mississippi, Texas, …), près des Iles (Cuba, Caraïbes, Antilles, …), de l’ Amérique centrale et du sud, etc. Il y eut là-bas un brassage de talents, de musiciens et de créateurs à nul autre pareil. Les </w:t>
      </w:r>
      <w:r>
        <w:rPr>
          <w:lang w:val="fr-BE"/>
        </w:rPr>
        <w:t>instrumentistes et vocalistes </w:t>
      </w:r>
      <w:r>
        <w:rPr/>
        <w:t>de NOLA et leurs hôtes ont été de tous les combats, </w:t>
      </w:r>
      <w:r>
        <w:rPr>
          <w:lang w:val="fr-BE"/>
        </w:rPr>
        <w:t>ils ont participé à </w:t>
      </w:r>
      <w:r>
        <w:rPr/>
        <w:t>la naissance et au développement de tous les styles, le jazz, le blues, le R&amp;B, le rock, la soul, le gospel, le zydeco, la musique cajun, le rap et le bounce (rap spécifique de NOLA), les chants hybrides des Mardi Gras Indians, le funk et toutes leurs variantes comme leurs satellites. Qui dit mieux ? Eric Doidy et Lola Reynaerts se sont réparti le travail, cette dernière assurant en sus les photographies en noir et blanc de l’introduction. Eric Doidy prévient que le foisonnement d’interprètes et d’enregistrements réalisés là-bas est tel que le choix et le traitement par les deux auteurs de 100 </w:t>
      </w:r>
      <w:r>
        <w:rPr>
          <w:lang w:val="fr-BE"/>
        </w:rPr>
        <w:t>musicien(ne)s ou </w:t>
      </w:r>
      <w:r>
        <w:rPr/>
        <w:t>groupes </w:t>
      </w:r>
      <w:r>
        <w:rPr>
          <w:lang w:val="fr-BE"/>
        </w:rPr>
        <w:t>avec, pour chacun(e), </w:t>
      </w:r>
      <w:r>
        <w:rPr/>
        <w:t>leur album emblématique, ne peut être que subjectif mais </w:t>
      </w:r>
      <w:r>
        <w:rPr>
          <w:lang w:val="fr-BE"/>
        </w:rPr>
        <w:t>basé sur des critères objectifs tels que le retentissement médiatique </w:t>
      </w:r>
      <w:r>
        <w:rPr/>
        <w:t>et les échos flatteurs d’une critique unanime… C’est aussi une invitation aux découvertes. Ajoutons que les albums présentés ont tous un point commun : ils ne peuvent venir que de NOLA, ils en ont le cachet inimitable et n’auraient pu être réalisés ailleurs. La sélection suit l’ordre chronologique de parution des albums </w:t>
      </w:r>
      <w:r>
        <w:rPr>
          <w:lang w:val="fr-BE"/>
        </w:rPr>
        <w:t>retenus</w:t>
      </w:r>
      <w:r>
        <w:rPr/>
        <w:t xml:space="preserve">, de 1955 (Papa Celestin : </w:t>
      </w:r>
      <w:r>
        <w:rPr>
          <w:rStyle w:val="Accentuation"/>
        </w:rPr>
        <w:t>« Papa Celestin’s Golden Wedding »</w:t>
      </w:r>
      <w:r>
        <w:rPr/>
        <w:t xml:space="preserve"> -Southland Records) à 2021 (Cha Wa : </w:t>
      </w:r>
      <w:r>
        <w:rPr>
          <w:rStyle w:val="Accentuation"/>
        </w:rPr>
        <w:t>« My People »</w:t>
      </w:r>
      <w:r>
        <w:rPr/>
        <w:t> – Single Lock Records) en passant par toutes les icônes musicales de la Crecent City. Une fiche biographique </w:t>
      </w:r>
      <w:r>
        <w:rPr>
          <w:lang w:val="fr-BE"/>
        </w:rPr>
        <w:t>succincte mais complète </w:t>
      </w:r>
      <w:r>
        <w:rPr/>
        <w:t>est suivie d’une analyse du disque choisi et son impact sur le show business. On ne peut citer tout le monde, mais on y retrouve évidemment des grands nom des marching bands et du jazz comme le Dejean’s Original Olympia Brass Band, Jelly Roll Morton, King Oliver, Louis Armstrong, Sidney Bechet, Kid Ory, Wynton et Ellis Marsalis, le Dirty Dozen Jazz Band, le Rebirth Jazz Band, Kid Thomas, Billie et DeeDee Pierce, etc. Blues et R&amp;B/Soul sont bien présents avec, entre autres, Lonnie Johnson, Champion Jack Dupree, Snooks Eaglin, Professor Longhair, Guitar Slim, Cousin Joe, James Booker, Fats Domino, Little Richard, Aron Neville et les Neville Brothers, Dr. John, Irma Thomas, The Meters, Allen Toussaint, etc. Le Gospel est plus pauvrement à l’honneur, avec seulement Mahalia Jackson, Rev. Utah Smith, Rev. Charlie Jackson et Sister Gertrude Morgan, comme la musique cajun avec Bruce Daigrepont et Zachazy Richard ou le zydeco avec Clifton Chenier, Lynn August, Beau Jocque et Dwayne Dopsee. Les Mardi Gras Indians sont rondement menés par les Wild Tchoupitoulas, les Wild Magnolias, les Golden Eagles. Les auteurs mettent aussi en avant la génération montante, des artistes comme Trombone Shorty et Leyla McCalla, mais aussi Mia X, Big Freedia, Cha Wa, Coolbone, Crowbar ou Juvenile et Jon Batiste. Ce livre fera date par sa pertinence, son éclectisme dans le choix des artistes ainsi que dans le rôle essentiel joué par NOLA dans le développement de la musique populaire, toutes générations confondues. NOLA le valait bien ! –</w:t>
      </w:r>
    </w:p>
    <w:p>
      <w:pPr>
        <w:pStyle w:val="Corpsdetexte"/>
        <w:rPr/>
      </w:pPr>
      <w:r>
        <w:rPr/>
        <w:t xml:space="preserve"> </w:t>
      </w:r>
      <w:r>
        <w:rPr>
          <w:rStyle w:val="Accentuationforte"/>
        </w:rPr>
        <w:t>Robert Sacre</w:t>
      </w:r>
    </w:p>
    <w:p>
      <w:pPr>
        <w:pStyle w:val="Lignehorizontale"/>
        <w:rPr/>
      </w:pPr>
      <w:r>
        <w:rPr/>
      </w:r>
    </w:p>
    <w:p>
      <w:pPr>
        <w:pStyle w:val="Titre2"/>
        <w:rPr/>
      </w:pPr>
      <w:r>
        <w:rPr/>
        <w:drawing>
          <wp:inline distT="0" distB="0" distL="0" distR="0">
            <wp:extent cx="1428750" cy="20669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28750" cy="2066925"/>
                    </a:xfrm>
                    <a:prstGeom prst="rect">
                      <a:avLst/>
                    </a:prstGeom>
                  </pic:spPr>
                </pic:pic>
              </a:graphicData>
            </a:graphic>
          </wp:inline>
        </w:drawing>
      </w:r>
    </w:p>
    <w:p>
      <w:pPr>
        <w:pStyle w:val="Titre2"/>
        <w:rPr/>
      </w:pPr>
      <w:r>
        <w:rPr/>
        <w:t>Ma Rainey, La Mère du Blues</w:t>
      </w:r>
    </w:p>
    <w:p>
      <w:pPr>
        <w:pStyle w:val="Titre3"/>
        <w:rPr/>
      </w:pPr>
      <w:r>
        <w:rPr/>
        <w:t>Steven Jezo-Vannier</w:t>
      </w:r>
    </w:p>
    <w:p>
      <w:pPr>
        <w:pStyle w:val="Corpsdetexte"/>
        <w:rPr/>
      </w:pPr>
      <w:r>
        <w:rPr>
          <w:rStyle w:val="Accentuationforte"/>
        </w:rPr>
        <w:t>Le Mot et le Reste, 2022 ; 276 pages ; ISBN 978-2-38431n</w:t>
      </w:r>
    </w:p>
    <w:p>
      <w:pPr>
        <w:pStyle w:val="Corpsdetexte"/>
        <w:rPr/>
      </w:pPr>
      <w:r>
        <w:rPr/>
        <w:t xml:space="preserve">Enfin une biographie en Français de la chanteuse Gertrude “Ma” Rainey, une icône du Blues Classique des années 20 et 30 avec Bessie Smith et beaucoup d’autres. La bibliographie compilée par l’auteur montre qu’elle fut le sujet d’articles dans la presse et magazines, mais aussi de portraits dans nombre de livres plus généralistes et qu’en Anglais , Sandra Lieb est la seule auteure à lui avoir consacré un volume entier en 1981. On regrettera que ce livre-ci de 2022 ne mentionne pas </w:t>
      </w:r>
      <w:r>
        <w:rPr>
          <w:rStyle w:val="Accentuation"/>
        </w:rPr>
        <w:t>« Ma Rainey’s Black Bottom »</w:t>
      </w:r>
      <w:r>
        <w:rPr/>
        <w:t>, un film de George C. Wolfe sorti en 2020 et qui met en scène une très dynamique Viola Davis dans le rôle de Rainey, exigeante, directive et très déterminée lors d’une séance d’enregistrement dans les studios Paramount de Chicago en 1927. Ce film est basé lui-même sur un spectacle écrit par August Wilson en 1982. Dans le livre, la vie et la carrière de Rainey sont décrites avec un luxe de détails assez impressionant, fruit d’une longue recherche dans tous les documents disponibles, mais il est dommage que l’auteur parte d’un postulat </w:t>
      </w:r>
      <w:r>
        <w:rPr>
          <w:lang w:val="fr-BE"/>
        </w:rPr>
        <w:t>erroné :</w:t>
      </w:r>
      <w:r>
        <w:rPr/>
        <w:t> d’après lui, le Blues ne serait pas une affaire d’hommes et Gertrude Pridgett (“Ma” Rainey) aurait été la première à incarner cette musique et à en être La Mère, après 1906, avant les bluesmen du Mississippi. </w:t>
      </w:r>
      <w:r>
        <w:rPr>
          <w:lang w:val="fr-BE"/>
        </w:rPr>
        <w:t>C’est faire l’impasse sur le fait que </w:t>
      </w:r>
      <w:r>
        <w:rPr/>
        <w:t>le blues rural </w:t>
      </w:r>
      <w:r>
        <w:rPr>
          <w:lang w:val="fr-BE"/>
        </w:rPr>
        <w:t>était </w:t>
      </w:r>
      <w:r>
        <w:rPr/>
        <w:t>apparu dans le Sud des États-Unis dans les années 1880-1890 avec des bluesmen masculins très populaires dans leurs communautés rurales </w:t>
      </w:r>
      <w:r>
        <w:rPr>
          <w:lang w:val="fr-BE"/>
        </w:rPr>
        <w:t>et ils y ont </w:t>
      </w:r>
      <w:r>
        <w:rPr/>
        <w:t>incarné le blues avant Ma Rainey. Toutefois, il est vrai que cette dernière a popularisé SON </w:t>
      </w:r>
      <w:r>
        <w:rPr>
          <w:lang w:val="fr-BE"/>
        </w:rPr>
        <w:t>style urbain de </w:t>
      </w:r>
      <w:r>
        <w:rPr/>
        <w:t>blues dans les villes où elle s’est produite au long de sa carrière, y compris dans le Nord. Au début du XXe siècle, des caravanes de théâtres et cirques ambulants avec ménestrels, chanteuses noires et blanches issues du vaudeville et/ou des comédies musicales de Broadway et avec artistes de cirque, commencèrent à faire des tournées dans tout le Sud et là, Ma Rainey, Bessie Smith, Alberta Hunter et les autres chanteuses de ce qui deviendra le premier style urbain de blues – le Blues Classique – découvrirent le blues rural et décidèrent de l’adopter pour leur propre compte. Ces chanteuses se faisaient accompagner par un pianiste de jazz ou carrément par un orchestre de jazz ! L’</w:t>
      </w:r>
      <w:r>
        <w:rPr>
          <w:lang w:val="fr-BE"/>
        </w:rPr>
        <w:t>auteur se contredit lui-même </w:t>
      </w:r>
      <w:r>
        <w:rPr/>
        <w:t xml:space="preserve">: ainsi page 34, </w:t>
      </w:r>
      <w:r>
        <w:rPr>
          <w:rStyle w:val="Accentuation"/>
        </w:rPr>
        <w:t>« Gertrude découvre le blues »</w:t>
      </w:r>
      <w:r>
        <w:rPr/>
        <w:t xml:space="preserve">, tiens donc ! Il était bel et bien incarné et inventé déjà par des bluesmen ruraux. Cela dit, la saga de Gertrude Pridgett est traitée correctement, de manière exhaustive. Tout y est, en détails, avec, d’abord, le chapitre </w:t>
      </w:r>
      <w:r>
        <w:rPr>
          <w:rStyle w:val="Accentuation"/>
        </w:rPr>
        <w:t>En Scène</w:t>
      </w:r>
      <w:r>
        <w:rPr/>
        <w:t xml:space="preserve"> (1888-1923) : sa naissance à Columbus en Georgie à une date controversée, entre 1882 et 1886, ses origines, sa famille, son enfance, son adolescence et son mariage avec William M. Rainey en 1904, sa passion naissante puis dévorante pour la musique et la danse, son entrée dans le show-business, au sein des célèbres Rabbit’s Foot Minstrels de Patrick Henry Chapelle en 1906, son parcours mouvementé, son combat féministe, son indépendance toute relative car elle vivait dans une société dominée par un racisme et une ségrégation féroces et, en tant que Noire, elle eut à subir ses lois, qu’elle le veuille ou non. On vit sa rencontre avec Bessie Smith qu’elle prit sous son aile puis la pupille qui égala – voire dépassa – son modèle. Bisexuelles toutes deux, elles eurent une relation amoureuse car Ma Rainey, malgré un physique que tous s’accordent à dire qu’il était plus qu’ingrat, remporta un succès fou tant auprès des femmes que des hommes et il en </w:t>
      </w:r>
      <w:r>
        <w:rPr>
          <w:lang w:val="fr-BE"/>
        </w:rPr>
        <w:t>alla </w:t>
      </w:r>
      <w:r>
        <w:rPr/>
        <w:t xml:space="preserve">de même pour Bessie Smith (bien plus avenante) et bien d’autres. À noter qu’elles restèrent amies et très proches, sans jalousie réciproque, jusqu’à la mort accidentelle de Smith en septembre 1937 à Clarksdale, Mississippi. Le chapitre suivant – </w:t>
      </w:r>
      <w:r>
        <w:rPr>
          <w:rStyle w:val="Accentuation"/>
        </w:rPr>
        <w:t>En Studio ; 1923-1928</w:t>
      </w:r>
      <w:r>
        <w:rPr/>
        <w:t xml:space="preserve"> – retrace la collaboration de Rainey avec Paramount Records et les enregistrements réalisés dans les strudios de Chicago, d’abord avec la pianiste Lovie Austin et ses Blue Serenaders (Freddy Keppard, …) en décembre 1923, puis au fil du temps The Pruitt Twins, Fletcher Henderson, Louis Armstrong (1924), Coleman Hawkins (1925), Kid Ory (1927) et des bluesmen comme Blind Blake (1926), Tampa Red/Thomas Dorsey (1928), Papa Charlie Jackson (1928). Curieusement, la collaboration de Dorsey avec Rainey commença en 1924 ; il était son pianiste (en concert), son chef d’orchestre, son compositeur et conseiller musical très écouté, mais il n’ira en studio avec la chanteuse qu’en 1928 la dernière année de Rainey avec Paramount, en ce compris neuf faces avec Tampa Red (gt) – avec lequel Dorsey enregistrera du Hokum Blues de la fin des années 20 au milieu des années 30 – quand, suite à la mort de son épouse en 1935 et de l’enfant qu’elle portait, Dorsey abandonna toute activité dans le Blues pour se consacrer au gospel traditionnel, dont il est </w:t>
      </w:r>
      <w:r>
        <w:rPr/>
        <w:t>lui, bel et bien,</w:t>
      </w:r>
      <w:r>
        <w:rPr/>
        <w:t xml:space="preserve"> le Père. Le dernier chapitre, </w:t>
      </w:r>
      <w:r>
        <w:rPr>
          <w:rStyle w:val="Accentuation"/>
        </w:rPr>
        <w:t>De Retour Chez Soi</w:t>
      </w:r>
      <w:r>
        <w:rPr/>
        <w:t xml:space="preserve"> (1928-1939), conclut la saga sous le signe de la Grande Dépression de 1929. </w:t>
      </w:r>
      <w:r>
        <w:rPr>
          <w:lang w:val="fr-BE"/>
        </w:rPr>
        <w:t>Rainey </w:t>
      </w:r>
      <w:r>
        <w:rPr/>
        <w:t>travailla encore avec le cirque Wortham puis la Sugar Foot Green Company et autres groupes avant de se réinstaller dans sa ville natale en Georgie et y décéder en décembre 1939. Il était temps de rappeler sa prestigieuse carrière et ses exploits. – </w:t>
      </w:r>
    </w:p>
    <w:p>
      <w:pPr>
        <w:pStyle w:val="Corpsdetexte"/>
        <w:rPr/>
      </w:pPr>
      <w:r>
        <w:rPr>
          <w:rStyle w:val="Accentuationforte"/>
        </w:rPr>
        <w:t>Robert Sacre</w:t>
      </w:r>
    </w:p>
    <w:p>
      <w:pPr>
        <w:pStyle w:val="Normal"/>
        <w:bidi w:val="0"/>
        <w:jc w:val="left"/>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Liberation Sans">
    <w:altName w:val="Arial"/>
    <w:charset w:val="00"/>
    <w:family w:val="roman"/>
    <w:pitch w:val="variable"/>
  </w:font>
</w:fonts>
</file>

<file path=word/settings.xml><?xml version="1.0" encoding="utf-8"?>
<w:settings xmlns:w="http://schemas.openxmlformats.org/wordprocessingml/2006/main">
  <w:zoom w:percent="13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0"/>
        <w:szCs w:val="24"/>
        <w:lang w:val="fr-BE" w:eastAsia="zh-CN" w:bidi="hi-IN"/>
      </w:rPr>
    </w:rPrDefault>
    <w:pPrDefault>
      <w:pPr/>
    </w:pPrDefault>
  </w:docDefaults>
  <w:style w:type="paragraph" w:styleId="Normal">
    <w:name w:val="Normal"/>
    <w:qFormat/>
    <w:pPr>
      <w:widowControl/>
      <w:bidi w:val="0"/>
      <w:jc w:val="left"/>
    </w:pPr>
    <w:rPr>
      <w:rFonts w:ascii="Liberation Serif" w:hAnsi="Liberation Serif" w:eastAsia="NSimSun" w:cs="Arial"/>
      <w:color w:val="auto"/>
      <w:kern w:val="2"/>
      <w:sz w:val="24"/>
      <w:szCs w:val="24"/>
      <w:lang w:val="fr-BE" w:eastAsia="zh-CN" w:bidi="hi-IN"/>
    </w:rPr>
  </w:style>
  <w:style w:type="paragraph" w:styleId="Titre2">
    <w:name w:val="Heading 2"/>
    <w:basedOn w:val="Titre"/>
    <w:next w:val="Corpsdetexte"/>
    <w:qFormat/>
    <w:pPr>
      <w:spacing w:before="200" w:after="120"/>
      <w:outlineLvl w:val="1"/>
    </w:pPr>
    <w:rPr>
      <w:rFonts w:ascii="Liberation Serif" w:hAnsi="Liberation Serif" w:eastAsia="NSimSun" w:cs="Arial"/>
      <w:b/>
      <w:bCs/>
      <w:sz w:val="36"/>
      <w:szCs w:val="36"/>
    </w:rPr>
  </w:style>
  <w:style w:type="paragraph" w:styleId="Titre3">
    <w:name w:val="Heading 3"/>
    <w:basedOn w:val="Titre"/>
    <w:next w:val="Corpsdetexte"/>
    <w:qFormat/>
    <w:pPr>
      <w:spacing w:before="140" w:after="120"/>
      <w:outlineLvl w:val="2"/>
    </w:pPr>
    <w:rPr>
      <w:rFonts w:ascii="Liberation Serif" w:hAnsi="Liberation Serif" w:eastAsia="NSimSun" w:cs="Arial"/>
      <w:b/>
      <w:bCs/>
      <w:sz w:val="28"/>
      <w:szCs w:val="28"/>
    </w:rPr>
  </w:style>
  <w:style w:type="character" w:styleId="Accentuationforte">
    <w:name w:val="Accentuation forte"/>
    <w:qFormat/>
    <w:rPr>
      <w:b/>
      <w:bCs/>
    </w:rPr>
  </w:style>
  <w:style w:type="character" w:styleId="Accentuation">
    <w:name w:val="Accentuation"/>
    <w:qFormat/>
    <w:rPr>
      <w:i/>
      <w:iCs/>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gnehorizontale">
    <w:name w:val="Ligne horizontale"/>
    <w:basedOn w:val="Normal"/>
    <w:next w:val="Corpsdetexte"/>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10</TotalTime>
  <Application>LibreOffice/6.3.2.2$Windows_X86_64 LibreOffice_project/98b30e735bda24bc04ab42594c85f7fd8be07b9c</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2022-12-11T11:02:01Z</dcterms:created>
  <dc:creator/>
  <dc:description/>
  <dc:language>fr-BE</dc:language>
  <cp:lastModifiedBy/>
  <dcterms:modified xsi:type="dcterms:W3CDTF">2022-12-11T11:07:20Z</dcterms:modified>
  <cp:revision>3</cp:revision>
  <dc:subject/>
  <dc:title/>
</cp:coreProperties>
</file>