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268C" w14:textId="26A922B6" w:rsidR="001E5F59" w:rsidRPr="00CB0424" w:rsidRDefault="001E5F59" w:rsidP="001E5F59">
      <w:pPr>
        <w:pStyle w:val="Corps"/>
        <w:jc w:val="center"/>
        <w:rPr>
          <w:rFonts w:ascii="Times New Roman" w:hAnsi="Times New Roman" w:cs="Times New Roman"/>
          <w:b/>
          <w:bCs/>
          <w:sz w:val="24"/>
          <w:szCs w:val="24"/>
        </w:rPr>
      </w:pPr>
      <w:r w:rsidRPr="00CB0424">
        <w:rPr>
          <w:rFonts w:ascii="Times New Roman" w:hAnsi="Times New Roman" w:cs="Times New Roman"/>
          <w:b/>
          <w:bCs/>
          <w:sz w:val="24"/>
          <w:szCs w:val="24"/>
        </w:rPr>
        <w:t>L’impact des procédures collectives sur les saisies en cours</w:t>
      </w:r>
    </w:p>
    <w:p w14:paraId="2BBB340A" w14:textId="77777777" w:rsidR="001E5F59" w:rsidRPr="00CB0424" w:rsidRDefault="001E5F59" w:rsidP="00B5673A">
      <w:pPr>
        <w:pStyle w:val="Corps"/>
        <w:jc w:val="both"/>
        <w:rPr>
          <w:rFonts w:ascii="Times New Roman" w:hAnsi="Times New Roman" w:cs="Times New Roman"/>
          <w:sz w:val="24"/>
          <w:szCs w:val="24"/>
        </w:rPr>
      </w:pPr>
    </w:p>
    <w:p w14:paraId="5B3A9638" w14:textId="01F67952" w:rsidR="009123F2" w:rsidRPr="00CB0424" w:rsidRDefault="007D5DAB" w:rsidP="00B5673A">
      <w:pPr>
        <w:pStyle w:val="Corps"/>
        <w:jc w:val="both"/>
        <w:rPr>
          <w:rFonts w:ascii="Times New Roman" w:hAnsi="Times New Roman" w:cs="Times New Roman"/>
          <w:b/>
          <w:bCs/>
          <w:sz w:val="24"/>
          <w:szCs w:val="24"/>
        </w:rPr>
      </w:pPr>
      <w:r w:rsidRPr="00CB0424">
        <w:rPr>
          <w:rFonts w:ascii="Times New Roman" w:hAnsi="Times New Roman" w:cs="Times New Roman"/>
          <w:b/>
          <w:bCs/>
          <w:sz w:val="24"/>
          <w:szCs w:val="24"/>
        </w:rPr>
        <w:t>Introduction</w:t>
      </w:r>
    </w:p>
    <w:p w14:paraId="3F287097" w14:textId="77777777" w:rsidR="007D5DAB" w:rsidRPr="00CB0424" w:rsidRDefault="007D5DAB" w:rsidP="00B5673A">
      <w:pPr>
        <w:pStyle w:val="Corps"/>
        <w:jc w:val="both"/>
        <w:rPr>
          <w:rFonts w:ascii="Times New Roman" w:hAnsi="Times New Roman" w:cs="Times New Roman"/>
          <w:sz w:val="24"/>
          <w:szCs w:val="24"/>
        </w:rPr>
      </w:pPr>
    </w:p>
    <w:p w14:paraId="4742B75D" w14:textId="029B3A0C" w:rsidR="004D3EFB"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 xml:space="preserve">La présente contribution </w:t>
      </w:r>
      <w:r w:rsidR="00955DFB" w:rsidRPr="00CB0424">
        <w:rPr>
          <w:rFonts w:ascii="Times New Roman" w:hAnsi="Times New Roman" w:cs="Times New Roman"/>
          <w:sz w:val="24"/>
          <w:szCs w:val="24"/>
        </w:rPr>
        <w:t>étudie</w:t>
      </w:r>
      <w:r w:rsidRPr="00CB0424">
        <w:rPr>
          <w:rFonts w:ascii="Times New Roman" w:hAnsi="Times New Roman" w:cs="Times New Roman"/>
          <w:sz w:val="24"/>
          <w:szCs w:val="24"/>
        </w:rPr>
        <w:t xml:space="preserve"> l’impact </w:t>
      </w:r>
      <w:r w:rsidR="003F313E" w:rsidRPr="00CB0424">
        <w:rPr>
          <w:rFonts w:ascii="Times New Roman" w:hAnsi="Times New Roman" w:cs="Times New Roman"/>
          <w:sz w:val="24"/>
          <w:szCs w:val="24"/>
        </w:rPr>
        <w:t>d</w:t>
      </w:r>
      <w:r w:rsidR="0067040E" w:rsidRPr="00CB0424">
        <w:rPr>
          <w:rFonts w:ascii="Times New Roman" w:hAnsi="Times New Roman" w:cs="Times New Roman"/>
          <w:sz w:val="24"/>
          <w:szCs w:val="24"/>
        </w:rPr>
        <w:t>’une</w:t>
      </w:r>
      <w:r w:rsidR="00523A08" w:rsidRPr="00CB0424">
        <w:rPr>
          <w:rFonts w:ascii="Times New Roman" w:hAnsi="Times New Roman" w:cs="Times New Roman"/>
          <w:sz w:val="24"/>
          <w:szCs w:val="24"/>
        </w:rPr>
        <w:t xml:space="preserve"> </w:t>
      </w:r>
      <w:r w:rsidR="009A0967" w:rsidRPr="00CB0424">
        <w:rPr>
          <w:rFonts w:ascii="Times New Roman" w:hAnsi="Times New Roman" w:cs="Times New Roman"/>
          <w:sz w:val="24"/>
          <w:szCs w:val="24"/>
        </w:rPr>
        <w:t>faillite, d</w:t>
      </w:r>
      <w:r w:rsidR="003810F7" w:rsidRPr="00CB0424">
        <w:rPr>
          <w:rFonts w:ascii="Times New Roman" w:hAnsi="Times New Roman" w:cs="Times New Roman"/>
          <w:sz w:val="24"/>
          <w:szCs w:val="24"/>
        </w:rPr>
        <w:t>’une</w:t>
      </w:r>
      <w:r w:rsidR="00523A08" w:rsidRPr="00CB0424">
        <w:rPr>
          <w:rFonts w:ascii="Times New Roman" w:hAnsi="Times New Roman" w:cs="Times New Roman"/>
          <w:sz w:val="24"/>
          <w:szCs w:val="24"/>
        </w:rPr>
        <w:t xml:space="preserve"> procédure de </w:t>
      </w:r>
      <w:r w:rsidR="009A0967" w:rsidRPr="00CB0424">
        <w:rPr>
          <w:rFonts w:ascii="Times New Roman" w:hAnsi="Times New Roman" w:cs="Times New Roman"/>
          <w:sz w:val="24"/>
          <w:szCs w:val="24"/>
        </w:rPr>
        <w:t xml:space="preserve">réorganisation judiciaire et </w:t>
      </w:r>
      <w:r w:rsidR="00003C54" w:rsidRPr="00CB0424">
        <w:rPr>
          <w:rFonts w:ascii="Times New Roman" w:hAnsi="Times New Roman" w:cs="Times New Roman"/>
          <w:sz w:val="24"/>
          <w:szCs w:val="24"/>
        </w:rPr>
        <w:t>d’</w:t>
      </w:r>
      <w:r w:rsidR="009A0967" w:rsidRPr="00CB0424">
        <w:rPr>
          <w:rFonts w:ascii="Times New Roman" w:hAnsi="Times New Roman" w:cs="Times New Roman"/>
          <w:sz w:val="24"/>
          <w:szCs w:val="24"/>
        </w:rPr>
        <w:t>un règlement collectif de dettes sur les saisies en cours</w:t>
      </w:r>
      <w:r w:rsidRPr="00CB0424">
        <w:rPr>
          <w:rFonts w:ascii="Times New Roman" w:eastAsia="Times New Roman" w:hAnsi="Times New Roman" w:cs="Times New Roman"/>
          <w:sz w:val="24"/>
          <w:szCs w:val="24"/>
          <w:vertAlign w:val="superscript"/>
        </w:rPr>
        <w:footnoteReference w:id="2"/>
      </w:r>
      <w:r w:rsidR="00003C54" w:rsidRPr="00CB0424">
        <w:rPr>
          <w:rFonts w:ascii="Times New Roman" w:hAnsi="Times New Roman" w:cs="Times New Roman"/>
          <w:sz w:val="24"/>
          <w:szCs w:val="24"/>
        </w:rPr>
        <w:t>, en partic</w:t>
      </w:r>
      <w:r w:rsidR="00E1536B" w:rsidRPr="00CB0424">
        <w:rPr>
          <w:rFonts w:ascii="Times New Roman" w:hAnsi="Times New Roman" w:cs="Times New Roman"/>
          <w:sz w:val="24"/>
          <w:szCs w:val="24"/>
        </w:rPr>
        <w:t>u</w:t>
      </w:r>
      <w:r w:rsidR="00003C54" w:rsidRPr="00CB0424">
        <w:rPr>
          <w:rFonts w:ascii="Times New Roman" w:hAnsi="Times New Roman" w:cs="Times New Roman"/>
          <w:sz w:val="24"/>
          <w:szCs w:val="24"/>
        </w:rPr>
        <w:t>lier</w:t>
      </w:r>
      <w:r w:rsidR="0031301F" w:rsidRPr="00CB0424">
        <w:rPr>
          <w:rFonts w:ascii="Times New Roman" w:hAnsi="Times New Roman" w:cs="Times New Roman"/>
          <w:sz w:val="24"/>
          <w:szCs w:val="24"/>
        </w:rPr>
        <w:t xml:space="preserve"> </w:t>
      </w:r>
      <w:r w:rsidR="00003C54" w:rsidRPr="00CB0424">
        <w:rPr>
          <w:rFonts w:ascii="Times New Roman" w:hAnsi="Times New Roman" w:cs="Times New Roman"/>
          <w:sz w:val="24"/>
          <w:szCs w:val="24"/>
        </w:rPr>
        <w:t>les voies d’exécution</w:t>
      </w:r>
      <w:r w:rsidRPr="00CB0424">
        <w:rPr>
          <w:rFonts w:ascii="Times New Roman" w:hAnsi="Times New Roman" w:cs="Times New Roman"/>
          <w:sz w:val="24"/>
          <w:szCs w:val="24"/>
        </w:rPr>
        <w:t>.</w:t>
      </w:r>
    </w:p>
    <w:p w14:paraId="00877472" w14:textId="77777777" w:rsidR="004D3EFB" w:rsidRPr="00CB0424" w:rsidRDefault="004D3EFB" w:rsidP="00B5673A">
      <w:pPr>
        <w:pStyle w:val="Corps"/>
        <w:jc w:val="both"/>
        <w:rPr>
          <w:rFonts w:ascii="Times New Roman" w:hAnsi="Times New Roman" w:cs="Times New Roman"/>
          <w:sz w:val="24"/>
          <w:szCs w:val="24"/>
        </w:rPr>
      </w:pPr>
    </w:p>
    <w:p w14:paraId="27F829B1" w14:textId="67BC3EFE" w:rsidR="00395F76" w:rsidRPr="00CB0424" w:rsidRDefault="00003C54"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De n</w:t>
      </w:r>
      <w:r w:rsidR="00E8092E" w:rsidRPr="00CB0424">
        <w:rPr>
          <w:rFonts w:ascii="Times New Roman" w:hAnsi="Times New Roman" w:cs="Times New Roman"/>
          <w:sz w:val="24"/>
          <w:szCs w:val="24"/>
        </w:rPr>
        <w:t>ombreu</w:t>
      </w:r>
      <w:r w:rsidR="003810F7" w:rsidRPr="00CB0424">
        <w:rPr>
          <w:rFonts w:ascii="Times New Roman" w:hAnsi="Times New Roman" w:cs="Times New Roman"/>
          <w:sz w:val="24"/>
          <w:szCs w:val="24"/>
        </w:rPr>
        <w:t>x articles</w:t>
      </w:r>
      <w:r w:rsidR="00E8092E" w:rsidRPr="00CB0424">
        <w:rPr>
          <w:rFonts w:ascii="Times New Roman" w:hAnsi="Times New Roman" w:cs="Times New Roman"/>
          <w:sz w:val="24"/>
          <w:szCs w:val="24"/>
        </w:rPr>
        <w:t xml:space="preserve"> ont</w:t>
      </w:r>
      <w:r w:rsidR="009A0967" w:rsidRPr="00CB0424">
        <w:rPr>
          <w:rFonts w:ascii="Times New Roman" w:hAnsi="Times New Roman" w:cs="Times New Roman"/>
          <w:sz w:val="24"/>
          <w:szCs w:val="24"/>
        </w:rPr>
        <w:t xml:space="preserve"> déjà</w:t>
      </w:r>
      <w:r w:rsidR="00E8092E" w:rsidRPr="00CB0424">
        <w:rPr>
          <w:rFonts w:ascii="Times New Roman" w:hAnsi="Times New Roman" w:cs="Times New Roman"/>
          <w:sz w:val="24"/>
          <w:szCs w:val="24"/>
        </w:rPr>
        <w:t xml:space="preserve"> été écrit</w:t>
      </w:r>
      <w:r w:rsidR="003810F7" w:rsidRPr="00CB0424">
        <w:rPr>
          <w:rFonts w:ascii="Times New Roman" w:hAnsi="Times New Roman" w:cs="Times New Roman"/>
          <w:sz w:val="24"/>
          <w:szCs w:val="24"/>
        </w:rPr>
        <w:t>s</w:t>
      </w:r>
      <w:r w:rsidR="00E8092E" w:rsidRPr="00CB0424">
        <w:rPr>
          <w:rFonts w:ascii="Times New Roman" w:hAnsi="Times New Roman" w:cs="Times New Roman"/>
          <w:sz w:val="24"/>
          <w:szCs w:val="24"/>
        </w:rPr>
        <w:t xml:space="preserve"> sur ce sujet, en particulier depuis la réforme d’ampleur organisée par les lois du 11 août 2017 et du 15 avril 2018</w:t>
      </w:r>
      <w:r w:rsidR="00E8092E" w:rsidRPr="00CB0424">
        <w:rPr>
          <w:rFonts w:ascii="Times New Roman" w:eastAsia="Times New Roman" w:hAnsi="Times New Roman" w:cs="Times New Roman"/>
          <w:sz w:val="24"/>
          <w:szCs w:val="24"/>
          <w:vertAlign w:val="superscript"/>
        </w:rPr>
        <w:footnoteReference w:id="3"/>
      </w:r>
      <w:r w:rsidR="00E8092E" w:rsidRPr="00CB0424">
        <w:rPr>
          <w:rFonts w:ascii="Times New Roman" w:hAnsi="Times New Roman" w:cs="Times New Roman"/>
          <w:sz w:val="24"/>
          <w:szCs w:val="24"/>
        </w:rPr>
        <w:t>.</w:t>
      </w:r>
      <w:r w:rsidR="003B0C85" w:rsidRPr="00CB0424">
        <w:rPr>
          <w:rFonts w:ascii="Times New Roman" w:hAnsi="Times New Roman" w:cs="Times New Roman"/>
          <w:sz w:val="24"/>
          <w:szCs w:val="24"/>
        </w:rPr>
        <w:t xml:space="preserve"> Néanmoins, </w:t>
      </w:r>
      <w:r w:rsidR="00D658CA">
        <w:rPr>
          <w:rFonts w:ascii="Times New Roman" w:hAnsi="Times New Roman" w:cs="Times New Roman"/>
          <w:sz w:val="24"/>
          <w:szCs w:val="24"/>
        </w:rPr>
        <w:t>quelques</w:t>
      </w:r>
      <w:r w:rsidR="003B0C85" w:rsidRPr="00CB0424">
        <w:rPr>
          <w:rFonts w:ascii="Times New Roman" w:hAnsi="Times New Roman" w:cs="Times New Roman"/>
          <w:sz w:val="24"/>
          <w:szCs w:val="24"/>
        </w:rPr>
        <w:t xml:space="preserve"> </w:t>
      </w:r>
      <w:r w:rsidR="009F3DEA" w:rsidRPr="00CB0424">
        <w:rPr>
          <w:rFonts w:ascii="Times New Roman" w:hAnsi="Times New Roman" w:cs="Times New Roman"/>
          <w:sz w:val="24"/>
          <w:szCs w:val="24"/>
        </w:rPr>
        <w:t xml:space="preserve">questions épineuses subsistent, </w:t>
      </w:r>
      <w:r w:rsidR="003C2F44" w:rsidRPr="00CB0424">
        <w:rPr>
          <w:rFonts w:ascii="Times New Roman" w:hAnsi="Times New Roman" w:cs="Times New Roman"/>
          <w:sz w:val="24"/>
          <w:szCs w:val="24"/>
        </w:rPr>
        <w:t xml:space="preserve">notamment dues </w:t>
      </w:r>
      <w:r w:rsidR="00DA2408" w:rsidRPr="00CB0424">
        <w:rPr>
          <w:rFonts w:ascii="Times New Roman" w:hAnsi="Times New Roman" w:cs="Times New Roman"/>
          <w:sz w:val="24"/>
          <w:szCs w:val="24"/>
        </w:rPr>
        <w:t>à certaines</w:t>
      </w:r>
      <w:r w:rsidR="000C191C" w:rsidRPr="00CB0424">
        <w:rPr>
          <w:rFonts w:ascii="Times New Roman" w:hAnsi="Times New Roman" w:cs="Times New Roman"/>
          <w:sz w:val="24"/>
          <w:szCs w:val="24"/>
        </w:rPr>
        <w:t xml:space="preserve"> imperfections des textes légaux introduit</w:t>
      </w:r>
      <w:r w:rsidR="00EA73E5" w:rsidRPr="00CB0424">
        <w:rPr>
          <w:rFonts w:ascii="Times New Roman" w:hAnsi="Times New Roman" w:cs="Times New Roman"/>
          <w:sz w:val="24"/>
          <w:szCs w:val="24"/>
        </w:rPr>
        <w:t>s</w:t>
      </w:r>
      <w:r w:rsidR="000C191C" w:rsidRPr="00CB0424">
        <w:rPr>
          <w:rFonts w:ascii="Times New Roman" w:hAnsi="Times New Roman" w:cs="Times New Roman"/>
          <w:sz w:val="24"/>
          <w:szCs w:val="24"/>
        </w:rPr>
        <w:t xml:space="preserve"> par la réforme précitée. </w:t>
      </w:r>
      <w:r w:rsidR="009505E0" w:rsidRPr="00CB0424">
        <w:rPr>
          <w:rFonts w:ascii="Times New Roman" w:hAnsi="Times New Roman" w:cs="Times New Roman"/>
          <w:sz w:val="24"/>
          <w:szCs w:val="24"/>
        </w:rPr>
        <w:t xml:space="preserve">Nous </w:t>
      </w:r>
      <w:r w:rsidR="00791D1B" w:rsidRPr="00CB0424">
        <w:rPr>
          <w:rFonts w:ascii="Times New Roman" w:hAnsi="Times New Roman" w:cs="Times New Roman"/>
          <w:sz w:val="24"/>
          <w:szCs w:val="24"/>
        </w:rPr>
        <w:t>tenterons</w:t>
      </w:r>
      <w:r w:rsidR="003C2F44" w:rsidRPr="00CB0424">
        <w:rPr>
          <w:rFonts w:ascii="Times New Roman" w:hAnsi="Times New Roman" w:cs="Times New Roman"/>
          <w:sz w:val="24"/>
          <w:szCs w:val="24"/>
        </w:rPr>
        <w:t xml:space="preserve">, au travers des lignes qui suivent, de </w:t>
      </w:r>
      <w:r w:rsidR="00791D1B" w:rsidRPr="00CB0424">
        <w:rPr>
          <w:rFonts w:ascii="Times New Roman" w:hAnsi="Times New Roman" w:cs="Times New Roman"/>
          <w:sz w:val="24"/>
          <w:szCs w:val="24"/>
        </w:rPr>
        <w:t>mettre en évidence ces questions</w:t>
      </w:r>
      <w:r w:rsidR="003C2F44" w:rsidRPr="00CB0424">
        <w:rPr>
          <w:rFonts w:ascii="Times New Roman" w:hAnsi="Times New Roman" w:cs="Times New Roman"/>
          <w:sz w:val="24"/>
          <w:szCs w:val="24"/>
        </w:rPr>
        <w:t xml:space="preserve"> importantes </w:t>
      </w:r>
      <w:r w:rsidR="006D7C7B" w:rsidRPr="00CB0424">
        <w:rPr>
          <w:rFonts w:ascii="Times New Roman" w:hAnsi="Times New Roman" w:cs="Times New Roman"/>
          <w:sz w:val="24"/>
          <w:szCs w:val="24"/>
        </w:rPr>
        <w:t>pour le praticien de l’insolvabilité</w:t>
      </w:r>
      <w:r w:rsidR="003F313E" w:rsidRPr="00CB0424">
        <w:rPr>
          <w:rFonts w:ascii="Times New Roman" w:hAnsi="Times New Roman" w:cs="Times New Roman"/>
          <w:sz w:val="24"/>
          <w:szCs w:val="24"/>
        </w:rPr>
        <w:t>, et d’y apporter</w:t>
      </w:r>
      <w:r w:rsidR="00EA73E5" w:rsidRPr="00CB0424">
        <w:rPr>
          <w:rFonts w:ascii="Times New Roman" w:hAnsi="Times New Roman" w:cs="Times New Roman"/>
          <w:sz w:val="24"/>
          <w:szCs w:val="24"/>
        </w:rPr>
        <w:t xml:space="preserve"> modestement</w:t>
      </w:r>
      <w:r w:rsidR="003F313E" w:rsidRPr="00CB0424">
        <w:rPr>
          <w:rFonts w:ascii="Times New Roman" w:hAnsi="Times New Roman" w:cs="Times New Roman"/>
          <w:sz w:val="24"/>
          <w:szCs w:val="24"/>
        </w:rPr>
        <w:t xml:space="preserve"> quelques réponses. </w:t>
      </w:r>
      <w:r w:rsidR="00395F76" w:rsidRPr="00CB0424">
        <w:rPr>
          <w:rFonts w:ascii="Times New Roman" w:hAnsi="Times New Roman" w:cs="Times New Roman"/>
          <w:sz w:val="24"/>
          <w:szCs w:val="24"/>
        </w:rPr>
        <w:t xml:space="preserve">Pour clôturer ladite contribution, sera étudiée la question du concours entre les procédures de faillite et de </w:t>
      </w:r>
      <w:r w:rsidR="00395F76" w:rsidRPr="00CB0424">
        <w:rPr>
          <w:rFonts w:ascii="Times New Roman" w:hAnsi="Times New Roman" w:cs="Times New Roman"/>
          <w:sz w:val="24"/>
          <w:szCs w:val="24"/>
        </w:rPr>
        <w:lastRenderedPageBreak/>
        <w:t xml:space="preserve">réorganisation judiciaire </w:t>
      </w:r>
      <w:r w:rsidR="006D3C11" w:rsidRPr="00D969FC">
        <w:rPr>
          <w:rFonts w:ascii="Times New Roman" w:hAnsi="Times New Roman" w:cs="Times New Roman"/>
          <w:sz w:val="24"/>
          <w:szCs w:val="24"/>
        </w:rPr>
        <w:t>et</w:t>
      </w:r>
      <w:r w:rsidR="00395F76" w:rsidRPr="00D969FC">
        <w:rPr>
          <w:rFonts w:ascii="Times New Roman" w:hAnsi="Times New Roman" w:cs="Times New Roman"/>
          <w:sz w:val="24"/>
          <w:szCs w:val="24"/>
        </w:rPr>
        <w:t xml:space="preserve"> la réalisation en cours d’un gage ayant pour objet un bien meuble corporel</w:t>
      </w:r>
      <w:r w:rsidR="00395F76" w:rsidRPr="00CB0424">
        <w:rPr>
          <w:rFonts w:ascii="Times New Roman" w:hAnsi="Times New Roman" w:cs="Times New Roman"/>
          <w:sz w:val="24"/>
          <w:szCs w:val="24"/>
        </w:rPr>
        <w:t xml:space="preserve">. Ne seront pas traitées </w:t>
      </w:r>
      <w:r w:rsidR="007C5849" w:rsidRPr="00CB0424">
        <w:rPr>
          <w:rFonts w:ascii="Times New Roman" w:hAnsi="Times New Roman" w:cs="Times New Roman"/>
          <w:sz w:val="24"/>
          <w:szCs w:val="24"/>
        </w:rPr>
        <w:t xml:space="preserve">ici </w:t>
      </w:r>
      <w:r w:rsidR="00395F76" w:rsidRPr="00CB0424">
        <w:rPr>
          <w:rFonts w:ascii="Times New Roman" w:hAnsi="Times New Roman" w:cs="Times New Roman"/>
          <w:sz w:val="24"/>
          <w:szCs w:val="24"/>
        </w:rPr>
        <w:t>certaines questions comme celle</w:t>
      </w:r>
      <w:r w:rsidR="007C5849" w:rsidRPr="00CB0424">
        <w:rPr>
          <w:rFonts w:ascii="Times New Roman" w:hAnsi="Times New Roman" w:cs="Times New Roman"/>
          <w:sz w:val="24"/>
          <w:szCs w:val="24"/>
        </w:rPr>
        <w:t>s</w:t>
      </w:r>
      <w:r w:rsidR="00395F76" w:rsidRPr="00CB0424">
        <w:rPr>
          <w:rFonts w:ascii="Times New Roman" w:hAnsi="Times New Roman" w:cs="Times New Roman"/>
          <w:sz w:val="24"/>
          <w:szCs w:val="24"/>
        </w:rPr>
        <w:t xml:space="preserve"> de la saisie</w:t>
      </w:r>
      <w:r w:rsidR="003810F7" w:rsidRPr="00CB0424">
        <w:rPr>
          <w:rFonts w:ascii="Times New Roman" w:hAnsi="Times New Roman" w:cs="Times New Roman"/>
          <w:sz w:val="24"/>
          <w:szCs w:val="24"/>
        </w:rPr>
        <w:t>-</w:t>
      </w:r>
      <w:r w:rsidR="00395F76" w:rsidRPr="00CB0424">
        <w:rPr>
          <w:rFonts w:ascii="Times New Roman" w:hAnsi="Times New Roman" w:cs="Times New Roman"/>
          <w:sz w:val="24"/>
          <w:szCs w:val="24"/>
        </w:rPr>
        <w:t>revendication intentée par un créancier</w:t>
      </w:r>
      <w:r w:rsidR="00CA6933" w:rsidRPr="00CB0424">
        <w:rPr>
          <w:rFonts w:ascii="Times New Roman" w:hAnsi="Times New Roman" w:cs="Times New Roman"/>
          <w:sz w:val="24"/>
          <w:szCs w:val="24"/>
        </w:rPr>
        <w:t>-</w:t>
      </w:r>
      <w:r w:rsidR="00395F76" w:rsidRPr="00CB0424">
        <w:rPr>
          <w:rFonts w:ascii="Times New Roman" w:hAnsi="Times New Roman" w:cs="Times New Roman"/>
          <w:sz w:val="24"/>
          <w:szCs w:val="24"/>
        </w:rPr>
        <w:t xml:space="preserve">propriétaire </w:t>
      </w:r>
      <w:r w:rsidR="007C5849" w:rsidRPr="00CB0424">
        <w:rPr>
          <w:rFonts w:ascii="Times New Roman" w:hAnsi="Times New Roman" w:cs="Times New Roman"/>
          <w:sz w:val="24"/>
          <w:szCs w:val="24"/>
        </w:rPr>
        <w:t>ou</w:t>
      </w:r>
      <w:r w:rsidR="00395F76" w:rsidRPr="00CB0424">
        <w:rPr>
          <w:rFonts w:ascii="Times New Roman" w:hAnsi="Times New Roman" w:cs="Times New Roman"/>
          <w:sz w:val="24"/>
          <w:szCs w:val="24"/>
        </w:rPr>
        <w:t xml:space="preserve"> de l’impact d’une procédure collective du débiteur sur la sûreté personnelle constituée à titre gratuit</w:t>
      </w:r>
      <w:r w:rsidR="00395F76" w:rsidRPr="00CB0424">
        <w:rPr>
          <w:rStyle w:val="Appelnotedebasdep"/>
          <w:rFonts w:ascii="Times New Roman" w:hAnsi="Times New Roman" w:cs="Times New Roman"/>
          <w:sz w:val="24"/>
          <w:szCs w:val="24"/>
        </w:rPr>
        <w:footnoteReference w:id="4"/>
      </w:r>
      <w:r w:rsidR="00395F76" w:rsidRPr="00CB0424">
        <w:rPr>
          <w:rFonts w:ascii="Times New Roman" w:hAnsi="Times New Roman" w:cs="Times New Roman"/>
          <w:sz w:val="24"/>
          <w:szCs w:val="24"/>
        </w:rPr>
        <w:t xml:space="preserve">. </w:t>
      </w:r>
    </w:p>
    <w:p w14:paraId="3951D64D" w14:textId="13971C1F" w:rsidR="00395F76" w:rsidRPr="00CB0424" w:rsidRDefault="00395F76" w:rsidP="00B5673A">
      <w:pPr>
        <w:pStyle w:val="Corps"/>
        <w:jc w:val="both"/>
        <w:rPr>
          <w:rFonts w:ascii="Times New Roman" w:hAnsi="Times New Roman" w:cs="Times New Roman"/>
          <w:sz w:val="24"/>
          <w:szCs w:val="24"/>
        </w:rPr>
      </w:pPr>
    </w:p>
    <w:p w14:paraId="5F05FCB4" w14:textId="77777777" w:rsidR="001E5F59" w:rsidRPr="00CB0424" w:rsidRDefault="001E5F59" w:rsidP="00B5673A">
      <w:pPr>
        <w:pStyle w:val="Corps"/>
        <w:jc w:val="both"/>
        <w:rPr>
          <w:rFonts w:ascii="Times New Roman" w:eastAsia="Times New Roman" w:hAnsi="Times New Roman" w:cs="Times New Roman"/>
          <w:b/>
          <w:bCs/>
          <w:sz w:val="24"/>
          <w:szCs w:val="24"/>
        </w:rPr>
      </w:pPr>
    </w:p>
    <w:p w14:paraId="6B9F7305" w14:textId="77777777" w:rsidR="004367EC" w:rsidRPr="00CB0424" w:rsidRDefault="00E8092E" w:rsidP="00B5673A">
      <w:pPr>
        <w:pStyle w:val="Corps"/>
        <w:jc w:val="both"/>
        <w:rPr>
          <w:rFonts w:ascii="Times New Roman" w:eastAsia="Times New Roman" w:hAnsi="Times New Roman" w:cs="Times New Roman"/>
          <w:b/>
          <w:bCs/>
          <w:sz w:val="24"/>
          <w:szCs w:val="24"/>
          <w:u w:val="single"/>
        </w:rPr>
      </w:pPr>
      <w:r w:rsidRPr="00CB0424">
        <w:rPr>
          <w:rFonts w:ascii="Times New Roman" w:hAnsi="Times New Roman" w:cs="Times New Roman"/>
          <w:b/>
          <w:bCs/>
          <w:sz w:val="24"/>
          <w:szCs w:val="24"/>
          <w:u w:val="single"/>
        </w:rPr>
        <w:t xml:space="preserve">I. La procédure de réorganisation judiciaire </w:t>
      </w:r>
    </w:p>
    <w:p w14:paraId="5F0C80CC" w14:textId="77777777" w:rsidR="004367EC" w:rsidRPr="00CB0424" w:rsidRDefault="004367EC" w:rsidP="00B5673A">
      <w:pPr>
        <w:pStyle w:val="Corps"/>
        <w:jc w:val="both"/>
        <w:rPr>
          <w:rFonts w:ascii="Times New Roman" w:eastAsia="Times New Roman" w:hAnsi="Times New Roman" w:cs="Times New Roman"/>
          <w:sz w:val="24"/>
          <w:szCs w:val="24"/>
        </w:rPr>
      </w:pPr>
    </w:p>
    <w:p w14:paraId="7DB60738" w14:textId="77777777" w:rsidR="004367EC" w:rsidRPr="00CB0424" w:rsidRDefault="00E8092E" w:rsidP="00B5673A">
      <w:pPr>
        <w:pStyle w:val="Corps"/>
        <w:numPr>
          <w:ilvl w:val="0"/>
          <w:numId w:val="2"/>
        </w:numPr>
        <w:jc w:val="both"/>
        <w:rPr>
          <w:rFonts w:ascii="Times New Roman" w:eastAsia="Times New Roman" w:hAnsi="Times New Roman" w:cs="Times New Roman"/>
          <w:b/>
          <w:bCs/>
          <w:sz w:val="24"/>
          <w:szCs w:val="24"/>
        </w:rPr>
      </w:pPr>
      <w:r w:rsidRPr="00CB0424">
        <w:rPr>
          <w:rFonts w:ascii="Times New Roman" w:hAnsi="Times New Roman" w:cs="Times New Roman"/>
          <w:b/>
          <w:bCs/>
          <w:sz w:val="24"/>
          <w:szCs w:val="24"/>
        </w:rPr>
        <w:t>Généralités</w:t>
      </w:r>
    </w:p>
    <w:p w14:paraId="4B3FEBE0" w14:textId="77777777" w:rsidR="004367EC" w:rsidRPr="00CB0424" w:rsidRDefault="004367EC" w:rsidP="00B5673A">
      <w:pPr>
        <w:pStyle w:val="Corps"/>
        <w:jc w:val="both"/>
        <w:rPr>
          <w:rFonts w:ascii="Times New Roman" w:eastAsia="Times New Roman" w:hAnsi="Times New Roman" w:cs="Times New Roman"/>
          <w:sz w:val="24"/>
          <w:szCs w:val="24"/>
        </w:rPr>
      </w:pPr>
    </w:p>
    <w:p w14:paraId="6E48C604" w14:textId="3BC97343" w:rsidR="004367EC"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 xml:space="preserve">La procédure de réorganisation judiciaire présente l’objectif principal de protéger le débiteur contre les voies d’exécution de ses créanciers </w:t>
      </w:r>
      <w:r w:rsidR="00EF433D" w:rsidRPr="00CB0424">
        <w:rPr>
          <w:rFonts w:ascii="Times New Roman" w:hAnsi="Times New Roman" w:cs="Times New Roman"/>
          <w:sz w:val="24"/>
          <w:szCs w:val="24"/>
        </w:rPr>
        <w:t>dans la perspective d’</w:t>
      </w:r>
      <w:r w:rsidRPr="00CB0424">
        <w:rPr>
          <w:rFonts w:ascii="Times New Roman" w:hAnsi="Times New Roman" w:cs="Times New Roman"/>
          <w:sz w:val="24"/>
          <w:szCs w:val="24"/>
        </w:rPr>
        <w:t>un accord amiable</w:t>
      </w:r>
      <w:r w:rsidR="00EF433D" w:rsidRPr="00CB0424">
        <w:rPr>
          <w:rFonts w:ascii="Times New Roman" w:hAnsi="Times New Roman" w:cs="Times New Roman"/>
          <w:sz w:val="24"/>
          <w:szCs w:val="24"/>
        </w:rPr>
        <w:t xml:space="preserve"> ou</w:t>
      </w:r>
      <w:r w:rsidRPr="00CB0424">
        <w:rPr>
          <w:rFonts w:ascii="Times New Roman" w:hAnsi="Times New Roman" w:cs="Times New Roman"/>
          <w:sz w:val="24"/>
          <w:szCs w:val="24"/>
        </w:rPr>
        <w:t xml:space="preserve"> collectif ou </w:t>
      </w:r>
      <w:r w:rsidR="00EF433D" w:rsidRPr="00CB0424">
        <w:rPr>
          <w:rFonts w:ascii="Times New Roman" w:hAnsi="Times New Roman" w:cs="Times New Roman"/>
          <w:sz w:val="24"/>
          <w:szCs w:val="24"/>
        </w:rPr>
        <w:t>de l’organisation</w:t>
      </w:r>
      <w:r w:rsidRPr="00CB0424">
        <w:rPr>
          <w:rFonts w:ascii="Times New Roman" w:hAnsi="Times New Roman" w:cs="Times New Roman"/>
          <w:sz w:val="24"/>
          <w:szCs w:val="24"/>
        </w:rPr>
        <w:t xml:space="preserve"> </w:t>
      </w:r>
      <w:r w:rsidR="00EF433D" w:rsidRPr="00CB0424">
        <w:rPr>
          <w:rFonts w:ascii="Times New Roman" w:hAnsi="Times New Roman" w:cs="Times New Roman"/>
          <w:sz w:val="24"/>
          <w:szCs w:val="24"/>
        </w:rPr>
        <w:t>d’</w:t>
      </w:r>
      <w:r w:rsidRPr="00CB0424">
        <w:rPr>
          <w:rFonts w:ascii="Times New Roman" w:hAnsi="Times New Roman" w:cs="Times New Roman"/>
          <w:sz w:val="24"/>
          <w:szCs w:val="24"/>
        </w:rPr>
        <w:t xml:space="preserve">un transfert sous autorité de justice </w:t>
      </w:r>
      <w:r w:rsidR="00A76322" w:rsidRPr="00CB0424">
        <w:rPr>
          <w:rFonts w:ascii="Times New Roman" w:hAnsi="Times New Roman" w:cs="Times New Roman"/>
          <w:sz w:val="24"/>
          <w:szCs w:val="24"/>
        </w:rPr>
        <w:t>(</w:t>
      </w:r>
      <w:r w:rsidRPr="00CB0424">
        <w:rPr>
          <w:rFonts w:ascii="Times New Roman" w:hAnsi="Times New Roman" w:cs="Times New Roman"/>
          <w:sz w:val="24"/>
          <w:szCs w:val="24"/>
        </w:rPr>
        <w:t>avec intervention d’un mandataire de justice</w:t>
      </w:r>
      <w:r w:rsidR="00A76322" w:rsidRPr="00CB0424">
        <w:rPr>
          <w:rFonts w:ascii="Times New Roman" w:hAnsi="Times New Roman" w:cs="Times New Roman"/>
          <w:sz w:val="24"/>
          <w:szCs w:val="24"/>
        </w:rPr>
        <w:t>),</w:t>
      </w:r>
      <w:r w:rsidR="00EF433D" w:rsidRPr="00CB0424">
        <w:rPr>
          <w:rFonts w:ascii="Times New Roman" w:hAnsi="Times New Roman" w:cs="Times New Roman"/>
          <w:sz w:val="24"/>
          <w:szCs w:val="24"/>
        </w:rPr>
        <w:t xml:space="preserve"> en vue du maintien de ses activités économiques </w:t>
      </w:r>
      <w:r w:rsidRPr="00CB0424">
        <w:rPr>
          <w:rFonts w:ascii="Times New Roman" w:eastAsia="Times New Roman" w:hAnsi="Times New Roman" w:cs="Times New Roman"/>
          <w:sz w:val="24"/>
          <w:szCs w:val="24"/>
          <w:vertAlign w:val="superscript"/>
        </w:rPr>
        <w:footnoteReference w:id="5"/>
      </w:r>
      <w:r w:rsidRPr="00CB0424">
        <w:rPr>
          <w:rFonts w:ascii="Times New Roman" w:hAnsi="Times New Roman" w:cs="Times New Roman"/>
          <w:sz w:val="24"/>
          <w:szCs w:val="24"/>
        </w:rPr>
        <w:t xml:space="preserve">. </w:t>
      </w:r>
      <w:r w:rsidR="00751054" w:rsidRPr="00CB0424">
        <w:rPr>
          <w:rFonts w:ascii="Times New Roman" w:hAnsi="Times New Roman" w:cs="Times New Roman"/>
          <w:sz w:val="24"/>
          <w:szCs w:val="24"/>
        </w:rPr>
        <w:t>Afin</w:t>
      </w:r>
      <w:r w:rsidR="003F313E" w:rsidRPr="00CB0424">
        <w:rPr>
          <w:rFonts w:ascii="Times New Roman" w:hAnsi="Times New Roman" w:cs="Times New Roman"/>
          <w:sz w:val="24"/>
          <w:szCs w:val="24"/>
        </w:rPr>
        <w:t xml:space="preserve"> </w:t>
      </w:r>
      <w:r w:rsidRPr="00CB0424">
        <w:rPr>
          <w:rFonts w:ascii="Times New Roman" w:hAnsi="Times New Roman" w:cs="Times New Roman"/>
          <w:sz w:val="24"/>
          <w:szCs w:val="24"/>
        </w:rPr>
        <w:t>de trouver un équilibre entre droit</w:t>
      </w:r>
      <w:r w:rsidR="009F3DEA" w:rsidRPr="00CB0424">
        <w:rPr>
          <w:rFonts w:ascii="Times New Roman" w:hAnsi="Times New Roman" w:cs="Times New Roman"/>
          <w:sz w:val="24"/>
          <w:szCs w:val="24"/>
        </w:rPr>
        <w:t>s</w:t>
      </w:r>
      <w:r w:rsidRPr="00CB0424">
        <w:rPr>
          <w:rFonts w:ascii="Times New Roman" w:hAnsi="Times New Roman" w:cs="Times New Roman"/>
          <w:sz w:val="24"/>
          <w:szCs w:val="24"/>
        </w:rPr>
        <w:t xml:space="preserve"> du débiteur </w:t>
      </w:r>
      <w:r w:rsidR="009F3DEA" w:rsidRPr="00CB0424">
        <w:rPr>
          <w:rFonts w:ascii="Times New Roman" w:hAnsi="Times New Roman" w:cs="Times New Roman"/>
          <w:sz w:val="24"/>
          <w:szCs w:val="24"/>
        </w:rPr>
        <w:t xml:space="preserve">liés au </w:t>
      </w:r>
      <w:r w:rsidRPr="00CB0424">
        <w:rPr>
          <w:rFonts w:ascii="Times New Roman" w:hAnsi="Times New Roman" w:cs="Times New Roman"/>
          <w:sz w:val="24"/>
          <w:szCs w:val="24"/>
        </w:rPr>
        <w:t xml:space="preserve">maintien de son activité et droits des créanciers, et de lutter contre l’utilisation abusive de la réorganisation judiciaire ayant pour </w:t>
      </w:r>
      <w:r w:rsidR="00751054" w:rsidRPr="00CB0424">
        <w:rPr>
          <w:rFonts w:ascii="Times New Roman" w:hAnsi="Times New Roman" w:cs="Times New Roman"/>
          <w:sz w:val="24"/>
          <w:szCs w:val="24"/>
        </w:rPr>
        <w:t xml:space="preserve">seul </w:t>
      </w:r>
      <w:r w:rsidRPr="00CB0424">
        <w:rPr>
          <w:rFonts w:ascii="Times New Roman" w:hAnsi="Times New Roman" w:cs="Times New Roman"/>
          <w:sz w:val="24"/>
          <w:szCs w:val="24"/>
        </w:rPr>
        <w:t>objectif de paralyser les saisies en cours, le législateur a adopté</w:t>
      </w:r>
      <w:r w:rsidR="009A0967" w:rsidRPr="00CB0424">
        <w:rPr>
          <w:rFonts w:ascii="Times New Roman" w:hAnsi="Times New Roman" w:cs="Times New Roman"/>
          <w:sz w:val="24"/>
          <w:szCs w:val="24"/>
        </w:rPr>
        <w:t xml:space="preserve">, </w:t>
      </w:r>
      <w:r w:rsidR="00D658CA">
        <w:rPr>
          <w:rFonts w:ascii="Times New Roman" w:hAnsi="Times New Roman" w:cs="Times New Roman"/>
          <w:sz w:val="24"/>
          <w:szCs w:val="24"/>
        </w:rPr>
        <w:t xml:space="preserve">à la </w:t>
      </w:r>
      <w:r w:rsidR="009A0967" w:rsidRPr="00CB0424">
        <w:rPr>
          <w:rFonts w:ascii="Times New Roman" w:hAnsi="Times New Roman" w:cs="Times New Roman"/>
          <w:sz w:val="24"/>
          <w:szCs w:val="24"/>
        </w:rPr>
        <w:t xml:space="preserve">suite </w:t>
      </w:r>
      <w:r w:rsidR="00D658CA">
        <w:rPr>
          <w:rFonts w:ascii="Times New Roman" w:hAnsi="Times New Roman" w:cs="Times New Roman"/>
          <w:sz w:val="24"/>
          <w:szCs w:val="24"/>
        </w:rPr>
        <w:t xml:space="preserve">de </w:t>
      </w:r>
      <w:r w:rsidR="009A0967" w:rsidRPr="00CB0424">
        <w:rPr>
          <w:rFonts w:ascii="Times New Roman" w:hAnsi="Times New Roman" w:cs="Times New Roman"/>
          <w:sz w:val="24"/>
          <w:szCs w:val="24"/>
        </w:rPr>
        <w:t xml:space="preserve">la réforme introduite par les lois du 11 août 2017 et du 15 avril 2018 précitées, </w:t>
      </w:r>
      <w:r w:rsidRPr="00CB0424">
        <w:rPr>
          <w:rFonts w:ascii="Times New Roman" w:hAnsi="Times New Roman" w:cs="Times New Roman"/>
          <w:sz w:val="24"/>
          <w:szCs w:val="24"/>
        </w:rPr>
        <w:t>les articles XX.44 et XX.51 du C.</w:t>
      </w:r>
      <w:proofErr w:type="gramStart"/>
      <w:r w:rsidRPr="00CB0424">
        <w:rPr>
          <w:rFonts w:ascii="Times New Roman" w:hAnsi="Times New Roman" w:cs="Times New Roman"/>
          <w:sz w:val="24"/>
          <w:szCs w:val="24"/>
        </w:rPr>
        <w:t>D.E</w:t>
      </w:r>
      <w:proofErr w:type="gramEnd"/>
      <w:r w:rsidRPr="00CB0424">
        <w:rPr>
          <w:rFonts w:ascii="Times New Roman" w:eastAsia="Times New Roman" w:hAnsi="Times New Roman" w:cs="Times New Roman"/>
          <w:sz w:val="24"/>
          <w:szCs w:val="24"/>
          <w:vertAlign w:val="superscript"/>
        </w:rPr>
        <w:footnoteReference w:id="6"/>
      </w:r>
      <w:r w:rsidRPr="00CB0424">
        <w:rPr>
          <w:rFonts w:ascii="Times New Roman" w:hAnsi="Times New Roman" w:cs="Times New Roman"/>
          <w:sz w:val="24"/>
          <w:szCs w:val="24"/>
        </w:rPr>
        <w:t xml:space="preserve">. Ces </w:t>
      </w:r>
      <w:r w:rsidR="00095FE7" w:rsidRPr="00CB0424">
        <w:rPr>
          <w:rFonts w:ascii="Times New Roman" w:hAnsi="Times New Roman" w:cs="Times New Roman"/>
          <w:sz w:val="24"/>
          <w:szCs w:val="24"/>
        </w:rPr>
        <w:t>dispositions</w:t>
      </w:r>
      <w:r w:rsidRPr="00CB0424">
        <w:rPr>
          <w:rFonts w:ascii="Times New Roman" w:hAnsi="Times New Roman" w:cs="Times New Roman"/>
          <w:sz w:val="24"/>
          <w:szCs w:val="24"/>
        </w:rPr>
        <w:t xml:space="preserve">, que nous </w:t>
      </w:r>
      <w:r w:rsidR="00FF2AB5" w:rsidRPr="00CB0424">
        <w:rPr>
          <w:rFonts w:ascii="Times New Roman" w:hAnsi="Times New Roman" w:cs="Times New Roman"/>
          <w:sz w:val="24"/>
          <w:szCs w:val="24"/>
        </w:rPr>
        <w:t>analyserons</w:t>
      </w:r>
      <w:r w:rsidRPr="00CB0424">
        <w:rPr>
          <w:rFonts w:ascii="Times New Roman" w:hAnsi="Times New Roman" w:cs="Times New Roman"/>
          <w:sz w:val="24"/>
          <w:szCs w:val="24"/>
        </w:rPr>
        <w:t xml:space="preserve"> dans les lignes qui suivent, ont </w:t>
      </w:r>
      <w:r w:rsidR="00687CFB" w:rsidRPr="00CB0424">
        <w:rPr>
          <w:rFonts w:ascii="Times New Roman" w:hAnsi="Times New Roman" w:cs="Times New Roman"/>
          <w:sz w:val="24"/>
          <w:szCs w:val="24"/>
        </w:rPr>
        <w:t xml:space="preserve">respectivement </w:t>
      </w:r>
      <w:r w:rsidRPr="00CB0424">
        <w:rPr>
          <w:rFonts w:ascii="Times New Roman" w:hAnsi="Times New Roman" w:cs="Times New Roman"/>
          <w:sz w:val="24"/>
          <w:szCs w:val="24"/>
        </w:rPr>
        <w:t>trait à la question de l’impact du dépôt d’une requête en réorganisation judiciaire et</w:t>
      </w:r>
      <w:r w:rsidR="00A76A10" w:rsidRPr="00CB0424">
        <w:rPr>
          <w:rFonts w:ascii="Times New Roman" w:hAnsi="Times New Roman" w:cs="Times New Roman"/>
          <w:sz w:val="24"/>
          <w:szCs w:val="24"/>
        </w:rPr>
        <w:t xml:space="preserve"> de</w:t>
      </w:r>
      <w:r w:rsidRPr="00CB0424">
        <w:rPr>
          <w:rFonts w:ascii="Times New Roman" w:hAnsi="Times New Roman" w:cs="Times New Roman"/>
          <w:sz w:val="24"/>
          <w:szCs w:val="24"/>
        </w:rPr>
        <w:t xml:space="preserve"> l’ouverture de celle-ci sur les saisies en cours.  </w:t>
      </w:r>
    </w:p>
    <w:p w14:paraId="78E178E4" w14:textId="77777777" w:rsidR="004367EC" w:rsidRPr="00CB0424" w:rsidRDefault="004367EC" w:rsidP="00B5673A">
      <w:pPr>
        <w:pStyle w:val="Corps"/>
        <w:jc w:val="both"/>
        <w:rPr>
          <w:rFonts w:ascii="Times New Roman" w:eastAsia="Times New Roman" w:hAnsi="Times New Roman" w:cs="Times New Roman"/>
          <w:sz w:val="24"/>
          <w:szCs w:val="24"/>
        </w:rPr>
      </w:pPr>
    </w:p>
    <w:p w14:paraId="7CE7C354" w14:textId="0599DED0" w:rsidR="004367EC" w:rsidRPr="00CB0424" w:rsidRDefault="00E8092E" w:rsidP="00B5673A">
      <w:pPr>
        <w:pStyle w:val="Corps"/>
        <w:numPr>
          <w:ilvl w:val="0"/>
          <w:numId w:val="2"/>
        </w:numPr>
        <w:jc w:val="both"/>
        <w:rPr>
          <w:rFonts w:ascii="Times New Roman" w:eastAsia="Times New Roman" w:hAnsi="Times New Roman" w:cs="Times New Roman"/>
          <w:b/>
          <w:bCs/>
          <w:sz w:val="24"/>
          <w:szCs w:val="24"/>
        </w:rPr>
      </w:pPr>
      <w:r w:rsidRPr="00CB0424">
        <w:rPr>
          <w:rFonts w:ascii="Times New Roman" w:hAnsi="Times New Roman" w:cs="Times New Roman"/>
          <w:b/>
          <w:bCs/>
          <w:sz w:val="24"/>
          <w:szCs w:val="24"/>
        </w:rPr>
        <w:t>Saisie conservatoire</w:t>
      </w:r>
    </w:p>
    <w:p w14:paraId="623D5B22" w14:textId="77777777" w:rsidR="004367EC" w:rsidRPr="00CB0424" w:rsidRDefault="004367EC" w:rsidP="00B5673A">
      <w:pPr>
        <w:pStyle w:val="Corps"/>
        <w:jc w:val="both"/>
        <w:rPr>
          <w:rFonts w:ascii="Times New Roman" w:eastAsia="Times New Roman" w:hAnsi="Times New Roman" w:cs="Times New Roman"/>
          <w:b/>
          <w:bCs/>
          <w:sz w:val="24"/>
          <w:szCs w:val="24"/>
        </w:rPr>
      </w:pPr>
    </w:p>
    <w:p w14:paraId="66DE1DA9" w14:textId="47F27A5E" w:rsidR="004367EC" w:rsidRPr="00CB0424" w:rsidRDefault="00E8092E" w:rsidP="00B5673A">
      <w:pPr>
        <w:pStyle w:val="Corps"/>
        <w:numPr>
          <w:ilvl w:val="0"/>
          <w:numId w:val="4"/>
        </w:numPr>
        <w:jc w:val="both"/>
        <w:rPr>
          <w:rFonts w:ascii="Times New Roman" w:eastAsia="Times New Roman" w:hAnsi="Times New Roman" w:cs="Times New Roman"/>
          <w:b/>
          <w:bCs/>
          <w:i/>
          <w:iCs/>
          <w:sz w:val="24"/>
          <w:szCs w:val="24"/>
        </w:rPr>
      </w:pPr>
      <w:r w:rsidRPr="00CB0424">
        <w:rPr>
          <w:rFonts w:ascii="Times New Roman" w:hAnsi="Times New Roman" w:cs="Times New Roman"/>
          <w:b/>
          <w:bCs/>
          <w:i/>
          <w:iCs/>
          <w:sz w:val="24"/>
          <w:szCs w:val="24"/>
        </w:rPr>
        <w:t xml:space="preserve">Article XX.44 du C.D.E. </w:t>
      </w:r>
    </w:p>
    <w:p w14:paraId="1CBB4551" w14:textId="575EEE7E" w:rsidR="00791D1B" w:rsidRPr="00CB0424" w:rsidRDefault="00791D1B" w:rsidP="00B5673A">
      <w:pPr>
        <w:pStyle w:val="Corps"/>
        <w:jc w:val="both"/>
        <w:rPr>
          <w:rFonts w:ascii="Times New Roman" w:hAnsi="Times New Roman" w:cs="Times New Roman"/>
          <w:b/>
          <w:bCs/>
          <w:sz w:val="24"/>
          <w:szCs w:val="24"/>
        </w:rPr>
      </w:pPr>
    </w:p>
    <w:p w14:paraId="6FF04F35" w14:textId="2F1F3CAF" w:rsidR="00791D1B" w:rsidRPr="00CB0424" w:rsidRDefault="00474031"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Il ressort du prescrit de l’article XX.44 du C</w:t>
      </w:r>
      <w:r w:rsidR="00D658CA">
        <w:rPr>
          <w:rFonts w:ascii="Times New Roman" w:hAnsi="Times New Roman" w:cs="Times New Roman"/>
          <w:sz w:val="24"/>
          <w:szCs w:val="24"/>
        </w:rPr>
        <w:t xml:space="preserve">ode de droit économique (C.D.E.) </w:t>
      </w:r>
      <w:r w:rsidRPr="00CB0424">
        <w:rPr>
          <w:rFonts w:ascii="Times New Roman" w:hAnsi="Times New Roman" w:cs="Times New Roman"/>
          <w:sz w:val="24"/>
          <w:szCs w:val="24"/>
        </w:rPr>
        <w:t>que le dépôt d’une requête en réorganisation judiciaire</w:t>
      </w:r>
      <w:r w:rsidR="00791D1B" w:rsidRPr="00CB0424">
        <w:rPr>
          <w:rFonts w:ascii="Times New Roman" w:hAnsi="Times New Roman" w:cs="Times New Roman"/>
          <w:sz w:val="24"/>
          <w:szCs w:val="24"/>
        </w:rPr>
        <w:t xml:space="preserve"> ne fait pas obstacle </w:t>
      </w:r>
      <w:r w:rsidR="00D658CA">
        <w:rPr>
          <w:rFonts w:ascii="Times New Roman" w:hAnsi="Times New Roman" w:cs="Times New Roman"/>
          <w:sz w:val="24"/>
          <w:szCs w:val="24"/>
        </w:rPr>
        <w:t>au maintien</w:t>
      </w:r>
      <w:r w:rsidR="00791D1B" w:rsidRPr="00CB0424">
        <w:rPr>
          <w:rFonts w:ascii="Times New Roman" w:hAnsi="Times New Roman" w:cs="Times New Roman"/>
          <w:sz w:val="24"/>
          <w:szCs w:val="24"/>
        </w:rPr>
        <w:t xml:space="preserve"> </w:t>
      </w:r>
      <w:r w:rsidRPr="00CB0424">
        <w:rPr>
          <w:rFonts w:ascii="Times New Roman" w:hAnsi="Times New Roman" w:cs="Times New Roman"/>
          <w:sz w:val="24"/>
          <w:szCs w:val="24"/>
        </w:rPr>
        <w:t>des saisies conservatoires en cours dès lors qu’une telle saisie n’a pas</w:t>
      </w:r>
      <w:r w:rsidR="00FD0FA2" w:rsidRPr="00CB0424">
        <w:rPr>
          <w:rFonts w:ascii="Times New Roman" w:hAnsi="Times New Roman" w:cs="Times New Roman"/>
          <w:sz w:val="24"/>
          <w:szCs w:val="24"/>
        </w:rPr>
        <w:t xml:space="preserve"> </w:t>
      </w:r>
      <w:r w:rsidRPr="00CB0424">
        <w:rPr>
          <w:rFonts w:ascii="Times New Roman" w:hAnsi="Times New Roman" w:cs="Times New Roman"/>
          <w:sz w:val="24"/>
          <w:szCs w:val="24"/>
        </w:rPr>
        <w:t xml:space="preserve">vocation </w:t>
      </w:r>
      <w:r w:rsidR="00FD0FA2" w:rsidRPr="00CB0424">
        <w:rPr>
          <w:rFonts w:ascii="Times New Roman" w:hAnsi="Times New Roman" w:cs="Times New Roman"/>
          <w:sz w:val="24"/>
          <w:szCs w:val="24"/>
        </w:rPr>
        <w:t>à</w:t>
      </w:r>
      <w:r w:rsidRPr="00CB0424">
        <w:rPr>
          <w:rFonts w:ascii="Times New Roman" w:hAnsi="Times New Roman" w:cs="Times New Roman"/>
          <w:sz w:val="24"/>
          <w:szCs w:val="24"/>
        </w:rPr>
        <w:t xml:space="preserve"> réaliser les biens du débiteur</w:t>
      </w:r>
      <w:r w:rsidR="00FD0FA2" w:rsidRPr="00CB0424">
        <w:rPr>
          <w:rFonts w:ascii="Times New Roman" w:hAnsi="Times New Roman" w:cs="Times New Roman"/>
          <w:sz w:val="24"/>
          <w:szCs w:val="24"/>
        </w:rPr>
        <w:t xml:space="preserve">, réalisation proscrite </w:t>
      </w:r>
      <w:r w:rsidR="00751054" w:rsidRPr="00CB0424">
        <w:rPr>
          <w:rFonts w:ascii="Times New Roman" w:hAnsi="Times New Roman" w:cs="Times New Roman"/>
          <w:sz w:val="24"/>
          <w:szCs w:val="24"/>
        </w:rPr>
        <w:t>en</w:t>
      </w:r>
      <w:r w:rsidR="00FD0FA2" w:rsidRPr="00CB0424">
        <w:rPr>
          <w:rFonts w:ascii="Times New Roman" w:hAnsi="Times New Roman" w:cs="Times New Roman"/>
          <w:sz w:val="24"/>
          <w:szCs w:val="24"/>
        </w:rPr>
        <w:t xml:space="preserve"> principe par </w:t>
      </w:r>
      <w:r w:rsidR="00751054" w:rsidRPr="00CB0424">
        <w:rPr>
          <w:rFonts w:ascii="Times New Roman" w:hAnsi="Times New Roman" w:cs="Times New Roman"/>
          <w:sz w:val="24"/>
          <w:szCs w:val="24"/>
        </w:rPr>
        <w:t>cette disposition</w:t>
      </w:r>
      <w:r w:rsidR="00DD5D4C" w:rsidRPr="00CB0424">
        <w:rPr>
          <w:rFonts w:ascii="Times New Roman" w:hAnsi="Times New Roman" w:cs="Times New Roman"/>
          <w:sz w:val="24"/>
          <w:szCs w:val="24"/>
        </w:rPr>
        <w:t>.</w:t>
      </w:r>
      <w:r w:rsidR="00874548" w:rsidRPr="00CB0424">
        <w:rPr>
          <w:rFonts w:ascii="Times New Roman" w:hAnsi="Times New Roman" w:cs="Times New Roman"/>
          <w:sz w:val="24"/>
          <w:szCs w:val="24"/>
        </w:rPr>
        <w:t xml:space="preserve"> </w:t>
      </w:r>
      <w:r w:rsidR="00FD0FA2" w:rsidRPr="00CB0424">
        <w:rPr>
          <w:rFonts w:ascii="Times New Roman" w:hAnsi="Times New Roman" w:cs="Times New Roman"/>
          <w:sz w:val="24"/>
          <w:szCs w:val="24"/>
        </w:rPr>
        <w:t xml:space="preserve">En effet, la saisie conservatoire </w:t>
      </w:r>
      <w:r w:rsidR="00751054" w:rsidRPr="00CB0424">
        <w:rPr>
          <w:rFonts w:ascii="Times New Roman" w:hAnsi="Times New Roman" w:cs="Times New Roman"/>
          <w:sz w:val="24"/>
          <w:szCs w:val="24"/>
        </w:rPr>
        <w:t>a pour seul effet de</w:t>
      </w:r>
      <w:r w:rsidR="00FD0FA2" w:rsidRPr="00CB0424">
        <w:rPr>
          <w:rFonts w:ascii="Times New Roman" w:hAnsi="Times New Roman" w:cs="Times New Roman"/>
          <w:sz w:val="24"/>
          <w:szCs w:val="24"/>
        </w:rPr>
        <w:t xml:space="preserve"> figer </w:t>
      </w:r>
      <w:r w:rsidR="00F653EE" w:rsidRPr="00CB0424">
        <w:rPr>
          <w:rFonts w:ascii="Times New Roman" w:hAnsi="Times New Roman" w:cs="Times New Roman"/>
          <w:sz w:val="24"/>
          <w:szCs w:val="24"/>
        </w:rPr>
        <w:t>un</w:t>
      </w:r>
      <w:r w:rsidR="00FD0FA2" w:rsidRPr="00CB0424">
        <w:rPr>
          <w:rFonts w:ascii="Times New Roman" w:hAnsi="Times New Roman" w:cs="Times New Roman"/>
          <w:sz w:val="24"/>
          <w:szCs w:val="24"/>
        </w:rPr>
        <w:t xml:space="preserve"> bien dans le patrimoine du débiteur qui risque de devenir insolvable</w:t>
      </w:r>
      <w:r w:rsidR="00751054" w:rsidRPr="00CB0424">
        <w:rPr>
          <w:rFonts w:ascii="Times New Roman" w:hAnsi="Times New Roman" w:cs="Times New Roman"/>
          <w:sz w:val="24"/>
          <w:szCs w:val="24"/>
        </w:rPr>
        <w:t>,</w:t>
      </w:r>
      <w:r w:rsidR="00F653EE" w:rsidRPr="00CB0424">
        <w:rPr>
          <w:rFonts w:ascii="Times New Roman" w:hAnsi="Times New Roman" w:cs="Times New Roman"/>
          <w:sz w:val="24"/>
          <w:szCs w:val="24"/>
        </w:rPr>
        <w:t xml:space="preserve"> dans l’attente éventuelle d’un titre exécutoire</w:t>
      </w:r>
      <w:r w:rsidR="00FD0FA2" w:rsidRPr="00CB0424">
        <w:rPr>
          <w:rStyle w:val="Appelnotedebasdep"/>
          <w:rFonts w:ascii="Times New Roman" w:hAnsi="Times New Roman" w:cs="Times New Roman"/>
          <w:sz w:val="24"/>
          <w:szCs w:val="24"/>
        </w:rPr>
        <w:footnoteReference w:id="7"/>
      </w:r>
      <w:r w:rsidR="00FD0FA2" w:rsidRPr="00CB0424">
        <w:rPr>
          <w:rFonts w:ascii="Times New Roman" w:hAnsi="Times New Roman" w:cs="Times New Roman"/>
          <w:sz w:val="24"/>
          <w:szCs w:val="24"/>
        </w:rPr>
        <w:t xml:space="preserve">. </w:t>
      </w:r>
    </w:p>
    <w:p w14:paraId="7224D553" w14:textId="77777777" w:rsidR="004367EC" w:rsidRPr="00CB0424" w:rsidRDefault="004367EC" w:rsidP="00B5673A">
      <w:pPr>
        <w:pStyle w:val="Corps"/>
        <w:jc w:val="both"/>
        <w:rPr>
          <w:rFonts w:ascii="Times New Roman" w:eastAsia="Times New Roman" w:hAnsi="Times New Roman" w:cs="Times New Roman"/>
          <w:b/>
          <w:bCs/>
          <w:sz w:val="24"/>
          <w:szCs w:val="24"/>
        </w:rPr>
      </w:pPr>
    </w:p>
    <w:p w14:paraId="0A18D7CD" w14:textId="7B00578B" w:rsidR="004367EC" w:rsidRPr="00CB0424" w:rsidRDefault="00E8092E" w:rsidP="00630F71">
      <w:pPr>
        <w:pStyle w:val="Corps"/>
        <w:numPr>
          <w:ilvl w:val="0"/>
          <w:numId w:val="4"/>
        </w:numPr>
        <w:jc w:val="both"/>
        <w:rPr>
          <w:rFonts w:ascii="Times New Roman" w:eastAsia="Times New Roman" w:hAnsi="Times New Roman" w:cs="Times New Roman"/>
          <w:b/>
          <w:bCs/>
          <w:i/>
          <w:iCs/>
          <w:sz w:val="24"/>
          <w:szCs w:val="24"/>
        </w:rPr>
      </w:pPr>
      <w:r w:rsidRPr="00CB0424">
        <w:rPr>
          <w:rFonts w:ascii="Times New Roman" w:hAnsi="Times New Roman" w:cs="Times New Roman"/>
          <w:b/>
          <w:bCs/>
          <w:i/>
          <w:iCs/>
          <w:sz w:val="24"/>
          <w:szCs w:val="24"/>
        </w:rPr>
        <w:t xml:space="preserve">Article XX.51 du C.D.E. </w:t>
      </w:r>
    </w:p>
    <w:p w14:paraId="761B96AE" w14:textId="77777777" w:rsidR="004367EC" w:rsidRPr="00CB0424" w:rsidRDefault="004367EC" w:rsidP="00B5673A">
      <w:pPr>
        <w:pStyle w:val="Corps"/>
        <w:jc w:val="both"/>
        <w:rPr>
          <w:rFonts w:ascii="Times New Roman" w:eastAsia="Times New Roman" w:hAnsi="Times New Roman" w:cs="Times New Roman"/>
          <w:sz w:val="24"/>
          <w:szCs w:val="24"/>
        </w:rPr>
      </w:pPr>
    </w:p>
    <w:p w14:paraId="404F14AF" w14:textId="7B1B8525" w:rsidR="004367EC"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L’article XX.51, §</w:t>
      </w:r>
      <w:r w:rsidR="00687CFB" w:rsidRPr="00CB0424">
        <w:rPr>
          <w:rFonts w:ascii="Times New Roman" w:hAnsi="Times New Roman" w:cs="Times New Roman"/>
          <w:sz w:val="24"/>
          <w:szCs w:val="24"/>
        </w:rPr>
        <w:t xml:space="preserve"> </w:t>
      </w:r>
      <w:r w:rsidRPr="00CB0424">
        <w:rPr>
          <w:rFonts w:ascii="Times New Roman" w:hAnsi="Times New Roman" w:cs="Times New Roman"/>
          <w:sz w:val="24"/>
          <w:szCs w:val="24"/>
        </w:rPr>
        <w:t>1</w:t>
      </w:r>
      <w:r w:rsidRPr="00D969FC">
        <w:rPr>
          <w:rFonts w:ascii="Times New Roman" w:hAnsi="Times New Roman" w:cs="Times New Roman"/>
          <w:sz w:val="24"/>
          <w:szCs w:val="24"/>
          <w:vertAlign w:val="superscript"/>
        </w:rPr>
        <w:t>e</w:t>
      </w:r>
      <w:r w:rsidR="00687CFB" w:rsidRPr="00D969FC">
        <w:rPr>
          <w:rFonts w:ascii="Times New Roman" w:hAnsi="Times New Roman" w:cs="Times New Roman"/>
          <w:sz w:val="24"/>
          <w:szCs w:val="24"/>
          <w:vertAlign w:val="superscript"/>
        </w:rPr>
        <w:t>r</w:t>
      </w:r>
      <w:r w:rsidRPr="00CB0424">
        <w:rPr>
          <w:rFonts w:ascii="Times New Roman" w:hAnsi="Times New Roman" w:cs="Times New Roman"/>
          <w:sz w:val="24"/>
          <w:szCs w:val="24"/>
        </w:rPr>
        <w:t>, al. 2, du C.D.E. dispose</w:t>
      </w:r>
      <w:r w:rsidR="00B2597B" w:rsidRPr="00CB0424">
        <w:rPr>
          <w:rFonts w:ascii="Times New Roman" w:hAnsi="Times New Roman" w:cs="Times New Roman"/>
          <w:sz w:val="24"/>
          <w:szCs w:val="24"/>
        </w:rPr>
        <w:t xml:space="preserve"> quant à lui</w:t>
      </w:r>
      <w:r w:rsidRPr="00CB0424">
        <w:rPr>
          <w:rFonts w:ascii="Times New Roman" w:hAnsi="Times New Roman" w:cs="Times New Roman"/>
          <w:sz w:val="24"/>
          <w:szCs w:val="24"/>
        </w:rPr>
        <w:t xml:space="preserve"> que</w:t>
      </w:r>
      <w:r w:rsidR="00CA6933" w:rsidRPr="00CB0424">
        <w:rPr>
          <w:rFonts w:ascii="Times New Roman" w:hAnsi="Times New Roman" w:cs="Times New Roman"/>
          <w:sz w:val="24"/>
          <w:szCs w:val="24"/>
        </w:rPr>
        <w:t> :</w:t>
      </w:r>
      <w:r w:rsidRPr="00CB0424">
        <w:rPr>
          <w:rFonts w:ascii="Times New Roman" w:hAnsi="Times New Roman" w:cs="Times New Roman"/>
          <w:sz w:val="24"/>
          <w:szCs w:val="24"/>
        </w:rPr>
        <w:t xml:space="preserve"> « </w:t>
      </w:r>
      <w:r w:rsidRPr="00CB0424">
        <w:rPr>
          <w:rFonts w:ascii="Times New Roman" w:hAnsi="Times New Roman" w:cs="Times New Roman"/>
          <w:i/>
          <w:iCs/>
          <w:sz w:val="24"/>
          <w:szCs w:val="24"/>
        </w:rPr>
        <w:t xml:space="preserve">les saisies déjà pratiquées antérieurement conservent leur caractère conservatoire, mais le tribunal peut, selon les circonstances et dans la mesure où cette mainlevée n’impose pas un préjudice significatif au créancier, en accorder mainlevée, après avoir entendu le juge délégué en son rapport, ainsi que le </w:t>
      </w:r>
      <w:r w:rsidRPr="00CB0424">
        <w:rPr>
          <w:rFonts w:ascii="Times New Roman" w:hAnsi="Times New Roman" w:cs="Times New Roman"/>
          <w:i/>
          <w:iCs/>
          <w:sz w:val="24"/>
          <w:szCs w:val="24"/>
        </w:rPr>
        <w:lastRenderedPageBreak/>
        <w:t>créancier et le débiteur. La demande de mainlevée est introduite par voie de requête</w:t>
      </w:r>
      <w:r w:rsidRPr="00CB0424">
        <w:rPr>
          <w:rFonts w:ascii="Times New Roman" w:hAnsi="Times New Roman" w:cs="Times New Roman"/>
          <w:sz w:val="24"/>
          <w:szCs w:val="24"/>
        </w:rPr>
        <w:t xml:space="preserve"> ». Cet article vise tant les saisies exécution que </w:t>
      </w:r>
      <w:r w:rsidR="00F91E73" w:rsidRPr="00CB0424">
        <w:rPr>
          <w:rFonts w:ascii="Times New Roman" w:hAnsi="Times New Roman" w:cs="Times New Roman"/>
          <w:sz w:val="24"/>
          <w:szCs w:val="24"/>
        </w:rPr>
        <w:t xml:space="preserve">les saisies </w:t>
      </w:r>
      <w:r w:rsidRPr="00CB0424">
        <w:rPr>
          <w:rFonts w:ascii="Times New Roman" w:hAnsi="Times New Roman" w:cs="Times New Roman"/>
          <w:sz w:val="24"/>
          <w:szCs w:val="24"/>
        </w:rPr>
        <w:t>conservatoire</w:t>
      </w:r>
      <w:r w:rsidR="00F91E73" w:rsidRPr="00CB0424">
        <w:rPr>
          <w:rFonts w:ascii="Times New Roman" w:hAnsi="Times New Roman" w:cs="Times New Roman"/>
          <w:sz w:val="24"/>
          <w:szCs w:val="24"/>
        </w:rPr>
        <w:t>s</w:t>
      </w:r>
      <w:r w:rsidRPr="00CB0424">
        <w:rPr>
          <w:rFonts w:ascii="Times New Roman" w:hAnsi="Times New Roman" w:cs="Times New Roman"/>
          <w:sz w:val="24"/>
          <w:szCs w:val="24"/>
        </w:rPr>
        <w:t xml:space="preserve"> en cour</w:t>
      </w:r>
      <w:r w:rsidR="00713A4A" w:rsidRPr="00CB0424">
        <w:rPr>
          <w:rFonts w:ascii="Times New Roman" w:hAnsi="Times New Roman" w:cs="Times New Roman"/>
          <w:sz w:val="24"/>
          <w:szCs w:val="24"/>
        </w:rPr>
        <w:t>s. A</w:t>
      </w:r>
      <w:r w:rsidR="00F653EE" w:rsidRPr="00CB0424">
        <w:rPr>
          <w:rFonts w:ascii="Times New Roman" w:hAnsi="Times New Roman" w:cs="Times New Roman"/>
          <w:sz w:val="24"/>
          <w:szCs w:val="24"/>
        </w:rPr>
        <w:t>insi</w:t>
      </w:r>
      <w:r w:rsidR="00CA6933" w:rsidRPr="00CB0424">
        <w:rPr>
          <w:rFonts w:ascii="Times New Roman" w:hAnsi="Times New Roman" w:cs="Times New Roman"/>
          <w:sz w:val="24"/>
          <w:szCs w:val="24"/>
        </w:rPr>
        <w:t xml:space="preserve">, </w:t>
      </w:r>
      <w:r w:rsidR="00F653EE" w:rsidRPr="00CB0424">
        <w:rPr>
          <w:rFonts w:ascii="Times New Roman" w:hAnsi="Times New Roman" w:cs="Times New Roman"/>
          <w:sz w:val="24"/>
          <w:szCs w:val="24"/>
        </w:rPr>
        <w:t xml:space="preserve">une saisie conservatoire en cours </w:t>
      </w:r>
      <w:r w:rsidR="00714464" w:rsidRPr="00CB0424">
        <w:rPr>
          <w:rFonts w:ascii="Times New Roman" w:hAnsi="Times New Roman" w:cs="Times New Roman"/>
          <w:sz w:val="24"/>
          <w:szCs w:val="24"/>
        </w:rPr>
        <w:t>conservera son caractère conservatoire</w:t>
      </w:r>
      <w:r w:rsidRPr="00CB0424">
        <w:rPr>
          <w:rFonts w:ascii="Times New Roman" w:eastAsia="Times New Roman" w:hAnsi="Times New Roman" w:cs="Times New Roman"/>
          <w:sz w:val="24"/>
          <w:szCs w:val="24"/>
          <w:vertAlign w:val="superscript"/>
        </w:rPr>
        <w:footnoteReference w:id="8"/>
      </w:r>
      <w:r w:rsidRPr="00CB0424">
        <w:rPr>
          <w:rFonts w:ascii="Times New Roman" w:hAnsi="Times New Roman" w:cs="Times New Roman"/>
          <w:sz w:val="24"/>
          <w:szCs w:val="24"/>
        </w:rPr>
        <w:t xml:space="preserve">. </w:t>
      </w:r>
      <w:r w:rsidR="00714464" w:rsidRPr="00CB0424">
        <w:rPr>
          <w:rFonts w:ascii="Times New Roman" w:hAnsi="Times New Roman" w:cs="Times New Roman"/>
          <w:sz w:val="24"/>
          <w:szCs w:val="24"/>
        </w:rPr>
        <w:t>Notons que le débiteur peut demander mainlevée de cette saisie au tribunal ayant ordonné l’ouverture de la procédure (article XX.51, §1</w:t>
      </w:r>
      <w:r w:rsidR="00714464" w:rsidRPr="00CB0424">
        <w:rPr>
          <w:rFonts w:ascii="Times New Roman" w:hAnsi="Times New Roman" w:cs="Times New Roman"/>
          <w:sz w:val="24"/>
          <w:szCs w:val="24"/>
          <w:vertAlign w:val="superscript"/>
        </w:rPr>
        <w:t>er</w:t>
      </w:r>
      <w:r w:rsidR="00714464" w:rsidRPr="00CB0424">
        <w:rPr>
          <w:rFonts w:ascii="Times New Roman" w:hAnsi="Times New Roman" w:cs="Times New Roman"/>
          <w:sz w:val="24"/>
          <w:szCs w:val="24"/>
        </w:rPr>
        <w:t>, al. 2, du C.D.E.)</w:t>
      </w:r>
      <w:r w:rsidR="00714464" w:rsidRPr="00CB0424">
        <w:rPr>
          <w:rStyle w:val="Appelnotedebasdep"/>
          <w:rFonts w:ascii="Times New Roman" w:hAnsi="Times New Roman" w:cs="Times New Roman"/>
          <w:sz w:val="24"/>
          <w:szCs w:val="24"/>
        </w:rPr>
        <w:footnoteReference w:id="9"/>
      </w:r>
      <w:r w:rsidR="00714464" w:rsidRPr="00CB0424">
        <w:rPr>
          <w:rFonts w:ascii="Times New Roman" w:hAnsi="Times New Roman" w:cs="Times New Roman"/>
          <w:sz w:val="24"/>
          <w:szCs w:val="24"/>
        </w:rPr>
        <w:t xml:space="preserve">. </w:t>
      </w:r>
    </w:p>
    <w:p w14:paraId="3BB61421" w14:textId="77777777" w:rsidR="000C191C" w:rsidRPr="00CB0424" w:rsidRDefault="000C191C" w:rsidP="00B5673A">
      <w:pPr>
        <w:pStyle w:val="Corps"/>
        <w:jc w:val="both"/>
        <w:rPr>
          <w:rFonts w:ascii="Times New Roman" w:eastAsia="Times New Roman" w:hAnsi="Times New Roman" w:cs="Times New Roman"/>
          <w:sz w:val="24"/>
          <w:szCs w:val="24"/>
        </w:rPr>
      </w:pPr>
    </w:p>
    <w:p w14:paraId="10E32DF5" w14:textId="38EC5865" w:rsidR="009505E0" w:rsidRPr="00CB0424" w:rsidRDefault="00E8092E" w:rsidP="00B5673A">
      <w:pPr>
        <w:pStyle w:val="Corps"/>
        <w:numPr>
          <w:ilvl w:val="0"/>
          <w:numId w:val="20"/>
        </w:numPr>
        <w:jc w:val="both"/>
        <w:rPr>
          <w:rFonts w:ascii="Times New Roman" w:hAnsi="Times New Roman" w:cs="Times New Roman"/>
          <w:b/>
          <w:bCs/>
          <w:sz w:val="24"/>
          <w:szCs w:val="24"/>
        </w:rPr>
      </w:pPr>
      <w:r w:rsidRPr="00CB0424">
        <w:rPr>
          <w:rFonts w:ascii="Times New Roman" w:hAnsi="Times New Roman" w:cs="Times New Roman"/>
          <w:b/>
          <w:bCs/>
          <w:sz w:val="24"/>
          <w:szCs w:val="24"/>
        </w:rPr>
        <w:t>Saisie</w:t>
      </w:r>
      <w:r w:rsidR="00F91E73" w:rsidRPr="00CB0424">
        <w:rPr>
          <w:rFonts w:ascii="Times New Roman" w:hAnsi="Times New Roman" w:cs="Times New Roman"/>
          <w:b/>
          <w:bCs/>
          <w:sz w:val="24"/>
          <w:szCs w:val="24"/>
        </w:rPr>
        <w:t>-</w:t>
      </w:r>
      <w:r w:rsidRPr="00CB0424">
        <w:rPr>
          <w:rFonts w:ascii="Times New Roman" w:hAnsi="Times New Roman" w:cs="Times New Roman"/>
          <w:b/>
          <w:bCs/>
          <w:sz w:val="24"/>
          <w:szCs w:val="24"/>
        </w:rPr>
        <w:t xml:space="preserve">exécution </w:t>
      </w:r>
      <w:r w:rsidR="009505E0" w:rsidRPr="00CB0424">
        <w:rPr>
          <w:rFonts w:ascii="Times New Roman" w:hAnsi="Times New Roman" w:cs="Times New Roman"/>
          <w:b/>
          <w:bCs/>
          <w:sz w:val="24"/>
          <w:szCs w:val="24"/>
        </w:rPr>
        <w:t>mobilière</w:t>
      </w:r>
    </w:p>
    <w:p w14:paraId="004825EE" w14:textId="77777777" w:rsidR="004367EC" w:rsidRPr="00CB0424" w:rsidRDefault="004367EC" w:rsidP="00B5673A">
      <w:pPr>
        <w:pStyle w:val="Corps"/>
        <w:jc w:val="both"/>
        <w:rPr>
          <w:rFonts w:ascii="Times New Roman" w:eastAsia="Times New Roman" w:hAnsi="Times New Roman" w:cs="Times New Roman"/>
          <w:b/>
          <w:bCs/>
          <w:sz w:val="24"/>
          <w:szCs w:val="24"/>
        </w:rPr>
      </w:pPr>
    </w:p>
    <w:p w14:paraId="6AE3BBAE" w14:textId="5E07E8D7" w:rsidR="004367EC" w:rsidRPr="00CB0424" w:rsidRDefault="00E8092E" w:rsidP="00B5673A">
      <w:pPr>
        <w:pStyle w:val="Corps"/>
        <w:numPr>
          <w:ilvl w:val="0"/>
          <w:numId w:val="6"/>
        </w:numPr>
        <w:jc w:val="both"/>
        <w:rPr>
          <w:rFonts w:ascii="Times New Roman" w:eastAsia="Times New Roman" w:hAnsi="Times New Roman" w:cs="Times New Roman"/>
          <w:b/>
          <w:bCs/>
          <w:i/>
          <w:iCs/>
          <w:sz w:val="24"/>
          <w:szCs w:val="24"/>
        </w:rPr>
      </w:pPr>
      <w:r w:rsidRPr="00CB0424">
        <w:rPr>
          <w:rFonts w:ascii="Times New Roman" w:hAnsi="Times New Roman" w:cs="Times New Roman"/>
          <w:b/>
          <w:bCs/>
          <w:i/>
          <w:iCs/>
          <w:sz w:val="24"/>
          <w:szCs w:val="24"/>
        </w:rPr>
        <w:t xml:space="preserve">Article XX.44 du C.D.E. </w:t>
      </w:r>
    </w:p>
    <w:p w14:paraId="3DA3E019" w14:textId="77777777" w:rsidR="004367EC" w:rsidRPr="00CB0424" w:rsidRDefault="004367EC" w:rsidP="00B5673A">
      <w:pPr>
        <w:pStyle w:val="Corps"/>
        <w:jc w:val="both"/>
        <w:rPr>
          <w:rFonts w:ascii="Times New Roman" w:eastAsia="Times New Roman" w:hAnsi="Times New Roman" w:cs="Times New Roman"/>
          <w:sz w:val="24"/>
          <w:szCs w:val="24"/>
        </w:rPr>
      </w:pPr>
    </w:p>
    <w:p w14:paraId="52D8F7DF" w14:textId="6DA9C003" w:rsidR="004367EC"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L’article XX.44, §</w:t>
      </w:r>
      <w:r w:rsidR="005E5FEA">
        <w:rPr>
          <w:rFonts w:ascii="Times New Roman" w:hAnsi="Times New Roman" w:cs="Times New Roman"/>
          <w:sz w:val="24"/>
          <w:szCs w:val="24"/>
        </w:rPr>
        <w:t xml:space="preserve"> </w:t>
      </w:r>
      <w:r w:rsidRPr="00CB0424">
        <w:rPr>
          <w:rFonts w:ascii="Times New Roman" w:hAnsi="Times New Roman" w:cs="Times New Roman"/>
          <w:sz w:val="24"/>
          <w:szCs w:val="24"/>
        </w:rPr>
        <w:t>1</w:t>
      </w:r>
      <w:r w:rsidR="005E5FEA" w:rsidRPr="005E5FEA">
        <w:rPr>
          <w:rFonts w:ascii="Times New Roman" w:hAnsi="Times New Roman" w:cs="Times New Roman"/>
          <w:sz w:val="24"/>
          <w:szCs w:val="24"/>
          <w:vertAlign w:val="superscript"/>
        </w:rPr>
        <w:t>er</w:t>
      </w:r>
      <w:r w:rsidRPr="00CB0424">
        <w:rPr>
          <w:rFonts w:ascii="Times New Roman" w:hAnsi="Times New Roman" w:cs="Times New Roman"/>
          <w:sz w:val="24"/>
          <w:szCs w:val="24"/>
        </w:rPr>
        <w:t>, du C.D.E. dispose</w:t>
      </w:r>
      <w:r w:rsidR="00095FE7" w:rsidRPr="00CB0424">
        <w:rPr>
          <w:rFonts w:ascii="Times New Roman" w:hAnsi="Times New Roman" w:cs="Times New Roman"/>
          <w:sz w:val="24"/>
          <w:szCs w:val="24"/>
        </w:rPr>
        <w:t> :</w:t>
      </w:r>
      <w:r w:rsidR="00CA6933" w:rsidRPr="00CB0424">
        <w:rPr>
          <w:rFonts w:ascii="Times New Roman" w:hAnsi="Times New Roman" w:cs="Times New Roman"/>
          <w:sz w:val="24"/>
          <w:szCs w:val="24"/>
        </w:rPr>
        <w:t xml:space="preserve"> </w:t>
      </w:r>
      <w:r w:rsidRPr="00CB0424">
        <w:rPr>
          <w:rFonts w:ascii="Times New Roman" w:hAnsi="Times New Roman" w:cs="Times New Roman"/>
          <w:sz w:val="24"/>
          <w:szCs w:val="24"/>
        </w:rPr>
        <w:t>« t</w:t>
      </w:r>
      <w:r w:rsidRPr="00CB0424">
        <w:rPr>
          <w:rFonts w:ascii="Times New Roman" w:hAnsi="Times New Roman" w:cs="Times New Roman"/>
          <w:i/>
          <w:iCs/>
          <w:sz w:val="24"/>
          <w:szCs w:val="24"/>
        </w:rPr>
        <w:t xml:space="preserve">ant que le tribunal n’a pas statué sur la requête en réorganisation judiciaire, que l’action ait été introduite ou la voie d’exécution entamée avant ou </w:t>
      </w:r>
      <w:r w:rsidRPr="00CB7E44">
        <w:rPr>
          <w:rFonts w:ascii="Times New Roman" w:hAnsi="Times New Roman" w:cs="Times New Roman"/>
          <w:i/>
          <w:iCs/>
          <w:sz w:val="24"/>
          <w:szCs w:val="24"/>
        </w:rPr>
        <w:t>aprè</w:t>
      </w:r>
      <w:r w:rsidR="00D969FC" w:rsidRPr="00CB7E44">
        <w:rPr>
          <w:rFonts w:ascii="Times New Roman" w:hAnsi="Times New Roman" w:cs="Times New Roman"/>
          <w:i/>
          <w:iCs/>
          <w:sz w:val="24"/>
          <w:szCs w:val="24"/>
        </w:rPr>
        <w:t>s</w:t>
      </w:r>
      <w:r w:rsidRPr="00CB7E44">
        <w:rPr>
          <w:rFonts w:ascii="Times New Roman" w:hAnsi="Times New Roman" w:cs="Times New Roman"/>
          <w:i/>
          <w:iCs/>
          <w:sz w:val="24"/>
          <w:szCs w:val="24"/>
        </w:rPr>
        <w:t xml:space="preserve"> le dépôt</w:t>
      </w:r>
      <w:r w:rsidRPr="00CB0424">
        <w:rPr>
          <w:rFonts w:ascii="Times New Roman" w:hAnsi="Times New Roman" w:cs="Times New Roman"/>
          <w:i/>
          <w:iCs/>
          <w:sz w:val="24"/>
          <w:szCs w:val="24"/>
        </w:rPr>
        <w:t xml:space="preserve"> de la requête : </w:t>
      </w:r>
    </w:p>
    <w:p w14:paraId="68AA0937" w14:textId="77777777" w:rsidR="004367EC" w:rsidRPr="00CB0424" w:rsidRDefault="00E8092E" w:rsidP="00B5673A">
      <w:pPr>
        <w:pStyle w:val="Corps"/>
        <w:numPr>
          <w:ilvl w:val="0"/>
          <w:numId w:val="8"/>
        </w:numPr>
        <w:jc w:val="both"/>
        <w:rPr>
          <w:rFonts w:ascii="Times New Roman" w:eastAsia="Times New Roman" w:hAnsi="Times New Roman" w:cs="Times New Roman"/>
          <w:i/>
          <w:iCs/>
          <w:sz w:val="24"/>
          <w:szCs w:val="24"/>
        </w:rPr>
      </w:pPr>
      <w:proofErr w:type="gramStart"/>
      <w:r w:rsidRPr="00CB0424">
        <w:rPr>
          <w:rFonts w:ascii="Times New Roman" w:hAnsi="Times New Roman" w:cs="Times New Roman"/>
          <w:i/>
          <w:iCs/>
          <w:sz w:val="24"/>
          <w:szCs w:val="24"/>
        </w:rPr>
        <w:t>le</w:t>
      </w:r>
      <w:proofErr w:type="gramEnd"/>
      <w:r w:rsidRPr="00CB0424">
        <w:rPr>
          <w:rFonts w:ascii="Times New Roman" w:hAnsi="Times New Roman" w:cs="Times New Roman"/>
          <w:i/>
          <w:iCs/>
          <w:sz w:val="24"/>
          <w:szCs w:val="24"/>
        </w:rPr>
        <w:t xml:space="preserve"> débiteur ne peut être déclarée en faillite ; dans le cas d’une personne morale, celle-ci ne peut être dissoute judiciairement ; </w:t>
      </w:r>
    </w:p>
    <w:p w14:paraId="5E306FB3" w14:textId="77777777" w:rsidR="004367EC" w:rsidRPr="00CB0424" w:rsidRDefault="00E8092E" w:rsidP="00B5673A">
      <w:pPr>
        <w:pStyle w:val="Corps"/>
        <w:numPr>
          <w:ilvl w:val="0"/>
          <w:numId w:val="9"/>
        </w:numPr>
        <w:jc w:val="both"/>
        <w:rPr>
          <w:rFonts w:ascii="Times New Roman" w:eastAsia="Times New Roman" w:hAnsi="Times New Roman" w:cs="Times New Roman"/>
          <w:sz w:val="24"/>
          <w:szCs w:val="24"/>
        </w:rPr>
      </w:pPr>
      <w:proofErr w:type="gramStart"/>
      <w:r w:rsidRPr="00CB0424">
        <w:rPr>
          <w:rFonts w:ascii="Times New Roman" w:hAnsi="Times New Roman" w:cs="Times New Roman"/>
          <w:i/>
          <w:iCs/>
          <w:sz w:val="24"/>
          <w:szCs w:val="24"/>
        </w:rPr>
        <w:t>aucune</w:t>
      </w:r>
      <w:proofErr w:type="gramEnd"/>
      <w:r w:rsidRPr="00CB0424">
        <w:rPr>
          <w:rFonts w:ascii="Times New Roman" w:hAnsi="Times New Roman" w:cs="Times New Roman"/>
          <w:i/>
          <w:iCs/>
          <w:sz w:val="24"/>
          <w:szCs w:val="24"/>
        </w:rPr>
        <w:t xml:space="preserve"> réalisation de biens meubles ou immeubles du débiteur ne peut intervenir à la suite de l’exercice d’une voie d’exécution </w:t>
      </w:r>
      <w:r w:rsidRPr="00CB0424">
        <w:rPr>
          <w:rFonts w:ascii="Times New Roman" w:hAnsi="Times New Roman" w:cs="Times New Roman"/>
          <w:sz w:val="24"/>
          <w:szCs w:val="24"/>
        </w:rPr>
        <w:t xml:space="preserve">». </w:t>
      </w:r>
    </w:p>
    <w:p w14:paraId="033A1560" w14:textId="77777777" w:rsidR="004367EC" w:rsidRPr="00CB0424" w:rsidRDefault="004367EC" w:rsidP="00B5673A">
      <w:pPr>
        <w:pStyle w:val="Corps"/>
        <w:jc w:val="both"/>
        <w:rPr>
          <w:rFonts w:ascii="Times New Roman" w:eastAsia="Times New Roman" w:hAnsi="Times New Roman" w:cs="Times New Roman"/>
          <w:sz w:val="24"/>
          <w:szCs w:val="24"/>
        </w:rPr>
      </w:pPr>
    </w:p>
    <w:p w14:paraId="6652B434" w14:textId="4A854802" w:rsidR="004367EC"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 xml:space="preserve">Le principe ici édicté </w:t>
      </w:r>
      <w:r w:rsidR="00095FE7" w:rsidRPr="00CB0424">
        <w:rPr>
          <w:rFonts w:ascii="Times New Roman" w:hAnsi="Times New Roman" w:cs="Times New Roman"/>
          <w:sz w:val="24"/>
          <w:szCs w:val="24"/>
        </w:rPr>
        <w:t xml:space="preserve">vise la </w:t>
      </w:r>
      <w:r w:rsidRPr="00CB0424">
        <w:rPr>
          <w:rFonts w:ascii="Times New Roman" w:hAnsi="Times New Roman" w:cs="Times New Roman"/>
          <w:sz w:val="24"/>
          <w:szCs w:val="24"/>
        </w:rPr>
        <w:t xml:space="preserve">suspension de la </w:t>
      </w:r>
      <w:r w:rsidRPr="00CB0424">
        <w:rPr>
          <w:rFonts w:ascii="Times New Roman" w:hAnsi="Times New Roman" w:cs="Times New Roman"/>
          <w:i/>
          <w:iCs/>
          <w:sz w:val="24"/>
          <w:szCs w:val="24"/>
        </w:rPr>
        <w:t>réalisation</w:t>
      </w:r>
      <w:r w:rsidRPr="00CB0424">
        <w:rPr>
          <w:rFonts w:ascii="Times New Roman" w:hAnsi="Times New Roman" w:cs="Times New Roman"/>
          <w:sz w:val="24"/>
          <w:szCs w:val="24"/>
        </w:rPr>
        <w:t xml:space="preserve"> de biens meubles ou immeubles du débiteur déposant une requête en réorganisation judiciaire</w:t>
      </w:r>
      <w:r w:rsidR="005E5FEA">
        <w:rPr>
          <w:rFonts w:ascii="Times New Roman" w:hAnsi="Times New Roman" w:cs="Times New Roman"/>
          <w:sz w:val="24"/>
          <w:szCs w:val="24"/>
        </w:rPr>
        <w:t xml:space="preserve"> (c’est nous qui soulignons)</w:t>
      </w:r>
      <w:r w:rsidRPr="00CB0424">
        <w:rPr>
          <w:rFonts w:ascii="Times New Roman" w:hAnsi="Times New Roman" w:cs="Times New Roman"/>
          <w:sz w:val="24"/>
          <w:szCs w:val="24"/>
        </w:rPr>
        <w:t xml:space="preserve">. </w:t>
      </w:r>
      <w:r w:rsidR="00095FE7" w:rsidRPr="00CB0424">
        <w:rPr>
          <w:rFonts w:ascii="Times New Roman" w:hAnsi="Times New Roman" w:cs="Times New Roman"/>
          <w:sz w:val="24"/>
          <w:szCs w:val="24"/>
        </w:rPr>
        <w:t>L’article XX.44 du C.D.E. ne prohibe pas</w:t>
      </w:r>
      <w:r w:rsidR="0067040E" w:rsidRPr="00CB0424">
        <w:rPr>
          <w:rFonts w:ascii="Times New Roman" w:hAnsi="Times New Roman" w:cs="Times New Roman"/>
          <w:sz w:val="24"/>
          <w:szCs w:val="24"/>
        </w:rPr>
        <w:t xml:space="preserve"> </w:t>
      </w:r>
      <w:r w:rsidR="0067040E" w:rsidRPr="00CB0424">
        <w:rPr>
          <w:rFonts w:ascii="Times New Roman" w:hAnsi="Times New Roman" w:cs="Times New Roman"/>
          <w:i/>
          <w:iCs/>
          <w:sz w:val="24"/>
          <w:szCs w:val="24"/>
        </w:rPr>
        <w:t>sensu stricto</w:t>
      </w:r>
      <w:r w:rsidR="006709A2" w:rsidRPr="00CB0424">
        <w:rPr>
          <w:rFonts w:ascii="Times New Roman" w:hAnsi="Times New Roman" w:cs="Times New Roman"/>
          <w:sz w:val="24"/>
          <w:szCs w:val="24"/>
        </w:rPr>
        <w:t xml:space="preserve"> l</w:t>
      </w:r>
      <w:r w:rsidR="00095FE7" w:rsidRPr="00CB0424">
        <w:rPr>
          <w:rFonts w:ascii="Times New Roman" w:hAnsi="Times New Roman" w:cs="Times New Roman"/>
          <w:sz w:val="24"/>
          <w:szCs w:val="24"/>
        </w:rPr>
        <w:t>a saisie</w:t>
      </w:r>
      <w:r w:rsidR="005D4EF8" w:rsidRPr="00CB0424">
        <w:rPr>
          <w:rFonts w:ascii="Times New Roman" w:hAnsi="Times New Roman" w:cs="Times New Roman"/>
          <w:sz w:val="24"/>
          <w:szCs w:val="24"/>
        </w:rPr>
        <w:t>-</w:t>
      </w:r>
      <w:r w:rsidR="00095FE7" w:rsidRPr="00CB0424">
        <w:rPr>
          <w:rFonts w:ascii="Times New Roman" w:hAnsi="Times New Roman" w:cs="Times New Roman"/>
          <w:sz w:val="24"/>
          <w:szCs w:val="24"/>
        </w:rPr>
        <w:t xml:space="preserve">exécution mobilière en cours </w:t>
      </w:r>
      <w:r w:rsidR="000021E4" w:rsidRPr="00CB0424">
        <w:rPr>
          <w:rFonts w:ascii="Times New Roman" w:hAnsi="Times New Roman" w:cs="Times New Roman"/>
          <w:sz w:val="24"/>
          <w:szCs w:val="24"/>
        </w:rPr>
        <w:t xml:space="preserve">mais celle-ci se voit </w:t>
      </w:r>
      <w:r w:rsidR="006709A2" w:rsidRPr="00CB0424">
        <w:rPr>
          <w:rFonts w:ascii="Times New Roman" w:hAnsi="Times New Roman" w:cs="Times New Roman"/>
          <w:sz w:val="24"/>
          <w:szCs w:val="24"/>
        </w:rPr>
        <w:t xml:space="preserve">effectivement </w:t>
      </w:r>
      <w:r w:rsidR="000021E4" w:rsidRPr="00CB0424">
        <w:rPr>
          <w:rFonts w:ascii="Times New Roman" w:hAnsi="Times New Roman" w:cs="Times New Roman"/>
          <w:sz w:val="24"/>
          <w:szCs w:val="24"/>
        </w:rPr>
        <w:t xml:space="preserve">suspendue par le dépôt de la requête et les biens ne pourront être </w:t>
      </w:r>
      <w:r w:rsidR="000021E4" w:rsidRPr="00CB0424">
        <w:rPr>
          <w:rFonts w:ascii="Times New Roman" w:hAnsi="Times New Roman" w:cs="Times New Roman"/>
          <w:i/>
          <w:iCs/>
          <w:sz w:val="24"/>
          <w:szCs w:val="24"/>
        </w:rPr>
        <w:t>réalisés</w:t>
      </w:r>
      <w:r w:rsidR="00B2597B" w:rsidRPr="00CB0424">
        <w:rPr>
          <w:rFonts w:ascii="Times New Roman" w:hAnsi="Times New Roman" w:cs="Times New Roman"/>
          <w:sz w:val="24"/>
          <w:szCs w:val="24"/>
        </w:rPr>
        <w:t xml:space="preserve"> </w:t>
      </w:r>
      <w:r w:rsidR="00603E77" w:rsidRPr="00CB0424">
        <w:rPr>
          <w:rFonts w:ascii="Times New Roman" w:hAnsi="Times New Roman" w:cs="Times New Roman"/>
          <w:sz w:val="24"/>
          <w:szCs w:val="24"/>
        </w:rPr>
        <w:t>à la suite de</w:t>
      </w:r>
      <w:r w:rsidR="00B2597B" w:rsidRPr="00CB0424">
        <w:rPr>
          <w:rFonts w:ascii="Times New Roman" w:hAnsi="Times New Roman" w:cs="Times New Roman"/>
          <w:sz w:val="24"/>
          <w:szCs w:val="24"/>
        </w:rPr>
        <w:t xml:space="preserve"> celle-ci</w:t>
      </w:r>
      <w:r w:rsidR="00EA2A47" w:rsidRPr="00CB0424">
        <w:rPr>
          <w:rFonts w:ascii="Times New Roman" w:hAnsi="Times New Roman" w:cs="Times New Roman"/>
          <w:sz w:val="24"/>
          <w:szCs w:val="24"/>
        </w:rPr>
        <w:t xml:space="preserve"> (c’est nous qui soulignons)</w:t>
      </w:r>
      <w:r w:rsidRPr="00CB0424">
        <w:rPr>
          <w:rFonts w:ascii="Times New Roman" w:eastAsia="Times New Roman" w:hAnsi="Times New Roman" w:cs="Times New Roman"/>
          <w:sz w:val="24"/>
          <w:szCs w:val="24"/>
          <w:vertAlign w:val="superscript"/>
        </w:rPr>
        <w:footnoteReference w:id="10"/>
      </w:r>
      <w:r w:rsidRPr="00CB0424">
        <w:rPr>
          <w:rFonts w:ascii="Times New Roman" w:hAnsi="Times New Roman" w:cs="Times New Roman"/>
          <w:sz w:val="24"/>
          <w:szCs w:val="24"/>
        </w:rPr>
        <w:t xml:space="preserve">. </w:t>
      </w:r>
    </w:p>
    <w:p w14:paraId="34BCAC22" w14:textId="28EFD8DE" w:rsidR="004367EC" w:rsidRPr="00CB0424" w:rsidRDefault="00E8092E" w:rsidP="00B5673A">
      <w:pPr>
        <w:pStyle w:val="Corps"/>
        <w:jc w:val="both"/>
        <w:rPr>
          <w:rFonts w:ascii="Times New Roman" w:eastAsia="Times New Roman" w:hAnsi="Times New Roman" w:cs="Times New Roman"/>
          <w:sz w:val="24"/>
          <w:szCs w:val="24"/>
        </w:rPr>
      </w:pPr>
      <w:r w:rsidRPr="00CB0424">
        <w:rPr>
          <w:rFonts w:ascii="Times New Roman" w:hAnsi="Times New Roman" w:cs="Times New Roman"/>
          <w:sz w:val="24"/>
          <w:szCs w:val="24"/>
        </w:rPr>
        <w:lastRenderedPageBreak/>
        <w:t>Ce principe de suspension d</w:t>
      </w:r>
      <w:r w:rsidR="00EA73E5" w:rsidRPr="00CB0424">
        <w:rPr>
          <w:rFonts w:ascii="Times New Roman" w:hAnsi="Times New Roman" w:cs="Times New Roman"/>
          <w:sz w:val="24"/>
          <w:szCs w:val="24"/>
        </w:rPr>
        <w:t>e la réalisation des biens</w:t>
      </w:r>
      <w:r w:rsidR="0067040E" w:rsidRPr="00CB0424">
        <w:rPr>
          <w:rFonts w:ascii="Times New Roman" w:hAnsi="Times New Roman" w:cs="Times New Roman"/>
          <w:sz w:val="24"/>
          <w:szCs w:val="24"/>
        </w:rPr>
        <w:t xml:space="preserve"> meubles corporels</w:t>
      </w:r>
      <w:r w:rsidR="00EA73E5" w:rsidRPr="00CB0424">
        <w:rPr>
          <w:rFonts w:ascii="Times New Roman" w:hAnsi="Times New Roman" w:cs="Times New Roman"/>
          <w:sz w:val="24"/>
          <w:szCs w:val="24"/>
        </w:rPr>
        <w:t xml:space="preserve"> </w:t>
      </w:r>
      <w:r w:rsidRPr="00CB0424">
        <w:rPr>
          <w:rFonts w:ascii="Times New Roman" w:hAnsi="Times New Roman" w:cs="Times New Roman"/>
          <w:sz w:val="24"/>
          <w:szCs w:val="24"/>
        </w:rPr>
        <w:t xml:space="preserve">connait deux exceptions : </w:t>
      </w:r>
    </w:p>
    <w:p w14:paraId="45247024" w14:textId="77777777" w:rsidR="004367EC" w:rsidRPr="00CB0424" w:rsidRDefault="004367EC" w:rsidP="00B5673A">
      <w:pPr>
        <w:pStyle w:val="Corps"/>
        <w:jc w:val="both"/>
        <w:rPr>
          <w:rFonts w:ascii="Times New Roman" w:eastAsia="Times New Roman" w:hAnsi="Times New Roman" w:cs="Times New Roman"/>
          <w:sz w:val="24"/>
          <w:szCs w:val="24"/>
        </w:rPr>
      </w:pPr>
    </w:p>
    <w:p w14:paraId="21EEDC1D" w14:textId="0C5F286A" w:rsidR="004367EC" w:rsidRPr="00CB0424" w:rsidRDefault="00E8092E" w:rsidP="00B5673A">
      <w:pPr>
        <w:pStyle w:val="Corps"/>
        <w:numPr>
          <w:ilvl w:val="0"/>
          <w:numId w:val="10"/>
        </w:numPr>
        <w:jc w:val="both"/>
        <w:rPr>
          <w:rFonts w:ascii="Times New Roman" w:eastAsia="Times New Roman" w:hAnsi="Times New Roman" w:cs="Times New Roman"/>
          <w:sz w:val="24"/>
          <w:szCs w:val="24"/>
        </w:rPr>
      </w:pPr>
      <w:r w:rsidRPr="00CB0424">
        <w:rPr>
          <w:rFonts w:ascii="Times New Roman" w:hAnsi="Times New Roman" w:cs="Times New Roman"/>
          <w:sz w:val="24"/>
          <w:szCs w:val="24"/>
        </w:rPr>
        <w:t>Si le jour fixé pour la vente des meubles saisis échoit dans un délai de deux mois suivant le dépôt de la requête, les opérations de vente mobilière peuvent se poursuivre</w:t>
      </w:r>
      <w:r w:rsidRPr="00CB0424">
        <w:rPr>
          <w:rFonts w:ascii="Times New Roman" w:eastAsia="Times New Roman" w:hAnsi="Times New Roman" w:cs="Times New Roman"/>
          <w:sz w:val="24"/>
          <w:szCs w:val="24"/>
          <w:vertAlign w:val="superscript"/>
        </w:rPr>
        <w:footnoteReference w:id="11"/>
      </w:r>
      <w:r w:rsidRPr="00CB0424">
        <w:rPr>
          <w:rFonts w:ascii="Times New Roman" w:hAnsi="Times New Roman" w:cs="Times New Roman"/>
          <w:sz w:val="24"/>
          <w:szCs w:val="24"/>
        </w:rPr>
        <w:t xml:space="preserve">. </w:t>
      </w:r>
      <w:r w:rsidR="00CA6933" w:rsidRPr="00CB0424">
        <w:rPr>
          <w:rFonts w:ascii="Times New Roman" w:hAnsi="Times New Roman" w:cs="Times New Roman"/>
          <w:sz w:val="24"/>
          <w:szCs w:val="24"/>
        </w:rPr>
        <w:t xml:space="preserve">Dans tel cas, il appartiendra à l’huissier de justice de répartir le prix de vente entre les créanciers privilégiés spéciaux, le solde éventuel </w:t>
      </w:r>
      <w:r w:rsidR="005D641B" w:rsidRPr="00CB0424">
        <w:rPr>
          <w:rFonts w:ascii="Times New Roman" w:hAnsi="Times New Roman" w:cs="Times New Roman"/>
          <w:sz w:val="24"/>
          <w:szCs w:val="24"/>
        </w:rPr>
        <w:t xml:space="preserve">étant </w:t>
      </w:r>
      <w:r w:rsidR="00CA6933" w:rsidRPr="00CB0424">
        <w:rPr>
          <w:rFonts w:ascii="Times New Roman" w:hAnsi="Times New Roman" w:cs="Times New Roman"/>
          <w:sz w:val="24"/>
          <w:szCs w:val="24"/>
        </w:rPr>
        <w:t>remis au débiteur ou au mandataire de justice</w:t>
      </w:r>
      <w:r w:rsidR="005D641B" w:rsidRPr="00CB0424">
        <w:rPr>
          <w:rStyle w:val="Appelnotedebasdep"/>
          <w:rFonts w:ascii="Times New Roman" w:hAnsi="Times New Roman" w:cs="Times New Roman"/>
          <w:sz w:val="24"/>
          <w:szCs w:val="24"/>
        </w:rPr>
        <w:footnoteReference w:id="12"/>
      </w:r>
      <w:r w:rsidR="00CA6933" w:rsidRPr="00CB0424">
        <w:rPr>
          <w:rFonts w:ascii="Times New Roman" w:hAnsi="Times New Roman" w:cs="Times New Roman"/>
          <w:sz w:val="24"/>
          <w:szCs w:val="24"/>
        </w:rPr>
        <w:t xml:space="preserve">. </w:t>
      </w:r>
      <w:r w:rsidRPr="00CB0424">
        <w:rPr>
          <w:rFonts w:ascii="Times New Roman" w:hAnsi="Times New Roman" w:cs="Times New Roman"/>
          <w:sz w:val="24"/>
          <w:szCs w:val="24"/>
        </w:rPr>
        <w:t>Néanmoins, à la demande du débiteur, le tribunal peut autoriser la suspension de la vente après avoir entendu le juge délégué en son rapport et le débiteur en ses moyens</w:t>
      </w:r>
      <w:r w:rsidRPr="00CB0424">
        <w:rPr>
          <w:rFonts w:ascii="Times New Roman" w:eastAsia="Times New Roman" w:hAnsi="Times New Roman" w:cs="Times New Roman"/>
          <w:sz w:val="24"/>
          <w:szCs w:val="24"/>
          <w:vertAlign w:val="superscript"/>
        </w:rPr>
        <w:footnoteReference w:id="13"/>
      </w:r>
      <w:r w:rsidRPr="00CB0424">
        <w:rPr>
          <w:rFonts w:ascii="Times New Roman" w:hAnsi="Times New Roman" w:cs="Times New Roman"/>
          <w:sz w:val="24"/>
          <w:szCs w:val="24"/>
        </w:rPr>
        <w:t>. La demande en suspension n’a pas d’effet suspensif (XX.44, §</w:t>
      </w:r>
      <w:r w:rsidR="00A3314C" w:rsidRPr="00CB0424">
        <w:rPr>
          <w:rFonts w:ascii="Times New Roman" w:hAnsi="Times New Roman" w:cs="Times New Roman"/>
          <w:sz w:val="24"/>
          <w:szCs w:val="24"/>
        </w:rPr>
        <w:t xml:space="preserve"> </w:t>
      </w:r>
      <w:r w:rsidRPr="00CB0424">
        <w:rPr>
          <w:rFonts w:ascii="Times New Roman" w:hAnsi="Times New Roman" w:cs="Times New Roman"/>
          <w:sz w:val="24"/>
          <w:szCs w:val="24"/>
        </w:rPr>
        <w:t>2, du C.D.E.)</w:t>
      </w:r>
      <w:r w:rsidR="00B2597B" w:rsidRPr="00CB0424">
        <w:rPr>
          <w:rFonts w:ascii="Times New Roman" w:hAnsi="Times New Roman" w:cs="Times New Roman"/>
          <w:sz w:val="24"/>
          <w:szCs w:val="24"/>
        </w:rPr>
        <w:t xml:space="preserve">, et </w:t>
      </w:r>
      <w:r w:rsidRPr="00CB0424">
        <w:rPr>
          <w:rFonts w:ascii="Times New Roman" w:hAnsi="Times New Roman" w:cs="Times New Roman"/>
          <w:sz w:val="24"/>
          <w:szCs w:val="24"/>
        </w:rPr>
        <w:t>si la suspension de la vente du bien meuble est prononcée, les frais engendrés par la suspension sont à charge du requérant</w:t>
      </w:r>
      <w:r w:rsidRPr="00CB0424">
        <w:rPr>
          <w:rFonts w:ascii="Times New Roman" w:eastAsia="Times New Roman" w:hAnsi="Times New Roman" w:cs="Times New Roman"/>
          <w:sz w:val="24"/>
          <w:szCs w:val="24"/>
          <w:vertAlign w:val="superscript"/>
        </w:rPr>
        <w:footnoteReference w:id="14"/>
      </w:r>
      <w:r w:rsidR="00A3314C" w:rsidRPr="00CB0424">
        <w:rPr>
          <w:rFonts w:ascii="Times New Roman" w:hAnsi="Times New Roman" w:cs="Times New Roman"/>
          <w:sz w:val="24"/>
          <w:szCs w:val="24"/>
        </w:rPr>
        <w:t>.</w:t>
      </w:r>
      <w:r w:rsidRPr="00CB0424">
        <w:rPr>
          <w:rFonts w:ascii="Times New Roman" w:hAnsi="Times New Roman" w:cs="Times New Roman"/>
          <w:sz w:val="24"/>
          <w:szCs w:val="24"/>
        </w:rPr>
        <w:t xml:space="preserve"> Notons que le débiteur est tenu d’informer l’huissier immédiatement de sa demande en suspension</w:t>
      </w:r>
      <w:r w:rsidR="00CB7E44">
        <w:rPr>
          <w:rFonts w:ascii="Times New Roman" w:hAnsi="Times New Roman" w:cs="Times New Roman"/>
          <w:sz w:val="24"/>
          <w:szCs w:val="24"/>
        </w:rPr>
        <w:t xml:space="preserve"> (XX.44, § </w:t>
      </w:r>
      <w:proofErr w:type="gramStart"/>
      <w:r w:rsidR="00CB7E44">
        <w:rPr>
          <w:rFonts w:ascii="Times New Roman" w:hAnsi="Times New Roman" w:cs="Times New Roman"/>
          <w:sz w:val="24"/>
          <w:szCs w:val="24"/>
        </w:rPr>
        <w:t>5 ,</w:t>
      </w:r>
      <w:proofErr w:type="gramEnd"/>
      <w:r w:rsidR="00CB7E44">
        <w:rPr>
          <w:rFonts w:ascii="Times New Roman" w:hAnsi="Times New Roman" w:cs="Times New Roman"/>
          <w:sz w:val="24"/>
          <w:szCs w:val="24"/>
        </w:rPr>
        <w:t xml:space="preserve"> du C.D.E)</w:t>
      </w:r>
      <w:r w:rsidRPr="00CB0424">
        <w:rPr>
          <w:rFonts w:ascii="Times New Roman" w:eastAsia="Times New Roman" w:hAnsi="Times New Roman" w:cs="Times New Roman"/>
          <w:sz w:val="24"/>
          <w:szCs w:val="24"/>
          <w:vertAlign w:val="superscript"/>
        </w:rPr>
        <w:footnoteReference w:id="15"/>
      </w:r>
      <w:r w:rsidR="00F8226E" w:rsidRPr="00CB0424">
        <w:rPr>
          <w:rFonts w:ascii="Times New Roman" w:hAnsi="Times New Roman" w:cs="Times New Roman"/>
          <w:sz w:val="24"/>
          <w:szCs w:val="24"/>
        </w:rPr>
        <w:t xml:space="preserve"> ; </w:t>
      </w:r>
    </w:p>
    <w:p w14:paraId="637EFF80" w14:textId="77777777" w:rsidR="004367EC" w:rsidRPr="00CB0424" w:rsidRDefault="004367EC" w:rsidP="00B5673A">
      <w:pPr>
        <w:pStyle w:val="Corps"/>
        <w:jc w:val="both"/>
        <w:rPr>
          <w:rFonts w:ascii="Times New Roman" w:eastAsia="Times New Roman" w:hAnsi="Times New Roman" w:cs="Times New Roman"/>
          <w:sz w:val="24"/>
          <w:szCs w:val="24"/>
        </w:rPr>
      </w:pPr>
    </w:p>
    <w:p w14:paraId="1A1CCFD5" w14:textId="594C3BD0" w:rsidR="004367EC" w:rsidRPr="00CB0424" w:rsidRDefault="00E8092E" w:rsidP="00B5673A">
      <w:pPr>
        <w:pStyle w:val="Corps"/>
        <w:numPr>
          <w:ilvl w:val="0"/>
          <w:numId w:val="10"/>
        </w:numPr>
        <w:jc w:val="both"/>
        <w:rPr>
          <w:rFonts w:ascii="Times New Roman" w:eastAsia="Times New Roman" w:hAnsi="Times New Roman" w:cs="Times New Roman"/>
          <w:sz w:val="24"/>
          <w:szCs w:val="24"/>
        </w:rPr>
      </w:pPr>
      <w:r w:rsidRPr="00CB0424">
        <w:rPr>
          <w:rFonts w:ascii="Times New Roman" w:hAnsi="Times New Roman" w:cs="Times New Roman"/>
          <w:sz w:val="24"/>
          <w:szCs w:val="24"/>
        </w:rPr>
        <w:t>L’article XX.45, §</w:t>
      </w:r>
      <w:r w:rsidR="00362903" w:rsidRPr="00CB0424">
        <w:rPr>
          <w:rFonts w:ascii="Times New Roman" w:hAnsi="Times New Roman" w:cs="Times New Roman"/>
          <w:sz w:val="24"/>
          <w:szCs w:val="24"/>
        </w:rPr>
        <w:t xml:space="preserve"> </w:t>
      </w:r>
      <w:r w:rsidRPr="00CB0424">
        <w:rPr>
          <w:rFonts w:ascii="Times New Roman" w:hAnsi="Times New Roman" w:cs="Times New Roman"/>
          <w:sz w:val="24"/>
          <w:szCs w:val="24"/>
        </w:rPr>
        <w:t>5, du C.D.E. prévoit que la demande en réorganisation judiciaire est dépourvue d’effet suspensif si elle émane d’un débiteur ayant sollicité l’octroi d’une telle procédure moins de six mois plus tôt, sauf décision contraire du tribunal</w:t>
      </w:r>
      <w:r w:rsidR="006709A2" w:rsidRPr="00CB0424">
        <w:rPr>
          <w:rStyle w:val="Appelnotedebasdep"/>
          <w:rFonts w:ascii="Times New Roman" w:hAnsi="Times New Roman" w:cs="Times New Roman"/>
          <w:sz w:val="24"/>
          <w:szCs w:val="24"/>
        </w:rPr>
        <w:footnoteReference w:id="16"/>
      </w:r>
      <w:r w:rsidRPr="00CB0424">
        <w:rPr>
          <w:rFonts w:ascii="Times New Roman" w:hAnsi="Times New Roman" w:cs="Times New Roman"/>
          <w:sz w:val="24"/>
          <w:szCs w:val="24"/>
        </w:rPr>
        <w:t xml:space="preserve">. </w:t>
      </w:r>
    </w:p>
    <w:p w14:paraId="791A63A0" w14:textId="77777777" w:rsidR="00097755" w:rsidRDefault="00097755" w:rsidP="00B5673A">
      <w:pPr>
        <w:pStyle w:val="Corps"/>
        <w:jc w:val="both"/>
        <w:rPr>
          <w:rFonts w:ascii="Times New Roman" w:hAnsi="Times New Roman" w:cs="Times New Roman"/>
          <w:sz w:val="24"/>
          <w:szCs w:val="24"/>
        </w:rPr>
      </w:pPr>
    </w:p>
    <w:p w14:paraId="020819EB" w14:textId="77777777" w:rsidR="00CB7E44" w:rsidRDefault="00CB7E44" w:rsidP="00B5673A">
      <w:pPr>
        <w:pStyle w:val="Corps"/>
        <w:jc w:val="both"/>
        <w:rPr>
          <w:rFonts w:ascii="Times New Roman" w:hAnsi="Times New Roman" w:cs="Times New Roman"/>
          <w:sz w:val="24"/>
          <w:szCs w:val="24"/>
        </w:rPr>
      </w:pPr>
    </w:p>
    <w:p w14:paraId="544FA06B" w14:textId="77777777" w:rsidR="00CB7E44" w:rsidRDefault="00CB7E44" w:rsidP="00B5673A">
      <w:pPr>
        <w:pStyle w:val="Corps"/>
        <w:jc w:val="both"/>
        <w:rPr>
          <w:rFonts w:ascii="Times New Roman" w:hAnsi="Times New Roman" w:cs="Times New Roman"/>
          <w:sz w:val="24"/>
          <w:szCs w:val="24"/>
        </w:rPr>
      </w:pPr>
    </w:p>
    <w:p w14:paraId="1863A676" w14:textId="70111682" w:rsidR="00CB7E44" w:rsidRDefault="00CB7E44" w:rsidP="00B5673A">
      <w:pPr>
        <w:pStyle w:val="Corps"/>
        <w:jc w:val="both"/>
        <w:rPr>
          <w:rFonts w:ascii="Times New Roman" w:hAnsi="Times New Roman" w:cs="Times New Roman"/>
          <w:sz w:val="24"/>
          <w:szCs w:val="24"/>
        </w:rPr>
      </w:pPr>
    </w:p>
    <w:p w14:paraId="5A997874" w14:textId="77777777" w:rsidR="00C927FE" w:rsidRDefault="00C927FE" w:rsidP="00B5673A">
      <w:pPr>
        <w:pStyle w:val="Corps"/>
        <w:jc w:val="both"/>
        <w:rPr>
          <w:rFonts w:ascii="Times New Roman" w:hAnsi="Times New Roman" w:cs="Times New Roman"/>
          <w:sz w:val="24"/>
          <w:szCs w:val="24"/>
        </w:rPr>
      </w:pPr>
    </w:p>
    <w:p w14:paraId="0E071D44" w14:textId="77777777" w:rsidR="00CB7E44" w:rsidRDefault="00CB7E44" w:rsidP="00B5673A">
      <w:pPr>
        <w:pStyle w:val="Corps"/>
        <w:jc w:val="both"/>
        <w:rPr>
          <w:rFonts w:ascii="Times New Roman" w:hAnsi="Times New Roman" w:cs="Times New Roman"/>
          <w:sz w:val="24"/>
          <w:szCs w:val="24"/>
        </w:rPr>
      </w:pPr>
    </w:p>
    <w:p w14:paraId="42014F71" w14:textId="77777777" w:rsidR="00CB7E44" w:rsidRDefault="00CB7E44" w:rsidP="00B5673A">
      <w:pPr>
        <w:pStyle w:val="Corps"/>
        <w:jc w:val="both"/>
        <w:rPr>
          <w:rFonts w:ascii="Times New Roman" w:hAnsi="Times New Roman" w:cs="Times New Roman"/>
          <w:sz w:val="24"/>
          <w:szCs w:val="24"/>
        </w:rPr>
      </w:pPr>
    </w:p>
    <w:p w14:paraId="49FCCAD0" w14:textId="5C67D6DF" w:rsidR="00A76A10"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lastRenderedPageBreak/>
        <w:t>Quel est l’</w:t>
      </w:r>
      <w:r w:rsidR="0019399B" w:rsidRPr="00CB0424">
        <w:rPr>
          <w:rFonts w:ascii="Times New Roman" w:hAnsi="Times New Roman" w:cs="Times New Roman"/>
          <w:sz w:val="24"/>
          <w:szCs w:val="24"/>
        </w:rPr>
        <w:t>i</w:t>
      </w:r>
      <w:r w:rsidRPr="00CB0424">
        <w:rPr>
          <w:rFonts w:ascii="Times New Roman" w:hAnsi="Times New Roman" w:cs="Times New Roman"/>
          <w:sz w:val="24"/>
          <w:szCs w:val="24"/>
        </w:rPr>
        <w:t>mpact du dépôt de la requête en réorganisation judiciaire sur une saisie-arrêt</w:t>
      </w:r>
      <w:r w:rsidR="00D658CA">
        <w:rPr>
          <w:rFonts w:ascii="Times New Roman" w:hAnsi="Times New Roman" w:cs="Times New Roman"/>
          <w:sz w:val="24"/>
          <w:szCs w:val="24"/>
        </w:rPr>
        <w:t>-</w:t>
      </w:r>
      <w:r w:rsidRPr="00CB0424">
        <w:rPr>
          <w:rFonts w:ascii="Times New Roman" w:hAnsi="Times New Roman" w:cs="Times New Roman"/>
          <w:sz w:val="24"/>
          <w:szCs w:val="24"/>
        </w:rPr>
        <w:t xml:space="preserve">exécution en </w:t>
      </w:r>
      <w:proofErr w:type="gramStart"/>
      <w:r w:rsidRPr="00CB0424">
        <w:rPr>
          <w:rFonts w:ascii="Times New Roman" w:hAnsi="Times New Roman" w:cs="Times New Roman"/>
          <w:sz w:val="24"/>
          <w:szCs w:val="24"/>
        </w:rPr>
        <w:t>cours</w:t>
      </w:r>
      <w:proofErr w:type="gramEnd"/>
      <w:r w:rsidRPr="00CB0424">
        <w:rPr>
          <w:rFonts w:ascii="Times New Roman" w:hAnsi="Times New Roman" w:cs="Times New Roman"/>
          <w:sz w:val="24"/>
          <w:szCs w:val="24"/>
        </w:rPr>
        <w:t xml:space="preserve"> ? Nous l’avons écrit, l’article XX.44 du C.D.E. ne suspend pas la saisie exécution</w:t>
      </w:r>
      <w:r w:rsidR="00C666A1" w:rsidRPr="00CB0424">
        <w:rPr>
          <w:rFonts w:ascii="Times New Roman" w:hAnsi="Times New Roman" w:cs="Times New Roman"/>
          <w:sz w:val="24"/>
          <w:szCs w:val="24"/>
        </w:rPr>
        <w:t xml:space="preserve"> </w:t>
      </w:r>
      <w:r w:rsidR="00C666A1" w:rsidRPr="00CB0424">
        <w:rPr>
          <w:rFonts w:ascii="Times New Roman" w:hAnsi="Times New Roman" w:cs="Times New Roman"/>
          <w:i/>
          <w:iCs/>
          <w:sz w:val="24"/>
          <w:szCs w:val="24"/>
        </w:rPr>
        <w:t>sensu stricto</w:t>
      </w:r>
      <w:r w:rsidR="00C666A1" w:rsidRPr="00CB0424">
        <w:rPr>
          <w:rFonts w:ascii="Times New Roman" w:hAnsi="Times New Roman" w:cs="Times New Roman"/>
          <w:sz w:val="24"/>
          <w:szCs w:val="24"/>
        </w:rPr>
        <w:t xml:space="preserve"> mais interdit la </w:t>
      </w:r>
      <w:r w:rsidR="00C666A1" w:rsidRPr="00CB0424">
        <w:rPr>
          <w:rFonts w:ascii="Times New Roman" w:hAnsi="Times New Roman" w:cs="Times New Roman"/>
          <w:i/>
          <w:iCs/>
          <w:sz w:val="24"/>
          <w:szCs w:val="24"/>
        </w:rPr>
        <w:t>réalisation</w:t>
      </w:r>
      <w:r w:rsidR="00C666A1" w:rsidRPr="00CB0424">
        <w:rPr>
          <w:rFonts w:ascii="Times New Roman" w:hAnsi="Times New Roman" w:cs="Times New Roman"/>
          <w:sz w:val="24"/>
          <w:szCs w:val="24"/>
        </w:rPr>
        <w:t xml:space="preserve"> des biens du débiteur</w:t>
      </w:r>
      <w:r w:rsidR="001D11DA" w:rsidRPr="00CB0424">
        <w:rPr>
          <w:rFonts w:ascii="Times New Roman" w:hAnsi="Times New Roman" w:cs="Times New Roman"/>
          <w:sz w:val="24"/>
          <w:szCs w:val="24"/>
        </w:rPr>
        <w:t xml:space="preserve"> (</w:t>
      </w:r>
      <w:r w:rsidR="001D11DA" w:rsidRPr="00D969FC">
        <w:rPr>
          <w:rFonts w:ascii="Times New Roman" w:hAnsi="Times New Roman" w:cs="Times New Roman"/>
          <w:sz w:val="24"/>
          <w:szCs w:val="24"/>
          <w:lang w:val="fr-BE"/>
        </w:rPr>
        <w:t>c’est nous qui soulignons</w:t>
      </w:r>
      <w:r w:rsidR="001D11DA" w:rsidRPr="00CB0424">
        <w:rPr>
          <w:rFonts w:ascii="Times New Roman" w:hAnsi="Times New Roman" w:cs="Times New Roman"/>
          <w:sz w:val="24"/>
          <w:szCs w:val="24"/>
        </w:rPr>
        <w:t>)</w:t>
      </w:r>
      <w:r w:rsidR="00C666A1" w:rsidRPr="00CB0424">
        <w:rPr>
          <w:rFonts w:ascii="Times New Roman" w:hAnsi="Times New Roman" w:cs="Times New Roman"/>
          <w:sz w:val="24"/>
          <w:szCs w:val="24"/>
        </w:rPr>
        <w:t>. En matière de saisie-arrêt</w:t>
      </w:r>
      <w:r w:rsidR="00EE173B" w:rsidRPr="00CB0424">
        <w:rPr>
          <w:rFonts w:ascii="Times New Roman" w:hAnsi="Times New Roman" w:cs="Times New Roman"/>
          <w:sz w:val="24"/>
          <w:szCs w:val="24"/>
        </w:rPr>
        <w:t>-</w:t>
      </w:r>
      <w:r w:rsidR="00C666A1" w:rsidRPr="00CB0424">
        <w:rPr>
          <w:rFonts w:ascii="Times New Roman" w:hAnsi="Times New Roman" w:cs="Times New Roman"/>
          <w:sz w:val="24"/>
          <w:szCs w:val="24"/>
        </w:rPr>
        <w:t>exécution, il ne s’agit pas, à proprement parler, d’une réalisation. Peut-on déduire de cette</w:t>
      </w:r>
      <w:r w:rsidR="00CD2FE5" w:rsidRPr="00CB0424">
        <w:rPr>
          <w:rFonts w:ascii="Times New Roman" w:hAnsi="Times New Roman" w:cs="Times New Roman"/>
          <w:sz w:val="24"/>
          <w:szCs w:val="24"/>
        </w:rPr>
        <w:t xml:space="preserve"> seule</w:t>
      </w:r>
      <w:r w:rsidR="00C666A1" w:rsidRPr="00CB0424">
        <w:rPr>
          <w:rFonts w:ascii="Times New Roman" w:hAnsi="Times New Roman" w:cs="Times New Roman"/>
          <w:sz w:val="24"/>
          <w:szCs w:val="24"/>
        </w:rPr>
        <w:t xml:space="preserve"> considération qu’une telle saisie pourrait</w:t>
      </w:r>
      <w:r w:rsidR="00CD2FE5" w:rsidRPr="00CB0424">
        <w:rPr>
          <w:rFonts w:ascii="Times New Roman" w:hAnsi="Times New Roman" w:cs="Times New Roman"/>
          <w:sz w:val="24"/>
          <w:szCs w:val="24"/>
        </w:rPr>
        <w:t xml:space="preserve"> </w:t>
      </w:r>
      <w:r w:rsidR="00C666A1" w:rsidRPr="00CB0424">
        <w:rPr>
          <w:rFonts w:ascii="Times New Roman" w:hAnsi="Times New Roman" w:cs="Times New Roman"/>
          <w:sz w:val="24"/>
          <w:szCs w:val="24"/>
        </w:rPr>
        <w:t xml:space="preserve">continuer à sortir ses effets malgré le dépôt de la requête en réorganisation judiciaire ? </w:t>
      </w:r>
      <w:r w:rsidR="00AD23DE" w:rsidRPr="00CB0424">
        <w:rPr>
          <w:rFonts w:ascii="Times New Roman" w:hAnsi="Times New Roman" w:cs="Times New Roman"/>
          <w:sz w:val="24"/>
          <w:szCs w:val="24"/>
        </w:rPr>
        <w:t>Le tribunal de l’entreprise de Gand, division</w:t>
      </w:r>
      <w:r w:rsidR="0091418D" w:rsidRPr="00CB0424">
        <w:rPr>
          <w:rFonts w:ascii="Times New Roman" w:hAnsi="Times New Roman" w:cs="Times New Roman"/>
          <w:sz w:val="24"/>
          <w:szCs w:val="24"/>
        </w:rPr>
        <w:t xml:space="preserve"> de</w:t>
      </w:r>
      <w:r w:rsidR="00AD23DE" w:rsidRPr="00CB0424">
        <w:rPr>
          <w:rFonts w:ascii="Times New Roman" w:hAnsi="Times New Roman" w:cs="Times New Roman"/>
          <w:sz w:val="24"/>
          <w:szCs w:val="24"/>
        </w:rPr>
        <w:t xml:space="preserve"> Bruges</w:t>
      </w:r>
      <w:r w:rsidR="00850046" w:rsidRPr="00CB0424">
        <w:rPr>
          <w:rFonts w:ascii="Times New Roman" w:hAnsi="Times New Roman" w:cs="Times New Roman"/>
          <w:sz w:val="24"/>
          <w:szCs w:val="24"/>
        </w:rPr>
        <w:t xml:space="preserve">, </w:t>
      </w:r>
      <w:r w:rsidR="00AD23DE" w:rsidRPr="00CB0424">
        <w:rPr>
          <w:rFonts w:ascii="Times New Roman" w:hAnsi="Times New Roman" w:cs="Times New Roman"/>
          <w:sz w:val="24"/>
          <w:szCs w:val="24"/>
        </w:rPr>
        <w:t>a rendu une décision</w:t>
      </w:r>
      <w:r w:rsidR="00850046" w:rsidRPr="00CB0424">
        <w:rPr>
          <w:rFonts w:ascii="Times New Roman" w:hAnsi="Times New Roman" w:cs="Times New Roman"/>
          <w:sz w:val="24"/>
          <w:szCs w:val="24"/>
        </w:rPr>
        <w:t xml:space="preserve"> </w:t>
      </w:r>
      <w:r w:rsidR="00AD23DE" w:rsidRPr="00CB0424">
        <w:rPr>
          <w:rFonts w:ascii="Times New Roman" w:hAnsi="Times New Roman" w:cs="Times New Roman"/>
          <w:sz w:val="24"/>
          <w:szCs w:val="24"/>
        </w:rPr>
        <w:t>particulière</w:t>
      </w:r>
      <w:r w:rsidR="00850046" w:rsidRPr="00CB0424">
        <w:rPr>
          <w:rFonts w:ascii="Times New Roman" w:hAnsi="Times New Roman" w:cs="Times New Roman"/>
          <w:sz w:val="24"/>
          <w:szCs w:val="24"/>
        </w:rPr>
        <w:t xml:space="preserve"> et </w:t>
      </w:r>
      <w:r w:rsidR="00CA6933" w:rsidRPr="00CB0424">
        <w:rPr>
          <w:rFonts w:ascii="Times New Roman" w:hAnsi="Times New Roman" w:cs="Times New Roman"/>
          <w:sz w:val="24"/>
          <w:szCs w:val="24"/>
        </w:rPr>
        <w:t>quelque peu obscure</w:t>
      </w:r>
      <w:r w:rsidR="00AD23DE" w:rsidRPr="00CB0424">
        <w:rPr>
          <w:rFonts w:ascii="Times New Roman" w:hAnsi="Times New Roman" w:cs="Times New Roman"/>
          <w:sz w:val="24"/>
          <w:szCs w:val="24"/>
        </w:rPr>
        <w:t xml:space="preserve"> en date du 21 décembre 2018</w:t>
      </w:r>
      <w:r w:rsidR="00850046" w:rsidRPr="00CB0424">
        <w:rPr>
          <w:rFonts w:ascii="Times New Roman" w:hAnsi="Times New Roman" w:cs="Times New Roman"/>
          <w:sz w:val="24"/>
          <w:szCs w:val="24"/>
        </w:rPr>
        <w:t>, p</w:t>
      </w:r>
      <w:r w:rsidR="00AD23DE" w:rsidRPr="00CB0424">
        <w:rPr>
          <w:rFonts w:ascii="Times New Roman" w:hAnsi="Times New Roman" w:cs="Times New Roman"/>
          <w:sz w:val="24"/>
          <w:szCs w:val="24"/>
        </w:rPr>
        <w:t>ortant sur l’impact du dépôt de la requête en réorganisation sur une saisie</w:t>
      </w:r>
      <w:r w:rsidR="000D6DFE" w:rsidRPr="00CB0424">
        <w:rPr>
          <w:rFonts w:ascii="Times New Roman" w:hAnsi="Times New Roman" w:cs="Times New Roman"/>
          <w:sz w:val="24"/>
          <w:szCs w:val="24"/>
        </w:rPr>
        <w:t>-</w:t>
      </w:r>
      <w:r w:rsidR="00AD23DE" w:rsidRPr="00CB0424">
        <w:rPr>
          <w:rFonts w:ascii="Times New Roman" w:hAnsi="Times New Roman" w:cs="Times New Roman"/>
          <w:sz w:val="24"/>
          <w:szCs w:val="24"/>
        </w:rPr>
        <w:t>arrêt simplifiée en cours opérée par le fisc. Le demandeur entendait bénéficier de la suspension prévue à l’article XX.44, §</w:t>
      </w:r>
      <w:r w:rsidR="007419AB" w:rsidRPr="00CB0424">
        <w:rPr>
          <w:rFonts w:ascii="Times New Roman" w:hAnsi="Times New Roman" w:cs="Times New Roman"/>
          <w:sz w:val="24"/>
          <w:szCs w:val="24"/>
        </w:rPr>
        <w:t xml:space="preserve"> </w:t>
      </w:r>
      <w:r w:rsidR="00AD23DE" w:rsidRPr="00CB0424">
        <w:rPr>
          <w:rFonts w:ascii="Times New Roman" w:hAnsi="Times New Roman" w:cs="Times New Roman"/>
          <w:sz w:val="24"/>
          <w:szCs w:val="24"/>
        </w:rPr>
        <w:t>2, du C.D.E. Le tribunal a rejeté sa demande décidant qu’une saisie-arrêt</w:t>
      </w:r>
      <w:r w:rsidR="007419AB" w:rsidRPr="00CB0424">
        <w:rPr>
          <w:rFonts w:ascii="Times New Roman" w:hAnsi="Times New Roman" w:cs="Times New Roman"/>
          <w:sz w:val="24"/>
          <w:szCs w:val="24"/>
        </w:rPr>
        <w:t>-</w:t>
      </w:r>
      <w:r w:rsidR="00AD23DE" w:rsidRPr="00CB0424">
        <w:rPr>
          <w:rFonts w:ascii="Times New Roman" w:hAnsi="Times New Roman" w:cs="Times New Roman"/>
          <w:sz w:val="24"/>
          <w:szCs w:val="24"/>
        </w:rPr>
        <w:t xml:space="preserve">exécution ne s’assimilait pas à une </w:t>
      </w:r>
      <w:r w:rsidR="00AD23DE" w:rsidRPr="00C927FE">
        <w:rPr>
          <w:rFonts w:ascii="Times New Roman" w:hAnsi="Times New Roman" w:cs="Times New Roman"/>
          <w:i/>
          <w:iCs/>
          <w:sz w:val="24"/>
          <w:szCs w:val="24"/>
        </w:rPr>
        <w:t>vente forcée</w:t>
      </w:r>
      <w:r w:rsidR="00AD23DE" w:rsidRPr="00CB0424">
        <w:rPr>
          <w:rFonts w:ascii="Times New Roman" w:hAnsi="Times New Roman" w:cs="Times New Roman"/>
          <w:sz w:val="24"/>
          <w:szCs w:val="24"/>
        </w:rPr>
        <w:t xml:space="preserve"> et que le débiteur devait alors introduire une demande en mainlevée de la saisie, conformément à l’article XX.51, §</w:t>
      </w:r>
      <w:r w:rsidR="007419AB" w:rsidRPr="00CB0424">
        <w:rPr>
          <w:rFonts w:ascii="Times New Roman" w:hAnsi="Times New Roman" w:cs="Times New Roman"/>
          <w:sz w:val="24"/>
          <w:szCs w:val="24"/>
        </w:rPr>
        <w:t xml:space="preserve"> </w:t>
      </w:r>
      <w:r w:rsidR="00AD23DE" w:rsidRPr="00CB0424">
        <w:rPr>
          <w:rFonts w:ascii="Times New Roman" w:hAnsi="Times New Roman" w:cs="Times New Roman"/>
          <w:sz w:val="24"/>
          <w:szCs w:val="24"/>
        </w:rPr>
        <w:t>1</w:t>
      </w:r>
      <w:r w:rsidR="00AD23DE" w:rsidRPr="00CB0424">
        <w:rPr>
          <w:rFonts w:ascii="Times New Roman" w:hAnsi="Times New Roman" w:cs="Times New Roman"/>
          <w:sz w:val="24"/>
          <w:szCs w:val="24"/>
          <w:vertAlign w:val="superscript"/>
        </w:rPr>
        <w:t>er</w:t>
      </w:r>
      <w:r w:rsidR="00AD23DE" w:rsidRPr="00CB0424">
        <w:rPr>
          <w:rFonts w:ascii="Times New Roman" w:hAnsi="Times New Roman" w:cs="Times New Roman"/>
          <w:sz w:val="24"/>
          <w:szCs w:val="24"/>
        </w:rPr>
        <w:t>, al. 2, du C.D.E</w:t>
      </w:r>
      <w:r w:rsidRPr="00CB0424">
        <w:rPr>
          <w:rFonts w:ascii="Times New Roman" w:hAnsi="Times New Roman" w:cs="Times New Roman"/>
          <w:sz w:val="24"/>
          <w:szCs w:val="24"/>
        </w:rPr>
        <w:t>.</w:t>
      </w:r>
      <w:r w:rsidR="00C927FE">
        <w:rPr>
          <w:rFonts w:ascii="Times New Roman" w:hAnsi="Times New Roman" w:cs="Times New Roman"/>
          <w:sz w:val="24"/>
          <w:szCs w:val="24"/>
        </w:rPr>
        <w:t xml:space="preserve"> (c’est nous qui soulignons)</w:t>
      </w:r>
      <w:r w:rsidRPr="00CB0424">
        <w:rPr>
          <w:rFonts w:ascii="Times New Roman" w:eastAsia="Times New Roman" w:hAnsi="Times New Roman" w:cs="Times New Roman"/>
          <w:sz w:val="24"/>
          <w:szCs w:val="24"/>
          <w:vertAlign w:val="superscript"/>
        </w:rPr>
        <w:footnoteReference w:id="17"/>
      </w:r>
      <w:r w:rsidR="007419AB" w:rsidRPr="00CB0424">
        <w:rPr>
          <w:rFonts w:ascii="Times New Roman" w:hAnsi="Times New Roman" w:cs="Times New Roman"/>
          <w:sz w:val="24"/>
          <w:szCs w:val="24"/>
        </w:rPr>
        <w:t>.</w:t>
      </w:r>
      <w:r w:rsidRPr="00CB0424">
        <w:rPr>
          <w:rFonts w:ascii="Times New Roman" w:hAnsi="Times New Roman" w:cs="Times New Roman"/>
          <w:sz w:val="24"/>
          <w:szCs w:val="24"/>
        </w:rPr>
        <w:t xml:space="preserve"> </w:t>
      </w:r>
      <w:r w:rsidR="00BE18F3" w:rsidRPr="00CB0424">
        <w:rPr>
          <w:rFonts w:ascii="Times New Roman" w:hAnsi="Times New Roman" w:cs="Times New Roman"/>
          <w:sz w:val="24"/>
          <w:szCs w:val="24"/>
        </w:rPr>
        <w:t>Il semble se</w:t>
      </w:r>
      <w:r w:rsidR="00D3007D" w:rsidRPr="00CB0424">
        <w:rPr>
          <w:rFonts w:ascii="Times New Roman" w:hAnsi="Times New Roman" w:cs="Times New Roman"/>
          <w:sz w:val="24"/>
          <w:szCs w:val="24"/>
        </w:rPr>
        <w:t xml:space="preserve"> déduire de cette décision que le principe de suspension de la réalisation des biens meubles du débiteur ne s’applique pas dès lors qu’il n’y a pas de vente forcée ou de réalisation en tant que telle d</w:t>
      </w:r>
      <w:r w:rsidR="00713A4A" w:rsidRPr="00CB0424">
        <w:rPr>
          <w:rFonts w:ascii="Times New Roman" w:hAnsi="Times New Roman" w:cs="Times New Roman"/>
          <w:sz w:val="24"/>
          <w:szCs w:val="24"/>
        </w:rPr>
        <w:t>u bien meuble incorporel</w:t>
      </w:r>
      <w:r w:rsidR="00BE18F3" w:rsidRPr="00CB0424">
        <w:rPr>
          <w:rFonts w:ascii="Times New Roman" w:hAnsi="Times New Roman" w:cs="Times New Roman"/>
          <w:sz w:val="24"/>
          <w:szCs w:val="24"/>
        </w:rPr>
        <w:t>.</w:t>
      </w:r>
      <w:r w:rsidR="00D3007D" w:rsidRPr="00CB0424">
        <w:rPr>
          <w:rFonts w:ascii="Times New Roman" w:hAnsi="Times New Roman" w:cs="Times New Roman"/>
          <w:sz w:val="24"/>
          <w:szCs w:val="24"/>
        </w:rPr>
        <w:t xml:space="preserve"> Pour que la saisie-arrêt se voi</w:t>
      </w:r>
      <w:r w:rsidR="00BE18F3" w:rsidRPr="00CB0424">
        <w:rPr>
          <w:rFonts w:ascii="Times New Roman" w:hAnsi="Times New Roman" w:cs="Times New Roman"/>
          <w:sz w:val="24"/>
          <w:szCs w:val="24"/>
        </w:rPr>
        <w:t>e</w:t>
      </w:r>
      <w:r w:rsidR="00D3007D" w:rsidRPr="00CB0424">
        <w:rPr>
          <w:rFonts w:ascii="Times New Roman" w:hAnsi="Times New Roman" w:cs="Times New Roman"/>
          <w:sz w:val="24"/>
          <w:szCs w:val="24"/>
        </w:rPr>
        <w:t xml:space="preserve"> suspendue, faudrait</w:t>
      </w:r>
      <w:r w:rsidR="00CA6933" w:rsidRPr="00CB0424">
        <w:rPr>
          <w:rFonts w:ascii="Times New Roman" w:hAnsi="Times New Roman" w:cs="Times New Roman"/>
          <w:sz w:val="24"/>
          <w:szCs w:val="24"/>
        </w:rPr>
        <w:t>-il</w:t>
      </w:r>
      <w:r w:rsidR="00D3007D" w:rsidRPr="00CB0424">
        <w:rPr>
          <w:rFonts w:ascii="Times New Roman" w:hAnsi="Times New Roman" w:cs="Times New Roman"/>
          <w:sz w:val="24"/>
          <w:szCs w:val="24"/>
        </w:rPr>
        <w:t xml:space="preserve"> alors attendre le jugement d’ouverture </w:t>
      </w:r>
      <w:r w:rsidR="00A76A10" w:rsidRPr="00CB0424">
        <w:rPr>
          <w:rFonts w:ascii="Times New Roman" w:hAnsi="Times New Roman" w:cs="Times New Roman"/>
          <w:sz w:val="24"/>
          <w:szCs w:val="24"/>
        </w:rPr>
        <w:t>de la procédure en réorganisation</w:t>
      </w:r>
      <w:r w:rsidR="000D6DFE" w:rsidRPr="00CB0424">
        <w:rPr>
          <w:rStyle w:val="Appelnotedebasdep"/>
          <w:rFonts w:ascii="Times New Roman" w:hAnsi="Times New Roman" w:cs="Times New Roman"/>
          <w:sz w:val="24"/>
          <w:szCs w:val="24"/>
        </w:rPr>
        <w:footnoteReference w:id="18"/>
      </w:r>
      <w:r w:rsidR="00A76A10" w:rsidRPr="00CB0424">
        <w:rPr>
          <w:rFonts w:ascii="Times New Roman" w:hAnsi="Times New Roman" w:cs="Times New Roman"/>
          <w:sz w:val="24"/>
          <w:szCs w:val="24"/>
        </w:rPr>
        <w:t> ?</w:t>
      </w:r>
      <w:r w:rsidR="00097755">
        <w:rPr>
          <w:rFonts w:ascii="Times New Roman" w:hAnsi="Times New Roman" w:cs="Times New Roman"/>
          <w:sz w:val="24"/>
          <w:szCs w:val="24"/>
        </w:rPr>
        <w:t xml:space="preserve"> </w:t>
      </w:r>
    </w:p>
    <w:p w14:paraId="7049B989" w14:textId="77777777" w:rsidR="00A76A10" w:rsidRPr="00CB0424" w:rsidRDefault="00A76A10" w:rsidP="00B5673A">
      <w:pPr>
        <w:pStyle w:val="Corps"/>
        <w:jc w:val="both"/>
        <w:rPr>
          <w:rFonts w:ascii="Times New Roman" w:hAnsi="Times New Roman" w:cs="Times New Roman"/>
          <w:sz w:val="24"/>
          <w:szCs w:val="24"/>
        </w:rPr>
      </w:pPr>
    </w:p>
    <w:p w14:paraId="565B9582" w14:textId="37C446BD" w:rsidR="00A76A10" w:rsidRPr="00CB0424" w:rsidRDefault="00D3007D"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Une telle solution, d’un point de vue économique e</w:t>
      </w:r>
      <w:r w:rsidR="000D6DFE" w:rsidRPr="00CB0424">
        <w:rPr>
          <w:rFonts w:ascii="Times New Roman" w:hAnsi="Times New Roman" w:cs="Times New Roman"/>
          <w:sz w:val="24"/>
          <w:szCs w:val="24"/>
        </w:rPr>
        <w:t xml:space="preserve">t </w:t>
      </w:r>
      <w:r w:rsidR="00713A4A" w:rsidRPr="00CB0424">
        <w:rPr>
          <w:rFonts w:ascii="Times New Roman" w:hAnsi="Times New Roman" w:cs="Times New Roman"/>
          <w:sz w:val="24"/>
          <w:szCs w:val="24"/>
        </w:rPr>
        <w:t xml:space="preserve">prenant en considération l’objectif de redressement de l’entreprise du </w:t>
      </w:r>
      <w:r w:rsidRPr="00CB0424">
        <w:rPr>
          <w:rFonts w:ascii="Times New Roman" w:hAnsi="Times New Roman" w:cs="Times New Roman"/>
          <w:sz w:val="24"/>
          <w:szCs w:val="24"/>
        </w:rPr>
        <w:t>débiteur</w:t>
      </w:r>
      <w:r w:rsidR="00713A4A" w:rsidRPr="00CB0424">
        <w:rPr>
          <w:rFonts w:ascii="Times New Roman" w:hAnsi="Times New Roman" w:cs="Times New Roman"/>
          <w:sz w:val="24"/>
          <w:szCs w:val="24"/>
        </w:rPr>
        <w:t xml:space="preserve">, </w:t>
      </w:r>
      <w:r w:rsidRPr="00CB0424">
        <w:rPr>
          <w:rFonts w:ascii="Times New Roman" w:hAnsi="Times New Roman" w:cs="Times New Roman"/>
          <w:sz w:val="24"/>
          <w:szCs w:val="24"/>
        </w:rPr>
        <w:t xml:space="preserve">nous parait critiquable. </w:t>
      </w:r>
      <w:r w:rsidR="00715E6E" w:rsidRPr="00CB0424">
        <w:rPr>
          <w:rFonts w:ascii="Times New Roman" w:hAnsi="Times New Roman" w:cs="Times New Roman"/>
          <w:sz w:val="24"/>
          <w:szCs w:val="24"/>
        </w:rPr>
        <w:t>A défaut d’interpréter</w:t>
      </w:r>
      <w:r w:rsidR="00097755">
        <w:rPr>
          <w:rFonts w:ascii="Times New Roman" w:hAnsi="Times New Roman" w:cs="Times New Roman"/>
          <w:sz w:val="24"/>
          <w:szCs w:val="24"/>
        </w:rPr>
        <w:t xml:space="preserve"> </w:t>
      </w:r>
      <w:r w:rsidR="00CB7E44">
        <w:rPr>
          <w:rFonts w:ascii="Times New Roman" w:hAnsi="Times New Roman" w:cs="Times New Roman"/>
          <w:sz w:val="24"/>
          <w:szCs w:val="24"/>
        </w:rPr>
        <w:t>l</w:t>
      </w:r>
      <w:r w:rsidR="00097755">
        <w:rPr>
          <w:rFonts w:ascii="Times New Roman" w:hAnsi="Times New Roman" w:cs="Times New Roman"/>
          <w:sz w:val="24"/>
          <w:szCs w:val="24"/>
        </w:rPr>
        <w:t>argement</w:t>
      </w:r>
      <w:r w:rsidR="00715E6E" w:rsidRPr="00CB0424">
        <w:rPr>
          <w:rFonts w:ascii="Times New Roman" w:hAnsi="Times New Roman" w:cs="Times New Roman"/>
          <w:sz w:val="24"/>
          <w:szCs w:val="24"/>
        </w:rPr>
        <w:t xml:space="preserve"> la notion de réalisation dans le contexte d’un actif immatériel, </w:t>
      </w:r>
      <w:r w:rsidRPr="00CB0424">
        <w:rPr>
          <w:rFonts w:ascii="Times New Roman" w:hAnsi="Times New Roman" w:cs="Times New Roman"/>
          <w:sz w:val="24"/>
          <w:szCs w:val="24"/>
        </w:rPr>
        <w:t xml:space="preserve">une différence de traitement est instaurée entre la saisie exécution portant sur un meuble corporel </w:t>
      </w:r>
      <w:r w:rsidR="00CA6933" w:rsidRPr="00CB0424">
        <w:rPr>
          <w:rFonts w:ascii="Times New Roman" w:hAnsi="Times New Roman" w:cs="Times New Roman"/>
          <w:sz w:val="24"/>
          <w:szCs w:val="24"/>
        </w:rPr>
        <w:t>et la saisie exécution portant sur un bien meuble incorporel</w:t>
      </w:r>
      <w:r w:rsidR="005C7B71" w:rsidRPr="00CB0424">
        <w:rPr>
          <w:rFonts w:ascii="Times New Roman" w:hAnsi="Times New Roman" w:cs="Times New Roman"/>
          <w:sz w:val="24"/>
          <w:szCs w:val="24"/>
        </w:rPr>
        <w:t xml:space="preserve"> dès lors que cette dernière ne se voit pas suspendue </w:t>
      </w:r>
      <w:r w:rsidR="00B36176" w:rsidRPr="00CB0424">
        <w:rPr>
          <w:rFonts w:ascii="Times New Roman" w:hAnsi="Times New Roman" w:cs="Times New Roman"/>
          <w:sz w:val="24"/>
          <w:szCs w:val="24"/>
        </w:rPr>
        <w:t>par</w:t>
      </w:r>
      <w:r w:rsidR="005C7B71" w:rsidRPr="00CB0424">
        <w:rPr>
          <w:rFonts w:ascii="Times New Roman" w:hAnsi="Times New Roman" w:cs="Times New Roman"/>
          <w:sz w:val="24"/>
          <w:szCs w:val="24"/>
        </w:rPr>
        <w:t xml:space="preserve"> principe</w:t>
      </w:r>
      <w:r w:rsidR="00A76A10" w:rsidRPr="00CB0424">
        <w:rPr>
          <w:rFonts w:ascii="Times New Roman" w:hAnsi="Times New Roman" w:cs="Times New Roman"/>
          <w:sz w:val="24"/>
          <w:szCs w:val="24"/>
        </w:rPr>
        <w:t xml:space="preserve"> par l’article XX.44, §</w:t>
      </w:r>
      <w:r w:rsidR="009A492B">
        <w:rPr>
          <w:rFonts w:ascii="Times New Roman" w:hAnsi="Times New Roman" w:cs="Times New Roman"/>
          <w:sz w:val="24"/>
          <w:szCs w:val="24"/>
        </w:rPr>
        <w:t xml:space="preserve"> </w:t>
      </w:r>
      <w:r w:rsidR="00A76A10" w:rsidRPr="00CB0424">
        <w:rPr>
          <w:rFonts w:ascii="Times New Roman" w:hAnsi="Times New Roman" w:cs="Times New Roman"/>
          <w:sz w:val="24"/>
          <w:szCs w:val="24"/>
        </w:rPr>
        <w:t>1</w:t>
      </w:r>
      <w:r w:rsidR="00A76A10" w:rsidRPr="00CB0424">
        <w:rPr>
          <w:rFonts w:ascii="Times New Roman" w:hAnsi="Times New Roman" w:cs="Times New Roman"/>
          <w:sz w:val="24"/>
          <w:szCs w:val="24"/>
          <w:vertAlign w:val="superscript"/>
        </w:rPr>
        <w:t>er</w:t>
      </w:r>
      <w:r w:rsidR="00A76A10" w:rsidRPr="00CB0424">
        <w:rPr>
          <w:rFonts w:ascii="Times New Roman" w:hAnsi="Times New Roman" w:cs="Times New Roman"/>
          <w:sz w:val="24"/>
          <w:szCs w:val="24"/>
        </w:rPr>
        <w:t xml:space="preserve">, du C.D.E. et ne </w:t>
      </w:r>
      <w:r w:rsidR="00B36176" w:rsidRPr="00CB0424">
        <w:rPr>
          <w:rFonts w:ascii="Times New Roman" w:hAnsi="Times New Roman" w:cs="Times New Roman"/>
          <w:sz w:val="24"/>
          <w:szCs w:val="24"/>
        </w:rPr>
        <w:t xml:space="preserve">peut </w:t>
      </w:r>
      <w:r w:rsidR="00A76A10" w:rsidRPr="00CB0424">
        <w:rPr>
          <w:rFonts w:ascii="Times New Roman" w:hAnsi="Times New Roman" w:cs="Times New Roman"/>
          <w:sz w:val="24"/>
          <w:szCs w:val="24"/>
        </w:rPr>
        <w:t>être suspendue par le juge en vertu de l’article XX.44, §</w:t>
      </w:r>
      <w:r w:rsidR="009A492B">
        <w:rPr>
          <w:rFonts w:ascii="Times New Roman" w:hAnsi="Times New Roman" w:cs="Times New Roman"/>
          <w:sz w:val="24"/>
          <w:szCs w:val="24"/>
        </w:rPr>
        <w:t xml:space="preserve"> </w:t>
      </w:r>
      <w:r w:rsidR="00A76A10" w:rsidRPr="00CB0424">
        <w:rPr>
          <w:rFonts w:ascii="Times New Roman" w:hAnsi="Times New Roman" w:cs="Times New Roman"/>
          <w:sz w:val="24"/>
          <w:szCs w:val="24"/>
        </w:rPr>
        <w:t>2, du C.</w:t>
      </w:r>
      <w:proofErr w:type="gramStart"/>
      <w:r w:rsidR="00A76A10" w:rsidRPr="00CB0424">
        <w:rPr>
          <w:rFonts w:ascii="Times New Roman" w:hAnsi="Times New Roman" w:cs="Times New Roman"/>
          <w:sz w:val="24"/>
          <w:szCs w:val="24"/>
        </w:rPr>
        <w:t>D.E</w:t>
      </w:r>
      <w:proofErr w:type="gramEnd"/>
      <w:r w:rsidR="00C927FE">
        <w:rPr>
          <w:rStyle w:val="Appelnotedebasdep"/>
          <w:rFonts w:ascii="Times New Roman" w:hAnsi="Times New Roman" w:cs="Times New Roman"/>
          <w:sz w:val="24"/>
          <w:szCs w:val="24"/>
        </w:rPr>
        <w:footnoteReference w:id="19"/>
      </w:r>
      <w:r w:rsidR="00A76A10" w:rsidRPr="00CB0424">
        <w:rPr>
          <w:rFonts w:ascii="Times New Roman" w:hAnsi="Times New Roman" w:cs="Times New Roman"/>
          <w:sz w:val="24"/>
          <w:szCs w:val="24"/>
        </w:rPr>
        <w:t xml:space="preserve">. </w:t>
      </w:r>
    </w:p>
    <w:p w14:paraId="28B3DF5E" w14:textId="77777777" w:rsidR="005C7B71" w:rsidRPr="00CB0424" w:rsidRDefault="005C7B71" w:rsidP="00B5673A">
      <w:pPr>
        <w:pStyle w:val="Corps"/>
        <w:jc w:val="both"/>
        <w:rPr>
          <w:rFonts w:ascii="Times New Roman" w:hAnsi="Times New Roman" w:cs="Times New Roman"/>
          <w:sz w:val="24"/>
          <w:szCs w:val="24"/>
        </w:rPr>
      </w:pPr>
    </w:p>
    <w:p w14:paraId="26F6A427" w14:textId="353DFF4D" w:rsidR="00C91DFF" w:rsidRPr="00CB0424" w:rsidRDefault="001E40B3" w:rsidP="00B5673A">
      <w:pPr>
        <w:pStyle w:val="Corps"/>
        <w:jc w:val="both"/>
        <w:rPr>
          <w:rFonts w:ascii="Times New Roman" w:hAnsi="Times New Roman" w:cs="Times New Roman"/>
          <w:color w:val="000000" w:themeColor="text1"/>
          <w:sz w:val="24"/>
          <w:szCs w:val="24"/>
        </w:rPr>
      </w:pPr>
      <w:r w:rsidRPr="00CB0424">
        <w:rPr>
          <w:rFonts w:ascii="Times New Roman" w:hAnsi="Times New Roman" w:cs="Times New Roman"/>
          <w:sz w:val="24"/>
          <w:szCs w:val="24"/>
        </w:rPr>
        <w:t>L’article XX.44, §</w:t>
      </w:r>
      <w:r w:rsidR="001537F0" w:rsidRPr="00CB0424">
        <w:rPr>
          <w:rFonts w:ascii="Times New Roman" w:hAnsi="Times New Roman" w:cs="Times New Roman"/>
          <w:sz w:val="24"/>
          <w:szCs w:val="24"/>
        </w:rPr>
        <w:t xml:space="preserve"> </w:t>
      </w:r>
      <w:r w:rsidRPr="00CB0424">
        <w:rPr>
          <w:rFonts w:ascii="Times New Roman" w:hAnsi="Times New Roman" w:cs="Times New Roman"/>
          <w:sz w:val="24"/>
          <w:szCs w:val="24"/>
        </w:rPr>
        <w:t xml:space="preserve">4, du C.D.E. traite du sort des poursuites exercées contre plusieurs </w:t>
      </w:r>
      <w:r w:rsidRPr="00CB0424">
        <w:rPr>
          <w:rFonts w:ascii="Times New Roman" w:hAnsi="Times New Roman" w:cs="Times New Roman"/>
          <w:i/>
          <w:iCs/>
          <w:sz w:val="24"/>
          <w:szCs w:val="24"/>
        </w:rPr>
        <w:t xml:space="preserve">débiteurs </w:t>
      </w:r>
      <w:r w:rsidRPr="00CB0424">
        <w:rPr>
          <w:rFonts w:ascii="Times New Roman" w:hAnsi="Times New Roman" w:cs="Times New Roman"/>
          <w:sz w:val="24"/>
          <w:szCs w:val="24"/>
        </w:rPr>
        <w:t xml:space="preserve">dont seul l’un </w:t>
      </w:r>
      <w:r w:rsidRPr="00CB7E44">
        <w:rPr>
          <w:rFonts w:ascii="Times New Roman" w:hAnsi="Times New Roman" w:cs="Times New Roman"/>
          <w:sz w:val="24"/>
          <w:szCs w:val="24"/>
        </w:rPr>
        <w:t>d’entre eux dépose une requête en réorganisation judiciaire</w:t>
      </w:r>
      <w:r w:rsidR="00EE173B" w:rsidRPr="00CB7E44">
        <w:rPr>
          <w:rFonts w:ascii="Times New Roman" w:hAnsi="Times New Roman" w:cs="Times New Roman"/>
          <w:sz w:val="24"/>
          <w:szCs w:val="24"/>
        </w:rPr>
        <w:t xml:space="preserve"> (c’est nous qui soulignons)</w:t>
      </w:r>
      <w:r w:rsidRPr="00CB7E44">
        <w:rPr>
          <w:rFonts w:ascii="Times New Roman" w:hAnsi="Times New Roman" w:cs="Times New Roman"/>
          <w:sz w:val="24"/>
          <w:szCs w:val="24"/>
        </w:rPr>
        <w:t xml:space="preserve">. Dans </w:t>
      </w:r>
      <w:r w:rsidR="00565059" w:rsidRPr="00CB7E44">
        <w:rPr>
          <w:rFonts w:ascii="Times New Roman" w:hAnsi="Times New Roman" w:cs="Times New Roman"/>
          <w:sz w:val="24"/>
          <w:szCs w:val="24"/>
        </w:rPr>
        <w:t xml:space="preserve">pareil </w:t>
      </w:r>
      <w:r w:rsidRPr="00CB7E44">
        <w:rPr>
          <w:rFonts w:ascii="Times New Roman" w:hAnsi="Times New Roman" w:cs="Times New Roman"/>
          <w:sz w:val="24"/>
          <w:szCs w:val="24"/>
        </w:rPr>
        <w:t>cas et contrairement aux articles XX.120, §</w:t>
      </w:r>
      <w:r w:rsidR="005A5005" w:rsidRPr="00CB7E44">
        <w:rPr>
          <w:rFonts w:ascii="Times New Roman" w:hAnsi="Times New Roman" w:cs="Times New Roman"/>
          <w:sz w:val="24"/>
          <w:szCs w:val="24"/>
        </w:rPr>
        <w:t xml:space="preserve"> </w:t>
      </w:r>
      <w:r w:rsidRPr="00CB7E44">
        <w:rPr>
          <w:rFonts w:ascii="Times New Roman" w:hAnsi="Times New Roman" w:cs="Times New Roman"/>
          <w:sz w:val="24"/>
          <w:szCs w:val="24"/>
        </w:rPr>
        <w:t>2, du C.D.E. et 1675/7, §</w:t>
      </w:r>
      <w:r w:rsidR="005A5005" w:rsidRPr="00CB7E44">
        <w:rPr>
          <w:rFonts w:ascii="Times New Roman" w:hAnsi="Times New Roman" w:cs="Times New Roman"/>
          <w:sz w:val="24"/>
          <w:szCs w:val="24"/>
        </w:rPr>
        <w:t xml:space="preserve"> </w:t>
      </w:r>
      <w:r w:rsidRPr="00CB7E44">
        <w:rPr>
          <w:rFonts w:ascii="Times New Roman" w:hAnsi="Times New Roman" w:cs="Times New Roman"/>
          <w:sz w:val="24"/>
          <w:szCs w:val="24"/>
        </w:rPr>
        <w:t xml:space="preserve">2, al. 4, du C. </w:t>
      </w:r>
      <w:proofErr w:type="spellStart"/>
      <w:r w:rsidRPr="00CB7E44">
        <w:rPr>
          <w:rFonts w:ascii="Times New Roman" w:hAnsi="Times New Roman" w:cs="Times New Roman"/>
          <w:sz w:val="24"/>
          <w:szCs w:val="24"/>
        </w:rPr>
        <w:t>Jud</w:t>
      </w:r>
      <w:proofErr w:type="spellEnd"/>
      <w:r w:rsidRPr="00CB7E44">
        <w:rPr>
          <w:rFonts w:ascii="Times New Roman" w:hAnsi="Times New Roman" w:cs="Times New Roman"/>
          <w:sz w:val="24"/>
          <w:szCs w:val="24"/>
        </w:rPr>
        <w:t xml:space="preserve">., l’article XX.44 du C.D.E. réserve expressément les </w:t>
      </w:r>
      <w:r w:rsidR="005E5FEA" w:rsidRPr="00CB7E44">
        <w:rPr>
          <w:rFonts w:ascii="Times New Roman" w:hAnsi="Times New Roman" w:cs="Times New Roman"/>
          <w:sz w:val="24"/>
          <w:szCs w:val="24"/>
        </w:rPr>
        <w:t>paragraphes</w:t>
      </w:r>
      <w:r w:rsidR="005A5005" w:rsidRPr="00CB7E44">
        <w:rPr>
          <w:rFonts w:ascii="Times New Roman" w:hAnsi="Times New Roman" w:cs="Times New Roman"/>
          <w:sz w:val="24"/>
          <w:szCs w:val="24"/>
        </w:rPr>
        <w:t xml:space="preserve"> </w:t>
      </w:r>
      <w:r w:rsidRPr="00CB7E44">
        <w:rPr>
          <w:rFonts w:ascii="Times New Roman" w:hAnsi="Times New Roman" w:cs="Times New Roman"/>
          <w:sz w:val="24"/>
          <w:szCs w:val="24"/>
        </w:rPr>
        <w:t>1</w:t>
      </w:r>
      <w:r w:rsidRPr="00CB7E44">
        <w:rPr>
          <w:rFonts w:ascii="Times New Roman" w:hAnsi="Times New Roman" w:cs="Times New Roman"/>
          <w:sz w:val="24"/>
          <w:szCs w:val="24"/>
          <w:vertAlign w:val="superscript"/>
        </w:rPr>
        <w:t>er</w:t>
      </w:r>
      <w:r w:rsidRPr="00CB7E44">
        <w:rPr>
          <w:rFonts w:ascii="Times New Roman" w:hAnsi="Times New Roman" w:cs="Times New Roman"/>
          <w:sz w:val="24"/>
          <w:szCs w:val="24"/>
        </w:rPr>
        <w:t xml:space="preserve">, 2 et 3 </w:t>
      </w:r>
      <w:r w:rsidR="00097755" w:rsidRPr="00CB7E44">
        <w:rPr>
          <w:rFonts w:ascii="Times New Roman" w:hAnsi="Times New Roman" w:cs="Times New Roman"/>
          <w:sz w:val="24"/>
          <w:szCs w:val="24"/>
        </w:rPr>
        <w:t>à l’hypothèse</w:t>
      </w:r>
      <w:r w:rsidRPr="00CB7E44">
        <w:rPr>
          <w:rFonts w:ascii="Times New Roman" w:hAnsi="Times New Roman" w:cs="Times New Roman"/>
          <w:sz w:val="24"/>
          <w:szCs w:val="24"/>
        </w:rPr>
        <w:t xml:space="preserve"> du meuble saisi à charge de plusieurs copropriétaires dont l’un a déposé</w:t>
      </w:r>
      <w:r w:rsidRPr="00CB0424">
        <w:rPr>
          <w:rFonts w:ascii="Times New Roman" w:hAnsi="Times New Roman" w:cs="Times New Roman"/>
          <w:sz w:val="24"/>
          <w:szCs w:val="24"/>
        </w:rPr>
        <w:t xml:space="preserve"> une requête en réorganisation judiciaire</w:t>
      </w:r>
      <w:r w:rsidRPr="00CB0424">
        <w:rPr>
          <w:rFonts w:ascii="Times New Roman" w:eastAsia="Times New Roman" w:hAnsi="Times New Roman" w:cs="Times New Roman"/>
          <w:sz w:val="24"/>
          <w:szCs w:val="24"/>
          <w:vertAlign w:val="superscript"/>
        </w:rPr>
        <w:footnoteReference w:id="20"/>
      </w:r>
      <w:r w:rsidRPr="00CB0424">
        <w:rPr>
          <w:rFonts w:ascii="Times New Roman" w:hAnsi="Times New Roman" w:cs="Times New Roman"/>
          <w:sz w:val="24"/>
          <w:szCs w:val="24"/>
        </w:rPr>
        <w:t>. Il s’agit donc d’appliquer les principes exposés ci</w:t>
      </w:r>
      <w:r w:rsidRPr="00CB7E44">
        <w:rPr>
          <w:rFonts w:ascii="Times New Roman" w:hAnsi="Times New Roman" w:cs="Times New Roman"/>
          <w:sz w:val="24"/>
          <w:szCs w:val="24"/>
        </w:rPr>
        <w:t>-avant. En cas de vente du meuble, il appartiendra</w:t>
      </w:r>
      <w:r w:rsidR="0087586D" w:rsidRPr="00CB7E44">
        <w:rPr>
          <w:rFonts w:ascii="Times New Roman" w:hAnsi="Times New Roman" w:cs="Times New Roman"/>
          <w:sz w:val="24"/>
          <w:szCs w:val="24"/>
        </w:rPr>
        <w:t>, s</w:t>
      </w:r>
      <w:r w:rsidRPr="00CB7E44">
        <w:rPr>
          <w:rFonts w:ascii="Times New Roman" w:hAnsi="Times New Roman" w:cs="Times New Roman"/>
          <w:sz w:val="24"/>
          <w:szCs w:val="24"/>
        </w:rPr>
        <w:t>elon nous</w:t>
      </w:r>
      <w:r w:rsidR="0087586D" w:rsidRPr="00CB7E44">
        <w:rPr>
          <w:rFonts w:ascii="Times New Roman" w:hAnsi="Times New Roman" w:cs="Times New Roman"/>
          <w:sz w:val="24"/>
          <w:szCs w:val="24"/>
        </w:rPr>
        <w:t xml:space="preserve">, </w:t>
      </w:r>
      <w:r w:rsidRPr="00CB7E44">
        <w:rPr>
          <w:rFonts w:ascii="Times New Roman" w:hAnsi="Times New Roman" w:cs="Times New Roman"/>
          <w:sz w:val="24"/>
          <w:szCs w:val="24"/>
        </w:rPr>
        <w:t xml:space="preserve">à l’huissier de répartir le </w:t>
      </w:r>
      <w:r w:rsidR="0087586D" w:rsidRPr="00CB7E44">
        <w:rPr>
          <w:rFonts w:ascii="Times New Roman" w:hAnsi="Times New Roman" w:cs="Times New Roman"/>
          <w:sz w:val="24"/>
          <w:szCs w:val="24"/>
        </w:rPr>
        <w:t>prix de vente</w:t>
      </w:r>
      <w:r w:rsidRPr="00CB7E44">
        <w:rPr>
          <w:rFonts w:ascii="Times New Roman" w:hAnsi="Times New Roman" w:cs="Times New Roman"/>
          <w:sz w:val="24"/>
          <w:szCs w:val="24"/>
        </w:rPr>
        <w:t xml:space="preserve"> aux créanciers </w:t>
      </w:r>
      <w:r w:rsidR="00CF3A7F" w:rsidRPr="00CB7E44">
        <w:rPr>
          <w:rFonts w:ascii="Times New Roman" w:hAnsi="Times New Roman" w:cs="Times New Roman"/>
          <w:sz w:val="24"/>
          <w:szCs w:val="24"/>
        </w:rPr>
        <w:t>privilégiés spéciaux, le solde étant restitué au débiteur ou au mandataire de justice en cas de transfert sous autorité de justice</w:t>
      </w:r>
      <w:r w:rsidR="0087586D" w:rsidRPr="00CB7E44">
        <w:rPr>
          <w:rStyle w:val="Appelnotedebasdep"/>
          <w:rFonts w:ascii="Times New Roman" w:hAnsi="Times New Roman" w:cs="Times New Roman"/>
          <w:sz w:val="24"/>
          <w:szCs w:val="24"/>
        </w:rPr>
        <w:footnoteReference w:id="21"/>
      </w:r>
      <w:r w:rsidR="0087586D" w:rsidRPr="00CB7E44">
        <w:rPr>
          <w:rFonts w:ascii="Times New Roman" w:hAnsi="Times New Roman" w:cs="Times New Roman"/>
          <w:sz w:val="24"/>
          <w:szCs w:val="24"/>
        </w:rPr>
        <w:t>.</w:t>
      </w:r>
      <w:r w:rsidR="00494211" w:rsidRPr="00CB7E44">
        <w:rPr>
          <w:rFonts w:ascii="Times New Roman" w:hAnsi="Times New Roman" w:cs="Times New Roman"/>
          <w:sz w:val="24"/>
          <w:szCs w:val="24"/>
        </w:rPr>
        <w:t xml:space="preserve"> En dehors de l’hypothèse du transfert sous autorité de justice, les créanciers chirographaires et privilégiés généraux semblent oubliés</w:t>
      </w:r>
      <w:r w:rsidR="00C927FE">
        <w:rPr>
          <w:rStyle w:val="Appelnotedebasdep"/>
          <w:rFonts w:ascii="Times New Roman" w:hAnsi="Times New Roman" w:cs="Times New Roman"/>
          <w:sz w:val="24"/>
          <w:szCs w:val="24"/>
        </w:rPr>
        <w:footnoteReference w:id="22"/>
      </w:r>
      <w:r w:rsidR="00494211" w:rsidRPr="00CB7E44">
        <w:rPr>
          <w:rFonts w:ascii="Times New Roman" w:hAnsi="Times New Roman" w:cs="Times New Roman"/>
          <w:sz w:val="24"/>
          <w:szCs w:val="24"/>
        </w:rPr>
        <w:t xml:space="preserve">. Nous reviendrons sur cette différence de traitement dans la suite de la contribution </w:t>
      </w:r>
      <w:r w:rsidR="00C91DFF" w:rsidRPr="00CB7E44">
        <w:rPr>
          <w:rFonts w:ascii="Times New Roman" w:hAnsi="Times New Roman" w:cs="Times New Roman"/>
          <w:color w:val="000000" w:themeColor="text1"/>
          <w:sz w:val="24"/>
          <w:szCs w:val="24"/>
        </w:rPr>
        <w:t>(</w:t>
      </w:r>
      <w:proofErr w:type="spellStart"/>
      <w:r w:rsidR="00C91DFF" w:rsidRPr="00CB7E44">
        <w:rPr>
          <w:rFonts w:ascii="Times New Roman" w:hAnsi="Times New Roman" w:cs="Times New Roman"/>
          <w:color w:val="000000" w:themeColor="text1"/>
          <w:sz w:val="24"/>
          <w:szCs w:val="24"/>
        </w:rPr>
        <w:t>voy</w:t>
      </w:r>
      <w:proofErr w:type="spellEnd"/>
      <w:r w:rsidR="00C91DFF" w:rsidRPr="00CB7E44">
        <w:rPr>
          <w:rFonts w:ascii="Times New Roman" w:hAnsi="Times New Roman" w:cs="Times New Roman"/>
          <w:color w:val="000000" w:themeColor="text1"/>
          <w:sz w:val="24"/>
          <w:szCs w:val="24"/>
        </w:rPr>
        <w:t xml:space="preserve">. </w:t>
      </w:r>
      <w:proofErr w:type="gramStart"/>
      <w:r w:rsidR="00C91DFF" w:rsidRPr="00CB7E44">
        <w:rPr>
          <w:rFonts w:ascii="Times New Roman" w:hAnsi="Times New Roman" w:cs="Times New Roman"/>
          <w:i/>
          <w:iCs/>
          <w:color w:val="000000" w:themeColor="text1"/>
          <w:sz w:val="24"/>
          <w:szCs w:val="24"/>
        </w:rPr>
        <w:t>infra</w:t>
      </w:r>
      <w:proofErr w:type="gramEnd"/>
      <w:r w:rsidR="00C91DFF" w:rsidRPr="00CB7E44">
        <w:rPr>
          <w:rFonts w:ascii="Times New Roman" w:hAnsi="Times New Roman" w:cs="Times New Roman"/>
          <w:color w:val="000000" w:themeColor="text1"/>
          <w:sz w:val="24"/>
          <w:szCs w:val="24"/>
        </w:rPr>
        <w:t>, I, 3, b) ; I, 4, a) ; I, 4, b)).</w:t>
      </w:r>
      <w:r w:rsidR="00C91DFF" w:rsidRPr="00CB0424">
        <w:rPr>
          <w:rFonts w:ascii="Times New Roman" w:hAnsi="Times New Roman" w:cs="Times New Roman"/>
          <w:color w:val="000000" w:themeColor="text1"/>
          <w:sz w:val="24"/>
          <w:szCs w:val="24"/>
        </w:rPr>
        <w:t xml:space="preserve"> </w:t>
      </w:r>
    </w:p>
    <w:p w14:paraId="17BEAA17" w14:textId="088FF3D3" w:rsidR="00A76A10" w:rsidRPr="00CB0424" w:rsidRDefault="00A76A10" w:rsidP="00B5673A">
      <w:pPr>
        <w:pStyle w:val="Corps"/>
        <w:jc w:val="both"/>
        <w:rPr>
          <w:rFonts w:ascii="Times New Roman" w:hAnsi="Times New Roman" w:cs="Times New Roman"/>
          <w:color w:val="000000" w:themeColor="text1"/>
          <w:sz w:val="24"/>
          <w:szCs w:val="24"/>
        </w:rPr>
      </w:pPr>
    </w:p>
    <w:p w14:paraId="1AF5F798" w14:textId="77777777" w:rsidR="00630F71" w:rsidRPr="00CB0424" w:rsidRDefault="00630F71" w:rsidP="00B5673A">
      <w:pPr>
        <w:pStyle w:val="Corps"/>
        <w:jc w:val="both"/>
        <w:rPr>
          <w:rFonts w:ascii="Times New Roman" w:hAnsi="Times New Roman" w:cs="Times New Roman"/>
          <w:sz w:val="24"/>
          <w:szCs w:val="24"/>
        </w:rPr>
      </w:pPr>
    </w:p>
    <w:p w14:paraId="74FDC730" w14:textId="63B63B5C" w:rsidR="004367EC" w:rsidRPr="00CB0424" w:rsidRDefault="00E8092E" w:rsidP="00630F71">
      <w:pPr>
        <w:pStyle w:val="Corps"/>
        <w:numPr>
          <w:ilvl w:val="0"/>
          <w:numId w:val="6"/>
        </w:numPr>
        <w:jc w:val="both"/>
        <w:rPr>
          <w:rFonts w:ascii="Times New Roman" w:eastAsia="Times New Roman" w:hAnsi="Times New Roman" w:cs="Times New Roman"/>
          <w:b/>
          <w:bCs/>
          <w:i/>
          <w:iCs/>
          <w:sz w:val="24"/>
          <w:szCs w:val="24"/>
        </w:rPr>
      </w:pPr>
      <w:r w:rsidRPr="00CB0424">
        <w:rPr>
          <w:rFonts w:ascii="Times New Roman" w:hAnsi="Times New Roman" w:cs="Times New Roman"/>
          <w:b/>
          <w:bCs/>
          <w:i/>
          <w:iCs/>
          <w:sz w:val="24"/>
          <w:szCs w:val="24"/>
        </w:rPr>
        <w:lastRenderedPageBreak/>
        <w:t xml:space="preserve"> </w:t>
      </w:r>
      <w:r w:rsidR="00630F71" w:rsidRPr="00CB0424">
        <w:rPr>
          <w:rFonts w:ascii="Times New Roman" w:hAnsi="Times New Roman" w:cs="Times New Roman"/>
          <w:b/>
          <w:bCs/>
          <w:i/>
          <w:iCs/>
          <w:sz w:val="24"/>
          <w:szCs w:val="24"/>
        </w:rPr>
        <w:t xml:space="preserve">Article </w:t>
      </w:r>
      <w:r w:rsidRPr="00CB0424">
        <w:rPr>
          <w:rFonts w:ascii="Times New Roman" w:hAnsi="Times New Roman" w:cs="Times New Roman"/>
          <w:b/>
          <w:bCs/>
          <w:i/>
          <w:iCs/>
          <w:sz w:val="24"/>
          <w:szCs w:val="24"/>
        </w:rPr>
        <w:t xml:space="preserve">XX.51 du C.D.E. </w:t>
      </w:r>
    </w:p>
    <w:p w14:paraId="46CF64F6" w14:textId="77777777" w:rsidR="004367EC" w:rsidRPr="00CB0424" w:rsidRDefault="004367EC" w:rsidP="00B5673A">
      <w:pPr>
        <w:pStyle w:val="Corps"/>
        <w:jc w:val="both"/>
        <w:rPr>
          <w:rFonts w:ascii="Times New Roman" w:eastAsia="Times New Roman" w:hAnsi="Times New Roman" w:cs="Times New Roman"/>
          <w:b/>
          <w:bCs/>
          <w:sz w:val="24"/>
          <w:szCs w:val="24"/>
        </w:rPr>
      </w:pPr>
    </w:p>
    <w:p w14:paraId="7AED9C6F" w14:textId="2B2C8C2D" w:rsidR="00FF0243"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Les développements qui pr</w:t>
      </w:r>
      <w:r w:rsidR="00FF0243" w:rsidRPr="00CB0424">
        <w:rPr>
          <w:rFonts w:ascii="Times New Roman" w:hAnsi="Times New Roman" w:cs="Times New Roman"/>
          <w:sz w:val="24"/>
          <w:szCs w:val="24"/>
        </w:rPr>
        <w:t>écè</w:t>
      </w:r>
      <w:r w:rsidRPr="00CB0424">
        <w:rPr>
          <w:rFonts w:ascii="Times New Roman" w:hAnsi="Times New Roman" w:cs="Times New Roman"/>
          <w:sz w:val="24"/>
          <w:szCs w:val="24"/>
        </w:rPr>
        <w:t>dent ont trait à l</w:t>
      </w:r>
      <w:r w:rsidRPr="00CB0424">
        <w:rPr>
          <w:rFonts w:ascii="Times New Roman" w:hAnsi="Times New Roman" w:cs="Times New Roman"/>
          <w:sz w:val="24"/>
          <w:szCs w:val="24"/>
          <w:rtl/>
        </w:rPr>
        <w:t>’</w:t>
      </w:r>
      <w:r w:rsidRPr="00CB0424">
        <w:rPr>
          <w:rFonts w:ascii="Times New Roman" w:hAnsi="Times New Roman" w:cs="Times New Roman"/>
          <w:sz w:val="24"/>
          <w:szCs w:val="24"/>
        </w:rPr>
        <w:t>effet d</w:t>
      </w:r>
      <w:r w:rsidR="00713A4A" w:rsidRPr="00CB0424">
        <w:rPr>
          <w:rFonts w:ascii="Times New Roman" w:hAnsi="Times New Roman" w:cs="Times New Roman"/>
          <w:sz w:val="24"/>
          <w:szCs w:val="24"/>
        </w:rPr>
        <w:t xml:space="preserve">u dépôt de la requête en réorganisation judiciaire </w:t>
      </w:r>
      <w:r w:rsidRPr="00CB0424">
        <w:rPr>
          <w:rFonts w:ascii="Times New Roman" w:hAnsi="Times New Roman" w:cs="Times New Roman"/>
          <w:sz w:val="24"/>
          <w:szCs w:val="24"/>
        </w:rPr>
        <w:t>sur une saisie</w:t>
      </w:r>
      <w:r w:rsidR="002B06C3">
        <w:rPr>
          <w:rFonts w:ascii="Times New Roman" w:hAnsi="Times New Roman" w:cs="Times New Roman"/>
          <w:sz w:val="24"/>
          <w:szCs w:val="24"/>
        </w:rPr>
        <w:t>-</w:t>
      </w:r>
      <w:r w:rsidRPr="00CB0424">
        <w:rPr>
          <w:rFonts w:ascii="Times New Roman" w:hAnsi="Times New Roman" w:cs="Times New Roman"/>
          <w:sz w:val="24"/>
          <w:szCs w:val="24"/>
        </w:rPr>
        <w:t xml:space="preserve">exécution mobilière en cours. </w:t>
      </w:r>
      <w:r w:rsidR="00FF0243" w:rsidRPr="00CB0424">
        <w:rPr>
          <w:rFonts w:ascii="Times New Roman" w:hAnsi="Times New Roman" w:cs="Times New Roman"/>
          <w:sz w:val="24"/>
          <w:szCs w:val="24"/>
        </w:rPr>
        <w:t>Qu’en est-il lorsque le tribunal a statué sur pareille demande</w:t>
      </w:r>
      <w:r w:rsidR="005C7B71" w:rsidRPr="00CB0424">
        <w:rPr>
          <w:rFonts w:ascii="Times New Roman" w:hAnsi="Times New Roman" w:cs="Times New Roman"/>
          <w:sz w:val="24"/>
          <w:szCs w:val="24"/>
        </w:rPr>
        <w:t xml:space="preserve"> ? Autrement dit, </w:t>
      </w:r>
      <w:r w:rsidR="00FF0243" w:rsidRPr="00CB0424">
        <w:rPr>
          <w:rFonts w:ascii="Times New Roman" w:hAnsi="Times New Roman" w:cs="Times New Roman"/>
          <w:sz w:val="24"/>
          <w:szCs w:val="24"/>
        </w:rPr>
        <w:t xml:space="preserve">qu’en est-il des effets de l’ouverture de la procédure de réorganisation judiciaire sur une saisie exécution mobilière en cours ? </w:t>
      </w:r>
    </w:p>
    <w:p w14:paraId="2C1D2BDD" w14:textId="77777777" w:rsidR="00FF0243" w:rsidRPr="00CB0424" w:rsidRDefault="00FF0243" w:rsidP="00B5673A">
      <w:pPr>
        <w:pStyle w:val="Corps"/>
        <w:jc w:val="both"/>
        <w:rPr>
          <w:rFonts w:ascii="Times New Roman" w:hAnsi="Times New Roman" w:cs="Times New Roman"/>
          <w:sz w:val="24"/>
          <w:szCs w:val="24"/>
        </w:rPr>
      </w:pPr>
    </w:p>
    <w:p w14:paraId="75DAA7B2" w14:textId="7AA5722B" w:rsidR="003F7B0C" w:rsidRPr="00CB7E44" w:rsidRDefault="00D177E8" w:rsidP="00B5673A">
      <w:pPr>
        <w:pStyle w:val="Corps"/>
        <w:jc w:val="both"/>
        <w:rPr>
          <w:rFonts w:ascii="Times New Roman" w:hAnsi="Times New Roman" w:cs="Times New Roman"/>
          <w:sz w:val="24"/>
          <w:szCs w:val="24"/>
          <w:highlight w:val="yellow"/>
        </w:rPr>
      </w:pPr>
      <w:r w:rsidRPr="00CB0424">
        <w:rPr>
          <w:rFonts w:ascii="Times New Roman" w:hAnsi="Times New Roman" w:cs="Times New Roman"/>
          <w:sz w:val="24"/>
          <w:szCs w:val="24"/>
        </w:rPr>
        <w:t>D</w:t>
      </w:r>
      <w:r w:rsidR="0069242D" w:rsidRPr="00CB0424">
        <w:rPr>
          <w:rFonts w:ascii="Times New Roman" w:hAnsi="Times New Roman" w:cs="Times New Roman"/>
          <w:sz w:val="24"/>
          <w:szCs w:val="24"/>
        </w:rPr>
        <w:t>ès le jugement d’ouverture de réorganisation judiciaire, toute saisie</w:t>
      </w:r>
      <w:r w:rsidR="002B06C3">
        <w:rPr>
          <w:rFonts w:ascii="Times New Roman" w:hAnsi="Times New Roman" w:cs="Times New Roman"/>
          <w:sz w:val="24"/>
          <w:szCs w:val="24"/>
        </w:rPr>
        <w:t>-</w:t>
      </w:r>
      <w:r w:rsidR="0069242D" w:rsidRPr="00CB0424">
        <w:rPr>
          <w:rFonts w:ascii="Times New Roman" w:hAnsi="Times New Roman" w:cs="Times New Roman"/>
          <w:sz w:val="24"/>
          <w:szCs w:val="24"/>
        </w:rPr>
        <w:t>exécution en cours se dénature en saisie conservatoire</w:t>
      </w:r>
      <w:r w:rsidRPr="00CB0424">
        <w:rPr>
          <w:rFonts w:ascii="Times New Roman" w:hAnsi="Times New Roman" w:cs="Times New Roman"/>
          <w:sz w:val="24"/>
          <w:szCs w:val="24"/>
        </w:rPr>
        <w:t xml:space="preserve"> (XX.51, §</w:t>
      </w:r>
      <w:r w:rsidR="00ED52E7">
        <w:rPr>
          <w:rFonts w:ascii="Times New Roman" w:hAnsi="Times New Roman" w:cs="Times New Roman"/>
          <w:sz w:val="24"/>
          <w:szCs w:val="24"/>
        </w:rPr>
        <w:t xml:space="preserve"> </w:t>
      </w:r>
      <w:r w:rsidRPr="00CB0424">
        <w:rPr>
          <w:rFonts w:ascii="Times New Roman" w:hAnsi="Times New Roman" w:cs="Times New Roman"/>
          <w:sz w:val="24"/>
          <w:szCs w:val="24"/>
        </w:rPr>
        <w:t>1</w:t>
      </w:r>
      <w:r w:rsidRPr="00CB0424">
        <w:rPr>
          <w:rFonts w:ascii="Times New Roman" w:hAnsi="Times New Roman" w:cs="Times New Roman"/>
          <w:sz w:val="24"/>
          <w:szCs w:val="24"/>
          <w:vertAlign w:val="superscript"/>
        </w:rPr>
        <w:t>er</w:t>
      </w:r>
      <w:r w:rsidRPr="00CB0424">
        <w:rPr>
          <w:rFonts w:ascii="Times New Roman" w:hAnsi="Times New Roman" w:cs="Times New Roman"/>
          <w:sz w:val="24"/>
          <w:szCs w:val="24"/>
        </w:rPr>
        <w:t>, al. 2, du C.</w:t>
      </w:r>
      <w:r w:rsidR="00ED52E7">
        <w:rPr>
          <w:rFonts w:ascii="Times New Roman" w:hAnsi="Times New Roman" w:cs="Times New Roman"/>
          <w:sz w:val="24"/>
          <w:szCs w:val="24"/>
        </w:rPr>
        <w:t>D.E.</w:t>
      </w:r>
      <w:r w:rsidRPr="00CB0424">
        <w:rPr>
          <w:rFonts w:ascii="Times New Roman" w:hAnsi="Times New Roman" w:cs="Times New Roman"/>
          <w:sz w:val="24"/>
          <w:szCs w:val="24"/>
        </w:rPr>
        <w:t>)</w:t>
      </w:r>
      <w:r w:rsidR="00ED52E7">
        <w:rPr>
          <w:rFonts w:ascii="Times New Roman" w:hAnsi="Times New Roman" w:cs="Times New Roman"/>
          <w:sz w:val="24"/>
          <w:szCs w:val="24"/>
        </w:rPr>
        <w:t>. Par ailleurs, l</w:t>
      </w:r>
      <w:proofErr w:type="spellStart"/>
      <w:r w:rsidR="00133C3F" w:rsidRPr="00CB0424">
        <w:rPr>
          <w:rFonts w:ascii="Times New Roman" w:hAnsi="Times New Roman" w:cs="Times New Roman"/>
          <w:sz w:val="24"/>
          <w:szCs w:val="24"/>
          <w:rtl/>
        </w:rPr>
        <w:t>es</w:t>
      </w:r>
      <w:proofErr w:type="spellEnd"/>
      <w:r w:rsidR="00133C3F" w:rsidRPr="00CB0424">
        <w:rPr>
          <w:rFonts w:ascii="Times New Roman" w:hAnsi="Times New Roman" w:cs="Times New Roman"/>
          <w:sz w:val="24"/>
          <w:szCs w:val="24"/>
          <w:rtl/>
        </w:rPr>
        <w:t xml:space="preserve"> </w:t>
      </w:r>
      <w:proofErr w:type="spellStart"/>
      <w:r w:rsidR="00133C3F" w:rsidRPr="00CB0424">
        <w:rPr>
          <w:rFonts w:ascii="Times New Roman" w:hAnsi="Times New Roman" w:cs="Times New Roman"/>
          <w:sz w:val="24"/>
          <w:szCs w:val="24"/>
          <w:rtl/>
        </w:rPr>
        <w:t>articles</w:t>
      </w:r>
      <w:proofErr w:type="spellEnd"/>
      <w:r w:rsidR="00E8092E" w:rsidRPr="00CB0424">
        <w:rPr>
          <w:rFonts w:ascii="Times New Roman" w:hAnsi="Times New Roman" w:cs="Times New Roman"/>
          <w:sz w:val="24"/>
          <w:szCs w:val="24"/>
        </w:rPr>
        <w:t xml:space="preserve"> XX.5</w:t>
      </w:r>
      <w:r w:rsidR="00133C3F" w:rsidRPr="00CB0424">
        <w:rPr>
          <w:rFonts w:ascii="Times New Roman" w:hAnsi="Times New Roman" w:cs="Times New Roman"/>
          <w:sz w:val="24"/>
          <w:szCs w:val="24"/>
        </w:rPr>
        <w:t>0</w:t>
      </w:r>
      <w:r w:rsidR="00F96D0B" w:rsidRPr="00CB0424">
        <w:rPr>
          <w:rFonts w:ascii="Times New Roman" w:hAnsi="Times New Roman" w:cs="Times New Roman"/>
          <w:sz w:val="24"/>
          <w:szCs w:val="24"/>
        </w:rPr>
        <w:t>, al.</w:t>
      </w:r>
      <w:r w:rsidR="00ED52E7">
        <w:rPr>
          <w:rFonts w:ascii="Times New Roman" w:hAnsi="Times New Roman" w:cs="Times New Roman"/>
          <w:sz w:val="24"/>
          <w:szCs w:val="24"/>
        </w:rPr>
        <w:t xml:space="preserve"> </w:t>
      </w:r>
      <w:r w:rsidR="00F96D0B" w:rsidRPr="00CB0424">
        <w:rPr>
          <w:rFonts w:ascii="Times New Roman" w:hAnsi="Times New Roman" w:cs="Times New Roman"/>
          <w:sz w:val="24"/>
          <w:szCs w:val="24"/>
        </w:rPr>
        <w:t>1</w:t>
      </w:r>
      <w:r w:rsidR="00F96D0B" w:rsidRPr="00CB0424">
        <w:rPr>
          <w:rFonts w:ascii="Times New Roman" w:hAnsi="Times New Roman" w:cs="Times New Roman"/>
          <w:sz w:val="24"/>
          <w:szCs w:val="24"/>
          <w:vertAlign w:val="superscript"/>
        </w:rPr>
        <w:t>er</w:t>
      </w:r>
      <w:r w:rsidR="00F96D0B" w:rsidRPr="00CB0424">
        <w:rPr>
          <w:rFonts w:ascii="Times New Roman" w:hAnsi="Times New Roman" w:cs="Times New Roman"/>
          <w:sz w:val="24"/>
          <w:szCs w:val="24"/>
        </w:rPr>
        <w:t xml:space="preserve"> </w:t>
      </w:r>
      <w:r w:rsidR="00133C3F" w:rsidRPr="00CB0424">
        <w:rPr>
          <w:rFonts w:ascii="Times New Roman" w:hAnsi="Times New Roman" w:cs="Times New Roman"/>
          <w:sz w:val="24"/>
          <w:szCs w:val="24"/>
        </w:rPr>
        <w:t>et XX.51</w:t>
      </w:r>
      <w:r w:rsidR="00F96D0B" w:rsidRPr="00CB0424">
        <w:rPr>
          <w:rFonts w:ascii="Times New Roman" w:hAnsi="Times New Roman" w:cs="Times New Roman"/>
          <w:sz w:val="24"/>
          <w:szCs w:val="24"/>
        </w:rPr>
        <w:t>, §</w:t>
      </w:r>
      <w:r w:rsidR="00ED52E7">
        <w:rPr>
          <w:rFonts w:ascii="Times New Roman" w:hAnsi="Times New Roman" w:cs="Times New Roman"/>
          <w:sz w:val="24"/>
          <w:szCs w:val="24"/>
        </w:rPr>
        <w:t xml:space="preserve"> </w:t>
      </w:r>
      <w:r w:rsidR="00F96D0B" w:rsidRPr="00CB0424">
        <w:rPr>
          <w:rFonts w:ascii="Times New Roman" w:hAnsi="Times New Roman" w:cs="Times New Roman"/>
          <w:sz w:val="24"/>
          <w:szCs w:val="24"/>
        </w:rPr>
        <w:t>1</w:t>
      </w:r>
      <w:r w:rsidR="00F96D0B" w:rsidRPr="00CB0424">
        <w:rPr>
          <w:rFonts w:ascii="Times New Roman" w:hAnsi="Times New Roman" w:cs="Times New Roman"/>
          <w:sz w:val="24"/>
          <w:szCs w:val="24"/>
          <w:vertAlign w:val="superscript"/>
        </w:rPr>
        <w:t>er</w:t>
      </w:r>
      <w:r w:rsidR="00F96D0B" w:rsidRPr="00CB0424">
        <w:rPr>
          <w:rFonts w:ascii="Times New Roman" w:hAnsi="Times New Roman" w:cs="Times New Roman"/>
          <w:sz w:val="24"/>
          <w:szCs w:val="24"/>
        </w:rPr>
        <w:t>,</w:t>
      </w:r>
      <w:r w:rsidR="00D82333" w:rsidRPr="00CB0424">
        <w:rPr>
          <w:rFonts w:ascii="Times New Roman" w:hAnsi="Times New Roman" w:cs="Times New Roman"/>
          <w:sz w:val="24"/>
          <w:szCs w:val="24"/>
        </w:rPr>
        <w:t xml:space="preserve"> al. 1</w:t>
      </w:r>
      <w:r w:rsidR="00D82333" w:rsidRPr="00CB0424">
        <w:rPr>
          <w:rFonts w:ascii="Times New Roman" w:hAnsi="Times New Roman" w:cs="Times New Roman"/>
          <w:sz w:val="24"/>
          <w:szCs w:val="24"/>
          <w:vertAlign w:val="superscript"/>
        </w:rPr>
        <w:t>er</w:t>
      </w:r>
      <w:r w:rsidR="00D82333" w:rsidRPr="00CB0424">
        <w:rPr>
          <w:rFonts w:ascii="Times New Roman" w:hAnsi="Times New Roman" w:cs="Times New Roman"/>
          <w:sz w:val="24"/>
          <w:szCs w:val="24"/>
        </w:rPr>
        <w:t>,</w:t>
      </w:r>
      <w:r w:rsidR="00E8092E" w:rsidRPr="00CB0424">
        <w:rPr>
          <w:rFonts w:ascii="Times New Roman" w:hAnsi="Times New Roman" w:cs="Times New Roman"/>
          <w:sz w:val="24"/>
          <w:szCs w:val="24"/>
        </w:rPr>
        <w:t xml:space="preserve"> du </w:t>
      </w:r>
      <w:r w:rsidR="00ED52E7">
        <w:rPr>
          <w:rFonts w:ascii="Times New Roman" w:hAnsi="Times New Roman" w:cs="Times New Roman"/>
          <w:sz w:val="24"/>
          <w:szCs w:val="24"/>
        </w:rPr>
        <w:t>même Code</w:t>
      </w:r>
      <w:r w:rsidR="00E8092E" w:rsidRPr="00CB0424">
        <w:rPr>
          <w:rFonts w:ascii="Times New Roman" w:hAnsi="Times New Roman" w:cs="Times New Roman"/>
          <w:sz w:val="24"/>
          <w:szCs w:val="24"/>
        </w:rPr>
        <w:t xml:space="preserve"> érige</w:t>
      </w:r>
      <w:r w:rsidR="00133C3F" w:rsidRPr="00CB0424">
        <w:rPr>
          <w:rFonts w:ascii="Times New Roman" w:hAnsi="Times New Roman" w:cs="Times New Roman"/>
          <w:sz w:val="24"/>
          <w:szCs w:val="24"/>
        </w:rPr>
        <w:t>nt</w:t>
      </w:r>
      <w:r w:rsidR="00E8092E" w:rsidRPr="00CB0424">
        <w:rPr>
          <w:rFonts w:ascii="Times New Roman" w:hAnsi="Times New Roman" w:cs="Times New Roman"/>
          <w:sz w:val="24"/>
          <w:szCs w:val="24"/>
        </w:rPr>
        <w:t xml:space="preserve"> en </w:t>
      </w:r>
      <w:r w:rsidR="00E8092E" w:rsidRPr="00CB7E44">
        <w:rPr>
          <w:rFonts w:ascii="Times New Roman" w:hAnsi="Times New Roman" w:cs="Times New Roman"/>
          <w:sz w:val="24"/>
          <w:szCs w:val="24"/>
        </w:rPr>
        <w:t xml:space="preserve">principe </w:t>
      </w:r>
      <w:r w:rsidR="00E8092E" w:rsidRPr="00D96A6A">
        <w:rPr>
          <w:rFonts w:ascii="Times New Roman" w:hAnsi="Times New Roman" w:cs="Times New Roman"/>
          <w:sz w:val="24"/>
          <w:szCs w:val="24"/>
        </w:rPr>
        <w:t>la suspension des voies d</w:t>
      </w:r>
      <w:r w:rsidR="00E8092E" w:rsidRPr="00D96A6A">
        <w:rPr>
          <w:rFonts w:ascii="Times New Roman" w:hAnsi="Times New Roman" w:cs="Times New Roman"/>
          <w:sz w:val="24"/>
          <w:szCs w:val="24"/>
          <w:rtl/>
        </w:rPr>
        <w:t>’</w:t>
      </w:r>
      <w:r w:rsidR="00E8092E" w:rsidRPr="00D96A6A">
        <w:rPr>
          <w:rFonts w:ascii="Times New Roman" w:hAnsi="Times New Roman" w:cs="Times New Roman"/>
          <w:sz w:val="24"/>
          <w:szCs w:val="24"/>
        </w:rPr>
        <w:t>exécution</w:t>
      </w:r>
      <w:r w:rsidR="00097755" w:rsidRPr="00D96A6A">
        <w:rPr>
          <w:rFonts w:ascii="Times New Roman" w:hAnsi="Times New Roman" w:cs="Times New Roman"/>
          <w:sz w:val="24"/>
          <w:szCs w:val="24"/>
        </w:rPr>
        <w:t xml:space="preserve">, </w:t>
      </w:r>
      <w:r w:rsidR="00CB7E44" w:rsidRPr="00D96A6A">
        <w:rPr>
          <w:rFonts w:ascii="Times New Roman" w:hAnsi="Times New Roman" w:cs="Times New Roman"/>
          <w:sz w:val="24"/>
          <w:szCs w:val="24"/>
        </w:rPr>
        <w:t xml:space="preserve">concept englobant </w:t>
      </w:r>
      <w:r w:rsidR="00D658CA">
        <w:rPr>
          <w:rFonts w:ascii="Times New Roman" w:hAnsi="Times New Roman" w:cs="Times New Roman"/>
          <w:sz w:val="24"/>
          <w:szCs w:val="24"/>
        </w:rPr>
        <w:t xml:space="preserve">toute </w:t>
      </w:r>
      <w:r w:rsidR="00CB7E44" w:rsidRPr="00D96A6A">
        <w:rPr>
          <w:rFonts w:ascii="Times New Roman" w:hAnsi="Times New Roman" w:cs="Times New Roman"/>
          <w:sz w:val="24"/>
          <w:szCs w:val="24"/>
        </w:rPr>
        <w:t>saisie</w:t>
      </w:r>
      <w:r w:rsidR="00D658CA">
        <w:rPr>
          <w:rFonts w:ascii="Times New Roman" w:hAnsi="Times New Roman" w:cs="Times New Roman"/>
          <w:sz w:val="24"/>
          <w:szCs w:val="24"/>
        </w:rPr>
        <w:t>-</w:t>
      </w:r>
      <w:r w:rsidR="00CB7E44" w:rsidRPr="00D96A6A">
        <w:rPr>
          <w:rFonts w:ascii="Times New Roman" w:hAnsi="Times New Roman" w:cs="Times New Roman"/>
          <w:sz w:val="24"/>
          <w:szCs w:val="24"/>
        </w:rPr>
        <w:t xml:space="preserve">exécution. </w:t>
      </w:r>
      <w:r w:rsidR="00E8092E" w:rsidRPr="00CB7E44">
        <w:rPr>
          <w:rFonts w:ascii="Times New Roman" w:eastAsia="Times New Roman" w:hAnsi="Times New Roman" w:cs="Times New Roman"/>
          <w:sz w:val="24"/>
          <w:szCs w:val="24"/>
          <w:vertAlign w:val="superscript"/>
        </w:rPr>
        <w:footnoteReference w:id="23"/>
      </w:r>
      <w:r w:rsidR="00E8092E" w:rsidRPr="00CB7E44">
        <w:rPr>
          <w:rFonts w:ascii="Times New Roman" w:hAnsi="Times New Roman" w:cs="Times New Roman"/>
          <w:sz w:val="24"/>
          <w:szCs w:val="24"/>
        </w:rPr>
        <w:t>.</w:t>
      </w:r>
      <w:r w:rsidR="00133C3F" w:rsidRPr="00CB7E44">
        <w:rPr>
          <w:rFonts w:ascii="Times New Roman" w:hAnsi="Times New Roman" w:cs="Times New Roman"/>
          <w:sz w:val="24"/>
          <w:szCs w:val="24"/>
        </w:rPr>
        <w:t xml:space="preserve"> </w:t>
      </w:r>
      <w:r w:rsidR="0069242D" w:rsidRPr="00CB7E44">
        <w:rPr>
          <w:rFonts w:ascii="Times New Roman" w:hAnsi="Times New Roman" w:cs="Times New Roman"/>
          <w:sz w:val="24"/>
          <w:szCs w:val="24"/>
        </w:rPr>
        <w:t>Néanmoins</w:t>
      </w:r>
      <w:r w:rsidR="0069242D" w:rsidRPr="00CB0424">
        <w:rPr>
          <w:rFonts w:ascii="Times New Roman" w:hAnsi="Times New Roman" w:cs="Times New Roman"/>
          <w:sz w:val="24"/>
          <w:szCs w:val="24"/>
        </w:rPr>
        <w:t>, le principe de suspension des voies d’exécution connait une exception</w:t>
      </w:r>
      <w:r w:rsidR="00EA73E5" w:rsidRPr="00CB0424">
        <w:rPr>
          <w:rFonts w:ascii="Times New Roman" w:hAnsi="Times New Roman" w:cs="Times New Roman"/>
          <w:sz w:val="24"/>
          <w:szCs w:val="24"/>
        </w:rPr>
        <w:t xml:space="preserve"> en fonction de l’état d’avancement de la vente mobilière en cours. </w:t>
      </w:r>
      <w:r w:rsidR="0069242D" w:rsidRPr="00CB0424">
        <w:rPr>
          <w:rFonts w:ascii="Times New Roman" w:hAnsi="Times New Roman" w:cs="Times New Roman"/>
          <w:sz w:val="24"/>
          <w:szCs w:val="24"/>
        </w:rPr>
        <w:t xml:space="preserve">Si le jour fixé pour procéder à la vente forcée échoit dans un délai de deux mois suivant le dépôt de la requête, les opérations peuvent se poursuivre. La question de la distribution du produit de cette vente est controversée. </w:t>
      </w:r>
      <w:r w:rsidR="00E8092E" w:rsidRPr="00CB0424">
        <w:rPr>
          <w:rFonts w:ascii="Times New Roman" w:hAnsi="Times New Roman" w:cs="Times New Roman"/>
          <w:sz w:val="24"/>
          <w:szCs w:val="24"/>
        </w:rPr>
        <w:t xml:space="preserve">Selon Nicolas </w:t>
      </w:r>
      <w:proofErr w:type="spellStart"/>
      <w:r w:rsidR="00E8092E" w:rsidRPr="00CB7E44">
        <w:rPr>
          <w:rFonts w:ascii="Times New Roman" w:hAnsi="Times New Roman" w:cs="Times New Roman"/>
          <w:sz w:val="24"/>
          <w:szCs w:val="24"/>
        </w:rPr>
        <w:t>O</w:t>
      </w:r>
      <w:r w:rsidR="00E8092E" w:rsidRPr="00CB7E44">
        <w:rPr>
          <w:rFonts w:ascii="Times New Roman" w:hAnsi="Times New Roman" w:cs="Times New Roman"/>
          <w:color w:val="000000" w:themeColor="text1"/>
          <w:sz w:val="24"/>
          <w:szCs w:val="24"/>
        </w:rPr>
        <w:t>uchinsky</w:t>
      </w:r>
      <w:proofErr w:type="spellEnd"/>
      <w:r w:rsidR="00E8092E" w:rsidRPr="00CB7E44">
        <w:rPr>
          <w:rFonts w:ascii="Times New Roman" w:hAnsi="Times New Roman" w:cs="Times New Roman"/>
          <w:color w:val="000000" w:themeColor="text1"/>
          <w:sz w:val="24"/>
          <w:szCs w:val="24"/>
        </w:rPr>
        <w:t xml:space="preserve">, ce tempérament au principe porte non pas sur la saisie en tant que telle mais sur l’opération de vente. Ainsi, selon l’auteur précité, le </w:t>
      </w:r>
      <w:r w:rsidR="00EF1B49" w:rsidRPr="00CB7E44">
        <w:rPr>
          <w:rFonts w:ascii="Times New Roman" w:hAnsi="Times New Roman" w:cs="Times New Roman"/>
          <w:color w:val="000000" w:themeColor="text1"/>
          <w:sz w:val="24"/>
          <w:szCs w:val="24"/>
        </w:rPr>
        <w:t xml:space="preserve">solde </w:t>
      </w:r>
      <w:r w:rsidR="00E8092E" w:rsidRPr="00CB7E44">
        <w:rPr>
          <w:rFonts w:ascii="Times New Roman" w:hAnsi="Times New Roman" w:cs="Times New Roman"/>
          <w:color w:val="000000" w:themeColor="text1"/>
          <w:sz w:val="24"/>
          <w:szCs w:val="24"/>
        </w:rPr>
        <w:t>éventuel de la vente mobilière qui échoirait dans le délai fixé par</w:t>
      </w:r>
      <w:r w:rsidR="00E8092E" w:rsidRPr="00CB0424">
        <w:rPr>
          <w:rFonts w:ascii="Times New Roman" w:hAnsi="Times New Roman" w:cs="Times New Roman"/>
          <w:color w:val="000000" w:themeColor="text1"/>
          <w:sz w:val="24"/>
          <w:szCs w:val="24"/>
        </w:rPr>
        <w:t xml:space="preserve"> l’article XX.51, §</w:t>
      </w:r>
      <w:r w:rsidR="005155CE">
        <w:rPr>
          <w:rFonts w:ascii="Times New Roman" w:hAnsi="Times New Roman" w:cs="Times New Roman"/>
          <w:color w:val="000000" w:themeColor="text1"/>
          <w:sz w:val="24"/>
          <w:szCs w:val="24"/>
        </w:rPr>
        <w:t xml:space="preserve"> </w:t>
      </w:r>
      <w:r w:rsidR="00E8092E" w:rsidRPr="00CB0424">
        <w:rPr>
          <w:rFonts w:ascii="Times New Roman" w:hAnsi="Times New Roman" w:cs="Times New Roman"/>
          <w:color w:val="000000" w:themeColor="text1"/>
          <w:sz w:val="24"/>
          <w:szCs w:val="24"/>
        </w:rPr>
        <w:t>2, du C.D.E., ne peut être laissé à la libre disposition du débiteur admis en réorganisation judiciaire en vertu du caractère conservatoire de la saisie et la distribution du produit de la vente se verrait suspendue jusqu’à la clôture de la procédure</w:t>
      </w:r>
      <w:r w:rsidR="00E8092E" w:rsidRPr="00CB0424">
        <w:rPr>
          <w:rFonts w:ascii="Times New Roman" w:eastAsia="Times New Roman" w:hAnsi="Times New Roman" w:cs="Times New Roman"/>
          <w:color w:val="000000" w:themeColor="text1"/>
          <w:sz w:val="24"/>
          <w:szCs w:val="24"/>
          <w:vertAlign w:val="superscript"/>
        </w:rPr>
        <w:footnoteReference w:id="24"/>
      </w:r>
      <w:r w:rsidR="00E8092E" w:rsidRPr="00CB0424">
        <w:rPr>
          <w:rFonts w:ascii="Times New Roman" w:hAnsi="Times New Roman" w:cs="Times New Roman"/>
          <w:color w:val="000000" w:themeColor="text1"/>
          <w:sz w:val="24"/>
          <w:szCs w:val="24"/>
        </w:rPr>
        <w:t xml:space="preserve">. </w:t>
      </w:r>
      <w:r w:rsidR="003F7B0C" w:rsidRPr="00CB0424">
        <w:rPr>
          <w:rFonts w:ascii="Times New Roman" w:hAnsi="Times New Roman" w:cs="Times New Roman"/>
          <w:color w:val="000000" w:themeColor="text1"/>
          <w:sz w:val="24"/>
          <w:szCs w:val="24"/>
        </w:rPr>
        <w:t xml:space="preserve">Notons </w:t>
      </w:r>
      <w:r w:rsidR="003F7B0C" w:rsidRPr="00CB0424">
        <w:rPr>
          <w:rFonts w:ascii="Times New Roman" w:hAnsi="Times New Roman" w:cs="Times New Roman"/>
          <w:sz w:val="24"/>
          <w:szCs w:val="24"/>
        </w:rPr>
        <w:t>toutefois que le tribunal peut, sur requête du débiteur, imposer</w:t>
      </w:r>
      <w:r w:rsidR="003F7B0C" w:rsidRPr="00CB0424">
        <w:rPr>
          <w:rFonts w:ascii="Times New Roman" w:hAnsi="Times New Roman" w:cs="Times New Roman"/>
          <w:sz w:val="24"/>
          <w:szCs w:val="24"/>
          <w:lang w:val="fr-BE"/>
        </w:rPr>
        <w:t xml:space="preserve"> la </w:t>
      </w:r>
      <w:proofErr w:type="spellStart"/>
      <w:r w:rsidR="003F7B0C" w:rsidRPr="00CB0424">
        <w:rPr>
          <w:rFonts w:ascii="Times New Roman" w:hAnsi="Times New Roman" w:cs="Times New Roman"/>
          <w:sz w:val="24"/>
          <w:szCs w:val="24"/>
          <w:lang w:val="fr-BE"/>
        </w:rPr>
        <w:t>mainlev</w:t>
      </w:r>
      <w:r w:rsidR="003F7B0C" w:rsidRPr="00CB0424">
        <w:rPr>
          <w:rFonts w:ascii="Times New Roman" w:hAnsi="Times New Roman" w:cs="Times New Roman"/>
          <w:sz w:val="24"/>
          <w:szCs w:val="24"/>
        </w:rPr>
        <w:t>ée</w:t>
      </w:r>
      <w:proofErr w:type="spellEnd"/>
      <w:r w:rsidR="003F7B0C" w:rsidRPr="00CB0424">
        <w:rPr>
          <w:rFonts w:ascii="Times New Roman" w:hAnsi="Times New Roman" w:cs="Times New Roman"/>
          <w:sz w:val="24"/>
          <w:szCs w:val="24"/>
        </w:rPr>
        <w:t xml:space="preserve"> de la saisie pour autant que cela ne pose pas un préjudice significatif au créancier (article XX.51, §</w:t>
      </w:r>
      <w:r w:rsidR="00ED52E7">
        <w:rPr>
          <w:rFonts w:ascii="Times New Roman" w:hAnsi="Times New Roman" w:cs="Times New Roman"/>
          <w:sz w:val="24"/>
          <w:szCs w:val="24"/>
        </w:rPr>
        <w:t xml:space="preserve"> </w:t>
      </w:r>
      <w:r w:rsidR="003F7B0C" w:rsidRPr="00CB0424">
        <w:rPr>
          <w:rFonts w:ascii="Times New Roman" w:hAnsi="Times New Roman" w:cs="Times New Roman"/>
          <w:sz w:val="24"/>
          <w:szCs w:val="24"/>
        </w:rPr>
        <w:t>1</w:t>
      </w:r>
      <w:r w:rsidR="003F7B0C" w:rsidRPr="00D969FC">
        <w:rPr>
          <w:rFonts w:ascii="Times New Roman" w:hAnsi="Times New Roman" w:cs="Times New Roman"/>
          <w:sz w:val="24"/>
          <w:szCs w:val="24"/>
          <w:vertAlign w:val="superscript"/>
        </w:rPr>
        <w:t>er</w:t>
      </w:r>
      <w:r w:rsidR="003F7B0C" w:rsidRPr="00CB0424">
        <w:rPr>
          <w:rFonts w:ascii="Times New Roman" w:hAnsi="Times New Roman" w:cs="Times New Roman"/>
          <w:sz w:val="24"/>
          <w:szCs w:val="24"/>
        </w:rPr>
        <w:t>, al. 2</w:t>
      </w:r>
      <w:r w:rsidR="00A76A10" w:rsidRPr="00CB0424">
        <w:rPr>
          <w:rFonts w:ascii="Times New Roman" w:hAnsi="Times New Roman" w:cs="Times New Roman"/>
          <w:sz w:val="24"/>
          <w:szCs w:val="24"/>
        </w:rPr>
        <w:t xml:space="preserve">, </w:t>
      </w:r>
      <w:r w:rsidR="003F7B0C" w:rsidRPr="00CB0424">
        <w:rPr>
          <w:rFonts w:ascii="Times New Roman" w:hAnsi="Times New Roman" w:cs="Times New Roman"/>
          <w:sz w:val="24"/>
          <w:szCs w:val="24"/>
        </w:rPr>
        <w:t xml:space="preserve">du C.D.E.). </w:t>
      </w:r>
    </w:p>
    <w:p w14:paraId="244E1F70" w14:textId="60605265" w:rsidR="003F7B0C" w:rsidRPr="00CB0424" w:rsidRDefault="003F7B0C" w:rsidP="00B5673A">
      <w:pPr>
        <w:pStyle w:val="Corps"/>
        <w:jc w:val="both"/>
        <w:rPr>
          <w:rFonts w:ascii="Times New Roman" w:hAnsi="Times New Roman" w:cs="Times New Roman"/>
          <w:sz w:val="24"/>
          <w:szCs w:val="24"/>
        </w:rPr>
      </w:pPr>
    </w:p>
    <w:p w14:paraId="31867E27" w14:textId="080F1005" w:rsidR="00FE5EED" w:rsidRDefault="003F7B0C"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 xml:space="preserve">Selon Georges </w:t>
      </w:r>
      <w:r w:rsidR="000C478C">
        <w:rPr>
          <w:rFonts w:ascii="Times New Roman" w:hAnsi="Times New Roman" w:cs="Times New Roman"/>
          <w:sz w:val="24"/>
          <w:szCs w:val="24"/>
        </w:rPr>
        <w:t>d</w:t>
      </w:r>
      <w:r w:rsidRPr="00CB0424">
        <w:rPr>
          <w:rFonts w:ascii="Times New Roman" w:hAnsi="Times New Roman" w:cs="Times New Roman"/>
          <w:sz w:val="24"/>
          <w:szCs w:val="24"/>
        </w:rPr>
        <w:t xml:space="preserve">e </w:t>
      </w:r>
      <w:proofErr w:type="spellStart"/>
      <w:r w:rsidRPr="00CB0424">
        <w:rPr>
          <w:rFonts w:ascii="Times New Roman" w:hAnsi="Times New Roman" w:cs="Times New Roman"/>
          <w:sz w:val="24"/>
          <w:szCs w:val="24"/>
        </w:rPr>
        <w:t>Leval</w:t>
      </w:r>
      <w:proofErr w:type="spellEnd"/>
      <w:r w:rsidRPr="00CB0424">
        <w:rPr>
          <w:rFonts w:ascii="Times New Roman" w:hAnsi="Times New Roman" w:cs="Times New Roman"/>
          <w:sz w:val="24"/>
          <w:szCs w:val="24"/>
        </w:rPr>
        <w:t>, dont nous partageons l’avis, et</w:t>
      </w:r>
      <w:r w:rsidR="005C7B71" w:rsidRPr="00CB0424">
        <w:rPr>
          <w:rFonts w:ascii="Times New Roman" w:hAnsi="Times New Roman" w:cs="Times New Roman"/>
          <w:sz w:val="24"/>
          <w:szCs w:val="24"/>
        </w:rPr>
        <w:t xml:space="preserve"> en appliquant par analogie l’article </w:t>
      </w:r>
      <w:r w:rsidRPr="00CB0424">
        <w:rPr>
          <w:rFonts w:ascii="Times New Roman" w:hAnsi="Times New Roman" w:cs="Times New Roman"/>
          <w:sz w:val="24"/>
          <w:szCs w:val="24"/>
        </w:rPr>
        <w:t>XX.51, §</w:t>
      </w:r>
      <w:r w:rsidR="000C478C">
        <w:rPr>
          <w:rFonts w:ascii="Times New Roman" w:hAnsi="Times New Roman" w:cs="Times New Roman"/>
          <w:sz w:val="24"/>
          <w:szCs w:val="24"/>
        </w:rPr>
        <w:t xml:space="preserve"> </w:t>
      </w:r>
      <w:r w:rsidRPr="00CB0424">
        <w:rPr>
          <w:rFonts w:ascii="Times New Roman" w:hAnsi="Times New Roman" w:cs="Times New Roman"/>
          <w:sz w:val="24"/>
          <w:szCs w:val="24"/>
        </w:rPr>
        <w:t xml:space="preserve">4, du C.D.E., </w:t>
      </w:r>
      <w:r w:rsidR="00EA73E5" w:rsidRPr="00CB0424">
        <w:rPr>
          <w:rFonts w:ascii="Times New Roman" w:hAnsi="Times New Roman" w:cs="Times New Roman"/>
          <w:sz w:val="24"/>
          <w:szCs w:val="24"/>
        </w:rPr>
        <w:t xml:space="preserve">applicable à la saisie en cours de biens indivis, </w:t>
      </w:r>
      <w:r w:rsidRPr="00CB0424">
        <w:rPr>
          <w:rFonts w:ascii="Times New Roman" w:hAnsi="Times New Roman" w:cs="Times New Roman"/>
          <w:sz w:val="24"/>
          <w:szCs w:val="24"/>
        </w:rPr>
        <w:t xml:space="preserve">l’huissier </w:t>
      </w:r>
      <w:r w:rsidR="007E251B">
        <w:rPr>
          <w:rFonts w:ascii="Times New Roman" w:hAnsi="Times New Roman" w:cs="Times New Roman"/>
          <w:sz w:val="24"/>
          <w:szCs w:val="24"/>
        </w:rPr>
        <w:t>(</w:t>
      </w:r>
      <w:r w:rsidRPr="00CB0424">
        <w:rPr>
          <w:rFonts w:ascii="Times New Roman" w:hAnsi="Times New Roman" w:cs="Times New Roman"/>
          <w:sz w:val="24"/>
          <w:szCs w:val="24"/>
        </w:rPr>
        <w:t>ou le notaire</w:t>
      </w:r>
      <w:r w:rsidR="007E251B">
        <w:rPr>
          <w:rFonts w:ascii="Times New Roman" w:hAnsi="Times New Roman" w:cs="Times New Roman"/>
          <w:sz w:val="24"/>
          <w:szCs w:val="24"/>
        </w:rPr>
        <w:t>, s’il s’agissait d’un immeuble)</w:t>
      </w:r>
      <w:r w:rsidRPr="00CB0424">
        <w:rPr>
          <w:rFonts w:ascii="Times New Roman" w:hAnsi="Times New Roman" w:cs="Times New Roman"/>
          <w:sz w:val="24"/>
          <w:szCs w:val="24"/>
        </w:rPr>
        <w:t xml:space="preserve"> chargé de vendre le bien devra procéder au règlement des créanciers hypothécaires et privilégiés spéciaux, le solde revenant au débiteur (ou au mandataire de justice en cas de transfert sous autorité de justice)</w:t>
      </w:r>
      <w:r w:rsidR="00FE5EED" w:rsidRPr="00CB0424">
        <w:rPr>
          <w:rStyle w:val="Appelnotedebasdep"/>
          <w:rFonts w:ascii="Times New Roman" w:hAnsi="Times New Roman" w:cs="Times New Roman"/>
          <w:sz w:val="24"/>
          <w:szCs w:val="24"/>
        </w:rPr>
        <w:footnoteReference w:id="25"/>
      </w:r>
      <w:r w:rsidRPr="00CB0424">
        <w:rPr>
          <w:rFonts w:ascii="Times New Roman" w:hAnsi="Times New Roman" w:cs="Times New Roman"/>
          <w:sz w:val="24"/>
          <w:szCs w:val="24"/>
        </w:rPr>
        <w:t xml:space="preserve">. Néanmoins, dans tel cas, hors l’hypothèse d’un transfert sous autorité de justice, </w:t>
      </w:r>
      <w:r w:rsidR="00B76186" w:rsidRPr="00CB0424">
        <w:rPr>
          <w:rFonts w:ascii="Times New Roman" w:hAnsi="Times New Roman" w:cs="Times New Roman"/>
          <w:sz w:val="24"/>
          <w:szCs w:val="24"/>
        </w:rPr>
        <w:t>les créanciers chirographaires et privilégiés généraux ne sont pas pris en compte pour la répartition du produit de vente</w:t>
      </w:r>
      <w:r w:rsidRPr="00CB0424">
        <w:rPr>
          <w:rFonts w:ascii="Times New Roman" w:hAnsi="Times New Roman" w:cs="Times New Roman"/>
          <w:sz w:val="24"/>
          <w:szCs w:val="24"/>
        </w:rPr>
        <w:t>, ceci constituant une différence de traitement, selon nous, injustifiable</w:t>
      </w:r>
      <w:r w:rsidR="00211F54" w:rsidRPr="00CB0424">
        <w:rPr>
          <w:rStyle w:val="Appelnotedebasdep"/>
          <w:rFonts w:ascii="Times New Roman" w:hAnsi="Times New Roman" w:cs="Times New Roman"/>
          <w:sz w:val="24"/>
          <w:szCs w:val="24"/>
        </w:rPr>
        <w:footnoteReference w:id="26"/>
      </w:r>
      <w:r w:rsidRPr="00CB0424">
        <w:rPr>
          <w:rFonts w:ascii="Times New Roman" w:hAnsi="Times New Roman" w:cs="Times New Roman"/>
          <w:sz w:val="24"/>
          <w:szCs w:val="24"/>
        </w:rPr>
        <w:t>.</w:t>
      </w:r>
    </w:p>
    <w:p w14:paraId="5BC47F29" w14:textId="77777777" w:rsidR="000C478C" w:rsidRPr="00CB0424" w:rsidRDefault="000C478C" w:rsidP="00B5673A">
      <w:pPr>
        <w:pStyle w:val="Corps"/>
        <w:jc w:val="both"/>
        <w:rPr>
          <w:rFonts w:ascii="Times New Roman" w:hAnsi="Times New Roman" w:cs="Times New Roman"/>
          <w:sz w:val="24"/>
          <w:szCs w:val="24"/>
        </w:rPr>
      </w:pPr>
    </w:p>
    <w:p w14:paraId="592889DB" w14:textId="0C2F7C58" w:rsidR="00B76186" w:rsidRPr="00CB0424" w:rsidRDefault="00713A4A"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En vue de corriger cette différence de traitement</w:t>
      </w:r>
      <w:r w:rsidR="0067040E" w:rsidRPr="00CB0424">
        <w:rPr>
          <w:rFonts w:ascii="Times New Roman" w:hAnsi="Times New Roman" w:cs="Times New Roman"/>
          <w:sz w:val="24"/>
          <w:szCs w:val="24"/>
        </w:rPr>
        <w:t xml:space="preserve">, et </w:t>
      </w:r>
      <w:r w:rsidRPr="00CB0424">
        <w:rPr>
          <w:rFonts w:ascii="Times New Roman" w:hAnsi="Times New Roman" w:cs="Times New Roman"/>
          <w:sz w:val="24"/>
          <w:szCs w:val="24"/>
        </w:rPr>
        <w:t xml:space="preserve">nonobstant </w:t>
      </w:r>
      <w:r w:rsidR="0067040E" w:rsidRPr="00CB0424">
        <w:rPr>
          <w:rFonts w:ascii="Times New Roman" w:hAnsi="Times New Roman" w:cs="Times New Roman"/>
          <w:sz w:val="24"/>
          <w:szCs w:val="24"/>
        </w:rPr>
        <w:t xml:space="preserve">le </w:t>
      </w:r>
      <w:r w:rsidRPr="00CB0424">
        <w:rPr>
          <w:rFonts w:ascii="Times New Roman" w:hAnsi="Times New Roman" w:cs="Times New Roman"/>
          <w:sz w:val="24"/>
          <w:szCs w:val="24"/>
        </w:rPr>
        <w:t>prescrit littéral du texte l</w:t>
      </w:r>
      <w:r w:rsidR="0067040E" w:rsidRPr="00CB0424">
        <w:rPr>
          <w:rFonts w:ascii="Times New Roman" w:hAnsi="Times New Roman" w:cs="Times New Roman"/>
          <w:sz w:val="24"/>
          <w:szCs w:val="24"/>
        </w:rPr>
        <w:t>égal</w:t>
      </w:r>
      <w:r w:rsidRPr="00CB0424">
        <w:rPr>
          <w:rFonts w:ascii="Times New Roman" w:hAnsi="Times New Roman" w:cs="Times New Roman"/>
          <w:sz w:val="24"/>
          <w:szCs w:val="24"/>
        </w:rPr>
        <w:t xml:space="preserve">, nous proposons la solution suivante : </w:t>
      </w:r>
      <w:r w:rsidR="00EA73E5" w:rsidRPr="00CB0424">
        <w:rPr>
          <w:rFonts w:ascii="Times New Roman" w:hAnsi="Times New Roman" w:cs="Times New Roman"/>
          <w:sz w:val="24"/>
          <w:szCs w:val="24"/>
        </w:rPr>
        <w:t xml:space="preserve">l’on pourrait charger l’huissier de justice, </w:t>
      </w:r>
      <w:r w:rsidR="00CF2F24" w:rsidRPr="00CB0424">
        <w:rPr>
          <w:rFonts w:ascii="Times New Roman" w:hAnsi="Times New Roman" w:cs="Times New Roman"/>
          <w:sz w:val="24"/>
          <w:szCs w:val="24"/>
        </w:rPr>
        <w:t xml:space="preserve">en dehors de l’hypothèse </w:t>
      </w:r>
      <w:r w:rsidR="00EA73E5" w:rsidRPr="00CB0424">
        <w:rPr>
          <w:rFonts w:ascii="Times New Roman" w:hAnsi="Times New Roman" w:cs="Times New Roman"/>
          <w:sz w:val="24"/>
          <w:szCs w:val="24"/>
        </w:rPr>
        <w:t>d’un transfert sous autorité de justice, de procéder à une distribution par contribution classique</w:t>
      </w:r>
      <w:r w:rsidR="00B76186" w:rsidRPr="00CB0424">
        <w:rPr>
          <w:rFonts w:ascii="Times New Roman" w:hAnsi="Times New Roman" w:cs="Times New Roman"/>
          <w:sz w:val="24"/>
          <w:szCs w:val="24"/>
        </w:rPr>
        <w:t xml:space="preserve"> ; les créanciers privilégiés généraux et chirographaires </w:t>
      </w:r>
      <w:r w:rsidR="00E06914">
        <w:rPr>
          <w:rFonts w:ascii="Times New Roman" w:hAnsi="Times New Roman" w:cs="Times New Roman"/>
          <w:sz w:val="24"/>
          <w:szCs w:val="24"/>
        </w:rPr>
        <w:t>seraient</w:t>
      </w:r>
      <w:r w:rsidR="00E06914" w:rsidRPr="00CB0424">
        <w:rPr>
          <w:rFonts w:ascii="Times New Roman" w:hAnsi="Times New Roman" w:cs="Times New Roman"/>
          <w:sz w:val="24"/>
          <w:szCs w:val="24"/>
        </w:rPr>
        <w:t xml:space="preserve"> </w:t>
      </w:r>
      <w:r w:rsidR="00B76186" w:rsidRPr="00CB0424">
        <w:rPr>
          <w:rFonts w:ascii="Times New Roman" w:hAnsi="Times New Roman" w:cs="Times New Roman"/>
          <w:sz w:val="24"/>
          <w:szCs w:val="24"/>
        </w:rPr>
        <w:t>alors pris en compte pour la répartition du prix</w:t>
      </w:r>
      <w:r w:rsidR="00E06914">
        <w:rPr>
          <w:rFonts w:ascii="Times New Roman" w:hAnsi="Times New Roman" w:cs="Times New Roman"/>
          <w:sz w:val="24"/>
          <w:szCs w:val="24"/>
        </w:rPr>
        <w:t>, le</w:t>
      </w:r>
      <w:r w:rsidR="00B76186" w:rsidRPr="00CB0424">
        <w:rPr>
          <w:rFonts w:ascii="Times New Roman" w:hAnsi="Times New Roman" w:cs="Times New Roman"/>
          <w:sz w:val="24"/>
          <w:szCs w:val="24"/>
        </w:rPr>
        <w:t xml:space="preserve"> solde éventuel </w:t>
      </w:r>
      <w:r w:rsidR="00E06914">
        <w:rPr>
          <w:rFonts w:ascii="Times New Roman" w:hAnsi="Times New Roman" w:cs="Times New Roman"/>
          <w:sz w:val="24"/>
          <w:szCs w:val="24"/>
        </w:rPr>
        <w:t>étant</w:t>
      </w:r>
      <w:r w:rsidR="00B76186" w:rsidRPr="00CB0424">
        <w:rPr>
          <w:rFonts w:ascii="Times New Roman" w:hAnsi="Times New Roman" w:cs="Times New Roman"/>
          <w:sz w:val="24"/>
          <w:szCs w:val="24"/>
        </w:rPr>
        <w:t xml:space="preserve"> remis au débiteur. </w:t>
      </w:r>
    </w:p>
    <w:p w14:paraId="7758865B" w14:textId="77777777" w:rsidR="004367EC" w:rsidRPr="00CB0424" w:rsidRDefault="004367EC" w:rsidP="00B5673A">
      <w:pPr>
        <w:pStyle w:val="Corps"/>
        <w:jc w:val="both"/>
        <w:rPr>
          <w:rFonts w:ascii="Times New Roman" w:eastAsia="Times New Roman" w:hAnsi="Times New Roman" w:cs="Times New Roman"/>
          <w:sz w:val="24"/>
          <w:szCs w:val="24"/>
        </w:rPr>
      </w:pPr>
    </w:p>
    <w:p w14:paraId="0DE552D4" w14:textId="42FA612B" w:rsidR="00CB7E4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L’article XX.51, §</w:t>
      </w:r>
      <w:r w:rsidR="002A0EDC">
        <w:rPr>
          <w:rFonts w:ascii="Times New Roman" w:hAnsi="Times New Roman" w:cs="Times New Roman"/>
          <w:sz w:val="24"/>
          <w:szCs w:val="24"/>
        </w:rPr>
        <w:t xml:space="preserve"> </w:t>
      </w:r>
      <w:r w:rsidRPr="00CB0424">
        <w:rPr>
          <w:rFonts w:ascii="Times New Roman" w:hAnsi="Times New Roman" w:cs="Times New Roman"/>
          <w:sz w:val="24"/>
          <w:szCs w:val="24"/>
        </w:rPr>
        <w:t>2</w:t>
      </w:r>
      <w:r w:rsidR="00A76A10" w:rsidRPr="00CB0424">
        <w:rPr>
          <w:rFonts w:ascii="Times New Roman" w:hAnsi="Times New Roman" w:cs="Times New Roman"/>
          <w:sz w:val="24"/>
          <w:szCs w:val="24"/>
        </w:rPr>
        <w:t xml:space="preserve">, </w:t>
      </w:r>
      <w:r w:rsidRPr="00CB0424">
        <w:rPr>
          <w:rFonts w:ascii="Times New Roman" w:hAnsi="Times New Roman" w:cs="Times New Roman"/>
          <w:sz w:val="24"/>
          <w:szCs w:val="24"/>
        </w:rPr>
        <w:t xml:space="preserve">du C.D.E. prévoit, en ce qui concerne les opérations de vente mobilière en cours, que le </w:t>
      </w:r>
      <w:r w:rsidRPr="00D96A6A">
        <w:rPr>
          <w:rFonts w:ascii="Times New Roman" w:hAnsi="Times New Roman" w:cs="Times New Roman"/>
          <w:sz w:val="24"/>
          <w:szCs w:val="24"/>
        </w:rPr>
        <w:t xml:space="preserve">débiteur </w:t>
      </w:r>
      <w:r w:rsidRPr="00B06F42">
        <w:rPr>
          <w:rFonts w:ascii="Times New Roman" w:hAnsi="Times New Roman" w:cs="Times New Roman"/>
          <w:sz w:val="24"/>
          <w:szCs w:val="24"/>
        </w:rPr>
        <w:t>qui n’a pas fait usage</w:t>
      </w:r>
      <w:r w:rsidR="002A0EDC" w:rsidRPr="00B06F42">
        <w:rPr>
          <w:rFonts w:ascii="Times New Roman" w:hAnsi="Times New Roman" w:cs="Times New Roman"/>
          <w:sz w:val="24"/>
          <w:szCs w:val="24"/>
        </w:rPr>
        <w:t xml:space="preserve"> </w:t>
      </w:r>
      <w:r w:rsidRPr="00D96A6A">
        <w:rPr>
          <w:rFonts w:ascii="Times New Roman" w:hAnsi="Times New Roman" w:cs="Times New Roman"/>
          <w:sz w:val="24"/>
          <w:szCs w:val="24"/>
        </w:rPr>
        <w:t>du</w:t>
      </w:r>
      <w:r w:rsidRPr="00CB0424">
        <w:rPr>
          <w:rFonts w:ascii="Times New Roman" w:hAnsi="Times New Roman" w:cs="Times New Roman"/>
          <w:sz w:val="24"/>
          <w:szCs w:val="24"/>
        </w:rPr>
        <w:t xml:space="preserve"> droit de demander la suspension prévue à l’article XX.44, §</w:t>
      </w:r>
      <w:r w:rsidR="002A0EDC">
        <w:rPr>
          <w:rFonts w:ascii="Times New Roman" w:hAnsi="Times New Roman" w:cs="Times New Roman"/>
          <w:sz w:val="24"/>
          <w:szCs w:val="24"/>
        </w:rPr>
        <w:t xml:space="preserve"> </w:t>
      </w:r>
      <w:r w:rsidRPr="00CB0424">
        <w:rPr>
          <w:rFonts w:ascii="Times New Roman" w:hAnsi="Times New Roman" w:cs="Times New Roman"/>
          <w:sz w:val="24"/>
          <w:szCs w:val="24"/>
        </w:rPr>
        <w:t>2</w:t>
      </w:r>
      <w:r w:rsidR="00A76A10" w:rsidRPr="00CB0424">
        <w:rPr>
          <w:rFonts w:ascii="Times New Roman" w:hAnsi="Times New Roman" w:cs="Times New Roman"/>
          <w:sz w:val="24"/>
          <w:szCs w:val="24"/>
        </w:rPr>
        <w:t xml:space="preserve">, </w:t>
      </w:r>
      <w:r w:rsidRPr="00CB0424">
        <w:rPr>
          <w:rFonts w:ascii="Times New Roman" w:hAnsi="Times New Roman" w:cs="Times New Roman"/>
          <w:sz w:val="24"/>
          <w:szCs w:val="24"/>
        </w:rPr>
        <w:t xml:space="preserve">du C.D.E. </w:t>
      </w:r>
      <w:r w:rsidR="009A492B">
        <w:rPr>
          <w:rFonts w:ascii="Times New Roman" w:hAnsi="Times New Roman" w:cs="Times New Roman"/>
          <w:sz w:val="24"/>
          <w:szCs w:val="24"/>
        </w:rPr>
        <w:t>(ou dont la demande en suspension a été rejetée)</w:t>
      </w:r>
      <w:r w:rsidR="00CB7E44">
        <w:rPr>
          <w:rFonts w:ascii="Times New Roman" w:hAnsi="Times New Roman" w:cs="Times New Roman"/>
          <w:sz w:val="24"/>
          <w:szCs w:val="24"/>
        </w:rPr>
        <w:t xml:space="preserve"> </w:t>
      </w:r>
      <w:r w:rsidRPr="00CB0424">
        <w:rPr>
          <w:rFonts w:ascii="Times New Roman" w:hAnsi="Times New Roman" w:cs="Times New Roman"/>
          <w:sz w:val="24"/>
          <w:szCs w:val="24"/>
        </w:rPr>
        <w:t>peut demander au tribunal d’en prononcer la s</w:t>
      </w:r>
      <w:r w:rsidR="009A492B">
        <w:rPr>
          <w:rFonts w:ascii="Times New Roman" w:hAnsi="Times New Roman" w:cs="Times New Roman"/>
          <w:sz w:val="24"/>
          <w:szCs w:val="24"/>
        </w:rPr>
        <w:t>u</w:t>
      </w:r>
      <w:r w:rsidRPr="00CB0424">
        <w:rPr>
          <w:rFonts w:ascii="Times New Roman" w:hAnsi="Times New Roman" w:cs="Times New Roman"/>
          <w:sz w:val="24"/>
          <w:szCs w:val="24"/>
        </w:rPr>
        <w:t>spension après avoir entendu le juge délégué en son rapport et le débiteur.</w:t>
      </w:r>
      <w:r w:rsidR="00CB7E44">
        <w:rPr>
          <w:rStyle w:val="Appelnotedebasdep"/>
          <w:rFonts w:ascii="Times New Roman" w:hAnsi="Times New Roman" w:cs="Times New Roman"/>
          <w:sz w:val="24"/>
          <w:szCs w:val="24"/>
        </w:rPr>
        <w:footnoteReference w:id="27"/>
      </w:r>
    </w:p>
    <w:p w14:paraId="2DCED029" w14:textId="03FDEBE4" w:rsidR="004367EC" w:rsidRPr="00CB0424" w:rsidRDefault="004367EC" w:rsidP="00B5673A">
      <w:pPr>
        <w:pStyle w:val="Corps"/>
        <w:jc w:val="both"/>
        <w:rPr>
          <w:rFonts w:ascii="Times New Roman" w:eastAsia="Times New Roman" w:hAnsi="Times New Roman" w:cs="Times New Roman"/>
          <w:b/>
          <w:bCs/>
          <w:sz w:val="24"/>
          <w:szCs w:val="24"/>
        </w:rPr>
      </w:pPr>
    </w:p>
    <w:p w14:paraId="1409B66F" w14:textId="3CF5FB40" w:rsidR="00457C41" w:rsidRPr="00CB0424" w:rsidRDefault="00457C41"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Quel est l’impact de l’article XX.51 du C.D.E. sur une saisie-arrêt</w:t>
      </w:r>
      <w:r w:rsidR="00BA18AB">
        <w:rPr>
          <w:rFonts w:ascii="Times New Roman" w:hAnsi="Times New Roman" w:cs="Times New Roman"/>
          <w:sz w:val="24"/>
          <w:szCs w:val="24"/>
        </w:rPr>
        <w:t>-</w:t>
      </w:r>
      <w:r w:rsidRPr="00CB0424">
        <w:rPr>
          <w:rFonts w:ascii="Times New Roman" w:hAnsi="Times New Roman" w:cs="Times New Roman"/>
          <w:sz w:val="24"/>
          <w:szCs w:val="24"/>
        </w:rPr>
        <w:t xml:space="preserve">exécution en cours ? En principe, </w:t>
      </w:r>
      <w:r w:rsidR="009367D5">
        <w:rPr>
          <w:rFonts w:ascii="Times New Roman" w:hAnsi="Times New Roman" w:cs="Times New Roman"/>
          <w:sz w:val="24"/>
          <w:szCs w:val="24"/>
        </w:rPr>
        <w:t>pareille mesure</w:t>
      </w:r>
      <w:r w:rsidRPr="00CB0424">
        <w:rPr>
          <w:rFonts w:ascii="Times New Roman" w:hAnsi="Times New Roman" w:cs="Times New Roman"/>
          <w:sz w:val="24"/>
          <w:szCs w:val="24"/>
        </w:rPr>
        <w:t xml:space="preserve"> se voit suspendue et a vocation à se dénaturer en saisie conservatoire</w:t>
      </w:r>
      <w:r w:rsidRPr="00CB0424">
        <w:rPr>
          <w:rStyle w:val="Appelnotedebasdep"/>
          <w:rFonts w:ascii="Times New Roman" w:hAnsi="Times New Roman" w:cs="Times New Roman"/>
          <w:sz w:val="24"/>
          <w:szCs w:val="24"/>
        </w:rPr>
        <w:footnoteReference w:id="28"/>
      </w:r>
      <w:r w:rsidRPr="00CB0424">
        <w:rPr>
          <w:rFonts w:ascii="Times New Roman" w:hAnsi="Times New Roman" w:cs="Times New Roman"/>
          <w:sz w:val="24"/>
          <w:szCs w:val="24"/>
        </w:rPr>
        <w:t xml:space="preserve">. Aucune exception, contrairement à la saisie mobilière portant sur un meuble corporel, n’est prévue </w:t>
      </w:r>
      <w:r w:rsidR="0067040E" w:rsidRPr="00CB0424">
        <w:rPr>
          <w:rFonts w:ascii="Times New Roman" w:hAnsi="Times New Roman" w:cs="Times New Roman"/>
          <w:sz w:val="24"/>
          <w:szCs w:val="24"/>
        </w:rPr>
        <w:t>à cette suspension de principe</w:t>
      </w:r>
      <w:r w:rsidR="00CB7E44">
        <w:rPr>
          <w:rFonts w:ascii="Times New Roman" w:hAnsi="Times New Roman" w:cs="Times New Roman"/>
          <w:sz w:val="24"/>
          <w:szCs w:val="24"/>
        </w:rPr>
        <w:t xml:space="preserve"> dès lors qu’il n’y a pas de « vente forcée » à proprement parler en matière de saisie-arrêt exécution (</w:t>
      </w:r>
      <w:proofErr w:type="spellStart"/>
      <w:r w:rsidR="00CB7E44">
        <w:rPr>
          <w:rFonts w:ascii="Times New Roman" w:hAnsi="Times New Roman" w:cs="Times New Roman"/>
          <w:sz w:val="24"/>
          <w:szCs w:val="24"/>
        </w:rPr>
        <w:t>voy</w:t>
      </w:r>
      <w:proofErr w:type="spellEnd"/>
      <w:r w:rsidR="00CB7E44">
        <w:rPr>
          <w:rFonts w:ascii="Times New Roman" w:hAnsi="Times New Roman" w:cs="Times New Roman"/>
          <w:sz w:val="24"/>
          <w:szCs w:val="24"/>
        </w:rPr>
        <w:t xml:space="preserve">. </w:t>
      </w:r>
      <w:proofErr w:type="gramStart"/>
      <w:r w:rsidR="00CB7E44" w:rsidRPr="00CB7E44">
        <w:rPr>
          <w:rFonts w:ascii="Times New Roman" w:hAnsi="Times New Roman" w:cs="Times New Roman"/>
          <w:i/>
          <w:iCs/>
          <w:sz w:val="24"/>
          <w:szCs w:val="24"/>
        </w:rPr>
        <w:t>supra</w:t>
      </w:r>
      <w:proofErr w:type="gramEnd"/>
      <w:r w:rsidR="00CB7E44">
        <w:rPr>
          <w:rFonts w:ascii="Times New Roman" w:hAnsi="Times New Roman" w:cs="Times New Roman"/>
          <w:sz w:val="24"/>
          <w:szCs w:val="24"/>
        </w:rPr>
        <w:t xml:space="preserve">, </w:t>
      </w:r>
      <w:proofErr w:type="spellStart"/>
      <w:r w:rsidR="00CB7E44">
        <w:rPr>
          <w:rFonts w:ascii="Times New Roman" w:hAnsi="Times New Roman" w:cs="Times New Roman"/>
          <w:sz w:val="24"/>
          <w:szCs w:val="24"/>
        </w:rPr>
        <w:t>n°I</w:t>
      </w:r>
      <w:proofErr w:type="spellEnd"/>
      <w:r w:rsidR="00CB7E44">
        <w:rPr>
          <w:rFonts w:ascii="Times New Roman" w:hAnsi="Times New Roman" w:cs="Times New Roman"/>
          <w:sz w:val="24"/>
          <w:szCs w:val="24"/>
        </w:rPr>
        <w:t>, 3, a))</w:t>
      </w:r>
      <w:r w:rsidR="00C927FE">
        <w:rPr>
          <w:rFonts w:ascii="Times New Roman" w:hAnsi="Times New Roman" w:cs="Times New Roman"/>
          <w:sz w:val="24"/>
          <w:szCs w:val="24"/>
        </w:rPr>
        <w:t xml:space="preserve">. </w:t>
      </w:r>
      <w:r w:rsidRPr="00CB0424">
        <w:rPr>
          <w:rFonts w:ascii="Times New Roman" w:hAnsi="Times New Roman" w:cs="Times New Roman"/>
          <w:sz w:val="24"/>
          <w:szCs w:val="24"/>
        </w:rPr>
        <w:t xml:space="preserve">Cette différence de traitement </w:t>
      </w:r>
      <w:r w:rsidR="0067040E" w:rsidRPr="00CB0424">
        <w:rPr>
          <w:rFonts w:ascii="Times New Roman" w:hAnsi="Times New Roman" w:cs="Times New Roman"/>
          <w:sz w:val="24"/>
          <w:szCs w:val="24"/>
        </w:rPr>
        <w:t>résultant des textes légaux nous semble</w:t>
      </w:r>
      <w:r w:rsidR="00A76A10" w:rsidRPr="00CB0424">
        <w:rPr>
          <w:rFonts w:ascii="Times New Roman" w:hAnsi="Times New Roman" w:cs="Times New Roman"/>
          <w:sz w:val="24"/>
          <w:szCs w:val="24"/>
        </w:rPr>
        <w:t xml:space="preserve">, </w:t>
      </w:r>
      <w:r w:rsidR="005C7B71" w:rsidRPr="00CB0424">
        <w:rPr>
          <w:rFonts w:ascii="Times New Roman" w:hAnsi="Times New Roman" w:cs="Times New Roman"/>
          <w:sz w:val="24"/>
          <w:szCs w:val="24"/>
        </w:rPr>
        <w:t>une fois encore</w:t>
      </w:r>
      <w:r w:rsidR="00A76A10" w:rsidRPr="00CB0424">
        <w:rPr>
          <w:rFonts w:ascii="Times New Roman" w:hAnsi="Times New Roman" w:cs="Times New Roman"/>
          <w:sz w:val="24"/>
          <w:szCs w:val="24"/>
        </w:rPr>
        <w:t xml:space="preserve">, </w:t>
      </w:r>
      <w:r w:rsidRPr="00CB0424">
        <w:rPr>
          <w:rFonts w:ascii="Times New Roman" w:hAnsi="Times New Roman" w:cs="Times New Roman"/>
          <w:sz w:val="24"/>
          <w:szCs w:val="24"/>
        </w:rPr>
        <w:t xml:space="preserve">injustifiée. </w:t>
      </w:r>
    </w:p>
    <w:p w14:paraId="73BB384A" w14:textId="706B6232" w:rsidR="00DA2D24" w:rsidRPr="00CB0424" w:rsidRDefault="00DA2D24" w:rsidP="00B5673A">
      <w:pPr>
        <w:pStyle w:val="Corps"/>
        <w:jc w:val="both"/>
        <w:rPr>
          <w:rFonts w:ascii="Times New Roman" w:eastAsia="Times New Roman" w:hAnsi="Times New Roman" w:cs="Times New Roman"/>
          <w:b/>
          <w:bCs/>
          <w:sz w:val="24"/>
          <w:szCs w:val="24"/>
        </w:rPr>
      </w:pPr>
    </w:p>
    <w:p w14:paraId="2A8818C1" w14:textId="77777777" w:rsidR="00DA2D24" w:rsidRPr="00CB0424" w:rsidRDefault="00DA2D24" w:rsidP="00B5673A">
      <w:pPr>
        <w:pStyle w:val="Corps"/>
        <w:jc w:val="both"/>
        <w:rPr>
          <w:rFonts w:ascii="Times New Roman" w:eastAsia="Times New Roman" w:hAnsi="Times New Roman" w:cs="Times New Roman"/>
          <w:b/>
          <w:bCs/>
          <w:sz w:val="24"/>
          <w:szCs w:val="24"/>
        </w:rPr>
      </w:pPr>
    </w:p>
    <w:p w14:paraId="72147E9F" w14:textId="537C9A2E" w:rsidR="004367EC" w:rsidRPr="00CB0424" w:rsidRDefault="00E8092E" w:rsidP="00B5673A">
      <w:pPr>
        <w:pStyle w:val="Corps"/>
        <w:numPr>
          <w:ilvl w:val="0"/>
          <w:numId w:val="18"/>
        </w:numPr>
        <w:jc w:val="both"/>
        <w:rPr>
          <w:rFonts w:ascii="Times New Roman" w:eastAsia="Times New Roman" w:hAnsi="Times New Roman" w:cs="Times New Roman"/>
          <w:b/>
          <w:bCs/>
          <w:sz w:val="24"/>
          <w:szCs w:val="24"/>
        </w:rPr>
      </w:pPr>
      <w:r w:rsidRPr="00CB0424">
        <w:rPr>
          <w:rFonts w:ascii="Times New Roman" w:hAnsi="Times New Roman" w:cs="Times New Roman"/>
          <w:b/>
          <w:bCs/>
          <w:sz w:val="24"/>
          <w:szCs w:val="24"/>
        </w:rPr>
        <w:t>Saisie</w:t>
      </w:r>
      <w:r w:rsidR="00A30C81">
        <w:rPr>
          <w:rFonts w:ascii="Times New Roman" w:hAnsi="Times New Roman" w:cs="Times New Roman"/>
          <w:b/>
          <w:bCs/>
          <w:sz w:val="24"/>
          <w:szCs w:val="24"/>
        </w:rPr>
        <w:t>-exécution</w:t>
      </w:r>
      <w:r w:rsidRPr="00CB0424">
        <w:rPr>
          <w:rFonts w:ascii="Times New Roman" w:hAnsi="Times New Roman" w:cs="Times New Roman"/>
          <w:b/>
          <w:bCs/>
          <w:sz w:val="24"/>
          <w:szCs w:val="24"/>
        </w:rPr>
        <w:t xml:space="preserve"> immobilière </w:t>
      </w:r>
    </w:p>
    <w:p w14:paraId="174A8FC7" w14:textId="77777777" w:rsidR="004367EC" w:rsidRPr="00CB0424" w:rsidRDefault="004367EC" w:rsidP="00B5673A">
      <w:pPr>
        <w:pStyle w:val="Corps"/>
        <w:jc w:val="both"/>
        <w:rPr>
          <w:rFonts w:ascii="Times New Roman" w:eastAsia="Times New Roman" w:hAnsi="Times New Roman" w:cs="Times New Roman"/>
          <w:sz w:val="24"/>
          <w:szCs w:val="24"/>
        </w:rPr>
      </w:pPr>
    </w:p>
    <w:p w14:paraId="227A7C11" w14:textId="65BB5445" w:rsidR="004367EC" w:rsidRPr="00CB0424" w:rsidRDefault="00E8092E" w:rsidP="00630F71">
      <w:pPr>
        <w:pStyle w:val="Corps"/>
        <w:numPr>
          <w:ilvl w:val="0"/>
          <w:numId w:val="24"/>
        </w:numPr>
        <w:jc w:val="both"/>
        <w:rPr>
          <w:rFonts w:ascii="Times New Roman" w:eastAsia="Times New Roman" w:hAnsi="Times New Roman" w:cs="Times New Roman"/>
          <w:b/>
          <w:bCs/>
          <w:i/>
          <w:iCs/>
          <w:sz w:val="24"/>
          <w:szCs w:val="24"/>
        </w:rPr>
      </w:pPr>
      <w:r w:rsidRPr="00CB0424">
        <w:rPr>
          <w:rFonts w:ascii="Times New Roman" w:hAnsi="Times New Roman" w:cs="Times New Roman"/>
          <w:b/>
          <w:bCs/>
          <w:i/>
          <w:iCs/>
          <w:sz w:val="24"/>
          <w:szCs w:val="24"/>
        </w:rPr>
        <w:t xml:space="preserve"> Article XX.44 du C.D.E. </w:t>
      </w:r>
    </w:p>
    <w:p w14:paraId="4FF6698C" w14:textId="77777777" w:rsidR="004367EC" w:rsidRPr="00CB0424" w:rsidRDefault="004367EC" w:rsidP="00B5673A">
      <w:pPr>
        <w:pStyle w:val="Corps"/>
        <w:jc w:val="both"/>
        <w:rPr>
          <w:rFonts w:ascii="Times New Roman" w:eastAsia="Times New Roman" w:hAnsi="Times New Roman" w:cs="Times New Roman"/>
          <w:sz w:val="24"/>
          <w:szCs w:val="24"/>
        </w:rPr>
      </w:pPr>
    </w:p>
    <w:p w14:paraId="3B3C03BD" w14:textId="41C5C10D" w:rsidR="004367EC"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Comme en matière mobilière, l’article XX.44 du C.D.E. érige en principe la s</w:t>
      </w:r>
      <w:r w:rsidR="0069242D" w:rsidRPr="00CB0424">
        <w:rPr>
          <w:rFonts w:ascii="Times New Roman" w:hAnsi="Times New Roman" w:cs="Times New Roman"/>
          <w:sz w:val="24"/>
          <w:szCs w:val="24"/>
        </w:rPr>
        <w:t xml:space="preserve">uspension de la réalisation des biens immeubles </w:t>
      </w:r>
      <w:r w:rsidR="00976D2C">
        <w:rPr>
          <w:rFonts w:ascii="Times New Roman" w:hAnsi="Times New Roman" w:cs="Times New Roman"/>
          <w:sz w:val="24"/>
          <w:szCs w:val="24"/>
        </w:rPr>
        <w:t xml:space="preserve">à la </w:t>
      </w:r>
      <w:r w:rsidRPr="00CB0424">
        <w:rPr>
          <w:rFonts w:ascii="Times New Roman" w:hAnsi="Times New Roman" w:cs="Times New Roman"/>
          <w:sz w:val="24"/>
          <w:szCs w:val="24"/>
        </w:rPr>
        <w:t xml:space="preserve">suite </w:t>
      </w:r>
      <w:r w:rsidR="00976D2C">
        <w:rPr>
          <w:rFonts w:ascii="Times New Roman" w:hAnsi="Times New Roman" w:cs="Times New Roman"/>
          <w:sz w:val="24"/>
          <w:szCs w:val="24"/>
        </w:rPr>
        <w:t>d</w:t>
      </w:r>
      <w:r w:rsidRPr="00CB0424">
        <w:rPr>
          <w:rFonts w:ascii="Times New Roman" w:hAnsi="Times New Roman" w:cs="Times New Roman"/>
          <w:sz w:val="24"/>
          <w:szCs w:val="24"/>
        </w:rPr>
        <w:t xml:space="preserve">u dépôt de la requête en réorganisation judiciaire. </w:t>
      </w:r>
    </w:p>
    <w:p w14:paraId="08684860" w14:textId="77777777" w:rsidR="004367EC" w:rsidRPr="00CB0424" w:rsidRDefault="004367EC" w:rsidP="00B5673A">
      <w:pPr>
        <w:pStyle w:val="Corps"/>
        <w:jc w:val="both"/>
        <w:rPr>
          <w:rFonts w:ascii="Times New Roman" w:eastAsia="Times New Roman" w:hAnsi="Times New Roman" w:cs="Times New Roman"/>
          <w:sz w:val="24"/>
          <w:szCs w:val="24"/>
        </w:rPr>
      </w:pPr>
    </w:p>
    <w:p w14:paraId="23AD2EC5" w14:textId="0D9D30E2" w:rsidR="004367EC" w:rsidRPr="00CB0424" w:rsidRDefault="00E8092E" w:rsidP="00B5673A">
      <w:pPr>
        <w:pStyle w:val="Corps"/>
        <w:jc w:val="both"/>
        <w:rPr>
          <w:rFonts w:ascii="Times New Roman" w:eastAsia="Times New Roman" w:hAnsi="Times New Roman" w:cs="Times New Roman"/>
          <w:sz w:val="24"/>
          <w:szCs w:val="24"/>
        </w:rPr>
      </w:pPr>
      <w:r w:rsidRPr="00CB0424">
        <w:rPr>
          <w:rFonts w:ascii="Times New Roman" w:hAnsi="Times New Roman" w:cs="Times New Roman"/>
          <w:sz w:val="24"/>
          <w:szCs w:val="24"/>
        </w:rPr>
        <w:t xml:space="preserve">Ce principe connait deux exceptions : </w:t>
      </w:r>
    </w:p>
    <w:p w14:paraId="45E7EF44" w14:textId="77777777" w:rsidR="004367EC" w:rsidRPr="00CB0424" w:rsidRDefault="004367EC" w:rsidP="00B5673A">
      <w:pPr>
        <w:pStyle w:val="Corps"/>
        <w:jc w:val="both"/>
        <w:rPr>
          <w:rFonts w:ascii="Times New Roman" w:eastAsia="Times New Roman" w:hAnsi="Times New Roman" w:cs="Times New Roman"/>
          <w:sz w:val="24"/>
          <w:szCs w:val="24"/>
        </w:rPr>
      </w:pPr>
    </w:p>
    <w:p w14:paraId="6DD2EA47" w14:textId="6C78CC2A" w:rsidR="004367EC" w:rsidRPr="00CB0424" w:rsidRDefault="00E8092E" w:rsidP="00B5673A">
      <w:pPr>
        <w:pStyle w:val="Corps"/>
        <w:numPr>
          <w:ilvl w:val="0"/>
          <w:numId w:val="11"/>
        </w:numPr>
        <w:jc w:val="both"/>
        <w:rPr>
          <w:rFonts w:ascii="Times New Roman" w:eastAsia="Times New Roman" w:hAnsi="Times New Roman" w:cs="Times New Roman"/>
          <w:sz w:val="24"/>
          <w:szCs w:val="24"/>
        </w:rPr>
      </w:pPr>
      <w:r w:rsidRPr="00B06F42">
        <w:rPr>
          <w:rFonts w:ascii="Times New Roman" w:hAnsi="Times New Roman" w:cs="Times New Roman"/>
          <w:sz w:val="24"/>
          <w:szCs w:val="24"/>
        </w:rPr>
        <w:t>Si le jour fix</w:t>
      </w:r>
      <w:r w:rsidR="00B06F42">
        <w:rPr>
          <w:rFonts w:ascii="Times New Roman" w:hAnsi="Times New Roman" w:cs="Times New Roman"/>
          <w:sz w:val="24"/>
          <w:szCs w:val="24"/>
        </w:rPr>
        <w:t>é pour l</w:t>
      </w:r>
      <w:r w:rsidRPr="00B06F42">
        <w:rPr>
          <w:rFonts w:ascii="Times New Roman" w:hAnsi="Times New Roman" w:cs="Times New Roman"/>
          <w:sz w:val="24"/>
          <w:szCs w:val="24"/>
        </w:rPr>
        <w:t>a vente de l’immeuble échoit dans un délai de deux mois suivant le dépôt de la requête, les opérations peuvent</w:t>
      </w:r>
      <w:r w:rsidRPr="00CB0424">
        <w:rPr>
          <w:rFonts w:ascii="Times New Roman" w:hAnsi="Times New Roman" w:cs="Times New Roman"/>
          <w:sz w:val="24"/>
          <w:szCs w:val="24"/>
        </w:rPr>
        <w:t xml:space="preserve"> se poursuivre</w:t>
      </w:r>
      <w:r w:rsidRPr="00CB0424">
        <w:rPr>
          <w:rFonts w:ascii="Times New Roman" w:eastAsia="Times New Roman" w:hAnsi="Times New Roman" w:cs="Times New Roman"/>
          <w:sz w:val="24"/>
          <w:szCs w:val="24"/>
          <w:vertAlign w:val="superscript"/>
        </w:rPr>
        <w:footnoteReference w:id="29"/>
      </w:r>
      <w:r w:rsidRPr="00CB0424">
        <w:rPr>
          <w:rFonts w:ascii="Times New Roman" w:hAnsi="Times New Roman" w:cs="Times New Roman"/>
          <w:sz w:val="24"/>
          <w:szCs w:val="24"/>
        </w:rPr>
        <w:t xml:space="preserve">. Si la vente se poursuit et en cas de transfert sous autorité de justice, le notaire procédera à un ordre allégé (article 1639, al. 2, du C. </w:t>
      </w:r>
      <w:proofErr w:type="spellStart"/>
      <w:r w:rsidRPr="00CB0424">
        <w:rPr>
          <w:rFonts w:ascii="Times New Roman" w:hAnsi="Times New Roman" w:cs="Times New Roman"/>
          <w:sz w:val="24"/>
          <w:szCs w:val="24"/>
        </w:rPr>
        <w:t>Jud</w:t>
      </w:r>
      <w:proofErr w:type="spellEnd"/>
      <w:r w:rsidR="007D5DAB" w:rsidRPr="00CB0424">
        <w:rPr>
          <w:rFonts w:ascii="Times New Roman" w:hAnsi="Times New Roman" w:cs="Times New Roman"/>
          <w:sz w:val="24"/>
          <w:szCs w:val="24"/>
        </w:rPr>
        <w:t>.</w:t>
      </w:r>
      <w:r w:rsidRPr="00CB0424">
        <w:rPr>
          <w:rFonts w:ascii="Times New Roman" w:hAnsi="Times New Roman" w:cs="Times New Roman"/>
          <w:sz w:val="24"/>
          <w:szCs w:val="24"/>
        </w:rPr>
        <w:t xml:space="preserve">) </w:t>
      </w:r>
      <w:r w:rsidR="00A776E9" w:rsidRPr="00CB0424">
        <w:rPr>
          <w:rFonts w:ascii="Times New Roman" w:hAnsi="Times New Roman" w:cs="Times New Roman"/>
          <w:sz w:val="24"/>
          <w:szCs w:val="24"/>
        </w:rPr>
        <w:t xml:space="preserve">en réglant les créanciers hypothécaires et privilégiés spéciaux, </w:t>
      </w:r>
      <w:r w:rsidRPr="00CB0424">
        <w:rPr>
          <w:rFonts w:ascii="Times New Roman" w:hAnsi="Times New Roman" w:cs="Times New Roman"/>
          <w:sz w:val="24"/>
          <w:szCs w:val="24"/>
        </w:rPr>
        <w:t xml:space="preserve">le solde du prix de vente </w:t>
      </w:r>
      <w:r w:rsidR="007A4223">
        <w:rPr>
          <w:rFonts w:ascii="Times New Roman" w:hAnsi="Times New Roman" w:cs="Times New Roman"/>
          <w:sz w:val="24"/>
          <w:szCs w:val="24"/>
        </w:rPr>
        <w:t>étant</w:t>
      </w:r>
      <w:r w:rsidRPr="00CB0424">
        <w:rPr>
          <w:rFonts w:ascii="Times New Roman" w:hAnsi="Times New Roman" w:cs="Times New Roman"/>
          <w:sz w:val="24"/>
          <w:szCs w:val="24"/>
        </w:rPr>
        <w:t xml:space="preserve"> ensuite remis au mandataire de justice</w:t>
      </w:r>
      <w:r w:rsidRPr="00CB0424">
        <w:rPr>
          <w:rFonts w:ascii="Times New Roman" w:eastAsia="Times New Roman" w:hAnsi="Times New Roman" w:cs="Times New Roman"/>
          <w:sz w:val="24"/>
          <w:szCs w:val="24"/>
          <w:vertAlign w:val="superscript"/>
        </w:rPr>
        <w:footnoteReference w:id="30"/>
      </w:r>
      <w:r w:rsidRPr="00CB0424">
        <w:rPr>
          <w:rFonts w:ascii="Times New Roman" w:hAnsi="Times New Roman" w:cs="Times New Roman"/>
          <w:sz w:val="24"/>
          <w:szCs w:val="24"/>
        </w:rPr>
        <w:t>.</w:t>
      </w:r>
      <w:r w:rsidR="007A4223">
        <w:rPr>
          <w:rFonts w:ascii="Times New Roman" w:hAnsi="Times New Roman" w:cs="Times New Roman"/>
          <w:sz w:val="24"/>
          <w:szCs w:val="24"/>
        </w:rPr>
        <w:t xml:space="preserve"> </w:t>
      </w:r>
      <w:r w:rsidRPr="00CB0424">
        <w:rPr>
          <w:rFonts w:ascii="Times New Roman" w:hAnsi="Times New Roman" w:cs="Times New Roman"/>
          <w:sz w:val="24"/>
          <w:szCs w:val="24"/>
        </w:rPr>
        <w:t xml:space="preserve">Toutefois, </w:t>
      </w:r>
      <w:r w:rsidR="007A4223">
        <w:rPr>
          <w:rFonts w:ascii="Times New Roman" w:hAnsi="Times New Roman" w:cs="Times New Roman"/>
          <w:sz w:val="24"/>
          <w:szCs w:val="24"/>
        </w:rPr>
        <w:t>moyennant le</w:t>
      </w:r>
      <w:r w:rsidRPr="00CB0424">
        <w:rPr>
          <w:rFonts w:ascii="Times New Roman" w:hAnsi="Times New Roman" w:cs="Times New Roman"/>
          <w:sz w:val="24"/>
          <w:szCs w:val="24"/>
        </w:rPr>
        <w:t xml:space="preserve"> respect de trois conditions cumulatives </w:t>
      </w:r>
      <w:r w:rsidRPr="00CB0424">
        <w:rPr>
          <w:rFonts w:ascii="Times New Roman" w:hAnsi="Times New Roman" w:cs="Times New Roman"/>
          <w:sz w:val="24"/>
          <w:szCs w:val="24"/>
        </w:rPr>
        <w:lastRenderedPageBreak/>
        <w:t>prévues à l’article XX.44, §</w:t>
      </w:r>
      <w:r w:rsidR="007A4223">
        <w:rPr>
          <w:rFonts w:ascii="Times New Roman" w:hAnsi="Times New Roman" w:cs="Times New Roman"/>
          <w:sz w:val="24"/>
          <w:szCs w:val="24"/>
        </w:rPr>
        <w:t xml:space="preserve"> </w:t>
      </w:r>
      <w:r w:rsidRPr="00CB0424">
        <w:rPr>
          <w:rFonts w:ascii="Times New Roman" w:hAnsi="Times New Roman" w:cs="Times New Roman"/>
          <w:sz w:val="24"/>
          <w:szCs w:val="24"/>
        </w:rPr>
        <w:t>3, al. 2, du C.D.E. et à la demande du débiteur, le tribunal pourra suspendre la vente</w:t>
      </w:r>
      <w:r w:rsidRPr="00CB0424">
        <w:rPr>
          <w:rFonts w:ascii="Times New Roman" w:eastAsia="Times New Roman" w:hAnsi="Times New Roman" w:cs="Times New Roman"/>
          <w:sz w:val="24"/>
          <w:szCs w:val="24"/>
          <w:vertAlign w:val="superscript"/>
        </w:rPr>
        <w:footnoteReference w:id="31"/>
      </w:r>
      <w:r w:rsidRPr="00CB0424">
        <w:rPr>
          <w:rFonts w:ascii="Times New Roman" w:hAnsi="Times New Roman" w:cs="Times New Roman"/>
          <w:sz w:val="24"/>
          <w:szCs w:val="24"/>
        </w:rPr>
        <w:t xml:space="preserve">. Comme en matière mobilière, la demande en suspension n’a pas d’effet suspensif. </w:t>
      </w:r>
      <w:r w:rsidR="001711D8" w:rsidRPr="00CB0424">
        <w:rPr>
          <w:rFonts w:ascii="Times New Roman" w:hAnsi="Times New Roman" w:cs="Times New Roman"/>
          <w:sz w:val="24"/>
          <w:szCs w:val="24"/>
        </w:rPr>
        <w:t>En cas de demande de suspension, le débiteur informe immédiatement, par écrit, le notaire chargé de la vente forcée</w:t>
      </w:r>
      <w:r w:rsidR="001711D8" w:rsidRPr="00CB0424">
        <w:rPr>
          <w:rStyle w:val="Appelnotedebasdep"/>
          <w:rFonts w:ascii="Times New Roman" w:hAnsi="Times New Roman" w:cs="Times New Roman"/>
          <w:sz w:val="24"/>
          <w:szCs w:val="24"/>
        </w:rPr>
        <w:footnoteReference w:id="32"/>
      </w:r>
      <w:r w:rsidR="001711D8" w:rsidRPr="00CB0424">
        <w:rPr>
          <w:rFonts w:ascii="Times New Roman" w:hAnsi="Times New Roman" w:cs="Times New Roman"/>
          <w:sz w:val="24"/>
          <w:szCs w:val="24"/>
        </w:rPr>
        <w:t>.</w:t>
      </w:r>
      <w:r w:rsidR="00DA2D24" w:rsidRPr="00CB0424">
        <w:rPr>
          <w:rFonts w:ascii="Times New Roman" w:hAnsi="Times New Roman" w:cs="Times New Roman"/>
          <w:sz w:val="24"/>
          <w:szCs w:val="24"/>
        </w:rPr>
        <w:t xml:space="preserve"> </w:t>
      </w:r>
      <w:r w:rsidRPr="00CB0424">
        <w:rPr>
          <w:rFonts w:ascii="Times New Roman" w:hAnsi="Times New Roman" w:cs="Times New Roman"/>
          <w:sz w:val="24"/>
          <w:szCs w:val="24"/>
        </w:rPr>
        <w:t>En outre, les frais réels exposés par le notaire exposés dans le cadre de la vente, entre sa désignation et le dépôt de la requête en réorganisation, sont à charge du débiteur</w:t>
      </w:r>
      <w:r w:rsidR="00F8226E" w:rsidRPr="00CB0424">
        <w:rPr>
          <w:rFonts w:ascii="Times New Roman" w:hAnsi="Times New Roman" w:cs="Times New Roman"/>
          <w:sz w:val="24"/>
          <w:szCs w:val="24"/>
        </w:rPr>
        <w:t xml:space="preserve"> ; </w:t>
      </w:r>
    </w:p>
    <w:p w14:paraId="089A3167" w14:textId="77777777" w:rsidR="00D838A3" w:rsidRPr="00CB0424" w:rsidRDefault="00D838A3" w:rsidP="00B5673A">
      <w:pPr>
        <w:pStyle w:val="Corps"/>
        <w:jc w:val="both"/>
        <w:rPr>
          <w:rFonts w:ascii="Times New Roman" w:eastAsia="Times New Roman" w:hAnsi="Times New Roman" w:cs="Times New Roman"/>
          <w:sz w:val="24"/>
          <w:szCs w:val="24"/>
        </w:rPr>
      </w:pPr>
    </w:p>
    <w:p w14:paraId="7A6B6F6C" w14:textId="56BCCE9E" w:rsidR="004367EC" w:rsidRPr="00CB0424" w:rsidRDefault="00E8092E" w:rsidP="00B5673A">
      <w:pPr>
        <w:pStyle w:val="Corps"/>
        <w:numPr>
          <w:ilvl w:val="0"/>
          <w:numId w:val="11"/>
        </w:numPr>
        <w:jc w:val="both"/>
        <w:rPr>
          <w:rFonts w:ascii="Times New Roman" w:eastAsia="Times New Roman" w:hAnsi="Times New Roman" w:cs="Times New Roman"/>
          <w:sz w:val="24"/>
          <w:szCs w:val="24"/>
        </w:rPr>
      </w:pPr>
      <w:r w:rsidRPr="00CB0424">
        <w:rPr>
          <w:rFonts w:ascii="Times New Roman" w:hAnsi="Times New Roman" w:cs="Times New Roman"/>
          <w:sz w:val="24"/>
          <w:szCs w:val="24"/>
        </w:rPr>
        <w:t>Si une requête a été déposée dans les six mois qui précèdent, sauf décision contraire du tribunal, la demande n’a pas d’effet suspensif (article XX.45, §</w:t>
      </w:r>
      <w:r w:rsidR="00311941">
        <w:rPr>
          <w:rFonts w:ascii="Times New Roman" w:hAnsi="Times New Roman" w:cs="Times New Roman"/>
          <w:sz w:val="24"/>
          <w:szCs w:val="24"/>
        </w:rPr>
        <w:t xml:space="preserve"> </w:t>
      </w:r>
      <w:r w:rsidRPr="00CB0424">
        <w:rPr>
          <w:rFonts w:ascii="Times New Roman" w:hAnsi="Times New Roman" w:cs="Times New Roman"/>
          <w:sz w:val="24"/>
          <w:szCs w:val="24"/>
        </w:rPr>
        <w:t xml:space="preserve">5, du C.D.E.). </w:t>
      </w:r>
    </w:p>
    <w:p w14:paraId="069E69CA" w14:textId="77777777" w:rsidR="004367EC" w:rsidRPr="00CB0424" w:rsidRDefault="004367EC" w:rsidP="00B5673A">
      <w:pPr>
        <w:pStyle w:val="Corps"/>
        <w:jc w:val="both"/>
        <w:rPr>
          <w:rFonts w:ascii="Times New Roman" w:eastAsia="Times New Roman" w:hAnsi="Times New Roman" w:cs="Times New Roman"/>
          <w:sz w:val="24"/>
          <w:szCs w:val="24"/>
        </w:rPr>
      </w:pPr>
    </w:p>
    <w:p w14:paraId="1010DA15" w14:textId="77777777" w:rsidR="007D5DAB" w:rsidRPr="00CB0424" w:rsidRDefault="007D5DAB" w:rsidP="00B5673A">
      <w:pPr>
        <w:pStyle w:val="Corps"/>
        <w:jc w:val="both"/>
        <w:rPr>
          <w:rFonts w:ascii="Times New Roman" w:hAnsi="Times New Roman" w:cs="Times New Roman"/>
          <w:sz w:val="24"/>
          <w:szCs w:val="24"/>
        </w:rPr>
      </w:pPr>
    </w:p>
    <w:p w14:paraId="064D1F10" w14:textId="246D7397" w:rsidR="004367EC"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L’article XX.44, §</w:t>
      </w:r>
      <w:r w:rsidR="00311941">
        <w:rPr>
          <w:rFonts w:ascii="Times New Roman" w:hAnsi="Times New Roman" w:cs="Times New Roman"/>
          <w:sz w:val="24"/>
          <w:szCs w:val="24"/>
        </w:rPr>
        <w:t xml:space="preserve"> </w:t>
      </w:r>
      <w:r w:rsidRPr="00CB0424">
        <w:rPr>
          <w:rFonts w:ascii="Times New Roman" w:hAnsi="Times New Roman" w:cs="Times New Roman"/>
          <w:sz w:val="24"/>
          <w:szCs w:val="24"/>
        </w:rPr>
        <w:t xml:space="preserve">3, du C.D.E. traite du sort des poursuites exercées contre plusieurs </w:t>
      </w:r>
      <w:r w:rsidRPr="00CB0424">
        <w:rPr>
          <w:rFonts w:ascii="Times New Roman" w:hAnsi="Times New Roman" w:cs="Times New Roman"/>
          <w:i/>
          <w:iCs/>
          <w:sz w:val="24"/>
          <w:szCs w:val="24"/>
        </w:rPr>
        <w:t xml:space="preserve">débiteurs </w:t>
      </w:r>
      <w:r w:rsidRPr="00CB0424">
        <w:rPr>
          <w:rFonts w:ascii="Times New Roman" w:hAnsi="Times New Roman" w:cs="Times New Roman"/>
          <w:sz w:val="24"/>
          <w:szCs w:val="24"/>
        </w:rPr>
        <w:t>dont seul l’un d’entre eux dépose une requête en réorganisation judiciaire</w:t>
      </w:r>
      <w:r w:rsidR="001C75FD" w:rsidRPr="00CB0424">
        <w:rPr>
          <w:rFonts w:ascii="Times New Roman" w:hAnsi="Times New Roman" w:cs="Times New Roman"/>
          <w:sz w:val="24"/>
          <w:szCs w:val="24"/>
        </w:rPr>
        <w:t xml:space="preserve"> (</w:t>
      </w:r>
      <w:r w:rsidR="00AA6F38" w:rsidRPr="00CB0424">
        <w:rPr>
          <w:rFonts w:ascii="Times New Roman" w:hAnsi="Times New Roman" w:cs="Times New Roman"/>
          <w:sz w:val="24"/>
          <w:szCs w:val="24"/>
        </w:rPr>
        <w:t>c</w:t>
      </w:r>
      <w:r w:rsidR="001C75FD" w:rsidRPr="00CB0424">
        <w:rPr>
          <w:rFonts w:ascii="Times New Roman" w:hAnsi="Times New Roman" w:cs="Times New Roman"/>
          <w:sz w:val="24"/>
          <w:szCs w:val="24"/>
        </w:rPr>
        <w:t>’est nous qui soulignons)</w:t>
      </w:r>
      <w:r w:rsidRPr="00CB0424">
        <w:rPr>
          <w:rFonts w:ascii="Times New Roman" w:hAnsi="Times New Roman" w:cs="Times New Roman"/>
          <w:sz w:val="24"/>
          <w:szCs w:val="24"/>
        </w:rPr>
        <w:t xml:space="preserve">. Dans </w:t>
      </w:r>
      <w:r w:rsidR="00336189">
        <w:rPr>
          <w:rFonts w:ascii="Times New Roman" w:hAnsi="Times New Roman" w:cs="Times New Roman"/>
          <w:sz w:val="24"/>
          <w:szCs w:val="24"/>
        </w:rPr>
        <w:t>pareil</w:t>
      </w:r>
      <w:r w:rsidRPr="00CB0424">
        <w:rPr>
          <w:rFonts w:ascii="Times New Roman" w:hAnsi="Times New Roman" w:cs="Times New Roman"/>
          <w:sz w:val="24"/>
          <w:szCs w:val="24"/>
        </w:rPr>
        <w:t xml:space="preserve"> cas et contrairement aux articles XX.120, §</w:t>
      </w:r>
      <w:r w:rsidR="00311941">
        <w:rPr>
          <w:rFonts w:ascii="Times New Roman" w:hAnsi="Times New Roman" w:cs="Times New Roman"/>
          <w:sz w:val="24"/>
          <w:szCs w:val="24"/>
        </w:rPr>
        <w:t xml:space="preserve"> </w:t>
      </w:r>
      <w:r w:rsidRPr="00CB0424">
        <w:rPr>
          <w:rFonts w:ascii="Times New Roman" w:hAnsi="Times New Roman" w:cs="Times New Roman"/>
          <w:sz w:val="24"/>
          <w:szCs w:val="24"/>
        </w:rPr>
        <w:t>2, du C.D.E. et 1675/7, §</w:t>
      </w:r>
      <w:r w:rsidR="00311941">
        <w:rPr>
          <w:rFonts w:ascii="Times New Roman" w:hAnsi="Times New Roman" w:cs="Times New Roman"/>
          <w:sz w:val="24"/>
          <w:szCs w:val="24"/>
        </w:rPr>
        <w:t xml:space="preserve"> </w:t>
      </w:r>
      <w:r w:rsidRPr="00CB0424">
        <w:rPr>
          <w:rFonts w:ascii="Times New Roman" w:hAnsi="Times New Roman" w:cs="Times New Roman"/>
          <w:sz w:val="24"/>
          <w:szCs w:val="24"/>
        </w:rPr>
        <w:t xml:space="preserve">2, al. 4, du C. </w:t>
      </w:r>
      <w:proofErr w:type="spellStart"/>
      <w:r w:rsidRPr="00CB0424">
        <w:rPr>
          <w:rFonts w:ascii="Times New Roman" w:hAnsi="Times New Roman" w:cs="Times New Roman"/>
          <w:sz w:val="24"/>
          <w:szCs w:val="24"/>
        </w:rPr>
        <w:t>Jud</w:t>
      </w:r>
      <w:proofErr w:type="spellEnd"/>
      <w:r w:rsidRPr="00CB0424">
        <w:rPr>
          <w:rFonts w:ascii="Times New Roman" w:hAnsi="Times New Roman" w:cs="Times New Roman"/>
          <w:sz w:val="24"/>
          <w:szCs w:val="24"/>
        </w:rPr>
        <w:t xml:space="preserve">., l’article XX.44 du C.D.E. réserve expressément les </w:t>
      </w:r>
      <w:r w:rsidR="005E5FEA">
        <w:rPr>
          <w:rFonts w:ascii="Times New Roman" w:hAnsi="Times New Roman" w:cs="Times New Roman"/>
          <w:sz w:val="24"/>
          <w:szCs w:val="24"/>
        </w:rPr>
        <w:t>paragraphes</w:t>
      </w:r>
      <w:r w:rsidR="00311941">
        <w:rPr>
          <w:rFonts w:ascii="Times New Roman" w:hAnsi="Times New Roman" w:cs="Times New Roman"/>
          <w:sz w:val="24"/>
          <w:szCs w:val="24"/>
        </w:rPr>
        <w:t xml:space="preserve"> </w:t>
      </w:r>
      <w:r w:rsidRPr="00CB0424">
        <w:rPr>
          <w:rFonts w:ascii="Times New Roman" w:hAnsi="Times New Roman" w:cs="Times New Roman"/>
          <w:sz w:val="24"/>
          <w:szCs w:val="24"/>
        </w:rPr>
        <w:t>1</w:t>
      </w:r>
      <w:r w:rsidRPr="00D969FC">
        <w:rPr>
          <w:rFonts w:ascii="Times New Roman" w:hAnsi="Times New Roman" w:cs="Times New Roman"/>
          <w:sz w:val="24"/>
          <w:szCs w:val="24"/>
          <w:vertAlign w:val="superscript"/>
        </w:rPr>
        <w:t>er</w:t>
      </w:r>
      <w:r w:rsidRPr="00CB0424">
        <w:rPr>
          <w:rFonts w:ascii="Times New Roman" w:hAnsi="Times New Roman" w:cs="Times New Roman"/>
          <w:sz w:val="24"/>
          <w:szCs w:val="24"/>
        </w:rPr>
        <w:t>, 2 et 3 au cas de l’immeuble saisi à charge de plusieurs copropriétaires dont l’un a déposé une requête en réorganisation judiciaire</w:t>
      </w:r>
      <w:r w:rsidRPr="00CB0424">
        <w:rPr>
          <w:rFonts w:ascii="Times New Roman" w:eastAsia="Times New Roman" w:hAnsi="Times New Roman" w:cs="Times New Roman"/>
          <w:sz w:val="24"/>
          <w:szCs w:val="24"/>
          <w:vertAlign w:val="superscript"/>
        </w:rPr>
        <w:footnoteReference w:id="33"/>
      </w:r>
      <w:r w:rsidRPr="00CB0424">
        <w:rPr>
          <w:rFonts w:ascii="Times New Roman" w:hAnsi="Times New Roman" w:cs="Times New Roman"/>
          <w:sz w:val="24"/>
          <w:szCs w:val="24"/>
        </w:rPr>
        <w:t xml:space="preserve">. Il s’agit donc d’appliquer les principes exposés ci-avant. </w:t>
      </w:r>
    </w:p>
    <w:p w14:paraId="15F81D95" w14:textId="6A9399AB" w:rsidR="00CB7E44" w:rsidRDefault="00CB7E44" w:rsidP="00B5673A">
      <w:pPr>
        <w:pStyle w:val="Corps"/>
        <w:jc w:val="both"/>
        <w:rPr>
          <w:rFonts w:ascii="Times New Roman" w:hAnsi="Times New Roman" w:cs="Times New Roman"/>
          <w:sz w:val="24"/>
          <w:szCs w:val="24"/>
        </w:rPr>
      </w:pPr>
    </w:p>
    <w:p w14:paraId="3B7B2C55" w14:textId="7F609257" w:rsidR="00CB7E44" w:rsidRDefault="00CB7E44" w:rsidP="00B5673A">
      <w:pPr>
        <w:pStyle w:val="Corps"/>
        <w:jc w:val="both"/>
        <w:rPr>
          <w:rFonts w:ascii="Times New Roman" w:hAnsi="Times New Roman" w:cs="Times New Roman"/>
          <w:sz w:val="24"/>
          <w:szCs w:val="24"/>
        </w:rPr>
      </w:pPr>
    </w:p>
    <w:p w14:paraId="36DB0F2A" w14:textId="0CE185F8" w:rsidR="00CB7E44" w:rsidRDefault="00CB7E44" w:rsidP="00B5673A">
      <w:pPr>
        <w:pStyle w:val="Corps"/>
        <w:jc w:val="both"/>
        <w:rPr>
          <w:rFonts w:ascii="Times New Roman" w:hAnsi="Times New Roman" w:cs="Times New Roman"/>
          <w:sz w:val="24"/>
          <w:szCs w:val="24"/>
        </w:rPr>
      </w:pPr>
    </w:p>
    <w:p w14:paraId="42DD280D" w14:textId="395653F7" w:rsidR="00CB7E44" w:rsidRDefault="00CB7E44" w:rsidP="00B5673A">
      <w:pPr>
        <w:pStyle w:val="Corps"/>
        <w:jc w:val="both"/>
        <w:rPr>
          <w:rFonts w:ascii="Times New Roman" w:hAnsi="Times New Roman" w:cs="Times New Roman"/>
          <w:sz w:val="24"/>
          <w:szCs w:val="24"/>
        </w:rPr>
      </w:pPr>
    </w:p>
    <w:p w14:paraId="3FDFEB05" w14:textId="0C47F2D1" w:rsidR="00CB7E44" w:rsidRDefault="00CB7E44" w:rsidP="00B5673A">
      <w:pPr>
        <w:pStyle w:val="Corps"/>
        <w:jc w:val="both"/>
        <w:rPr>
          <w:rFonts w:ascii="Times New Roman" w:hAnsi="Times New Roman" w:cs="Times New Roman"/>
          <w:sz w:val="24"/>
          <w:szCs w:val="24"/>
        </w:rPr>
      </w:pPr>
    </w:p>
    <w:p w14:paraId="3F3AE0CA" w14:textId="50CE8D4F" w:rsidR="00CB7E44" w:rsidRDefault="00CB7E44" w:rsidP="00B5673A">
      <w:pPr>
        <w:pStyle w:val="Corps"/>
        <w:jc w:val="both"/>
        <w:rPr>
          <w:rFonts w:ascii="Times New Roman" w:hAnsi="Times New Roman" w:cs="Times New Roman"/>
          <w:sz w:val="24"/>
          <w:szCs w:val="24"/>
        </w:rPr>
      </w:pPr>
    </w:p>
    <w:p w14:paraId="1F0FE711" w14:textId="40204913" w:rsidR="00CB7E44" w:rsidRDefault="00CB7E44" w:rsidP="00B5673A">
      <w:pPr>
        <w:pStyle w:val="Corps"/>
        <w:jc w:val="both"/>
        <w:rPr>
          <w:rFonts w:ascii="Times New Roman" w:hAnsi="Times New Roman" w:cs="Times New Roman"/>
          <w:sz w:val="24"/>
          <w:szCs w:val="24"/>
        </w:rPr>
      </w:pPr>
    </w:p>
    <w:p w14:paraId="31A025D6" w14:textId="67D8449A" w:rsidR="00CB7E44" w:rsidRDefault="00CB7E44" w:rsidP="00B5673A">
      <w:pPr>
        <w:pStyle w:val="Corps"/>
        <w:jc w:val="both"/>
        <w:rPr>
          <w:rFonts w:ascii="Times New Roman" w:hAnsi="Times New Roman" w:cs="Times New Roman"/>
          <w:sz w:val="24"/>
          <w:szCs w:val="24"/>
        </w:rPr>
      </w:pPr>
    </w:p>
    <w:p w14:paraId="6ECCBB2F" w14:textId="7AEBF90C" w:rsidR="00CB7E44" w:rsidRDefault="00CB7E44" w:rsidP="00B5673A">
      <w:pPr>
        <w:pStyle w:val="Corps"/>
        <w:jc w:val="both"/>
        <w:rPr>
          <w:rFonts w:ascii="Times New Roman" w:hAnsi="Times New Roman" w:cs="Times New Roman"/>
          <w:sz w:val="24"/>
          <w:szCs w:val="24"/>
        </w:rPr>
      </w:pPr>
    </w:p>
    <w:p w14:paraId="49BE319A" w14:textId="2081BEAF" w:rsidR="00E81B40" w:rsidRDefault="00E81B40" w:rsidP="00B5673A">
      <w:pPr>
        <w:pStyle w:val="Corps"/>
        <w:jc w:val="both"/>
        <w:rPr>
          <w:rFonts w:ascii="Times New Roman" w:hAnsi="Times New Roman" w:cs="Times New Roman"/>
          <w:sz w:val="24"/>
          <w:szCs w:val="24"/>
        </w:rPr>
      </w:pPr>
    </w:p>
    <w:p w14:paraId="2C7CFBF8" w14:textId="51DB1C01" w:rsidR="00E81B40" w:rsidRDefault="00E81B40" w:rsidP="00B5673A">
      <w:pPr>
        <w:pStyle w:val="Corps"/>
        <w:jc w:val="both"/>
        <w:rPr>
          <w:rFonts w:ascii="Times New Roman" w:hAnsi="Times New Roman" w:cs="Times New Roman"/>
          <w:sz w:val="24"/>
          <w:szCs w:val="24"/>
        </w:rPr>
      </w:pPr>
    </w:p>
    <w:p w14:paraId="5DCE3411" w14:textId="4AB06AFC" w:rsidR="00E81B40" w:rsidRDefault="00E81B40" w:rsidP="00B5673A">
      <w:pPr>
        <w:pStyle w:val="Corps"/>
        <w:jc w:val="both"/>
        <w:rPr>
          <w:rFonts w:ascii="Times New Roman" w:hAnsi="Times New Roman" w:cs="Times New Roman"/>
          <w:sz w:val="24"/>
          <w:szCs w:val="24"/>
        </w:rPr>
      </w:pPr>
    </w:p>
    <w:p w14:paraId="6D051438" w14:textId="76E59DE7" w:rsidR="00E81B40" w:rsidRDefault="00E81B40" w:rsidP="00B5673A">
      <w:pPr>
        <w:pStyle w:val="Corps"/>
        <w:jc w:val="both"/>
        <w:rPr>
          <w:rFonts w:ascii="Times New Roman" w:hAnsi="Times New Roman" w:cs="Times New Roman"/>
          <w:sz w:val="24"/>
          <w:szCs w:val="24"/>
        </w:rPr>
      </w:pPr>
    </w:p>
    <w:p w14:paraId="61E7A6F8" w14:textId="0EFD6245" w:rsidR="00E81B40" w:rsidRDefault="00E81B40" w:rsidP="00B5673A">
      <w:pPr>
        <w:pStyle w:val="Corps"/>
        <w:jc w:val="both"/>
        <w:rPr>
          <w:rFonts w:ascii="Times New Roman" w:hAnsi="Times New Roman" w:cs="Times New Roman"/>
          <w:sz w:val="24"/>
          <w:szCs w:val="24"/>
        </w:rPr>
      </w:pPr>
    </w:p>
    <w:p w14:paraId="29AFB34E" w14:textId="547E80B1" w:rsidR="00E81B40" w:rsidRDefault="00E81B40" w:rsidP="00B5673A">
      <w:pPr>
        <w:pStyle w:val="Corps"/>
        <w:jc w:val="both"/>
        <w:rPr>
          <w:rFonts w:ascii="Times New Roman" w:hAnsi="Times New Roman" w:cs="Times New Roman"/>
          <w:sz w:val="24"/>
          <w:szCs w:val="24"/>
        </w:rPr>
      </w:pPr>
    </w:p>
    <w:p w14:paraId="141BD979" w14:textId="0B72C243" w:rsidR="00E81B40" w:rsidRDefault="00E81B40" w:rsidP="00B5673A">
      <w:pPr>
        <w:pStyle w:val="Corps"/>
        <w:jc w:val="both"/>
        <w:rPr>
          <w:rFonts w:ascii="Times New Roman" w:hAnsi="Times New Roman" w:cs="Times New Roman"/>
          <w:sz w:val="24"/>
          <w:szCs w:val="24"/>
        </w:rPr>
      </w:pPr>
    </w:p>
    <w:p w14:paraId="4C934CDF" w14:textId="49F8DA42" w:rsidR="00E81B40" w:rsidRDefault="00E81B40" w:rsidP="00B5673A">
      <w:pPr>
        <w:pStyle w:val="Corps"/>
        <w:jc w:val="both"/>
        <w:rPr>
          <w:rFonts w:ascii="Times New Roman" w:hAnsi="Times New Roman" w:cs="Times New Roman"/>
          <w:sz w:val="24"/>
          <w:szCs w:val="24"/>
        </w:rPr>
      </w:pPr>
    </w:p>
    <w:p w14:paraId="6AD9E83F" w14:textId="44AFA3A9" w:rsidR="00E81B40" w:rsidRDefault="00E81B40" w:rsidP="00B5673A">
      <w:pPr>
        <w:pStyle w:val="Corps"/>
        <w:jc w:val="both"/>
        <w:rPr>
          <w:rFonts w:ascii="Times New Roman" w:hAnsi="Times New Roman" w:cs="Times New Roman"/>
          <w:sz w:val="24"/>
          <w:szCs w:val="24"/>
        </w:rPr>
      </w:pPr>
    </w:p>
    <w:p w14:paraId="21265E17" w14:textId="57F46E13" w:rsidR="00E81B40" w:rsidRDefault="00E81B40" w:rsidP="00B5673A">
      <w:pPr>
        <w:pStyle w:val="Corps"/>
        <w:jc w:val="both"/>
        <w:rPr>
          <w:rFonts w:ascii="Times New Roman" w:hAnsi="Times New Roman" w:cs="Times New Roman"/>
          <w:sz w:val="24"/>
          <w:szCs w:val="24"/>
        </w:rPr>
      </w:pPr>
    </w:p>
    <w:p w14:paraId="572FA0F3" w14:textId="593E6025" w:rsidR="00E81B40" w:rsidRDefault="00E81B40" w:rsidP="00B5673A">
      <w:pPr>
        <w:pStyle w:val="Corps"/>
        <w:jc w:val="both"/>
        <w:rPr>
          <w:rFonts w:ascii="Times New Roman" w:hAnsi="Times New Roman" w:cs="Times New Roman"/>
          <w:sz w:val="24"/>
          <w:szCs w:val="24"/>
        </w:rPr>
      </w:pPr>
    </w:p>
    <w:p w14:paraId="48FB4B6D" w14:textId="6B896239" w:rsidR="00E81B40" w:rsidRDefault="00E81B40" w:rsidP="00B5673A">
      <w:pPr>
        <w:pStyle w:val="Corps"/>
        <w:jc w:val="both"/>
        <w:rPr>
          <w:rFonts w:ascii="Times New Roman" w:hAnsi="Times New Roman" w:cs="Times New Roman"/>
          <w:sz w:val="24"/>
          <w:szCs w:val="24"/>
        </w:rPr>
      </w:pPr>
    </w:p>
    <w:p w14:paraId="108A0571" w14:textId="77777777" w:rsidR="00E81B40" w:rsidRDefault="00E81B40" w:rsidP="00B5673A">
      <w:pPr>
        <w:pStyle w:val="Corps"/>
        <w:jc w:val="both"/>
        <w:rPr>
          <w:rFonts w:ascii="Times New Roman" w:hAnsi="Times New Roman" w:cs="Times New Roman"/>
          <w:sz w:val="24"/>
          <w:szCs w:val="24"/>
        </w:rPr>
      </w:pPr>
    </w:p>
    <w:p w14:paraId="112631B4" w14:textId="77777777" w:rsidR="00CB7E44" w:rsidRPr="00CB0424" w:rsidRDefault="00CB7E44" w:rsidP="00B5673A">
      <w:pPr>
        <w:pStyle w:val="Corps"/>
        <w:jc w:val="both"/>
        <w:rPr>
          <w:rFonts w:ascii="Times New Roman" w:eastAsia="Times New Roman" w:hAnsi="Times New Roman" w:cs="Times New Roman"/>
          <w:sz w:val="24"/>
          <w:szCs w:val="24"/>
        </w:rPr>
      </w:pPr>
    </w:p>
    <w:p w14:paraId="561BB424" w14:textId="77777777" w:rsidR="004367EC" w:rsidRPr="00CB0424" w:rsidRDefault="004367EC" w:rsidP="00B5673A">
      <w:pPr>
        <w:pStyle w:val="Corps"/>
        <w:jc w:val="both"/>
        <w:rPr>
          <w:rFonts w:ascii="Times New Roman" w:eastAsia="Times New Roman" w:hAnsi="Times New Roman" w:cs="Times New Roman"/>
          <w:sz w:val="24"/>
          <w:szCs w:val="24"/>
        </w:rPr>
      </w:pPr>
    </w:p>
    <w:p w14:paraId="7FDAA935" w14:textId="2DBE6807" w:rsidR="004367EC" w:rsidRPr="00CB0424" w:rsidRDefault="00E8092E" w:rsidP="00630F71">
      <w:pPr>
        <w:pStyle w:val="Corps"/>
        <w:numPr>
          <w:ilvl w:val="0"/>
          <w:numId w:val="24"/>
        </w:numPr>
        <w:jc w:val="both"/>
        <w:rPr>
          <w:rFonts w:ascii="Times New Roman" w:eastAsia="Times New Roman" w:hAnsi="Times New Roman" w:cs="Times New Roman"/>
          <w:b/>
          <w:bCs/>
          <w:i/>
          <w:iCs/>
          <w:sz w:val="24"/>
          <w:szCs w:val="24"/>
        </w:rPr>
      </w:pPr>
      <w:r w:rsidRPr="00CB0424">
        <w:rPr>
          <w:rFonts w:ascii="Times New Roman" w:hAnsi="Times New Roman" w:cs="Times New Roman"/>
          <w:b/>
          <w:bCs/>
          <w:i/>
          <w:iCs/>
          <w:sz w:val="24"/>
          <w:szCs w:val="24"/>
        </w:rPr>
        <w:t xml:space="preserve">Article XX.51 du C.D.E. </w:t>
      </w:r>
    </w:p>
    <w:p w14:paraId="029A582F" w14:textId="77777777" w:rsidR="004367EC" w:rsidRPr="00CB0424" w:rsidRDefault="004367EC" w:rsidP="00B5673A">
      <w:pPr>
        <w:pStyle w:val="Corps"/>
        <w:jc w:val="both"/>
        <w:rPr>
          <w:rFonts w:ascii="Times New Roman" w:eastAsia="Times New Roman" w:hAnsi="Times New Roman" w:cs="Times New Roman"/>
          <w:sz w:val="24"/>
          <w:szCs w:val="24"/>
        </w:rPr>
      </w:pPr>
    </w:p>
    <w:p w14:paraId="636EBF59" w14:textId="3A24BB57" w:rsidR="00EF234D" w:rsidRPr="00CB7E44" w:rsidRDefault="00D82333" w:rsidP="00B5673A">
      <w:pPr>
        <w:pStyle w:val="Corps"/>
        <w:jc w:val="both"/>
        <w:rPr>
          <w:rFonts w:ascii="Times New Roman" w:hAnsi="Times New Roman" w:cs="Times New Roman"/>
          <w:sz w:val="24"/>
          <w:szCs w:val="24"/>
          <w:highlight w:val="yellow"/>
        </w:rPr>
      </w:pPr>
      <w:r w:rsidRPr="00CB0424">
        <w:rPr>
          <w:rFonts w:ascii="Times New Roman" w:hAnsi="Times New Roman" w:cs="Times New Roman"/>
          <w:sz w:val="24"/>
          <w:szCs w:val="24"/>
        </w:rPr>
        <w:t>Comme nous l’avons déjà mentionné précédemment, l</w:t>
      </w:r>
      <w:proofErr w:type="spellStart"/>
      <w:r w:rsidR="00F96D0B" w:rsidRPr="00CB0424">
        <w:rPr>
          <w:rFonts w:ascii="Times New Roman" w:hAnsi="Times New Roman" w:cs="Times New Roman"/>
          <w:sz w:val="24"/>
          <w:szCs w:val="24"/>
          <w:rtl/>
        </w:rPr>
        <w:t>es</w:t>
      </w:r>
      <w:proofErr w:type="spellEnd"/>
      <w:r w:rsidR="00F96D0B" w:rsidRPr="00CB0424">
        <w:rPr>
          <w:rFonts w:ascii="Times New Roman" w:hAnsi="Times New Roman" w:cs="Times New Roman"/>
          <w:sz w:val="24"/>
          <w:szCs w:val="24"/>
          <w:rtl/>
        </w:rPr>
        <w:t xml:space="preserve"> </w:t>
      </w:r>
      <w:proofErr w:type="spellStart"/>
      <w:r w:rsidR="00F96D0B" w:rsidRPr="00CB0424">
        <w:rPr>
          <w:rFonts w:ascii="Times New Roman" w:hAnsi="Times New Roman" w:cs="Times New Roman"/>
          <w:sz w:val="24"/>
          <w:szCs w:val="24"/>
          <w:rtl/>
        </w:rPr>
        <w:t>articles</w:t>
      </w:r>
      <w:proofErr w:type="spellEnd"/>
      <w:r w:rsidR="00F96D0B" w:rsidRPr="00CB0424">
        <w:rPr>
          <w:rFonts w:ascii="Times New Roman" w:hAnsi="Times New Roman" w:cs="Times New Roman"/>
          <w:sz w:val="24"/>
          <w:szCs w:val="24"/>
        </w:rPr>
        <w:t xml:space="preserve"> XX.50, al.</w:t>
      </w:r>
      <w:r w:rsidR="00555E8F">
        <w:rPr>
          <w:rFonts w:ascii="Times New Roman" w:hAnsi="Times New Roman" w:cs="Times New Roman"/>
          <w:sz w:val="24"/>
          <w:szCs w:val="24"/>
        </w:rPr>
        <w:t xml:space="preserve"> </w:t>
      </w:r>
      <w:r w:rsidR="00F96D0B" w:rsidRPr="00CB0424">
        <w:rPr>
          <w:rFonts w:ascii="Times New Roman" w:hAnsi="Times New Roman" w:cs="Times New Roman"/>
          <w:sz w:val="24"/>
          <w:szCs w:val="24"/>
        </w:rPr>
        <w:t>1</w:t>
      </w:r>
      <w:r w:rsidR="00F96D0B" w:rsidRPr="00CB0424">
        <w:rPr>
          <w:rFonts w:ascii="Times New Roman" w:hAnsi="Times New Roman" w:cs="Times New Roman"/>
          <w:sz w:val="24"/>
          <w:szCs w:val="24"/>
          <w:vertAlign w:val="superscript"/>
        </w:rPr>
        <w:t>er</w:t>
      </w:r>
      <w:r w:rsidR="00F96D0B" w:rsidRPr="00CB0424">
        <w:rPr>
          <w:rFonts w:ascii="Times New Roman" w:hAnsi="Times New Roman" w:cs="Times New Roman"/>
          <w:sz w:val="24"/>
          <w:szCs w:val="24"/>
        </w:rPr>
        <w:t xml:space="preserve"> et XX.51, §</w:t>
      </w:r>
      <w:r w:rsidR="00555E8F">
        <w:rPr>
          <w:rFonts w:ascii="Times New Roman" w:hAnsi="Times New Roman" w:cs="Times New Roman"/>
          <w:sz w:val="24"/>
          <w:szCs w:val="24"/>
        </w:rPr>
        <w:t xml:space="preserve"> </w:t>
      </w:r>
      <w:r w:rsidR="00F96D0B" w:rsidRPr="00CB0424">
        <w:rPr>
          <w:rFonts w:ascii="Times New Roman" w:hAnsi="Times New Roman" w:cs="Times New Roman"/>
          <w:sz w:val="24"/>
          <w:szCs w:val="24"/>
        </w:rPr>
        <w:t>1</w:t>
      </w:r>
      <w:r w:rsidR="00F96D0B" w:rsidRPr="00CB0424">
        <w:rPr>
          <w:rFonts w:ascii="Times New Roman" w:hAnsi="Times New Roman" w:cs="Times New Roman"/>
          <w:sz w:val="24"/>
          <w:szCs w:val="24"/>
          <w:vertAlign w:val="superscript"/>
        </w:rPr>
        <w:t>er</w:t>
      </w:r>
      <w:r w:rsidR="00F96D0B" w:rsidRPr="00CB0424">
        <w:rPr>
          <w:rFonts w:ascii="Times New Roman" w:hAnsi="Times New Roman" w:cs="Times New Roman"/>
          <w:sz w:val="24"/>
          <w:szCs w:val="24"/>
        </w:rPr>
        <w:t>,</w:t>
      </w:r>
      <w:r w:rsidRPr="00CB0424">
        <w:rPr>
          <w:rFonts w:ascii="Times New Roman" w:hAnsi="Times New Roman" w:cs="Times New Roman"/>
          <w:sz w:val="24"/>
          <w:szCs w:val="24"/>
        </w:rPr>
        <w:t xml:space="preserve"> al. 1</w:t>
      </w:r>
      <w:r w:rsidRPr="00CB0424">
        <w:rPr>
          <w:rFonts w:ascii="Times New Roman" w:hAnsi="Times New Roman" w:cs="Times New Roman"/>
          <w:sz w:val="24"/>
          <w:szCs w:val="24"/>
          <w:vertAlign w:val="superscript"/>
        </w:rPr>
        <w:t>er</w:t>
      </w:r>
      <w:r w:rsidRPr="00CB0424">
        <w:rPr>
          <w:rFonts w:ascii="Times New Roman" w:hAnsi="Times New Roman" w:cs="Times New Roman"/>
          <w:sz w:val="24"/>
          <w:szCs w:val="24"/>
        </w:rPr>
        <w:t xml:space="preserve">, </w:t>
      </w:r>
      <w:r w:rsidR="00F96D0B" w:rsidRPr="00CB0424">
        <w:rPr>
          <w:rFonts w:ascii="Times New Roman" w:hAnsi="Times New Roman" w:cs="Times New Roman"/>
          <w:sz w:val="24"/>
          <w:szCs w:val="24"/>
        </w:rPr>
        <w:t>du C.D.E. érigent en principe la suspension des voies d</w:t>
      </w:r>
      <w:r w:rsidR="00F96D0B" w:rsidRPr="00CB0424">
        <w:rPr>
          <w:rFonts w:ascii="Times New Roman" w:hAnsi="Times New Roman" w:cs="Times New Roman"/>
          <w:sz w:val="24"/>
          <w:szCs w:val="24"/>
          <w:rtl/>
        </w:rPr>
        <w:t>’</w:t>
      </w:r>
      <w:r w:rsidR="00F96D0B" w:rsidRPr="00CB0424">
        <w:rPr>
          <w:rFonts w:ascii="Times New Roman" w:hAnsi="Times New Roman" w:cs="Times New Roman"/>
          <w:sz w:val="24"/>
          <w:szCs w:val="24"/>
        </w:rPr>
        <w:t>exécutio</w:t>
      </w:r>
      <w:r w:rsidR="00CB7E44">
        <w:rPr>
          <w:rFonts w:ascii="Times New Roman" w:hAnsi="Times New Roman" w:cs="Times New Roman"/>
          <w:sz w:val="24"/>
          <w:szCs w:val="24"/>
        </w:rPr>
        <w:t xml:space="preserve">n, terme englobant par ailleurs, toute saisie exécution. </w:t>
      </w:r>
      <w:r w:rsidR="00E8092E" w:rsidRPr="00CB0424">
        <w:rPr>
          <w:rFonts w:ascii="Times New Roman" w:hAnsi="Times New Roman" w:cs="Times New Roman"/>
          <w:sz w:val="24"/>
          <w:szCs w:val="24"/>
        </w:rPr>
        <w:t>Cette suspension connaît une exception, similaire à celle prévue à l’article XX.44, §</w:t>
      </w:r>
      <w:r w:rsidR="00555E8F">
        <w:rPr>
          <w:rFonts w:ascii="Times New Roman" w:hAnsi="Times New Roman" w:cs="Times New Roman"/>
          <w:sz w:val="24"/>
          <w:szCs w:val="24"/>
        </w:rPr>
        <w:t xml:space="preserve"> </w:t>
      </w:r>
      <w:r w:rsidR="00E8092E" w:rsidRPr="00CB0424">
        <w:rPr>
          <w:rFonts w:ascii="Times New Roman" w:hAnsi="Times New Roman" w:cs="Times New Roman"/>
          <w:sz w:val="24"/>
          <w:szCs w:val="24"/>
        </w:rPr>
        <w:t xml:space="preserve">3, al. 1 du C.D.E. : la </w:t>
      </w:r>
      <w:r w:rsidR="0001494B" w:rsidRPr="00CB0424">
        <w:rPr>
          <w:rFonts w:ascii="Times New Roman" w:hAnsi="Times New Roman" w:cs="Times New Roman"/>
          <w:sz w:val="24"/>
          <w:szCs w:val="24"/>
        </w:rPr>
        <w:t>vente</w:t>
      </w:r>
      <w:r w:rsidR="00E8092E" w:rsidRPr="00CB0424">
        <w:rPr>
          <w:rFonts w:ascii="Times New Roman" w:hAnsi="Times New Roman" w:cs="Times New Roman"/>
          <w:sz w:val="24"/>
          <w:szCs w:val="24"/>
        </w:rPr>
        <w:t xml:space="preserve"> pourra se poursuivre pour </w:t>
      </w:r>
      <w:r w:rsidR="00E8092E" w:rsidRPr="00CB7E44">
        <w:rPr>
          <w:rFonts w:ascii="Times New Roman" w:hAnsi="Times New Roman" w:cs="Times New Roman"/>
          <w:sz w:val="24"/>
          <w:szCs w:val="24"/>
        </w:rPr>
        <w:t xml:space="preserve">autant </w:t>
      </w:r>
      <w:r w:rsidR="00E8092E" w:rsidRPr="00B06F42">
        <w:rPr>
          <w:rFonts w:ascii="Times New Roman" w:hAnsi="Times New Roman" w:cs="Times New Roman"/>
          <w:sz w:val="24"/>
          <w:szCs w:val="24"/>
        </w:rPr>
        <w:t xml:space="preserve">que le jour </w:t>
      </w:r>
      <w:r w:rsidR="00B06F42">
        <w:rPr>
          <w:rFonts w:ascii="Times New Roman" w:hAnsi="Times New Roman" w:cs="Times New Roman"/>
          <w:sz w:val="24"/>
          <w:szCs w:val="24"/>
        </w:rPr>
        <w:t>fixé</w:t>
      </w:r>
      <w:r w:rsidR="00B06F42">
        <w:rPr>
          <w:rStyle w:val="Appelnotedebasdep"/>
          <w:rFonts w:ascii="Times New Roman" w:hAnsi="Times New Roman" w:cs="Times New Roman"/>
          <w:sz w:val="24"/>
          <w:szCs w:val="24"/>
        </w:rPr>
        <w:footnoteReference w:id="34"/>
      </w:r>
      <w:r w:rsidR="00E8092E" w:rsidRPr="00B06F42">
        <w:rPr>
          <w:rFonts w:ascii="Times New Roman" w:hAnsi="Times New Roman" w:cs="Times New Roman"/>
          <w:sz w:val="24"/>
          <w:szCs w:val="24"/>
        </w:rPr>
        <w:t xml:space="preserve"> pour</w:t>
      </w:r>
      <w:r w:rsidR="00E8092E" w:rsidRPr="00CB0424">
        <w:rPr>
          <w:rFonts w:ascii="Times New Roman" w:hAnsi="Times New Roman" w:cs="Times New Roman"/>
          <w:sz w:val="24"/>
          <w:szCs w:val="24"/>
        </w:rPr>
        <w:t xml:space="preserve"> procéder à la vente échoit dans un délai de deux mois suivant le dépôt de la requête et si le débiteur n’a pas demand</w:t>
      </w:r>
      <w:r w:rsidR="00D838A3" w:rsidRPr="00CB0424">
        <w:rPr>
          <w:rFonts w:ascii="Times New Roman" w:hAnsi="Times New Roman" w:cs="Times New Roman"/>
          <w:sz w:val="24"/>
          <w:szCs w:val="24"/>
        </w:rPr>
        <w:t>é</w:t>
      </w:r>
      <w:r w:rsidR="00E8092E" w:rsidRPr="00CB0424">
        <w:rPr>
          <w:rFonts w:ascii="Times New Roman" w:hAnsi="Times New Roman" w:cs="Times New Roman"/>
          <w:sz w:val="24"/>
          <w:szCs w:val="24"/>
        </w:rPr>
        <w:t xml:space="preserve"> la suspension prévue à l’article XX.44, §</w:t>
      </w:r>
      <w:r w:rsidR="005E5FEA">
        <w:rPr>
          <w:rFonts w:ascii="Times New Roman" w:hAnsi="Times New Roman" w:cs="Times New Roman"/>
          <w:sz w:val="24"/>
          <w:szCs w:val="24"/>
        </w:rPr>
        <w:t xml:space="preserve"> </w:t>
      </w:r>
      <w:r w:rsidR="00E8092E" w:rsidRPr="00CB0424">
        <w:rPr>
          <w:rFonts w:ascii="Times New Roman" w:hAnsi="Times New Roman" w:cs="Times New Roman"/>
          <w:sz w:val="24"/>
          <w:szCs w:val="24"/>
        </w:rPr>
        <w:t>3 du C.D.E. ou si telle demande a été rejetée</w:t>
      </w:r>
      <w:r w:rsidRPr="00CB0424">
        <w:rPr>
          <w:rFonts w:ascii="Times New Roman" w:hAnsi="Times New Roman" w:cs="Times New Roman"/>
          <w:sz w:val="24"/>
          <w:szCs w:val="24"/>
        </w:rPr>
        <w:t xml:space="preserve"> (XX.51, §</w:t>
      </w:r>
      <w:r w:rsidR="005C41A7">
        <w:rPr>
          <w:rFonts w:ascii="Times New Roman" w:hAnsi="Times New Roman" w:cs="Times New Roman"/>
          <w:sz w:val="24"/>
          <w:szCs w:val="24"/>
        </w:rPr>
        <w:t xml:space="preserve"> </w:t>
      </w:r>
      <w:r w:rsidRPr="00CB0424">
        <w:rPr>
          <w:rFonts w:ascii="Times New Roman" w:hAnsi="Times New Roman" w:cs="Times New Roman"/>
          <w:sz w:val="24"/>
          <w:szCs w:val="24"/>
        </w:rPr>
        <w:t>3, al. 1</w:t>
      </w:r>
      <w:r w:rsidRPr="00CB0424">
        <w:rPr>
          <w:rFonts w:ascii="Times New Roman" w:hAnsi="Times New Roman" w:cs="Times New Roman"/>
          <w:sz w:val="24"/>
          <w:szCs w:val="24"/>
          <w:vertAlign w:val="superscript"/>
        </w:rPr>
        <w:t>er</w:t>
      </w:r>
      <w:r w:rsidRPr="00CB0424">
        <w:rPr>
          <w:rFonts w:ascii="Times New Roman" w:hAnsi="Times New Roman" w:cs="Times New Roman"/>
          <w:sz w:val="24"/>
          <w:szCs w:val="24"/>
        </w:rPr>
        <w:t xml:space="preserve">, du C.D.E.). </w:t>
      </w:r>
      <w:r w:rsidR="0001494B" w:rsidRPr="00CB0424">
        <w:rPr>
          <w:rFonts w:ascii="Times New Roman" w:hAnsi="Times New Roman" w:cs="Times New Roman"/>
          <w:sz w:val="24"/>
          <w:szCs w:val="24"/>
        </w:rPr>
        <w:t>Si la vente se poursuit, le notaire se chargera d’établir un ordre comme prévu par l’article XX.51, §</w:t>
      </w:r>
      <w:r w:rsidR="005C41A7">
        <w:rPr>
          <w:rFonts w:ascii="Times New Roman" w:hAnsi="Times New Roman" w:cs="Times New Roman"/>
          <w:sz w:val="24"/>
          <w:szCs w:val="24"/>
        </w:rPr>
        <w:t xml:space="preserve"> </w:t>
      </w:r>
      <w:r w:rsidR="0001494B" w:rsidRPr="00CB0424">
        <w:rPr>
          <w:rFonts w:ascii="Times New Roman" w:hAnsi="Times New Roman" w:cs="Times New Roman"/>
          <w:sz w:val="24"/>
          <w:szCs w:val="24"/>
        </w:rPr>
        <w:t>4, du C.</w:t>
      </w:r>
      <w:proofErr w:type="gramStart"/>
      <w:r w:rsidR="0001494B" w:rsidRPr="00CB0424">
        <w:rPr>
          <w:rFonts w:ascii="Times New Roman" w:hAnsi="Times New Roman" w:cs="Times New Roman"/>
          <w:sz w:val="24"/>
          <w:szCs w:val="24"/>
        </w:rPr>
        <w:t>D.E</w:t>
      </w:r>
      <w:proofErr w:type="gramEnd"/>
      <w:r w:rsidR="00E515E2" w:rsidRPr="00CB0424">
        <w:rPr>
          <w:rStyle w:val="Appelnotedebasdep"/>
          <w:rFonts w:ascii="Times New Roman" w:hAnsi="Times New Roman" w:cs="Times New Roman"/>
          <w:sz w:val="24"/>
          <w:szCs w:val="24"/>
        </w:rPr>
        <w:footnoteReference w:id="35"/>
      </w:r>
      <w:r w:rsidR="00BA27D5" w:rsidRPr="00CB0424">
        <w:rPr>
          <w:rFonts w:ascii="Times New Roman" w:hAnsi="Times New Roman" w:cs="Times New Roman"/>
          <w:sz w:val="24"/>
          <w:szCs w:val="24"/>
        </w:rPr>
        <w:t xml:space="preserve"> </w:t>
      </w:r>
      <w:r w:rsidR="00E515E2" w:rsidRPr="00CB0424">
        <w:rPr>
          <w:rFonts w:ascii="Times New Roman" w:hAnsi="Times New Roman" w:cs="Times New Roman"/>
          <w:sz w:val="24"/>
          <w:szCs w:val="24"/>
        </w:rPr>
        <w:t xml:space="preserve">qui </w:t>
      </w:r>
      <w:r w:rsidR="00BA27D5" w:rsidRPr="00CB0424">
        <w:rPr>
          <w:rFonts w:ascii="Times New Roman" w:hAnsi="Times New Roman" w:cs="Times New Roman"/>
          <w:sz w:val="24"/>
          <w:szCs w:val="24"/>
        </w:rPr>
        <w:t>dispose qu’en cas de saisie</w:t>
      </w:r>
      <w:r w:rsidR="005F4E47">
        <w:rPr>
          <w:rFonts w:ascii="Times New Roman" w:hAnsi="Times New Roman" w:cs="Times New Roman"/>
          <w:sz w:val="24"/>
          <w:szCs w:val="24"/>
        </w:rPr>
        <w:t>-</w:t>
      </w:r>
      <w:r w:rsidR="00BA27D5" w:rsidRPr="00CB0424">
        <w:rPr>
          <w:rFonts w:ascii="Times New Roman" w:hAnsi="Times New Roman" w:cs="Times New Roman"/>
          <w:sz w:val="24"/>
          <w:szCs w:val="24"/>
        </w:rPr>
        <w:t>exécution immobilière : « </w:t>
      </w:r>
      <w:r w:rsidR="00BA27D5" w:rsidRPr="00CB0424">
        <w:rPr>
          <w:rFonts w:ascii="Times New Roman" w:hAnsi="Times New Roman" w:cs="Times New Roman"/>
          <w:i/>
          <w:iCs/>
          <w:sz w:val="24"/>
          <w:szCs w:val="24"/>
        </w:rPr>
        <w:t>le notaire verse le cas échéant, après règlement des créanciers hypothécaires et privilégiés spéciaux, le solde de la part du prix de vente revenant au débiteur, à ce dernier ou au mandataire de justice en cas d’ouverture d’une procédure par transfert sous autorité de justice</w:t>
      </w:r>
      <w:r w:rsidR="00BA27D5" w:rsidRPr="00CB0424">
        <w:rPr>
          <w:rFonts w:ascii="Times New Roman" w:hAnsi="Times New Roman" w:cs="Times New Roman"/>
          <w:sz w:val="24"/>
          <w:szCs w:val="24"/>
        </w:rPr>
        <w:t> ». Une fois de plus,</w:t>
      </w:r>
      <w:r w:rsidR="00E515E2" w:rsidRPr="00CB0424">
        <w:rPr>
          <w:rFonts w:ascii="Times New Roman" w:hAnsi="Times New Roman" w:cs="Times New Roman"/>
          <w:sz w:val="24"/>
          <w:szCs w:val="24"/>
        </w:rPr>
        <w:t xml:space="preserve"> en dehors de l’hypothèse d</w:t>
      </w:r>
      <w:r w:rsidR="009A29BF" w:rsidRPr="00CB0424">
        <w:rPr>
          <w:rFonts w:ascii="Times New Roman" w:hAnsi="Times New Roman" w:cs="Times New Roman"/>
          <w:sz w:val="24"/>
          <w:szCs w:val="24"/>
        </w:rPr>
        <w:t>’un</w:t>
      </w:r>
      <w:r w:rsidR="00E515E2" w:rsidRPr="00CB0424">
        <w:rPr>
          <w:rFonts w:ascii="Times New Roman" w:hAnsi="Times New Roman" w:cs="Times New Roman"/>
          <w:sz w:val="24"/>
          <w:szCs w:val="24"/>
        </w:rPr>
        <w:t xml:space="preserve"> transfert sous autorité de justice, les </w:t>
      </w:r>
      <w:r w:rsidR="00BA27D5" w:rsidRPr="00CB0424">
        <w:rPr>
          <w:rFonts w:ascii="Times New Roman" w:hAnsi="Times New Roman" w:cs="Times New Roman"/>
          <w:sz w:val="24"/>
          <w:szCs w:val="24"/>
        </w:rPr>
        <w:t>créanciers chirographaires et privilégiés généraux</w:t>
      </w:r>
      <w:r w:rsidR="00E515E2" w:rsidRPr="00CB0424">
        <w:rPr>
          <w:rFonts w:ascii="Times New Roman" w:hAnsi="Times New Roman" w:cs="Times New Roman"/>
          <w:sz w:val="24"/>
          <w:szCs w:val="24"/>
        </w:rPr>
        <w:t xml:space="preserve"> sont </w:t>
      </w:r>
      <w:r w:rsidR="009A29BF" w:rsidRPr="00CB0424">
        <w:rPr>
          <w:rFonts w:ascii="Times New Roman" w:hAnsi="Times New Roman" w:cs="Times New Roman"/>
          <w:sz w:val="24"/>
          <w:szCs w:val="24"/>
        </w:rPr>
        <w:t>exclus de la répartition du p</w:t>
      </w:r>
      <w:r w:rsidR="00F8226E" w:rsidRPr="00CB0424">
        <w:rPr>
          <w:rFonts w:ascii="Times New Roman" w:hAnsi="Times New Roman" w:cs="Times New Roman"/>
          <w:sz w:val="24"/>
          <w:szCs w:val="24"/>
        </w:rPr>
        <w:t>roduit</w:t>
      </w:r>
      <w:r w:rsidR="009A29BF" w:rsidRPr="00CB0424">
        <w:rPr>
          <w:rFonts w:ascii="Times New Roman" w:hAnsi="Times New Roman" w:cs="Times New Roman"/>
          <w:sz w:val="24"/>
          <w:szCs w:val="24"/>
        </w:rPr>
        <w:t xml:space="preserve"> de</w:t>
      </w:r>
      <w:r w:rsidR="00F8226E" w:rsidRPr="00CB0424">
        <w:rPr>
          <w:rFonts w:ascii="Times New Roman" w:hAnsi="Times New Roman" w:cs="Times New Roman"/>
          <w:sz w:val="24"/>
          <w:szCs w:val="24"/>
        </w:rPr>
        <w:t xml:space="preserve"> la</w:t>
      </w:r>
      <w:r w:rsidR="009A29BF" w:rsidRPr="00CB0424">
        <w:rPr>
          <w:rFonts w:ascii="Times New Roman" w:hAnsi="Times New Roman" w:cs="Times New Roman"/>
          <w:sz w:val="24"/>
          <w:szCs w:val="24"/>
        </w:rPr>
        <w:t xml:space="preserve"> vente</w:t>
      </w:r>
      <w:r w:rsidR="00BA27D5" w:rsidRPr="00CB0424">
        <w:rPr>
          <w:rFonts w:ascii="Times New Roman" w:eastAsia="Times New Roman" w:hAnsi="Times New Roman" w:cs="Times New Roman"/>
          <w:sz w:val="24"/>
          <w:szCs w:val="24"/>
          <w:vertAlign w:val="superscript"/>
        </w:rPr>
        <w:footnoteReference w:id="36"/>
      </w:r>
      <w:r w:rsidR="00BA27D5" w:rsidRPr="00CB0424">
        <w:rPr>
          <w:rFonts w:ascii="Times New Roman" w:hAnsi="Times New Roman" w:cs="Times New Roman"/>
          <w:sz w:val="24"/>
          <w:szCs w:val="24"/>
        </w:rPr>
        <w:t xml:space="preserve">. </w:t>
      </w:r>
      <w:r w:rsidR="006A5AE3" w:rsidRPr="00CB0424">
        <w:rPr>
          <w:rFonts w:ascii="Times New Roman" w:hAnsi="Times New Roman" w:cs="Times New Roman"/>
          <w:sz w:val="24"/>
          <w:szCs w:val="24"/>
        </w:rPr>
        <w:t>Pour pal</w:t>
      </w:r>
      <w:r w:rsidR="00EF234D" w:rsidRPr="00CB0424">
        <w:rPr>
          <w:rFonts w:ascii="Times New Roman" w:hAnsi="Times New Roman" w:cs="Times New Roman"/>
          <w:sz w:val="24"/>
          <w:szCs w:val="24"/>
        </w:rPr>
        <w:t>l</w:t>
      </w:r>
      <w:r w:rsidR="006A5AE3" w:rsidRPr="00CB0424">
        <w:rPr>
          <w:rFonts w:ascii="Times New Roman" w:hAnsi="Times New Roman" w:cs="Times New Roman"/>
          <w:sz w:val="24"/>
          <w:szCs w:val="24"/>
        </w:rPr>
        <w:t>ier cette différence de traitement, le notaire pourrait procéder à un ordre classique</w:t>
      </w:r>
      <w:r w:rsidR="00C927FE">
        <w:rPr>
          <w:rFonts w:ascii="Times New Roman" w:hAnsi="Times New Roman" w:cs="Times New Roman"/>
          <w:sz w:val="24"/>
          <w:szCs w:val="24"/>
        </w:rPr>
        <w:t>.</w:t>
      </w:r>
      <w:r w:rsidR="00EF234D" w:rsidRPr="00CB0424">
        <w:rPr>
          <w:rFonts w:ascii="Times New Roman" w:hAnsi="Times New Roman" w:cs="Times New Roman"/>
          <w:sz w:val="24"/>
          <w:szCs w:val="24"/>
        </w:rPr>
        <w:t xml:space="preserve"> </w:t>
      </w:r>
    </w:p>
    <w:p w14:paraId="69D69FF4" w14:textId="77777777" w:rsidR="00E515E2" w:rsidRPr="00CB0424" w:rsidRDefault="00E515E2" w:rsidP="00B5673A">
      <w:pPr>
        <w:pStyle w:val="Corps"/>
        <w:jc w:val="both"/>
        <w:rPr>
          <w:rFonts w:ascii="Times New Roman" w:eastAsia="Times New Roman" w:hAnsi="Times New Roman" w:cs="Times New Roman"/>
          <w:sz w:val="24"/>
          <w:szCs w:val="24"/>
        </w:rPr>
      </w:pPr>
    </w:p>
    <w:p w14:paraId="509C28CA" w14:textId="1245FBEA" w:rsidR="004B201B" w:rsidRPr="00CB0424" w:rsidRDefault="0001494B"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 xml:space="preserve">Qu’en est-il d’une vente d’immeuble réalisée avant le dépôt de la requête mais dont le produit n’a pas encore été distribué par le notaire ? </w:t>
      </w:r>
      <w:r w:rsidR="00FF61A5">
        <w:rPr>
          <w:rFonts w:ascii="Times New Roman" w:hAnsi="Times New Roman" w:cs="Times New Roman"/>
          <w:sz w:val="24"/>
          <w:szCs w:val="24"/>
        </w:rPr>
        <w:t>S</w:t>
      </w:r>
      <w:r w:rsidRPr="00CB0424">
        <w:rPr>
          <w:rFonts w:ascii="Times New Roman" w:hAnsi="Times New Roman" w:cs="Times New Roman"/>
          <w:sz w:val="24"/>
          <w:szCs w:val="24"/>
        </w:rPr>
        <w:t>el</w:t>
      </w:r>
      <w:r w:rsidR="00D459C8">
        <w:rPr>
          <w:rFonts w:ascii="Times New Roman" w:hAnsi="Times New Roman" w:cs="Times New Roman"/>
          <w:sz w:val="24"/>
          <w:szCs w:val="24"/>
        </w:rPr>
        <w:t>on l’enseignement d’</w:t>
      </w:r>
      <w:r w:rsidR="005E5FEA">
        <w:rPr>
          <w:rFonts w:ascii="Times New Roman" w:hAnsi="Times New Roman" w:cs="Times New Roman"/>
          <w:sz w:val="24"/>
          <w:szCs w:val="24"/>
        </w:rPr>
        <w:t>Ivan</w:t>
      </w:r>
      <w:r w:rsidRPr="00CB0424">
        <w:rPr>
          <w:rFonts w:ascii="Times New Roman" w:hAnsi="Times New Roman" w:cs="Times New Roman"/>
          <w:sz w:val="24"/>
          <w:szCs w:val="24"/>
        </w:rPr>
        <w:t xml:space="preserve"> </w:t>
      </w:r>
      <w:proofErr w:type="spellStart"/>
      <w:r w:rsidRPr="00CB0424">
        <w:rPr>
          <w:rFonts w:ascii="Times New Roman" w:hAnsi="Times New Roman" w:cs="Times New Roman"/>
          <w:sz w:val="24"/>
          <w:szCs w:val="24"/>
        </w:rPr>
        <w:t>Verougstraete</w:t>
      </w:r>
      <w:proofErr w:type="spellEnd"/>
      <w:r w:rsidRPr="00CB0424">
        <w:rPr>
          <w:rFonts w:ascii="Times New Roman" w:hAnsi="Times New Roman" w:cs="Times New Roman"/>
          <w:sz w:val="24"/>
          <w:szCs w:val="24"/>
        </w:rPr>
        <w:t>, il s’agira de payer les créanciers hypothécaires et privilégiés, le solde</w:t>
      </w:r>
      <w:r w:rsidR="006D7C7B" w:rsidRPr="00CB0424">
        <w:rPr>
          <w:rFonts w:ascii="Times New Roman" w:hAnsi="Times New Roman" w:cs="Times New Roman"/>
          <w:sz w:val="24"/>
          <w:szCs w:val="24"/>
        </w:rPr>
        <w:t xml:space="preserve"> éventuel</w:t>
      </w:r>
      <w:r w:rsidRPr="00CB0424">
        <w:rPr>
          <w:rFonts w:ascii="Times New Roman" w:hAnsi="Times New Roman" w:cs="Times New Roman"/>
          <w:sz w:val="24"/>
          <w:szCs w:val="24"/>
        </w:rPr>
        <w:t xml:space="preserve"> du prix</w:t>
      </w:r>
      <w:r w:rsidR="006D7C7B" w:rsidRPr="00CB0424">
        <w:rPr>
          <w:rFonts w:ascii="Times New Roman" w:hAnsi="Times New Roman" w:cs="Times New Roman"/>
          <w:sz w:val="24"/>
          <w:szCs w:val="24"/>
        </w:rPr>
        <w:t xml:space="preserve"> </w:t>
      </w:r>
      <w:r w:rsidR="00FF61A5">
        <w:rPr>
          <w:rFonts w:ascii="Times New Roman" w:hAnsi="Times New Roman" w:cs="Times New Roman"/>
          <w:sz w:val="24"/>
          <w:szCs w:val="24"/>
        </w:rPr>
        <w:t>étant</w:t>
      </w:r>
      <w:r w:rsidR="006D7C7B" w:rsidRPr="00CB0424">
        <w:rPr>
          <w:rFonts w:ascii="Times New Roman" w:hAnsi="Times New Roman" w:cs="Times New Roman"/>
          <w:sz w:val="24"/>
          <w:szCs w:val="24"/>
        </w:rPr>
        <w:t xml:space="preserve"> quant à lui</w:t>
      </w:r>
      <w:r w:rsidRPr="00CB0424">
        <w:rPr>
          <w:rFonts w:ascii="Times New Roman" w:hAnsi="Times New Roman" w:cs="Times New Roman"/>
          <w:sz w:val="24"/>
          <w:szCs w:val="24"/>
        </w:rPr>
        <w:t xml:space="preserve"> res</w:t>
      </w:r>
      <w:r w:rsidR="00FF61A5">
        <w:rPr>
          <w:rFonts w:ascii="Times New Roman" w:hAnsi="Times New Roman" w:cs="Times New Roman"/>
          <w:sz w:val="24"/>
          <w:szCs w:val="24"/>
        </w:rPr>
        <w:t>t</w:t>
      </w:r>
      <w:r w:rsidRPr="00CB0424">
        <w:rPr>
          <w:rFonts w:ascii="Times New Roman" w:hAnsi="Times New Roman" w:cs="Times New Roman"/>
          <w:sz w:val="24"/>
          <w:szCs w:val="24"/>
        </w:rPr>
        <w:t>itué au débiteur</w:t>
      </w:r>
      <w:r w:rsidR="00E8092E" w:rsidRPr="00CB0424">
        <w:rPr>
          <w:rFonts w:ascii="Times New Roman" w:eastAsia="Times New Roman" w:hAnsi="Times New Roman" w:cs="Times New Roman"/>
          <w:sz w:val="24"/>
          <w:szCs w:val="24"/>
          <w:vertAlign w:val="superscript"/>
        </w:rPr>
        <w:footnoteReference w:id="37"/>
      </w:r>
      <w:r w:rsidR="00FF61A5">
        <w:rPr>
          <w:rFonts w:ascii="Times New Roman" w:hAnsi="Times New Roman" w:cs="Times New Roman"/>
          <w:sz w:val="24"/>
          <w:szCs w:val="24"/>
        </w:rPr>
        <w:t xml:space="preserve">. </w:t>
      </w:r>
      <w:r w:rsidR="00FF61A5" w:rsidRPr="00D969FC">
        <w:rPr>
          <w:rFonts w:ascii="Times New Roman" w:hAnsi="Times New Roman" w:cs="Times New Roman"/>
          <w:sz w:val="24"/>
          <w:szCs w:val="24"/>
          <w:lang w:val="fr-BE"/>
        </w:rPr>
        <w:t>Encore une fois, les créanciers privilégiés généraux et chirographaires sont les grands oubliés de la procédure (hor</w:t>
      </w:r>
      <w:r w:rsidR="00FF61A5">
        <w:rPr>
          <w:rFonts w:ascii="Times New Roman" w:hAnsi="Times New Roman" w:cs="Times New Roman"/>
          <w:sz w:val="24"/>
          <w:szCs w:val="24"/>
          <w:lang w:val="fr-BE"/>
        </w:rPr>
        <w:t>mis</w:t>
      </w:r>
      <w:r w:rsidR="00FF61A5" w:rsidRPr="00D969FC">
        <w:rPr>
          <w:rFonts w:ascii="Times New Roman" w:hAnsi="Times New Roman" w:cs="Times New Roman"/>
          <w:sz w:val="24"/>
          <w:szCs w:val="24"/>
          <w:lang w:val="fr-BE"/>
        </w:rPr>
        <w:t xml:space="preserve"> l’hypothèse d’un transfert sous autorité de justice)</w:t>
      </w:r>
      <w:r w:rsidR="00FF61A5">
        <w:rPr>
          <w:rFonts w:ascii="Times New Roman" w:hAnsi="Times New Roman" w:cs="Times New Roman"/>
          <w:sz w:val="24"/>
          <w:szCs w:val="24"/>
          <w:lang w:val="fr-BE"/>
        </w:rPr>
        <w:t>, de sorte qu’à nos yeux, le notaire doit procéder à un ordre complet.</w:t>
      </w:r>
    </w:p>
    <w:p w14:paraId="4F43076F" w14:textId="77777777" w:rsidR="004B201B" w:rsidRPr="00CB0424" w:rsidRDefault="004B201B" w:rsidP="00B5673A">
      <w:pPr>
        <w:pStyle w:val="Corps"/>
        <w:jc w:val="both"/>
        <w:rPr>
          <w:rFonts w:ascii="Times New Roman" w:hAnsi="Times New Roman" w:cs="Times New Roman"/>
          <w:sz w:val="24"/>
          <w:szCs w:val="24"/>
        </w:rPr>
      </w:pPr>
    </w:p>
    <w:p w14:paraId="489A69CC" w14:textId="77777777" w:rsidR="004B201B" w:rsidRPr="00CB0424" w:rsidRDefault="004B201B" w:rsidP="00B5673A">
      <w:pPr>
        <w:pStyle w:val="Corps"/>
        <w:jc w:val="both"/>
        <w:rPr>
          <w:rFonts w:ascii="Times New Roman" w:hAnsi="Times New Roman" w:cs="Times New Roman"/>
          <w:sz w:val="24"/>
          <w:szCs w:val="24"/>
        </w:rPr>
      </w:pPr>
    </w:p>
    <w:p w14:paraId="32A6652D" w14:textId="77777777" w:rsidR="004367EC" w:rsidRPr="00CB0424" w:rsidRDefault="00E8092E" w:rsidP="00B5673A">
      <w:pPr>
        <w:pStyle w:val="Corps"/>
        <w:jc w:val="both"/>
        <w:rPr>
          <w:rFonts w:ascii="Times New Roman" w:eastAsia="Times New Roman" w:hAnsi="Times New Roman" w:cs="Times New Roman"/>
          <w:b/>
          <w:bCs/>
          <w:sz w:val="24"/>
          <w:szCs w:val="24"/>
          <w:u w:val="single"/>
        </w:rPr>
      </w:pPr>
      <w:r w:rsidRPr="00CB0424">
        <w:rPr>
          <w:rFonts w:ascii="Times New Roman" w:hAnsi="Times New Roman" w:cs="Times New Roman"/>
          <w:b/>
          <w:bCs/>
          <w:sz w:val="24"/>
          <w:szCs w:val="24"/>
          <w:u w:val="single"/>
        </w:rPr>
        <w:t xml:space="preserve">II. La faillite </w:t>
      </w:r>
    </w:p>
    <w:p w14:paraId="34844C7C" w14:textId="77777777" w:rsidR="004367EC" w:rsidRPr="00CB0424" w:rsidRDefault="004367EC" w:rsidP="00B5673A">
      <w:pPr>
        <w:pStyle w:val="Corps"/>
        <w:jc w:val="both"/>
        <w:rPr>
          <w:rFonts w:ascii="Times New Roman" w:eastAsia="Times New Roman" w:hAnsi="Times New Roman" w:cs="Times New Roman"/>
          <w:b/>
          <w:bCs/>
          <w:sz w:val="24"/>
          <w:szCs w:val="24"/>
        </w:rPr>
      </w:pPr>
    </w:p>
    <w:p w14:paraId="5277026B" w14:textId="77777777" w:rsidR="004367EC" w:rsidRPr="00CB0424" w:rsidRDefault="00E8092E" w:rsidP="00B5673A">
      <w:pPr>
        <w:pStyle w:val="Corps"/>
        <w:numPr>
          <w:ilvl w:val="0"/>
          <w:numId w:val="12"/>
        </w:numPr>
        <w:jc w:val="both"/>
        <w:rPr>
          <w:rFonts w:ascii="Times New Roman" w:eastAsia="Times New Roman" w:hAnsi="Times New Roman" w:cs="Times New Roman"/>
          <w:b/>
          <w:bCs/>
          <w:sz w:val="24"/>
          <w:szCs w:val="24"/>
        </w:rPr>
      </w:pPr>
      <w:r w:rsidRPr="00CB0424">
        <w:rPr>
          <w:rFonts w:ascii="Times New Roman" w:hAnsi="Times New Roman" w:cs="Times New Roman"/>
          <w:b/>
          <w:bCs/>
          <w:sz w:val="24"/>
          <w:szCs w:val="24"/>
        </w:rPr>
        <w:t xml:space="preserve">Généralités </w:t>
      </w:r>
    </w:p>
    <w:p w14:paraId="3AA4A6C0" w14:textId="77777777" w:rsidR="004367EC" w:rsidRPr="00CB0424" w:rsidRDefault="004367EC" w:rsidP="00B5673A">
      <w:pPr>
        <w:pStyle w:val="Corps"/>
        <w:jc w:val="both"/>
        <w:rPr>
          <w:rFonts w:ascii="Times New Roman" w:eastAsia="Times New Roman" w:hAnsi="Times New Roman" w:cs="Times New Roman"/>
          <w:b/>
          <w:bCs/>
          <w:sz w:val="24"/>
          <w:szCs w:val="24"/>
        </w:rPr>
      </w:pPr>
    </w:p>
    <w:p w14:paraId="599DF275" w14:textId="44212775" w:rsidR="004367EC" w:rsidRPr="00CB0424" w:rsidRDefault="00E8092E" w:rsidP="00B5673A">
      <w:pPr>
        <w:pStyle w:val="Corps"/>
        <w:jc w:val="both"/>
        <w:rPr>
          <w:rFonts w:ascii="Times New Roman" w:eastAsia="Times New Roman" w:hAnsi="Times New Roman" w:cs="Times New Roman"/>
          <w:sz w:val="24"/>
          <w:szCs w:val="24"/>
        </w:rPr>
      </w:pPr>
      <w:r w:rsidRPr="00CB0424">
        <w:rPr>
          <w:rFonts w:ascii="Times New Roman" w:hAnsi="Times New Roman" w:cs="Times New Roman"/>
          <w:sz w:val="24"/>
          <w:szCs w:val="24"/>
        </w:rPr>
        <w:t>La procédure de faillite implique que les biens de l’entreprise so</w:t>
      </w:r>
      <w:r w:rsidR="009F3DEA" w:rsidRPr="00CB0424">
        <w:rPr>
          <w:rFonts w:ascii="Times New Roman" w:hAnsi="Times New Roman" w:cs="Times New Roman"/>
          <w:sz w:val="24"/>
          <w:szCs w:val="24"/>
        </w:rPr>
        <w:t>ient</w:t>
      </w:r>
      <w:r w:rsidRPr="00CB0424">
        <w:rPr>
          <w:rFonts w:ascii="Times New Roman" w:hAnsi="Times New Roman" w:cs="Times New Roman"/>
          <w:sz w:val="24"/>
          <w:szCs w:val="24"/>
        </w:rPr>
        <w:t xml:space="preserve"> affectés exclusivement au désintéressement des créanciers exist</w:t>
      </w:r>
      <w:r w:rsidR="00D658CA">
        <w:rPr>
          <w:rFonts w:ascii="Times New Roman" w:hAnsi="Times New Roman" w:cs="Times New Roman"/>
          <w:sz w:val="24"/>
          <w:szCs w:val="24"/>
        </w:rPr>
        <w:t>a</w:t>
      </w:r>
      <w:r w:rsidRPr="00CB0424">
        <w:rPr>
          <w:rFonts w:ascii="Times New Roman" w:hAnsi="Times New Roman" w:cs="Times New Roman"/>
          <w:sz w:val="24"/>
          <w:szCs w:val="24"/>
        </w:rPr>
        <w:t>nt au jour du jugement déclaratif (article XX.110 du C.D.E.)</w:t>
      </w:r>
      <w:r w:rsidR="009A492B">
        <w:rPr>
          <w:rStyle w:val="Appelnotedebasdep"/>
          <w:rFonts w:ascii="Times New Roman" w:hAnsi="Times New Roman" w:cs="Times New Roman"/>
          <w:sz w:val="24"/>
          <w:szCs w:val="24"/>
        </w:rPr>
        <w:footnoteReference w:id="38"/>
      </w:r>
      <w:r w:rsidRPr="00CB0424">
        <w:rPr>
          <w:rFonts w:ascii="Times New Roman" w:hAnsi="Times New Roman" w:cs="Times New Roman"/>
          <w:sz w:val="24"/>
          <w:szCs w:val="24"/>
        </w:rPr>
        <w:t xml:space="preserve">. Comme le </w:t>
      </w:r>
      <w:r w:rsidR="009F3DEA" w:rsidRPr="00CB0424">
        <w:rPr>
          <w:rFonts w:ascii="Times New Roman" w:hAnsi="Times New Roman" w:cs="Times New Roman"/>
          <w:sz w:val="24"/>
          <w:szCs w:val="24"/>
        </w:rPr>
        <w:t>souligne</w:t>
      </w:r>
      <w:r w:rsidRPr="00CB0424">
        <w:rPr>
          <w:rFonts w:ascii="Times New Roman" w:hAnsi="Times New Roman" w:cs="Times New Roman"/>
          <w:sz w:val="24"/>
          <w:szCs w:val="24"/>
        </w:rPr>
        <w:t xml:space="preserve"> Michèle Grégoire</w:t>
      </w:r>
      <w:r w:rsidR="00B06F42">
        <w:rPr>
          <w:rFonts w:ascii="Times New Roman" w:hAnsi="Times New Roman" w:cs="Times New Roman"/>
          <w:sz w:val="24"/>
          <w:szCs w:val="24"/>
        </w:rPr>
        <w:t> :</w:t>
      </w:r>
      <w:r w:rsidRPr="00CB0424">
        <w:rPr>
          <w:rFonts w:ascii="Times New Roman" w:hAnsi="Times New Roman" w:cs="Times New Roman"/>
          <w:sz w:val="24"/>
          <w:szCs w:val="24"/>
        </w:rPr>
        <w:t xml:space="preserve"> «</w:t>
      </w:r>
      <w:r w:rsidRPr="00CB0424">
        <w:rPr>
          <w:rFonts w:ascii="Times New Roman" w:hAnsi="Times New Roman" w:cs="Times New Roman"/>
          <w:i/>
          <w:iCs/>
          <w:sz w:val="24"/>
          <w:szCs w:val="24"/>
        </w:rPr>
        <w:t> la faillite a l’effet d’une saisie effectuée au profit des créanciers antérieurement regroupés en masse. Tous les actifs saisissables du failli leur sont réservés</w:t>
      </w:r>
      <w:r w:rsidRPr="00CB0424">
        <w:rPr>
          <w:rFonts w:ascii="Times New Roman" w:hAnsi="Times New Roman" w:cs="Times New Roman"/>
          <w:sz w:val="24"/>
          <w:szCs w:val="24"/>
        </w:rPr>
        <w:t> »</w:t>
      </w:r>
      <w:r w:rsidRPr="00CB0424">
        <w:rPr>
          <w:rFonts w:ascii="Times New Roman" w:eastAsia="Times New Roman" w:hAnsi="Times New Roman" w:cs="Times New Roman"/>
          <w:sz w:val="24"/>
          <w:szCs w:val="24"/>
          <w:vertAlign w:val="superscript"/>
        </w:rPr>
        <w:footnoteReference w:id="39"/>
      </w:r>
      <w:r w:rsidRPr="00CB0424">
        <w:rPr>
          <w:rFonts w:ascii="Times New Roman" w:hAnsi="Times New Roman" w:cs="Times New Roman"/>
          <w:sz w:val="24"/>
          <w:szCs w:val="24"/>
        </w:rPr>
        <w:t xml:space="preserve">. </w:t>
      </w:r>
    </w:p>
    <w:p w14:paraId="1B6B6320" w14:textId="77777777" w:rsidR="004367EC" w:rsidRPr="00CB0424" w:rsidRDefault="004367EC" w:rsidP="00B5673A">
      <w:pPr>
        <w:pStyle w:val="Corps"/>
        <w:jc w:val="both"/>
        <w:rPr>
          <w:rFonts w:ascii="Times New Roman" w:eastAsia="Times New Roman" w:hAnsi="Times New Roman" w:cs="Times New Roman"/>
          <w:sz w:val="24"/>
          <w:szCs w:val="24"/>
        </w:rPr>
      </w:pPr>
    </w:p>
    <w:p w14:paraId="01C67654" w14:textId="44BABCD2" w:rsidR="004367EC" w:rsidRPr="00CB0424" w:rsidRDefault="00E8092E" w:rsidP="00630F71">
      <w:pPr>
        <w:pStyle w:val="Corps"/>
        <w:numPr>
          <w:ilvl w:val="0"/>
          <w:numId w:val="12"/>
        </w:numPr>
        <w:jc w:val="both"/>
        <w:rPr>
          <w:rFonts w:ascii="Times New Roman" w:eastAsia="Times New Roman" w:hAnsi="Times New Roman" w:cs="Times New Roman"/>
          <w:b/>
          <w:bCs/>
          <w:sz w:val="24"/>
          <w:szCs w:val="24"/>
        </w:rPr>
      </w:pPr>
      <w:r w:rsidRPr="00CB0424">
        <w:rPr>
          <w:rFonts w:ascii="Times New Roman" w:hAnsi="Times New Roman" w:cs="Times New Roman"/>
          <w:b/>
          <w:bCs/>
          <w:sz w:val="24"/>
          <w:szCs w:val="24"/>
        </w:rPr>
        <w:t xml:space="preserve">Saisie conservatoire </w:t>
      </w:r>
    </w:p>
    <w:p w14:paraId="35B634BB" w14:textId="77777777" w:rsidR="004367EC" w:rsidRPr="00CB0424" w:rsidRDefault="004367EC" w:rsidP="00B5673A">
      <w:pPr>
        <w:pStyle w:val="Corps"/>
        <w:jc w:val="both"/>
        <w:rPr>
          <w:rFonts w:ascii="Times New Roman" w:eastAsia="Times New Roman" w:hAnsi="Times New Roman" w:cs="Times New Roman"/>
          <w:b/>
          <w:bCs/>
          <w:sz w:val="24"/>
          <w:szCs w:val="24"/>
        </w:rPr>
      </w:pPr>
    </w:p>
    <w:p w14:paraId="2A11B6F7" w14:textId="5721CB76" w:rsidR="004367EC" w:rsidRPr="00CB0424" w:rsidRDefault="00E8092E" w:rsidP="00B5673A">
      <w:pPr>
        <w:pStyle w:val="Corps"/>
        <w:jc w:val="both"/>
        <w:rPr>
          <w:rFonts w:ascii="Times New Roman" w:eastAsia="Times New Roman" w:hAnsi="Times New Roman" w:cs="Times New Roman"/>
          <w:sz w:val="24"/>
          <w:szCs w:val="24"/>
        </w:rPr>
      </w:pPr>
      <w:r w:rsidRPr="00CB0424">
        <w:rPr>
          <w:rFonts w:ascii="Times New Roman" w:hAnsi="Times New Roman" w:cs="Times New Roman"/>
          <w:sz w:val="24"/>
          <w:szCs w:val="24"/>
        </w:rPr>
        <w:lastRenderedPageBreak/>
        <w:t>L’article XX.120, §</w:t>
      </w:r>
      <w:r w:rsidR="00AC3B96">
        <w:rPr>
          <w:rFonts w:ascii="Times New Roman" w:hAnsi="Times New Roman" w:cs="Times New Roman"/>
          <w:sz w:val="24"/>
          <w:szCs w:val="24"/>
        </w:rPr>
        <w:t xml:space="preserve"> </w:t>
      </w:r>
      <w:r w:rsidRPr="00CB0424">
        <w:rPr>
          <w:rFonts w:ascii="Times New Roman" w:hAnsi="Times New Roman" w:cs="Times New Roman"/>
          <w:sz w:val="24"/>
          <w:szCs w:val="24"/>
        </w:rPr>
        <w:t>1</w:t>
      </w:r>
      <w:r w:rsidRPr="00D969FC">
        <w:rPr>
          <w:rFonts w:ascii="Times New Roman" w:hAnsi="Times New Roman" w:cs="Times New Roman"/>
          <w:sz w:val="24"/>
          <w:szCs w:val="24"/>
          <w:vertAlign w:val="superscript"/>
        </w:rPr>
        <w:t>er</w:t>
      </w:r>
      <w:r w:rsidRPr="00CB0424">
        <w:rPr>
          <w:rFonts w:ascii="Times New Roman" w:hAnsi="Times New Roman" w:cs="Times New Roman"/>
          <w:sz w:val="24"/>
          <w:szCs w:val="24"/>
        </w:rPr>
        <w:t>, al. 1</w:t>
      </w:r>
      <w:r w:rsidRPr="00D969FC">
        <w:rPr>
          <w:rFonts w:ascii="Times New Roman" w:hAnsi="Times New Roman" w:cs="Times New Roman"/>
          <w:sz w:val="24"/>
          <w:szCs w:val="24"/>
          <w:vertAlign w:val="superscript"/>
        </w:rPr>
        <w:t>er</w:t>
      </w:r>
      <w:r w:rsidRPr="00CB0424">
        <w:rPr>
          <w:rFonts w:ascii="Times New Roman" w:hAnsi="Times New Roman" w:cs="Times New Roman"/>
          <w:sz w:val="24"/>
          <w:szCs w:val="24"/>
        </w:rPr>
        <w:t xml:space="preserve">, du C.D.E. prohibe la poursuite de toute saisie conservatoire sur les biens meubles ou immeubles du débiteur, à l’égard de tous créanciers. </w:t>
      </w:r>
    </w:p>
    <w:p w14:paraId="04A4E1B9" w14:textId="77777777" w:rsidR="004367EC" w:rsidRPr="00CB0424" w:rsidRDefault="004367EC" w:rsidP="00B5673A">
      <w:pPr>
        <w:pStyle w:val="Corps"/>
        <w:jc w:val="both"/>
        <w:rPr>
          <w:rFonts w:ascii="Times New Roman" w:eastAsia="Times New Roman" w:hAnsi="Times New Roman" w:cs="Times New Roman"/>
          <w:sz w:val="24"/>
          <w:szCs w:val="24"/>
        </w:rPr>
      </w:pPr>
    </w:p>
    <w:p w14:paraId="44742E54" w14:textId="46874E3A" w:rsidR="004367EC" w:rsidRPr="00CB0424" w:rsidRDefault="00E8092E" w:rsidP="00630F71">
      <w:pPr>
        <w:pStyle w:val="Corps"/>
        <w:numPr>
          <w:ilvl w:val="0"/>
          <w:numId w:val="12"/>
        </w:numPr>
        <w:jc w:val="both"/>
        <w:rPr>
          <w:rFonts w:ascii="Times New Roman" w:eastAsia="Times New Roman" w:hAnsi="Times New Roman" w:cs="Times New Roman"/>
          <w:b/>
          <w:bCs/>
          <w:sz w:val="24"/>
          <w:szCs w:val="24"/>
        </w:rPr>
      </w:pPr>
      <w:r w:rsidRPr="00CB0424">
        <w:rPr>
          <w:rFonts w:ascii="Times New Roman" w:hAnsi="Times New Roman" w:cs="Times New Roman"/>
          <w:b/>
          <w:bCs/>
          <w:sz w:val="24"/>
          <w:szCs w:val="24"/>
        </w:rPr>
        <w:t>Saisie</w:t>
      </w:r>
      <w:r w:rsidR="008A5A36">
        <w:rPr>
          <w:rFonts w:ascii="Times New Roman" w:hAnsi="Times New Roman" w:cs="Times New Roman"/>
          <w:b/>
          <w:bCs/>
          <w:sz w:val="24"/>
          <w:szCs w:val="24"/>
        </w:rPr>
        <w:t>-</w:t>
      </w:r>
      <w:r w:rsidRPr="00CB0424">
        <w:rPr>
          <w:rFonts w:ascii="Times New Roman" w:hAnsi="Times New Roman" w:cs="Times New Roman"/>
          <w:b/>
          <w:bCs/>
          <w:sz w:val="24"/>
          <w:szCs w:val="24"/>
        </w:rPr>
        <w:t xml:space="preserve">exécution </w:t>
      </w:r>
      <w:r w:rsidR="009505E0" w:rsidRPr="00CB0424">
        <w:rPr>
          <w:rFonts w:ascii="Times New Roman" w:hAnsi="Times New Roman" w:cs="Times New Roman"/>
          <w:b/>
          <w:bCs/>
          <w:sz w:val="24"/>
          <w:szCs w:val="24"/>
        </w:rPr>
        <w:t>mobilière</w:t>
      </w:r>
    </w:p>
    <w:p w14:paraId="48BB3097" w14:textId="77777777" w:rsidR="004367EC" w:rsidRPr="00CB0424" w:rsidRDefault="004367EC" w:rsidP="00B5673A">
      <w:pPr>
        <w:pStyle w:val="Corps"/>
        <w:jc w:val="both"/>
        <w:rPr>
          <w:rFonts w:ascii="Times New Roman" w:eastAsia="Times New Roman" w:hAnsi="Times New Roman" w:cs="Times New Roman"/>
          <w:sz w:val="24"/>
          <w:szCs w:val="24"/>
        </w:rPr>
      </w:pPr>
    </w:p>
    <w:p w14:paraId="5043E872" w14:textId="554F0CE8" w:rsidR="004367EC"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L’article XX.120, §</w:t>
      </w:r>
      <w:r w:rsidR="009A492B">
        <w:rPr>
          <w:rFonts w:ascii="Times New Roman" w:hAnsi="Times New Roman" w:cs="Times New Roman"/>
          <w:sz w:val="24"/>
          <w:szCs w:val="24"/>
        </w:rPr>
        <w:t xml:space="preserve"> </w:t>
      </w:r>
      <w:r w:rsidRPr="00CB0424">
        <w:rPr>
          <w:rFonts w:ascii="Times New Roman" w:hAnsi="Times New Roman" w:cs="Times New Roman"/>
          <w:sz w:val="24"/>
          <w:szCs w:val="24"/>
        </w:rPr>
        <w:t>1</w:t>
      </w:r>
      <w:r w:rsidRPr="00CB0424">
        <w:rPr>
          <w:rFonts w:ascii="Times New Roman" w:hAnsi="Times New Roman" w:cs="Times New Roman"/>
          <w:sz w:val="24"/>
          <w:szCs w:val="24"/>
          <w:vertAlign w:val="superscript"/>
        </w:rPr>
        <w:t>er</w:t>
      </w:r>
      <w:r w:rsidR="006D7C7B" w:rsidRPr="00CB0424">
        <w:rPr>
          <w:rFonts w:ascii="Times New Roman" w:hAnsi="Times New Roman" w:cs="Times New Roman"/>
          <w:sz w:val="24"/>
          <w:szCs w:val="24"/>
        </w:rPr>
        <w:t xml:space="preserve">, </w:t>
      </w:r>
      <w:r w:rsidRPr="00CB0424">
        <w:rPr>
          <w:rFonts w:ascii="Times New Roman" w:hAnsi="Times New Roman" w:cs="Times New Roman"/>
          <w:sz w:val="24"/>
          <w:szCs w:val="24"/>
        </w:rPr>
        <w:t xml:space="preserve">du C.D.E. consacre la suspension des saisies pratiquées antérieurement au jugement déclaratif de faillite. Toutefois, le </w:t>
      </w:r>
      <w:r w:rsidR="008A5A36">
        <w:rPr>
          <w:rFonts w:ascii="Times New Roman" w:hAnsi="Times New Roman" w:cs="Times New Roman"/>
          <w:sz w:val="24"/>
          <w:szCs w:val="24"/>
        </w:rPr>
        <w:t>deuxième paragraphe</w:t>
      </w:r>
      <w:r w:rsidRPr="00CB0424">
        <w:rPr>
          <w:rFonts w:ascii="Times New Roman" w:hAnsi="Times New Roman" w:cs="Times New Roman"/>
          <w:sz w:val="24"/>
          <w:szCs w:val="24"/>
        </w:rPr>
        <w:t xml:space="preserve"> de </w:t>
      </w:r>
      <w:r w:rsidR="006110B9">
        <w:rPr>
          <w:rFonts w:ascii="Times New Roman" w:hAnsi="Times New Roman" w:cs="Times New Roman"/>
          <w:sz w:val="24"/>
          <w:szCs w:val="24"/>
        </w:rPr>
        <w:t>cette disposition</w:t>
      </w:r>
      <w:r w:rsidRPr="00CB0424">
        <w:rPr>
          <w:rFonts w:ascii="Times New Roman" w:hAnsi="Times New Roman" w:cs="Times New Roman"/>
          <w:sz w:val="24"/>
          <w:szCs w:val="24"/>
        </w:rPr>
        <w:t xml:space="preserve"> prévoit que si</w:t>
      </w:r>
      <w:r w:rsidR="006E2E1B" w:rsidRPr="00CB0424">
        <w:rPr>
          <w:rFonts w:ascii="Times New Roman" w:hAnsi="Times New Roman" w:cs="Times New Roman"/>
          <w:sz w:val="24"/>
          <w:szCs w:val="24"/>
        </w:rPr>
        <w:t xml:space="preserve"> </w:t>
      </w:r>
      <w:r w:rsidRPr="00CB0424">
        <w:rPr>
          <w:rFonts w:ascii="Times New Roman" w:hAnsi="Times New Roman" w:cs="Times New Roman"/>
          <w:sz w:val="24"/>
          <w:szCs w:val="24"/>
        </w:rPr>
        <w:t xml:space="preserve">antérieurement au jugement déclaratif de faillite, le jour de la vente forcée des meubles saisis a déjà été fixé et publié par les affiches, la vente a lieu pour le compte de la masse. </w:t>
      </w:r>
      <w:r w:rsidR="008A4B87" w:rsidRPr="00CB0424">
        <w:rPr>
          <w:rFonts w:ascii="Times New Roman" w:hAnsi="Times New Roman" w:cs="Times New Roman"/>
          <w:sz w:val="24"/>
          <w:szCs w:val="24"/>
        </w:rPr>
        <w:t>Dans tel cas, il s’agira pour l’huissier de remettre les fonds provenant de la vente au curateur, après désintéressement des créanciers privilégiés spéciaux</w:t>
      </w:r>
      <w:r w:rsidR="008A4B87" w:rsidRPr="00CB0424">
        <w:rPr>
          <w:rStyle w:val="Appelnotedebasdep"/>
          <w:rFonts w:ascii="Times New Roman" w:hAnsi="Times New Roman" w:cs="Times New Roman"/>
          <w:sz w:val="24"/>
          <w:szCs w:val="24"/>
        </w:rPr>
        <w:footnoteReference w:id="40"/>
      </w:r>
      <w:r w:rsidR="008A4B87" w:rsidRPr="00CB0424">
        <w:rPr>
          <w:rFonts w:ascii="Times New Roman" w:hAnsi="Times New Roman" w:cs="Times New Roman"/>
          <w:sz w:val="24"/>
          <w:szCs w:val="24"/>
        </w:rPr>
        <w:t xml:space="preserve">. </w:t>
      </w:r>
      <w:r w:rsidRPr="00CB0424">
        <w:rPr>
          <w:rFonts w:ascii="Times New Roman" w:hAnsi="Times New Roman" w:cs="Times New Roman"/>
          <w:sz w:val="24"/>
          <w:szCs w:val="24"/>
        </w:rPr>
        <w:t xml:space="preserve">Néanmoins, le juge commissaire pourra, si l’intérêt de la masse l’exige et après avoir appelé les créanciers hypothécaires, privilégiés inscrits ou enregistrés et le créancier saisissant, autoriser la remise ou l’abandon de la vente. Avec Nicolas </w:t>
      </w:r>
      <w:proofErr w:type="spellStart"/>
      <w:r w:rsidRPr="00CB0424">
        <w:rPr>
          <w:rFonts w:ascii="Times New Roman" w:hAnsi="Times New Roman" w:cs="Times New Roman"/>
          <w:sz w:val="24"/>
          <w:szCs w:val="24"/>
        </w:rPr>
        <w:t>Ouchinsky</w:t>
      </w:r>
      <w:proofErr w:type="spellEnd"/>
      <w:r w:rsidRPr="00CB0424">
        <w:rPr>
          <w:rFonts w:ascii="Times New Roman" w:hAnsi="Times New Roman" w:cs="Times New Roman"/>
          <w:sz w:val="24"/>
          <w:szCs w:val="24"/>
        </w:rPr>
        <w:t>, nous nous interrogeons sur l</w:t>
      </w:r>
      <w:r w:rsidR="00551C38">
        <w:rPr>
          <w:rFonts w:ascii="Times New Roman" w:hAnsi="Times New Roman" w:cs="Times New Roman"/>
          <w:sz w:val="24"/>
          <w:szCs w:val="24"/>
        </w:rPr>
        <w:t>’absence de pertinence de l’</w:t>
      </w:r>
      <w:r w:rsidRPr="00CB0424">
        <w:rPr>
          <w:rFonts w:ascii="Times New Roman" w:hAnsi="Times New Roman" w:cs="Times New Roman"/>
          <w:sz w:val="24"/>
          <w:szCs w:val="24"/>
        </w:rPr>
        <w:t>appel de</w:t>
      </w:r>
      <w:r w:rsidR="006A5AE3" w:rsidRPr="00CB0424">
        <w:rPr>
          <w:rFonts w:ascii="Times New Roman" w:hAnsi="Times New Roman" w:cs="Times New Roman"/>
          <w:sz w:val="24"/>
          <w:szCs w:val="24"/>
        </w:rPr>
        <w:t>s</w:t>
      </w:r>
      <w:r w:rsidRPr="00CB0424">
        <w:rPr>
          <w:rFonts w:ascii="Times New Roman" w:hAnsi="Times New Roman" w:cs="Times New Roman"/>
          <w:sz w:val="24"/>
          <w:szCs w:val="24"/>
        </w:rPr>
        <w:t xml:space="preserve"> créanciers hypothécaires </w:t>
      </w:r>
      <w:r w:rsidR="006A5AE3" w:rsidRPr="00CB0424">
        <w:rPr>
          <w:rFonts w:ascii="Times New Roman" w:hAnsi="Times New Roman" w:cs="Times New Roman"/>
          <w:sz w:val="24"/>
          <w:szCs w:val="24"/>
        </w:rPr>
        <w:t>et des</w:t>
      </w:r>
      <w:r w:rsidRPr="00CB0424">
        <w:rPr>
          <w:rFonts w:ascii="Times New Roman" w:hAnsi="Times New Roman" w:cs="Times New Roman"/>
          <w:sz w:val="24"/>
          <w:szCs w:val="24"/>
        </w:rPr>
        <w:t xml:space="preserve"> privilégiés spéciaux sur immeuble </w:t>
      </w:r>
      <w:r w:rsidR="00427FD1">
        <w:rPr>
          <w:rFonts w:ascii="Times New Roman" w:hAnsi="Times New Roman" w:cs="Times New Roman"/>
          <w:sz w:val="24"/>
          <w:szCs w:val="24"/>
        </w:rPr>
        <w:t>puisque</w:t>
      </w:r>
      <w:r w:rsidRPr="00CB0424">
        <w:rPr>
          <w:rFonts w:ascii="Times New Roman" w:hAnsi="Times New Roman" w:cs="Times New Roman"/>
          <w:sz w:val="24"/>
          <w:szCs w:val="24"/>
        </w:rPr>
        <w:t xml:space="preserve"> la saisie a pour objet un bien meuble</w:t>
      </w:r>
      <w:r w:rsidRPr="00CB0424">
        <w:rPr>
          <w:rFonts w:ascii="Times New Roman" w:eastAsia="Times New Roman" w:hAnsi="Times New Roman" w:cs="Times New Roman"/>
          <w:sz w:val="24"/>
          <w:szCs w:val="24"/>
          <w:vertAlign w:val="superscript"/>
        </w:rPr>
        <w:footnoteReference w:id="41"/>
      </w:r>
      <w:r w:rsidRPr="00CB0424">
        <w:rPr>
          <w:rFonts w:ascii="Times New Roman" w:hAnsi="Times New Roman" w:cs="Times New Roman"/>
          <w:sz w:val="24"/>
          <w:szCs w:val="24"/>
        </w:rPr>
        <w:t xml:space="preserve">. </w:t>
      </w:r>
      <w:proofErr w:type="gramStart"/>
      <w:r w:rsidRPr="00CB0424">
        <w:rPr>
          <w:rFonts w:ascii="Times New Roman" w:hAnsi="Times New Roman" w:cs="Times New Roman"/>
          <w:sz w:val="24"/>
          <w:szCs w:val="24"/>
        </w:rPr>
        <w:t>Par contre</w:t>
      </w:r>
      <w:proofErr w:type="gramEnd"/>
      <w:r w:rsidRPr="00CB0424">
        <w:rPr>
          <w:rFonts w:ascii="Times New Roman" w:hAnsi="Times New Roman" w:cs="Times New Roman"/>
          <w:sz w:val="24"/>
          <w:szCs w:val="24"/>
        </w:rPr>
        <w:t xml:space="preserve">, un créancier gagiste </w:t>
      </w:r>
      <w:r w:rsidRPr="00D969FC">
        <w:rPr>
          <w:rFonts w:ascii="Times New Roman" w:hAnsi="Times New Roman" w:cs="Times New Roman"/>
          <w:i/>
          <w:iCs/>
          <w:sz w:val="24"/>
          <w:szCs w:val="24"/>
        </w:rPr>
        <w:t>en possession</w:t>
      </w:r>
      <w:r w:rsidRPr="00CB0424">
        <w:rPr>
          <w:rFonts w:ascii="Times New Roman" w:hAnsi="Times New Roman" w:cs="Times New Roman"/>
          <w:sz w:val="24"/>
          <w:szCs w:val="24"/>
        </w:rPr>
        <w:t xml:space="preserve"> du bien gagé ne sera, à la lecture du texte, pas appelé à la procédure. Même si </w:t>
      </w:r>
      <w:r w:rsidR="0081018A" w:rsidRPr="00CB0424">
        <w:rPr>
          <w:rFonts w:ascii="Times New Roman" w:hAnsi="Times New Roman" w:cs="Times New Roman"/>
          <w:sz w:val="24"/>
          <w:szCs w:val="24"/>
        </w:rPr>
        <w:t xml:space="preserve">le régime de dépossession </w:t>
      </w:r>
      <w:r w:rsidR="00A87361" w:rsidRPr="00CB0424">
        <w:rPr>
          <w:rFonts w:ascii="Times New Roman" w:hAnsi="Times New Roman" w:cs="Times New Roman"/>
          <w:sz w:val="24"/>
          <w:szCs w:val="24"/>
        </w:rPr>
        <w:t xml:space="preserve">n’est plus que l’exception, </w:t>
      </w:r>
      <w:r w:rsidRPr="00CB0424">
        <w:rPr>
          <w:rFonts w:ascii="Times New Roman" w:hAnsi="Times New Roman" w:cs="Times New Roman"/>
          <w:sz w:val="24"/>
          <w:szCs w:val="24"/>
        </w:rPr>
        <w:t xml:space="preserve">la différence de traitement entre le gagiste sans dépossession (appelé à la procédure) et le gagiste avec dépossession (non appelé à la procédure) </w:t>
      </w:r>
      <w:r w:rsidR="005B6247" w:rsidRPr="00CB0424">
        <w:rPr>
          <w:rFonts w:ascii="Times New Roman" w:hAnsi="Times New Roman" w:cs="Times New Roman"/>
          <w:sz w:val="24"/>
          <w:szCs w:val="24"/>
        </w:rPr>
        <w:t>se devrait d’être corrigée par le législateur</w:t>
      </w:r>
      <w:r w:rsidRPr="00CB0424">
        <w:rPr>
          <w:rFonts w:ascii="Times New Roman" w:eastAsia="Times New Roman" w:hAnsi="Times New Roman" w:cs="Times New Roman"/>
          <w:sz w:val="24"/>
          <w:szCs w:val="24"/>
          <w:vertAlign w:val="superscript"/>
        </w:rPr>
        <w:footnoteReference w:id="42"/>
      </w:r>
      <w:r w:rsidRPr="00CB0424">
        <w:rPr>
          <w:rFonts w:ascii="Times New Roman" w:hAnsi="Times New Roman" w:cs="Times New Roman"/>
          <w:sz w:val="24"/>
          <w:szCs w:val="24"/>
        </w:rPr>
        <w:t xml:space="preserve">. </w:t>
      </w:r>
    </w:p>
    <w:p w14:paraId="5CA07AFE" w14:textId="77777777" w:rsidR="004367EC" w:rsidRPr="00CB0424" w:rsidRDefault="004367EC" w:rsidP="00B5673A">
      <w:pPr>
        <w:pStyle w:val="Corps"/>
        <w:jc w:val="both"/>
        <w:rPr>
          <w:rFonts w:ascii="Times New Roman" w:eastAsia="Times New Roman" w:hAnsi="Times New Roman" w:cs="Times New Roman"/>
          <w:sz w:val="24"/>
          <w:szCs w:val="24"/>
        </w:rPr>
      </w:pPr>
    </w:p>
    <w:p w14:paraId="3CBA5E68" w14:textId="5005B21D" w:rsidR="006E2E1B"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L’article XX.121 du C.D.E. réserve un sort particulier aux créanciers titulaires d’une sûreté réelle et aux créanciers titulaires d’un privilège spécial sur meuble. La suspension (et ses exceptions) prévues par l’article XX.120, §</w:t>
      </w:r>
      <w:r w:rsidR="000D6821">
        <w:rPr>
          <w:rFonts w:ascii="Times New Roman" w:hAnsi="Times New Roman" w:cs="Times New Roman"/>
          <w:sz w:val="24"/>
          <w:szCs w:val="24"/>
        </w:rPr>
        <w:t xml:space="preserve"> </w:t>
      </w:r>
      <w:r w:rsidRPr="00CB0424">
        <w:rPr>
          <w:rFonts w:ascii="Times New Roman" w:hAnsi="Times New Roman" w:cs="Times New Roman"/>
          <w:sz w:val="24"/>
          <w:szCs w:val="24"/>
        </w:rPr>
        <w:t>1</w:t>
      </w:r>
      <w:r w:rsidRPr="00D969FC">
        <w:rPr>
          <w:rFonts w:ascii="Times New Roman" w:hAnsi="Times New Roman" w:cs="Times New Roman"/>
          <w:sz w:val="24"/>
          <w:szCs w:val="24"/>
          <w:vertAlign w:val="superscript"/>
        </w:rPr>
        <w:t>er</w:t>
      </w:r>
      <w:r w:rsidRPr="00CB0424">
        <w:rPr>
          <w:rFonts w:ascii="Times New Roman" w:hAnsi="Times New Roman" w:cs="Times New Roman"/>
          <w:sz w:val="24"/>
          <w:szCs w:val="24"/>
        </w:rPr>
        <w:t>, du C.D.E. leur sont aussi applicables. Néanmoins, la suspension ne vaut</w:t>
      </w:r>
      <w:r w:rsidR="006A5AE3" w:rsidRPr="00CB0424">
        <w:rPr>
          <w:rFonts w:ascii="Times New Roman" w:hAnsi="Times New Roman" w:cs="Times New Roman"/>
          <w:sz w:val="24"/>
          <w:szCs w:val="24"/>
        </w:rPr>
        <w:t>, à l’égard de ces créanciers,</w:t>
      </w:r>
      <w:r w:rsidRPr="00CB0424">
        <w:rPr>
          <w:rFonts w:ascii="Times New Roman" w:hAnsi="Times New Roman" w:cs="Times New Roman"/>
          <w:sz w:val="24"/>
          <w:szCs w:val="24"/>
        </w:rPr>
        <w:t xml:space="preserve"> que jusqu’au dépôt du premier procès-verbal de vérification des créances. </w:t>
      </w:r>
    </w:p>
    <w:p w14:paraId="73DAD001" w14:textId="77777777" w:rsidR="00F8226E" w:rsidRPr="00CB0424" w:rsidRDefault="00F8226E" w:rsidP="00B5673A">
      <w:pPr>
        <w:pStyle w:val="Corps"/>
        <w:jc w:val="both"/>
        <w:rPr>
          <w:rFonts w:ascii="Times New Roman" w:hAnsi="Times New Roman" w:cs="Times New Roman"/>
          <w:sz w:val="24"/>
          <w:szCs w:val="24"/>
        </w:rPr>
      </w:pPr>
    </w:p>
    <w:p w14:paraId="139B4AF4" w14:textId="5486A219" w:rsidR="004367EC"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Une dérogation à cette dernière situation a néanmoins été prévue par le législateur. Le curateur peut, sur requête, demander la suspension d’exécution pour une période maximum d’un an à compter de la déclaration de faillite, pour autant que l’intérêt de la masse l’exige et à condition qu’une réalisation des meubles puisse être attendue et ne désavantageant pas ces créanciers</w:t>
      </w:r>
      <w:r w:rsidR="00A70705" w:rsidRPr="00CB0424">
        <w:rPr>
          <w:rFonts w:ascii="Times New Roman" w:hAnsi="Times New Roman" w:cs="Times New Roman"/>
          <w:sz w:val="24"/>
          <w:szCs w:val="24"/>
        </w:rPr>
        <w:t xml:space="preserve"> privilégiés</w:t>
      </w:r>
      <w:r w:rsidRPr="00CB0424">
        <w:rPr>
          <w:rFonts w:ascii="Times New Roman" w:hAnsi="Times New Roman" w:cs="Times New Roman"/>
          <w:sz w:val="24"/>
          <w:szCs w:val="24"/>
        </w:rPr>
        <w:t xml:space="preserve"> (article XX.12</w:t>
      </w:r>
      <w:r w:rsidR="000F4D00">
        <w:rPr>
          <w:rFonts w:ascii="Times New Roman" w:hAnsi="Times New Roman" w:cs="Times New Roman"/>
          <w:sz w:val="24"/>
          <w:szCs w:val="24"/>
        </w:rPr>
        <w:t>1</w:t>
      </w:r>
      <w:r w:rsidRPr="00CB0424">
        <w:rPr>
          <w:rFonts w:ascii="Times New Roman" w:hAnsi="Times New Roman" w:cs="Times New Roman"/>
          <w:sz w:val="24"/>
          <w:szCs w:val="24"/>
        </w:rPr>
        <w:t xml:space="preserve">, al. 2, du C.D.E.). </w:t>
      </w:r>
    </w:p>
    <w:p w14:paraId="47971C9A" w14:textId="77777777" w:rsidR="004367EC" w:rsidRPr="00CB0424" w:rsidRDefault="004367EC" w:rsidP="00B5673A">
      <w:pPr>
        <w:pStyle w:val="Corps"/>
        <w:jc w:val="both"/>
        <w:rPr>
          <w:rFonts w:ascii="Times New Roman" w:eastAsia="Times New Roman" w:hAnsi="Times New Roman" w:cs="Times New Roman"/>
          <w:sz w:val="24"/>
          <w:szCs w:val="24"/>
        </w:rPr>
      </w:pPr>
    </w:p>
    <w:p w14:paraId="5A31FEE0" w14:textId="46F38C98" w:rsidR="00941CF2" w:rsidRPr="00CB0424" w:rsidRDefault="006E2E1B" w:rsidP="00CB7E44">
      <w:pPr>
        <w:pStyle w:val="Corps"/>
        <w:jc w:val="both"/>
        <w:rPr>
          <w:rFonts w:ascii="Times New Roman" w:hAnsi="Times New Roman" w:cs="Times New Roman"/>
          <w:color w:val="000000" w:themeColor="text1"/>
          <w:sz w:val="24"/>
          <w:szCs w:val="24"/>
        </w:rPr>
      </w:pPr>
      <w:r w:rsidRPr="00CB0424">
        <w:rPr>
          <w:rFonts w:ascii="Times New Roman" w:hAnsi="Times New Roman" w:cs="Times New Roman"/>
          <w:color w:val="000000" w:themeColor="text1"/>
          <w:sz w:val="24"/>
          <w:szCs w:val="24"/>
        </w:rPr>
        <w:t>Qu’advient-il d’une saisie-arrêt</w:t>
      </w:r>
      <w:r w:rsidR="005E5FEA">
        <w:rPr>
          <w:rFonts w:ascii="Times New Roman" w:hAnsi="Times New Roman" w:cs="Times New Roman"/>
          <w:color w:val="000000" w:themeColor="text1"/>
          <w:sz w:val="24"/>
          <w:szCs w:val="24"/>
        </w:rPr>
        <w:t xml:space="preserve"> </w:t>
      </w:r>
      <w:r w:rsidRPr="00CB0424">
        <w:rPr>
          <w:rFonts w:ascii="Times New Roman" w:hAnsi="Times New Roman" w:cs="Times New Roman"/>
          <w:color w:val="000000" w:themeColor="text1"/>
          <w:sz w:val="24"/>
          <w:szCs w:val="24"/>
        </w:rPr>
        <w:t xml:space="preserve">exécution en cours </w:t>
      </w:r>
      <w:r w:rsidR="007E57A0">
        <w:rPr>
          <w:rFonts w:ascii="Times New Roman" w:hAnsi="Times New Roman" w:cs="Times New Roman"/>
          <w:color w:val="000000" w:themeColor="text1"/>
          <w:sz w:val="24"/>
          <w:szCs w:val="24"/>
        </w:rPr>
        <w:t>au moment</w:t>
      </w:r>
      <w:r w:rsidRPr="00CB0424">
        <w:rPr>
          <w:rFonts w:ascii="Times New Roman" w:hAnsi="Times New Roman" w:cs="Times New Roman"/>
          <w:color w:val="000000" w:themeColor="text1"/>
          <w:sz w:val="24"/>
          <w:szCs w:val="24"/>
        </w:rPr>
        <w:t xml:space="preserve"> du jugement déclaratif de faillite ? Prenons l’exemple d’une notification fiscale opérée au notaire</w:t>
      </w:r>
      <w:r w:rsidR="00CB7E44">
        <w:rPr>
          <w:rStyle w:val="Appelnotedebasdep"/>
          <w:rFonts w:ascii="Times New Roman" w:hAnsi="Times New Roman" w:cs="Times New Roman"/>
          <w:color w:val="000000" w:themeColor="text1"/>
          <w:sz w:val="24"/>
          <w:szCs w:val="24"/>
        </w:rPr>
        <w:footnoteReference w:id="43"/>
      </w:r>
      <w:r w:rsidRPr="00CB0424">
        <w:rPr>
          <w:rFonts w:ascii="Times New Roman" w:hAnsi="Times New Roman" w:cs="Times New Roman"/>
          <w:color w:val="000000" w:themeColor="text1"/>
          <w:sz w:val="24"/>
          <w:szCs w:val="24"/>
        </w:rPr>
        <w:t xml:space="preserve"> </w:t>
      </w:r>
      <w:r w:rsidR="00A70705" w:rsidRPr="00CB0424">
        <w:rPr>
          <w:rFonts w:ascii="Times New Roman" w:hAnsi="Times New Roman" w:cs="Times New Roman"/>
          <w:color w:val="000000" w:themeColor="text1"/>
          <w:sz w:val="24"/>
          <w:szCs w:val="24"/>
        </w:rPr>
        <w:t>En vertu de l’article XX.120</w:t>
      </w:r>
      <w:r w:rsidRPr="00CB0424">
        <w:rPr>
          <w:rFonts w:ascii="Times New Roman" w:hAnsi="Times New Roman" w:cs="Times New Roman"/>
          <w:color w:val="000000" w:themeColor="text1"/>
          <w:sz w:val="24"/>
          <w:szCs w:val="24"/>
        </w:rPr>
        <w:t>, §</w:t>
      </w:r>
      <w:r w:rsidR="009A492B">
        <w:rPr>
          <w:rFonts w:ascii="Times New Roman" w:hAnsi="Times New Roman" w:cs="Times New Roman"/>
          <w:color w:val="000000" w:themeColor="text1"/>
          <w:sz w:val="24"/>
          <w:szCs w:val="24"/>
        </w:rPr>
        <w:t xml:space="preserve"> </w:t>
      </w:r>
      <w:r w:rsidRPr="00CB0424">
        <w:rPr>
          <w:rFonts w:ascii="Times New Roman" w:hAnsi="Times New Roman" w:cs="Times New Roman"/>
          <w:color w:val="000000" w:themeColor="text1"/>
          <w:sz w:val="24"/>
          <w:szCs w:val="24"/>
        </w:rPr>
        <w:t>1</w:t>
      </w:r>
      <w:r w:rsidRPr="00CB0424">
        <w:rPr>
          <w:rFonts w:ascii="Times New Roman" w:hAnsi="Times New Roman" w:cs="Times New Roman"/>
          <w:color w:val="000000" w:themeColor="text1"/>
          <w:sz w:val="24"/>
          <w:szCs w:val="24"/>
          <w:vertAlign w:val="superscript"/>
        </w:rPr>
        <w:t>er</w:t>
      </w:r>
      <w:r w:rsidRPr="00CB0424">
        <w:rPr>
          <w:rFonts w:ascii="Times New Roman" w:hAnsi="Times New Roman" w:cs="Times New Roman"/>
          <w:color w:val="000000" w:themeColor="text1"/>
          <w:sz w:val="24"/>
          <w:szCs w:val="24"/>
        </w:rPr>
        <w:t>, al</w:t>
      </w:r>
      <w:r w:rsidR="005A0D64">
        <w:rPr>
          <w:rFonts w:ascii="Times New Roman" w:hAnsi="Times New Roman" w:cs="Times New Roman"/>
          <w:color w:val="000000" w:themeColor="text1"/>
          <w:sz w:val="24"/>
          <w:szCs w:val="24"/>
        </w:rPr>
        <w:t xml:space="preserve"> </w:t>
      </w:r>
      <w:r w:rsidRPr="00CB0424">
        <w:rPr>
          <w:rFonts w:ascii="Times New Roman" w:hAnsi="Times New Roman" w:cs="Times New Roman"/>
          <w:color w:val="000000" w:themeColor="text1"/>
          <w:sz w:val="24"/>
          <w:szCs w:val="24"/>
        </w:rPr>
        <w:t>1</w:t>
      </w:r>
      <w:r w:rsidRPr="00D969FC">
        <w:rPr>
          <w:rFonts w:ascii="Times New Roman" w:hAnsi="Times New Roman" w:cs="Times New Roman"/>
          <w:color w:val="000000" w:themeColor="text1"/>
          <w:sz w:val="24"/>
          <w:szCs w:val="24"/>
          <w:vertAlign w:val="superscript"/>
        </w:rPr>
        <w:t>er</w:t>
      </w:r>
      <w:r w:rsidRPr="00CB0424">
        <w:rPr>
          <w:rFonts w:ascii="Times New Roman" w:hAnsi="Times New Roman" w:cs="Times New Roman"/>
          <w:color w:val="000000" w:themeColor="text1"/>
          <w:sz w:val="24"/>
          <w:szCs w:val="24"/>
        </w:rPr>
        <w:t xml:space="preserve">, </w:t>
      </w:r>
      <w:r w:rsidR="00A70705" w:rsidRPr="00CB0424">
        <w:rPr>
          <w:rFonts w:ascii="Times New Roman" w:hAnsi="Times New Roman" w:cs="Times New Roman"/>
          <w:color w:val="000000" w:themeColor="text1"/>
          <w:sz w:val="24"/>
          <w:szCs w:val="24"/>
        </w:rPr>
        <w:t>du C.D.</w:t>
      </w:r>
      <w:r w:rsidRPr="00CB0424">
        <w:rPr>
          <w:rFonts w:ascii="Times New Roman" w:hAnsi="Times New Roman" w:cs="Times New Roman"/>
          <w:color w:val="000000" w:themeColor="text1"/>
          <w:sz w:val="24"/>
          <w:szCs w:val="24"/>
        </w:rPr>
        <w:t>E, la saisie-arrêt</w:t>
      </w:r>
      <w:r w:rsidR="005E5FEA">
        <w:rPr>
          <w:rFonts w:ascii="Times New Roman" w:hAnsi="Times New Roman" w:cs="Times New Roman"/>
          <w:color w:val="000000" w:themeColor="text1"/>
          <w:sz w:val="24"/>
          <w:szCs w:val="24"/>
        </w:rPr>
        <w:t xml:space="preserve"> </w:t>
      </w:r>
      <w:r w:rsidRPr="00CB0424">
        <w:rPr>
          <w:rFonts w:ascii="Times New Roman" w:hAnsi="Times New Roman" w:cs="Times New Roman"/>
          <w:color w:val="000000" w:themeColor="text1"/>
          <w:sz w:val="24"/>
          <w:szCs w:val="24"/>
        </w:rPr>
        <w:t xml:space="preserve">exécution se voit suspendue ; le notaire devra donc vider ses mains entre celles du curateur et non entre </w:t>
      </w:r>
      <w:r w:rsidR="00D658CA">
        <w:rPr>
          <w:rFonts w:ascii="Times New Roman" w:hAnsi="Times New Roman" w:cs="Times New Roman"/>
          <w:color w:val="000000" w:themeColor="text1"/>
          <w:sz w:val="24"/>
          <w:szCs w:val="24"/>
        </w:rPr>
        <w:t>celles</w:t>
      </w:r>
      <w:r w:rsidRPr="00CB0424">
        <w:rPr>
          <w:rFonts w:ascii="Times New Roman" w:hAnsi="Times New Roman" w:cs="Times New Roman"/>
          <w:color w:val="000000" w:themeColor="text1"/>
          <w:sz w:val="24"/>
          <w:szCs w:val="24"/>
        </w:rPr>
        <w:t xml:space="preserve"> du fisc</w:t>
      </w:r>
      <w:r w:rsidR="00E8092E" w:rsidRPr="00CB0424">
        <w:rPr>
          <w:rFonts w:ascii="Times New Roman" w:eastAsia="Times New Roman" w:hAnsi="Times New Roman" w:cs="Times New Roman"/>
          <w:color w:val="000000" w:themeColor="text1"/>
          <w:sz w:val="24"/>
          <w:szCs w:val="24"/>
          <w:vertAlign w:val="superscript"/>
        </w:rPr>
        <w:footnoteReference w:id="44"/>
      </w:r>
      <w:r w:rsidR="00E8092E" w:rsidRPr="00CB0424">
        <w:rPr>
          <w:rFonts w:ascii="Times New Roman" w:hAnsi="Times New Roman" w:cs="Times New Roman"/>
          <w:color w:val="000000" w:themeColor="text1"/>
          <w:sz w:val="24"/>
          <w:szCs w:val="24"/>
        </w:rPr>
        <w:t xml:space="preserve">. </w:t>
      </w:r>
      <w:r w:rsidR="00A87361" w:rsidRPr="00CB0424">
        <w:rPr>
          <w:rFonts w:ascii="Times New Roman" w:hAnsi="Times New Roman" w:cs="Times New Roman"/>
          <w:color w:val="000000" w:themeColor="text1"/>
          <w:sz w:val="24"/>
          <w:szCs w:val="24"/>
        </w:rPr>
        <w:t xml:space="preserve">A l’instar de la procédure de réorganisation judiciaire et du règlement collectif de dettes, </w:t>
      </w:r>
      <w:r w:rsidR="0000162D" w:rsidRPr="00CB0424">
        <w:rPr>
          <w:rFonts w:ascii="Times New Roman" w:hAnsi="Times New Roman" w:cs="Times New Roman"/>
          <w:color w:val="000000" w:themeColor="text1"/>
          <w:sz w:val="24"/>
          <w:szCs w:val="24"/>
        </w:rPr>
        <w:t xml:space="preserve">le législateur n’a prévu aucune dérogation à </w:t>
      </w:r>
      <w:r w:rsidR="006A5AE3" w:rsidRPr="00CB0424">
        <w:rPr>
          <w:rFonts w:ascii="Times New Roman" w:hAnsi="Times New Roman" w:cs="Times New Roman"/>
          <w:color w:val="000000" w:themeColor="text1"/>
          <w:sz w:val="24"/>
          <w:szCs w:val="24"/>
        </w:rPr>
        <w:t>cette</w:t>
      </w:r>
      <w:r w:rsidR="0000162D" w:rsidRPr="00CB0424">
        <w:rPr>
          <w:rFonts w:ascii="Times New Roman" w:hAnsi="Times New Roman" w:cs="Times New Roman"/>
          <w:color w:val="000000" w:themeColor="text1"/>
          <w:sz w:val="24"/>
          <w:szCs w:val="24"/>
        </w:rPr>
        <w:t xml:space="preserve"> suspension en ce qui concerne </w:t>
      </w:r>
      <w:r w:rsidR="00941CF2" w:rsidRPr="00CB0424">
        <w:rPr>
          <w:rFonts w:ascii="Times New Roman" w:hAnsi="Times New Roman" w:cs="Times New Roman"/>
          <w:color w:val="000000" w:themeColor="text1"/>
          <w:sz w:val="24"/>
          <w:szCs w:val="24"/>
        </w:rPr>
        <w:t>l</w:t>
      </w:r>
      <w:r w:rsidR="0000162D" w:rsidRPr="00CB0424">
        <w:rPr>
          <w:rFonts w:ascii="Times New Roman" w:hAnsi="Times New Roman" w:cs="Times New Roman"/>
          <w:color w:val="000000" w:themeColor="text1"/>
          <w:sz w:val="24"/>
          <w:szCs w:val="24"/>
        </w:rPr>
        <w:t>a saisie-arrêt</w:t>
      </w:r>
      <w:r w:rsidR="003E290B">
        <w:rPr>
          <w:rFonts w:ascii="Times New Roman" w:hAnsi="Times New Roman" w:cs="Times New Roman"/>
          <w:color w:val="000000" w:themeColor="text1"/>
          <w:sz w:val="24"/>
          <w:szCs w:val="24"/>
        </w:rPr>
        <w:t>-</w:t>
      </w:r>
      <w:r w:rsidR="0000162D" w:rsidRPr="00CB0424">
        <w:rPr>
          <w:rFonts w:ascii="Times New Roman" w:hAnsi="Times New Roman" w:cs="Times New Roman"/>
          <w:color w:val="000000" w:themeColor="text1"/>
          <w:sz w:val="24"/>
          <w:szCs w:val="24"/>
        </w:rPr>
        <w:t>exécution</w:t>
      </w:r>
      <w:r w:rsidR="00941CF2" w:rsidRPr="00CB0424">
        <w:rPr>
          <w:rFonts w:ascii="Times New Roman" w:hAnsi="Times New Roman" w:cs="Times New Roman"/>
          <w:color w:val="000000" w:themeColor="text1"/>
          <w:sz w:val="24"/>
          <w:szCs w:val="24"/>
        </w:rPr>
        <w:t xml:space="preserve">. Nous n’apercevons pas de justification à une telle différence de traitement. </w:t>
      </w:r>
    </w:p>
    <w:p w14:paraId="2D48C074" w14:textId="77777777" w:rsidR="009123F2" w:rsidRPr="00CB0424" w:rsidRDefault="009123F2" w:rsidP="00B5673A">
      <w:pPr>
        <w:pStyle w:val="Corps"/>
        <w:jc w:val="both"/>
        <w:rPr>
          <w:rFonts w:ascii="Times New Roman" w:eastAsia="Times New Roman" w:hAnsi="Times New Roman" w:cs="Times New Roman"/>
          <w:sz w:val="24"/>
          <w:szCs w:val="24"/>
        </w:rPr>
      </w:pPr>
    </w:p>
    <w:p w14:paraId="2B269045" w14:textId="77777777" w:rsidR="00630F71" w:rsidRPr="00CB0424" w:rsidRDefault="00630F71" w:rsidP="00B5673A">
      <w:pPr>
        <w:pStyle w:val="Corps"/>
        <w:jc w:val="both"/>
        <w:rPr>
          <w:rFonts w:ascii="Times New Roman" w:eastAsia="Times New Roman" w:hAnsi="Times New Roman" w:cs="Times New Roman"/>
          <w:sz w:val="24"/>
          <w:szCs w:val="24"/>
        </w:rPr>
      </w:pPr>
    </w:p>
    <w:p w14:paraId="1781DE7D" w14:textId="6FEDC633" w:rsidR="004367EC" w:rsidRPr="00CB0424" w:rsidRDefault="00E8092E" w:rsidP="00B5673A">
      <w:pPr>
        <w:pStyle w:val="Corps"/>
        <w:numPr>
          <w:ilvl w:val="0"/>
          <w:numId w:val="20"/>
        </w:numPr>
        <w:jc w:val="both"/>
        <w:rPr>
          <w:rFonts w:ascii="Times New Roman" w:eastAsia="Times New Roman" w:hAnsi="Times New Roman" w:cs="Times New Roman"/>
          <w:b/>
          <w:bCs/>
          <w:sz w:val="24"/>
          <w:szCs w:val="24"/>
        </w:rPr>
      </w:pPr>
      <w:r w:rsidRPr="00CB0424">
        <w:rPr>
          <w:rFonts w:ascii="Times New Roman" w:hAnsi="Times New Roman" w:cs="Times New Roman"/>
          <w:b/>
          <w:bCs/>
          <w:sz w:val="24"/>
          <w:szCs w:val="24"/>
        </w:rPr>
        <w:lastRenderedPageBreak/>
        <w:t>Saisie</w:t>
      </w:r>
      <w:r w:rsidR="00AA6F38" w:rsidRPr="00CB0424">
        <w:rPr>
          <w:rFonts w:ascii="Times New Roman" w:hAnsi="Times New Roman" w:cs="Times New Roman"/>
          <w:b/>
          <w:bCs/>
          <w:sz w:val="24"/>
          <w:szCs w:val="24"/>
        </w:rPr>
        <w:t>-exécution</w:t>
      </w:r>
      <w:r w:rsidRPr="00CB0424">
        <w:rPr>
          <w:rFonts w:ascii="Times New Roman" w:hAnsi="Times New Roman" w:cs="Times New Roman"/>
          <w:b/>
          <w:bCs/>
          <w:sz w:val="24"/>
          <w:szCs w:val="24"/>
        </w:rPr>
        <w:t xml:space="preserve"> immobilière </w:t>
      </w:r>
    </w:p>
    <w:p w14:paraId="6C413062" w14:textId="77777777" w:rsidR="004367EC" w:rsidRPr="00CB0424" w:rsidRDefault="004367EC" w:rsidP="00B5673A">
      <w:pPr>
        <w:pStyle w:val="Corps"/>
        <w:jc w:val="both"/>
        <w:rPr>
          <w:rFonts w:ascii="Times New Roman" w:eastAsia="Times New Roman" w:hAnsi="Times New Roman" w:cs="Times New Roman"/>
          <w:sz w:val="24"/>
          <w:szCs w:val="24"/>
        </w:rPr>
      </w:pPr>
    </w:p>
    <w:p w14:paraId="2912EAA4" w14:textId="234632F5" w:rsidR="005B6247"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 xml:space="preserve">Contrairement </w:t>
      </w:r>
      <w:r w:rsidR="00E24E9F">
        <w:rPr>
          <w:rFonts w:ascii="Times New Roman" w:hAnsi="Times New Roman" w:cs="Times New Roman"/>
          <w:sz w:val="24"/>
          <w:szCs w:val="24"/>
        </w:rPr>
        <w:t>aux dispositions qui régissent tant</w:t>
      </w:r>
      <w:r w:rsidRPr="00CB0424">
        <w:rPr>
          <w:rFonts w:ascii="Times New Roman" w:hAnsi="Times New Roman" w:cs="Times New Roman"/>
          <w:sz w:val="24"/>
          <w:szCs w:val="24"/>
        </w:rPr>
        <w:t xml:space="preserve"> la procédure de réorganisation judiciaire </w:t>
      </w:r>
      <w:r w:rsidR="00E24E9F">
        <w:rPr>
          <w:rFonts w:ascii="Times New Roman" w:hAnsi="Times New Roman" w:cs="Times New Roman"/>
          <w:sz w:val="24"/>
          <w:szCs w:val="24"/>
        </w:rPr>
        <w:t xml:space="preserve">de façon générale que </w:t>
      </w:r>
      <w:r w:rsidRPr="00CB0424">
        <w:rPr>
          <w:rFonts w:ascii="Times New Roman" w:hAnsi="Times New Roman" w:cs="Times New Roman"/>
          <w:sz w:val="24"/>
          <w:szCs w:val="24"/>
        </w:rPr>
        <w:t>la saisie</w:t>
      </w:r>
      <w:r w:rsidR="00E24E9F">
        <w:rPr>
          <w:rFonts w:ascii="Times New Roman" w:hAnsi="Times New Roman" w:cs="Times New Roman"/>
          <w:sz w:val="24"/>
          <w:szCs w:val="24"/>
        </w:rPr>
        <w:t>-</w:t>
      </w:r>
      <w:r w:rsidRPr="00CB0424">
        <w:rPr>
          <w:rFonts w:ascii="Times New Roman" w:hAnsi="Times New Roman" w:cs="Times New Roman"/>
          <w:sz w:val="24"/>
          <w:szCs w:val="24"/>
        </w:rPr>
        <w:t>exécution mobilière en cours</w:t>
      </w:r>
      <w:r w:rsidR="00E24E9F">
        <w:rPr>
          <w:rFonts w:ascii="Times New Roman" w:hAnsi="Times New Roman" w:cs="Times New Roman"/>
          <w:sz w:val="24"/>
          <w:szCs w:val="24"/>
        </w:rPr>
        <w:t xml:space="preserve"> au moment du prononcé de la faillite</w:t>
      </w:r>
      <w:r w:rsidRPr="00CB0424">
        <w:rPr>
          <w:rFonts w:ascii="Times New Roman" w:hAnsi="Times New Roman" w:cs="Times New Roman"/>
          <w:sz w:val="24"/>
          <w:szCs w:val="24"/>
        </w:rPr>
        <w:t xml:space="preserve">, le </w:t>
      </w:r>
      <w:proofErr w:type="spellStart"/>
      <w:r w:rsidRPr="00CB0424">
        <w:rPr>
          <w:rFonts w:ascii="Times New Roman" w:hAnsi="Times New Roman" w:cs="Times New Roman"/>
          <w:sz w:val="24"/>
          <w:szCs w:val="24"/>
        </w:rPr>
        <w:t>moment</w:t>
      </w:r>
      <w:r w:rsidR="00E24E9F">
        <w:rPr>
          <w:rFonts w:ascii="Times New Roman" w:hAnsi="Times New Roman" w:cs="Times New Roman"/>
          <w:sz w:val="24"/>
          <w:szCs w:val="24"/>
        </w:rPr>
        <w:t>-</w:t>
      </w:r>
      <w:r w:rsidRPr="00CB0424">
        <w:rPr>
          <w:rFonts w:ascii="Times New Roman" w:hAnsi="Times New Roman" w:cs="Times New Roman"/>
          <w:sz w:val="24"/>
          <w:szCs w:val="24"/>
        </w:rPr>
        <w:t>clé</w:t>
      </w:r>
      <w:proofErr w:type="spellEnd"/>
      <w:r w:rsidRPr="00CB0424">
        <w:rPr>
          <w:rFonts w:ascii="Times New Roman" w:hAnsi="Times New Roman" w:cs="Times New Roman"/>
          <w:sz w:val="24"/>
          <w:szCs w:val="24"/>
        </w:rPr>
        <w:t xml:space="preserve"> </w:t>
      </w:r>
      <w:r w:rsidR="00DC1722" w:rsidRPr="00CB0424">
        <w:rPr>
          <w:rFonts w:ascii="Times New Roman" w:hAnsi="Times New Roman" w:cs="Times New Roman"/>
          <w:sz w:val="24"/>
          <w:szCs w:val="24"/>
        </w:rPr>
        <w:t xml:space="preserve">pour déroger </w:t>
      </w:r>
      <w:r w:rsidR="00A87361" w:rsidRPr="00CB0424">
        <w:rPr>
          <w:rFonts w:ascii="Times New Roman" w:hAnsi="Times New Roman" w:cs="Times New Roman"/>
          <w:sz w:val="24"/>
          <w:szCs w:val="24"/>
        </w:rPr>
        <w:t>au principe de</w:t>
      </w:r>
      <w:r w:rsidR="00DC1722" w:rsidRPr="00CB0424">
        <w:rPr>
          <w:rFonts w:ascii="Times New Roman" w:hAnsi="Times New Roman" w:cs="Times New Roman"/>
          <w:sz w:val="24"/>
          <w:szCs w:val="24"/>
        </w:rPr>
        <w:t xml:space="preserve"> suspension des voies d’exécution n’est pas le jour fixé pour la vente mais le moment </w:t>
      </w:r>
      <w:r w:rsidRPr="00CB0424">
        <w:rPr>
          <w:rFonts w:ascii="Times New Roman" w:hAnsi="Times New Roman" w:cs="Times New Roman"/>
          <w:sz w:val="24"/>
          <w:szCs w:val="24"/>
        </w:rPr>
        <w:t>où la décision de désignation du notaire est devenue définitive</w:t>
      </w:r>
      <w:r w:rsidRPr="00CB0424">
        <w:rPr>
          <w:rFonts w:ascii="Times New Roman" w:eastAsia="Times New Roman" w:hAnsi="Times New Roman" w:cs="Times New Roman"/>
          <w:sz w:val="24"/>
          <w:szCs w:val="24"/>
          <w:vertAlign w:val="superscript"/>
        </w:rPr>
        <w:footnoteReference w:id="45"/>
      </w:r>
      <w:r w:rsidRPr="00CB0424">
        <w:rPr>
          <w:rFonts w:ascii="Times New Roman" w:hAnsi="Times New Roman" w:cs="Times New Roman"/>
          <w:sz w:val="24"/>
          <w:szCs w:val="24"/>
        </w:rPr>
        <w:t xml:space="preserve">. Dans </w:t>
      </w:r>
      <w:r w:rsidR="00097755">
        <w:rPr>
          <w:rFonts w:ascii="Times New Roman" w:hAnsi="Times New Roman" w:cs="Times New Roman"/>
          <w:sz w:val="24"/>
          <w:szCs w:val="24"/>
        </w:rPr>
        <w:t>pareil</w:t>
      </w:r>
      <w:r w:rsidRPr="00CB0424">
        <w:rPr>
          <w:rFonts w:ascii="Times New Roman" w:hAnsi="Times New Roman" w:cs="Times New Roman"/>
          <w:sz w:val="24"/>
          <w:szCs w:val="24"/>
        </w:rPr>
        <w:t xml:space="preserve"> cas, c’est à dire lorsque la décision n’est plus susceptible de tierce opposition, la vente sur saisie pourra se poursuivre pour le compte de la masse</w:t>
      </w:r>
      <w:r w:rsidR="00CB7E44">
        <w:rPr>
          <w:rStyle w:val="Appelnotedebasdep"/>
          <w:rFonts w:ascii="Times New Roman" w:hAnsi="Times New Roman" w:cs="Times New Roman"/>
          <w:sz w:val="24"/>
          <w:szCs w:val="24"/>
        </w:rPr>
        <w:footnoteReference w:id="46"/>
      </w:r>
      <w:r w:rsidR="00CB7E44">
        <w:rPr>
          <w:rFonts w:ascii="Times New Roman" w:hAnsi="Times New Roman" w:cs="Times New Roman"/>
          <w:sz w:val="24"/>
          <w:szCs w:val="24"/>
        </w:rPr>
        <w:t xml:space="preserve">. </w:t>
      </w:r>
      <w:r w:rsidR="001440CB" w:rsidRPr="00CB0424">
        <w:rPr>
          <w:rFonts w:ascii="Times New Roman" w:hAnsi="Times New Roman" w:cs="Times New Roman"/>
          <w:sz w:val="24"/>
          <w:szCs w:val="24"/>
        </w:rPr>
        <w:t xml:space="preserve">En cas de vente, le notaire établira un ordre allégé (article 1639, al. 2, du C. </w:t>
      </w:r>
      <w:proofErr w:type="spellStart"/>
      <w:r w:rsidR="001440CB" w:rsidRPr="00CB0424">
        <w:rPr>
          <w:rFonts w:ascii="Times New Roman" w:hAnsi="Times New Roman" w:cs="Times New Roman"/>
          <w:sz w:val="24"/>
          <w:szCs w:val="24"/>
        </w:rPr>
        <w:t>Jud</w:t>
      </w:r>
      <w:proofErr w:type="spellEnd"/>
      <w:r w:rsidR="001440CB" w:rsidRPr="00CB0424">
        <w:rPr>
          <w:rFonts w:ascii="Times New Roman" w:hAnsi="Times New Roman" w:cs="Times New Roman"/>
          <w:sz w:val="24"/>
          <w:szCs w:val="24"/>
        </w:rPr>
        <w:t xml:space="preserve">.). Il est </w:t>
      </w:r>
      <w:r w:rsidR="00E24E9F">
        <w:rPr>
          <w:rFonts w:ascii="Times New Roman" w:hAnsi="Times New Roman" w:cs="Times New Roman"/>
          <w:sz w:val="24"/>
          <w:szCs w:val="24"/>
        </w:rPr>
        <w:t xml:space="preserve">néanmoins </w:t>
      </w:r>
      <w:r w:rsidR="001440CB" w:rsidRPr="00CB0424">
        <w:rPr>
          <w:rFonts w:ascii="Times New Roman" w:hAnsi="Times New Roman" w:cs="Times New Roman"/>
          <w:sz w:val="24"/>
          <w:szCs w:val="24"/>
        </w:rPr>
        <w:t xml:space="preserve">possible de procéder à la remise ou à l’abandon de la vente dans l’intérêt de la masse, pour autant </w:t>
      </w:r>
      <w:r w:rsidRPr="00CB0424">
        <w:rPr>
          <w:rFonts w:ascii="Times New Roman" w:hAnsi="Times New Roman" w:cs="Times New Roman"/>
          <w:sz w:val="24"/>
          <w:szCs w:val="24"/>
        </w:rPr>
        <w:t>que la sommation de prendre connaissance du cahier des charges n’ait pas encore été signifiée (article XX.120, §</w:t>
      </w:r>
      <w:r w:rsidR="00AB2CDF">
        <w:rPr>
          <w:rFonts w:ascii="Times New Roman" w:hAnsi="Times New Roman" w:cs="Times New Roman"/>
          <w:sz w:val="24"/>
          <w:szCs w:val="24"/>
        </w:rPr>
        <w:t xml:space="preserve"> </w:t>
      </w:r>
      <w:r w:rsidRPr="00CB0424">
        <w:rPr>
          <w:rFonts w:ascii="Times New Roman" w:hAnsi="Times New Roman" w:cs="Times New Roman"/>
          <w:sz w:val="24"/>
          <w:szCs w:val="24"/>
        </w:rPr>
        <w:t>1</w:t>
      </w:r>
      <w:r w:rsidRPr="00D969FC">
        <w:rPr>
          <w:rFonts w:ascii="Times New Roman" w:hAnsi="Times New Roman" w:cs="Times New Roman"/>
          <w:sz w:val="24"/>
          <w:szCs w:val="24"/>
          <w:vertAlign w:val="superscript"/>
        </w:rPr>
        <w:t>er</w:t>
      </w:r>
      <w:r w:rsidRPr="00CB0424">
        <w:rPr>
          <w:rFonts w:ascii="Times New Roman" w:hAnsi="Times New Roman" w:cs="Times New Roman"/>
          <w:sz w:val="24"/>
          <w:szCs w:val="24"/>
        </w:rPr>
        <w:t>, al. 4, du C.D.E.)</w:t>
      </w:r>
      <w:r w:rsidRPr="00CB0424">
        <w:rPr>
          <w:rFonts w:ascii="Times New Roman" w:eastAsia="Times New Roman" w:hAnsi="Times New Roman" w:cs="Times New Roman"/>
          <w:sz w:val="24"/>
          <w:szCs w:val="24"/>
          <w:vertAlign w:val="superscript"/>
        </w:rPr>
        <w:footnoteReference w:id="47"/>
      </w:r>
      <w:r w:rsidRPr="00CB0424">
        <w:rPr>
          <w:rFonts w:ascii="Times New Roman" w:hAnsi="Times New Roman" w:cs="Times New Roman"/>
          <w:sz w:val="24"/>
          <w:szCs w:val="24"/>
        </w:rPr>
        <w:t>. Le juge-commissaire ne peut décider de la remise</w:t>
      </w:r>
      <w:r w:rsidR="001440CB" w:rsidRPr="00CB0424">
        <w:rPr>
          <w:rFonts w:ascii="Times New Roman" w:hAnsi="Times New Roman" w:cs="Times New Roman"/>
          <w:sz w:val="24"/>
          <w:szCs w:val="24"/>
        </w:rPr>
        <w:t xml:space="preserve"> ou de l’abandon</w:t>
      </w:r>
      <w:r w:rsidRPr="00CB0424">
        <w:rPr>
          <w:rFonts w:ascii="Times New Roman" w:hAnsi="Times New Roman" w:cs="Times New Roman"/>
          <w:sz w:val="24"/>
          <w:szCs w:val="24"/>
        </w:rPr>
        <w:t xml:space="preserve"> qu’après avoir entendu les créanciers hypothécaires, privilégiés inscrits</w:t>
      </w:r>
      <w:r w:rsidR="00F8226E" w:rsidRPr="00CB0424">
        <w:rPr>
          <w:rFonts w:ascii="Times New Roman" w:hAnsi="Times New Roman" w:cs="Times New Roman"/>
          <w:sz w:val="24"/>
          <w:szCs w:val="24"/>
        </w:rPr>
        <w:t xml:space="preserve">, </w:t>
      </w:r>
      <w:r w:rsidRPr="00CB0424">
        <w:rPr>
          <w:rFonts w:ascii="Times New Roman" w:hAnsi="Times New Roman" w:cs="Times New Roman"/>
          <w:sz w:val="24"/>
          <w:szCs w:val="24"/>
        </w:rPr>
        <w:t>enregistrés</w:t>
      </w:r>
      <w:r w:rsidR="00F8226E" w:rsidRPr="00CB0424">
        <w:rPr>
          <w:rFonts w:ascii="Times New Roman" w:hAnsi="Times New Roman" w:cs="Times New Roman"/>
          <w:sz w:val="24"/>
          <w:szCs w:val="24"/>
        </w:rPr>
        <w:t xml:space="preserve"> et le créancier saisissant</w:t>
      </w:r>
      <w:r w:rsidRPr="00CB0424">
        <w:rPr>
          <w:rFonts w:ascii="Times New Roman" w:hAnsi="Times New Roman" w:cs="Times New Roman"/>
          <w:sz w:val="24"/>
          <w:szCs w:val="24"/>
        </w:rPr>
        <w:t xml:space="preserve"> (article XX.120, §</w:t>
      </w:r>
      <w:r w:rsidR="009A492B">
        <w:rPr>
          <w:rFonts w:ascii="Times New Roman" w:hAnsi="Times New Roman" w:cs="Times New Roman"/>
          <w:sz w:val="24"/>
          <w:szCs w:val="24"/>
        </w:rPr>
        <w:t xml:space="preserve"> </w:t>
      </w:r>
      <w:r w:rsidRPr="00CB0424">
        <w:rPr>
          <w:rFonts w:ascii="Times New Roman" w:hAnsi="Times New Roman" w:cs="Times New Roman"/>
          <w:sz w:val="24"/>
          <w:szCs w:val="24"/>
        </w:rPr>
        <w:t>1</w:t>
      </w:r>
      <w:proofErr w:type="gramStart"/>
      <w:r w:rsidR="009A492B" w:rsidRPr="00CF2994">
        <w:rPr>
          <w:rFonts w:ascii="Times New Roman" w:hAnsi="Times New Roman" w:cs="Times New Roman"/>
          <w:sz w:val="24"/>
          <w:szCs w:val="24"/>
          <w:vertAlign w:val="superscript"/>
        </w:rPr>
        <w:t>er</w:t>
      </w:r>
      <w:r w:rsidR="009A492B">
        <w:rPr>
          <w:rFonts w:ascii="Times New Roman" w:hAnsi="Times New Roman" w:cs="Times New Roman"/>
          <w:sz w:val="24"/>
          <w:szCs w:val="24"/>
        </w:rPr>
        <w:t xml:space="preserve"> </w:t>
      </w:r>
      <w:r w:rsidRPr="00CB0424">
        <w:rPr>
          <w:rFonts w:ascii="Times New Roman" w:hAnsi="Times New Roman" w:cs="Times New Roman"/>
          <w:sz w:val="24"/>
          <w:szCs w:val="24"/>
        </w:rPr>
        <w:t>,</w:t>
      </w:r>
      <w:proofErr w:type="gramEnd"/>
      <w:r w:rsidRPr="00CB0424">
        <w:rPr>
          <w:rFonts w:ascii="Times New Roman" w:hAnsi="Times New Roman" w:cs="Times New Roman"/>
          <w:sz w:val="24"/>
          <w:szCs w:val="24"/>
        </w:rPr>
        <w:t xml:space="preserve"> al. 4, du C.D.E.). </w:t>
      </w:r>
    </w:p>
    <w:p w14:paraId="4F1DF478" w14:textId="77777777" w:rsidR="005B6247" w:rsidRPr="00CB0424" w:rsidRDefault="005B6247" w:rsidP="00B5673A">
      <w:pPr>
        <w:pStyle w:val="Corps"/>
        <w:jc w:val="both"/>
        <w:rPr>
          <w:rFonts w:ascii="Times New Roman" w:hAnsi="Times New Roman" w:cs="Times New Roman"/>
          <w:sz w:val="24"/>
          <w:szCs w:val="24"/>
        </w:rPr>
      </w:pPr>
    </w:p>
    <w:p w14:paraId="6146D651" w14:textId="4D1FE28D" w:rsidR="004367EC" w:rsidRPr="00CB0424" w:rsidRDefault="00A0170D"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 xml:space="preserve">A l’instar de ce qui est prévu en matière de règlement collectif de dettes, </w:t>
      </w:r>
      <w:r w:rsidR="00E8092E" w:rsidRPr="00CB0424">
        <w:rPr>
          <w:rFonts w:ascii="Times New Roman" w:hAnsi="Times New Roman" w:cs="Times New Roman"/>
          <w:sz w:val="24"/>
          <w:szCs w:val="24"/>
        </w:rPr>
        <w:t>et contrairement à ce que prévoient les textes en matière de réorganisation judiciaire, l’article XX.120, §</w:t>
      </w:r>
      <w:r w:rsidR="0038297C">
        <w:rPr>
          <w:rFonts w:ascii="Times New Roman" w:hAnsi="Times New Roman" w:cs="Times New Roman"/>
          <w:sz w:val="24"/>
          <w:szCs w:val="24"/>
        </w:rPr>
        <w:t xml:space="preserve"> </w:t>
      </w:r>
      <w:r w:rsidR="00E8092E" w:rsidRPr="00CB0424">
        <w:rPr>
          <w:rFonts w:ascii="Times New Roman" w:hAnsi="Times New Roman" w:cs="Times New Roman"/>
          <w:sz w:val="24"/>
          <w:szCs w:val="24"/>
        </w:rPr>
        <w:t>1</w:t>
      </w:r>
      <w:r w:rsidR="00E8092E" w:rsidRPr="00CB0424">
        <w:rPr>
          <w:rFonts w:ascii="Times New Roman" w:hAnsi="Times New Roman" w:cs="Times New Roman"/>
          <w:sz w:val="24"/>
          <w:szCs w:val="24"/>
          <w:vertAlign w:val="superscript"/>
        </w:rPr>
        <w:t>er</w:t>
      </w:r>
      <w:r w:rsidR="006A5AE3" w:rsidRPr="00CB0424">
        <w:rPr>
          <w:rFonts w:ascii="Times New Roman" w:hAnsi="Times New Roman" w:cs="Times New Roman"/>
          <w:sz w:val="24"/>
          <w:szCs w:val="24"/>
        </w:rPr>
        <w:t xml:space="preserve">, </w:t>
      </w:r>
      <w:r w:rsidR="00E8092E" w:rsidRPr="00CB0424">
        <w:rPr>
          <w:rFonts w:ascii="Times New Roman" w:hAnsi="Times New Roman" w:cs="Times New Roman"/>
          <w:sz w:val="24"/>
          <w:szCs w:val="24"/>
        </w:rPr>
        <w:t xml:space="preserve">du C.D.E. ne prévoit pas </w:t>
      </w:r>
      <w:proofErr w:type="spellStart"/>
      <w:r w:rsidR="00E8092E" w:rsidRPr="00CB0424">
        <w:rPr>
          <w:rFonts w:ascii="Times New Roman" w:hAnsi="Times New Roman" w:cs="Times New Roman"/>
          <w:i/>
          <w:iCs/>
          <w:sz w:val="24"/>
          <w:szCs w:val="24"/>
        </w:rPr>
        <w:t>expressis</w:t>
      </w:r>
      <w:proofErr w:type="spellEnd"/>
      <w:r w:rsidR="00E8092E" w:rsidRPr="00CB0424">
        <w:rPr>
          <w:rFonts w:ascii="Times New Roman" w:hAnsi="Times New Roman" w:cs="Times New Roman"/>
          <w:i/>
          <w:iCs/>
          <w:sz w:val="24"/>
          <w:szCs w:val="24"/>
        </w:rPr>
        <w:t xml:space="preserve"> </w:t>
      </w:r>
      <w:proofErr w:type="spellStart"/>
      <w:r w:rsidR="00E8092E" w:rsidRPr="00CB0424">
        <w:rPr>
          <w:rFonts w:ascii="Times New Roman" w:hAnsi="Times New Roman" w:cs="Times New Roman"/>
          <w:i/>
          <w:iCs/>
          <w:sz w:val="24"/>
          <w:szCs w:val="24"/>
        </w:rPr>
        <w:t>verbis</w:t>
      </w:r>
      <w:proofErr w:type="spellEnd"/>
      <w:r w:rsidR="00E8092E" w:rsidRPr="00CB0424">
        <w:rPr>
          <w:rFonts w:ascii="Times New Roman" w:hAnsi="Times New Roman" w:cs="Times New Roman"/>
          <w:sz w:val="24"/>
          <w:szCs w:val="24"/>
        </w:rPr>
        <w:t xml:space="preserve"> que la demande </w:t>
      </w:r>
      <w:r w:rsidR="00A70705" w:rsidRPr="00CB0424">
        <w:rPr>
          <w:rFonts w:ascii="Times New Roman" w:hAnsi="Times New Roman" w:cs="Times New Roman"/>
          <w:sz w:val="24"/>
          <w:szCs w:val="24"/>
        </w:rPr>
        <w:t>en suspension soit dépourvue de tout effet suspensif</w:t>
      </w:r>
      <w:r w:rsidR="00E8092E" w:rsidRPr="00CB0424">
        <w:rPr>
          <w:rFonts w:ascii="Times New Roman" w:eastAsia="Times New Roman" w:hAnsi="Times New Roman" w:cs="Times New Roman"/>
          <w:sz w:val="24"/>
          <w:szCs w:val="24"/>
          <w:vertAlign w:val="superscript"/>
        </w:rPr>
        <w:footnoteReference w:id="48"/>
      </w:r>
      <w:r w:rsidR="00E8092E" w:rsidRPr="00CB0424">
        <w:rPr>
          <w:rFonts w:ascii="Times New Roman" w:hAnsi="Times New Roman" w:cs="Times New Roman"/>
          <w:sz w:val="24"/>
          <w:szCs w:val="24"/>
        </w:rPr>
        <w:t xml:space="preserve">. </w:t>
      </w:r>
    </w:p>
    <w:p w14:paraId="7598DB55" w14:textId="77777777" w:rsidR="004367EC" w:rsidRPr="00CB0424" w:rsidRDefault="004367EC" w:rsidP="00B5673A">
      <w:pPr>
        <w:pStyle w:val="Corps"/>
        <w:jc w:val="both"/>
        <w:rPr>
          <w:rFonts w:ascii="Times New Roman" w:eastAsia="Times New Roman" w:hAnsi="Times New Roman" w:cs="Times New Roman"/>
          <w:sz w:val="24"/>
          <w:szCs w:val="24"/>
        </w:rPr>
      </w:pPr>
    </w:p>
    <w:p w14:paraId="04233A07" w14:textId="252D054D" w:rsidR="004367EC"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 xml:space="preserve">Notons la possibilité de poursuivre la saisie contre plusieurs copropriétaires </w:t>
      </w:r>
      <w:r w:rsidRPr="00CB0424">
        <w:rPr>
          <w:rFonts w:ascii="Times New Roman" w:hAnsi="Times New Roman" w:cs="Times New Roman"/>
          <w:i/>
          <w:iCs/>
          <w:sz w:val="24"/>
          <w:szCs w:val="24"/>
        </w:rPr>
        <w:t xml:space="preserve">débiteurs </w:t>
      </w:r>
      <w:r w:rsidRPr="00CB0424">
        <w:rPr>
          <w:rFonts w:ascii="Times New Roman" w:hAnsi="Times New Roman" w:cs="Times New Roman"/>
          <w:sz w:val="24"/>
          <w:szCs w:val="24"/>
        </w:rPr>
        <w:t>dont seul l’un d’entre eux est admis à la procédure de faillite</w:t>
      </w:r>
      <w:r w:rsidRPr="00CB0424">
        <w:rPr>
          <w:rFonts w:ascii="Times New Roman" w:eastAsia="Times New Roman" w:hAnsi="Times New Roman" w:cs="Times New Roman"/>
          <w:sz w:val="24"/>
          <w:szCs w:val="24"/>
          <w:vertAlign w:val="superscript"/>
        </w:rPr>
        <w:footnoteReference w:id="49"/>
      </w:r>
      <w:r w:rsidRPr="00CB0424">
        <w:rPr>
          <w:rFonts w:ascii="Times New Roman" w:hAnsi="Times New Roman" w:cs="Times New Roman"/>
          <w:sz w:val="24"/>
          <w:szCs w:val="24"/>
        </w:rPr>
        <w:t xml:space="preserve">. Même si le texte ne </w:t>
      </w:r>
      <w:proofErr w:type="spellStart"/>
      <w:r w:rsidRPr="00CB0424">
        <w:rPr>
          <w:rFonts w:ascii="Times New Roman" w:hAnsi="Times New Roman" w:cs="Times New Roman"/>
          <w:sz w:val="24"/>
          <w:szCs w:val="24"/>
        </w:rPr>
        <w:t>renvoi</w:t>
      </w:r>
      <w:r w:rsidR="00A078EB">
        <w:rPr>
          <w:rFonts w:ascii="Times New Roman" w:hAnsi="Times New Roman" w:cs="Times New Roman"/>
          <w:sz w:val="24"/>
          <w:szCs w:val="24"/>
        </w:rPr>
        <w:t>t</w:t>
      </w:r>
      <w:proofErr w:type="spellEnd"/>
      <w:r w:rsidRPr="00CB0424">
        <w:rPr>
          <w:rFonts w:ascii="Times New Roman" w:hAnsi="Times New Roman" w:cs="Times New Roman"/>
          <w:sz w:val="24"/>
          <w:szCs w:val="24"/>
        </w:rPr>
        <w:t xml:space="preserve"> pas explicitement à l’article XX.120, §</w:t>
      </w:r>
      <w:r w:rsidR="00B15EA6">
        <w:rPr>
          <w:rFonts w:ascii="Times New Roman" w:hAnsi="Times New Roman" w:cs="Times New Roman"/>
          <w:sz w:val="24"/>
          <w:szCs w:val="24"/>
        </w:rPr>
        <w:t xml:space="preserve"> </w:t>
      </w:r>
      <w:r w:rsidRPr="00CB0424">
        <w:rPr>
          <w:rFonts w:ascii="Times New Roman" w:hAnsi="Times New Roman" w:cs="Times New Roman"/>
          <w:sz w:val="24"/>
          <w:szCs w:val="24"/>
        </w:rPr>
        <w:t>1</w:t>
      </w:r>
      <w:r w:rsidRPr="00CB0424">
        <w:rPr>
          <w:rFonts w:ascii="Times New Roman" w:hAnsi="Times New Roman" w:cs="Times New Roman"/>
          <w:sz w:val="24"/>
          <w:szCs w:val="24"/>
          <w:vertAlign w:val="superscript"/>
        </w:rPr>
        <w:t>er</w:t>
      </w:r>
      <w:r w:rsidR="006A5AE3" w:rsidRPr="00CB0424">
        <w:rPr>
          <w:rFonts w:ascii="Times New Roman" w:hAnsi="Times New Roman" w:cs="Times New Roman"/>
          <w:sz w:val="24"/>
          <w:szCs w:val="24"/>
        </w:rPr>
        <w:t xml:space="preserve">, </w:t>
      </w:r>
      <w:r w:rsidRPr="00CB0424">
        <w:rPr>
          <w:rFonts w:ascii="Times New Roman" w:hAnsi="Times New Roman" w:cs="Times New Roman"/>
          <w:sz w:val="24"/>
          <w:szCs w:val="24"/>
        </w:rPr>
        <w:t>du C.D.E., les conditions requises pour la poursuite de la vente et le cas échéant sa suspension judiciaire ou de plein droit, en cas de propriétaire unique, sont applicables en cas de copropriétaires débiteurs</w:t>
      </w:r>
      <w:r w:rsidRPr="00CB0424">
        <w:rPr>
          <w:rFonts w:ascii="Times New Roman" w:eastAsia="Times New Roman" w:hAnsi="Times New Roman" w:cs="Times New Roman"/>
          <w:sz w:val="24"/>
          <w:szCs w:val="24"/>
          <w:vertAlign w:val="superscript"/>
        </w:rPr>
        <w:footnoteReference w:id="50"/>
      </w:r>
      <w:r w:rsidRPr="00CB0424">
        <w:rPr>
          <w:rFonts w:ascii="Times New Roman" w:hAnsi="Times New Roman" w:cs="Times New Roman"/>
          <w:sz w:val="24"/>
          <w:szCs w:val="24"/>
        </w:rPr>
        <w:t>.</w:t>
      </w:r>
    </w:p>
    <w:p w14:paraId="666DA250" w14:textId="77777777" w:rsidR="00B15EA6" w:rsidRPr="00CB0424" w:rsidRDefault="00B15EA6" w:rsidP="00B5673A">
      <w:pPr>
        <w:pStyle w:val="Corps"/>
        <w:jc w:val="both"/>
        <w:rPr>
          <w:rFonts w:ascii="Times New Roman" w:eastAsia="Times New Roman" w:hAnsi="Times New Roman" w:cs="Times New Roman"/>
          <w:sz w:val="24"/>
          <w:szCs w:val="24"/>
        </w:rPr>
      </w:pPr>
    </w:p>
    <w:p w14:paraId="011DDA75" w14:textId="380C1506" w:rsidR="004367EC"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Le régime général de suspension prévu à l’article XX.120 du C.D.E. est complété utilement par l’article XX.193 du C.D.E.</w:t>
      </w:r>
      <w:r w:rsidR="00F8226E" w:rsidRPr="00CB0424">
        <w:rPr>
          <w:rFonts w:ascii="Times New Roman" w:hAnsi="Times New Roman" w:cs="Times New Roman"/>
          <w:sz w:val="24"/>
          <w:szCs w:val="24"/>
        </w:rPr>
        <w:t xml:space="preserve"> </w:t>
      </w:r>
      <w:r w:rsidRPr="00CB0424">
        <w:rPr>
          <w:rFonts w:ascii="Times New Roman" w:hAnsi="Times New Roman" w:cs="Times New Roman"/>
          <w:sz w:val="24"/>
          <w:szCs w:val="24"/>
        </w:rPr>
        <w:t>qui dispose qu’après le dépôt du premier procès-verbal de vérification des créances, le créancier hypothécaire premier inscrit retrouve le droit de faire vendre le bien hypothéqué (article XX.193, §</w:t>
      </w:r>
      <w:r w:rsidR="006F5127" w:rsidRPr="00CB0424">
        <w:rPr>
          <w:rFonts w:ascii="Times New Roman" w:hAnsi="Times New Roman" w:cs="Times New Roman"/>
          <w:sz w:val="24"/>
          <w:szCs w:val="24"/>
        </w:rPr>
        <w:t xml:space="preserve"> </w:t>
      </w:r>
      <w:r w:rsidRPr="00CB0424">
        <w:rPr>
          <w:rFonts w:ascii="Times New Roman" w:hAnsi="Times New Roman" w:cs="Times New Roman"/>
          <w:sz w:val="24"/>
          <w:szCs w:val="24"/>
        </w:rPr>
        <w:t xml:space="preserve">1er, al. 2, du C.D.E.). </w:t>
      </w:r>
    </w:p>
    <w:p w14:paraId="5450F40D" w14:textId="4B3885CC" w:rsidR="00D8692B" w:rsidRPr="00CB0424" w:rsidRDefault="00D8692B" w:rsidP="00B5673A">
      <w:pPr>
        <w:pStyle w:val="Corps"/>
        <w:jc w:val="both"/>
        <w:rPr>
          <w:rFonts w:ascii="Times New Roman" w:hAnsi="Times New Roman" w:cs="Times New Roman"/>
          <w:sz w:val="24"/>
          <w:szCs w:val="24"/>
        </w:rPr>
      </w:pPr>
    </w:p>
    <w:p w14:paraId="715272EC" w14:textId="77777777" w:rsidR="004367EC" w:rsidRPr="00CB0424" w:rsidRDefault="004367EC" w:rsidP="00B5673A">
      <w:pPr>
        <w:pStyle w:val="Corps"/>
        <w:jc w:val="both"/>
        <w:rPr>
          <w:rFonts w:ascii="Times New Roman" w:eastAsia="Times New Roman" w:hAnsi="Times New Roman" w:cs="Times New Roman"/>
          <w:b/>
          <w:bCs/>
          <w:sz w:val="24"/>
          <w:szCs w:val="24"/>
        </w:rPr>
      </w:pPr>
    </w:p>
    <w:p w14:paraId="030FBF53" w14:textId="77777777" w:rsidR="004367EC" w:rsidRPr="00CB0424" w:rsidRDefault="00E8092E" w:rsidP="00B5673A">
      <w:pPr>
        <w:pStyle w:val="Corps"/>
        <w:jc w:val="both"/>
        <w:rPr>
          <w:rFonts w:ascii="Times New Roman" w:eastAsia="Times New Roman" w:hAnsi="Times New Roman" w:cs="Times New Roman"/>
          <w:b/>
          <w:bCs/>
          <w:sz w:val="24"/>
          <w:szCs w:val="24"/>
          <w:u w:val="single"/>
        </w:rPr>
      </w:pPr>
      <w:r w:rsidRPr="00CB0424">
        <w:rPr>
          <w:rFonts w:ascii="Times New Roman" w:hAnsi="Times New Roman" w:cs="Times New Roman"/>
          <w:b/>
          <w:bCs/>
          <w:sz w:val="24"/>
          <w:szCs w:val="24"/>
          <w:u w:val="single"/>
        </w:rPr>
        <w:t xml:space="preserve">III. Le règlement collectif de dettes </w:t>
      </w:r>
    </w:p>
    <w:p w14:paraId="0E2B8E46" w14:textId="77777777" w:rsidR="004367EC" w:rsidRPr="00CB0424" w:rsidRDefault="004367EC" w:rsidP="00B5673A">
      <w:pPr>
        <w:pStyle w:val="Corps"/>
        <w:jc w:val="both"/>
        <w:rPr>
          <w:rFonts w:ascii="Times New Roman" w:eastAsia="Times New Roman" w:hAnsi="Times New Roman" w:cs="Times New Roman"/>
          <w:sz w:val="24"/>
          <w:szCs w:val="24"/>
        </w:rPr>
      </w:pPr>
    </w:p>
    <w:p w14:paraId="37FDD2F9" w14:textId="35914833" w:rsidR="004367EC" w:rsidRPr="00CB0424" w:rsidRDefault="00E8092E" w:rsidP="00B5673A">
      <w:pPr>
        <w:pStyle w:val="Corps"/>
        <w:numPr>
          <w:ilvl w:val="0"/>
          <w:numId w:val="14"/>
        </w:numPr>
        <w:jc w:val="both"/>
        <w:rPr>
          <w:rFonts w:ascii="Times New Roman" w:eastAsia="Times New Roman" w:hAnsi="Times New Roman" w:cs="Times New Roman"/>
          <w:b/>
          <w:bCs/>
          <w:sz w:val="24"/>
          <w:szCs w:val="24"/>
        </w:rPr>
      </w:pPr>
      <w:r w:rsidRPr="00CB0424">
        <w:rPr>
          <w:rFonts w:ascii="Times New Roman" w:hAnsi="Times New Roman" w:cs="Times New Roman"/>
          <w:b/>
          <w:bCs/>
          <w:sz w:val="24"/>
          <w:szCs w:val="24"/>
        </w:rPr>
        <w:t>Généralités</w:t>
      </w:r>
    </w:p>
    <w:p w14:paraId="218B8E2B" w14:textId="01D9BF99" w:rsidR="00FD21CF" w:rsidRPr="00CB0424" w:rsidRDefault="00FD21CF" w:rsidP="00B5673A">
      <w:pPr>
        <w:pStyle w:val="Corps"/>
        <w:jc w:val="both"/>
        <w:rPr>
          <w:rFonts w:ascii="Times New Roman" w:hAnsi="Times New Roman" w:cs="Times New Roman"/>
          <w:b/>
          <w:bCs/>
          <w:sz w:val="24"/>
          <w:szCs w:val="24"/>
        </w:rPr>
      </w:pPr>
    </w:p>
    <w:p w14:paraId="1F936623" w14:textId="428F4AEA" w:rsidR="004367EC" w:rsidRPr="00CB0424" w:rsidRDefault="00FD21CF"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Créé par une loi du 5 juillet 1998, l</w:t>
      </w:r>
      <w:r w:rsidR="00424592" w:rsidRPr="00CB0424">
        <w:rPr>
          <w:rFonts w:ascii="Times New Roman" w:hAnsi="Times New Roman" w:cs="Times New Roman"/>
          <w:sz w:val="24"/>
          <w:szCs w:val="24"/>
        </w:rPr>
        <w:t xml:space="preserve">e </w:t>
      </w:r>
      <w:r w:rsidRPr="00CB0424">
        <w:rPr>
          <w:rFonts w:ascii="Times New Roman" w:hAnsi="Times New Roman" w:cs="Times New Roman"/>
          <w:sz w:val="24"/>
          <w:szCs w:val="24"/>
        </w:rPr>
        <w:t xml:space="preserve">règlement collectif de dettes consacre l’instauration, en droit belge, d’une procédure collective affrontant le surendettement civil. La décision d’admissibilité à </w:t>
      </w:r>
      <w:r w:rsidR="006A5AE3" w:rsidRPr="00CB0424">
        <w:rPr>
          <w:rFonts w:ascii="Times New Roman" w:hAnsi="Times New Roman" w:cs="Times New Roman"/>
          <w:sz w:val="24"/>
          <w:szCs w:val="24"/>
        </w:rPr>
        <w:t>cette</w:t>
      </w:r>
      <w:r w:rsidRPr="00CB0424">
        <w:rPr>
          <w:rFonts w:ascii="Times New Roman" w:hAnsi="Times New Roman" w:cs="Times New Roman"/>
          <w:sz w:val="24"/>
          <w:szCs w:val="24"/>
        </w:rPr>
        <w:t xml:space="preserve"> procédure fait na</w:t>
      </w:r>
      <w:r w:rsidR="006A5AE3" w:rsidRPr="00CB0424">
        <w:rPr>
          <w:rFonts w:ascii="Times New Roman" w:hAnsi="Times New Roman" w:cs="Times New Roman"/>
          <w:sz w:val="24"/>
          <w:szCs w:val="24"/>
        </w:rPr>
        <w:t>î</w:t>
      </w:r>
      <w:r w:rsidRPr="00CB0424">
        <w:rPr>
          <w:rFonts w:ascii="Times New Roman" w:hAnsi="Times New Roman" w:cs="Times New Roman"/>
          <w:sz w:val="24"/>
          <w:szCs w:val="24"/>
        </w:rPr>
        <w:t>tre une situation de concours qui a notamment pour conséquence l</w:t>
      </w:r>
      <w:r w:rsidR="005B6247" w:rsidRPr="00CB0424">
        <w:rPr>
          <w:rFonts w:ascii="Times New Roman" w:hAnsi="Times New Roman" w:cs="Times New Roman"/>
          <w:sz w:val="24"/>
          <w:szCs w:val="24"/>
        </w:rPr>
        <w:t>a suspension</w:t>
      </w:r>
      <w:r w:rsidRPr="00CB0424">
        <w:rPr>
          <w:rFonts w:ascii="Times New Roman" w:hAnsi="Times New Roman" w:cs="Times New Roman"/>
          <w:sz w:val="24"/>
          <w:szCs w:val="24"/>
        </w:rPr>
        <w:t xml:space="preserve"> des voies d’exécution</w:t>
      </w:r>
      <w:r w:rsidR="00547F4D" w:rsidRPr="00CB0424">
        <w:rPr>
          <w:rFonts w:ascii="Times New Roman" w:hAnsi="Times New Roman" w:cs="Times New Roman"/>
          <w:sz w:val="24"/>
          <w:szCs w:val="24"/>
        </w:rPr>
        <w:t xml:space="preserve"> sur le patrimoine du requérant</w:t>
      </w:r>
      <w:r w:rsidRPr="00CB0424">
        <w:rPr>
          <w:rFonts w:ascii="Times New Roman" w:hAnsi="Times New Roman" w:cs="Times New Roman"/>
          <w:sz w:val="24"/>
          <w:szCs w:val="24"/>
        </w:rPr>
        <w:t xml:space="preserve"> qui tendent au paiement d’une somme d’argent</w:t>
      </w:r>
      <w:r w:rsidR="00424592" w:rsidRPr="00CB0424">
        <w:rPr>
          <w:rFonts w:ascii="Times New Roman" w:hAnsi="Times New Roman" w:cs="Times New Roman"/>
          <w:sz w:val="24"/>
          <w:szCs w:val="24"/>
        </w:rPr>
        <w:t xml:space="preserve"> (article 1675/7, §</w:t>
      </w:r>
      <w:r w:rsidR="00A368CC">
        <w:rPr>
          <w:rFonts w:ascii="Times New Roman" w:hAnsi="Times New Roman" w:cs="Times New Roman"/>
          <w:sz w:val="24"/>
          <w:szCs w:val="24"/>
        </w:rPr>
        <w:t xml:space="preserve"> </w:t>
      </w:r>
      <w:r w:rsidR="00424592" w:rsidRPr="00CB0424">
        <w:rPr>
          <w:rFonts w:ascii="Times New Roman" w:hAnsi="Times New Roman" w:cs="Times New Roman"/>
          <w:sz w:val="24"/>
          <w:szCs w:val="24"/>
        </w:rPr>
        <w:t>1</w:t>
      </w:r>
      <w:r w:rsidR="00424592" w:rsidRPr="00CB0424">
        <w:rPr>
          <w:rFonts w:ascii="Times New Roman" w:hAnsi="Times New Roman" w:cs="Times New Roman"/>
          <w:sz w:val="24"/>
          <w:szCs w:val="24"/>
          <w:vertAlign w:val="superscript"/>
        </w:rPr>
        <w:t>er</w:t>
      </w:r>
      <w:r w:rsidR="00424592" w:rsidRPr="00CB0424">
        <w:rPr>
          <w:rFonts w:ascii="Times New Roman" w:hAnsi="Times New Roman" w:cs="Times New Roman"/>
          <w:sz w:val="24"/>
          <w:szCs w:val="24"/>
        </w:rPr>
        <w:t>, al. 1</w:t>
      </w:r>
      <w:r w:rsidR="00424592" w:rsidRPr="00CB0424">
        <w:rPr>
          <w:rFonts w:ascii="Times New Roman" w:hAnsi="Times New Roman" w:cs="Times New Roman"/>
          <w:sz w:val="24"/>
          <w:szCs w:val="24"/>
          <w:vertAlign w:val="superscript"/>
        </w:rPr>
        <w:t>er</w:t>
      </w:r>
      <w:r w:rsidR="00F062DA" w:rsidRPr="00CB0424">
        <w:rPr>
          <w:rFonts w:ascii="Times New Roman" w:hAnsi="Times New Roman" w:cs="Times New Roman"/>
          <w:sz w:val="24"/>
          <w:szCs w:val="24"/>
        </w:rPr>
        <w:t xml:space="preserve"> et §</w:t>
      </w:r>
      <w:r w:rsidR="00A368CC">
        <w:rPr>
          <w:rFonts w:ascii="Times New Roman" w:hAnsi="Times New Roman" w:cs="Times New Roman"/>
          <w:sz w:val="24"/>
          <w:szCs w:val="24"/>
        </w:rPr>
        <w:t xml:space="preserve"> </w:t>
      </w:r>
      <w:r w:rsidR="00F062DA" w:rsidRPr="00CB0424">
        <w:rPr>
          <w:rFonts w:ascii="Times New Roman" w:hAnsi="Times New Roman" w:cs="Times New Roman"/>
          <w:sz w:val="24"/>
          <w:szCs w:val="24"/>
        </w:rPr>
        <w:t>2, al. 1</w:t>
      </w:r>
      <w:r w:rsidR="00F062DA" w:rsidRPr="00CB0424">
        <w:rPr>
          <w:rFonts w:ascii="Times New Roman" w:hAnsi="Times New Roman" w:cs="Times New Roman"/>
          <w:sz w:val="24"/>
          <w:szCs w:val="24"/>
          <w:vertAlign w:val="superscript"/>
        </w:rPr>
        <w:t>er</w:t>
      </w:r>
      <w:r w:rsidR="00F062DA" w:rsidRPr="00CB0424">
        <w:rPr>
          <w:rFonts w:ascii="Times New Roman" w:hAnsi="Times New Roman" w:cs="Times New Roman"/>
          <w:sz w:val="24"/>
          <w:szCs w:val="24"/>
        </w:rPr>
        <w:t>,</w:t>
      </w:r>
      <w:r w:rsidR="00424592" w:rsidRPr="00CB0424">
        <w:rPr>
          <w:rFonts w:ascii="Times New Roman" w:hAnsi="Times New Roman" w:cs="Times New Roman"/>
          <w:sz w:val="24"/>
          <w:szCs w:val="24"/>
        </w:rPr>
        <w:t xml:space="preserve"> du C. </w:t>
      </w:r>
      <w:proofErr w:type="spellStart"/>
      <w:r w:rsidR="00424592" w:rsidRPr="00CB0424">
        <w:rPr>
          <w:rFonts w:ascii="Times New Roman" w:hAnsi="Times New Roman" w:cs="Times New Roman"/>
          <w:sz w:val="24"/>
          <w:szCs w:val="24"/>
        </w:rPr>
        <w:t>Jud</w:t>
      </w:r>
      <w:proofErr w:type="spellEnd"/>
      <w:r w:rsidR="00424592" w:rsidRPr="00CB0424">
        <w:rPr>
          <w:rFonts w:ascii="Times New Roman" w:hAnsi="Times New Roman" w:cs="Times New Roman"/>
          <w:sz w:val="24"/>
          <w:szCs w:val="24"/>
        </w:rPr>
        <w:t>.)</w:t>
      </w:r>
      <w:r w:rsidR="00547F4D" w:rsidRPr="00CB0424">
        <w:rPr>
          <w:rStyle w:val="Appelnotedebasdep"/>
          <w:rFonts w:ascii="Times New Roman" w:hAnsi="Times New Roman" w:cs="Times New Roman"/>
          <w:sz w:val="24"/>
          <w:szCs w:val="24"/>
        </w:rPr>
        <w:footnoteReference w:id="51"/>
      </w:r>
      <w:r w:rsidRPr="00CB0424">
        <w:rPr>
          <w:rFonts w:ascii="Times New Roman" w:hAnsi="Times New Roman" w:cs="Times New Roman"/>
          <w:sz w:val="24"/>
          <w:szCs w:val="24"/>
        </w:rPr>
        <w:t xml:space="preserve">. </w:t>
      </w:r>
    </w:p>
    <w:p w14:paraId="57AF157E" w14:textId="77777777" w:rsidR="00FD21CF" w:rsidRPr="00CB0424" w:rsidRDefault="00FD21CF" w:rsidP="00B5673A">
      <w:pPr>
        <w:pStyle w:val="Corps"/>
        <w:jc w:val="both"/>
        <w:rPr>
          <w:rFonts w:ascii="Times New Roman" w:hAnsi="Times New Roman" w:cs="Times New Roman"/>
          <w:sz w:val="24"/>
          <w:szCs w:val="24"/>
        </w:rPr>
      </w:pPr>
    </w:p>
    <w:p w14:paraId="74C211B9" w14:textId="5856FFA6" w:rsidR="004367EC" w:rsidRPr="00CB0424" w:rsidRDefault="00E8092E" w:rsidP="00630F71">
      <w:pPr>
        <w:pStyle w:val="Corps"/>
        <w:numPr>
          <w:ilvl w:val="0"/>
          <w:numId w:val="14"/>
        </w:numPr>
        <w:jc w:val="both"/>
        <w:rPr>
          <w:rFonts w:ascii="Times New Roman" w:eastAsia="Times New Roman" w:hAnsi="Times New Roman" w:cs="Times New Roman"/>
          <w:b/>
          <w:bCs/>
          <w:sz w:val="24"/>
          <w:szCs w:val="24"/>
        </w:rPr>
      </w:pPr>
      <w:r w:rsidRPr="00CB0424">
        <w:rPr>
          <w:rFonts w:ascii="Times New Roman" w:hAnsi="Times New Roman" w:cs="Times New Roman"/>
          <w:b/>
          <w:bCs/>
          <w:sz w:val="24"/>
          <w:szCs w:val="24"/>
        </w:rPr>
        <w:t xml:space="preserve">Saisie conservatoire </w:t>
      </w:r>
    </w:p>
    <w:p w14:paraId="542ECB36" w14:textId="77777777" w:rsidR="004367EC" w:rsidRPr="00CB0424" w:rsidRDefault="004367EC" w:rsidP="00B5673A">
      <w:pPr>
        <w:pStyle w:val="Corps"/>
        <w:jc w:val="both"/>
        <w:rPr>
          <w:rFonts w:ascii="Times New Roman" w:eastAsia="Times New Roman" w:hAnsi="Times New Roman" w:cs="Times New Roman"/>
          <w:sz w:val="24"/>
          <w:szCs w:val="24"/>
        </w:rPr>
      </w:pPr>
    </w:p>
    <w:p w14:paraId="2236AAC4" w14:textId="0CEBCA87" w:rsidR="004367EC" w:rsidRPr="00CB0424" w:rsidRDefault="00E8092E" w:rsidP="00B5673A">
      <w:pPr>
        <w:pStyle w:val="Corps"/>
        <w:jc w:val="both"/>
        <w:rPr>
          <w:rFonts w:ascii="Times New Roman" w:eastAsia="Times New Roman" w:hAnsi="Times New Roman" w:cs="Times New Roman"/>
          <w:sz w:val="24"/>
          <w:szCs w:val="24"/>
        </w:rPr>
      </w:pPr>
      <w:r w:rsidRPr="00CB0424">
        <w:rPr>
          <w:rFonts w:ascii="Times New Roman" w:hAnsi="Times New Roman" w:cs="Times New Roman"/>
          <w:sz w:val="24"/>
          <w:szCs w:val="24"/>
        </w:rPr>
        <w:t>Conformément à l’article 1675/7, §</w:t>
      </w:r>
      <w:r w:rsidR="00A368CC">
        <w:rPr>
          <w:rFonts w:ascii="Times New Roman" w:hAnsi="Times New Roman" w:cs="Times New Roman"/>
          <w:sz w:val="24"/>
          <w:szCs w:val="24"/>
        </w:rPr>
        <w:t xml:space="preserve"> </w:t>
      </w:r>
      <w:r w:rsidRPr="00CB0424">
        <w:rPr>
          <w:rFonts w:ascii="Times New Roman" w:hAnsi="Times New Roman" w:cs="Times New Roman"/>
          <w:sz w:val="24"/>
          <w:szCs w:val="24"/>
        </w:rPr>
        <w:t>2, al 1</w:t>
      </w:r>
      <w:r w:rsidRPr="00D969FC">
        <w:rPr>
          <w:rFonts w:ascii="Times New Roman" w:hAnsi="Times New Roman" w:cs="Times New Roman"/>
          <w:sz w:val="24"/>
          <w:szCs w:val="24"/>
          <w:vertAlign w:val="superscript"/>
        </w:rPr>
        <w:t>er</w:t>
      </w:r>
      <w:r w:rsidRPr="00CB0424">
        <w:rPr>
          <w:rFonts w:ascii="Times New Roman" w:hAnsi="Times New Roman" w:cs="Times New Roman"/>
          <w:sz w:val="24"/>
          <w:szCs w:val="24"/>
        </w:rPr>
        <w:t>, du C.</w:t>
      </w:r>
      <w:r w:rsidR="00FB7C86" w:rsidRPr="00CB0424">
        <w:rPr>
          <w:rFonts w:ascii="Times New Roman" w:hAnsi="Times New Roman" w:cs="Times New Roman"/>
          <w:sz w:val="24"/>
          <w:szCs w:val="24"/>
        </w:rPr>
        <w:t xml:space="preserve"> </w:t>
      </w:r>
      <w:proofErr w:type="spellStart"/>
      <w:r w:rsidRPr="00CB0424">
        <w:rPr>
          <w:rFonts w:ascii="Times New Roman" w:hAnsi="Times New Roman" w:cs="Times New Roman"/>
          <w:sz w:val="24"/>
          <w:szCs w:val="24"/>
        </w:rPr>
        <w:t>Jud</w:t>
      </w:r>
      <w:proofErr w:type="spellEnd"/>
      <w:r w:rsidRPr="00CB0424">
        <w:rPr>
          <w:rFonts w:ascii="Times New Roman" w:hAnsi="Times New Roman" w:cs="Times New Roman"/>
          <w:sz w:val="24"/>
          <w:szCs w:val="24"/>
        </w:rPr>
        <w:t>., les saisies pratiquées antérieurement à la décision d’admissibilité sont suspendues et conservent un caractère conservatoire. Cette disposition vise tant les saisies exécution que conservatoires</w:t>
      </w:r>
      <w:r w:rsidRPr="00CB0424">
        <w:rPr>
          <w:rFonts w:ascii="Times New Roman" w:eastAsia="Times New Roman" w:hAnsi="Times New Roman" w:cs="Times New Roman"/>
          <w:sz w:val="24"/>
          <w:szCs w:val="24"/>
          <w:vertAlign w:val="superscript"/>
        </w:rPr>
        <w:footnoteReference w:id="52"/>
      </w:r>
      <w:r w:rsidRPr="00CB0424">
        <w:rPr>
          <w:rFonts w:ascii="Times New Roman" w:hAnsi="Times New Roman" w:cs="Times New Roman"/>
          <w:sz w:val="24"/>
          <w:szCs w:val="24"/>
        </w:rPr>
        <w:t xml:space="preserve">. </w:t>
      </w:r>
    </w:p>
    <w:p w14:paraId="2641D402" w14:textId="77777777" w:rsidR="004367EC" w:rsidRPr="00CB0424" w:rsidRDefault="004367EC" w:rsidP="00B5673A">
      <w:pPr>
        <w:pStyle w:val="Corps"/>
        <w:jc w:val="both"/>
        <w:rPr>
          <w:rFonts w:ascii="Times New Roman" w:eastAsia="Times New Roman" w:hAnsi="Times New Roman" w:cs="Times New Roman"/>
          <w:sz w:val="24"/>
          <w:szCs w:val="24"/>
        </w:rPr>
      </w:pPr>
    </w:p>
    <w:p w14:paraId="59BD606E" w14:textId="0E39D4A5" w:rsidR="004367EC" w:rsidRPr="00CB0424" w:rsidRDefault="00E8092E" w:rsidP="00B5673A">
      <w:pPr>
        <w:pStyle w:val="Corps"/>
        <w:numPr>
          <w:ilvl w:val="0"/>
          <w:numId w:val="14"/>
        </w:numPr>
        <w:jc w:val="both"/>
        <w:rPr>
          <w:rFonts w:ascii="Times New Roman" w:eastAsia="Times New Roman" w:hAnsi="Times New Roman" w:cs="Times New Roman"/>
          <w:b/>
          <w:bCs/>
          <w:sz w:val="24"/>
          <w:szCs w:val="24"/>
        </w:rPr>
      </w:pPr>
      <w:r w:rsidRPr="00CB0424">
        <w:rPr>
          <w:rFonts w:ascii="Times New Roman" w:hAnsi="Times New Roman" w:cs="Times New Roman"/>
          <w:b/>
          <w:bCs/>
          <w:sz w:val="24"/>
          <w:szCs w:val="24"/>
        </w:rPr>
        <w:t>Saisie</w:t>
      </w:r>
      <w:r w:rsidR="00A368CC">
        <w:rPr>
          <w:rFonts w:ascii="Times New Roman" w:hAnsi="Times New Roman" w:cs="Times New Roman"/>
          <w:b/>
          <w:bCs/>
          <w:sz w:val="24"/>
          <w:szCs w:val="24"/>
        </w:rPr>
        <w:t>-</w:t>
      </w:r>
      <w:r w:rsidRPr="00CB0424">
        <w:rPr>
          <w:rFonts w:ascii="Times New Roman" w:hAnsi="Times New Roman" w:cs="Times New Roman"/>
          <w:b/>
          <w:bCs/>
          <w:sz w:val="24"/>
          <w:szCs w:val="24"/>
        </w:rPr>
        <w:t xml:space="preserve">exécution </w:t>
      </w:r>
      <w:r w:rsidR="009505E0" w:rsidRPr="00CB0424">
        <w:rPr>
          <w:rFonts w:ascii="Times New Roman" w:hAnsi="Times New Roman" w:cs="Times New Roman"/>
          <w:b/>
          <w:bCs/>
          <w:sz w:val="24"/>
          <w:szCs w:val="24"/>
        </w:rPr>
        <w:t xml:space="preserve">mobilière </w:t>
      </w:r>
    </w:p>
    <w:p w14:paraId="3BC6B0F2" w14:textId="77777777" w:rsidR="009505E0" w:rsidRPr="00CB0424" w:rsidRDefault="009505E0" w:rsidP="00B5673A">
      <w:pPr>
        <w:pStyle w:val="Corps"/>
        <w:ind w:left="360"/>
        <w:jc w:val="both"/>
        <w:rPr>
          <w:rFonts w:ascii="Times New Roman" w:eastAsia="Times New Roman" w:hAnsi="Times New Roman" w:cs="Times New Roman"/>
          <w:b/>
          <w:bCs/>
          <w:sz w:val="24"/>
          <w:szCs w:val="24"/>
        </w:rPr>
      </w:pPr>
    </w:p>
    <w:p w14:paraId="512947EF" w14:textId="55458E14" w:rsidR="004367EC"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Il ressort de l’article 1675/7, §</w:t>
      </w:r>
      <w:r w:rsidR="0008072C">
        <w:rPr>
          <w:rFonts w:ascii="Times New Roman" w:hAnsi="Times New Roman" w:cs="Times New Roman"/>
          <w:sz w:val="24"/>
          <w:szCs w:val="24"/>
        </w:rPr>
        <w:t xml:space="preserve"> </w:t>
      </w:r>
      <w:r w:rsidRPr="00CB0424">
        <w:rPr>
          <w:rFonts w:ascii="Times New Roman" w:hAnsi="Times New Roman" w:cs="Times New Roman"/>
          <w:sz w:val="24"/>
          <w:szCs w:val="24"/>
        </w:rPr>
        <w:t>2, al. 1</w:t>
      </w:r>
      <w:r w:rsidRPr="00D969FC">
        <w:rPr>
          <w:rFonts w:ascii="Times New Roman" w:hAnsi="Times New Roman" w:cs="Times New Roman"/>
          <w:sz w:val="24"/>
          <w:szCs w:val="24"/>
          <w:vertAlign w:val="superscript"/>
        </w:rPr>
        <w:t>er</w:t>
      </w:r>
      <w:r w:rsidRPr="00CB0424">
        <w:rPr>
          <w:rFonts w:ascii="Times New Roman" w:hAnsi="Times New Roman" w:cs="Times New Roman"/>
          <w:sz w:val="24"/>
          <w:szCs w:val="24"/>
        </w:rPr>
        <w:t xml:space="preserve">, du C. </w:t>
      </w:r>
      <w:proofErr w:type="spellStart"/>
      <w:r w:rsidRPr="00CB0424">
        <w:rPr>
          <w:rFonts w:ascii="Times New Roman" w:hAnsi="Times New Roman" w:cs="Times New Roman"/>
          <w:sz w:val="24"/>
          <w:szCs w:val="24"/>
        </w:rPr>
        <w:t>Jud</w:t>
      </w:r>
      <w:proofErr w:type="spellEnd"/>
      <w:r w:rsidRPr="00CB0424">
        <w:rPr>
          <w:rFonts w:ascii="Times New Roman" w:hAnsi="Times New Roman" w:cs="Times New Roman"/>
          <w:sz w:val="24"/>
          <w:szCs w:val="24"/>
        </w:rPr>
        <w:t>., un principe de suspension des voies d’exécution. L’article dispose en effet que</w:t>
      </w:r>
      <w:r w:rsidR="005E5FEA">
        <w:rPr>
          <w:rFonts w:ascii="Times New Roman" w:hAnsi="Times New Roman" w:cs="Times New Roman"/>
          <w:sz w:val="24"/>
          <w:szCs w:val="24"/>
        </w:rPr>
        <w:t> :</w:t>
      </w:r>
      <w:r w:rsidRPr="00CB0424">
        <w:rPr>
          <w:rFonts w:ascii="Times New Roman" w:hAnsi="Times New Roman" w:cs="Times New Roman"/>
          <w:sz w:val="24"/>
          <w:szCs w:val="24"/>
        </w:rPr>
        <w:t xml:space="preserve"> « </w:t>
      </w:r>
      <w:r w:rsidRPr="00CB0424">
        <w:rPr>
          <w:rFonts w:ascii="Times New Roman" w:hAnsi="Times New Roman" w:cs="Times New Roman"/>
          <w:i/>
          <w:iCs/>
          <w:sz w:val="24"/>
          <w:szCs w:val="24"/>
        </w:rPr>
        <w:t>toutes les voies d’exécution qui tendent au paiement d’un</w:t>
      </w:r>
      <w:r w:rsidR="0008072C">
        <w:rPr>
          <w:rFonts w:ascii="Times New Roman" w:hAnsi="Times New Roman" w:cs="Times New Roman"/>
          <w:i/>
          <w:iCs/>
          <w:sz w:val="24"/>
          <w:szCs w:val="24"/>
        </w:rPr>
        <w:t>e</w:t>
      </w:r>
      <w:r w:rsidRPr="00CB0424">
        <w:rPr>
          <w:rFonts w:ascii="Times New Roman" w:hAnsi="Times New Roman" w:cs="Times New Roman"/>
          <w:i/>
          <w:iCs/>
          <w:sz w:val="24"/>
          <w:szCs w:val="24"/>
        </w:rPr>
        <w:t xml:space="preserve"> somme d’argent sont suspendues </w:t>
      </w:r>
      <w:r w:rsidRPr="00CB0424">
        <w:rPr>
          <w:rFonts w:ascii="Times New Roman" w:hAnsi="Times New Roman" w:cs="Times New Roman"/>
          <w:sz w:val="24"/>
          <w:szCs w:val="24"/>
        </w:rPr>
        <w:t xml:space="preserve">». Ainsi, </w:t>
      </w:r>
      <w:r w:rsidR="00D172AA" w:rsidRPr="00CB0424">
        <w:rPr>
          <w:rFonts w:ascii="Times New Roman" w:hAnsi="Times New Roman" w:cs="Times New Roman"/>
          <w:sz w:val="24"/>
          <w:szCs w:val="24"/>
        </w:rPr>
        <w:t xml:space="preserve">en principe, </w:t>
      </w:r>
      <w:r w:rsidRPr="00CB0424">
        <w:rPr>
          <w:rFonts w:ascii="Times New Roman" w:hAnsi="Times New Roman" w:cs="Times New Roman"/>
          <w:sz w:val="24"/>
          <w:szCs w:val="24"/>
        </w:rPr>
        <w:t>une saisie</w:t>
      </w:r>
      <w:r w:rsidR="00C84E75">
        <w:rPr>
          <w:rFonts w:ascii="Times New Roman" w:hAnsi="Times New Roman" w:cs="Times New Roman"/>
          <w:sz w:val="24"/>
          <w:szCs w:val="24"/>
        </w:rPr>
        <w:t>-exécution</w:t>
      </w:r>
      <w:r w:rsidRPr="00CB0424">
        <w:rPr>
          <w:rFonts w:ascii="Times New Roman" w:hAnsi="Times New Roman" w:cs="Times New Roman"/>
          <w:sz w:val="24"/>
          <w:szCs w:val="24"/>
        </w:rPr>
        <w:t xml:space="preserve"> mobilière entamée avant la décision d’admissibilité</w:t>
      </w:r>
      <w:r w:rsidR="00D172AA" w:rsidRPr="00CB0424">
        <w:rPr>
          <w:rFonts w:ascii="Times New Roman" w:hAnsi="Times New Roman" w:cs="Times New Roman"/>
          <w:sz w:val="24"/>
          <w:szCs w:val="24"/>
        </w:rPr>
        <w:t xml:space="preserve"> </w:t>
      </w:r>
      <w:r w:rsidRPr="00CB0424">
        <w:rPr>
          <w:rFonts w:ascii="Times New Roman" w:hAnsi="Times New Roman" w:cs="Times New Roman"/>
          <w:sz w:val="24"/>
          <w:szCs w:val="24"/>
        </w:rPr>
        <w:t xml:space="preserve">se voit suspendue. Néanmoins, à l’instar de la faillite et de la procédure de réorganisation judiciaire, si </w:t>
      </w:r>
      <w:r w:rsidR="00FB7C86" w:rsidRPr="00CB0424">
        <w:rPr>
          <w:rFonts w:ascii="Times New Roman" w:hAnsi="Times New Roman" w:cs="Times New Roman"/>
          <w:sz w:val="24"/>
          <w:szCs w:val="24"/>
        </w:rPr>
        <w:t xml:space="preserve">la procédure de saisie se trouve à un stade avancé, </w:t>
      </w:r>
      <w:r w:rsidRPr="00CB0424">
        <w:rPr>
          <w:rFonts w:ascii="Times New Roman" w:hAnsi="Times New Roman" w:cs="Times New Roman"/>
          <w:sz w:val="24"/>
          <w:szCs w:val="24"/>
        </w:rPr>
        <w:t xml:space="preserve">la vente pourra se poursuivre. </w:t>
      </w:r>
      <w:r w:rsidR="00FB7C86" w:rsidRPr="00CB0424">
        <w:rPr>
          <w:rFonts w:ascii="Times New Roman" w:hAnsi="Times New Roman" w:cs="Times New Roman"/>
          <w:sz w:val="24"/>
          <w:szCs w:val="24"/>
        </w:rPr>
        <w:t xml:space="preserve">L’article 1675/7, §2, al. 2, du C. </w:t>
      </w:r>
      <w:proofErr w:type="spellStart"/>
      <w:r w:rsidR="00FB7C86" w:rsidRPr="00CB0424">
        <w:rPr>
          <w:rFonts w:ascii="Times New Roman" w:hAnsi="Times New Roman" w:cs="Times New Roman"/>
          <w:sz w:val="24"/>
          <w:szCs w:val="24"/>
        </w:rPr>
        <w:t>Jud</w:t>
      </w:r>
      <w:proofErr w:type="spellEnd"/>
      <w:r w:rsidR="00FB7C86" w:rsidRPr="00CB0424">
        <w:rPr>
          <w:rFonts w:ascii="Times New Roman" w:hAnsi="Times New Roman" w:cs="Times New Roman"/>
          <w:sz w:val="24"/>
          <w:szCs w:val="24"/>
        </w:rPr>
        <w:t xml:space="preserve">., prévoit en effet que si, antérieurement à la décision d’admissibilité, le jour de la vente forcée des meubles a déjà été fixé et publié par les affiches, la vente a lieu pour le compte de la masse. </w:t>
      </w:r>
      <w:r w:rsidR="009A29BF" w:rsidRPr="00CB0424">
        <w:rPr>
          <w:rFonts w:ascii="Times New Roman" w:hAnsi="Times New Roman" w:cs="Times New Roman"/>
          <w:sz w:val="24"/>
          <w:szCs w:val="24"/>
        </w:rPr>
        <w:t>Dans tel cas, après désintéressement des créanciers privilégiés spéciaux, l’huissier de justice versera le solde éventuel au médiateur de dettes. L</w:t>
      </w:r>
      <w:r w:rsidRPr="00CB0424">
        <w:rPr>
          <w:rFonts w:ascii="Times New Roman" w:hAnsi="Times New Roman" w:cs="Times New Roman"/>
          <w:sz w:val="24"/>
          <w:szCs w:val="24"/>
        </w:rPr>
        <w:t>e tribunal du travail peut, sur demande du débiteur ou du médiateur de dettes agissant dans le cadre d’un plan de règlement amiable, autoriser la remise ou l’abandon de la vente (article 1675/7, §</w:t>
      </w:r>
      <w:r w:rsidR="00830D94">
        <w:rPr>
          <w:rFonts w:ascii="Times New Roman" w:hAnsi="Times New Roman" w:cs="Times New Roman"/>
          <w:sz w:val="24"/>
          <w:szCs w:val="24"/>
        </w:rPr>
        <w:t xml:space="preserve"> </w:t>
      </w:r>
      <w:r w:rsidRPr="00CB0424">
        <w:rPr>
          <w:rFonts w:ascii="Times New Roman" w:hAnsi="Times New Roman" w:cs="Times New Roman"/>
          <w:sz w:val="24"/>
          <w:szCs w:val="24"/>
        </w:rPr>
        <w:t xml:space="preserve">2, al. 2, du C. </w:t>
      </w:r>
      <w:proofErr w:type="spellStart"/>
      <w:r w:rsidRPr="00CB0424">
        <w:rPr>
          <w:rFonts w:ascii="Times New Roman" w:hAnsi="Times New Roman" w:cs="Times New Roman"/>
          <w:sz w:val="24"/>
          <w:szCs w:val="24"/>
        </w:rPr>
        <w:t>Jud</w:t>
      </w:r>
      <w:proofErr w:type="spellEnd"/>
      <w:r w:rsidRPr="00CB0424">
        <w:rPr>
          <w:rFonts w:ascii="Times New Roman" w:hAnsi="Times New Roman" w:cs="Times New Roman"/>
          <w:sz w:val="24"/>
          <w:szCs w:val="24"/>
        </w:rPr>
        <w:t>.). Notons que contrairement aux procédures de réorganisation judiciaire et de faillite, le texte ne prévoit pas, en cas de remise de la vente, d’entendre les différents créanciers du débiteur</w:t>
      </w:r>
      <w:r w:rsidRPr="00CB0424">
        <w:rPr>
          <w:rFonts w:ascii="Times New Roman" w:eastAsia="Times New Roman" w:hAnsi="Times New Roman" w:cs="Times New Roman"/>
          <w:sz w:val="24"/>
          <w:szCs w:val="24"/>
          <w:vertAlign w:val="superscript"/>
        </w:rPr>
        <w:footnoteReference w:id="53"/>
      </w:r>
      <w:r w:rsidR="00830D94">
        <w:rPr>
          <w:rFonts w:ascii="Times New Roman" w:hAnsi="Times New Roman" w:cs="Times New Roman"/>
          <w:sz w:val="24"/>
          <w:szCs w:val="24"/>
        </w:rPr>
        <w:t>.</w:t>
      </w:r>
    </w:p>
    <w:p w14:paraId="50959F51" w14:textId="77777777" w:rsidR="009123F2" w:rsidRPr="00CB0424" w:rsidRDefault="009123F2" w:rsidP="00B5673A">
      <w:pPr>
        <w:pStyle w:val="Corps"/>
        <w:jc w:val="both"/>
        <w:rPr>
          <w:rFonts w:ascii="Times New Roman" w:hAnsi="Times New Roman" w:cs="Times New Roman"/>
          <w:sz w:val="24"/>
          <w:szCs w:val="24"/>
        </w:rPr>
      </w:pPr>
    </w:p>
    <w:p w14:paraId="02BB914B" w14:textId="62B098EE" w:rsidR="009123F2"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lastRenderedPageBreak/>
        <w:t>Il ressort du prescrit de l’article 1675/7, §</w:t>
      </w:r>
      <w:r w:rsidR="00830D94">
        <w:rPr>
          <w:rFonts w:ascii="Times New Roman" w:hAnsi="Times New Roman" w:cs="Times New Roman"/>
          <w:sz w:val="24"/>
          <w:szCs w:val="24"/>
        </w:rPr>
        <w:t xml:space="preserve"> </w:t>
      </w:r>
      <w:r w:rsidRPr="00CB0424">
        <w:rPr>
          <w:rFonts w:ascii="Times New Roman" w:hAnsi="Times New Roman" w:cs="Times New Roman"/>
          <w:sz w:val="24"/>
          <w:szCs w:val="24"/>
        </w:rPr>
        <w:t xml:space="preserve">2, du C. </w:t>
      </w:r>
      <w:proofErr w:type="spellStart"/>
      <w:r w:rsidRPr="00CB0424">
        <w:rPr>
          <w:rFonts w:ascii="Times New Roman" w:hAnsi="Times New Roman" w:cs="Times New Roman"/>
          <w:sz w:val="24"/>
          <w:szCs w:val="24"/>
        </w:rPr>
        <w:t>Jud</w:t>
      </w:r>
      <w:proofErr w:type="spellEnd"/>
      <w:r w:rsidRPr="00CB0424">
        <w:rPr>
          <w:rFonts w:ascii="Times New Roman" w:hAnsi="Times New Roman" w:cs="Times New Roman"/>
          <w:sz w:val="24"/>
          <w:szCs w:val="24"/>
        </w:rPr>
        <w:t>.</w:t>
      </w:r>
      <w:r w:rsidR="00FB7C86" w:rsidRPr="00CB0424">
        <w:rPr>
          <w:rFonts w:ascii="Times New Roman" w:hAnsi="Times New Roman" w:cs="Times New Roman"/>
          <w:sz w:val="24"/>
          <w:szCs w:val="24"/>
        </w:rPr>
        <w:t xml:space="preserve">, </w:t>
      </w:r>
      <w:r w:rsidRPr="00CB0424">
        <w:rPr>
          <w:rFonts w:ascii="Times New Roman" w:hAnsi="Times New Roman" w:cs="Times New Roman"/>
          <w:sz w:val="24"/>
          <w:szCs w:val="24"/>
        </w:rPr>
        <w:t>qu’une saisie</w:t>
      </w:r>
      <w:r w:rsidR="00814A4C" w:rsidRPr="00CB0424">
        <w:rPr>
          <w:rFonts w:ascii="Times New Roman" w:hAnsi="Times New Roman" w:cs="Times New Roman"/>
          <w:sz w:val="24"/>
          <w:szCs w:val="24"/>
        </w:rPr>
        <w:t>-</w:t>
      </w:r>
      <w:r w:rsidRPr="00CB0424">
        <w:rPr>
          <w:rFonts w:ascii="Times New Roman" w:hAnsi="Times New Roman" w:cs="Times New Roman"/>
          <w:sz w:val="24"/>
          <w:szCs w:val="24"/>
        </w:rPr>
        <w:t>arrêt</w:t>
      </w:r>
      <w:r w:rsidR="005E5FEA">
        <w:rPr>
          <w:rFonts w:ascii="Times New Roman" w:hAnsi="Times New Roman" w:cs="Times New Roman"/>
          <w:sz w:val="24"/>
          <w:szCs w:val="24"/>
        </w:rPr>
        <w:t xml:space="preserve"> </w:t>
      </w:r>
      <w:r w:rsidRPr="00CB0424">
        <w:rPr>
          <w:rFonts w:ascii="Times New Roman" w:hAnsi="Times New Roman" w:cs="Times New Roman"/>
          <w:sz w:val="24"/>
          <w:szCs w:val="24"/>
        </w:rPr>
        <w:t>exécution en cours se</w:t>
      </w:r>
      <w:r w:rsidR="002E0F67" w:rsidRPr="00CB0424">
        <w:rPr>
          <w:rFonts w:ascii="Times New Roman" w:hAnsi="Times New Roman" w:cs="Times New Roman"/>
          <w:sz w:val="24"/>
          <w:szCs w:val="24"/>
        </w:rPr>
        <w:t>ra</w:t>
      </w:r>
      <w:r w:rsidRPr="00CB0424">
        <w:rPr>
          <w:rFonts w:ascii="Times New Roman" w:hAnsi="Times New Roman" w:cs="Times New Roman"/>
          <w:sz w:val="24"/>
          <w:szCs w:val="24"/>
        </w:rPr>
        <w:t xml:space="preserve"> elle aussi suspendue, en principe, par l’admission du débiteur au règlement collectif de dettes, étant englobée dans la notion de « </w:t>
      </w:r>
      <w:r w:rsidRPr="00CB0424">
        <w:rPr>
          <w:rFonts w:ascii="Times New Roman" w:hAnsi="Times New Roman" w:cs="Times New Roman"/>
          <w:i/>
          <w:iCs/>
          <w:sz w:val="24"/>
          <w:szCs w:val="24"/>
        </w:rPr>
        <w:t>voie d’exécution</w:t>
      </w:r>
      <w:r w:rsidRPr="00CB0424">
        <w:rPr>
          <w:rFonts w:ascii="Times New Roman" w:hAnsi="Times New Roman" w:cs="Times New Roman"/>
          <w:sz w:val="24"/>
          <w:szCs w:val="24"/>
        </w:rPr>
        <w:t> »</w:t>
      </w:r>
      <w:r w:rsidRPr="00CB0424">
        <w:rPr>
          <w:rFonts w:ascii="Times New Roman" w:eastAsia="Times New Roman" w:hAnsi="Times New Roman" w:cs="Times New Roman"/>
          <w:sz w:val="24"/>
          <w:szCs w:val="24"/>
          <w:vertAlign w:val="superscript"/>
        </w:rPr>
        <w:footnoteReference w:id="54"/>
      </w:r>
      <w:r w:rsidRPr="00CB0424">
        <w:rPr>
          <w:rFonts w:ascii="Times New Roman" w:hAnsi="Times New Roman" w:cs="Times New Roman"/>
          <w:sz w:val="24"/>
          <w:szCs w:val="24"/>
        </w:rPr>
        <w:t>.</w:t>
      </w:r>
    </w:p>
    <w:p w14:paraId="729917AE" w14:textId="77777777" w:rsidR="004C7CD4" w:rsidRPr="00CB0424" w:rsidRDefault="004C7CD4" w:rsidP="00B5673A">
      <w:pPr>
        <w:pStyle w:val="Corps"/>
        <w:jc w:val="both"/>
        <w:rPr>
          <w:rFonts w:ascii="Times New Roman" w:hAnsi="Times New Roman" w:cs="Times New Roman"/>
          <w:sz w:val="24"/>
          <w:szCs w:val="24"/>
        </w:rPr>
      </w:pPr>
    </w:p>
    <w:p w14:paraId="2C54EF45" w14:textId="2BE7E058" w:rsidR="00EF234D" w:rsidRPr="00CB0424" w:rsidRDefault="00814A4C" w:rsidP="00B5673A">
      <w:pPr>
        <w:pStyle w:val="Corps"/>
        <w:jc w:val="both"/>
        <w:rPr>
          <w:rFonts w:ascii="Times New Roman" w:hAnsi="Times New Roman" w:cs="Times New Roman"/>
          <w:color w:val="C00000"/>
          <w:sz w:val="24"/>
          <w:szCs w:val="24"/>
        </w:rPr>
      </w:pPr>
      <w:r w:rsidRPr="00CB0424">
        <w:rPr>
          <w:rFonts w:ascii="Times New Roman" w:hAnsi="Times New Roman" w:cs="Times New Roman"/>
          <w:sz w:val="24"/>
          <w:szCs w:val="24"/>
        </w:rPr>
        <w:t>Une telle saisie se dénature en saisie conservatoire</w:t>
      </w:r>
      <w:r w:rsidR="006A5AE3" w:rsidRPr="00CB0424">
        <w:rPr>
          <w:rFonts w:ascii="Times New Roman" w:hAnsi="Times New Roman" w:cs="Times New Roman"/>
          <w:sz w:val="24"/>
          <w:szCs w:val="24"/>
        </w:rPr>
        <w:t>.</w:t>
      </w:r>
      <w:r w:rsidR="00E8092E" w:rsidRPr="00CB0424">
        <w:rPr>
          <w:rFonts w:ascii="Times New Roman" w:hAnsi="Times New Roman" w:cs="Times New Roman"/>
          <w:sz w:val="24"/>
          <w:szCs w:val="24"/>
        </w:rPr>
        <w:t xml:space="preserve"> </w:t>
      </w:r>
      <w:r w:rsidRPr="00CB0424">
        <w:rPr>
          <w:rFonts w:ascii="Times New Roman" w:hAnsi="Times New Roman" w:cs="Times New Roman"/>
          <w:sz w:val="24"/>
          <w:szCs w:val="24"/>
        </w:rPr>
        <w:t>Notons qu</w:t>
      </w:r>
      <w:r w:rsidR="00F8226E" w:rsidRPr="00CB0424">
        <w:rPr>
          <w:rFonts w:ascii="Times New Roman" w:hAnsi="Times New Roman" w:cs="Times New Roman"/>
          <w:sz w:val="24"/>
          <w:szCs w:val="24"/>
        </w:rPr>
        <w:t xml:space="preserve">’en ce qui concerne </w:t>
      </w:r>
      <w:r w:rsidRPr="00CB0424">
        <w:rPr>
          <w:rFonts w:ascii="Times New Roman" w:hAnsi="Times New Roman" w:cs="Times New Roman"/>
          <w:sz w:val="24"/>
          <w:szCs w:val="24"/>
        </w:rPr>
        <w:t>la saisie-arrêt</w:t>
      </w:r>
      <w:r w:rsidR="005E5FEA">
        <w:rPr>
          <w:rFonts w:ascii="Times New Roman" w:hAnsi="Times New Roman" w:cs="Times New Roman"/>
          <w:sz w:val="24"/>
          <w:szCs w:val="24"/>
        </w:rPr>
        <w:t xml:space="preserve"> </w:t>
      </w:r>
      <w:r w:rsidRPr="00CB0424">
        <w:rPr>
          <w:rFonts w:ascii="Times New Roman" w:hAnsi="Times New Roman" w:cs="Times New Roman"/>
          <w:sz w:val="24"/>
          <w:szCs w:val="24"/>
        </w:rPr>
        <w:t>exécution, aucune exception au principe de la suspension des voies d’exécution n’a été prévue pour le législateur, contrairement à ce qui est de mise lorsque la saisie a pour objet un bien meuble corporel</w:t>
      </w:r>
      <w:r w:rsidR="003212BA" w:rsidRPr="00CB0424">
        <w:rPr>
          <w:rStyle w:val="Appelnotedebasdep"/>
          <w:rFonts w:ascii="Times New Roman" w:hAnsi="Times New Roman" w:cs="Times New Roman"/>
          <w:sz w:val="24"/>
          <w:szCs w:val="24"/>
        </w:rPr>
        <w:footnoteReference w:id="55"/>
      </w:r>
      <w:r w:rsidRPr="00CB0424">
        <w:rPr>
          <w:rFonts w:ascii="Times New Roman" w:hAnsi="Times New Roman" w:cs="Times New Roman"/>
          <w:sz w:val="24"/>
          <w:szCs w:val="24"/>
        </w:rPr>
        <w:t xml:space="preserve">. </w:t>
      </w:r>
      <w:r w:rsidR="009A29BF" w:rsidRPr="00CB0424">
        <w:rPr>
          <w:rFonts w:ascii="Times New Roman" w:hAnsi="Times New Roman" w:cs="Times New Roman"/>
          <w:sz w:val="24"/>
          <w:szCs w:val="24"/>
        </w:rPr>
        <w:t xml:space="preserve">A l’instar des procédures de réorganisation judiciaire et de faillite, nous nous </w:t>
      </w:r>
      <w:r w:rsidRPr="00CB0424">
        <w:rPr>
          <w:rFonts w:ascii="Times New Roman" w:hAnsi="Times New Roman" w:cs="Times New Roman"/>
          <w:sz w:val="24"/>
          <w:szCs w:val="24"/>
        </w:rPr>
        <w:t>demandons ce qui justifie une telle différence de traitement</w:t>
      </w:r>
      <w:r w:rsidR="009A29BF" w:rsidRPr="00CB0424">
        <w:rPr>
          <w:rFonts w:ascii="Times New Roman" w:hAnsi="Times New Roman" w:cs="Times New Roman"/>
          <w:sz w:val="24"/>
          <w:szCs w:val="24"/>
        </w:rPr>
        <w:t xml:space="preserve"> </w:t>
      </w:r>
      <w:r w:rsidR="009A29BF" w:rsidRPr="00CB0424">
        <w:rPr>
          <w:rFonts w:ascii="Times New Roman" w:hAnsi="Times New Roman" w:cs="Times New Roman"/>
          <w:color w:val="000000" w:themeColor="text1"/>
          <w:sz w:val="24"/>
          <w:szCs w:val="24"/>
        </w:rPr>
        <w:t>(</w:t>
      </w:r>
      <w:proofErr w:type="spellStart"/>
      <w:r w:rsidR="009A29BF" w:rsidRPr="00CB0424">
        <w:rPr>
          <w:rFonts w:ascii="Times New Roman" w:hAnsi="Times New Roman" w:cs="Times New Roman"/>
          <w:color w:val="000000" w:themeColor="text1"/>
          <w:sz w:val="24"/>
          <w:szCs w:val="24"/>
        </w:rPr>
        <w:t>voy</w:t>
      </w:r>
      <w:proofErr w:type="spellEnd"/>
      <w:r w:rsidR="009A29BF" w:rsidRPr="00CB0424">
        <w:rPr>
          <w:rFonts w:ascii="Times New Roman" w:hAnsi="Times New Roman" w:cs="Times New Roman"/>
          <w:color w:val="000000" w:themeColor="text1"/>
          <w:sz w:val="24"/>
          <w:szCs w:val="24"/>
        </w:rPr>
        <w:t xml:space="preserve">. </w:t>
      </w:r>
      <w:proofErr w:type="gramStart"/>
      <w:r w:rsidR="009A29BF" w:rsidRPr="00CB0424">
        <w:rPr>
          <w:rFonts w:ascii="Times New Roman" w:hAnsi="Times New Roman" w:cs="Times New Roman"/>
          <w:i/>
          <w:iCs/>
          <w:color w:val="000000" w:themeColor="text1"/>
          <w:sz w:val="24"/>
          <w:szCs w:val="24"/>
        </w:rPr>
        <w:t>supra</w:t>
      </w:r>
      <w:proofErr w:type="gramEnd"/>
      <w:r w:rsidR="00EF234D" w:rsidRPr="00CB0424">
        <w:rPr>
          <w:rFonts w:ascii="Times New Roman" w:hAnsi="Times New Roman" w:cs="Times New Roman"/>
          <w:color w:val="000000" w:themeColor="text1"/>
          <w:sz w:val="24"/>
          <w:szCs w:val="24"/>
        </w:rPr>
        <w:t>, I, 3, a) ; I, 3, b) ; II, 3).</w:t>
      </w:r>
    </w:p>
    <w:p w14:paraId="517D0BDE" w14:textId="77777777" w:rsidR="009505E0" w:rsidRPr="00CB0424" w:rsidRDefault="009505E0" w:rsidP="00B5673A">
      <w:pPr>
        <w:pStyle w:val="Corps"/>
        <w:jc w:val="both"/>
        <w:rPr>
          <w:rFonts w:ascii="Times New Roman" w:eastAsia="Times New Roman" w:hAnsi="Times New Roman" w:cs="Times New Roman"/>
          <w:b/>
          <w:bCs/>
          <w:sz w:val="24"/>
          <w:szCs w:val="24"/>
        </w:rPr>
      </w:pPr>
    </w:p>
    <w:p w14:paraId="53068F26" w14:textId="67ADD745" w:rsidR="004367EC" w:rsidRPr="00CB0424" w:rsidRDefault="00E8092E" w:rsidP="00630F71">
      <w:pPr>
        <w:pStyle w:val="Corps"/>
        <w:numPr>
          <w:ilvl w:val="0"/>
          <w:numId w:val="14"/>
        </w:numPr>
        <w:jc w:val="both"/>
        <w:rPr>
          <w:rFonts w:ascii="Times New Roman" w:eastAsia="Times New Roman" w:hAnsi="Times New Roman" w:cs="Times New Roman"/>
          <w:b/>
          <w:bCs/>
          <w:sz w:val="24"/>
          <w:szCs w:val="24"/>
        </w:rPr>
      </w:pPr>
      <w:r w:rsidRPr="00CB0424">
        <w:rPr>
          <w:rFonts w:ascii="Times New Roman" w:hAnsi="Times New Roman" w:cs="Times New Roman"/>
          <w:b/>
          <w:bCs/>
          <w:sz w:val="24"/>
          <w:szCs w:val="24"/>
        </w:rPr>
        <w:t>Saisie</w:t>
      </w:r>
      <w:r w:rsidR="00A368CC">
        <w:rPr>
          <w:rFonts w:ascii="Times New Roman" w:hAnsi="Times New Roman" w:cs="Times New Roman"/>
          <w:b/>
          <w:bCs/>
          <w:sz w:val="24"/>
          <w:szCs w:val="24"/>
        </w:rPr>
        <w:t>-</w:t>
      </w:r>
      <w:r w:rsidR="00A368CC" w:rsidRPr="00CB0424">
        <w:rPr>
          <w:rFonts w:ascii="Times New Roman" w:hAnsi="Times New Roman" w:cs="Times New Roman"/>
          <w:b/>
          <w:bCs/>
          <w:sz w:val="24"/>
          <w:szCs w:val="24"/>
        </w:rPr>
        <w:t xml:space="preserve">exécution </w:t>
      </w:r>
      <w:r w:rsidRPr="00CB0424">
        <w:rPr>
          <w:rFonts w:ascii="Times New Roman" w:hAnsi="Times New Roman" w:cs="Times New Roman"/>
          <w:b/>
          <w:bCs/>
          <w:sz w:val="24"/>
          <w:szCs w:val="24"/>
        </w:rPr>
        <w:t>immobilière</w:t>
      </w:r>
    </w:p>
    <w:p w14:paraId="3DAE7EA5" w14:textId="77777777" w:rsidR="004367EC" w:rsidRPr="00CB0424" w:rsidRDefault="004367EC" w:rsidP="00B5673A">
      <w:pPr>
        <w:pStyle w:val="Corps"/>
        <w:jc w:val="both"/>
        <w:rPr>
          <w:rFonts w:ascii="Times New Roman" w:eastAsia="Times New Roman" w:hAnsi="Times New Roman" w:cs="Times New Roman"/>
          <w:sz w:val="24"/>
          <w:szCs w:val="24"/>
        </w:rPr>
      </w:pPr>
    </w:p>
    <w:p w14:paraId="2193F405" w14:textId="3957242B" w:rsidR="00BE39AB"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Si une saisie</w:t>
      </w:r>
      <w:r w:rsidR="003212BA">
        <w:rPr>
          <w:rFonts w:ascii="Times New Roman" w:hAnsi="Times New Roman" w:cs="Times New Roman"/>
          <w:sz w:val="24"/>
          <w:szCs w:val="24"/>
        </w:rPr>
        <w:t>-</w:t>
      </w:r>
      <w:r w:rsidRPr="00CB0424">
        <w:rPr>
          <w:rFonts w:ascii="Times New Roman" w:hAnsi="Times New Roman" w:cs="Times New Roman"/>
          <w:sz w:val="24"/>
          <w:szCs w:val="24"/>
        </w:rPr>
        <w:t xml:space="preserve">exécution immobilière a été </w:t>
      </w:r>
      <w:r w:rsidR="003212BA">
        <w:rPr>
          <w:rFonts w:ascii="Times New Roman" w:hAnsi="Times New Roman" w:cs="Times New Roman"/>
          <w:sz w:val="24"/>
          <w:szCs w:val="24"/>
        </w:rPr>
        <w:t>exercée</w:t>
      </w:r>
      <w:r w:rsidR="003212BA" w:rsidRPr="00CB0424">
        <w:rPr>
          <w:rFonts w:ascii="Times New Roman" w:hAnsi="Times New Roman" w:cs="Times New Roman"/>
          <w:sz w:val="24"/>
          <w:szCs w:val="24"/>
        </w:rPr>
        <w:t xml:space="preserve"> </w:t>
      </w:r>
      <w:r w:rsidRPr="00CB0424">
        <w:rPr>
          <w:rFonts w:ascii="Times New Roman" w:hAnsi="Times New Roman" w:cs="Times New Roman"/>
          <w:sz w:val="24"/>
          <w:szCs w:val="24"/>
        </w:rPr>
        <w:t>avant la décision d’admissibilité, celle-ci se voit en principe suspendue (article 1675/7, §</w:t>
      </w:r>
      <w:r w:rsidR="00B96BA0">
        <w:rPr>
          <w:rFonts w:ascii="Times New Roman" w:hAnsi="Times New Roman" w:cs="Times New Roman"/>
          <w:sz w:val="24"/>
          <w:szCs w:val="24"/>
        </w:rPr>
        <w:t xml:space="preserve"> </w:t>
      </w:r>
      <w:r w:rsidRPr="00CB0424">
        <w:rPr>
          <w:rFonts w:ascii="Times New Roman" w:hAnsi="Times New Roman" w:cs="Times New Roman"/>
          <w:sz w:val="24"/>
          <w:szCs w:val="24"/>
        </w:rPr>
        <w:t>2, al. 1</w:t>
      </w:r>
      <w:r w:rsidRPr="00CB0424">
        <w:rPr>
          <w:rFonts w:ascii="Times New Roman" w:hAnsi="Times New Roman" w:cs="Times New Roman"/>
          <w:sz w:val="24"/>
          <w:szCs w:val="24"/>
          <w:vertAlign w:val="superscript"/>
        </w:rPr>
        <w:t>er</w:t>
      </w:r>
      <w:r w:rsidR="00E81DF4" w:rsidRPr="00CB0424">
        <w:rPr>
          <w:rFonts w:ascii="Times New Roman" w:hAnsi="Times New Roman" w:cs="Times New Roman"/>
          <w:sz w:val="24"/>
          <w:szCs w:val="24"/>
        </w:rPr>
        <w:t xml:space="preserve">, </w:t>
      </w:r>
      <w:r w:rsidRPr="00CB0424">
        <w:rPr>
          <w:rFonts w:ascii="Times New Roman" w:hAnsi="Times New Roman" w:cs="Times New Roman"/>
          <w:sz w:val="24"/>
          <w:szCs w:val="24"/>
        </w:rPr>
        <w:t xml:space="preserve">du C. </w:t>
      </w:r>
      <w:proofErr w:type="spellStart"/>
      <w:r w:rsidRPr="00CB0424">
        <w:rPr>
          <w:rFonts w:ascii="Times New Roman" w:hAnsi="Times New Roman" w:cs="Times New Roman"/>
          <w:sz w:val="24"/>
          <w:szCs w:val="24"/>
        </w:rPr>
        <w:t>Jud</w:t>
      </w:r>
      <w:proofErr w:type="spellEnd"/>
      <w:r w:rsidRPr="00CB0424">
        <w:rPr>
          <w:rFonts w:ascii="Times New Roman" w:hAnsi="Times New Roman" w:cs="Times New Roman"/>
          <w:sz w:val="24"/>
          <w:szCs w:val="24"/>
        </w:rPr>
        <w:t>.). A l’instar de l’article XX.120 du C.D.E., si l’ordonnance de désignation du notaire n’est plus susceptible de tierce opposition, la vente peut être poursuivie</w:t>
      </w:r>
      <w:r w:rsidR="00E451E3" w:rsidRPr="00CB0424">
        <w:rPr>
          <w:rFonts w:ascii="Times New Roman" w:hAnsi="Times New Roman" w:cs="Times New Roman"/>
          <w:sz w:val="24"/>
          <w:szCs w:val="24"/>
        </w:rPr>
        <w:t xml:space="preserve">. Toutefois, sur </w:t>
      </w:r>
      <w:r w:rsidRPr="00CB0424">
        <w:rPr>
          <w:rFonts w:ascii="Times New Roman" w:hAnsi="Times New Roman" w:cs="Times New Roman"/>
          <w:sz w:val="24"/>
          <w:szCs w:val="24"/>
        </w:rPr>
        <w:t>demande du débiteur ou médiateur de dettes agissant dans le cadre d’un plan de règlement judiciaire, le tribunal pourra toutefois autoriser la remise ou l’abandon de la vente (article 1675, §</w:t>
      </w:r>
      <w:r w:rsidR="00DF2342">
        <w:rPr>
          <w:rFonts w:ascii="Times New Roman" w:hAnsi="Times New Roman" w:cs="Times New Roman"/>
          <w:sz w:val="24"/>
          <w:szCs w:val="24"/>
        </w:rPr>
        <w:t xml:space="preserve"> </w:t>
      </w:r>
      <w:r w:rsidRPr="00CB0424">
        <w:rPr>
          <w:rFonts w:ascii="Times New Roman" w:hAnsi="Times New Roman" w:cs="Times New Roman"/>
          <w:sz w:val="24"/>
          <w:szCs w:val="24"/>
        </w:rPr>
        <w:t xml:space="preserve">2, al. 3, du C. </w:t>
      </w:r>
      <w:proofErr w:type="spellStart"/>
      <w:r w:rsidRPr="00CB0424">
        <w:rPr>
          <w:rFonts w:ascii="Times New Roman" w:hAnsi="Times New Roman" w:cs="Times New Roman"/>
          <w:sz w:val="24"/>
          <w:szCs w:val="24"/>
        </w:rPr>
        <w:t>Jud</w:t>
      </w:r>
      <w:proofErr w:type="spellEnd"/>
      <w:r w:rsidRPr="00CB0424">
        <w:rPr>
          <w:rFonts w:ascii="Times New Roman" w:hAnsi="Times New Roman" w:cs="Times New Roman"/>
          <w:sz w:val="24"/>
          <w:szCs w:val="24"/>
        </w:rPr>
        <w:t>.) si l’intérêt de la masse l’exige</w:t>
      </w:r>
      <w:r w:rsidRPr="00CB0424">
        <w:rPr>
          <w:rFonts w:ascii="Times New Roman" w:eastAsia="Times New Roman" w:hAnsi="Times New Roman" w:cs="Times New Roman"/>
          <w:sz w:val="24"/>
          <w:szCs w:val="24"/>
          <w:vertAlign w:val="superscript"/>
        </w:rPr>
        <w:footnoteReference w:id="56"/>
      </w:r>
      <w:r w:rsidRPr="00CB0424">
        <w:rPr>
          <w:rFonts w:ascii="Times New Roman" w:hAnsi="Times New Roman" w:cs="Times New Roman"/>
          <w:sz w:val="24"/>
          <w:szCs w:val="24"/>
        </w:rPr>
        <w:t xml:space="preserve">. </w:t>
      </w:r>
      <w:r w:rsidR="00BE39AB" w:rsidRPr="00CB0424">
        <w:rPr>
          <w:rFonts w:ascii="Times New Roman" w:hAnsi="Times New Roman" w:cs="Times New Roman"/>
          <w:sz w:val="24"/>
          <w:szCs w:val="24"/>
        </w:rPr>
        <w:t>Contrairement à ce qui est prévu en cas de faillite et de réorganisation judiciaire, l’article 1675/7, §</w:t>
      </w:r>
      <w:r w:rsidR="00DF2342">
        <w:rPr>
          <w:rFonts w:ascii="Times New Roman" w:hAnsi="Times New Roman" w:cs="Times New Roman"/>
          <w:sz w:val="24"/>
          <w:szCs w:val="24"/>
        </w:rPr>
        <w:t xml:space="preserve"> </w:t>
      </w:r>
      <w:r w:rsidR="00BE39AB" w:rsidRPr="00CB0424">
        <w:rPr>
          <w:rFonts w:ascii="Times New Roman" w:hAnsi="Times New Roman" w:cs="Times New Roman"/>
          <w:sz w:val="24"/>
          <w:szCs w:val="24"/>
        </w:rPr>
        <w:t>2, du C.</w:t>
      </w:r>
      <w:r w:rsidR="00DF2342">
        <w:rPr>
          <w:rFonts w:ascii="Times New Roman" w:hAnsi="Times New Roman" w:cs="Times New Roman"/>
          <w:sz w:val="24"/>
          <w:szCs w:val="24"/>
        </w:rPr>
        <w:t xml:space="preserve"> </w:t>
      </w:r>
      <w:proofErr w:type="spellStart"/>
      <w:r w:rsidR="00BE39AB" w:rsidRPr="00CB0424">
        <w:rPr>
          <w:rFonts w:ascii="Times New Roman" w:hAnsi="Times New Roman" w:cs="Times New Roman"/>
          <w:sz w:val="24"/>
          <w:szCs w:val="24"/>
        </w:rPr>
        <w:t>Jud</w:t>
      </w:r>
      <w:proofErr w:type="spellEnd"/>
      <w:r w:rsidR="00BE39AB" w:rsidRPr="00CB0424">
        <w:rPr>
          <w:rFonts w:ascii="Times New Roman" w:hAnsi="Times New Roman" w:cs="Times New Roman"/>
          <w:sz w:val="24"/>
          <w:szCs w:val="24"/>
        </w:rPr>
        <w:t xml:space="preserve">. </w:t>
      </w:r>
      <w:proofErr w:type="gramStart"/>
      <w:r w:rsidR="00BE39AB" w:rsidRPr="00CB0424">
        <w:rPr>
          <w:rFonts w:ascii="Times New Roman" w:hAnsi="Times New Roman" w:cs="Times New Roman"/>
          <w:sz w:val="24"/>
          <w:szCs w:val="24"/>
        </w:rPr>
        <w:t>ne</w:t>
      </w:r>
      <w:proofErr w:type="gramEnd"/>
      <w:r w:rsidR="00BE39AB" w:rsidRPr="00CB0424">
        <w:rPr>
          <w:rFonts w:ascii="Times New Roman" w:hAnsi="Times New Roman" w:cs="Times New Roman"/>
          <w:sz w:val="24"/>
          <w:szCs w:val="24"/>
        </w:rPr>
        <w:t xml:space="preserve"> prévoit pas le règlement des frais réels exposés par le notaire en cas de suspension ou de remise de la procédure</w:t>
      </w:r>
      <w:r w:rsidR="00BE39AB" w:rsidRPr="00CB0424">
        <w:rPr>
          <w:rStyle w:val="Appelnotedebasdep"/>
          <w:rFonts w:ascii="Times New Roman" w:hAnsi="Times New Roman" w:cs="Times New Roman"/>
          <w:sz w:val="24"/>
          <w:szCs w:val="24"/>
        </w:rPr>
        <w:footnoteReference w:id="57"/>
      </w:r>
      <w:r w:rsidR="00DF2342">
        <w:rPr>
          <w:rFonts w:ascii="Times New Roman" w:hAnsi="Times New Roman" w:cs="Times New Roman"/>
          <w:sz w:val="24"/>
          <w:szCs w:val="24"/>
        </w:rPr>
        <w:t>.</w:t>
      </w:r>
    </w:p>
    <w:p w14:paraId="132780BD" w14:textId="77777777" w:rsidR="00BE39AB" w:rsidRPr="00CB0424" w:rsidRDefault="00BE39AB" w:rsidP="00B5673A">
      <w:pPr>
        <w:pStyle w:val="Corps"/>
        <w:jc w:val="both"/>
        <w:rPr>
          <w:rFonts w:ascii="Times New Roman" w:hAnsi="Times New Roman" w:cs="Times New Roman"/>
          <w:sz w:val="24"/>
          <w:szCs w:val="24"/>
        </w:rPr>
      </w:pPr>
    </w:p>
    <w:p w14:paraId="6A3D519C" w14:textId="44051C9D" w:rsidR="004367EC" w:rsidRPr="00CB0424" w:rsidRDefault="00E8092E" w:rsidP="00B5673A">
      <w:pPr>
        <w:pStyle w:val="Corps"/>
        <w:jc w:val="both"/>
        <w:rPr>
          <w:rFonts w:ascii="Times New Roman" w:eastAsia="Times New Roman" w:hAnsi="Times New Roman" w:cs="Times New Roman"/>
          <w:sz w:val="24"/>
          <w:szCs w:val="24"/>
        </w:rPr>
      </w:pPr>
      <w:r w:rsidRPr="00CB0424">
        <w:rPr>
          <w:rFonts w:ascii="Times New Roman" w:hAnsi="Times New Roman" w:cs="Times New Roman"/>
          <w:sz w:val="24"/>
          <w:szCs w:val="24"/>
        </w:rPr>
        <w:t xml:space="preserve">Comme en matière de faillite, la demande de remise ou d’abandon de la vente n’est plus recevable dès la sommation faite au débiteur de prendre connaissance du cahier des charges (article 1675/7, §2, al. 3 </w:t>
      </w:r>
      <w:r w:rsidRPr="00CB0424">
        <w:rPr>
          <w:rFonts w:ascii="Times New Roman" w:hAnsi="Times New Roman" w:cs="Times New Roman"/>
          <w:i/>
          <w:iCs/>
          <w:sz w:val="24"/>
          <w:szCs w:val="24"/>
        </w:rPr>
        <w:t>in fine</w:t>
      </w:r>
      <w:r w:rsidRPr="00CB0424">
        <w:rPr>
          <w:rFonts w:ascii="Times New Roman" w:hAnsi="Times New Roman" w:cs="Times New Roman"/>
          <w:sz w:val="24"/>
          <w:szCs w:val="24"/>
        </w:rPr>
        <w:t xml:space="preserve">, du C. </w:t>
      </w:r>
      <w:proofErr w:type="spellStart"/>
      <w:r w:rsidRPr="00CB0424">
        <w:rPr>
          <w:rFonts w:ascii="Times New Roman" w:hAnsi="Times New Roman" w:cs="Times New Roman"/>
          <w:sz w:val="24"/>
          <w:szCs w:val="24"/>
        </w:rPr>
        <w:t>Jud</w:t>
      </w:r>
      <w:proofErr w:type="spellEnd"/>
      <w:r w:rsidRPr="00CB0424">
        <w:rPr>
          <w:rFonts w:ascii="Times New Roman" w:hAnsi="Times New Roman" w:cs="Times New Roman"/>
          <w:sz w:val="24"/>
          <w:szCs w:val="24"/>
        </w:rPr>
        <w:t xml:space="preserve">.). </w:t>
      </w:r>
    </w:p>
    <w:p w14:paraId="4D70CD6D" w14:textId="77777777" w:rsidR="004367EC" w:rsidRPr="00CB0424" w:rsidRDefault="004367EC" w:rsidP="00B5673A">
      <w:pPr>
        <w:pStyle w:val="Corps"/>
        <w:jc w:val="both"/>
        <w:rPr>
          <w:rFonts w:ascii="Times New Roman" w:eastAsia="Times New Roman" w:hAnsi="Times New Roman" w:cs="Times New Roman"/>
          <w:sz w:val="24"/>
          <w:szCs w:val="24"/>
        </w:rPr>
      </w:pPr>
    </w:p>
    <w:p w14:paraId="407F563B" w14:textId="0654A4FE" w:rsidR="004367EC" w:rsidRPr="00CB0424" w:rsidRDefault="00E8092E" w:rsidP="00B5673A">
      <w:pPr>
        <w:pStyle w:val="Corps"/>
        <w:jc w:val="both"/>
        <w:rPr>
          <w:rFonts w:ascii="Times New Roman" w:eastAsia="Times New Roman" w:hAnsi="Times New Roman" w:cs="Times New Roman"/>
          <w:sz w:val="24"/>
          <w:szCs w:val="24"/>
        </w:rPr>
      </w:pPr>
      <w:r w:rsidRPr="00CB0424">
        <w:rPr>
          <w:rFonts w:ascii="Times New Roman" w:hAnsi="Times New Roman" w:cs="Times New Roman"/>
          <w:sz w:val="24"/>
          <w:szCs w:val="24"/>
        </w:rPr>
        <w:t xml:space="preserve">Les règles ici prévues sont assez similaires à celles applicables en cas de faillite si ce n’est naturellement la compétence du tribunal du </w:t>
      </w:r>
      <w:r w:rsidRPr="00CB7E44">
        <w:rPr>
          <w:rFonts w:ascii="Times New Roman" w:hAnsi="Times New Roman" w:cs="Times New Roman"/>
          <w:sz w:val="24"/>
          <w:szCs w:val="24"/>
        </w:rPr>
        <w:t>travail</w:t>
      </w:r>
      <w:r w:rsidRPr="00CB7E44">
        <w:rPr>
          <w:rFonts w:ascii="Times New Roman" w:eastAsia="Times New Roman" w:hAnsi="Times New Roman" w:cs="Times New Roman"/>
          <w:sz w:val="24"/>
          <w:szCs w:val="24"/>
          <w:vertAlign w:val="superscript"/>
        </w:rPr>
        <w:footnoteReference w:id="58"/>
      </w:r>
      <w:r w:rsidRPr="00CB7E44">
        <w:rPr>
          <w:rFonts w:ascii="Times New Roman" w:hAnsi="Times New Roman" w:cs="Times New Roman"/>
          <w:sz w:val="24"/>
          <w:szCs w:val="24"/>
        </w:rPr>
        <w:t xml:space="preserve">. </w:t>
      </w:r>
      <w:r w:rsidR="00E81DF4" w:rsidRPr="00CB7E44">
        <w:rPr>
          <w:rFonts w:ascii="Times New Roman" w:eastAsia="Times New Roman" w:hAnsi="Times New Roman" w:cs="Times New Roman"/>
          <w:sz w:val="24"/>
          <w:szCs w:val="24"/>
        </w:rPr>
        <w:t>En</w:t>
      </w:r>
      <w:r w:rsidR="00E81DF4" w:rsidRPr="00CB0424">
        <w:rPr>
          <w:rFonts w:ascii="Times New Roman" w:eastAsia="Times New Roman" w:hAnsi="Times New Roman" w:cs="Times New Roman"/>
          <w:sz w:val="24"/>
          <w:szCs w:val="24"/>
        </w:rPr>
        <w:t xml:space="preserve"> cas de poursuite de la vente</w:t>
      </w:r>
      <w:r w:rsidRPr="00CB0424">
        <w:rPr>
          <w:rFonts w:ascii="Times New Roman" w:hAnsi="Times New Roman" w:cs="Times New Roman"/>
          <w:sz w:val="24"/>
          <w:szCs w:val="24"/>
        </w:rPr>
        <w:t>, le notaire procédera</w:t>
      </w:r>
      <w:r w:rsidR="00E451E3" w:rsidRPr="00CB0424">
        <w:rPr>
          <w:rFonts w:ascii="Times New Roman" w:hAnsi="Times New Roman" w:cs="Times New Roman"/>
          <w:sz w:val="24"/>
          <w:szCs w:val="24"/>
        </w:rPr>
        <w:t xml:space="preserve"> à</w:t>
      </w:r>
      <w:r w:rsidRPr="00CB0424">
        <w:rPr>
          <w:rFonts w:ascii="Times New Roman" w:hAnsi="Times New Roman" w:cs="Times New Roman"/>
          <w:sz w:val="24"/>
          <w:szCs w:val="24"/>
        </w:rPr>
        <w:t xml:space="preserve"> un ordre allégé (article 1639, al. 2, du C. </w:t>
      </w:r>
      <w:proofErr w:type="spellStart"/>
      <w:r w:rsidRPr="00CB0424">
        <w:rPr>
          <w:rFonts w:ascii="Times New Roman" w:hAnsi="Times New Roman" w:cs="Times New Roman"/>
          <w:sz w:val="24"/>
          <w:szCs w:val="24"/>
        </w:rPr>
        <w:t>jud</w:t>
      </w:r>
      <w:proofErr w:type="spellEnd"/>
      <w:r w:rsidRPr="00CB0424">
        <w:rPr>
          <w:rFonts w:ascii="Times New Roman" w:hAnsi="Times New Roman" w:cs="Times New Roman"/>
          <w:sz w:val="24"/>
          <w:szCs w:val="24"/>
        </w:rPr>
        <w:t>.</w:t>
      </w:r>
      <w:r w:rsidR="00E81DF4" w:rsidRPr="00CB0424">
        <w:rPr>
          <w:rFonts w:ascii="Times New Roman" w:hAnsi="Times New Roman" w:cs="Times New Roman"/>
          <w:sz w:val="24"/>
          <w:szCs w:val="24"/>
        </w:rPr>
        <w:t xml:space="preserve"> </w:t>
      </w:r>
      <w:proofErr w:type="spellStart"/>
      <w:proofErr w:type="gramStart"/>
      <w:r w:rsidR="00E81DF4" w:rsidRPr="00CB0424">
        <w:rPr>
          <w:rFonts w:ascii="Times New Roman" w:hAnsi="Times New Roman" w:cs="Times New Roman"/>
          <w:i/>
          <w:iCs/>
          <w:sz w:val="24"/>
          <w:szCs w:val="24"/>
        </w:rPr>
        <w:t>jo</w:t>
      </w:r>
      <w:proofErr w:type="spellEnd"/>
      <w:proofErr w:type="gramEnd"/>
      <w:r w:rsidR="00E81DF4" w:rsidRPr="00CB0424">
        <w:rPr>
          <w:rFonts w:ascii="Times New Roman" w:hAnsi="Times New Roman" w:cs="Times New Roman"/>
          <w:sz w:val="24"/>
          <w:szCs w:val="24"/>
        </w:rPr>
        <w:t>. 1675, §</w:t>
      </w:r>
      <w:r w:rsidR="006F7417">
        <w:rPr>
          <w:rFonts w:ascii="Times New Roman" w:hAnsi="Times New Roman" w:cs="Times New Roman"/>
          <w:sz w:val="24"/>
          <w:szCs w:val="24"/>
        </w:rPr>
        <w:t xml:space="preserve"> </w:t>
      </w:r>
      <w:r w:rsidR="00E81DF4" w:rsidRPr="00CB0424">
        <w:rPr>
          <w:rFonts w:ascii="Times New Roman" w:hAnsi="Times New Roman" w:cs="Times New Roman"/>
          <w:sz w:val="24"/>
          <w:szCs w:val="24"/>
        </w:rPr>
        <w:t>2, al. 4</w:t>
      </w:r>
      <w:r w:rsidR="00F8226E" w:rsidRPr="00CB0424">
        <w:rPr>
          <w:rFonts w:ascii="Times New Roman" w:hAnsi="Times New Roman" w:cs="Times New Roman"/>
          <w:sz w:val="24"/>
          <w:szCs w:val="24"/>
        </w:rPr>
        <w:t xml:space="preserve">, du </w:t>
      </w:r>
      <w:r w:rsidR="00E81DF4" w:rsidRPr="00CB0424">
        <w:rPr>
          <w:rFonts w:ascii="Times New Roman" w:hAnsi="Times New Roman" w:cs="Times New Roman"/>
          <w:sz w:val="24"/>
          <w:szCs w:val="24"/>
        </w:rPr>
        <w:t xml:space="preserve">C. </w:t>
      </w:r>
      <w:proofErr w:type="spellStart"/>
      <w:r w:rsidR="00E81DF4" w:rsidRPr="00CB0424">
        <w:rPr>
          <w:rFonts w:ascii="Times New Roman" w:hAnsi="Times New Roman" w:cs="Times New Roman"/>
          <w:sz w:val="24"/>
          <w:szCs w:val="24"/>
        </w:rPr>
        <w:t>Jud</w:t>
      </w:r>
      <w:proofErr w:type="spellEnd"/>
      <w:r w:rsidR="00E81DF4" w:rsidRPr="00CB0424">
        <w:rPr>
          <w:rFonts w:ascii="Times New Roman" w:hAnsi="Times New Roman" w:cs="Times New Roman"/>
          <w:sz w:val="24"/>
          <w:szCs w:val="24"/>
        </w:rPr>
        <w:t>.</w:t>
      </w:r>
      <w:r w:rsidRPr="00CB0424">
        <w:rPr>
          <w:rFonts w:ascii="Times New Roman" w:hAnsi="Times New Roman" w:cs="Times New Roman"/>
          <w:sz w:val="24"/>
          <w:szCs w:val="24"/>
        </w:rPr>
        <w:t xml:space="preserve">) du prix obtenu dans le cadre de la vente </w:t>
      </w:r>
      <w:proofErr w:type="spellStart"/>
      <w:r w:rsidRPr="00CB0424">
        <w:rPr>
          <w:rFonts w:ascii="Times New Roman" w:hAnsi="Times New Roman" w:cs="Times New Roman"/>
          <w:sz w:val="24"/>
          <w:szCs w:val="24"/>
        </w:rPr>
        <w:t>purgeante</w:t>
      </w:r>
      <w:proofErr w:type="spellEnd"/>
      <w:r w:rsidRPr="00CB0424">
        <w:rPr>
          <w:rFonts w:ascii="Times New Roman" w:eastAsia="Times New Roman" w:hAnsi="Times New Roman" w:cs="Times New Roman"/>
          <w:sz w:val="24"/>
          <w:szCs w:val="24"/>
          <w:vertAlign w:val="superscript"/>
        </w:rPr>
        <w:footnoteReference w:id="59"/>
      </w:r>
      <w:r w:rsidRPr="00CB0424">
        <w:rPr>
          <w:rFonts w:ascii="Times New Roman" w:hAnsi="Times New Roman" w:cs="Times New Roman"/>
          <w:sz w:val="24"/>
          <w:szCs w:val="24"/>
        </w:rPr>
        <w:t xml:space="preserve">. </w:t>
      </w:r>
      <w:r w:rsidR="006F7417">
        <w:rPr>
          <w:rFonts w:ascii="Times New Roman" w:hAnsi="Times New Roman" w:cs="Times New Roman"/>
          <w:sz w:val="24"/>
          <w:szCs w:val="24"/>
        </w:rPr>
        <w:t>En conséquence</w:t>
      </w:r>
      <w:r w:rsidR="00DD0096" w:rsidRPr="00CB0424">
        <w:rPr>
          <w:rFonts w:ascii="Times New Roman" w:hAnsi="Times New Roman" w:cs="Times New Roman"/>
          <w:sz w:val="24"/>
          <w:szCs w:val="24"/>
        </w:rPr>
        <w:t xml:space="preserve">, le notaire procédera à </w:t>
      </w:r>
      <w:r w:rsidR="00E451E3" w:rsidRPr="00CB0424">
        <w:rPr>
          <w:rFonts w:ascii="Times New Roman" w:hAnsi="Times New Roman" w:cs="Times New Roman"/>
          <w:sz w:val="24"/>
          <w:szCs w:val="24"/>
        </w:rPr>
        <w:t xml:space="preserve">un tel ordre et répartira ainsi le prix entre les créanciers hypothécaires et privilégiés spéciaux. </w:t>
      </w:r>
      <w:r w:rsidR="006F7417">
        <w:rPr>
          <w:rFonts w:ascii="Times New Roman" w:hAnsi="Times New Roman" w:cs="Times New Roman"/>
          <w:sz w:val="24"/>
          <w:szCs w:val="24"/>
        </w:rPr>
        <w:t xml:space="preserve"> </w:t>
      </w:r>
      <w:r w:rsidR="003B1DE9" w:rsidRPr="00CB0424">
        <w:rPr>
          <w:rFonts w:ascii="Times New Roman" w:hAnsi="Times New Roman" w:cs="Times New Roman"/>
          <w:sz w:val="24"/>
          <w:szCs w:val="24"/>
        </w:rPr>
        <w:t xml:space="preserve"> </w:t>
      </w:r>
    </w:p>
    <w:p w14:paraId="0826B7E6" w14:textId="77777777" w:rsidR="00EF234D" w:rsidRPr="00CB0424" w:rsidRDefault="00EF234D" w:rsidP="00B5673A">
      <w:pPr>
        <w:pStyle w:val="Corps"/>
        <w:jc w:val="both"/>
        <w:rPr>
          <w:rFonts w:ascii="Times New Roman" w:hAnsi="Times New Roman" w:cs="Times New Roman"/>
          <w:sz w:val="24"/>
          <w:szCs w:val="24"/>
        </w:rPr>
      </w:pPr>
    </w:p>
    <w:p w14:paraId="701BE5D4" w14:textId="39B043F0" w:rsidR="004367EC"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 xml:space="preserve">En cas de copropriétaires </w:t>
      </w:r>
      <w:r w:rsidRPr="00CB0424">
        <w:rPr>
          <w:rFonts w:ascii="Times New Roman" w:hAnsi="Times New Roman" w:cs="Times New Roman"/>
          <w:i/>
          <w:iCs/>
          <w:sz w:val="24"/>
          <w:szCs w:val="24"/>
        </w:rPr>
        <w:t>débiteurs</w:t>
      </w:r>
      <w:r w:rsidRPr="00CB0424">
        <w:rPr>
          <w:rFonts w:ascii="Times New Roman" w:hAnsi="Times New Roman" w:cs="Times New Roman"/>
          <w:sz w:val="24"/>
          <w:szCs w:val="24"/>
        </w:rPr>
        <w:t xml:space="preserve"> dont un seul est admis au bénéfice du règlement collectif de dettes, l’article 1675/7, §</w:t>
      </w:r>
      <w:r w:rsidR="00595719">
        <w:rPr>
          <w:rFonts w:ascii="Times New Roman" w:hAnsi="Times New Roman" w:cs="Times New Roman"/>
          <w:sz w:val="24"/>
          <w:szCs w:val="24"/>
        </w:rPr>
        <w:t xml:space="preserve"> </w:t>
      </w:r>
      <w:r w:rsidRPr="00CB0424">
        <w:rPr>
          <w:rFonts w:ascii="Times New Roman" w:hAnsi="Times New Roman" w:cs="Times New Roman"/>
          <w:sz w:val="24"/>
          <w:szCs w:val="24"/>
        </w:rPr>
        <w:t xml:space="preserve">2 s’applique et consacre des règles </w:t>
      </w:r>
      <w:r w:rsidRPr="00CB7E44">
        <w:rPr>
          <w:rFonts w:ascii="Times New Roman" w:hAnsi="Times New Roman" w:cs="Times New Roman"/>
          <w:sz w:val="24"/>
          <w:szCs w:val="24"/>
        </w:rPr>
        <w:t>quasi identiques à celles de l’article XX.120, §</w:t>
      </w:r>
      <w:r w:rsidR="00595719" w:rsidRPr="00CB7E44">
        <w:rPr>
          <w:rFonts w:ascii="Times New Roman" w:hAnsi="Times New Roman" w:cs="Times New Roman"/>
          <w:sz w:val="24"/>
          <w:szCs w:val="24"/>
        </w:rPr>
        <w:t xml:space="preserve"> </w:t>
      </w:r>
      <w:r w:rsidRPr="00CB7E44">
        <w:rPr>
          <w:rFonts w:ascii="Times New Roman" w:hAnsi="Times New Roman" w:cs="Times New Roman"/>
          <w:sz w:val="24"/>
          <w:szCs w:val="24"/>
        </w:rPr>
        <w:t>2</w:t>
      </w:r>
      <w:r w:rsidR="00F8226E" w:rsidRPr="00CB7E44">
        <w:rPr>
          <w:rFonts w:ascii="Times New Roman" w:hAnsi="Times New Roman" w:cs="Times New Roman"/>
          <w:sz w:val="24"/>
          <w:szCs w:val="24"/>
        </w:rPr>
        <w:t xml:space="preserve">, </w:t>
      </w:r>
      <w:r w:rsidRPr="00CB7E44">
        <w:rPr>
          <w:rFonts w:ascii="Times New Roman" w:hAnsi="Times New Roman" w:cs="Times New Roman"/>
          <w:sz w:val="24"/>
          <w:szCs w:val="24"/>
        </w:rPr>
        <w:t>du C.D.E., applicable en cas de faillite</w:t>
      </w:r>
      <w:r w:rsidR="003B1DE9" w:rsidRPr="00CB7E44">
        <w:rPr>
          <w:rFonts w:ascii="Times New Roman" w:hAnsi="Times New Roman" w:cs="Times New Roman"/>
          <w:sz w:val="24"/>
          <w:szCs w:val="24"/>
        </w:rPr>
        <w:t xml:space="preserve"> (</w:t>
      </w:r>
      <w:proofErr w:type="spellStart"/>
      <w:r w:rsidR="003B1DE9" w:rsidRPr="00CB7E44">
        <w:rPr>
          <w:rFonts w:ascii="Times New Roman" w:hAnsi="Times New Roman" w:cs="Times New Roman"/>
          <w:sz w:val="24"/>
          <w:szCs w:val="24"/>
        </w:rPr>
        <w:t>voy</w:t>
      </w:r>
      <w:proofErr w:type="spellEnd"/>
      <w:r w:rsidR="003B1DE9" w:rsidRPr="00CB7E44">
        <w:rPr>
          <w:rFonts w:ascii="Times New Roman" w:hAnsi="Times New Roman" w:cs="Times New Roman"/>
          <w:sz w:val="24"/>
          <w:szCs w:val="24"/>
        </w:rPr>
        <w:t xml:space="preserve">. </w:t>
      </w:r>
      <w:proofErr w:type="gramStart"/>
      <w:r w:rsidR="003B1DE9" w:rsidRPr="00CB7E44">
        <w:rPr>
          <w:rFonts w:ascii="Times New Roman" w:hAnsi="Times New Roman" w:cs="Times New Roman"/>
          <w:i/>
          <w:iCs/>
          <w:sz w:val="24"/>
          <w:szCs w:val="24"/>
        </w:rPr>
        <w:t>supra</w:t>
      </w:r>
      <w:proofErr w:type="gramEnd"/>
      <w:r w:rsidR="003B1DE9" w:rsidRPr="00CB7E44">
        <w:rPr>
          <w:rFonts w:ascii="Times New Roman" w:hAnsi="Times New Roman" w:cs="Times New Roman"/>
          <w:sz w:val="24"/>
          <w:szCs w:val="24"/>
        </w:rPr>
        <w:t>, II, 4)</w:t>
      </w:r>
      <w:r w:rsidRPr="00CB7E44">
        <w:rPr>
          <w:rFonts w:ascii="Times New Roman" w:hAnsi="Times New Roman" w:cs="Times New Roman"/>
          <w:sz w:val="24"/>
          <w:szCs w:val="24"/>
        </w:rPr>
        <w:t>.</w:t>
      </w:r>
      <w:r w:rsidRPr="00097755">
        <w:rPr>
          <w:rFonts w:ascii="Times New Roman" w:hAnsi="Times New Roman" w:cs="Times New Roman"/>
          <w:sz w:val="24"/>
          <w:szCs w:val="24"/>
        </w:rPr>
        <w:t xml:space="preserve"> </w:t>
      </w:r>
      <w:r w:rsidR="003B1DE9" w:rsidRPr="00097755">
        <w:rPr>
          <w:rFonts w:ascii="Times New Roman" w:hAnsi="Times New Roman" w:cs="Times New Roman"/>
          <w:sz w:val="24"/>
          <w:szCs w:val="24"/>
        </w:rPr>
        <w:t>Même</w:t>
      </w:r>
      <w:r w:rsidR="003B1DE9" w:rsidRPr="00CB0424">
        <w:rPr>
          <w:rFonts w:ascii="Times New Roman" w:hAnsi="Times New Roman" w:cs="Times New Roman"/>
          <w:sz w:val="24"/>
          <w:szCs w:val="24"/>
        </w:rPr>
        <w:t xml:space="preserve"> </w:t>
      </w:r>
      <w:r w:rsidRPr="00CB0424">
        <w:rPr>
          <w:rFonts w:ascii="Times New Roman" w:hAnsi="Times New Roman" w:cs="Times New Roman"/>
          <w:sz w:val="24"/>
          <w:szCs w:val="24"/>
        </w:rPr>
        <w:t>si l’article 1675/7, §</w:t>
      </w:r>
      <w:r w:rsidR="00595719">
        <w:rPr>
          <w:rFonts w:ascii="Times New Roman" w:hAnsi="Times New Roman" w:cs="Times New Roman"/>
          <w:sz w:val="24"/>
          <w:szCs w:val="24"/>
        </w:rPr>
        <w:t xml:space="preserve"> </w:t>
      </w:r>
      <w:r w:rsidRPr="00CB0424">
        <w:rPr>
          <w:rFonts w:ascii="Times New Roman" w:hAnsi="Times New Roman" w:cs="Times New Roman"/>
          <w:sz w:val="24"/>
          <w:szCs w:val="24"/>
        </w:rPr>
        <w:t xml:space="preserve">2, al. 4, du C. </w:t>
      </w:r>
      <w:proofErr w:type="spellStart"/>
      <w:r w:rsidRPr="00CB0424">
        <w:rPr>
          <w:rFonts w:ascii="Times New Roman" w:hAnsi="Times New Roman" w:cs="Times New Roman"/>
          <w:sz w:val="24"/>
          <w:szCs w:val="24"/>
        </w:rPr>
        <w:t>Jud</w:t>
      </w:r>
      <w:proofErr w:type="spellEnd"/>
      <w:r w:rsidRPr="00CB0424">
        <w:rPr>
          <w:rFonts w:ascii="Times New Roman" w:hAnsi="Times New Roman" w:cs="Times New Roman"/>
          <w:sz w:val="24"/>
          <w:szCs w:val="24"/>
        </w:rPr>
        <w:t xml:space="preserve">. </w:t>
      </w:r>
      <w:proofErr w:type="gramStart"/>
      <w:r w:rsidRPr="00CB0424">
        <w:rPr>
          <w:rFonts w:ascii="Times New Roman" w:hAnsi="Times New Roman" w:cs="Times New Roman"/>
          <w:sz w:val="24"/>
          <w:szCs w:val="24"/>
        </w:rPr>
        <w:t>ne</w:t>
      </w:r>
      <w:proofErr w:type="gramEnd"/>
      <w:r w:rsidRPr="00CB0424">
        <w:rPr>
          <w:rFonts w:ascii="Times New Roman" w:hAnsi="Times New Roman" w:cs="Times New Roman"/>
          <w:sz w:val="24"/>
          <w:szCs w:val="24"/>
        </w:rPr>
        <w:t xml:space="preserve"> renvoie pas expressément aux paragraphes précédents, ceux-ci lui sont applicables</w:t>
      </w:r>
      <w:r w:rsidRPr="00CB0424">
        <w:rPr>
          <w:rFonts w:ascii="Times New Roman" w:eastAsia="Times New Roman" w:hAnsi="Times New Roman" w:cs="Times New Roman"/>
          <w:sz w:val="24"/>
          <w:szCs w:val="24"/>
          <w:vertAlign w:val="superscript"/>
        </w:rPr>
        <w:footnoteReference w:id="60"/>
      </w:r>
      <w:r w:rsidRPr="00CB0424">
        <w:rPr>
          <w:rFonts w:ascii="Times New Roman" w:hAnsi="Times New Roman" w:cs="Times New Roman"/>
          <w:sz w:val="24"/>
          <w:szCs w:val="24"/>
        </w:rPr>
        <w:t>.</w:t>
      </w:r>
    </w:p>
    <w:p w14:paraId="794CF265" w14:textId="77777777" w:rsidR="004367EC" w:rsidRPr="00CB0424" w:rsidRDefault="004367EC" w:rsidP="00B5673A">
      <w:pPr>
        <w:pStyle w:val="Corps"/>
        <w:jc w:val="both"/>
        <w:rPr>
          <w:rFonts w:ascii="Times New Roman" w:eastAsia="Times New Roman" w:hAnsi="Times New Roman" w:cs="Times New Roman"/>
          <w:sz w:val="24"/>
          <w:szCs w:val="24"/>
        </w:rPr>
      </w:pPr>
    </w:p>
    <w:p w14:paraId="576A02D2" w14:textId="7AD3DF42" w:rsidR="004367EC" w:rsidRPr="00CB0424" w:rsidRDefault="00E56D5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 xml:space="preserve">Qu’en est-il d’une saisie exécution immobilière diligentée contre </w:t>
      </w:r>
      <w:r w:rsidR="00E451E3" w:rsidRPr="00CB0424">
        <w:rPr>
          <w:rFonts w:ascii="Times New Roman" w:hAnsi="Times New Roman" w:cs="Times New Roman"/>
          <w:sz w:val="24"/>
          <w:szCs w:val="24"/>
        </w:rPr>
        <w:t>le</w:t>
      </w:r>
      <w:r w:rsidRPr="00CB0424">
        <w:rPr>
          <w:rFonts w:ascii="Times New Roman" w:hAnsi="Times New Roman" w:cs="Times New Roman"/>
          <w:sz w:val="24"/>
          <w:szCs w:val="24"/>
        </w:rPr>
        <w:t xml:space="preserve"> tiers garant réel </w:t>
      </w:r>
      <w:proofErr w:type="gramStart"/>
      <w:r w:rsidRPr="00CB0424">
        <w:rPr>
          <w:rFonts w:ascii="Times New Roman" w:hAnsi="Times New Roman" w:cs="Times New Roman"/>
          <w:sz w:val="24"/>
          <w:szCs w:val="24"/>
        </w:rPr>
        <w:t>médié</w:t>
      </w:r>
      <w:proofErr w:type="gramEnd"/>
      <w:r w:rsidRPr="00CB0424">
        <w:rPr>
          <w:rFonts w:ascii="Times New Roman" w:hAnsi="Times New Roman" w:cs="Times New Roman"/>
          <w:sz w:val="24"/>
          <w:szCs w:val="24"/>
        </w:rPr>
        <w:t xml:space="preserve"> ? </w:t>
      </w:r>
      <w:r w:rsidR="00E8092E" w:rsidRPr="00CB0424">
        <w:rPr>
          <w:rFonts w:ascii="Times New Roman" w:hAnsi="Times New Roman" w:cs="Times New Roman"/>
          <w:sz w:val="24"/>
          <w:szCs w:val="24"/>
        </w:rPr>
        <w:t>Dans son arrêt du 15 octobre 2020, la Cour constitutionnelle rappelle la portée de l’article 1675/7, §</w:t>
      </w:r>
      <w:r w:rsidR="00E762B1">
        <w:rPr>
          <w:rFonts w:ascii="Times New Roman" w:hAnsi="Times New Roman" w:cs="Times New Roman"/>
          <w:sz w:val="24"/>
          <w:szCs w:val="24"/>
        </w:rPr>
        <w:t xml:space="preserve"> </w:t>
      </w:r>
      <w:r w:rsidR="00E8092E" w:rsidRPr="00CB0424">
        <w:rPr>
          <w:rFonts w:ascii="Times New Roman" w:hAnsi="Times New Roman" w:cs="Times New Roman"/>
          <w:sz w:val="24"/>
          <w:szCs w:val="24"/>
        </w:rPr>
        <w:t xml:space="preserve">2, al. 1er, du C. </w:t>
      </w:r>
      <w:proofErr w:type="spellStart"/>
      <w:r w:rsidR="00E8092E" w:rsidRPr="00CB0424">
        <w:rPr>
          <w:rFonts w:ascii="Times New Roman" w:hAnsi="Times New Roman" w:cs="Times New Roman"/>
          <w:sz w:val="24"/>
          <w:szCs w:val="24"/>
        </w:rPr>
        <w:t>Jud</w:t>
      </w:r>
      <w:proofErr w:type="spellEnd"/>
      <w:r w:rsidR="00E8092E" w:rsidRPr="00CB0424">
        <w:rPr>
          <w:rFonts w:ascii="Times New Roman" w:hAnsi="Times New Roman" w:cs="Times New Roman"/>
          <w:sz w:val="24"/>
          <w:szCs w:val="24"/>
        </w:rPr>
        <w:t xml:space="preserve">. </w:t>
      </w:r>
      <w:proofErr w:type="gramStart"/>
      <w:r w:rsidR="00E8092E" w:rsidRPr="00CB0424">
        <w:rPr>
          <w:rFonts w:ascii="Times New Roman" w:hAnsi="Times New Roman" w:cs="Times New Roman"/>
          <w:sz w:val="24"/>
          <w:szCs w:val="24"/>
        </w:rPr>
        <w:t>en</w:t>
      </w:r>
      <w:proofErr w:type="gramEnd"/>
      <w:r w:rsidR="00E8092E" w:rsidRPr="00CB0424">
        <w:rPr>
          <w:rFonts w:ascii="Times New Roman" w:hAnsi="Times New Roman" w:cs="Times New Roman"/>
          <w:sz w:val="24"/>
          <w:szCs w:val="24"/>
        </w:rPr>
        <w:t xml:space="preserve"> ce qu’il prévoit la suspension de toutes les voies d’exécution qui tendent au paiement d’une somme d’argent à dater de la décision d’admissibilité, y compris une saisie immobilière diligentée par le créancier hypothécaire contre le tiers garant réel médié</w:t>
      </w:r>
      <w:r w:rsidR="00E8092E" w:rsidRPr="00CB0424">
        <w:rPr>
          <w:rFonts w:ascii="Times New Roman" w:eastAsia="Times New Roman" w:hAnsi="Times New Roman" w:cs="Times New Roman"/>
          <w:sz w:val="24"/>
          <w:szCs w:val="24"/>
          <w:vertAlign w:val="superscript"/>
        </w:rPr>
        <w:footnoteReference w:id="61"/>
      </w:r>
      <w:r w:rsidR="00E8092E" w:rsidRPr="00CB0424">
        <w:rPr>
          <w:rFonts w:ascii="Times New Roman" w:hAnsi="Times New Roman" w:cs="Times New Roman"/>
          <w:sz w:val="24"/>
          <w:szCs w:val="24"/>
        </w:rPr>
        <w:t>.</w:t>
      </w:r>
    </w:p>
    <w:p w14:paraId="3DC54279" w14:textId="5394029C" w:rsidR="00F8226E" w:rsidRPr="00CB0424" w:rsidRDefault="00F8226E" w:rsidP="00B5673A">
      <w:pPr>
        <w:pStyle w:val="Corps"/>
        <w:jc w:val="both"/>
        <w:rPr>
          <w:rFonts w:ascii="Times New Roman" w:hAnsi="Times New Roman" w:cs="Times New Roman"/>
          <w:sz w:val="24"/>
          <w:szCs w:val="24"/>
        </w:rPr>
      </w:pPr>
    </w:p>
    <w:p w14:paraId="6FC7290C" w14:textId="0183DA81" w:rsidR="000C046D" w:rsidRDefault="000C046D" w:rsidP="00B5673A">
      <w:pPr>
        <w:pStyle w:val="Corps"/>
        <w:jc w:val="both"/>
        <w:rPr>
          <w:rFonts w:ascii="Times New Roman" w:eastAsia="Times New Roman" w:hAnsi="Times New Roman" w:cs="Times New Roman"/>
          <w:sz w:val="24"/>
          <w:szCs w:val="24"/>
        </w:rPr>
      </w:pPr>
    </w:p>
    <w:p w14:paraId="3A6226B5" w14:textId="6273CF29" w:rsidR="00C927FE" w:rsidRDefault="00C927FE" w:rsidP="00B5673A">
      <w:pPr>
        <w:pStyle w:val="Corps"/>
        <w:jc w:val="both"/>
        <w:rPr>
          <w:rFonts w:ascii="Times New Roman" w:eastAsia="Times New Roman" w:hAnsi="Times New Roman" w:cs="Times New Roman"/>
          <w:sz w:val="24"/>
          <w:szCs w:val="24"/>
        </w:rPr>
      </w:pPr>
    </w:p>
    <w:p w14:paraId="0FDF424C" w14:textId="02FF0E64" w:rsidR="00C927FE" w:rsidRDefault="00C927FE" w:rsidP="00B5673A">
      <w:pPr>
        <w:pStyle w:val="Corps"/>
        <w:jc w:val="both"/>
        <w:rPr>
          <w:rFonts w:ascii="Times New Roman" w:eastAsia="Times New Roman" w:hAnsi="Times New Roman" w:cs="Times New Roman"/>
          <w:sz w:val="24"/>
          <w:szCs w:val="24"/>
        </w:rPr>
      </w:pPr>
    </w:p>
    <w:p w14:paraId="0DD7CF53" w14:textId="2B395116" w:rsidR="00C927FE" w:rsidRDefault="00C927FE" w:rsidP="00B5673A">
      <w:pPr>
        <w:pStyle w:val="Corps"/>
        <w:jc w:val="both"/>
        <w:rPr>
          <w:rFonts w:ascii="Times New Roman" w:eastAsia="Times New Roman" w:hAnsi="Times New Roman" w:cs="Times New Roman"/>
          <w:sz w:val="24"/>
          <w:szCs w:val="24"/>
        </w:rPr>
      </w:pPr>
    </w:p>
    <w:p w14:paraId="50E890BC" w14:textId="05054AAD" w:rsidR="00C927FE" w:rsidRDefault="00C927FE" w:rsidP="00B5673A">
      <w:pPr>
        <w:pStyle w:val="Corps"/>
        <w:jc w:val="both"/>
        <w:rPr>
          <w:rFonts w:ascii="Times New Roman" w:eastAsia="Times New Roman" w:hAnsi="Times New Roman" w:cs="Times New Roman"/>
          <w:sz w:val="24"/>
          <w:szCs w:val="24"/>
        </w:rPr>
      </w:pPr>
    </w:p>
    <w:p w14:paraId="370E822D" w14:textId="42A4BC15" w:rsidR="00C927FE" w:rsidRDefault="00C927FE" w:rsidP="00B5673A">
      <w:pPr>
        <w:pStyle w:val="Corps"/>
        <w:jc w:val="both"/>
        <w:rPr>
          <w:rFonts w:ascii="Times New Roman" w:eastAsia="Times New Roman" w:hAnsi="Times New Roman" w:cs="Times New Roman"/>
          <w:sz w:val="24"/>
          <w:szCs w:val="24"/>
        </w:rPr>
      </w:pPr>
    </w:p>
    <w:p w14:paraId="44D05343" w14:textId="0716FED2" w:rsidR="00C927FE" w:rsidRDefault="00C927FE" w:rsidP="00B5673A">
      <w:pPr>
        <w:pStyle w:val="Corps"/>
        <w:jc w:val="both"/>
        <w:rPr>
          <w:rFonts w:ascii="Times New Roman" w:eastAsia="Times New Roman" w:hAnsi="Times New Roman" w:cs="Times New Roman"/>
          <w:sz w:val="24"/>
          <w:szCs w:val="24"/>
        </w:rPr>
      </w:pPr>
    </w:p>
    <w:p w14:paraId="183A6AB9" w14:textId="141D0A09" w:rsidR="00C927FE" w:rsidRDefault="00C927FE" w:rsidP="00B5673A">
      <w:pPr>
        <w:pStyle w:val="Corps"/>
        <w:jc w:val="both"/>
        <w:rPr>
          <w:rFonts w:ascii="Times New Roman" w:eastAsia="Times New Roman" w:hAnsi="Times New Roman" w:cs="Times New Roman"/>
          <w:sz w:val="24"/>
          <w:szCs w:val="24"/>
        </w:rPr>
      </w:pPr>
    </w:p>
    <w:p w14:paraId="3916B20B" w14:textId="36B9215E" w:rsidR="00C927FE" w:rsidRDefault="00C927FE" w:rsidP="00B5673A">
      <w:pPr>
        <w:pStyle w:val="Corps"/>
        <w:jc w:val="both"/>
        <w:rPr>
          <w:rFonts w:ascii="Times New Roman" w:eastAsia="Times New Roman" w:hAnsi="Times New Roman" w:cs="Times New Roman"/>
          <w:sz w:val="24"/>
          <w:szCs w:val="24"/>
        </w:rPr>
      </w:pPr>
    </w:p>
    <w:p w14:paraId="7741F706" w14:textId="77777777" w:rsidR="00C927FE" w:rsidRPr="00CB0424" w:rsidRDefault="00C927FE" w:rsidP="00B5673A">
      <w:pPr>
        <w:pStyle w:val="Corps"/>
        <w:jc w:val="both"/>
        <w:rPr>
          <w:rFonts w:ascii="Times New Roman" w:eastAsia="Times New Roman" w:hAnsi="Times New Roman" w:cs="Times New Roman"/>
          <w:sz w:val="24"/>
          <w:szCs w:val="24"/>
        </w:rPr>
      </w:pPr>
    </w:p>
    <w:p w14:paraId="01159158" w14:textId="77777777" w:rsidR="004367EC" w:rsidRPr="00CB0424" w:rsidRDefault="00E8092E" w:rsidP="00B5673A">
      <w:pPr>
        <w:pStyle w:val="Corps"/>
        <w:jc w:val="both"/>
        <w:rPr>
          <w:rFonts w:ascii="Times New Roman" w:eastAsia="Times New Roman" w:hAnsi="Times New Roman" w:cs="Times New Roman"/>
          <w:b/>
          <w:bCs/>
          <w:sz w:val="24"/>
          <w:szCs w:val="24"/>
          <w:u w:val="single"/>
        </w:rPr>
      </w:pPr>
      <w:r w:rsidRPr="00CB0424">
        <w:rPr>
          <w:rFonts w:ascii="Times New Roman" w:hAnsi="Times New Roman" w:cs="Times New Roman"/>
          <w:b/>
          <w:bCs/>
          <w:sz w:val="24"/>
          <w:szCs w:val="24"/>
          <w:u w:val="single"/>
        </w:rPr>
        <w:lastRenderedPageBreak/>
        <w:t xml:space="preserve">IV. Impact de la procédure de réorganisation judiciaire et de faillite sur la réalisation d’un gage ayant pour objet un bien meuble corporel </w:t>
      </w:r>
    </w:p>
    <w:p w14:paraId="33758D00" w14:textId="77777777" w:rsidR="004367EC" w:rsidRPr="00CB0424" w:rsidRDefault="004367EC" w:rsidP="00B5673A">
      <w:pPr>
        <w:pStyle w:val="Corps"/>
        <w:jc w:val="both"/>
        <w:rPr>
          <w:rFonts w:ascii="Times New Roman" w:eastAsia="Times New Roman" w:hAnsi="Times New Roman" w:cs="Times New Roman"/>
          <w:sz w:val="24"/>
          <w:szCs w:val="24"/>
        </w:rPr>
      </w:pPr>
    </w:p>
    <w:p w14:paraId="0AD08170" w14:textId="192D5A95" w:rsidR="007D5DAB" w:rsidRPr="00CB0424" w:rsidRDefault="007D5DAB" w:rsidP="007D5DAB">
      <w:pPr>
        <w:pStyle w:val="Corps"/>
        <w:numPr>
          <w:ilvl w:val="0"/>
          <w:numId w:val="25"/>
        </w:numPr>
        <w:jc w:val="both"/>
        <w:rPr>
          <w:rFonts w:ascii="Times New Roman" w:hAnsi="Times New Roman" w:cs="Times New Roman"/>
          <w:b/>
          <w:bCs/>
          <w:sz w:val="24"/>
          <w:szCs w:val="24"/>
        </w:rPr>
      </w:pPr>
      <w:r w:rsidRPr="00CB0424">
        <w:rPr>
          <w:rFonts w:ascii="Times New Roman" w:hAnsi="Times New Roman" w:cs="Times New Roman"/>
          <w:b/>
          <w:bCs/>
          <w:sz w:val="24"/>
          <w:szCs w:val="24"/>
        </w:rPr>
        <w:t xml:space="preserve">Généralités </w:t>
      </w:r>
    </w:p>
    <w:p w14:paraId="01686ED4" w14:textId="77777777" w:rsidR="007D5DAB" w:rsidRPr="00CB0424" w:rsidRDefault="007D5DAB" w:rsidP="00B5673A">
      <w:pPr>
        <w:pStyle w:val="Corps"/>
        <w:jc w:val="both"/>
        <w:rPr>
          <w:rFonts w:ascii="Times New Roman" w:hAnsi="Times New Roman" w:cs="Times New Roman"/>
          <w:sz w:val="24"/>
          <w:szCs w:val="24"/>
        </w:rPr>
      </w:pPr>
    </w:p>
    <w:p w14:paraId="674CA880" w14:textId="22DC0636" w:rsidR="00E81DF4"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 xml:space="preserve">Lorsque le constituant du gage n’est pas un consommateur, l’article 47 du </w:t>
      </w:r>
      <w:r w:rsidR="008C7F54" w:rsidRPr="00CB0424">
        <w:rPr>
          <w:rFonts w:ascii="Times New Roman" w:hAnsi="Times New Roman" w:cs="Times New Roman"/>
          <w:sz w:val="24"/>
          <w:szCs w:val="24"/>
        </w:rPr>
        <w:t xml:space="preserve">titre XVII du livre III </w:t>
      </w:r>
      <w:r w:rsidRPr="00CB0424">
        <w:rPr>
          <w:rFonts w:ascii="Times New Roman" w:hAnsi="Times New Roman" w:cs="Times New Roman"/>
          <w:sz w:val="24"/>
          <w:szCs w:val="24"/>
        </w:rPr>
        <w:t>de l’ancien Code civil autorise le créancier gagiste à réaliser son gage de la façon contractuellement prévue avec le débiteur, sans avoir à se procurer un titre exécutoire</w:t>
      </w:r>
      <w:r w:rsidRPr="00CB0424">
        <w:rPr>
          <w:rFonts w:ascii="Times New Roman" w:eastAsia="Times New Roman" w:hAnsi="Times New Roman" w:cs="Times New Roman"/>
          <w:sz w:val="24"/>
          <w:szCs w:val="24"/>
          <w:vertAlign w:val="superscript"/>
        </w:rPr>
        <w:footnoteReference w:id="62"/>
      </w:r>
      <w:r w:rsidRPr="00CB0424">
        <w:rPr>
          <w:rFonts w:ascii="Times New Roman" w:hAnsi="Times New Roman" w:cs="Times New Roman"/>
          <w:sz w:val="24"/>
          <w:szCs w:val="24"/>
        </w:rPr>
        <w:t xml:space="preserve">. </w:t>
      </w:r>
      <w:r w:rsidR="007827F0" w:rsidRPr="00CB0424">
        <w:rPr>
          <w:rFonts w:ascii="Times New Roman" w:hAnsi="Times New Roman" w:cs="Times New Roman"/>
          <w:sz w:val="24"/>
          <w:szCs w:val="24"/>
        </w:rPr>
        <w:t xml:space="preserve">A défaut d’un tel accord, le créancier gagiste peut charger l’huissier de vendre le bien grevé de la sûreté (article 51 </w:t>
      </w:r>
      <w:r w:rsidR="008C7F54" w:rsidRPr="00CB0424">
        <w:rPr>
          <w:rFonts w:ascii="Times New Roman" w:hAnsi="Times New Roman" w:cs="Times New Roman"/>
          <w:sz w:val="24"/>
          <w:szCs w:val="24"/>
        </w:rPr>
        <w:t>du titre XVII du livre III de l’ancien Code civil</w:t>
      </w:r>
      <w:r w:rsidR="00DD0096" w:rsidRPr="00CB0424">
        <w:rPr>
          <w:rFonts w:ascii="Times New Roman" w:hAnsi="Times New Roman" w:cs="Times New Roman"/>
          <w:sz w:val="24"/>
          <w:szCs w:val="24"/>
        </w:rPr>
        <w:t>)</w:t>
      </w:r>
      <w:r w:rsidR="00E451E3" w:rsidRPr="00CB0424">
        <w:rPr>
          <w:rFonts w:ascii="Times New Roman" w:hAnsi="Times New Roman" w:cs="Times New Roman"/>
          <w:sz w:val="24"/>
          <w:szCs w:val="24"/>
        </w:rPr>
        <w:t>. C’est cette dernière hypothèse qui retiendra notre attention</w:t>
      </w:r>
      <w:r w:rsidRPr="00CB0424">
        <w:rPr>
          <w:rFonts w:ascii="Times New Roman" w:eastAsia="Times New Roman" w:hAnsi="Times New Roman" w:cs="Times New Roman"/>
          <w:sz w:val="24"/>
          <w:szCs w:val="24"/>
          <w:vertAlign w:val="superscript"/>
        </w:rPr>
        <w:footnoteReference w:id="63"/>
      </w:r>
      <w:r w:rsidRPr="00CB0424">
        <w:rPr>
          <w:rFonts w:ascii="Times New Roman" w:hAnsi="Times New Roman" w:cs="Times New Roman"/>
          <w:sz w:val="24"/>
          <w:szCs w:val="24"/>
        </w:rPr>
        <w:t xml:space="preserve">. </w:t>
      </w:r>
      <w:r w:rsidR="00DD0096" w:rsidRPr="00CB0424">
        <w:rPr>
          <w:rFonts w:ascii="Times New Roman" w:hAnsi="Times New Roman" w:cs="Times New Roman"/>
          <w:sz w:val="24"/>
          <w:szCs w:val="24"/>
        </w:rPr>
        <w:t xml:space="preserve">Dans tous les cas, notons que la réalisation doit être économiquement justifiée et </w:t>
      </w:r>
      <w:r w:rsidR="005A761E" w:rsidRPr="00CB0424">
        <w:rPr>
          <w:rFonts w:ascii="Times New Roman" w:hAnsi="Times New Roman" w:cs="Times New Roman"/>
          <w:sz w:val="24"/>
          <w:szCs w:val="24"/>
        </w:rPr>
        <w:t>réalisée</w:t>
      </w:r>
      <w:r w:rsidR="00DD0096" w:rsidRPr="00CB0424">
        <w:rPr>
          <w:rFonts w:ascii="Times New Roman" w:hAnsi="Times New Roman" w:cs="Times New Roman"/>
          <w:sz w:val="24"/>
          <w:szCs w:val="24"/>
        </w:rPr>
        <w:t xml:space="preserve"> </w:t>
      </w:r>
      <w:r w:rsidR="005A761E" w:rsidRPr="00CB0424">
        <w:rPr>
          <w:rFonts w:ascii="Times New Roman" w:hAnsi="Times New Roman" w:cs="Times New Roman"/>
          <w:sz w:val="24"/>
          <w:szCs w:val="24"/>
        </w:rPr>
        <w:t xml:space="preserve">de </w:t>
      </w:r>
      <w:r w:rsidR="00DD0096" w:rsidRPr="00CB0424">
        <w:rPr>
          <w:rFonts w:ascii="Times New Roman" w:hAnsi="Times New Roman" w:cs="Times New Roman"/>
          <w:sz w:val="24"/>
          <w:szCs w:val="24"/>
        </w:rPr>
        <w:t>bonne foi</w:t>
      </w:r>
      <w:r w:rsidR="005A761E" w:rsidRPr="00CB0424">
        <w:rPr>
          <w:rFonts w:ascii="Times New Roman" w:hAnsi="Times New Roman" w:cs="Times New Roman"/>
          <w:sz w:val="24"/>
          <w:szCs w:val="24"/>
        </w:rPr>
        <w:t xml:space="preserve"> (article 47</w:t>
      </w:r>
      <w:r w:rsidR="00D929A4" w:rsidRPr="00CB0424">
        <w:rPr>
          <w:rFonts w:ascii="Times New Roman" w:hAnsi="Times New Roman" w:cs="Times New Roman"/>
          <w:sz w:val="24"/>
          <w:szCs w:val="24"/>
        </w:rPr>
        <w:t>, al. 3,</w:t>
      </w:r>
      <w:r w:rsidR="005A761E" w:rsidRPr="00CB0424">
        <w:rPr>
          <w:rFonts w:ascii="Times New Roman" w:hAnsi="Times New Roman" w:cs="Times New Roman"/>
          <w:sz w:val="24"/>
          <w:szCs w:val="24"/>
        </w:rPr>
        <w:t xml:space="preserve"> </w:t>
      </w:r>
      <w:r w:rsidR="008C7F54" w:rsidRPr="00CB0424">
        <w:rPr>
          <w:rFonts w:ascii="Times New Roman" w:hAnsi="Times New Roman" w:cs="Times New Roman"/>
          <w:sz w:val="24"/>
          <w:szCs w:val="24"/>
        </w:rPr>
        <w:t>du titre XVII du livre III de l’ancien Code civil</w:t>
      </w:r>
      <w:r w:rsidR="00D929A4" w:rsidRPr="00CB0424">
        <w:rPr>
          <w:rFonts w:ascii="Times New Roman" w:hAnsi="Times New Roman" w:cs="Times New Roman"/>
          <w:sz w:val="24"/>
          <w:szCs w:val="24"/>
        </w:rPr>
        <w:t xml:space="preserve">). Il est </w:t>
      </w:r>
      <w:r w:rsidR="00E451E3" w:rsidRPr="00CB0424">
        <w:rPr>
          <w:rFonts w:ascii="Times New Roman" w:hAnsi="Times New Roman" w:cs="Times New Roman"/>
          <w:sz w:val="24"/>
          <w:szCs w:val="24"/>
        </w:rPr>
        <w:t xml:space="preserve">aussi </w:t>
      </w:r>
      <w:r w:rsidR="00D929A4" w:rsidRPr="00CB0424">
        <w:rPr>
          <w:rFonts w:ascii="Times New Roman" w:hAnsi="Times New Roman" w:cs="Times New Roman"/>
          <w:sz w:val="24"/>
          <w:szCs w:val="24"/>
        </w:rPr>
        <w:t>loisible au créancier</w:t>
      </w:r>
      <w:r w:rsidR="00E451E3" w:rsidRPr="00CB0424">
        <w:rPr>
          <w:rFonts w:ascii="Times New Roman" w:hAnsi="Times New Roman" w:cs="Times New Roman"/>
          <w:sz w:val="24"/>
          <w:szCs w:val="24"/>
        </w:rPr>
        <w:t xml:space="preserve"> gagiste</w:t>
      </w:r>
      <w:r w:rsidR="00D929A4" w:rsidRPr="00CB0424">
        <w:rPr>
          <w:rFonts w:ascii="Times New Roman" w:hAnsi="Times New Roman" w:cs="Times New Roman"/>
          <w:sz w:val="24"/>
          <w:szCs w:val="24"/>
        </w:rPr>
        <w:t xml:space="preserve"> de recourir aux voies d’exécution classiques prévues par </w:t>
      </w:r>
      <w:r w:rsidR="007A6E7E" w:rsidRPr="00CB0424">
        <w:rPr>
          <w:rFonts w:ascii="Times New Roman" w:hAnsi="Times New Roman" w:cs="Times New Roman"/>
          <w:sz w:val="24"/>
          <w:szCs w:val="24"/>
        </w:rPr>
        <w:t>l</w:t>
      </w:r>
      <w:r w:rsidR="007A6E7E">
        <w:rPr>
          <w:rFonts w:ascii="Times New Roman" w:hAnsi="Times New Roman" w:cs="Times New Roman"/>
          <w:sz w:val="24"/>
          <w:szCs w:val="24"/>
        </w:rPr>
        <w:t>e</w:t>
      </w:r>
      <w:r w:rsidR="007A6E7E" w:rsidRPr="00CB0424">
        <w:rPr>
          <w:rFonts w:ascii="Times New Roman" w:hAnsi="Times New Roman" w:cs="Times New Roman"/>
          <w:sz w:val="24"/>
          <w:szCs w:val="24"/>
        </w:rPr>
        <w:t xml:space="preserve"> </w:t>
      </w:r>
      <w:r w:rsidR="00D929A4" w:rsidRPr="00CB0424">
        <w:rPr>
          <w:rFonts w:ascii="Times New Roman" w:hAnsi="Times New Roman" w:cs="Times New Roman"/>
          <w:sz w:val="24"/>
          <w:szCs w:val="24"/>
        </w:rPr>
        <w:t>Code judiciaire</w:t>
      </w:r>
      <w:r w:rsidR="00456C03" w:rsidRPr="00CB0424">
        <w:rPr>
          <w:rStyle w:val="Appelnotedebasdep"/>
          <w:rFonts w:ascii="Times New Roman" w:hAnsi="Times New Roman" w:cs="Times New Roman"/>
          <w:sz w:val="24"/>
          <w:szCs w:val="24"/>
        </w:rPr>
        <w:footnoteReference w:id="64"/>
      </w:r>
      <w:r w:rsidR="00E451E3" w:rsidRPr="00CB0424">
        <w:rPr>
          <w:rFonts w:ascii="Times New Roman" w:hAnsi="Times New Roman" w:cs="Times New Roman"/>
          <w:sz w:val="24"/>
          <w:szCs w:val="24"/>
        </w:rPr>
        <w:t xml:space="preserve">. </w:t>
      </w:r>
      <w:r w:rsidRPr="00CB0424">
        <w:rPr>
          <w:rFonts w:ascii="Times New Roman" w:hAnsi="Times New Roman" w:cs="Times New Roman"/>
          <w:sz w:val="24"/>
          <w:szCs w:val="24"/>
        </w:rPr>
        <w:t xml:space="preserve">Les modes de réalisation spécifiques du gage prévus par la loi du 15 décembre 2004 relative aux sûretés financières ne </w:t>
      </w:r>
      <w:r w:rsidR="00E81DF4" w:rsidRPr="00CB0424">
        <w:rPr>
          <w:rFonts w:ascii="Times New Roman" w:hAnsi="Times New Roman" w:cs="Times New Roman"/>
          <w:sz w:val="24"/>
          <w:szCs w:val="24"/>
        </w:rPr>
        <w:t xml:space="preserve">feront pas l’objet d’un commentaire </w:t>
      </w:r>
      <w:r w:rsidR="00E451E3" w:rsidRPr="00CB0424">
        <w:rPr>
          <w:rFonts w:ascii="Times New Roman" w:hAnsi="Times New Roman" w:cs="Times New Roman"/>
          <w:sz w:val="24"/>
          <w:szCs w:val="24"/>
        </w:rPr>
        <w:t>au sein de la contribution</w:t>
      </w:r>
      <w:r w:rsidRPr="00CB0424">
        <w:rPr>
          <w:rFonts w:ascii="Times New Roman" w:eastAsia="Times New Roman" w:hAnsi="Times New Roman" w:cs="Times New Roman"/>
          <w:sz w:val="24"/>
          <w:szCs w:val="24"/>
          <w:vertAlign w:val="superscript"/>
        </w:rPr>
        <w:footnoteReference w:id="65"/>
      </w:r>
      <w:r w:rsidRPr="00CB0424">
        <w:rPr>
          <w:rFonts w:ascii="Times New Roman" w:hAnsi="Times New Roman" w:cs="Times New Roman"/>
          <w:sz w:val="24"/>
          <w:szCs w:val="24"/>
        </w:rPr>
        <w:t>.</w:t>
      </w:r>
    </w:p>
    <w:p w14:paraId="441AC6B0" w14:textId="77777777" w:rsidR="007D5DAB" w:rsidRPr="00CB0424" w:rsidRDefault="007D5DAB" w:rsidP="00B5673A">
      <w:pPr>
        <w:pStyle w:val="Corps"/>
        <w:jc w:val="both"/>
        <w:rPr>
          <w:rFonts w:ascii="Times New Roman" w:hAnsi="Times New Roman" w:cs="Times New Roman"/>
          <w:sz w:val="24"/>
          <w:szCs w:val="24"/>
        </w:rPr>
      </w:pPr>
    </w:p>
    <w:p w14:paraId="004AF0B1" w14:textId="52A7C8CB" w:rsidR="004367EC"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 xml:space="preserve">L’impact de la faillite et de </w:t>
      </w:r>
      <w:r w:rsidR="00B55FF0">
        <w:rPr>
          <w:rFonts w:ascii="Times New Roman" w:hAnsi="Times New Roman" w:cs="Times New Roman"/>
          <w:sz w:val="24"/>
          <w:szCs w:val="24"/>
        </w:rPr>
        <w:t xml:space="preserve">la procédure de </w:t>
      </w:r>
      <w:r w:rsidRPr="00CB0424">
        <w:rPr>
          <w:rFonts w:ascii="Times New Roman" w:hAnsi="Times New Roman" w:cs="Times New Roman"/>
          <w:sz w:val="24"/>
          <w:szCs w:val="24"/>
        </w:rPr>
        <w:t>réorganisation judiciaire sur une réalisation en cours d’un gage ayant pour objet un bien meuble corporel suit les principes exposés ci-</w:t>
      </w:r>
      <w:r w:rsidR="007C2582" w:rsidRPr="00CB0424">
        <w:rPr>
          <w:rFonts w:ascii="Times New Roman" w:hAnsi="Times New Roman" w:cs="Times New Roman"/>
          <w:sz w:val="24"/>
          <w:szCs w:val="24"/>
        </w:rPr>
        <w:t>avant</w:t>
      </w:r>
      <w:r w:rsidRPr="00CB0424">
        <w:rPr>
          <w:rFonts w:ascii="Times New Roman" w:hAnsi="Times New Roman" w:cs="Times New Roman"/>
          <w:sz w:val="24"/>
          <w:szCs w:val="24"/>
        </w:rPr>
        <w:t xml:space="preserve"> par rapport aux articles XX.44, XX.5</w:t>
      </w:r>
      <w:r w:rsidR="00F96D0B" w:rsidRPr="00CB0424">
        <w:rPr>
          <w:rFonts w:ascii="Times New Roman" w:hAnsi="Times New Roman" w:cs="Times New Roman"/>
          <w:sz w:val="24"/>
          <w:szCs w:val="24"/>
        </w:rPr>
        <w:t>0</w:t>
      </w:r>
      <w:r w:rsidRPr="00CB0424">
        <w:rPr>
          <w:rFonts w:ascii="Times New Roman" w:hAnsi="Times New Roman" w:cs="Times New Roman"/>
          <w:sz w:val="24"/>
          <w:szCs w:val="24"/>
        </w:rPr>
        <w:t>,</w:t>
      </w:r>
      <w:r w:rsidR="00F96D0B" w:rsidRPr="00CB0424">
        <w:rPr>
          <w:rFonts w:ascii="Times New Roman" w:hAnsi="Times New Roman" w:cs="Times New Roman"/>
          <w:sz w:val="24"/>
          <w:szCs w:val="24"/>
        </w:rPr>
        <w:t xml:space="preserve"> XX.51</w:t>
      </w:r>
      <w:r w:rsidR="00D82333" w:rsidRPr="00CB0424">
        <w:rPr>
          <w:rFonts w:ascii="Times New Roman" w:hAnsi="Times New Roman" w:cs="Times New Roman"/>
          <w:sz w:val="24"/>
          <w:szCs w:val="24"/>
        </w:rPr>
        <w:t xml:space="preserve">, </w:t>
      </w:r>
      <w:r w:rsidRPr="00CB0424">
        <w:rPr>
          <w:rFonts w:ascii="Times New Roman" w:hAnsi="Times New Roman" w:cs="Times New Roman"/>
          <w:sz w:val="24"/>
          <w:szCs w:val="24"/>
        </w:rPr>
        <w:t>XX.120 et XX.121 du C.D.E. En principe, le dépôt</w:t>
      </w:r>
      <w:r w:rsidR="00E81DF4" w:rsidRPr="00CB0424">
        <w:rPr>
          <w:rFonts w:ascii="Times New Roman" w:hAnsi="Times New Roman" w:cs="Times New Roman"/>
          <w:sz w:val="24"/>
          <w:szCs w:val="24"/>
        </w:rPr>
        <w:t xml:space="preserve"> ou </w:t>
      </w:r>
      <w:r w:rsidRPr="00CB0424">
        <w:rPr>
          <w:rFonts w:ascii="Times New Roman" w:hAnsi="Times New Roman" w:cs="Times New Roman"/>
          <w:sz w:val="24"/>
          <w:szCs w:val="24"/>
        </w:rPr>
        <w:t xml:space="preserve">l’ouverture </w:t>
      </w:r>
      <w:r w:rsidRPr="00CB0424">
        <w:rPr>
          <w:rFonts w:ascii="Times New Roman" w:hAnsi="Times New Roman" w:cs="Times New Roman"/>
          <w:sz w:val="24"/>
          <w:szCs w:val="24"/>
        </w:rPr>
        <w:lastRenderedPageBreak/>
        <w:t>d’une requête en réorganisation judiciaire et le jugement déclaratif de faillite suspendent la réalisation du gage, sauf exceptions</w:t>
      </w:r>
      <w:r w:rsidRPr="00CB0424">
        <w:rPr>
          <w:rFonts w:ascii="Times New Roman" w:eastAsia="Times New Roman" w:hAnsi="Times New Roman" w:cs="Times New Roman"/>
          <w:sz w:val="24"/>
          <w:szCs w:val="24"/>
          <w:vertAlign w:val="superscript"/>
        </w:rPr>
        <w:footnoteReference w:id="66"/>
      </w:r>
      <w:r w:rsidRPr="00CB0424">
        <w:rPr>
          <w:rFonts w:ascii="Times New Roman" w:hAnsi="Times New Roman" w:cs="Times New Roman"/>
          <w:sz w:val="24"/>
          <w:szCs w:val="24"/>
        </w:rPr>
        <w:t xml:space="preserve">. </w:t>
      </w:r>
    </w:p>
    <w:p w14:paraId="5270198F" w14:textId="77777777" w:rsidR="00D929A4" w:rsidRPr="00CB0424" w:rsidRDefault="00D929A4" w:rsidP="00B5673A">
      <w:pPr>
        <w:pStyle w:val="Corps"/>
        <w:jc w:val="both"/>
        <w:rPr>
          <w:rFonts w:ascii="Times New Roman" w:eastAsia="Times New Roman" w:hAnsi="Times New Roman" w:cs="Times New Roman"/>
          <w:sz w:val="24"/>
          <w:szCs w:val="24"/>
        </w:rPr>
      </w:pPr>
    </w:p>
    <w:p w14:paraId="560054F2" w14:textId="3BCCD93B" w:rsidR="004367EC" w:rsidRPr="00CB0424" w:rsidRDefault="00845F0E" w:rsidP="007D5DAB">
      <w:pPr>
        <w:pStyle w:val="Corps"/>
        <w:numPr>
          <w:ilvl w:val="0"/>
          <w:numId w:val="25"/>
        </w:numPr>
        <w:jc w:val="both"/>
        <w:rPr>
          <w:rFonts w:ascii="Times New Roman" w:eastAsia="Times New Roman" w:hAnsi="Times New Roman" w:cs="Times New Roman"/>
          <w:b/>
          <w:bCs/>
          <w:sz w:val="24"/>
          <w:szCs w:val="24"/>
        </w:rPr>
      </w:pPr>
      <w:r w:rsidRPr="00CB0424">
        <w:rPr>
          <w:rFonts w:ascii="Times New Roman" w:eastAsia="Times New Roman" w:hAnsi="Times New Roman" w:cs="Times New Roman"/>
          <w:b/>
          <w:bCs/>
          <w:sz w:val="24"/>
          <w:szCs w:val="24"/>
        </w:rPr>
        <w:t xml:space="preserve">Procédure de réorganisation judiciaire </w:t>
      </w:r>
    </w:p>
    <w:p w14:paraId="55A8814B" w14:textId="77777777" w:rsidR="00845F0E" w:rsidRPr="00CB0424" w:rsidRDefault="00845F0E" w:rsidP="00B5673A">
      <w:pPr>
        <w:pStyle w:val="Corps"/>
        <w:jc w:val="both"/>
        <w:rPr>
          <w:rFonts w:ascii="Times New Roman" w:hAnsi="Times New Roman" w:cs="Times New Roman"/>
          <w:sz w:val="24"/>
          <w:szCs w:val="24"/>
        </w:rPr>
      </w:pPr>
    </w:p>
    <w:p w14:paraId="5B41E67F" w14:textId="79964970" w:rsidR="0067399D" w:rsidRPr="00CB0424" w:rsidRDefault="00630F71" w:rsidP="00B5673A">
      <w:pPr>
        <w:pStyle w:val="Corps"/>
        <w:numPr>
          <w:ilvl w:val="0"/>
          <w:numId w:val="23"/>
        </w:numPr>
        <w:jc w:val="both"/>
        <w:rPr>
          <w:rFonts w:ascii="Times New Roman" w:hAnsi="Times New Roman" w:cs="Times New Roman"/>
          <w:b/>
          <w:bCs/>
          <w:i/>
          <w:iCs/>
          <w:sz w:val="24"/>
          <w:szCs w:val="24"/>
        </w:rPr>
      </w:pPr>
      <w:r w:rsidRPr="00CB0424">
        <w:rPr>
          <w:rFonts w:ascii="Times New Roman" w:hAnsi="Times New Roman" w:cs="Times New Roman"/>
          <w:b/>
          <w:bCs/>
          <w:i/>
          <w:iCs/>
          <w:sz w:val="24"/>
          <w:szCs w:val="24"/>
        </w:rPr>
        <w:t xml:space="preserve">Article </w:t>
      </w:r>
      <w:r w:rsidR="0067399D" w:rsidRPr="00CB0424">
        <w:rPr>
          <w:rFonts w:ascii="Times New Roman" w:hAnsi="Times New Roman" w:cs="Times New Roman"/>
          <w:b/>
          <w:bCs/>
          <w:i/>
          <w:iCs/>
          <w:sz w:val="24"/>
          <w:szCs w:val="24"/>
        </w:rPr>
        <w:t xml:space="preserve">XX.44 du C.D.E. </w:t>
      </w:r>
    </w:p>
    <w:p w14:paraId="1BFD8F16" w14:textId="696702A6" w:rsidR="0067399D" w:rsidRPr="00CB0424" w:rsidRDefault="0067399D" w:rsidP="00B5673A">
      <w:pPr>
        <w:pStyle w:val="Corps"/>
        <w:jc w:val="both"/>
        <w:rPr>
          <w:rFonts w:ascii="Times New Roman" w:hAnsi="Times New Roman" w:cs="Times New Roman"/>
          <w:sz w:val="24"/>
          <w:szCs w:val="24"/>
        </w:rPr>
      </w:pPr>
    </w:p>
    <w:p w14:paraId="108BA70F" w14:textId="666B77E6" w:rsidR="0067399D" w:rsidRPr="00CB0424" w:rsidRDefault="0067399D"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Le dépôt de la requête fera, en principe, obstacle à la réalisation du bien gagé sauf si le jour fixé pour la vente échoit dans un délai de deux mois suivant le dépôt de la requête</w:t>
      </w:r>
      <w:r w:rsidR="00E8092E" w:rsidRPr="00CB0424">
        <w:rPr>
          <w:rFonts w:ascii="Times New Roman" w:hAnsi="Times New Roman" w:cs="Times New Roman"/>
          <w:sz w:val="24"/>
          <w:szCs w:val="24"/>
        </w:rPr>
        <w:t xml:space="preserve"> (XX.44, §</w:t>
      </w:r>
      <w:r w:rsidR="00452355">
        <w:rPr>
          <w:rFonts w:ascii="Times New Roman" w:hAnsi="Times New Roman" w:cs="Times New Roman"/>
          <w:sz w:val="24"/>
          <w:szCs w:val="24"/>
        </w:rPr>
        <w:t xml:space="preserve"> </w:t>
      </w:r>
      <w:r w:rsidR="00E8092E" w:rsidRPr="00CB0424">
        <w:rPr>
          <w:rFonts w:ascii="Times New Roman" w:hAnsi="Times New Roman" w:cs="Times New Roman"/>
          <w:sz w:val="24"/>
          <w:szCs w:val="24"/>
        </w:rPr>
        <w:t>2, al. 1</w:t>
      </w:r>
      <w:r w:rsidR="00E8092E" w:rsidRPr="00D969FC">
        <w:rPr>
          <w:rFonts w:ascii="Times New Roman" w:hAnsi="Times New Roman" w:cs="Times New Roman"/>
          <w:sz w:val="24"/>
          <w:szCs w:val="24"/>
          <w:vertAlign w:val="superscript"/>
        </w:rPr>
        <w:t>er</w:t>
      </w:r>
      <w:r w:rsidR="00E8092E" w:rsidRPr="00CB0424">
        <w:rPr>
          <w:rFonts w:ascii="Times New Roman" w:hAnsi="Times New Roman" w:cs="Times New Roman"/>
          <w:sz w:val="24"/>
          <w:szCs w:val="24"/>
        </w:rPr>
        <w:t>, du C.D.E.)</w:t>
      </w:r>
      <w:r w:rsidR="0019399B" w:rsidRPr="00CB0424">
        <w:rPr>
          <w:rStyle w:val="Appelnotedebasdep"/>
          <w:rFonts w:ascii="Times New Roman" w:hAnsi="Times New Roman" w:cs="Times New Roman"/>
          <w:sz w:val="24"/>
          <w:szCs w:val="24"/>
        </w:rPr>
        <w:footnoteReference w:id="67"/>
      </w:r>
      <w:r w:rsidR="00E8092E" w:rsidRPr="00CB0424">
        <w:rPr>
          <w:rFonts w:ascii="Times New Roman" w:hAnsi="Times New Roman" w:cs="Times New Roman"/>
          <w:sz w:val="24"/>
          <w:szCs w:val="24"/>
        </w:rPr>
        <w:t>. Dans ce dernier cas, le tribunal pourrait toutefois prononcer la suspension de la vente à la demande du débiteur</w:t>
      </w:r>
      <w:r w:rsidR="003B1DE9" w:rsidRPr="00CB0424">
        <w:rPr>
          <w:rFonts w:ascii="Times New Roman" w:hAnsi="Times New Roman" w:cs="Times New Roman"/>
          <w:sz w:val="24"/>
          <w:szCs w:val="24"/>
        </w:rPr>
        <w:t xml:space="preserve"> (</w:t>
      </w:r>
      <w:proofErr w:type="spellStart"/>
      <w:r w:rsidR="003B1DE9" w:rsidRPr="00CB0424">
        <w:rPr>
          <w:rFonts w:ascii="Times New Roman" w:hAnsi="Times New Roman" w:cs="Times New Roman"/>
          <w:sz w:val="24"/>
          <w:szCs w:val="24"/>
        </w:rPr>
        <w:t>voy</w:t>
      </w:r>
      <w:proofErr w:type="spellEnd"/>
      <w:r w:rsidR="003B1DE9" w:rsidRPr="00CB0424">
        <w:rPr>
          <w:rFonts w:ascii="Times New Roman" w:hAnsi="Times New Roman" w:cs="Times New Roman"/>
          <w:sz w:val="24"/>
          <w:szCs w:val="24"/>
        </w:rPr>
        <w:t xml:space="preserve">. </w:t>
      </w:r>
      <w:proofErr w:type="gramStart"/>
      <w:r w:rsidR="003B1DE9" w:rsidRPr="00CB0424">
        <w:rPr>
          <w:rFonts w:ascii="Times New Roman" w:hAnsi="Times New Roman" w:cs="Times New Roman"/>
          <w:i/>
          <w:iCs/>
          <w:sz w:val="24"/>
          <w:szCs w:val="24"/>
        </w:rPr>
        <w:t>supra</w:t>
      </w:r>
      <w:proofErr w:type="gramEnd"/>
      <w:r w:rsidR="003B1DE9" w:rsidRPr="00CB0424">
        <w:rPr>
          <w:rFonts w:ascii="Times New Roman" w:hAnsi="Times New Roman" w:cs="Times New Roman"/>
          <w:sz w:val="24"/>
          <w:szCs w:val="24"/>
        </w:rPr>
        <w:t>, I, 3, a)</w:t>
      </w:r>
      <w:r w:rsidR="008C7F54" w:rsidRPr="00CB0424">
        <w:rPr>
          <w:rFonts w:ascii="Times New Roman" w:hAnsi="Times New Roman" w:cs="Times New Roman"/>
          <w:sz w:val="24"/>
          <w:szCs w:val="24"/>
        </w:rPr>
        <w:t>)</w:t>
      </w:r>
      <w:r w:rsidR="00D143C8" w:rsidRPr="00CB0424">
        <w:rPr>
          <w:rStyle w:val="Appelnotedebasdep"/>
          <w:rFonts w:ascii="Times New Roman" w:hAnsi="Times New Roman" w:cs="Times New Roman"/>
          <w:sz w:val="24"/>
          <w:szCs w:val="24"/>
        </w:rPr>
        <w:footnoteReference w:id="68"/>
      </w:r>
      <w:r w:rsidR="00D143C8" w:rsidRPr="00CB0424">
        <w:rPr>
          <w:rFonts w:ascii="Times New Roman" w:hAnsi="Times New Roman" w:cs="Times New Roman"/>
          <w:sz w:val="24"/>
          <w:szCs w:val="24"/>
        </w:rPr>
        <w:t>. En outre, la réalisation du gage ne se verra pas suspendue par le dépôt de la requête si le débiteur a sollicité une telle procédure moins de six mois plus tôt, sauf décision contraire du tribunal</w:t>
      </w:r>
      <w:r w:rsidR="007E214A" w:rsidRPr="00CB0424">
        <w:rPr>
          <w:rFonts w:ascii="Times New Roman" w:hAnsi="Times New Roman" w:cs="Times New Roman"/>
          <w:sz w:val="24"/>
          <w:szCs w:val="24"/>
        </w:rPr>
        <w:t xml:space="preserve"> (article XX.45, §</w:t>
      </w:r>
      <w:r w:rsidR="00452355">
        <w:rPr>
          <w:rFonts w:ascii="Times New Roman" w:hAnsi="Times New Roman" w:cs="Times New Roman"/>
          <w:sz w:val="24"/>
          <w:szCs w:val="24"/>
        </w:rPr>
        <w:t xml:space="preserve"> </w:t>
      </w:r>
      <w:r w:rsidR="007E214A" w:rsidRPr="00CB0424">
        <w:rPr>
          <w:rFonts w:ascii="Times New Roman" w:hAnsi="Times New Roman" w:cs="Times New Roman"/>
          <w:sz w:val="24"/>
          <w:szCs w:val="24"/>
        </w:rPr>
        <w:t xml:space="preserve">5, du C.D.E.). </w:t>
      </w:r>
    </w:p>
    <w:p w14:paraId="24D5EF19" w14:textId="40A1157B" w:rsidR="00D143C8" w:rsidRPr="00CB0424" w:rsidRDefault="00D143C8" w:rsidP="00B5673A">
      <w:pPr>
        <w:pStyle w:val="Corps"/>
        <w:jc w:val="both"/>
        <w:rPr>
          <w:rFonts w:ascii="Times New Roman" w:hAnsi="Times New Roman" w:cs="Times New Roman"/>
          <w:sz w:val="24"/>
          <w:szCs w:val="24"/>
        </w:rPr>
      </w:pPr>
    </w:p>
    <w:p w14:paraId="7EC1D7FC" w14:textId="43E39B61" w:rsidR="00D143C8" w:rsidRPr="00CB0424" w:rsidRDefault="00630F71" w:rsidP="00630F71">
      <w:pPr>
        <w:pStyle w:val="Corps"/>
        <w:numPr>
          <w:ilvl w:val="0"/>
          <w:numId w:val="23"/>
        </w:numPr>
        <w:jc w:val="both"/>
        <w:rPr>
          <w:rFonts w:ascii="Times New Roman" w:hAnsi="Times New Roman" w:cs="Times New Roman"/>
          <w:b/>
          <w:bCs/>
          <w:i/>
          <w:iCs/>
          <w:sz w:val="24"/>
          <w:szCs w:val="24"/>
        </w:rPr>
      </w:pPr>
      <w:r w:rsidRPr="00CB0424">
        <w:rPr>
          <w:rFonts w:ascii="Times New Roman" w:hAnsi="Times New Roman" w:cs="Times New Roman"/>
          <w:b/>
          <w:bCs/>
          <w:i/>
          <w:iCs/>
          <w:sz w:val="24"/>
          <w:szCs w:val="24"/>
        </w:rPr>
        <w:t xml:space="preserve">Article </w:t>
      </w:r>
      <w:r w:rsidR="00D143C8" w:rsidRPr="00CB0424">
        <w:rPr>
          <w:rFonts w:ascii="Times New Roman" w:hAnsi="Times New Roman" w:cs="Times New Roman"/>
          <w:b/>
          <w:bCs/>
          <w:i/>
          <w:iCs/>
          <w:sz w:val="24"/>
          <w:szCs w:val="24"/>
        </w:rPr>
        <w:t xml:space="preserve">XX.51 du C.D.E. </w:t>
      </w:r>
    </w:p>
    <w:p w14:paraId="3F09454A" w14:textId="61B40BD6" w:rsidR="00D143C8" w:rsidRPr="00CB0424" w:rsidRDefault="00D143C8" w:rsidP="00B5673A">
      <w:pPr>
        <w:pStyle w:val="Corps"/>
        <w:jc w:val="both"/>
        <w:rPr>
          <w:rFonts w:ascii="Times New Roman" w:hAnsi="Times New Roman" w:cs="Times New Roman"/>
          <w:sz w:val="24"/>
          <w:szCs w:val="24"/>
        </w:rPr>
      </w:pPr>
    </w:p>
    <w:p w14:paraId="6A6CCF11" w14:textId="2E041516" w:rsidR="00F82D91"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L</w:t>
      </w:r>
      <w:r w:rsidR="00313215" w:rsidRPr="00CB0424">
        <w:rPr>
          <w:rFonts w:ascii="Times New Roman" w:hAnsi="Times New Roman" w:cs="Times New Roman"/>
          <w:sz w:val="24"/>
          <w:szCs w:val="24"/>
        </w:rPr>
        <w:t>es articles</w:t>
      </w:r>
      <w:r w:rsidRPr="00CB0424">
        <w:rPr>
          <w:rFonts w:ascii="Times New Roman" w:hAnsi="Times New Roman" w:cs="Times New Roman"/>
          <w:sz w:val="24"/>
          <w:szCs w:val="24"/>
        </w:rPr>
        <w:t xml:space="preserve"> XX.5</w:t>
      </w:r>
      <w:r w:rsidR="00313215" w:rsidRPr="00CB0424">
        <w:rPr>
          <w:rFonts w:ascii="Times New Roman" w:hAnsi="Times New Roman" w:cs="Times New Roman"/>
          <w:sz w:val="24"/>
          <w:szCs w:val="24"/>
        </w:rPr>
        <w:t>0 et XX.51</w:t>
      </w:r>
      <w:r w:rsidRPr="00CB0424">
        <w:rPr>
          <w:rFonts w:ascii="Times New Roman" w:hAnsi="Times New Roman" w:cs="Times New Roman"/>
          <w:sz w:val="24"/>
          <w:szCs w:val="24"/>
        </w:rPr>
        <w:t xml:space="preserve"> du C.D.E. traite</w:t>
      </w:r>
      <w:r w:rsidR="00313215" w:rsidRPr="00CB0424">
        <w:rPr>
          <w:rFonts w:ascii="Times New Roman" w:hAnsi="Times New Roman" w:cs="Times New Roman"/>
          <w:sz w:val="24"/>
          <w:szCs w:val="24"/>
        </w:rPr>
        <w:t xml:space="preserve">nt </w:t>
      </w:r>
      <w:r w:rsidRPr="00CB0424">
        <w:rPr>
          <w:rFonts w:ascii="Times New Roman" w:hAnsi="Times New Roman" w:cs="Times New Roman"/>
          <w:sz w:val="24"/>
          <w:szCs w:val="24"/>
        </w:rPr>
        <w:t>de</w:t>
      </w:r>
      <w:r w:rsidR="00313215" w:rsidRPr="00CB0424">
        <w:rPr>
          <w:rFonts w:ascii="Times New Roman" w:hAnsi="Times New Roman" w:cs="Times New Roman"/>
          <w:sz w:val="24"/>
          <w:szCs w:val="24"/>
        </w:rPr>
        <w:t>s</w:t>
      </w:r>
      <w:r w:rsidRPr="00CB0424">
        <w:rPr>
          <w:rFonts w:ascii="Times New Roman" w:hAnsi="Times New Roman" w:cs="Times New Roman"/>
          <w:sz w:val="24"/>
          <w:szCs w:val="24"/>
        </w:rPr>
        <w:t xml:space="preserve"> </w:t>
      </w:r>
      <w:r w:rsidR="00313215" w:rsidRPr="00CB0424">
        <w:rPr>
          <w:rFonts w:ascii="Times New Roman" w:hAnsi="Times New Roman" w:cs="Times New Roman"/>
          <w:sz w:val="24"/>
          <w:szCs w:val="24"/>
        </w:rPr>
        <w:t>effets</w:t>
      </w:r>
      <w:r w:rsidRPr="00CB0424">
        <w:rPr>
          <w:rFonts w:ascii="Times New Roman" w:hAnsi="Times New Roman" w:cs="Times New Roman"/>
          <w:sz w:val="24"/>
          <w:szCs w:val="24"/>
        </w:rPr>
        <w:t xml:space="preserve"> de l’ouverture de la procédure </w:t>
      </w:r>
      <w:r w:rsidR="007E214A" w:rsidRPr="00CB0424">
        <w:rPr>
          <w:rFonts w:ascii="Times New Roman" w:hAnsi="Times New Roman" w:cs="Times New Roman"/>
          <w:sz w:val="24"/>
          <w:szCs w:val="24"/>
        </w:rPr>
        <w:t>de réorganisation judiciaire. L’ouverture de cette dernière aura pour conséquence de suspendre les voies d’exécution, en ce compris la réalisation d’un gage</w:t>
      </w:r>
      <w:r w:rsidR="00313215" w:rsidRPr="00CB0424">
        <w:rPr>
          <w:rFonts w:ascii="Times New Roman" w:hAnsi="Times New Roman" w:cs="Times New Roman"/>
          <w:sz w:val="24"/>
          <w:szCs w:val="24"/>
        </w:rPr>
        <w:t xml:space="preserve"> (articles XX.50, al.</w:t>
      </w:r>
      <w:r w:rsidR="005E5FEA">
        <w:rPr>
          <w:rFonts w:ascii="Times New Roman" w:hAnsi="Times New Roman" w:cs="Times New Roman"/>
          <w:sz w:val="24"/>
          <w:szCs w:val="24"/>
        </w:rPr>
        <w:t xml:space="preserve"> </w:t>
      </w:r>
      <w:r w:rsidR="00313215" w:rsidRPr="00CB0424">
        <w:rPr>
          <w:rFonts w:ascii="Times New Roman" w:hAnsi="Times New Roman" w:cs="Times New Roman"/>
          <w:sz w:val="24"/>
          <w:szCs w:val="24"/>
        </w:rPr>
        <w:t>1</w:t>
      </w:r>
      <w:r w:rsidR="00313215" w:rsidRPr="00CB0424">
        <w:rPr>
          <w:rFonts w:ascii="Times New Roman" w:hAnsi="Times New Roman" w:cs="Times New Roman"/>
          <w:sz w:val="24"/>
          <w:szCs w:val="24"/>
          <w:vertAlign w:val="superscript"/>
        </w:rPr>
        <w:t>er</w:t>
      </w:r>
      <w:r w:rsidR="00D82333" w:rsidRPr="00CB0424">
        <w:rPr>
          <w:rFonts w:ascii="Times New Roman" w:hAnsi="Times New Roman" w:cs="Times New Roman"/>
          <w:sz w:val="24"/>
          <w:szCs w:val="24"/>
        </w:rPr>
        <w:t xml:space="preserve"> </w:t>
      </w:r>
      <w:r w:rsidR="00313215" w:rsidRPr="00CB0424">
        <w:rPr>
          <w:rFonts w:ascii="Times New Roman" w:hAnsi="Times New Roman" w:cs="Times New Roman"/>
          <w:sz w:val="24"/>
          <w:szCs w:val="24"/>
        </w:rPr>
        <w:t>et XX.51, §1</w:t>
      </w:r>
      <w:r w:rsidR="00313215" w:rsidRPr="00CB0424">
        <w:rPr>
          <w:rFonts w:ascii="Times New Roman" w:hAnsi="Times New Roman" w:cs="Times New Roman"/>
          <w:sz w:val="24"/>
          <w:szCs w:val="24"/>
          <w:vertAlign w:val="superscript"/>
        </w:rPr>
        <w:t>er</w:t>
      </w:r>
      <w:r w:rsidR="00B51954" w:rsidRPr="00CB0424">
        <w:rPr>
          <w:rFonts w:ascii="Times New Roman" w:hAnsi="Times New Roman" w:cs="Times New Roman"/>
          <w:sz w:val="24"/>
          <w:szCs w:val="24"/>
        </w:rPr>
        <w:t xml:space="preserve">, </w:t>
      </w:r>
      <w:r w:rsidR="00D82333" w:rsidRPr="00CB0424">
        <w:rPr>
          <w:rFonts w:ascii="Times New Roman" w:hAnsi="Times New Roman" w:cs="Times New Roman"/>
          <w:sz w:val="24"/>
          <w:szCs w:val="24"/>
        </w:rPr>
        <w:t>al. 1</w:t>
      </w:r>
      <w:r w:rsidR="00D82333" w:rsidRPr="00CB0424">
        <w:rPr>
          <w:rFonts w:ascii="Times New Roman" w:hAnsi="Times New Roman" w:cs="Times New Roman"/>
          <w:sz w:val="24"/>
          <w:szCs w:val="24"/>
          <w:vertAlign w:val="superscript"/>
        </w:rPr>
        <w:t>er</w:t>
      </w:r>
      <w:r w:rsidR="00D82333" w:rsidRPr="00CB0424">
        <w:rPr>
          <w:rFonts w:ascii="Times New Roman" w:hAnsi="Times New Roman" w:cs="Times New Roman"/>
          <w:sz w:val="24"/>
          <w:szCs w:val="24"/>
        </w:rPr>
        <w:t>, du C.D.E</w:t>
      </w:r>
      <w:r w:rsidR="00313215" w:rsidRPr="00CB0424">
        <w:rPr>
          <w:rFonts w:ascii="Times New Roman" w:hAnsi="Times New Roman" w:cs="Times New Roman"/>
          <w:sz w:val="24"/>
          <w:szCs w:val="24"/>
        </w:rPr>
        <w:t>.</w:t>
      </w:r>
      <w:r w:rsidR="00D82333" w:rsidRPr="00CB0424">
        <w:rPr>
          <w:rFonts w:ascii="Times New Roman" w:hAnsi="Times New Roman" w:cs="Times New Roman"/>
          <w:sz w:val="24"/>
          <w:szCs w:val="24"/>
        </w:rPr>
        <w:t>).</w:t>
      </w:r>
      <w:r w:rsidR="00313215" w:rsidRPr="00CB0424">
        <w:rPr>
          <w:rFonts w:ascii="Times New Roman" w:hAnsi="Times New Roman" w:cs="Times New Roman"/>
          <w:sz w:val="24"/>
          <w:szCs w:val="24"/>
        </w:rPr>
        <w:t xml:space="preserve"> </w:t>
      </w:r>
      <w:r w:rsidR="007E214A" w:rsidRPr="00CB0424">
        <w:rPr>
          <w:rFonts w:ascii="Times New Roman" w:hAnsi="Times New Roman" w:cs="Times New Roman"/>
          <w:sz w:val="24"/>
          <w:szCs w:val="24"/>
        </w:rPr>
        <w:t xml:space="preserve">Toutefois, </w:t>
      </w:r>
      <w:r w:rsidR="00D143C8" w:rsidRPr="00CB0424">
        <w:rPr>
          <w:rFonts w:ascii="Times New Roman" w:hAnsi="Times New Roman" w:cs="Times New Roman"/>
          <w:sz w:val="24"/>
          <w:szCs w:val="24"/>
        </w:rPr>
        <w:t>la vente pourra se poursuivre si le jour fixé pour procéder à celle-ci échoit dans un délai de deux mois suivant le dépôt de la requête, sauf suspension judiciaire demandée par le débiteur</w:t>
      </w:r>
      <w:r w:rsidR="007E214A" w:rsidRPr="00CB0424">
        <w:rPr>
          <w:rFonts w:ascii="Times New Roman" w:hAnsi="Times New Roman" w:cs="Times New Roman"/>
          <w:sz w:val="24"/>
          <w:szCs w:val="24"/>
        </w:rPr>
        <w:t xml:space="preserve"> (article XX.51, §</w:t>
      </w:r>
      <w:r w:rsidR="00F432F4">
        <w:rPr>
          <w:rFonts w:ascii="Times New Roman" w:hAnsi="Times New Roman" w:cs="Times New Roman"/>
          <w:sz w:val="24"/>
          <w:szCs w:val="24"/>
        </w:rPr>
        <w:t xml:space="preserve"> </w:t>
      </w:r>
      <w:r w:rsidR="007E214A" w:rsidRPr="00CB0424">
        <w:rPr>
          <w:rFonts w:ascii="Times New Roman" w:hAnsi="Times New Roman" w:cs="Times New Roman"/>
          <w:sz w:val="24"/>
          <w:szCs w:val="24"/>
        </w:rPr>
        <w:t>2, du C.D.E.)</w:t>
      </w:r>
      <w:r w:rsidR="00F82D91" w:rsidRPr="00CB0424">
        <w:rPr>
          <w:rStyle w:val="Appelnotedebasdep"/>
          <w:rFonts w:ascii="Times New Roman" w:hAnsi="Times New Roman" w:cs="Times New Roman"/>
          <w:sz w:val="24"/>
          <w:szCs w:val="24"/>
        </w:rPr>
        <w:footnoteReference w:id="69"/>
      </w:r>
      <w:r w:rsidR="007E214A" w:rsidRPr="00CB0424">
        <w:rPr>
          <w:rFonts w:ascii="Times New Roman" w:hAnsi="Times New Roman" w:cs="Times New Roman"/>
          <w:sz w:val="24"/>
          <w:szCs w:val="24"/>
        </w:rPr>
        <w:t xml:space="preserve">. </w:t>
      </w:r>
    </w:p>
    <w:p w14:paraId="7B79C285" w14:textId="77777777" w:rsidR="00D143C8" w:rsidRPr="00CB0424" w:rsidRDefault="00D143C8" w:rsidP="00B5673A">
      <w:pPr>
        <w:pStyle w:val="Corps"/>
        <w:jc w:val="both"/>
        <w:rPr>
          <w:rFonts w:ascii="Times New Roman" w:hAnsi="Times New Roman" w:cs="Times New Roman"/>
          <w:sz w:val="24"/>
          <w:szCs w:val="24"/>
        </w:rPr>
      </w:pPr>
    </w:p>
    <w:p w14:paraId="42B91ADC" w14:textId="08D18843" w:rsidR="00845F0E" w:rsidRPr="00CB0424" w:rsidRDefault="00845F0E" w:rsidP="007D5DAB">
      <w:pPr>
        <w:pStyle w:val="Corps"/>
        <w:numPr>
          <w:ilvl w:val="0"/>
          <w:numId w:val="25"/>
        </w:numPr>
        <w:jc w:val="both"/>
        <w:rPr>
          <w:rFonts w:ascii="Times New Roman" w:hAnsi="Times New Roman" w:cs="Times New Roman"/>
          <w:b/>
          <w:bCs/>
          <w:sz w:val="24"/>
          <w:szCs w:val="24"/>
        </w:rPr>
      </w:pPr>
      <w:r w:rsidRPr="00CB0424">
        <w:rPr>
          <w:rFonts w:ascii="Times New Roman" w:hAnsi="Times New Roman" w:cs="Times New Roman"/>
          <w:b/>
          <w:bCs/>
          <w:sz w:val="24"/>
          <w:szCs w:val="24"/>
        </w:rPr>
        <w:t xml:space="preserve">Faillite </w:t>
      </w:r>
    </w:p>
    <w:p w14:paraId="364E84B0" w14:textId="77777777" w:rsidR="00845F0E" w:rsidRPr="00CB0424" w:rsidRDefault="00845F0E" w:rsidP="00B5673A">
      <w:pPr>
        <w:pStyle w:val="Corps"/>
        <w:jc w:val="both"/>
        <w:rPr>
          <w:rFonts w:ascii="Times New Roman" w:hAnsi="Times New Roman" w:cs="Times New Roman"/>
          <w:sz w:val="24"/>
          <w:szCs w:val="24"/>
        </w:rPr>
      </w:pPr>
    </w:p>
    <w:p w14:paraId="3FF464F5" w14:textId="5ACB54EB" w:rsidR="00C22B7B" w:rsidRPr="00CB0424" w:rsidRDefault="00E8092E"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 xml:space="preserve">En matière de faillite, </w:t>
      </w:r>
      <w:r w:rsidR="009F6FC5" w:rsidRPr="00CB0424">
        <w:rPr>
          <w:rFonts w:ascii="Times New Roman" w:hAnsi="Times New Roman" w:cs="Times New Roman"/>
          <w:sz w:val="24"/>
          <w:szCs w:val="24"/>
        </w:rPr>
        <w:t xml:space="preserve">la réalisation du gage sera, en principe, </w:t>
      </w:r>
      <w:r w:rsidRPr="00CB0424">
        <w:rPr>
          <w:rFonts w:ascii="Times New Roman" w:hAnsi="Times New Roman" w:cs="Times New Roman"/>
          <w:sz w:val="24"/>
          <w:szCs w:val="24"/>
        </w:rPr>
        <w:t xml:space="preserve">suspendue par </w:t>
      </w:r>
      <w:r w:rsidR="009F6FC5" w:rsidRPr="00CB0424">
        <w:rPr>
          <w:rFonts w:ascii="Times New Roman" w:hAnsi="Times New Roman" w:cs="Times New Roman"/>
          <w:sz w:val="24"/>
          <w:szCs w:val="24"/>
        </w:rPr>
        <w:t>l’</w:t>
      </w:r>
      <w:r w:rsidRPr="00CB0424">
        <w:rPr>
          <w:rFonts w:ascii="Times New Roman" w:hAnsi="Times New Roman" w:cs="Times New Roman"/>
          <w:sz w:val="24"/>
          <w:szCs w:val="24"/>
        </w:rPr>
        <w:t>e</w:t>
      </w:r>
      <w:r w:rsidR="009F6FC5" w:rsidRPr="00CB0424">
        <w:rPr>
          <w:rFonts w:ascii="Times New Roman" w:hAnsi="Times New Roman" w:cs="Times New Roman"/>
          <w:sz w:val="24"/>
          <w:szCs w:val="24"/>
        </w:rPr>
        <w:t>ffet du</w:t>
      </w:r>
      <w:r w:rsidRPr="00CB0424">
        <w:rPr>
          <w:rFonts w:ascii="Times New Roman" w:hAnsi="Times New Roman" w:cs="Times New Roman"/>
          <w:sz w:val="24"/>
          <w:szCs w:val="24"/>
        </w:rPr>
        <w:t xml:space="preserve"> jugement déclaratif (article XX.</w:t>
      </w:r>
      <w:r w:rsidR="00C22B7B" w:rsidRPr="00CB0424">
        <w:rPr>
          <w:rFonts w:ascii="Times New Roman" w:hAnsi="Times New Roman" w:cs="Times New Roman"/>
          <w:sz w:val="24"/>
          <w:szCs w:val="24"/>
        </w:rPr>
        <w:t>1</w:t>
      </w:r>
      <w:r w:rsidRPr="00CB0424">
        <w:rPr>
          <w:rFonts w:ascii="Times New Roman" w:hAnsi="Times New Roman" w:cs="Times New Roman"/>
          <w:sz w:val="24"/>
          <w:szCs w:val="24"/>
        </w:rPr>
        <w:t>20</w:t>
      </w:r>
      <w:r w:rsidR="00C22B7B" w:rsidRPr="00CB0424">
        <w:rPr>
          <w:rFonts w:ascii="Times New Roman" w:hAnsi="Times New Roman" w:cs="Times New Roman"/>
          <w:sz w:val="24"/>
          <w:szCs w:val="24"/>
        </w:rPr>
        <w:t>, §</w:t>
      </w:r>
      <w:r w:rsidR="009A492B">
        <w:rPr>
          <w:rFonts w:ascii="Times New Roman" w:hAnsi="Times New Roman" w:cs="Times New Roman"/>
          <w:sz w:val="24"/>
          <w:szCs w:val="24"/>
        </w:rPr>
        <w:t xml:space="preserve"> </w:t>
      </w:r>
      <w:r w:rsidR="00C22B7B" w:rsidRPr="00CB0424">
        <w:rPr>
          <w:rFonts w:ascii="Times New Roman" w:hAnsi="Times New Roman" w:cs="Times New Roman"/>
          <w:sz w:val="24"/>
          <w:szCs w:val="24"/>
        </w:rPr>
        <w:t>1</w:t>
      </w:r>
      <w:r w:rsidR="00C22B7B" w:rsidRPr="00CB0424">
        <w:rPr>
          <w:rFonts w:ascii="Times New Roman" w:hAnsi="Times New Roman" w:cs="Times New Roman"/>
          <w:sz w:val="24"/>
          <w:szCs w:val="24"/>
          <w:vertAlign w:val="superscript"/>
        </w:rPr>
        <w:t>er</w:t>
      </w:r>
      <w:r w:rsidR="00C22B7B" w:rsidRPr="00CB0424">
        <w:rPr>
          <w:rFonts w:ascii="Times New Roman" w:hAnsi="Times New Roman" w:cs="Times New Roman"/>
          <w:sz w:val="24"/>
          <w:szCs w:val="24"/>
        </w:rPr>
        <w:t>, al. 1</w:t>
      </w:r>
      <w:r w:rsidR="00C22B7B" w:rsidRPr="00CB0424">
        <w:rPr>
          <w:rFonts w:ascii="Times New Roman" w:hAnsi="Times New Roman" w:cs="Times New Roman"/>
          <w:sz w:val="24"/>
          <w:szCs w:val="24"/>
          <w:vertAlign w:val="superscript"/>
        </w:rPr>
        <w:t>er</w:t>
      </w:r>
      <w:r w:rsidR="00C22B7B" w:rsidRPr="00CB0424">
        <w:rPr>
          <w:rFonts w:ascii="Times New Roman" w:hAnsi="Times New Roman" w:cs="Times New Roman"/>
          <w:sz w:val="24"/>
          <w:szCs w:val="24"/>
        </w:rPr>
        <w:t>,</w:t>
      </w:r>
      <w:r w:rsidRPr="00CB0424">
        <w:rPr>
          <w:rFonts w:ascii="Times New Roman" w:hAnsi="Times New Roman" w:cs="Times New Roman"/>
          <w:sz w:val="24"/>
          <w:szCs w:val="24"/>
        </w:rPr>
        <w:t xml:space="preserve"> du C.D.E</w:t>
      </w:r>
      <w:r w:rsidR="00C22B7B" w:rsidRPr="00CB0424">
        <w:rPr>
          <w:rFonts w:ascii="Times New Roman" w:hAnsi="Times New Roman" w:cs="Times New Roman"/>
          <w:sz w:val="24"/>
          <w:szCs w:val="24"/>
        </w:rPr>
        <w:t xml:space="preserve"> et XX</w:t>
      </w:r>
      <w:r w:rsidRPr="00CB0424">
        <w:rPr>
          <w:rFonts w:ascii="Times New Roman" w:hAnsi="Times New Roman" w:cs="Times New Roman"/>
          <w:sz w:val="24"/>
          <w:szCs w:val="24"/>
        </w:rPr>
        <w:t>.</w:t>
      </w:r>
      <w:r w:rsidR="00C22B7B" w:rsidRPr="00CB0424">
        <w:rPr>
          <w:rFonts w:ascii="Times New Roman" w:hAnsi="Times New Roman" w:cs="Times New Roman"/>
          <w:sz w:val="24"/>
          <w:szCs w:val="24"/>
        </w:rPr>
        <w:t>121</w:t>
      </w:r>
      <w:r w:rsidR="004A1D64" w:rsidRPr="00CB0424">
        <w:rPr>
          <w:rFonts w:ascii="Times New Roman" w:hAnsi="Times New Roman" w:cs="Times New Roman"/>
          <w:sz w:val="24"/>
          <w:szCs w:val="24"/>
        </w:rPr>
        <w:t>, al. 1</w:t>
      </w:r>
      <w:r w:rsidR="004A1D64" w:rsidRPr="00CB0424">
        <w:rPr>
          <w:rFonts w:ascii="Times New Roman" w:hAnsi="Times New Roman" w:cs="Times New Roman"/>
          <w:sz w:val="24"/>
          <w:szCs w:val="24"/>
          <w:vertAlign w:val="superscript"/>
        </w:rPr>
        <w:t>er</w:t>
      </w:r>
      <w:r w:rsidR="004A1D64" w:rsidRPr="00CB0424">
        <w:rPr>
          <w:rFonts w:ascii="Times New Roman" w:hAnsi="Times New Roman" w:cs="Times New Roman"/>
          <w:sz w:val="24"/>
          <w:szCs w:val="24"/>
        </w:rPr>
        <w:t>,</w:t>
      </w:r>
      <w:r w:rsidR="00C22B7B" w:rsidRPr="00CB0424">
        <w:rPr>
          <w:rFonts w:ascii="Times New Roman" w:hAnsi="Times New Roman" w:cs="Times New Roman"/>
          <w:sz w:val="24"/>
          <w:szCs w:val="24"/>
        </w:rPr>
        <w:t xml:space="preserve"> du C.D.E</w:t>
      </w:r>
      <w:r w:rsidRPr="00CB0424">
        <w:rPr>
          <w:rFonts w:ascii="Times New Roman" w:hAnsi="Times New Roman" w:cs="Times New Roman"/>
          <w:sz w:val="24"/>
          <w:szCs w:val="24"/>
        </w:rPr>
        <w:t>)</w:t>
      </w:r>
      <w:r w:rsidR="00C22B7B" w:rsidRPr="00CB0424">
        <w:rPr>
          <w:rStyle w:val="Appelnotedebasdep"/>
          <w:rFonts w:ascii="Times New Roman" w:hAnsi="Times New Roman" w:cs="Times New Roman"/>
          <w:sz w:val="24"/>
          <w:szCs w:val="24"/>
        </w:rPr>
        <w:footnoteReference w:id="70"/>
      </w:r>
      <w:r w:rsidR="004E654C" w:rsidRPr="00CB0424">
        <w:rPr>
          <w:rFonts w:ascii="Times New Roman" w:hAnsi="Times New Roman" w:cs="Times New Roman"/>
          <w:sz w:val="24"/>
          <w:szCs w:val="24"/>
        </w:rPr>
        <w:t xml:space="preserve">. </w:t>
      </w:r>
      <w:r w:rsidR="007E214A" w:rsidRPr="00CB0424">
        <w:rPr>
          <w:rFonts w:ascii="Times New Roman" w:hAnsi="Times New Roman" w:cs="Times New Roman"/>
          <w:sz w:val="24"/>
          <w:szCs w:val="24"/>
        </w:rPr>
        <w:t xml:space="preserve">Toutefois, si, antérieurement au jugement déclaratif de faillite, le jour de la vente forcée des meubles a déjà été fixé et publié par les affiches, </w:t>
      </w:r>
      <w:r w:rsidR="00C22B7B" w:rsidRPr="00CB0424">
        <w:rPr>
          <w:rFonts w:ascii="Times New Roman" w:hAnsi="Times New Roman" w:cs="Times New Roman"/>
          <w:sz w:val="24"/>
          <w:szCs w:val="24"/>
        </w:rPr>
        <w:t>cette dernière a lieu pour le compte de la masse (article XX.120, §</w:t>
      </w:r>
      <w:r w:rsidR="009A492B">
        <w:rPr>
          <w:rFonts w:ascii="Times New Roman" w:hAnsi="Times New Roman" w:cs="Times New Roman"/>
          <w:sz w:val="24"/>
          <w:szCs w:val="24"/>
        </w:rPr>
        <w:t xml:space="preserve"> </w:t>
      </w:r>
      <w:r w:rsidR="00C22B7B" w:rsidRPr="00CB0424">
        <w:rPr>
          <w:rFonts w:ascii="Times New Roman" w:hAnsi="Times New Roman" w:cs="Times New Roman"/>
          <w:sz w:val="24"/>
          <w:szCs w:val="24"/>
        </w:rPr>
        <w:t>1</w:t>
      </w:r>
      <w:r w:rsidR="00C22B7B" w:rsidRPr="00CB0424">
        <w:rPr>
          <w:rFonts w:ascii="Times New Roman" w:hAnsi="Times New Roman" w:cs="Times New Roman"/>
          <w:sz w:val="24"/>
          <w:szCs w:val="24"/>
          <w:vertAlign w:val="superscript"/>
        </w:rPr>
        <w:t>er</w:t>
      </w:r>
      <w:r w:rsidR="00C22B7B" w:rsidRPr="00CB0424">
        <w:rPr>
          <w:rFonts w:ascii="Times New Roman" w:hAnsi="Times New Roman" w:cs="Times New Roman"/>
          <w:sz w:val="24"/>
          <w:szCs w:val="24"/>
        </w:rPr>
        <w:t>, al. 2, du C.D.E)</w:t>
      </w:r>
    </w:p>
    <w:p w14:paraId="18D4BDAD" w14:textId="77777777" w:rsidR="00C22B7B" w:rsidRPr="00CB0424" w:rsidRDefault="00C22B7B" w:rsidP="00B5673A">
      <w:pPr>
        <w:pStyle w:val="Corps"/>
        <w:jc w:val="both"/>
        <w:rPr>
          <w:rFonts w:ascii="Times New Roman" w:hAnsi="Times New Roman" w:cs="Times New Roman"/>
          <w:sz w:val="24"/>
          <w:szCs w:val="24"/>
        </w:rPr>
      </w:pPr>
    </w:p>
    <w:p w14:paraId="4A4E4157" w14:textId="14B14BEB" w:rsidR="00B06F42" w:rsidRDefault="00C22B7B" w:rsidP="00B5673A">
      <w:pPr>
        <w:pStyle w:val="Corps"/>
        <w:jc w:val="both"/>
        <w:rPr>
          <w:rFonts w:ascii="Times New Roman" w:hAnsi="Times New Roman" w:cs="Times New Roman"/>
          <w:sz w:val="24"/>
          <w:szCs w:val="24"/>
        </w:rPr>
      </w:pPr>
      <w:r w:rsidRPr="00CB0424">
        <w:rPr>
          <w:rFonts w:ascii="Times New Roman" w:hAnsi="Times New Roman" w:cs="Times New Roman"/>
          <w:sz w:val="24"/>
          <w:szCs w:val="24"/>
        </w:rPr>
        <w:t>Il s’agira pour l’huissier de remettre les fonds provenant de la vente du bien gagé au curateur, après désintéressement des créanciers privilégiés spéciaux</w:t>
      </w:r>
      <w:r w:rsidR="000B327D" w:rsidRPr="00CB0424">
        <w:rPr>
          <w:rStyle w:val="Appelnotedebasdep"/>
          <w:rFonts w:ascii="Times New Roman" w:hAnsi="Times New Roman" w:cs="Times New Roman"/>
          <w:sz w:val="24"/>
          <w:szCs w:val="24"/>
        </w:rPr>
        <w:footnoteReference w:id="71"/>
      </w:r>
      <w:r w:rsidR="001627E9" w:rsidRPr="00CB0424">
        <w:rPr>
          <w:rFonts w:ascii="Times New Roman" w:hAnsi="Times New Roman" w:cs="Times New Roman"/>
          <w:sz w:val="24"/>
          <w:szCs w:val="24"/>
        </w:rPr>
        <w:t xml:space="preserve">. </w:t>
      </w:r>
      <w:r w:rsidR="004E654C" w:rsidRPr="00CB0424">
        <w:rPr>
          <w:rFonts w:ascii="Times New Roman" w:hAnsi="Times New Roman" w:cs="Times New Roman"/>
          <w:sz w:val="24"/>
          <w:szCs w:val="24"/>
        </w:rPr>
        <w:t>En ce qui concerne l</w:t>
      </w:r>
      <w:r w:rsidRPr="00CB0424">
        <w:rPr>
          <w:rFonts w:ascii="Times New Roman" w:hAnsi="Times New Roman" w:cs="Times New Roman"/>
          <w:sz w:val="24"/>
          <w:szCs w:val="24"/>
        </w:rPr>
        <w:t>’éventuelle</w:t>
      </w:r>
      <w:r w:rsidR="004E654C" w:rsidRPr="00CB0424">
        <w:rPr>
          <w:rFonts w:ascii="Times New Roman" w:hAnsi="Times New Roman" w:cs="Times New Roman"/>
          <w:sz w:val="24"/>
          <w:szCs w:val="24"/>
        </w:rPr>
        <w:t xml:space="preserve"> remise ou abandon de cette vente et les différents créanciers devant être appelés à </w:t>
      </w:r>
      <w:r w:rsidRPr="00CB0424">
        <w:rPr>
          <w:rFonts w:ascii="Times New Roman" w:hAnsi="Times New Roman" w:cs="Times New Roman"/>
          <w:sz w:val="24"/>
          <w:szCs w:val="24"/>
        </w:rPr>
        <w:t>cette</w:t>
      </w:r>
      <w:r w:rsidR="004E654C" w:rsidRPr="00CB0424">
        <w:rPr>
          <w:rFonts w:ascii="Times New Roman" w:hAnsi="Times New Roman" w:cs="Times New Roman"/>
          <w:sz w:val="24"/>
          <w:szCs w:val="24"/>
        </w:rPr>
        <w:t xml:space="preserve"> procédure, </w:t>
      </w:r>
      <w:r w:rsidR="00F82D91" w:rsidRPr="00CB0424">
        <w:rPr>
          <w:rFonts w:ascii="Times New Roman" w:hAnsi="Times New Roman" w:cs="Times New Roman"/>
          <w:sz w:val="24"/>
          <w:szCs w:val="24"/>
        </w:rPr>
        <w:t>nous renvoyons</w:t>
      </w:r>
      <w:r w:rsidR="008C7F54" w:rsidRPr="00CB0424">
        <w:rPr>
          <w:rFonts w:ascii="Times New Roman" w:hAnsi="Times New Roman" w:cs="Times New Roman"/>
          <w:sz w:val="24"/>
          <w:szCs w:val="24"/>
        </w:rPr>
        <w:t xml:space="preserve"> le lecteur</w:t>
      </w:r>
      <w:r w:rsidR="00F82D91" w:rsidRPr="00CB0424">
        <w:rPr>
          <w:rFonts w:ascii="Times New Roman" w:hAnsi="Times New Roman" w:cs="Times New Roman"/>
          <w:sz w:val="24"/>
          <w:szCs w:val="24"/>
        </w:rPr>
        <w:t xml:space="preserve"> au commentaire opéré plus haut en ce qui concerne l’article XX.120 du C.D.E (</w:t>
      </w:r>
      <w:proofErr w:type="spellStart"/>
      <w:r w:rsidR="00F82D91" w:rsidRPr="00CB0424">
        <w:rPr>
          <w:rFonts w:ascii="Times New Roman" w:hAnsi="Times New Roman" w:cs="Times New Roman"/>
          <w:sz w:val="24"/>
          <w:szCs w:val="24"/>
        </w:rPr>
        <w:t>voy</w:t>
      </w:r>
      <w:proofErr w:type="spellEnd"/>
      <w:r w:rsidR="00F82D91" w:rsidRPr="00CB0424">
        <w:rPr>
          <w:rFonts w:ascii="Times New Roman" w:hAnsi="Times New Roman" w:cs="Times New Roman"/>
          <w:sz w:val="24"/>
          <w:szCs w:val="24"/>
        </w:rPr>
        <w:t xml:space="preserve">. </w:t>
      </w:r>
      <w:proofErr w:type="gramStart"/>
      <w:r w:rsidR="00F82D91" w:rsidRPr="00CB0424">
        <w:rPr>
          <w:rFonts w:ascii="Times New Roman" w:hAnsi="Times New Roman" w:cs="Times New Roman"/>
          <w:i/>
          <w:iCs/>
          <w:sz w:val="24"/>
          <w:szCs w:val="24"/>
        </w:rPr>
        <w:t>supra</w:t>
      </w:r>
      <w:proofErr w:type="gramEnd"/>
      <w:r w:rsidR="00F82D91" w:rsidRPr="00CB0424">
        <w:rPr>
          <w:rFonts w:ascii="Times New Roman" w:hAnsi="Times New Roman" w:cs="Times New Roman"/>
          <w:sz w:val="24"/>
          <w:szCs w:val="24"/>
        </w:rPr>
        <w:t>, II, 3).</w:t>
      </w:r>
    </w:p>
    <w:p w14:paraId="176AC470" w14:textId="164403B0" w:rsidR="004367EC" w:rsidRDefault="00E8092E" w:rsidP="00B5673A">
      <w:pPr>
        <w:pStyle w:val="Corps"/>
        <w:jc w:val="both"/>
        <w:rPr>
          <w:rFonts w:ascii="Times New Roman" w:hAnsi="Times New Roman" w:cs="Times New Roman"/>
          <w:sz w:val="24"/>
          <w:szCs w:val="24"/>
        </w:rPr>
      </w:pPr>
      <w:r w:rsidRPr="00CB7E44">
        <w:rPr>
          <w:rFonts w:ascii="Times New Roman" w:hAnsi="Times New Roman" w:cs="Times New Roman"/>
          <w:sz w:val="24"/>
          <w:szCs w:val="24"/>
        </w:rPr>
        <w:lastRenderedPageBreak/>
        <w:t>Le créancier gagiste étant titulaire d’une sûreté</w:t>
      </w:r>
      <w:r w:rsidR="00E81DF4" w:rsidRPr="00CB7E44">
        <w:rPr>
          <w:rFonts w:ascii="Times New Roman" w:hAnsi="Times New Roman" w:cs="Times New Roman"/>
          <w:sz w:val="24"/>
          <w:szCs w:val="24"/>
        </w:rPr>
        <w:t xml:space="preserve"> réelle</w:t>
      </w:r>
      <w:r w:rsidRPr="00CB7E44">
        <w:rPr>
          <w:rFonts w:ascii="Times New Roman" w:hAnsi="Times New Roman" w:cs="Times New Roman"/>
          <w:sz w:val="24"/>
          <w:szCs w:val="24"/>
        </w:rPr>
        <w:t xml:space="preserve"> mobilière</w:t>
      </w:r>
      <w:r w:rsidR="00ED3437" w:rsidRPr="00CB7E44">
        <w:rPr>
          <w:rFonts w:ascii="Times New Roman" w:hAnsi="Times New Roman" w:cs="Times New Roman"/>
          <w:sz w:val="24"/>
          <w:szCs w:val="24"/>
        </w:rPr>
        <w:t xml:space="preserve"> (article 3.3. </w:t>
      </w:r>
      <w:proofErr w:type="gramStart"/>
      <w:r w:rsidR="00ED3437" w:rsidRPr="00CB7E44">
        <w:rPr>
          <w:rFonts w:ascii="Times New Roman" w:hAnsi="Times New Roman" w:cs="Times New Roman"/>
          <w:sz w:val="24"/>
          <w:szCs w:val="24"/>
        </w:rPr>
        <w:t>du</w:t>
      </w:r>
      <w:proofErr w:type="gramEnd"/>
      <w:r w:rsidR="00ED3437" w:rsidRPr="00CB7E44">
        <w:rPr>
          <w:rFonts w:ascii="Times New Roman" w:hAnsi="Times New Roman" w:cs="Times New Roman"/>
          <w:sz w:val="24"/>
          <w:szCs w:val="24"/>
        </w:rPr>
        <w:t xml:space="preserve"> Code civil)</w:t>
      </w:r>
      <w:r w:rsidR="00097755" w:rsidRPr="00CB7E44">
        <w:rPr>
          <w:rStyle w:val="Appelnotedebasdep"/>
          <w:rFonts w:ascii="Times New Roman" w:hAnsi="Times New Roman" w:cs="Times New Roman"/>
          <w:sz w:val="24"/>
          <w:szCs w:val="24"/>
        </w:rPr>
        <w:footnoteReference w:id="72"/>
      </w:r>
      <w:r w:rsidRPr="00CB7E44">
        <w:rPr>
          <w:rFonts w:ascii="Times New Roman" w:hAnsi="Times New Roman" w:cs="Times New Roman"/>
          <w:sz w:val="24"/>
          <w:szCs w:val="24"/>
        </w:rPr>
        <w:t>, les opérations ne seront suspendues que jusqu’au dépôt du premier procès</w:t>
      </w:r>
      <w:r w:rsidR="00674CEF" w:rsidRPr="00CB7E44">
        <w:rPr>
          <w:rFonts w:ascii="Times New Roman" w:hAnsi="Times New Roman" w:cs="Times New Roman"/>
          <w:sz w:val="24"/>
          <w:szCs w:val="24"/>
        </w:rPr>
        <w:t>-</w:t>
      </w:r>
      <w:r w:rsidRPr="00CB7E44">
        <w:rPr>
          <w:rFonts w:ascii="Times New Roman" w:hAnsi="Times New Roman" w:cs="Times New Roman"/>
          <w:sz w:val="24"/>
          <w:szCs w:val="24"/>
        </w:rPr>
        <w:t>verbal de vérification des créances (article XX.121 du C.D.E.). Toutefois, si l’intérêt de la masse l’exige et à condition qu’une réalisation des meubles puisse être attendue et ne désavantage</w:t>
      </w:r>
      <w:r w:rsidR="008C7F54" w:rsidRPr="00CB7E44">
        <w:rPr>
          <w:rFonts w:ascii="Times New Roman" w:hAnsi="Times New Roman" w:cs="Times New Roman"/>
          <w:sz w:val="24"/>
          <w:szCs w:val="24"/>
        </w:rPr>
        <w:t>a</w:t>
      </w:r>
      <w:r w:rsidRPr="00CB7E44">
        <w:rPr>
          <w:rFonts w:ascii="Times New Roman" w:hAnsi="Times New Roman" w:cs="Times New Roman"/>
          <w:sz w:val="24"/>
          <w:szCs w:val="24"/>
        </w:rPr>
        <w:t>nt pas les créanciers, le tribunal peut ordonner la suspension d’exécution pour une période d’un an maximum à compter de la déclaration de faillite (article XX.121, al. 2</w:t>
      </w:r>
      <w:r w:rsidR="008C7F54" w:rsidRPr="00CB7E44">
        <w:rPr>
          <w:rFonts w:ascii="Times New Roman" w:hAnsi="Times New Roman" w:cs="Times New Roman"/>
          <w:sz w:val="24"/>
          <w:szCs w:val="24"/>
        </w:rPr>
        <w:t>, d</w:t>
      </w:r>
      <w:r w:rsidRPr="00CB7E44">
        <w:rPr>
          <w:rFonts w:ascii="Times New Roman" w:hAnsi="Times New Roman" w:cs="Times New Roman"/>
          <w:sz w:val="24"/>
          <w:szCs w:val="24"/>
        </w:rPr>
        <w:t>u C.D.E.). La seule possibilité pour le curateur d’arrêter l’exécution du gage est alors de rembourser la dette et d’obtenir retrait du gage (article XX.181 du C.D.E)</w:t>
      </w:r>
      <w:r w:rsidRPr="00CB7E44">
        <w:rPr>
          <w:rFonts w:ascii="Times New Roman" w:eastAsia="Times New Roman" w:hAnsi="Times New Roman" w:cs="Times New Roman"/>
          <w:sz w:val="24"/>
          <w:szCs w:val="24"/>
          <w:vertAlign w:val="superscript"/>
        </w:rPr>
        <w:footnoteReference w:id="73"/>
      </w:r>
      <w:r w:rsidRPr="00CB7E44">
        <w:rPr>
          <w:rFonts w:ascii="Times New Roman" w:hAnsi="Times New Roman" w:cs="Times New Roman"/>
          <w:sz w:val="24"/>
          <w:szCs w:val="24"/>
        </w:rPr>
        <w:t>.</w:t>
      </w:r>
    </w:p>
    <w:p w14:paraId="513D679E" w14:textId="3BBCFAEE" w:rsidR="005777C5" w:rsidRDefault="005777C5" w:rsidP="00B5673A">
      <w:pPr>
        <w:pStyle w:val="Corps"/>
        <w:jc w:val="both"/>
        <w:rPr>
          <w:rFonts w:ascii="Times New Roman" w:hAnsi="Times New Roman" w:cs="Times New Roman"/>
          <w:sz w:val="24"/>
          <w:szCs w:val="24"/>
        </w:rPr>
      </w:pPr>
    </w:p>
    <w:p w14:paraId="5BF350D4" w14:textId="72C29D15" w:rsidR="005777C5" w:rsidRDefault="005777C5" w:rsidP="00B5673A">
      <w:pPr>
        <w:pStyle w:val="Corps"/>
        <w:jc w:val="both"/>
        <w:rPr>
          <w:rFonts w:ascii="Times New Roman" w:hAnsi="Times New Roman" w:cs="Times New Roman"/>
          <w:sz w:val="24"/>
          <w:szCs w:val="24"/>
        </w:rPr>
      </w:pPr>
    </w:p>
    <w:p w14:paraId="20F8F651" w14:textId="77777777" w:rsidR="005777C5" w:rsidRPr="00CB0424" w:rsidRDefault="005777C5" w:rsidP="00B5673A">
      <w:pPr>
        <w:pStyle w:val="Corps"/>
        <w:jc w:val="both"/>
        <w:rPr>
          <w:rFonts w:ascii="Times New Roman" w:hAnsi="Times New Roman" w:cs="Times New Roman"/>
          <w:sz w:val="24"/>
          <w:szCs w:val="24"/>
        </w:rPr>
      </w:pPr>
    </w:p>
    <w:p w14:paraId="27CAE6B8" w14:textId="029F3895" w:rsidR="0019399B" w:rsidRDefault="005777C5" w:rsidP="005777C5">
      <w:pPr>
        <w:pStyle w:val="Corps"/>
        <w:jc w:val="right"/>
        <w:rPr>
          <w:rFonts w:ascii="Times New Roman" w:hAnsi="Times New Roman" w:cs="Times New Roman"/>
          <w:sz w:val="24"/>
          <w:szCs w:val="24"/>
        </w:rPr>
      </w:pPr>
      <w:r>
        <w:rPr>
          <w:rFonts w:ascii="Times New Roman" w:hAnsi="Times New Roman" w:cs="Times New Roman"/>
          <w:sz w:val="24"/>
          <w:szCs w:val="24"/>
        </w:rPr>
        <w:t>Jean BOILEAU</w:t>
      </w:r>
    </w:p>
    <w:p w14:paraId="314A7051" w14:textId="4DB49035" w:rsidR="005777C5" w:rsidRPr="008E6CEF" w:rsidRDefault="005777C5" w:rsidP="00D969FC">
      <w:pPr>
        <w:pStyle w:val="Corps"/>
        <w:jc w:val="right"/>
        <w:rPr>
          <w:rFonts w:ascii="Times New Roman" w:hAnsi="Times New Roman" w:cs="Times New Roman"/>
          <w:sz w:val="24"/>
          <w:szCs w:val="24"/>
        </w:rPr>
      </w:pPr>
      <w:r>
        <w:rPr>
          <w:rFonts w:ascii="Times New Roman" w:hAnsi="Times New Roman" w:cs="Times New Roman"/>
          <w:sz w:val="24"/>
          <w:szCs w:val="24"/>
        </w:rPr>
        <w:tab/>
        <w:t>Assistant à l’Université de Liège</w:t>
      </w:r>
    </w:p>
    <w:sectPr w:rsidR="005777C5" w:rsidRPr="008E6CEF" w:rsidSect="00D858F3">
      <w:footerReference w:type="even" r:id="rId8"/>
      <w:footerReference w:type="default" r:id="rId9"/>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2962" w14:textId="77777777" w:rsidR="00962368" w:rsidRDefault="00962368">
      <w:r>
        <w:separator/>
      </w:r>
    </w:p>
  </w:endnote>
  <w:endnote w:type="continuationSeparator" w:id="0">
    <w:p w14:paraId="2D69279C" w14:textId="77777777" w:rsidR="00962368" w:rsidRDefault="0096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43426818"/>
      <w:docPartObj>
        <w:docPartGallery w:val="Page Numbers (Bottom of Page)"/>
        <w:docPartUnique/>
      </w:docPartObj>
    </w:sdtPr>
    <w:sdtEndPr>
      <w:rPr>
        <w:rStyle w:val="Numrodepage"/>
      </w:rPr>
    </w:sdtEndPr>
    <w:sdtContent>
      <w:p w14:paraId="7BC5FED3" w14:textId="4374CC0C" w:rsidR="00DA59DD" w:rsidRDefault="00DA59DD" w:rsidP="00E709F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15</w:t>
        </w:r>
        <w:r>
          <w:rPr>
            <w:rStyle w:val="Numrodepage"/>
          </w:rPr>
          <w:fldChar w:fldCharType="end"/>
        </w:r>
      </w:p>
    </w:sdtContent>
  </w:sdt>
  <w:p w14:paraId="61790BC9" w14:textId="77777777" w:rsidR="00DA59DD" w:rsidRDefault="00DA59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91632296"/>
      <w:docPartObj>
        <w:docPartGallery w:val="Page Numbers (Bottom of Page)"/>
        <w:docPartUnique/>
      </w:docPartObj>
    </w:sdtPr>
    <w:sdtEndPr>
      <w:rPr>
        <w:rStyle w:val="Numrodepage"/>
      </w:rPr>
    </w:sdtEndPr>
    <w:sdtContent>
      <w:p w14:paraId="798A1322" w14:textId="7C571CE2" w:rsidR="00DA59DD" w:rsidRDefault="00DA59DD" w:rsidP="00E709F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16</w:t>
        </w:r>
        <w:r>
          <w:rPr>
            <w:rStyle w:val="Numrodepage"/>
          </w:rPr>
          <w:fldChar w:fldCharType="end"/>
        </w:r>
      </w:p>
    </w:sdtContent>
  </w:sdt>
  <w:p w14:paraId="58CAAFAA" w14:textId="77777777" w:rsidR="004367EC" w:rsidRDefault="004367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A891" w14:textId="77777777" w:rsidR="00962368" w:rsidRDefault="00962368">
      <w:r>
        <w:separator/>
      </w:r>
    </w:p>
  </w:footnote>
  <w:footnote w:type="continuationSeparator" w:id="0">
    <w:p w14:paraId="043F7A65" w14:textId="77777777" w:rsidR="00962368" w:rsidRDefault="00962368">
      <w:r>
        <w:continuationSeparator/>
      </w:r>
    </w:p>
  </w:footnote>
  <w:footnote w:type="continuationNotice" w:id="1">
    <w:p w14:paraId="4DCE9773" w14:textId="77777777" w:rsidR="00962368" w:rsidRDefault="00962368"/>
  </w:footnote>
  <w:footnote w:id="2">
    <w:p w14:paraId="1CAAC807" w14:textId="12CF9F8A"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0031301F" w:rsidRPr="00167A1B">
        <w:rPr>
          <w:rFonts w:ascii="Times New Roman" w:hAnsi="Times New Roman" w:cs="Times New Roman"/>
        </w:rPr>
        <w:t>Envisagées indistinctement</w:t>
      </w:r>
      <w:r w:rsidR="007B31FD" w:rsidRPr="00167A1B">
        <w:rPr>
          <w:rFonts w:ascii="Times New Roman" w:hAnsi="Times New Roman" w:cs="Times New Roman"/>
        </w:rPr>
        <w:t xml:space="preserve">, ces procédures seront </w:t>
      </w:r>
      <w:r w:rsidR="0031301F" w:rsidRPr="00167A1B">
        <w:rPr>
          <w:rFonts w:ascii="Times New Roman" w:hAnsi="Times New Roman" w:cs="Times New Roman"/>
        </w:rPr>
        <w:t xml:space="preserve">ici dénommées </w:t>
      </w:r>
      <w:r w:rsidR="007B31FD" w:rsidRPr="00167A1B">
        <w:rPr>
          <w:rFonts w:ascii="Times New Roman" w:hAnsi="Times New Roman" w:cs="Times New Roman"/>
        </w:rPr>
        <w:t>« procédure</w:t>
      </w:r>
      <w:r w:rsidR="00D658CA">
        <w:rPr>
          <w:rFonts w:ascii="Times New Roman" w:hAnsi="Times New Roman" w:cs="Times New Roman"/>
        </w:rPr>
        <w:t>s</w:t>
      </w:r>
      <w:r w:rsidR="007B31FD" w:rsidRPr="00167A1B">
        <w:rPr>
          <w:rFonts w:ascii="Times New Roman" w:hAnsi="Times New Roman" w:cs="Times New Roman"/>
        </w:rPr>
        <w:t xml:space="preserve"> collective</w:t>
      </w:r>
      <w:r w:rsidR="00D658CA">
        <w:rPr>
          <w:rFonts w:ascii="Times New Roman" w:hAnsi="Times New Roman" w:cs="Times New Roman"/>
        </w:rPr>
        <w:t>s</w:t>
      </w:r>
      <w:r w:rsidR="007B31FD" w:rsidRPr="00167A1B">
        <w:rPr>
          <w:rFonts w:ascii="Times New Roman" w:hAnsi="Times New Roman" w:cs="Times New Roman"/>
        </w:rPr>
        <w:t xml:space="preserve"> ». </w:t>
      </w:r>
    </w:p>
  </w:footnote>
  <w:footnote w:id="3">
    <w:p w14:paraId="7D8FE152" w14:textId="08657BF0" w:rsidR="001440CB" w:rsidRPr="00167A1B" w:rsidRDefault="00E8092E" w:rsidP="00B5673A">
      <w:pPr>
        <w:pStyle w:val="Notedebasdepage"/>
        <w:jc w:val="both"/>
        <w:rPr>
          <w:rFonts w:ascii="Times New Roman" w:hAnsi="Times New Roman" w:cs="Times New Roman"/>
          <w:lang w:val="fr-FR"/>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Loi du 11 août 2017 portant insertion du Livre XX « Insolvabilité des entreprises » dans le Code de droit économique, et portant insertion des définitions propres au livre XX, et des dispositions d’application au Livre XX, dans le livre I du Code de droit économique, </w:t>
      </w:r>
      <w:r w:rsidRPr="00167A1B">
        <w:rPr>
          <w:rFonts w:ascii="Times New Roman" w:hAnsi="Times New Roman" w:cs="Times New Roman"/>
          <w:i/>
          <w:iCs/>
          <w:lang w:val="fr-FR"/>
        </w:rPr>
        <w:t>M.B</w:t>
      </w:r>
      <w:r w:rsidRPr="00167A1B">
        <w:rPr>
          <w:rFonts w:ascii="Times New Roman" w:hAnsi="Times New Roman" w:cs="Times New Roman"/>
          <w:lang w:val="fr-FR"/>
        </w:rPr>
        <w:t>., 17 septembre 2018</w:t>
      </w:r>
      <w:r w:rsidR="00B35E1B" w:rsidRPr="00167A1B">
        <w:rPr>
          <w:rFonts w:ascii="Times New Roman" w:hAnsi="Times New Roman" w:cs="Times New Roman"/>
          <w:lang w:val="fr-FR"/>
        </w:rPr>
        <w:t>,</w:t>
      </w:r>
      <w:r w:rsidRPr="00167A1B">
        <w:rPr>
          <w:rFonts w:ascii="Times New Roman" w:hAnsi="Times New Roman" w:cs="Times New Roman"/>
          <w:lang w:val="fr-FR"/>
        </w:rPr>
        <w:t xml:space="preserve"> et loi du 15 avril 2018 portant réforme du droit des entreprises, </w:t>
      </w:r>
      <w:r w:rsidRPr="00167A1B">
        <w:rPr>
          <w:rFonts w:ascii="Times New Roman" w:hAnsi="Times New Roman" w:cs="Times New Roman"/>
          <w:i/>
          <w:iCs/>
          <w:lang w:val="fr-FR"/>
        </w:rPr>
        <w:t>M.B</w:t>
      </w:r>
      <w:r w:rsidRPr="00167A1B">
        <w:rPr>
          <w:rFonts w:ascii="Times New Roman" w:hAnsi="Times New Roman" w:cs="Times New Roman"/>
          <w:lang w:val="fr-FR"/>
        </w:rPr>
        <w:t>., 27 avril 2018. L’objectif</w:t>
      </w:r>
      <w:r w:rsidR="00021309" w:rsidRPr="00167A1B">
        <w:rPr>
          <w:rFonts w:ascii="Times New Roman" w:hAnsi="Times New Roman" w:cs="Times New Roman"/>
          <w:lang w:val="fr-FR"/>
        </w:rPr>
        <w:t>, quant au sujet qui retient ici notre attention,</w:t>
      </w:r>
      <w:r w:rsidRPr="00167A1B">
        <w:rPr>
          <w:rFonts w:ascii="Times New Roman" w:hAnsi="Times New Roman" w:cs="Times New Roman"/>
          <w:lang w:val="fr-FR"/>
        </w:rPr>
        <w:t xml:space="preserve"> était d’une part de </w:t>
      </w:r>
      <w:r w:rsidR="00376FEB" w:rsidRPr="00167A1B">
        <w:rPr>
          <w:rFonts w:ascii="Times New Roman" w:hAnsi="Times New Roman" w:cs="Times New Roman"/>
          <w:lang w:val="fr-FR"/>
        </w:rPr>
        <w:t>régler</w:t>
      </w:r>
      <w:r w:rsidRPr="00167A1B">
        <w:rPr>
          <w:rFonts w:ascii="Times New Roman" w:hAnsi="Times New Roman" w:cs="Times New Roman"/>
          <w:lang w:val="fr-FR"/>
        </w:rPr>
        <w:t xml:space="preserve"> les cas de concours entre les procédures collectives et les saisies en cours, et d’autre part de déterminer les règles de réalisation de biens meubles ou immeubles, en dehors de toute saisie, en cas de procédure collective (Projet de loi portant insertion du Livre XX « Insolvabilité des entreprises », dans le Code de droit économique, et portant insertion des définitions propres au livre XX, et des dispositions d’application au livre XX, dans le livre I du Code de droit économique, exposé des motifs, </w:t>
      </w:r>
      <w:r w:rsidRPr="00167A1B">
        <w:rPr>
          <w:rFonts w:ascii="Times New Roman" w:hAnsi="Times New Roman" w:cs="Times New Roman"/>
          <w:i/>
          <w:iCs/>
          <w:lang w:val="fr-FR"/>
        </w:rPr>
        <w:t>Doc</w:t>
      </w:r>
      <w:r w:rsidRPr="00167A1B">
        <w:rPr>
          <w:rFonts w:ascii="Times New Roman" w:hAnsi="Times New Roman" w:cs="Times New Roman"/>
          <w:lang w:val="fr-FR"/>
        </w:rPr>
        <w:t xml:space="preserve">. </w:t>
      </w:r>
      <w:proofErr w:type="spellStart"/>
      <w:r w:rsidRPr="00167A1B">
        <w:rPr>
          <w:rFonts w:ascii="Times New Roman" w:hAnsi="Times New Roman" w:cs="Times New Roman"/>
          <w:lang w:val="fr-FR"/>
        </w:rPr>
        <w:t>Parl</w:t>
      </w:r>
      <w:proofErr w:type="spellEnd"/>
      <w:r w:rsidR="007B31FD" w:rsidRPr="00167A1B">
        <w:rPr>
          <w:rFonts w:ascii="Times New Roman" w:hAnsi="Times New Roman" w:cs="Times New Roman"/>
          <w:lang w:val="fr-FR"/>
        </w:rPr>
        <w:t>.</w:t>
      </w:r>
      <w:r w:rsidR="00405EA4" w:rsidRPr="00167A1B">
        <w:rPr>
          <w:rFonts w:ascii="Times New Roman" w:hAnsi="Times New Roman" w:cs="Times New Roman"/>
          <w:lang w:val="fr-FR"/>
        </w:rPr>
        <w:t>,</w:t>
      </w:r>
      <w:r w:rsidR="007B31FD" w:rsidRPr="00167A1B">
        <w:rPr>
          <w:rFonts w:ascii="Times New Roman" w:hAnsi="Times New Roman" w:cs="Times New Roman"/>
          <w:lang w:val="fr-FR"/>
        </w:rPr>
        <w:t xml:space="preserve"> Ch. </w:t>
      </w:r>
      <w:proofErr w:type="spellStart"/>
      <w:r w:rsidR="007B31FD" w:rsidRPr="00167A1B">
        <w:rPr>
          <w:rFonts w:ascii="Times New Roman" w:hAnsi="Times New Roman" w:cs="Times New Roman"/>
          <w:lang w:val="fr-FR"/>
        </w:rPr>
        <w:t>repr</w:t>
      </w:r>
      <w:proofErr w:type="spellEnd"/>
      <w:r w:rsidR="007B31FD" w:rsidRPr="00167A1B">
        <w:rPr>
          <w:rFonts w:ascii="Times New Roman" w:hAnsi="Times New Roman" w:cs="Times New Roman"/>
          <w:lang w:val="fr-FR"/>
        </w:rPr>
        <w:t xml:space="preserve">. </w:t>
      </w:r>
      <w:proofErr w:type="spellStart"/>
      <w:proofErr w:type="gramStart"/>
      <w:r w:rsidR="007B31FD" w:rsidRPr="00167A1B">
        <w:rPr>
          <w:rFonts w:ascii="Times New Roman" w:hAnsi="Times New Roman" w:cs="Times New Roman"/>
          <w:lang w:val="fr-FR"/>
        </w:rPr>
        <w:t>sess</w:t>
      </w:r>
      <w:proofErr w:type="spellEnd"/>
      <w:proofErr w:type="gramEnd"/>
      <w:r w:rsidR="007B31FD" w:rsidRPr="00167A1B">
        <w:rPr>
          <w:rFonts w:ascii="Times New Roman" w:hAnsi="Times New Roman" w:cs="Times New Roman"/>
          <w:lang w:val="fr-FR"/>
        </w:rPr>
        <w:t xml:space="preserve">. </w:t>
      </w:r>
      <w:proofErr w:type="gramStart"/>
      <w:r w:rsidR="007B31FD" w:rsidRPr="00167A1B">
        <w:rPr>
          <w:rFonts w:ascii="Times New Roman" w:hAnsi="Times New Roman" w:cs="Times New Roman"/>
          <w:lang w:val="fr-FR"/>
        </w:rPr>
        <w:t>ord</w:t>
      </w:r>
      <w:proofErr w:type="gramEnd"/>
      <w:r w:rsidR="007B31FD" w:rsidRPr="00167A1B">
        <w:rPr>
          <w:rFonts w:ascii="Times New Roman" w:hAnsi="Times New Roman" w:cs="Times New Roman"/>
          <w:lang w:val="fr-FR"/>
        </w:rPr>
        <w:t xml:space="preserve">. </w:t>
      </w:r>
      <w:r w:rsidRPr="00167A1B">
        <w:rPr>
          <w:rFonts w:ascii="Times New Roman" w:hAnsi="Times New Roman" w:cs="Times New Roman"/>
          <w:lang w:val="fr-FR"/>
        </w:rPr>
        <w:t xml:space="preserve">2016-2017, n°54-2407/001, p. 15). Sur l’impact des procédures collectives sur les saisies en cours, </w:t>
      </w:r>
      <w:proofErr w:type="spellStart"/>
      <w:r w:rsidRPr="00167A1B">
        <w:rPr>
          <w:rFonts w:ascii="Times New Roman" w:hAnsi="Times New Roman" w:cs="Times New Roman"/>
          <w:lang w:val="fr-FR"/>
        </w:rPr>
        <w:t>voy</w:t>
      </w:r>
      <w:proofErr w:type="spellEnd"/>
      <w:r w:rsidRPr="00167A1B">
        <w:rPr>
          <w:rFonts w:ascii="Times New Roman" w:hAnsi="Times New Roman" w:cs="Times New Roman"/>
          <w:lang w:val="fr-FR"/>
        </w:rPr>
        <w:t xml:space="preserve">. </w:t>
      </w:r>
      <w:proofErr w:type="gramStart"/>
      <w:r w:rsidRPr="00167A1B">
        <w:rPr>
          <w:rFonts w:ascii="Times New Roman" w:hAnsi="Times New Roman" w:cs="Times New Roman"/>
          <w:lang w:val="fr-FR"/>
        </w:rPr>
        <w:t>not</w:t>
      </w:r>
      <w:proofErr w:type="gramEnd"/>
      <w:r w:rsidR="00021309" w:rsidRPr="00167A1B">
        <w:rPr>
          <w:rFonts w:ascii="Times New Roman" w:hAnsi="Times New Roman" w:cs="Times New Roman"/>
          <w:lang w:val="fr-FR"/>
        </w:rPr>
        <w:t>.</w:t>
      </w:r>
      <w:r w:rsidRPr="00167A1B">
        <w:rPr>
          <w:rFonts w:ascii="Times New Roman" w:hAnsi="Times New Roman" w:cs="Times New Roman"/>
          <w:lang w:val="fr-FR"/>
        </w:rPr>
        <w:t xml:space="preserve"> H. SIMON, « Saisies et procédures collectives d’insolvabilité : la désunion sacrée », in A. </w:t>
      </w:r>
      <w:r w:rsidR="00140FEE" w:rsidRPr="00167A1B">
        <w:rPr>
          <w:rFonts w:ascii="Times New Roman" w:hAnsi="Times New Roman" w:cs="Times New Roman"/>
          <w:lang w:val="fr-FR"/>
        </w:rPr>
        <w:t>GILLET (</w:t>
      </w:r>
      <w:proofErr w:type="spellStart"/>
      <w:r w:rsidR="00140FEE" w:rsidRPr="00167A1B">
        <w:rPr>
          <w:rFonts w:ascii="Times New Roman" w:hAnsi="Times New Roman" w:cs="Times New Roman"/>
          <w:lang w:val="fr-FR"/>
        </w:rPr>
        <w:t>coord</w:t>
      </w:r>
      <w:proofErr w:type="spellEnd"/>
      <w:r w:rsidR="00140FEE" w:rsidRPr="00167A1B">
        <w:rPr>
          <w:rFonts w:ascii="Times New Roman" w:hAnsi="Times New Roman" w:cs="Times New Roman"/>
          <w:lang w:val="fr-FR"/>
        </w:rPr>
        <w:t>.)</w:t>
      </w:r>
      <w:r w:rsidRPr="00167A1B">
        <w:rPr>
          <w:rFonts w:ascii="Times New Roman" w:hAnsi="Times New Roman" w:cs="Times New Roman"/>
          <w:lang w:val="fr-FR"/>
        </w:rPr>
        <w:t xml:space="preserve">, </w:t>
      </w:r>
      <w:r w:rsidRPr="00167A1B">
        <w:rPr>
          <w:rFonts w:ascii="Times New Roman" w:hAnsi="Times New Roman" w:cs="Times New Roman"/>
          <w:i/>
          <w:iCs/>
          <w:lang w:val="fr-FR"/>
        </w:rPr>
        <w:t>Droit des saisies et voies d’exécution</w:t>
      </w:r>
      <w:r w:rsidR="00D96A6A">
        <w:rPr>
          <w:rFonts w:ascii="Times New Roman" w:hAnsi="Times New Roman" w:cs="Times New Roman"/>
          <w:lang w:val="fr-FR"/>
        </w:rPr>
        <w:t xml:space="preserve">, </w:t>
      </w:r>
      <w:proofErr w:type="spellStart"/>
      <w:r w:rsidRPr="00167A1B">
        <w:rPr>
          <w:rFonts w:ascii="Times New Roman" w:hAnsi="Times New Roman" w:cs="Times New Roman"/>
          <w:lang w:val="fr-FR"/>
        </w:rPr>
        <w:t>Larcier</w:t>
      </w:r>
      <w:proofErr w:type="spellEnd"/>
      <w:r w:rsidRPr="00167A1B">
        <w:rPr>
          <w:rFonts w:ascii="Times New Roman" w:hAnsi="Times New Roman" w:cs="Times New Roman"/>
          <w:lang w:val="fr-FR"/>
        </w:rPr>
        <w:t>, 2022, pp. 88 à 119 ;</w:t>
      </w:r>
      <w:r w:rsidRPr="00167A1B">
        <w:rPr>
          <w:rFonts w:ascii="Times New Roman" w:hAnsi="Times New Roman" w:cs="Times New Roman"/>
        </w:rPr>
        <w:t xml:space="preserve"> </w:t>
      </w:r>
      <w:r w:rsidRPr="00167A1B">
        <w:rPr>
          <w:rFonts w:ascii="Times New Roman" w:hAnsi="Times New Roman" w:cs="Times New Roman"/>
          <w:lang w:val="fr-FR"/>
        </w:rPr>
        <w:t xml:space="preserve">M. VAN MOLLE, « Actualités des procédures de saisie immobilière et d’ordre », </w:t>
      </w:r>
      <w:r w:rsidR="00CF2994" w:rsidRPr="00167A1B">
        <w:rPr>
          <w:rFonts w:ascii="Times New Roman" w:hAnsi="Times New Roman" w:cs="Times New Roman"/>
          <w:i/>
          <w:iCs/>
          <w:lang w:val="fr-FR"/>
        </w:rPr>
        <w:t>Droit des saisies et voies d’exécution</w:t>
      </w:r>
      <w:r w:rsidR="00CF2994">
        <w:rPr>
          <w:rFonts w:ascii="Times New Roman" w:hAnsi="Times New Roman" w:cs="Times New Roman"/>
          <w:lang w:val="fr-FR"/>
        </w:rPr>
        <w:t xml:space="preserve">, </w:t>
      </w:r>
      <w:proofErr w:type="spellStart"/>
      <w:r w:rsidR="00CF2994" w:rsidRPr="00167A1B">
        <w:rPr>
          <w:rFonts w:ascii="Times New Roman" w:hAnsi="Times New Roman" w:cs="Times New Roman"/>
          <w:lang w:val="fr-FR"/>
        </w:rPr>
        <w:t>Larcier</w:t>
      </w:r>
      <w:proofErr w:type="spellEnd"/>
      <w:r w:rsidR="00CF2994" w:rsidRPr="00167A1B">
        <w:rPr>
          <w:rFonts w:ascii="Times New Roman" w:hAnsi="Times New Roman" w:cs="Times New Roman"/>
          <w:lang w:val="fr-FR"/>
        </w:rPr>
        <w:t>, 2022</w:t>
      </w:r>
      <w:r w:rsidR="00CF2994">
        <w:rPr>
          <w:rFonts w:ascii="Times New Roman" w:hAnsi="Times New Roman" w:cs="Times New Roman"/>
          <w:lang w:val="fr-FR"/>
        </w:rPr>
        <w:t xml:space="preserve">, </w:t>
      </w:r>
      <w:r w:rsidRPr="00167A1B">
        <w:rPr>
          <w:rFonts w:ascii="Times New Roman" w:hAnsi="Times New Roman" w:cs="Times New Roman"/>
          <w:lang w:val="fr-FR"/>
        </w:rPr>
        <w:t>pp. 165 et s. ;</w:t>
      </w:r>
      <w:r w:rsidRPr="00167A1B">
        <w:rPr>
          <w:rFonts w:ascii="Times New Roman" w:hAnsi="Times New Roman" w:cs="Times New Roman"/>
        </w:rPr>
        <w:t xml:space="preserve"> </w:t>
      </w:r>
      <w:r w:rsidRPr="00167A1B">
        <w:rPr>
          <w:rFonts w:ascii="Times New Roman" w:hAnsi="Times New Roman" w:cs="Times New Roman"/>
          <w:lang w:val="fr-FR"/>
        </w:rPr>
        <w:t xml:space="preserve">Fr. GEORGES et G. </w:t>
      </w:r>
      <w:r w:rsidR="00880433" w:rsidRPr="00167A1B">
        <w:rPr>
          <w:rFonts w:ascii="Times New Roman" w:hAnsi="Times New Roman" w:cs="Times New Roman"/>
          <w:lang w:val="fr-FR"/>
        </w:rPr>
        <w:t>de</w:t>
      </w:r>
      <w:r w:rsidRPr="00167A1B">
        <w:rPr>
          <w:rFonts w:ascii="Times New Roman" w:hAnsi="Times New Roman" w:cs="Times New Roman"/>
          <w:lang w:val="fr-FR"/>
        </w:rPr>
        <w:t xml:space="preserve"> LEVAL, « L’enlisement de la saisie d’un immeuble indivis dans un fouillis procédural n’est pas une fatalité », obs. sous Mons, 18 octobre 2021, </w:t>
      </w:r>
      <w:proofErr w:type="spellStart"/>
      <w:r w:rsidRPr="00167A1B">
        <w:rPr>
          <w:rFonts w:ascii="Times New Roman" w:hAnsi="Times New Roman" w:cs="Times New Roman"/>
          <w:i/>
          <w:iCs/>
          <w:lang w:val="fr-FR"/>
        </w:rPr>
        <w:t>Rev</w:t>
      </w:r>
      <w:proofErr w:type="spellEnd"/>
      <w:r w:rsidRPr="00167A1B">
        <w:rPr>
          <w:rFonts w:ascii="Times New Roman" w:hAnsi="Times New Roman" w:cs="Times New Roman"/>
          <w:i/>
          <w:iCs/>
          <w:lang w:val="fr-FR"/>
        </w:rPr>
        <w:t xml:space="preserve">. </w:t>
      </w:r>
      <w:proofErr w:type="gramStart"/>
      <w:r w:rsidRPr="00167A1B">
        <w:rPr>
          <w:rFonts w:ascii="Times New Roman" w:hAnsi="Times New Roman" w:cs="Times New Roman"/>
          <w:i/>
          <w:iCs/>
          <w:lang w:val="fr-FR"/>
        </w:rPr>
        <w:t>not</w:t>
      </w:r>
      <w:proofErr w:type="gramEnd"/>
      <w:r w:rsidRPr="00167A1B">
        <w:rPr>
          <w:rFonts w:ascii="Times New Roman" w:hAnsi="Times New Roman" w:cs="Times New Roman"/>
          <w:i/>
          <w:iCs/>
          <w:lang w:val="fr-FR"/>
        </w:rPr>
        <w:t>. b</w:t>
      </w:r>
      <w:r w:rsidRPr="00167A1B">
        <w:rPr>
          <w:rFonts w:ascii="Times New Roman" w:hAnsi="Times New Roman" w:cs="Times New Roman"/>
          <w:lang w:val="fr-FR"/>
        </w:rPr>
        <w:t xml:space="preserve">., 2022, pp. 193 et s. ; N. OUCHINSKY, « L’incidence de l’insolvabilité des entreprises sur les saisies », in </w:t>
      </w:r>
      <w:r w:rsidR="00CF2994">
        <w:rPr>
          <w:rFonts w:ascii="Times New Roman" w:hAnsi="Times New Roman" w:cs="Times New Roman"/>
          <w:lang w:val="fr-FR"/>
        </w:rPr>
        <w:t>A. BOULVAIN et al. (</w:t>
      </w:r>
      <w:proofErr w:type="spellStart"/>
      <w:r w:rsidR="00CF2994">
        <w:rPr>
          <w:rFonts w:ascii="Times New Roman" w:hAnsi="Times New Roman" w:cs="Times New Roman"/>
          <w:lang w:val="fr-FR"/>
        </w:rPr>
        <w:t>dir</w:t>
      </w:r>
      <w:proofErr w:type="spellEnd"/>
      <w:r w:rsidR="00CF2994">
        <w:rPr>
          <w:rFonts w:ascii="Times New Roman" w:hAnsi="Times New Roman" w:cs="Times New Roman"/>
          <w:lang w:val="fr-FR"/>
        </w:rPr>
        <w:t xml:space="preserve">.), </w:t>
      </w:r>
      <w:r w:rsidRPr="00167A1B">
        <w:rPr>
          <w:rFonts w:ascii="Times New Roman" w:hAnsi="Times New Roman" w:cs="Times New Roman"/>
          <w:i/>
          <w:iCs/>
          <w:lang w:val="fr-FR"/>
        </w:rPr>
        <w:t>Le notaire face à la dette</w:t>
      </w:r>
      <w:r w:rsidR="00CF2994">
        <w:rPr>
          <w:rFonts w:ascii="Times New Roman" w:hAnsi="Times New Roman" w:cs="Times New Roman"/>
          <w:lang w:val="fr-FR"/>
        </w:rPr>
        <w:t xml:space="preserve">, </w:t>
      </w:r>
      <w:proofErr w:type="spellStart"/>
      <w:r w:rsidRPr="00167A1B">
        <w:rPr>
          <w:rFonts w:ascii="Times New Roman" w:hAnsi="Times New Roman" w:cs="Times New Roman"/>
          <w:lang w:val="fr-FR"/>
        </w:rPr>
        <w:t>Larcier</w:t>
      </w:r>
      <w:proofErr w:type="spellEnd"/>
      <w:r w:rsidRPr="00167A1B">
        <w:rPr>
          <w:rFonts w:ascii="Times New Roman" w:hAnsi="Times New Roman" w:cs="Times New Roman"/>
          <w:lang w:val="fr-FR"/>
        </w:rPr>
        <w:t xml:space="preserve">, 2021, pp. 78 et s. ; Fr. GEORGES, « La réalisation sur saisie des parts indivises d’immeuble : considérations pour une lecture efficiente de l’article 1561 du Code judiciaire », </w:t>
      </w:r>
      <w:r w:rsidRPr="00167A1B">
        <w:rPr>
          <w:rFonts w:ascii="Times New Roman" w:hAnsi="Times New Roman" w:cs="Times New Roman"/>
          <w:i/>
          <w:iCs/>
          <w:lang w:val="fr-FR"/>
        </w:rPr>
        <w:t>Questions qui dérangent en droit judiciaire</w:t>
      </w:r>
      <w:r w:rsidRPr="00167A1B">
        <w:rPr>
          <w:rFonts w:ascii="Times New Roman" w:hAnsi="Times New Roman" w:cs="Times New Roman"/>
          <w:lang w:val="fr-FR"/>
        </w:rPr>
        <w:t>, coll. CUP, vol. 209</w:t>
      </w:r>
      <w:r w:rsidR="00CF2994">
        <w:rPr>
          <w:rFonts w:ascii="Times New Roman" w:hAnsi="Times New Roman" w:cs="Times New Roman"/>
          <w:lang w:val="fr-FR"/>
        </w:rPr>
        <w:t xml:space="preserve">, </w:t>
      </w:r>
      <w:r w:rsidRPr="00167A1B">
        <w:rPr>
          <w:rFonts w:ascii="Times New Roman" w:hAnsi="Times New Roman" w:cs="Times New Roman"/>
          <w:lang w:val="fr-FR"/>
        </w:rPr>
        <w:t xml:space="preserve">Anthémis, 2021, pp. </w:t>
      </w:r>
      <w:r w:rsidR="007B31FD" w:rsidRPr="00167A1B">
        <w:rPr>
          <w:rFonts w:ascii="Times New Roman" w:hAnsi="Times New Roman" w:cs="Times New Roman"/>
          <w:lang w:val="fr-FR"/>
        </w:rPr>
        <w:t>299</w:t>
      </w:r>
      <w:r w:rsidRPr="00167A1B">
        <w:rPr>
          <w:rFonts w:ascii="Times New Roman" w:hAnsi="Times New Roman" w:cs="Times New Roman"/>
          <w:lang w:val="fr-FR"/>
        </w:rPr>
        <w:t xml:space="preserve"> et s. ; Fr. GEORGES, « L’exception au monopole du curateur de vendre les immeubles de la masse </w:t>
      </w:r>
      <w:proofErr w:type="spellStart"/>
      <w:r w:rsidRPr="00167A1B">
        <w:rPr>
          <w:rFonts w:ascii="Times New Roman" w:hAnsi="Times New Roman" w:cs="Times New Roman"/>
          <w:lang w:val="fr-FR"/>
        </w:rPr>
        <w:t>faillie</w:t>
      </w:r>
      <w:proofErr w:type="spellEnd"/>
      <w:r w:rsidRPr="00167A1B">
        <w:rPr>
          <w:rFonts w:ascii="Times New Roman" w:hAnsi="Times New Roman" w:cs="Times New Roman"/>
          <w:lang w:val="fr-FR"/>
        </w:rPr>
        <w:t xml:space="preserve"> », obs. sous </w:t>
      </w:r>
      <w:proofErr w:type="spellStart"/>
      <w:r w:rsidRPr="00167A1B">
        <w:rPr>
          <w:rFonts w:ascii="Times New Roman" w:hAnsi="Times New Roman" w:cs="Times New Roman"/>
          <w:lang w:val="fr-FR"/>
        </w:rPr>
        <w:t>Civ</w:t>
      </w:r>
      <w:proofErr w:type="spellEnd"/>
      <w:r w:rsidRPr="00167A1B">
        <w:rPr>
          <w:rFonts w:ascii="Times New Roman" w:hAnsi="Times New Roman" w:cs="Times New Roman"/>
          <w:lang w:val="fr-FR"/>
        </w:rPr>
        <w:t xml:space="preserve">. Liège (sais.), 20 mars 2019, </w:t>
      </w:r>
      <w:r w:rsidRPr="00167A1B">
        <w:rPr>
          <w:rFonts w:ascii="Times New Roman" w:hAnsi="Times New Roman" w:cs="Times New Roman"/>
          <w:i/>
          <w:iCs/>
          <w:lang w:val="fr-FR"/>
        </w:rPr>
        <w:t>J.L.M.B</w:t>
      </w:r>
      <w:r w:rsidRPr="00167A1B">
        <w:rPr>
          <w:rFonts w:ascii="Times New Roman" w:hAnsi="Times New Roman" w:cs="Times New Roman"/>
          <w:lang w:val="fr-FR"/>
        </w:rPr>
        <w:t xml:space="preserve">., 2020, pp. 367 et s. ; I. VERGOUSTRAETE et al., </w:t>
      </w:r>
      <w:r w:rsidRPr="00167A1B">
        <w:rPr>
          <w:rFonts w:ascii="Times New Roman" w:hAnsi="Times New Roman" w:cs="Times New Roman"/>
          <w:i/>
          <w:iCs/>
          <w:lang w:val="fr-FR"/>
        </w:rPr>
        <w:t>Manuel de l’insolvabilité de l’entreprise</w:t>
      </w:r>
      <w:r w:rsidRPr="00167A1B">
        <w:rPr>
          <w:rFonts w:ascii="Times New Roman" w:hAnsi="Times New Roman" w:cs="Times New Roman"/>
          <w:lang w:val="fr-FR"/>
        </w:rPr>
        <w:t xml:space="preserve">, </w:t>
      </w:r>
      <w:proofErr w:type="spellStart"/>
      <w:r w:rsidRPr="00167A1B">
        <w:rPr>
          <w:rFonts w:ascii="Times New Roman" w:hAnsi="Times New Roman" w:cs="Times New Roman"/>
          <w:lang w:val="fr-FR"/>
        </w:rPr>
        <w:t>Wolters</w:t>
      </w:r>
      <w:proofErr w:type="spellEnd"/>
      <w:r w:rsidRPr="00167A1B">
        <w:rPr>
          <w:rFonts w:ascii="Times New Roman" w:hAnsi="Times New Roman" w:cs="Times New Roman"/>
          <w:lang w:val="fr-FR"/>
        </w:rPr>
        <w:t xml:space="preserve"> Kluwer, 2019 ; A. ZENNER, </w:t>
      </w:r>
      <w:r w:rsidRPr="00167A1B">
        <w:rPr>
          <w:rFonts w:ascii="Times New Roman" w:hAnsi="Times New Roman" w:cs="Times New Roman"/>
          <w:i/>
          <w:iCs/>
          <w:lang w:val="fr-FR"/>
        </w:rPr>
        <w:t>Traité du droit de l’insolvabilit</w:t>
      </w:r>
      <w:r w:rsidR="00D96A6A">
        <w:rPr>
          <w:rFonts w:ascii="Times New Roman" w:hAnsi="Times New Roman" w:cs="Times New Roman"/>
          <w:lang w:val="fr-FR"/>
        </w:rPr>
        <w:t>é</w:t>
      </w:r>
      <w:r w:rsidRPr="00167A1B">
        <w:rPr>
          <w:rFonts w:ascii="Times New Roman" w:hAnsi="Times New Roman" w:cs="Times New Roman"/>
          <w:lang w:val="fr-FR"/>
        </w:rPr>
        <w:t xml:space="preserve">, Anthémis, 2019 ; G. </w:t>
      </w:r>
      <w:r w:rsidR="00880433" w:rsidRPr="00167A1B">
        <w:rPr>
          <w:rFonts w:ascii="Times New Roman" w:hAnsi="Times New Roman" w:cs="Times New Roman"/>
          <w:lang w:val="fr-FR"/>
        </w:rPr>
        <w:t>de</w:t>
      </w:r>
      <w:r w:rsidRPr="00167A1B">
        <w:rPr>
          <w:rFonts w:ascii="Times New Roman" w:hAnsi="Times New Roman" w:cs="Times New Roman"/>
          <w:lang w:val="fr-FR"/>
        </w:rPr>
        <w:t xml:space="preserve"> LEVAL, « Le sort d’une saisie-exécution immobilière en cas de procédure de règlement collectif de dettes ultérieure. Droit nouveau versus droit ancien », obs. sous Trib. arr. Liège, 27 septembre 2018, </w:t>
      </w:r>
      <w:proofErr w:type="spellStart"/>
      <w:r w:rsidRPr="00167A1B">
        <w:rPr>
          <w:rFonts w:ascii="Times New Roman" w:hAnsi="Times New Roman" w:cs="Times New Roman"/>
          <w:i/>
          <w:iCs/>
          <w:lang w:val="fr-FR"/>
        </w:rPr>
        <w:t>Rev</w:t>
      </w:r>
      <w:proofErr w:type="spellEnd"/>
      <w:r w:rsidRPr="00167A1B">
        <w:rPr>
          <w:rFonts w:ascii="Times New Roman" w:hAnsi="Times New Roman" w:cs="Times New Roman"/>
          <w:i/>
          <w:iCs/>
          <w:lang w:val="fr-FR"/>
        </w:rPr>
        <w:t xml:space="preserve">. </w:t>
      </w:r>
      <w:proofErr w:type="gramStart"/>
      <w:r w:rsidRPr="00167A1B">
        <w:rPr>
          <w:rFonts w:ascii="Times New Roman" w:hAnsi="Times New Roman" w:cs="Times New Roman"/>
          <w:i/>
          <w:iCs/>
          <w:lang w:val="fr-FR"/>
        </w:rPr>
        <w:t>not</w:t>
      </w:r>
      <w:proofErr w:type="gramEnd"/>
      <w:r w:rsidRPr="00167A1B">
        <w:rPr>
          <w:rFonts w:ascii="Times New Roman" w:hAnsi="Times New Roman" w:cs="Times New Roman"/>
          <w:i/>
          <w:iCs/>
          <w:lang w:val="fr-FR"/>
        </w:rPr>
        <w:t>. b</w:t>
      </w:r>
      <w:r w:rsidRPr="00167A1B">
        <w:rPr>
          <w:rFonts w:ascii="Times New Roman" w:hAnsi="Times New Roman" w:cs="Times New Roman"/>
          <w:lang w:val="fr-FR"/>
        </w:rPr>
        <w:t xml:space="preserve">., 2019, pp. 330 et s. ; G. DE LEVAL, </w:t>
      </w:r>
      <w:r w:rsidRPr="00167A1B">
        <w:rPr>
          <w:rFonts w:ascii="Times New Roman" w:hAnsi="Times New Roman" w:cs="Times New Roman"/>
          <w:i/>
          <w:iCs/>
          <w:lang w:val="fr-FR"/>
        </w:rPr>
        <w:t>La saisie immobilière,</w:t>
      </w:r>
      <w:r w:rsidRPr="00167A1B">
        <w:rPr>
          <w:rFonts w:ascii="Times New Roman" w:hAnsi="Times New Roman" w:cs="Times New Roman"/>
          <w:lang w:val="fr-FR"/>
        </w:rPr>
        <w:t xml:space="preserve"> </w:t>
      </w:r>
      <w:r w:rsidR="00116E14" w:rsidRPr="00167A1B">
        <w:rPr>
          <w:rFonts w:ascii="Times New Roman" w:hAnsi="Times New Roman" w:cs="Times New Roman"/>
          <w:lang w:val="fr-FR"/>
        </w:rPr>
        <w:t>T</w:t>
      </w:r>
      <w:r w:rsidRPr="00167A1B">
        <w:rPr>
          <w:rFonts w:ascii="Times New Roman" w:hAnsi="Times New Roman" w:cs="Times New Roman"/>
          <w:lang w:val="fr-FR"/>
        </w:rPr>
        <w:t>iré à part du Répertoire notarial</w:t>
      </w:r>
      <w:r w:rsidR="00116E14" w:rsidRPr="00167A1B">
        <w:rPr>
          <w:rFonts w:ascii="Times New Roman" w:hAnsi="Times New Roman" w:cs="Times New Roman"/>
          <w:lang w:val="fr-FR"/>
        </w:rPr>
        <w:t xml:space="preserve">, </w:t>
      </w:r>
      <w:proofErr w:type="spellStart"/>
      <w:r w:rsidR="00116E14" w:rsidRPr="00167A1B">
        <w:rPr>
          <w:rFonts w:ascii="Times New Roman" w:hAnsi="Times New Roman" w:cs="Times New Roman"/>
          <w:lang w:val="fr-FR"/>
        </w:rPr>
        <w:t>Larcier</w:t>
      </w:r>
      <w:proofErr w:type="spellEnd"/>
      <w:r w:rsidR="00116E14" w:rsidRPr="00167A1B">
        <w:rPr>
          <w:rFonts w:ascii="Times New Roman" w:hAnsi="Times New Roman" w:cs="Times New Roman"/>
          <w:lang w:val="fr-FR"/>
        </w:rPr>
        <w:t xml:space="preserve">, </w:t>
      </w:r>
      <w:r w:rsidRPr="00167A1B">
        <w:rPr>
          <w:rFonts w:ascii="Times New Roman" w:hAnsi="Times New Roman" w:cs="Times New Roman"/>
          <w:lang w:val="fr-FR"/>
        </w:rPr>
        <w:t>201</w:t>
      </w:r>
      <w:r w:rsidR="00797C97" w:rsidRPr="00167A1B">
        <w:rPr>
          <w:rFonts w:ascii="Times New Roman" w:hAnsi="Times New Roman" w:cs="Times New Roman"/>
          <w:lang w:val="fr-FR"/>
        </w:rPr>
        <w:t>9</w:t>
      </w:r>
      <w:r w:rsidRPr="00167A1B">
        <w:rPr>
          <w:rFonts w:ascii="Times New Roman" w:hAnsi="Times New Roman" w:cs="Times New Roman"/>
          <w:lang w:val="fr-FR"/>
        </w:rPr>
        <w:t xml:space="preserve">, </w:t>
      </w:r>
      <w:r w:rsidR="007B31FD" w:rsidRPr="00167A1B">
        <w:rPr>
          <w:rFonts w:ascii="Times New Roman" w:hAnsi="Times New Roman" w:cs="Times New Roman"/>
          <w:lang w:val="fr-FR"/>
        </w:rPr>
        <w:t xml:space="preserve">pp. 418 </w:t>
      </w:r>
      <w:r w:rsidRPr="00167A1B">
        <w:rPr>
          <w:rFonts w:ascii="Times New Roman" w:hAnsi="Times New Roman" w:cs="Times New Roman"/>
          <w:lang w:val="fr-FR"/>
        </w:rPr>
        <w:t>et s. ; N. OUCHINSKY, « Les innovations du Livre XX du Code de droit économique en matière de faillite - Questions choisies », in A. Z</w:t>
      </w:r>
      <w:r w:rsidR="00856CD8" w:rsidRPr="00167A1B">
        <w:rPr>
          <w:rFonts w:ascii="Times New Roman" w:hAnsi="Times New Roman" w:cs="Times New Roman"/>
          <w:lang w:val="fr-FR"/>
        </w:rPr>
        <w:t>ENNER</w:t>
      </w:r>
      <w:r w:rsidRPr="00167A1B">
        <w:rPr>
          <w:rFonts w:ascii="Times New Roman" w:hAnsi="Times New Roman" w:cs="Times New Roman"/>
          <w:lang w:val="fr-FR"/>
        </w:rPr>
        <w:t xml:space="preserve"> (</w:t>
      </w:r>
      <w:proofErr w:type="spellStart"/>
      <w:r w:rsidRPr="00167A1B">
        <w:rPr>
          <w:rFonts w:ascii="Times New Roman" w:hAnsi="Times New Roman" w:cs="Times New Roman"/>
          <w:lang w:val="fr-FR"/>
        </w:rPr>
        <w:t>dir</w:t>
      </w:r>
      <w:proofErr w:type="spellEnd"/>
      <w:r w:rsidRPr="00167A1B">
        <w:rPr>
          <w:rFonts w:ascii="Times New Roman" w:hAnsi="Times New Roman" w:cs="Times New Roman"/>
          <w:lang w:val="fr-FR"/>
        </w:rPr>
        <w:t xml:space="preserve">.), </w:t>
      </w:r>
      <w:r w:rsidRPr="00167A1B">
        <w:rPr>
          <w:rFonts w:ascii="Times New Roman" w:hAnsi="Times New Roman" w:cs="Times New Roman"/>
          <w:i/>
          <w:iCs/>
          <w:lang w:val="fr-FR"/>
        </w:rPr>
        <w:t>Le droit de l’insolvabilité : analyse panoramique de la réforme</w:t>
      </w:r>
      <w:r w:rsidR="00CF2994">
        <w:rPr>
          <w:rFonts w:ascii="Times New Roman" w:hAnsi="Times New Roman" w:cs="Times New Roman"/>
          <w:lang w:val="fr-FR"/>
        </w:rPr>
        <w:t xml:space="preserve">, </w:t>
      </w:r>
      <w:r w:rsidRPr="00167A1B">
        <w:rPr>
          <w:rFonts w:ascii="Times New Roman" w:hAnsi="Times New Roman" w:cs="Times New Roman"/>
          <w:lang w:val="fr-FR"/>
        </w:rPr>
        <w:t xml:space="preserve">Anthémis, 2018, pp. 513 et s. ; M. VANMEENEN et S. JACMAIN, « La procédure de réorganisation judiciaire : </w:t>
      </w:r>
      <w:proofErr w:type="spellStart"/>
      <w:r w:rsidRPr="00167A1B">
        <w:rPr>
          <w:rFonts w:ascii="Times New Roman" w:hAnsi="Times New Roman" w:cs="Times New Roman"/>
          <w:lang w:val="fr-FR"/>
        </w:rPr>
        <w:t>something</w:t>
      </w:r>
      <w:proofErr w:type="spellEnd"/>
      <w:r w:rsidRPr="00167A1B">
        <w:rPr>
          <w:rFonts w:ascii="Times New Roman" w:hAnsi="Times New Roman" w:cs="Times New Roman"/>
          <w:lang w:val="fr-FR"/>
        </w:rPr>
        <w:t xml:space="preserve"> </w:t>
      </w:r>
      <w:proofErr w:type="spellStart"/>
      <w:r w:rsidRPr="00167A1B">
        <w:rPr>
          <w:rFonts w:ascii="Times New Roman" w:hAnsi="Times New Roman" w:cs="Times New Roman"/>
          <w:lang w:val="fr-FR"/>
        </w:rPr>
        <w:t>old</w:t>
      </w:r>
      <w:proofErr w:type="spellEnd"/>
      <w:r w:rsidRPr="00167A1B">
        <w:rPr>
          <w:rFonts w:ascii="Times New Roman" w:hAnsi="Times New Roman" w:cs="Times New Roman"/>
          <w:lang w:val="fr-FR"/>
        </w:rPr>
        <w:t xml:space="preserve">, </w:t>
      </w:r>
      <w:proofErr w:type="spellStart"/>
      <w:r w:rsidRPr="00167A1B">
        <w:rPr>
          <w:rFonts w:ascii="Times New Roman" w:hAnsi="Times New Roman" w:cs="Times New Roman"/>
          <w:lang w:val="fr-FR"/>
        </w:rPr>
        <w:t>something</w:t>
      </w:r>
      <w:proofErr w:type="spellEnd"/>
      <w:r w:rsidRPr="00167A1B">
        <w:rPr>
          <w:rFonts w:ascii="Times New Roman" w:hAnsi="Times New Roman" w:cs="Times New Roman"/>
          <w:lang w:val="fr-FR"/>
        </w:rPr>
        <w:t xml:space="preserve"> new, </w:t>
      </w:r>
      <w:proofErr w:type="spellStart"/>
      <w:r w:rsidRPr="00167A1B">
        <w:rPr>
          <w:rFonts w:ascii="Times New Roman" w:hAnsi="Times New Roman" w:cs="Times New Roman"/>
          <w:lang w:val="fr-FR"/>
        </w:rPr>
        <w:t>something</w:t>
      </w:r>
      <w:proofErr w:type="spellEnd"/>
      <w:r w:rsidRPr="00167A1B">
        <w:rPr>
          <w:rFonts w:ascii="Times New Roman" w:hAnsi="Times New Roman" w:cs="Times New Roman"/>
          <w:lang w:val="fr-FR"/>
        </w:rPr>
        <w:t xml:space="preserve"> </w:t>
      </w:r>
      <w:proofErr w:type="spellStart"/>
      <w:r w:rsidRPr="00167A1B">
        <w:rPr>
          <w:rFonts w:ascii="Times New Roman" w:hAnsi="Times New Roman" w:cs="Times New Roman"/>
          <w:lang w:val="fr-FR"/>
        </w:rPr>
        <w:t>borrowed</w:t>
      </w:r>
      <w:proofErr w:type="spellEnd"/>
      <w:r w:rsidRPr="00167A1B">
        <w:rPr>
          <w:rFonts w:ascii="Times New Roman" w:hAnsi="Times New Roman" w:cs="Times New Roman"/>
          <w:lang w:val="fr-FR"/>
        </w:rPr>
        <w:t xml:space="preserve">, </w:t>
      </w:r>
      <w:proofErr w:type="spellStart"/>
      <w:r w:rsidRPr="00167A1B">
        <w:rPr>
          <w:rFonts w:ascii="Times New Roman" w:hAnsi="Times New Roman" w:cs="Times New Roman"/>
          <w:lang w:val="fr-FR"/>
        </w:rPr>
        <w:t>something</w:t>
      </w:r>
      <w:proofErr w:type="spellEnd"/>
      <w:r w:rsidRPr="00167A1B">
        <w:rPr>
          <w:rFonts w:ascii="Times New Roman" w:hAnsi="Times New Roman" w:cs="Times New Roman"/>
          <w:lang w:val="fr-FR"/>
        </w:rPr>
        <w:t xml:space="preserve"> </w:t>
      </w:r>
      <w:proofErr w:type="spellStart"/>
      <w:r w:rsidRPr="00167A1B">
        <w:rPr>
          <w:rFonts w:ascii="Times New Roman" w:hAnsi="Times New Roman" w:cs="Times New Roman"/>
          <w:lang w:val="fr-FR"/>
        </w:rPr>
        <w:t>blue</w:t>
      </w:r>
      <w:proofErr w:type="spellEnd"/>
      <w:r w:rsidRPr="00167A1B">
        <w:rPr>
          <w:rFonts w:ascii="Times New Roman" w:hAnsi="Times New Roman" w:cs="Times New Roman"/>
          <w:lang w:val="fr-FR"/>
        </w:rPr>
        <w:t xml:space="preserve"> », </w:t>
      </w:r>
      <w:r w:rsidRPr="00167A1B">
        <w:rPr>
          <w:rFonts w:ascii="Times New Roman" w:hAnsi="Times New Roman" w:cs="Times New Roman"/>
          <w:i/>
          <w:iCs/>
          <w:lang w:val="fr-FR"/>
        </w:rPr>
        <w:t>T.B.H</w:t>
      </w:r>
      <w:r w:rsidRPr="00167A1B">
        <w:rPr>
          <w:rFonts w:ascii="Times New Roman" w:hAnsi="Times New Roman" w:cs="Times New Roman"/>
          <w:lang w:val="fr-FR"/>
        </w:rPr>
        <w:t>., 2018, pp. 237 et s. ; Fr. GEORGES, « Le droit du recouvrement en ses aspects notariaux », in Y-H. L</w:t>
      </w:r>
      <w:r w:rsidR="00880433" w:rsidRPr="00167A1B">
        <w:rPr>
          <w:rFonts w:ascii="Times New Roman" w:hAnsi="Times New Roman" w:cs="Times New Roman"/>
          <w:lang w:val="fr-FR"/>
        </w:rPr>
        <w:t>ELEU</w:t>
      </w:r>
      <w:r w:rsidRPr="00167A1B">
        <w:rPr>
          <w:rFonts w:ascii="Times New Roman" w:hAnsi="Times New Roman" w:cs="Times New Roman"/>
          <w:lang w:val="fr-FR"/>
        </w:rPr>
        <w:t xml:space="preserve"> (</w:t>
      </w:r>
      <w:proofErr w:type="spellStart"/>
      <w:r w:rsidRPr="00167A1B">
        <w:rPr>
          <w:rFonts w:ascii="Times New Roman" w:hAnsi="Times New Roman" w:cs="Times New Roman"/>
          <w:lang w:val="fr-FR"/>
        </w:rPr>
        <w:t>dir</w:t>
      </w:r>
      <w:proofErr w:type="spellEnd"/>
      <w:r w:rsidRPr="00167A1B">
        <w:rPr>
          <w:rFonts w:ascii="Times New Roman" w:hAnsi="Times New Roman" w:cs="Times New Roman"/>
          <w:lang w:val="fr-FR"/>
        </w:rPr>
        <w:t xml:space="preserve">.), </w:t>
      </w:r>
      <w:r w:rsidRPr="00167A1B">
        <w:rPr>
          <w:rFonts w:ascii="Times New Roman" w:hAnsi="Times New Roman" w:cs="Times New Roman"/>
          <w:i/>
          <w:iCs/>
          <w:lang w:val="fr-FR"/>
        </w:rPr>
        <w:t>Chroniques notariales</w:t>
      </w:r>
      <w:r w:rsidRPr="00167A1B">
        <w:rPr>
          <w:rFonts w:ascii="Times New Roman" w:hAnsi="Times New Roman" w:cs="Times New Roman"/>
          <w:lang w:val="fr-FR"/>
        </w:rPr>
        <w:t>, vol. 66</w:t>
      </w:r>
      <w:r w:rsidR="00CF2994">
        <w:rPr>
          <w:rFonts w:ascii="Times New Roman" w:hAnsi="Times New Roman" w:cs="Times New Roman"/>
          <w:lang w:val="fr-FR"/>
        </w:rPr>
        <w:t xml:space="preserve">, </w:t>
      </w:r>
      <w:proofErr w:type="spellStart"/>
      <w:r w:rsidRPr="00167A1B">
        <w:rPr>
          <w:rFonts w:ascii="Times New Roman" w:hAnsi="Times New Roman" w:cs="Times New Roman"/>
          <w:lang w:val="fr-FR"/>
        </w:rPr>
        <w:t>Larcier</w:t>
      </w:r>
      <w:proofErr w:type="spellEnd"/>
      <w:r w:rsidRPr="00167A1B">
        <w:rPr>
          <w:rFonts w:ascii="Times New Roman" w:hAnsi="Times New Roman" w:cs="Times New Roman"/>
          <w:lang w:val="fr-FR"/>
        </w:rPr>
        <w:t>, 2017, pp. 18 - 40 ; N. OUCHINSKY, « Analyse des nouveaux moyens d’action des créanciers dans le cadre d’une procédure de réorganisation judiciaire - questions choisies », in A. D</w:t>
      </w:r>
      <w:r w:rsidR="00880433" w:rsidRPr="00167A1B">
        <w:rPr>
          <w:rFonts w:ascii="Times New Roman" w:hAnsi="Times New Roman" w:cs="Times New Roman"/>
          <w:lang w:val="fr-FR"/>
        </w:rPr>
        <w:t>ESPONTIN</w:t>
      </w:r>
      <w:r w:rsidRPr="00167A1B">
        <w:rPr>
          <w:rFonts w:ascii="Times New Roman" w:hAnsi="Times New Roman" w:cs="Times New Roman"/>
          <w:lang w:val="fr-FR"/>
        </w:rPr>
        <w:t>. (</w:t>
      </w:r>
      <w:proofErr w:type="spellStart"/>
      <w:proofErr w:type="gramStart"/>
      <w:r w:rsidRPr="00167A1B">
        <w:rPr>
          <w:rFonts w:ascii="Times New Roman" w:hAnsi="Times New Roman" w:cs="Times New Roman"/>
          <w:lang w:val="fr-FR"/>
        </w:rPr>
        <w:t>dir</w:t>
      </w:r>
      <w:proofErr w:type="spellEnd"/>
      <w:r w:rsidRPr="00167A1B">
        <w:rPr>
          <w:rFonts w:ascii="Times New Roman" w:hAnsi="Times New Roman" w:cs="Times New Roman"/>
          <w:lang w:val="fr-FR"/>
        </w:rPr>
        <w:t>.</w:t>
      </w:r>
      <w:proofErr w:type="gramEnd"/>
      <w:r w:rsidRPr="00167A1B">
        <w:rPr>
          <w:rFonts w:ascii="Times New Roman" w:hAnsi="Times New Roman" w:cs="Times New Roman"/>
          <w:lang w:val="fr-FR"/>
        </w:rPr>
        <w:t xml:space="preserve">), </w:t>
      </w:r>
      <w:r w:rsidRPr="00167A1B">
        <w:rPr>
          <w:rFonts w:ascii="Times New Roman" w:hAnsi="Times New Roman" w:cs="Times New Roman"/>
          <w:i/>
          <w:iCs/>
          <w:lang w:val="fr-FR"/>
        </w:rPr>
        <w:t>La réforme de l’insolvabilité et ses conséquences (sur les avocats) : une (r)évolution?</w:t>
      </w:r>
      <w:r w:rsidRPr="00167A1B">
        <w:rPr>
          <w:rFonts w:ascii="Times New Roman" w:hAnsi="Times New Roman" w:cs="Times New Roman"/>
          <w:lang w:val="fr-FR"/>
        </w:rPr>
        <w:t>, Larcier, 2017, pp. 53 et s</w:t>
      </w:r>
      <w:r w:rsidR="00EF0EDE" w:rsidRPr="00167A1B">
        <w:rPr>
          <w:rFonts w:ascii="Times New Roman" w:hAnsi="Times New Roman" w:cs="Times New Roman"/>
          <w:lang w:val="fr-FR"/>
        </w:rPr>
        <w:t> ; N. OUCHINSKY, « </w:t>
      </w:r>
      <w:r w:rsidR="001F41CC" w:rsidRPr="00167A1B">
        <w:rPr>
          <w:rFonts w:ascii="Times New Roman" w:hAnsi="Times New Roman" w:cs="Times New Roman"/>
          <w:lang w:val="fr-FR"/>
        </w:rPr>
        <w:t xml:space="preserve">Analyse des nouveaux moyens d’action des créanciers dans le cadre d’une procédure de réorganisation judiciaire », in </w:t>
      </w:r>
      <w:r w:rsidR="00EF0EDE" w:rsidRPr="00167A1B">
        <w:rPr>
          <w:rFonts w:ascii="Times New Roman" w:hAnsi="Times New Roman" w:cs="Times New Roman"/>
          <w:lang w:val="fr-FR"/>
        </w:rPr>
        <w:t>C. A</w:t>
      </w:r>
      <w:r w:rsidR="00880433" w:rsidRPr="00167A1B">
        <w:rPr>
          <w:rFonts w:ascii="Times New Roman" w:hAnsi="Times New Roman" w:cs="Times New Roman"/>
          <w:lang w:val="fr-FR"/>
        </w:rPr>
        <w:t>LTER</w:t>
      </w:r>
      <w:r w:rsidR="00EF0EDE" w:rsidRPr="00167A1B">
        <w:rPr>
          <w:rFonts w:ascii="Times New Roman" w:hAnsi="Times New Roman" w:cs="Times New Roman"/>
          <w:lang w:val="fr-FR"/>
        </w:rPr>
        <w:t xml:space="preserve"> (</w:t>
      </w:r>
      <w:proofErr w:type="spellStart"/>
      <w:r w:rsidR="00EF0EDE" w:rsidRPr="00167A1B">
        <w:rPr>
          <w:rFonts w:ascii="Times New Roman" w:hAnsi="Times New Roman" w:cs="Times New Roman"/>
          <w:lang w:val="fr-FR"/>
        </w:rPr>
        <w:t>dir</w:t>
      </w:r>
      <w:proofErr w:type="spellEnd"/>
      <w:r w:rsidR="00EF0EDE" w:rsidRPr="00167A1B">
        <w:rPr>
          <w:rFonts w:ascii="Times New Roman" w:hAnsi="Times New Roman" w:cs="Times New Roman"/>
          <w:lang w:val="fr-FR"/>
        </w:rPr>
        <w:t xml:space="preserve">.), </w:t>
      </w:r>
      <w:r w:rsidR="00EF0EDE" w:rsidRPr="00167A1B">
        <w:rPr>
          <w:rFonts w:ascii="Times New Roman" w:hAnsi="Times New Roman" w:cs="Times New Roman"/>
          <w:i/>
          <w:iCs/>
          <w:lang w:val="fr-FR"/>
        </w:rPr>
        <w:t>Le nouveau droit de l’insolvabilité</w:t>
      </w:r>
      <w:r w:rsidR="00CF2994">
        <w:rPr>
          <w:rFonts w:ascii="Times New Roman" w:hAnsi="Times New Roman" w:cs="Times New Roman"/>
          <w:lang w:val="fr-FR"/>
        </w:rPr>
        <w:t xml:space="preserve">, </w:t>
      </w:r>
      <w:proofErr w:type="spellStart"/>
      <w:r w:rsidR="00EF0EDE" w:rsidRPr="00167A1B">
        <w:rPr>
          <w:rFonts w:ascii="Times New Roman" w:hAnsi="Times New Roman" w:cs="Times New Roman"/>
          <w:lang w:val="fr-FR"/>
        </w:rPr>
        <w:t>Larcier</w:t>
      </w:r>
      <w:proofErr w:type="spellEnd"/>
      <w:r w:rsidR="00EF0EDE" w:rsidRPr="00167A1B">
        <w:rPr>
          <w:rFonts w:ascii="Times New Roman" w:hAnsi="Times New Roman" w:cs="Times New Roman"/>
          <w:lang w:val="fr-FR"/>
        </w:rPr>
        <w:t xml:space="preserve">, 2017, </w:t>
      </w:r>
      <w:proofErr w:type="spellStart"/>
      <w:r w:rsidR="001F41CC" w:rsidRPr="00167A1B">
        <w:rPr>
          <w:rFonts w:ascii="Times New Roman" w:hAnsi="Times New Roman" w:cs="Times New Roman"/>
          <w:lang w:val="fr-FR"/>
        </w:rPr>
        <w:t>spéc</w:t>
      </w:r>
      <w:proofErr w:type="spellEnd"/>
      <w:r w:rsidR="001F41CC" w:rsidRPr="00167A1B">
        <w:rPr>
          <w:rFonts w:ascii="Times New Roman" w:hAnsi="Times New Roman" w:cs="Times New Roman"/>
          <w:lang w:val="fr-FR"/>
        </w:rPr>
        <w:t xml:space="preserve">. </w:t>
      </w:r>
      <w:r w:rsidR="00EF0EDE" w:rsidRPr="00167A1B">
        <w:rPr>
          <w:rFonts w:ascii="Times New Roman" w:hAnsi="Times New Roman" w:cs="Times New Roman"/>
          <w:lang w:val="fr-FR"/>
        </w:rPr>
        <w:t>p</w:t>
      </w:r>
      <w:r w:rsidR="001F41CC" w:rsidRPr="00167A1B">
        <w:rPr>
          <w:rFonts w:ascii="Times New Roman" w:hAnsi="Times New Roman" w:cs="Times New Roman"/>
          <w:lang w:val="fr-FR"/>
        </w:rPr>
        <w:t>p</w:t>
      </w:r>
      <w:r w:rsidR="00EF0EDE" w:rsidRPr="00167A1B">
        <w:rPr>
          <w:rFonts w:ascii="Times New Roman" w:hAnsi="Times New Roman" w:cs="Times New Roman"/>
          <w:lang w:val="fr-FR"/>
        </w:rPr>
        <w:t>. 77</w:t>
      </w:r>
      <w:r w:rsidR="001F41CC" w:rsidRPr="00167A1B">
        <w:rPr>
          <w:rFonts w:ascii="Times New Roman" w:hAnsi="Times New Roman" w:cs="Times New Roman"/>
          <w:lang w:val="fr-FR"/>
        </w:rPr>
        <w:t xml:space="preserve"> et s</w:t>
      </w:r>
      <w:r w:rsidR="00DC31DE" w:rsidRPr="00167A1B">
        <w:rPr>
          <w:rFonts w:ascii="Times New Roman" w:hAnsi="Times New Roman" w:cs="Times New Roman"/>
          <w:lang w:val="fr-FR"/>
        </w:rPr>
        <w:t>.</w:t>
      </w:r>
      <w:r w:rsidR="000E7259">
        <w:rPr>
          <w:rFonts w:ascii="Times New Roman" w:hAnsi="Times New Roman" w:cs="Times New Roman"/>
          <w:lang w:val="fr-FR"/>
        </w:rPr>
        <w:t xml:space="preserve"> ; I. VEROUGSTRAETE et al., </w:t>
      </w:r>
      <w:r w:rsidR="000E7259" w:rsidRPr="000E7259">
        <w:rPr>
          <w:rFonts w:ascii="Times New Roman" w:hAnsi="Times New Roman" w:cs="Times New Roman"/>
          <w:i/>
          <w:iCs/>
          <w:lang w:val="fr-FR"/>
        </w:rPr>
        <w:t>Manuel de la continuité des entreprises et de la faillite</w:t>
      </w:r>
      <w:r w:rsidR="000E7259">
        <w:rPr>
          <w:rFonts w:ascii="Times New Roman" w:hAnsi="Times New Roman" w:cs="Times New Roman"/>
          <w:lang w:val="fr-FR"/>
        </w:rPr>
        <w:t xml:space="preserve">, </w:t>
      </w:r>
      <w:proofErr w:type="spellStart"/>
      <w:r w:rsidR="000E7259">
        <w:rPr>
          <w:rFonts w:ascii="Times New Roman" w:hAnsi="Times New Roman" w:cs="Times New Roman"/>
          <w:lang w:val="fr-FR"/>
        </w:rPr>
        <w:t>Wolters</w:t>
      </w:r>
      <w:proofErr w:type="spellEnd"/>
      <w:r w:rsidR="000E7259">
        <w:rPr>
          <w:rFonts w:ascii="Times New Roman" w:hAnsi="Times New Roman" w:cs="Times New Roman"/>
          <w:lang w:val="fr-FR"/>
        </w:rPr>
        <w:t xml:space="preserve"> Kluwer, 2011 ; r</w:t>
      </w:r>
      <w:r w:rsidR="00D35FA9" w:rsidRPr="00167A1B">
        <w:rPr>
          <w:rFonts w:ascii="Times New Roman" w:hAnsi="Times New Roman" w:cs="Times New Roman"/>
          <w:lang w:val="fr-FR"/>
        </w:rPr>
        <w:t xml:space="preserve">elativement au </w:t>
      </w:r>
      <w:r w:rsidR="001440CB" w:rsidRPr="00167A1B">
        <w:rPr>
          <w:rFonts w:ascii="Times New Roman" w:hAnsi="Times New Roman" w:cs="Times New Roman"/>
          <w:lang w:val="fr-FR"/>
        </w:rPr>
        <w:t xml:space="preserve">droit transitoire de la loi du 11 août 2017 précitée, </w:t>
      </w:r>
      <w:proofErr w:type="spellStart"/>
      <w:r w:rsidR="001440CB" w:rsidRPr="00167A1B">
        <w:rPr>
          <w:rFonts w:ascii="Times New Roman" w:hAnsi="Times New Roman" w:cs="Times New Roman"/>
          <w:lang w:val="fr-FR"/>
        </w:rPr>
        <w:t>voy</w:t>
      </w:r>
      <w:proofErr w:type="spellEnd"/>
      <w:r w:rsidR="001440CB" w:rsidRPr="00167A1B">
        <w:rPr>
          <w:rFonts w:ascii="Times New Roman" w:hAnsi="Times New Roman" w:cs="Times New Roman"/>
          <w:lang w:val="fr-FR"/>
        </w:rPr>
        <w:t xml:space="preserve">. </w:t>
      </w:r>
      <w:proofErr w:type="gramStart"/>
      <w:r w:rsidR="001440CB" w:rsidRPr="00167A1B">
        <w:rPr>
          <w:rFonts w:ascii="Times New Roman" w:hAnsi="Times New Roman" w:cs="Times New Roman"/>
          <w:lang w:val="fr-FR"/>
        </w:rPr>
        <w:t>l’article</w:t>
      </w:r>
      <w:proofErr w:type="gramEnd"/>
      <w:r w:rsidR="001440CB" w:rsidRPr="00167A1B">
        <w:rPr>
          <w:rFonts w:ascii="Times New Roman" w:hAnsi="Times New Roman" w:cs="Times New Roman"/>
          <w:lang w:val="fr-FR"/>
        </w:rPr>
        <w:t xml:space="preserve"> 72, al. 2</w:t>
      </w:r>
      <w:r w:rsidR="007B31FD" w:rsidRPr="00167A1B">
        <w:rPr>
          <w:rFonts w:ascii="Times New Roman" w:hAnsi="Times New Roman" w:cs="Times New Roman"/>
          <w:lang w:val="fr-FR"/>
        </w:rPr>
        <w:t>, de la loi</w:t>
      </w:r>
      <w:r w:rsidR="001440CB" w:rsidRPr="00167A1B">
        <w:rPr>
          <w:rFonts w:ascii="Times New Roman" w:hAnsi="Times New Roman" w:cs="Times New Roman"/>
          <w:lang w:val="fr-FR"/>
        </w:rPr>
        <w:t xml:space="preserve"> ainsi que Trib. Arr. Liège, 27 septembre 2018, </w:t>
      </w:r>
      <w:proofErr w:type="spellStart"/>
      <w:r w:rsidR="001440CB" w:rsidRPr="00167A1B">
        <w:rPr>
          <w:rFonts w:ascii="Times New Roman" w:hAnsi="Times New Roman" w:cs="Times New Roman"/>
          <w:i/>
          <w:iCs/>
          <w:lang w:val="fr-FR"/>
        </w:rPr>
        <w:t>Rev</w:t>
      </w:r>
      <w:proofErr w:type="spellEnd"/>
      <w:r w:rsidR="001440CB" w:rsidRPr="00167A1B">
        <w:rPr>
          <w:rFonts w:ascii="Times New Roman" w:hAnsi="Times New Roman" w:cs="Times New Roman"/>
          <w:i/>
          <w:iCs/>
          <w:lang w:val="fr-FR"/>
        </w:rPr>
        <w:t xml:space="preserve">. </w:t>
      </w:r>
      <w:proofErr w:type="gramStart"/>
      <w:r w:rsidR="001440CB" w:rsidRPr="00167A1B">
        <w:rPr>
          <w:rFonts w:ascii="Times New Roman" w:hAnsi="Times New Roman" w:cs="Times New Roman"/>
          <w:i/>
          <w:iCs/>
          <w:lang w:val="fr-FR"/>
        </w:rPr>
        <w:t>not</w:t>
      </w:r>
      <w:proofErr w:type="gramEnd"/>
      <w:r w:rsidR="001440CB" w:rsidRPr="00167A1B">
        <w:rPr>
          <w:rFonts w:ascii="Times New Roman" w:hAnsi="Times New Roman" w:cs="Times New Roman"/>
          <w:i/>
          <w:iCs/>
          <w:lang w:val="fr-FR"/>
        </w:rPr>
        <w:t xml:space="preserve">. </w:t>
      </w:r>
      <w:proofErr w:type="gramStart"/>
      <w:r w:rsidR="001440CB" w:rsidRPr="00167A1B">
        <w:rPr>
          <w:rFonts w:ascii="Times New Roman" w:hAnsi="Times New Roman" w:cs="Times New Roman"/>
          <w:i/>
          <w:iCs/>
          <w:lang w:val="fr-FR"/>
        </w:rPr>
        <w:t>bel</w:t>
      </w:r>
      <w:proofErr w:type="gramEnd"/>
      <w:r w:rsidR="001440CB" w:rsidRPr="00167A1B">
        <w:rPr>
          <w:rFonts w:ascii="Times New Roman" w:hAnsi="Times New Roman" w:cs="Times New Roman"/>
          <w:lang w:val="fr-FR"/>
        </w:rPr>
        <w:t>., 2019, p. 330 avec note G.</w:t>
      </w:r>
      <w:r w:rsidR="00CF2994">
        <w:rPr>
          <w:rFonts w:ascii="Times New Roman" w:hAnsi="Times New Roman" w:cs="Times New Roman"/>
          <w:lang w:val="fr-FR"/>
        </w:rPr>
        <w:t xml:space="preserve"> de</w:t>
      </w:r>
      <w:r w:rsidR="001440CB" w:rsidRPr="00167A1B">
        <w:rPr>
          <w:rFonts w:ascii="Times New Roman" w:hAnsi="Times New Roman" w:cs="Times New Roman"/>
          <w:lang w:val="fr-FR"/>
        </w:rPr>
        <w:t xml:space="preserve"> LEVAL, « Le sort d’une saisie-exécution immobilière en cas de procédure de règlement collectif de dettes ultérieure. Droit nouveau versus droit ancien »</w:t>
      </w:r>
      <w:r w:rsidR="00D658CA">
        <w:rPr>
          <w:rFonts w:ascii="Times New Roman" w:hAnsi="Times New Roman" w:cs="Times New Roman"/>
          <w:lang w:val="fr-FR"/>
        </w:rPr>
        <w:t xml:space="preserve">, </w:t>
      </w:r>
      <w:r w:rsidR="00D658CA" w:rsidRPr="00D658CA">
        <w:rPr>
          <w:rFonts w:ascii="Times New Roman" w:hAnsi="Times New Roman" w:cs="Times New Roman"/>
          <w:i/>
          <w:iCs/>
          <w:lang w:val="fr-FR"/>
        </w:rPr>
        <w:t>op.cit</w:t>
      </w:r>
      <w:r w:rsidR="00D658CA">
        <w:rPr>
          <w:rFonts w:ascii="Times New Roman" w:hAnsi="Times New Roman" w:cs="Times New Roman"/>
          <w:lang w:val="fr-FR"/>
        </w:rPr>
        <w:t xml:space="preserve">. </w:t>
      </w:r>
    </w:p>
    <w:p w14:paraId="5EC875BB" w14:textId="13C3F683" w:rsidR="004367EC" w:rsidRPr="00167A1B" w:rsidRDefault="004367EC" w:rsidP="00B5673A">
      <w:pPr>
        <w:pStyle w:val="Notedebasdepage"/>
        <w:jc w:val="both"/>
        <w:rPr>
          <w:rFonts w:ascii="Times New Roman" w:hAnsi="Times New Roman" w:cs="Times New Roman"/>
        </w:rPr>
      </w:pPr>
    </w:p>
  </w:footnote>
  <w:footnote w:id="4">
    <w:p w14:paraId="7DA69FCD" w14:textId="2957648B" w:rsidR="00395F76" w:rsidRPr="00167A1B" w:rsidRDefault="00395F76" w:rsidP="00B5673A">
      <w:pPr>
        <w:pStyle w:val="Notedebasdepage"/>
        <w:jc w:val="both"/>
        <w:rPr>
          <w:rFonts w:ascii="Times New Roman" w:hAnsi="Times New Roman" w:cs="Times New Roman"/>
        </w:rPr>
      </w:pPr>
      <w:r w:rsidRPr="00167A1B">
        <w:rPr>
          <w:rStyle w:val="Appelnotedebasdep"/>
          <w:rFonts w:ascii="Times New Roman" w:hAnsi="Times New Roman" w:cs="Times New Roman"/>
        </w:rPr>
        <w:footnoteRef/>
      </w:r>
      <w:r w:rsidRPr="00167A1B">
        <w:rPr>
          <w:rFonts w:ascii="Times New Roman" w:hAnsi="Times New Roman" w:cs="Times New Roman"/>
        </w:rPr>
        <w:t xml:space="preserve"> Il n’est pas fait référence, au sein de la </w:t>
      </w:r>
      <w:r w:rsidR="00DC31DE" w:rsidRPr="00167A1B">
        <w:rPr>
          <w:rFonts w:ascii="Times New Roman" w:hAnsi="Times New Roman" w:cs="Times New Roman"/>
        </w:rPr>
        <w:t xml:space="preserve">présente </w:t>
      </w:r>
      <w:r w:rsidR="00D7651A" w:rsidRPr="00167A1B">
        <w:rPr>
          <w:rFonts w:ascii="Times New Roman" w:hAnsi="Times New Roman" w:cs="Times New Roman"/>
        </w:rPr>
        <w:t>contribution</w:t>
      </w:r>
      <w:r w:rsidRPr="00167A1B">
        <w:rPr>
          <w:rFonts w:ascii="Times New Roman" w:hAnsi="Times New Roman" w:cs="Times New Roman"/>
        </w:rPr>
        <w:t xml:space="preserve">, à la </w:t>
      </w:r>
      <w:r w:rsidR="00D7651A" w:rsidRPr="00167A1B">
        <w:rPr>
          <w:rFonts w:ascii="Times New Roman" w:hAnsi="Times New Roman" w:cs="Times New Roman"/>
        </w:rPr>
        <w:t>D</w:t>
      </w:r>
      <w:r w:rsidRPr="00167A1B">
        <w:rPr>
          <w:rFonts w:ascii="Times New Roman" w:hAnsi="Times New Roman" w:cs="Times New Roman"/>
        </w:rPr>
        <w:t>irective</w:t>
      </w:r>
      <w:r w:rsidR="00D7651A" w:rsidRPr="00167A1B">
        <w:rPr>
          <w:rFonts w:ascii="Times New Roman" w:hAnsi="Times New Roman" w:cs="Times New Roman"/>
        </w:rPr>
        <w:t xml:space="preserve"> européenne</w:t>
      </w:r>
      <w:r w:rsidRPr="00167A1B">
        <w:rPr>
          <w:rFonts w:ascii="Times New Roman" w:hAnsi="Times New Roman" w:cs="Times New Roman"/>
        </w:rPr>
        <w:t xml:space="preserve"> 2019/1023 </w:t>
      </w:r>
      <w:r w:rsidR="0017171E" w:rsidRPr="00167A1B">
        <w:rPr>
          <w:rFonts w:ascii="Times New Roman" w:hAnsi="Times New Roman" w:cs="Times New Roman"/>
        </w:rPr>
        <w:t xml:space="preserve">(Directive 2019/1023 du Parlement et du Conseil du 20 juin 2019 relative aux cadres de restructuration préventive, à la remise de dettes et aux déchéances, et aux mesures à prendre pour augmenter l’efficacité des procédures en matière de restructuration, d’insolvabilité et de remise de dettes, et modifiant la directive (UE) 2017/1132, </w:t>
      </w:r>
      <w:r w:rsidR="0017171E" w:rsidRPr="00167A1B">
        <w:rPr>
          <w:rFonts w:ascii="Times New Roman" w:hAnsi="Times New Roman" w:cs="Times New Roman"/>
          <w:i/>
          <w:iCs/>
        </w:rPr>
        <w:t>J.O.U.E</w:t>
      </w:r>
      <w:r w:rsidR="0017171E" w:rsidRPr="00167A1B">
        <w:rPr>
          <w:rFonts w:ascii="Times New Roman" w:hAnsi="Times New Roman" w:cs="Times New Roman"/>
        </w:rPr>
        <w:t xml:space="preserve">., n° L172/18 du 26 juin 2019). Les dispositions de cette directive n’ont pas encore été transposées </w:t>
      </w:r>
      <w:r w:rsidR="00813F4C" w:rsidRPr="00167A1B">
        <w:rPr>
          <w:rFonts w:ascii="Times New Roman" w:hAnsi="Times New Roman" w:cs="Times New Roman"/>
        </w:rPr>
        <w:t>par le législateur belge.</w:t>
      </w:r>
      <w:r w:rsidR="0017171E" w:rsidRPr="00167A1B">
        <w:rPr>
          <w:rFonts w:ascii="Times New Roman" w:hAnsi="Times New Roman" w:cs="Times New Roman"/>
        </w:rPr>
        <w:t xml:space="preserve"> D’après les informations </w:t>
      </w:r>
      <w:r w:rsidR="00DC31DE" w:rsidRPr="00167A1B">
        <w:rPr>
          <w:rFonts w:ascii="Times New Roman" w:hAnsi="Times New Roman" w:cs="Times New Roman"/>
        </w:rPr>
        <w:t>(</w:t>
      </w:r>
      <w:r w:rsidR="0017171E" w:rsidRPr="00167A1B">
        <w:rPr>
          <w:rFonts w:ascii="Times New Roman" w:hAnsi="Times New Roman" w:cs="Times New Roman"/>
        </w:rPr>
        <w:t>officieuses</w:t>
      </w:r>
      <w:r w:rsidR="00DC31DE" w:rsidRPr="00167A1B">
        <w:rPr>
          <w:rFonts w:ascii="Times New Roman" w:hAnsi="Times New Roman" w:cs="Times New Roman"/>
        </w:rPr>
        <w:t>)</w:t>
      </w:r>
      <w:r w:rsidR="0017171E" w:rsidRPr="00167A1B">
        <w:rPr>
          <w:rFonts w:ascii="Times New Roman" w:hAnsi="Times New Roman" w:cs="Times New Roman"/>
        </w:rPr>
        <w:t xml:space="preserve"> dont nous disposons, les articles XX.44, XX.5</w:t>
      </w:r>
      <w:r w:rsidR="00D82333" w:rsidRPr="00167A1B">
        <w:rPr>
          <w:rFonts w:ascii="Times New Roman" w:hAnsi="Times New Roman" w:cs="Times New Roman"/>
        </w:rPr>
        <w:t>0, XX.51</w:t>
      </w:r>
      <w:r w:rsidR="0017171E" w:rsidRPr="00167A1B">
        <w:rPr>
          <w:rFonts w:ascii="Times New Roman" w:hAnsi="Times New Roman" w:cs="Times New Roman"/>
        </w:rPr>
        <w:t xml:space="preserve"> et XX.120 du C.D.E.</w:t>
      </w:r>
      <w:r w:rsidR="00DC31DE" w:rsidRPr="00167A1B">
        <w:rPr>
          <w:rFonts w:ascii="Times New Roman" w:hAnsi="Times New Roman" w:cs="Times New Roman"/>
        </w:rPr>
        <w:t xml:space="preserve">, </w:t>
      </w:r>
      <w:r w:rsidR="00D7651A" w:rsidRPr="00167A1B">
        <w:rPr>
          <w:rFonts w:ascii="Times New Roman" w:hAnsi="Times New Roman" w:cs="Times New Roman"/>
        </w:rPr>
        <w:t>au cœur de notre propos</w:t>
      </w:r>
      <w:r w:rsidR="00DC31DE" w:rsidRPr="00167A1B">
        <w:rPr>
          <w:rFonts w:ascii="Times New Roman" w:hAnsi="Times New Roman" w:cs="Times New Roman"/>
        </w:rPr>
        <w:t xml:space="preserve">, </w:t>
      </w:r>
      <w:r w:rsidR="0017171E" w:rsidRPr="00167A1B">
        <w:rPr>
          <w:rFonts w:ascii="Times New Roman" w:hAnsi="Times New Roman" w:cs="Times New Roman"/>
        </w:rPr>
        <w:t xml:space="preserve">ne devraient pas subir pas de modifications substantielles. </w:t>
      </w:r>
    </w:p>
  </w:footnote>
  <w:footnote w:id="5">
    <w:p w14:paraId="3F0A9BCB" w14:textId="3F19926C"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Article XX.39</w:t>
      </w:r>
      <w:r w:rsidR="00376FEB" w:rsidRPr="00167A1B">
        <w:rPr>
          <w:rFonts w:ascii="Times New Roman" w:hAnsi="Times New Roman" w:cs="Times New Roman"/>
          <w:lang w:val="fr-FR"/>
        </w:rPr>
        <w:t xml:space="preserve"> </w:t>
      </w:r>
      <w:r w:rsidRPr="00167A1B">
        <w:rPr>
          <w:rFonts w:ascii="Times New Roman" w:hAnsi="Times New Roman" w:cs="Times New Roman"/>
          <w:lang w:val="fr-FR"/>
        </w:rPr>
        <w:t xml:space="preserve">du C.D.E. </w:t>
      </w:r>
    </w:p>
  </w:footnote>
  <w:footnote w:id="6">
    <w:p w14:paraId="150780CF" w14:textId="2B6FDC64" w:rsidR="004367EC" w:rsidRPr="00167A1B" w:rsidRDefault="00E8092E" w:rsidP="00B5673A">
      <w:pPr>
        <w:pStyle w:val="Notedebasdepage"/>
        <w:jc w:val="both"/>
        <w:rPr>
          <w:rFonts w:ascii="Times New Roman" w:hAnsi="Times New Roman" w:cs="Times New Roman"/>
          <w:lang w:val="en-US"/>
        </w:rPr>
      </w:pPr>
      <w:r w:rsidRPr="00167A1B">
        <w:rPr>
          <w:rFonts w:ascii="Times New Roman" w:eastAsia="Times New Roman" w:hAnsi="Times New Roman" w:cs="Times New Roman"/>
          <w:vertAlign w:val="superscript"/>
        </w:rPr>
        <w:footnoteRef/>
      </w:r>
      <w:r w:rsidRPr="00167A1B">
        <w:rPr>
          <w:rFonts w:ascii="Times New Roman" w:hAnsi="Times New Roman" w:cs="Times New Roman"/>
          <w:i/>
          <w:iCs/>
          <w:lang w:val="fr-FR"/>
        </w:rPr>
        <w:t xml:space="preserve"> </w:t>
      </w:r>
      <w:r w:rsidR="00405EA4" w:rsidRPr="00167A1B">
        <w:rPr>
          <w:rFonts w:ascii="Times New Roman" w:hAnsi="Times New Roman" w:cs="Times New Roman"/>
          <w:lang w:val="fr-FR"/>
        </w:rPr>
        <w:t xml:space="preserve">Exposé des motifs précité, </w:t>
      </w:r>
      <w:r w:rsidRPr="00167A1B">
        <w:rPr>
          <w:rFonts w:ascii="Times New Roman" w:hAnsi="Times New Roman" w:cs="Times New Roman"/>
          <w:i/>
          <w:iCs/>
          <w:lang w:val="fr-FR"/>
        </w:rPr>
        <w:t>Doc</w:t>
      </w:r>
      <w:r w:rsidRPr="00167A1B">
        <w:rPr>
          <w:rFonts w:ascii="Times New Roman" w:hAnsi="Times New Roman" w:cs="Times New Roman"/>
          <w:lang w:val="fr-FR"/>
        </w:rPr>
        <w:t xml:space="preserve">. </w:t>
      </w:r>
      <w:r w:rsidRPr="00167A1B">
        <w:rPr>
          <w:rFonts w:ascii="Times New Roman" w:hAnsi="Times New Roman" w:cs="Times New Roman"/>
          <w:lang w:val="en-US"/>
        </w:rPr>
        <w:t>Parl.</w:t>
      </w:r>
      <w:r w:rsidR="00405EA4" w:rsidRPr="00167A1B">
        <w:rPr>
          <w:rFonts w:ascii="Times New Roman" w:hAnsi="Times New Roman" w:cs="Times New Roman"/>
          <w:lang w:val="en-US"/>
        </w:rPr>
        <w:t xml:space="preserve">, Ch. </w:t>
      </w:r>
      <w:proofErr w:type="spellStart"/>
      <w:r w:rsidR="001D1228" w:rsidRPr="00167A1B">
        <w:rPr>
          <w:rFonts w:ascii="Times New Roman" w:hAnsi="Times New Roman" w:cs="Times New Roman"/>
          <w:lang w:val="en-US"/>
        </w:rPr>
        <w:t>r</w:t>
      </w:r>
      <w:r w:rsidR="00405EA4" w:rsidRPr="00167A1B">
        <w:rPr>
          <w:rFonts w:ascii="Times New Roman" w:hAnsi="Times New Roman" w:cs="Times New Roman"/>
          <w:lang w:val="en-US"/>
        </w:rPr>
        <w:t>epr</w:t>
      </w:r>
      <w:proofErr w:type="spellEnd"/>
      <w:r w:rsidR="00405EA4" w:rsidRPr="00167A1B">
        <w:rPr>
          <w:rFonts w:ascii="Times New Roman" w:hAnsi="Times New Roman" w:cs="Times New Roman"/>
          <w:lang w:val="en-US"/>
        </w:rPr>
        <w:t xml:space="preserve">. </w:t>
      </w:r>
      <w:r w:rsidRPr="00167A1B">
        <w:rPr>
          <w:rFonts w:ascii="Times New Roman" w:hAnsi="Times New Roman" w:cs="Times New Roman"/>
          <w:lang w:val="en-US"/>
        </w:rPr>
        <w:t xml:space="preserve">2016-2017, n°54-2407/001, p. 59. </w:t>
      </w:r>
    </w:p>
  </w:footnote>
  <w:footnote w:id="7">
    <w:p w14:paraId="60F520A1" w14:textId="2E33BDEA" w:rsidR="00FD0FA2" w:rsidRPr="00167A1B" w:rsidRDefault="00FD0FA2" w:rsidP="00B5673A">
      <w:pPr>
        <w:pStyle w:val="Notedebasdepage"/>
        <w:jc w:val="both"/>
        <w:rPr>
          <w:rFonts w:ascii="Times New Roman" w:hAnsi="Times New Roman" w:cs="Times New Roman"/>
        </w:rPr>
      </w:pPr>
      <w:r w:rsidRPr="00167A1B">
        <w:rPr>
          <w:rStyle w:val="Appelnotedebasdep"/>
          <w:rFonts w:ascii="Times New Roman" w:hAnsi="Times New Roman" w:cs="Times New Roman"/>
        </w:rPr>
        <w:footnoteRef/>
      </w:r>
      <w:r w:rsidRPr="00167A1B">
        <w:rPr>
          <w:rFonts w:ascii="Times New Roman" w:hAnsi="Times New Roman" w:cs="Times New Roman"/>
        </w:rPr>
        <w:t xml:space="preserve"> Fr. GEORGES, « Les saisies conservatoires, les voies d’exécution et le règlement collectif de dettes », in G. </w:t>
      </w:r>
      <w:r w:rsidR="003C6F23" w:rsidRPr="00167A1B">
        <w:rPr>
          <w:rFonts w:ascii="Times New Roman" w:hAnsi="Times New Roman" w:cs="Times New Roman"/>
        </w:rPr>
        <w:t>d</w:t>
      </w:r>
      <w:r w:rsidRPr="00167A1B">
        <w:rPr>
          <w:rFonts w:ascii="Times New Roman" w:hAnsi="Times New Roman" w:cs="Times New Roman"/>
        </w:rPr>
        <w:t>e L</w:t>
      </w:r>
      <w:r w:rsidR="003C6F23" w:rsidRPr="00167A1B">
        <w:rPr>
          <w:rFonts w:ascii="Times New Roman" w:hAnsi="Times New Roman" w:cs="Times New Roman"/>
        </w:rPr>
        <w:t>EVAL</w:t>
      </w:r>
      <w:r w:rsidRPr="00167A1B">
        <w:rPr>
          <w:rFonts w:ascii="Times New Roman" w:hAnsi="Times New Roman" w:cs="Times New Roman"/>
        </w:rPr>
        <w:t xml:space="preserve"> (</w:t>
      </w:r>
      <w:proofErr w:type="spellStart"/>
      <w:r w:rsidRPr="00167A1B">
        <w:rPr>
          <w:rFonts w:ascii="Times New Roman" w:hAnsi="Times New Roman" w:cs="Times New Roman"/>
        </w:rPr>
        <w:t>dir</w:t>
      </w:r>
      <w:proofErr w:type="spellEnd"/>
      <w:r w:rsidRPr="00167A1B">
        <w:rPr>
          <w:rFonts w:ascii="Times New Roman" w:hAnsi="Times New Roman" w:cs="Times New Roman"/>
        </w:rPr>
        <w:t xml:space="preserve">.), </w:t>
      </w:r>
      <w:r w:rsidRPr="00167A1B">
        <w:rPr>
          <w:rFonts w:ascii="Times New Roman" w:hAnsi="Times New Roman" w:cs="Times New Roman"/>
          <w:i/>
          <w:iCs/>
        </w:rPr>
        <w:t>Droit jud</w:t>
      </w:r>
      <w:r w:rsidR="00097659" w:rsidRPr="00167A1B">
        <w:rPr>
          <w:rFonts w:ascii="Times New Roman" w:hAnsi="Times New Roman" w:cs="Times New Roman"/>
          <w:i/>
          <w:iCs/>
        </w:rPr>
        <w:t>i</w:t>
      </w:r>
      <w:r w:rsidRPr="00167A1B">
        <w:rPr>
          <w:rFonts w:ascii="Times New Roman" w:hAnsi="Times New Roman" w:cs="Times New Roman"/>
          <w:i/>
          <w:iCs/>
        </w:rPr>
        <w:t>ci</w:t>
      </w:r>
      <w:r w:rsidR="00097659" w:rsidRPr="00167A1B">
        <w:rPr>
          <w:rFonts w:ascii="Times New Roman" w:hAnsi="Times New Roman" w:cs="Times New Roman"/>
          <w:i/>
          <w:iCs/>
        </w:rPr>
        <w:t>aire</w:t>
      </w:r>
      <w:r w:rsidR="00097659" w:rsidRPr="00167A1B">
        <w:rPr>
          <w:rFonts w:ascii="Times New Roman" w:hAnsi="Times New Roman" w:cs="Times New Roman"/>
        </w:rPr>
        <w:t xml:space="preserve"> t. II, </w:t>
      </w:r>
      <w:r w:rsidR="00097659" w:rsidRPr="00167A1B">
        <w:rPr>
          <w:rFonts w:ascii="Times New Roman" w:hAnsi="Times New Roman" w:cs="Times New Roman"/>
          <w:i/>
          <w:iCs/>
        </w:rPr>
        <w:t>Procédure civile</w:t>
      </w:r>
      <w:r w:rsidR="00097659" w:rsidRPr="00167A1B">
        <w:rPr>
          <w:rFonts w:ascii="Times New Roman" w:hAnsi="Times New Roman" w:cs="Times New Roman"/>
        </w:rPr>
        <w:t>, vol. III</w:t>
      </w:r>
      <w:r w:rsidR="00CF2994">
        <w:rPr>
          <w:rFonts w:ascii="Times New Roman" w:hAnsi="Times New Roman" w:cs="Times New Roman"/>
        </w:rPr>
        <w:t xml:space="preserve">, </w:t>
      </w:r>
      <w:proofErr w:type="spellStart"/>
      <w:r w:rsidR="00097659" w:rsidRPr="00167A1B">
        <w:rPr>
          <w:rFonts w:ascii="Times New Roman" w:hAnsi="Times New Roman" w:cs="Times New Roman"/>
        </w:rPr>
        <w:t>Larcier</w:t>
      </w:r>
      <w:proofErr w:type="spellEnd"/>
      <w:r w:rsidR="00097659" w:rsidRPr="00167A1B">
        <w:rPr>
          <w:rFonts w:ascii="Times New Roman" w:hAnsi="Times New Roman" w:cs="Times New Roman"/>
        </w:rPr>
        <w:t xml:space="preserve">, 2021, p. 24. </w:t>
      </w:r>
      <w:r w:rsidR="00ED3D3A" w:rsidRPr="00167A1B">
        <w:rPr>
          <w:rFonts w:ascii="Times New Roman" w:hAnsi="Times New Roman" w:cs="Times New Roman"/>
        </w:rPr>
        <w:t>L’article XX.44</w:t>
      </w:r>
      <w:r w:rsidR="00376FEB" w:rsidRPr="00167A1B">
        <w:rPr>
          <w:rFonts w:ascii="Times New Roman" w:hAnsi="Times New Roman" w:cs="Times New Roman"/>
        </w:rPr>
        <w:t xml:space="preserve"> d</w:t>
      </w:r>
      <w:r w:rsidR="00ED3D3A" w:rsidRPr="00167A1B">
        <w:rPr>
          <w:rFonts w:ascii="Times New Roman" w:hAnsi="Times New Roman" w:cs="Times New Roman"/>
        </w:rPr>
        <w:t>u C.D.E. ne fait par ailleurs pas obstacle à l</w:t>
      </w:r>
      <w:r w:rsidR="002F55EF" w:rsidRPr="00167A1B">
        <w:rPr>
          <w:rFonts w:ascii="Times New Roman" w:hAnsi="Times New Roman" w:cs="Times New Roman"/>
        </w:rPr>
        <w:t xml:space="preserve">a mise en œuvre </w:t>
      </w:r>
      <w:r w:rsidR="00ED3D3A" w:rsidRPr="00167A1B">
        <w:rPr>
          <w:rFonts w:ascii="Times New Roman" w:hAnsi="Times New Roman" w:cs="Times New Roman"/>
        </w:rPr>
        <w:t xml:space="preserve">d’une saisie conservatoire après le dépôt de la requête </w:t>
      </w:r>
      <w:r w:rsidR="00405EA4" w:rsidRPr="00167A1B">
        <w:rPr>
          <w:rFonts w:ascii="Times New Roman" w:hAnsi="Times New Roman" w:cs="Times New Roman"/>
        </w:rPr>
        <w:t>(</w:t>
      </w:r>
      <w:proofErr w:type="spellStart"/>
      <w:r w:rsidR="00405EA4" w:rsidRPr="00167A1B">
        <w:rPr>
          <w:rFonts w:ascii="Times New Roman" w:hAnsi="Times New Roman" w:cs="Times New Roman"/>
        </w:rPr>
        <w:t>voy</w:t>
      </w:r>
      <w:proofErr w:type="spellEnd"/>
      <w:r w:rsidR="00405EA4" w:rsidRPr="00167A1B">
        <w:rPr>
          <w:rFonts w:ascii="Times New Roman" w:hAnsi="Times New Roman" w:cs="Times New Roman"/>
        </w:rPr>
        <w:t xml:space="preserve">. </w:t>
      </w:r>
      <w:r w:rsidR="00405EA4" w:rsidRPr="00167A1B">
        <w:rPr>
          <w:rFonts w:ascii="Times New Roman" w:hAnsi="Times New Roman" w:cs="Times New Roman"/>
          <w:i/>
          <w:iCs/>
        </w:rPr>
        <w:t>infra</w:t>
      </w:r>
      <w:r w:rsidR="00553CE4" w:rsidRPr="00167A1B">
        <w:rPr>
          <w:rFonts w:ascii="Times New Roman" w:hAnsi="Times New Roman" w:cs="Times New Roman"/>
        </w:rPr>
        <w:t xml:space="preserve">, </w:t>
      </w:r>
      <w:r w:rsidR="00405EA4" w:rsidRPr="00167A1B">
        <w:rPr>
          <w:rFonts w:ascii="Times New Roman" w:hAnsi="Times New Roman" w:cs="Times New Roman"/>
        </w:rPr>
        <w:t xml:space="preserve">note </w:t>
      </w:r>
      <w:proofErr w:type="spellStart"/>
      <w:r w:rsidR="00405EA4" w:rsidRPr="00167A1B">
        <w:rPr>
          <w:rFonts w:ascii="Times New Roman" w:hAnsi="Times New Roman" w:cs="Times New Roman"/>
        </w:rPr>
        <w:t>subpaginale</w:t>
      </w:r>
      <w:proofErr w:type="spellEnd"/>
      <w:r w:rsidR="00405EA4" w:rsidRPr="00167A1B">
        <w:rPr>
          <w:rFonts w:ascii="Times New Roman" w:hAnsi="Times New Roman" w:cs="Times New Roman"/>
        </w:rPr>
        <w:t xml:space="preserve"> n°</w:t>
      </w:r>
      <w:r w:rsidR="00C927FE">
        <w:rPr>
          <w:rFonts w:ascii="Times New Roman" w:hAnsi="Times New Roman" w:cs="Times New Roman"/>
        </w:rPr>
        <w:t>9</w:t>
      </w:r>
      <w:r w:rsidR="00405EA4" w:rsidRPr="00167A1B">
        <w:rPr>
          <w:rFonts w:ascii="Times New Roman" w:hAnsi="Times New Roman" w:cs="Times New Roman"/>
        </w:rPr>
        <w:t xml:space="preserve">). </w:t>
      </w:r>
      <w:r w:rsidR="00ED3D3A" w:rsidRPr="00167A1B">
        <w:rPr>
          <w:rFonts w:ascii="Times New Roman" w:hAnsi="Times New Roman" w:cs="Times New Roman"/>
        </w:rPr>
        <w:t xml:space="preserve"> </w:t>
      </w:r>
    </w:p>
  </w:footnote>
  <w:footnote w:id="8">
    <w:p w14:paraId="5BE5324E" w14:textId="6CE827DB" w:rsidR="004367EC" w:rsidRPr="00167A1B" w:rsidRDefault="00E8092E" w:rsidP="00B5673A">
      <w:pPr>
        <w:pStyle w:val="Notedebasdepage"/>
        <w:jc w:val="both"/>
        <w:rPr>
          <w:rFonts w:ascii="Times New Roman" w:hAnsi="Times New Roman" w:cs="Times New Roman"/>
          <w:lang w:val="fr-FR"/>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00523A7A" w:rsidRPr="00167A1B">
        <w:rPr>
          <w:rFonts w:ascii="Times New Roman" w:hAnsi="Times New Roman" w:cs="Times New Roman"/>
          <w:lang w:val="fr-FR"/>
        </w:rPr>
        <w:t>La</w:t>
      </w:r>
      <w:r w:rsidRPr="00167A1B">
        <w:rPr>
          <w:rFonts w:ascii="Times New Roman" w:hAnsi="Times New Roman" w:cs="Times New Roman"/>
          <w:lang w:val="fr-FR"/>
        </w:rPr>
        <w:t xml:space="preserve"> possibilité pour un créancier de saisir conservatoirement après l’ouverture de la procédure</w:t>
      </w:r>
      <w:r w:rsidR="00523A7A" w:rsidRPr="00167A1B">
        <w:rPr>
          <w:rFonts w:ascii="Times New Roman" w:hAnsi="Times New Roman" w:cs="Times New Roman"/>
          <w:lang w:val="fr-FR"/>
        </w:rPr>
        <w:t xml:space="preserve"> est </w:t>
      </w:r>
      <w:r w:rsidRPr="00167A1B">
        <w:rPr>
          <w:rFonts w:ascii="Times New Roman" w:hAnsi="Times New Roman" w:cs="Times New Roman"/>
          <w:lang w:val="fr-FR"/>
        </w:rPr>
        <w:t>proscrit</w:t>
      </w:r>
      <w:r w:rsidR="00523A7A" w:rsidRPr="00167A1B">
        <w:rPr>
          <w:rFonts w:ascii="Times New Roman" w:hAnsi="Times New Roman" w:cs="Times New Roman"/>
          <w:lang w:val="fr-FR"/>
        </w:rPr>
        <w:t>e</w:t>
      </w:r>
      <w:r w:rsidRPr="00167A1B">
        <w:rPr>
          <w:rFonts w:ascii="Times New Roman" w:hAnsi="Times New Roman" w:cs="Times New Roman"/>
          <w:lang w:val="fr-FR"/>
        </w:rPr>
        <w:t xml:space="preserve"> par l’article XX.51, §</w:t>
      </w:r>
      <w:r w:rsidR="00523A7A" w:rsidRPr="00167A1B">
        <w:rPr>
          <w:rFonts w:ascii="Times New Roman" w:hAnsi="Times New Roman" w:cs="Times New Roman"/>
          <w:lang w:val="fr-FR"/>
        </w:rPr>
        <w:t xml:space="preserve"> </w:t>
      </w:r>
      <w:r w:rsidRPr="00167A1B">
        <w:rPr>
          <w:rFonts w:ascii="Times New Roman" w:hAnsi="Times New Roman" w:cs="Times New Roman"/>
          <w:lang w:val="fr-FR"/>
        </w:rPr>
        <w:t>1</w:t>
      </w:r>
      <w:r w:rsidRPr="00D969FC">
        <w:rPr>
          <w:rFonts w:ascii="Times New Roman" w:hAnsi="Times New Roman" w:cs="Times New Roman"/>
          <w:vertAlign w:val="superscript"/>
          <w:lang w:val="fr-FR"/>
        </w:rPr>
        <w:t>er</w:t>
      </w:r>
      <w:r w:rsidRPr="00167A1B">
        <w:rPr>
          <w:rFonts w:ascii="Times New Roman" w:hAnsi="Times New Roman" w:cs="Times New Roman"/>
          <w:lang w:val="fr-FR"/>
        </w:rPr>
        <w:t>, al. 1</w:t>
      </w:r>
      <w:r w:rsidRPr="00D969FC">
        <w:rPr>
          <w:rFonts w:ascii="Times New Roman" w:hAnsi="Times New Roman" w:cs="Times New Roman"/>
          <w:vertAlign w:val="superscript"/>
          <w:lang w:val="fr-FR"/>
        </w:rPr>
        <w:t>er</w:t>
      </w:r>
      <w:r w:rsidRPr="00167A1B">
        <w:rPr>
          <w:rFonts w:ascii="Times New Roman" w:hAnsi="Times New Roman" w:cs="Times New Roman"/>
          <w:lang w:val="fr-FR"/>
        </w:rPr>
        <w:t>, C.D.E. Néanmoins, ce</w:t>
      </w:r>
      <w:r w:rsidR="007D0B0A" w:rsidRPr="00167A1B">
        <w:rPr>
          <w:rFonts w:ascii="Times New Roman" w:hAnsi="Times New Roman" w:cs="Times New Roman"/>
          <w:lang w:val="fr-FR"/>
        </w:rPr>
        <w:t xml:space="preserve"> même article dispose qu’il est permis pour le </w:t>
      </w:r>
      <w:r w:rsidRPr="00167A1B">
        <w:rPr>
          <w:rFonts w:ascii="Times New Roman" w:hAnsi="Times New Roman" w:cs="Times New Roman"/>
          <w:lang w:val="fr-FR"/>
        </w:rPr>
        <w:t xml:space="preserve">créancier d’établir une sûreté légale ou conventionnelle durant le sursis. </w:t>
      </w:r>
      <w:r w:rsidR="007D0B0A" w:rsidRPr="00167A1B">
        <w:rPr>
          <w:rFonts w:ascii="Times New Roman" w:hAnsi="Times New Roman" w:cs="Times New Roman"/>
          <w:lang w:val="fr-FR"/>
        </w:rPr>
        <w:t>Dans son arrêt du 18 février 2016, la Cour constitutionnelle avait pourtant considéré</w:t>
      </w:r>
      <w:r w:rsidR="000E7259">
        <w:rPr>
          <w:rFonts w:ascii="Times New Roman" w:hAnsi="Times New Roman" w:cs="Times New Roman"/>
          <w:lang w:val="fr-FR"/>
        </w:rPr>
        <w:t> :</w:t>
      </w:r>
      <w:r w:rsidR="007D0B0A" w:rsidRPr="00167A1B">
        <w:rPr>
          <w:rFonts w:ascii="Times New Roman" w:hAnsi="Times New Roman" w:cs="Times New Roman"/>
          <w:lang w:val="fr-FR"/>
        </w:rPr>
        <w:t xml:space="preserve"> « </w:t>
      </w:r>
      <w:r w:rsidR="007D0B0A" w:rsidRPr="00167A1B">
        <w:rPr>
          <w:rFonts w:ascii="Times New Roman" w:hAnsi="Times New Roman" w:cs="Times New Roman"/>
          <w:i/>
          <w:iCs/>
          <w:lang w:val="fr-FR"/>
        </w:rPr>
        <w:t>qu’en interdisant pas à l’administration fiscale, au cours de la période sursitaire, de prendre inscription hypothécaire en vue d’être reconnue comme créancier privilégié à son terme (…), la disposition en cause n’est dès lors pas compatible, à cet égard, avec les articles 10 et 11 de la Constitution </w:t>
      </w:r>
      <w:r w:rsidR="007D0B0A" w:rsidRPr="00167A1B">
        <w:rPr>
          <w:rFonts w:ascii="Times New Roman" w:hAnsi="Times New Roman" w:cs="Times New Roman"/>
          <w:lang w:val="fr-FR"/>
        </w:rPr>
        <w:t xml:space="preserve">». Cette position était déjà soutenue par </w:t>
      </w:r>
      <w:r w:rsidR="00017416" w:rsidRPr="00167A1B">
        <w:rPr>
          <w:rFonts w:ascii="Times New Roman" w:hAnsi="Times New Roman" w:cs="Times New Roman"/>
          <w:lang w:val="fr-FR"/>
        </w:rPr>
        <w:t xml:space="preserve">une certaine jurisprudence </w:t>
      </w:r>
      <w:r w:rsidR="007D0B0A" w:rsidRPr="00167A1B">
        <w:rPr>
          <w:rFonts w:ascii="Times New Roman" w:hAnsi="Times New Roman" w:cs="Times New Roman"/>
          <w:lang w:val="fr-FR"/>
        </w:rPr>
        <w:t>et</w:t>
      </w:r>
      <w:r w:rsidR="00017416" w:rsidRPr="00167A1B">
        <w:rPr>
          <w:rFonts w:ascii="Times New Roman" w:hAnsi="Times New Roman" w:cs="Times New Roman"/>
          <w:lang w:val="fr-FR"/>
        </w:rPr>
        <w:t xml:space="preserve"> par</w:t>
      </w:r>
      <w:r w:rsidR="007D0B0A" w:rsidRPr="00167A1B">
        <w:rPr>
          <w:rFonts w:ascii="Times New Roman" w:hAnsi="Times New Roman" w:cs="Times New Roman"/>
          <w:lang w:val="fr-FR"/>
        </w:rPr>
        <w:t xml:space="preserve"> une large frange de la doctrine, considérant que la prise d’inscription d’une telle hypothèque avait l’effet équivalent à une saisie conservatoire (pourtant proscrite par l’ancien article 31 de la loi</w:t>
      </w:r>
      <w:r w:rsidR="00405EA4" w:rsidRPr="00167A1B">
        <w:rPr>
          <w:rFonts w:ascii="Times New Roman" w:hAnsi="Times New Roman" w:cs="Times New Roman"/>
          <w:lang w:val="fr-FR"/>
        </w:rPr>
        <w:t xml:space="preserve"> du 31 janvier 2009 relative</w:t>
      </w:r>
      <w:r w:rsidR="007D0B0A" w:rsidRPr="00167A1B">
        <w:rPr>
          <w:rFonts w:ascii="Times New Roman" w:hAnsi="Times New Roman" w:cs="Times New Roman"/>
          <w:lang w:val="fr-FR"/>
        </w:rPr>
        <w:t xml:space="preserve"> </w:t>
      </w:r>
      <w:r w:rsidR="00405EA4" w:rsidRPr="00167A1B">
        <w:rPr>
          <w:rFonts w:ascii="Times New Roman" w:hAnsi="Times New Roman" w:cs="Times New Roman"/>
          <w:lang w:val="fr-FR"/>
        </w:rPr>
        <w:t>à la</w:t>
      </w:r>
      <w:r w:rsidR="007D0B0A" w:rsidRPr="00167A1B">
        <w:rPr>
          <w:rFonts w:ascii="Times New Roman" w:hAnsi="Times New Roman" w:cs="Times New Roman"/>
          <w:lang w:val="fr-FR"/>
        </w:rPr>
        <w:t xml:space="preserve"> continuité des entreprises</w:t>
      </w:r>
      <w:r w:rsidR="00405EA4" w:rsidRPr="00167A1B">
        <w:rPr>
          <w:rFonts w:ascii="Times New Roman" w:hAnsi="Times New Roman" w:cs="Times New Roman"/>
          <w:lang w:val="fr-FR"/>
        </w:rPr>
        <w:t xml:space="preserve">, </w:t>
      </w:r>
      <w:r w:rsidR="00405EA4" w:rsidRPr="00167A1B">
        <w:rPr>
          <w:rFonts w:ascii="Times New Roman" w:hAnsi="Times New Roman" w:cs="Times New Roman"/>
          <w:i/>
          <w:iCs/>
          <w:lang w:val="fr-FR"/>
        </w:rPr>
        <w:t>M.B</w:t>
      </w:r>
      <w:r w:rsidR="00405EA4" w:rsidRPr="00167A1B">
        <w:rPr>
          <w:rFonts w:ascii="Times New Roman" w:hAnsi="Times New Roman" w:cs="Times New Roman"/>
          <w:lang w:val="fr-FR"/>
        </w:rPr>
        <w:t>., 9 février 2009</w:t>
      </w:r>
      <w:r w:rsidR="007D0B0A" w:rsidRPr="00167A1B">
        <w:rPr>
          <w:rFonts w:ascii="Times New Roman" w:hAnsi="Times New Roman" w:cs="Times New Roman"/>
          <w:lang w:val="fr-FR"/>
        </w:rPr>
        <w:t xml:space="preserve">), provoquant l’indisponibilité du bien, outre le droit de préférence octroyé à l’administration fiscale </w:t>
      </w:r>
      <w:r w:rsidR="004A58E3" w:rsidRPr="00167A1B">
        <w:rPr>
          <w:rFonts w:ascii="Times New Roman" w:hAnsi="Times New Roman" w:cs="Times New Roman"/>
          <w:lang w:val="fr-FR"/>
        </w:rPr>
        <w:t>(</w:t>
      </w:r>
      <w:proofErr w:type="spellStart"/>
      <w:r w:rsidR="004A58E3" w:rsidRPr="00167A1B">
        <w:rPr>
          <w:rFonts w:ascii="Times New Roman" w:hAnsi="Times New Roman" w:cs="Times New Roman"/>
          <w:lang w:val="fr-FR"/>
        </w:rPr>
        <w:t>v</w:t>
      </w:r>
      <w:r w:rsidR="007D0B0A" w:rsidRPr="00167A1B">
        <w:rPr>
          <w:rFonts w:ascii="Times New Roman" w:hAnsi="Times New Roman" w:cs="Times New Roman"/>
          <w:lang w:val="fr-FR"/>
        </w:rPr>
        <w:t>oy</w:t>
      </w:r>
      <w:proofErr w:type="spellEnd"/>
      <w:r w:rsidR="007D0B0A" w:rsidRPr="00167A1B">
        <w:rPr>
          <w:rFonts w:ascii="Times New Roman" w:hAnsi="Times New Roman" w:cs="Times New Roman"/>
          <w:lang w:val="fr-FR"/>
        </w:rPr>
        <w:t xml:space="preserve">. notamment N. OUCHINSKY, « Analyse des nouveaux moyens d’action des créanciers dans le cadre d’une procédure de réorganisation judiciaire », </w:t>
      </w:r>
      <w:r w:rsidR="00017416" w:rsidRPr="00167A1B">
        <w:rPr>
          <w:rFonts w:ascii="Times New Roman" w:hAnsi="Times New Roman" w:cs="Times New Roman"/>
          <w:i/>
          <w:iCs/>
          <w:lang w:val="fr-FR"/>
        </w:rPr>
        <w:t>op.cit</w:t>
      </w:r>
      <w:r w:rsidR="00017416" w:rsidRPr="00167A1B">
        <w:rPr>
          <w:rFonts w:ascii="Times New Roman" w:hAnsi="Times New Roman" w:cs="Times New Roman"/>
          <w:lang w:val="fr-FR"/>
        </w:rPr>
        <w:t>.</w:t>
      </w:r>
      <w:r w:rsidR="007D0B0A" w:rsidRPr="00167A1B">
        <w:rPr>
          <w:rFonts w:ascii="Times New Roman" w:hAnsi="Times New Roman" w:cs="Times New Roman"/>
          <w:lang w:val="fr-FR"/>
        </w:rPr>
        <w:t>, p. 77 ; W. DAVID, « La suspension des voies d’exécution durant la procédure de réorganisation judiciaire », in A. Z</w:t>
      </w:r>
      <w:r w:rsidR="00523A7A" w:rsidRPr="00167A1B">
        <w:rPr>
          <w:rFonts w:ascii="Times New Roman" w:hAnsi="Times New Roman" w:cs="Times New Roman"/>
          <w:lang w:val="fr-FR"/>
        </w:rPr>
        <w:t>ENNER</w:t>
      </w:r>
      <w:r w:rsidR="007D0B0A" w:rsidRPr="00167A1B">
        <w:rPr>
          <w:rFonts w:ascii="Times New Roman" w:hAnsi="Times New Roman" w:cs="Times New Roman"/>
          <w:lang w:val="fr-FR"/>
        </w:rPr>
        <w:t xml:space="preserve"> et M. D</w:t>
      </w:r>
      <w:r w:rsidR="00523A7A" w:rsidRPr="00167A1B">
        <w:rPr>
          <w:rFonts w:ascii="Times New Roman" w:hAnsi="Times New Roman" w:cs="Times New Roman"/>
          <w:lang w:val="fr-FR"/>
        </w:rPr>
        <w:t>AL</w:t>
      </w:r>
      <w:r w:rsidR="007D0B0A" w:rsidRPr="00167A1B">
        <w:rPr>
          <w:rFonts w:ascii="Times New Roman" w:hAnsi="Times New Roman" w:cs="Times New Roman"/>
          <w:lang w:val="fr-FR"/>
        </w:rPr>
        <w:t xml:space="preserve"> (</w:t>
      </w:r>
      <w:proofErr w:type="spellStart"/>
      <w:r w:rsidR="007D0B0A" w:rsidRPr="00167A1B">
        <w:rPr>
          <w:rFonts w:ascii="Times New Roman" w:hAnsi="Times New Roman" w:cs="Times New Roman"/>
          <w:lang w:val="fr-FR"/>
        </w:rPr>
        <w:t>dir</w:t>
      </w:r>
      <w:proofErr w:type="spellEnd"/>
      <w:r w:rsidR="007D0B0A" w:rsidRPr="00167A1B">
        <w:rPr>
          <w:rFonts w:ascii="Times New Roman" w:hAnsi="Times New Roman" w:cs="Times New Roman"/>
          <w:lang w:val="fr-FR"/>
        </w:rPr>
        <w:t xml:space="preserve">.), </w:t>
      </w:r>
      <w:r w:rsidR="007D0B0A" w:rsidRPr="00167A1B">
        <w:rPr>
          <w:rFonts w:ascii="Times New Roman" w:hAnsi="Times New Roman" w:cs="Times New Roman"/>
          <w:i/>
          <w:iCs/>
          <w:lang w:val="fr-FR"/>
        </w:rPr>
        <w:t xml:space="preserve">Actualité de la continuité, continuité de l’actualité - </w:t>
      </w:r>
      <w:proofErr w:type="spellStart"/>
      <w:r w:rsidR="007D0B0A" w:rsidRPr="00167A1B">
        <w:rPr>
          <w:rFonts w:ascii="Times New Roman" w:hAnsi="Times New Roman" w:cs="Times New Roman"/>
          <w:i/>
          <w:iCs/>
          <w:lang w:val="fr-FR"/>
        </w:rPr>
        <w:t>Etats</w:t>
      </w:r>
      <w:proofErr w:type="spellEnd"/>
      <w:r w:rsidR="007D0B0A" w:rsidRPr="00167A1B">
        <w:rPr>
          <w:rFonts w:ascii="Times New Roman" w:hAnsi="Times New Roman" w:cs="Times New Roman"/>
          <w:i/>
          <w:iCs/>
          <w:lang w:val="fr-FR"/>
        </w:rPr>
        <w:t xml:space="preserve"> généraux de la continuité des entreprises</w:t>
      </w:r>
      <w:r w:rsidR="00CF2994">
        <w:rPr>
          <w:rFonts w:ascii="Times New Roman" w:hAnsi="Times New Roman" w:cs="Times New Roman"/>
          <w:lang w:val="fr-FR"/>
        </w:rPr>
        <w:t xml:space="preserve">, </w:t>
      </w:r>
      <w:r w:rsidR="007D0B0A" w:rsidRPr="00167A1B">
        <w:rPr>
          <w:rFonts w:ascii="Times New Roman" w:hAnsi="Times New Roman" w:cs="Times New Roman"/>
          <w:lang w:val="fr-FR"/>
        </w:rPr>
        <w:t xml:space="preserve"> </w:t>
      </w:r>
      <w:proofErr w:type="spellStart"/>
      <w:r w:rsidR="007D0B0A" w:rsidRPr="00167A1B">
        <w:rPr>
          <w:rFonts w:ascii="Times New Roman" w:hAnsi="Times New Roman" w:cs="Times New Roman"/>
          <w:lang w:val="fr-FR"/>
        </w:rPr>
        <w:t>Larcier</w:t>
      </w:r>
      <w:proofErr w:type="spellEnd"/>
      <w:r w:rsidR="007D0B0A" w:rsidRPr="00167A1B">
        <w:rPr>
          <w:rFonts w:ascii="Times New Roman" w:hAnsi="Times New Roman" w:cs="Times New Roman"/>
          <w:lang w:val="fr-FR"/>
        </w:rPr>
        <w:t>, 2012, pp. 303 et 304 ; A. ZENNER, « </w:t>
      </w:r>
      <w:r w:rsidR="0089671E" w:rsidRPr="00167A1B">
        <w:rPr>
          <w:rFonts w:ascii="Times New Roman" w:hAnsi="Times New Roman" w:cs="Times New Roman"/>
          <w:lang w:val="fr-FR"/>
        </w:rPr>
        <w:t>L</w:t>
      </w:r>
      <w:r w:rsidR="007D0B0A" w:rsidRPr="00167A1B">
        <w:rPr>
          <w:rFonts w:ascii="Times New Roman" w:hAnsi="Times New Roman" w:cs="Times New Roman"/>
          <w:lang w:val="fr-FR"/>
        </w:rPr>
        <w:t xml:space="preserve">es créances de l’administration fiscale en cas de procédure de réorganisation judiciaire », </w:t>
      </w:r>
      <w:r w:rsidR="007D0B0A" w:rsidRPr="00167A1B">
        <w:rPr>
          <w:rFonts w:ascii="Times New Roman" w:hAnsi="Times New Roman" w:cs="Times New Roman"/>
          <w:i/>
          <w:iCs/>
          <w:lang w:val="fr-FR"/>
        </w:rPr>
        <w:t>J.T</w:t>
      </w:r>
      <w:r w:rsidR="007D0B0A" w:rsidRPr="00167A1B">
        <w:rPr>
          <w:rFonts w:ascii="Times New Roman" w:hAnsi="Times New Roman" w:cs="Times New Roman"/>
          <w:lang w:val="fr-FR"/>
        </w:rPr>
        <w:t xml:space="preserve">., 2012, p. 521 ; Fr. GEORGES, « Demande en mainlevée de l’hypothèque légale en matière de T.V.A. : devant quel juge et sur quel(s) fondement(s)? », </w:t>
      </w:r>
      <w:r w:rsidR="007D0B0A" w:rsidRPr="00167A1B">
        <w:rPr>
          <w:rFonts w:ascii="Times New Roman" w:hAnsi="Times New Roman" w:cs="Times New Roman"/>
          <w:i/>
          <w:iCs/>
          <w:lang w:val="fr-FR"/>
        </w:rPr>
        <w:t>J.L.M.B</w:t>
      </w:r>
      <w:r w:rsidR="007D0B0A" w:rsidRPr="00167A1B">
        <w:rPr>
          <w:rFonts w:ascii="Times New Roman" w:hAnsi="Times New Roman" w:cs="Times New Roman"/>
          <w:lang w:val="fr-FR"/>
        </w:rPr>
        <w:t xml:space="preserve">., 2008, p. 1284). Néanmoins, le législateur </w:t>
      </w:r>
      <w:r w:rsidR="00523A7A" w:rsidRPr="00167A1B">
        <w:rPr>
          <w:rFonts w:ascii="Times New Roman" w:hAnsi="Times New Roman" w:cs="Times New Roman"/>
          <w:lang w:val="fr-FR"/>
        </w:rPr>
        <w:t>ne s’est pas inscrit dans cette ligne,</w:t>
      </w:r>
      <w:r w:rsidR="007D0B0A" w:rsidRPr="00167A1B">
        <w:rPr>
          <w:rFonts w:ascii="Times New Roman" w:hAnsi="Times New Roman" w:cs="Times New Roman"/>
          <w:lang w:val="fr-FR"/>
        </w:rPr>
        <w:t xml:space="preserve"> dès lors qu’il ressort désormais nettement du prescrit de l’article XX.51 du C.D.E. qu’il est permis pour le créancier d’établir une sûreté légale ou conventionnelle durant la période du sursis</w:t>
      </w:r>
      <w:r w:rsidR="00F3680E" w:rsidRPr="00167A1B">
        <w:rPr>
          <w:rFonts w:ascii="Times New Roman" w:hAnsi="Times New Roman" w:cs="Times New Roman"/>
          <w:lang w:val="fr-FR"/>
        </w:rPr>
        <w:t>,</w:t>
      </w:r>
      <w:r w:rsidR="007D0B0A" w:rsidRPr="00167A1B">
        <w:rPr>
          <w:rFonts w:ascii="Times New Roman" w:hAnsi="Times New Roman" w:cs="Times New Roman"/>
          <w:lang w:val="fr-FR"/>
        </w:rPr>
        <w:t xml:space="preserve"> même si une saisie conservatoire reste proscrite durant cette dernière.</w:t>
      </w:r>
    </w:p>
  </w:footnote>
  <w:footnote w:id="9">
    <w:p w14:paraId="66FE07CB" w14:textId="3D9CBC7C" w:rsidR="00714464" w:rsidRPr="00167A1B" w:rsidRDefault="00714464" w:rsidP="00B5673A">
      <w:pPr>
        <w:pStyle w:val="Notedebasdepage"/>
        <w:jc w:val="both"/>
        <w:rPr>
          <w:rFonts w:ascii="Times New Roman" w:hAnsi="Times New Roman" w:cs="Times New Roman"/>
          <w:lang w:val="nl-BE"/>
        </w:rPr>
      </w:pPr>
      <w:r w:rsidRPr="00167A1B">
        <w:rPr>
          <w:rStyle w:val="Appelnotedebasdep"/>
          <w:rFonts w:ascii="Times New Roman" w:hAnsi="Times New Roman" w:cs="Times New Roman"/>
        </w:rPr>
        <w:footnoteRef/>
      </w:r>
      <w:r w:rsidRPr="00167A1B">
        <w:rPr>
          <w:rFonts w:ascii="Times New Roman" w:hAnsi="Times New Roman" w:cs="Times New Roman"/>
        </w:rPr>
        <w:t xml:space="preserve"> Sur les circonstances qui peuvent mener à la mainlevée de la saisie, </w:t>
      </w:r>
      <w:proofErr w:type="spellStart"/>
      <w:r w:rsidRPr="00167A1B">
        <w:rPr>
          <w:rFonts w:ascii="Times New Roman" w:hAnsi="Times New Roman" w:cs="Times New Roman"/>
        </w:rPr>
        <w:t>voy</w:t>
      </w:r>
      <w:proofErr w:type="spellEnd"/>
      <w:r w:rsidRPr="00167A1B">
        <w:rPr>
          <w:rFonts w:ascii="Times New Roman" w:hAnsi="Times New Roman" w:cs="Times New Roman"/>
        </w:rPr>
        <w:t xml:space="preserve">. </w:t>
      </w:r>
      <w:r w:rsidRPr="00167A1B">
        <w:rPr>
          <w:rFonts w:ascii="Times New Roman" w:hAnsi="Times New Roman" w:cs="Times New Roman"/>
          <w:lang w:val="nl-BE"/>
        </w:rPr>
        <w:t xml:space="preserve">Anvers, 10 septembre 2009, </w:t>
      </w:r>
      <w:r w:rsidRPr="00167A1B">
        <w:rPr>
          <w:rFonts w:ascii="Times New Roman" w:hAnsi="Times New Roman" w:cs="Times New Roman"/>
          <w:i/>
          <w:iCs/>
          <w:lang w:val="nl-BE"/>
        </w:rPr>
        <w:t>R.W</w:t>
      </w:r>
      <w:r w:rsidRPr="00167A1B">
        <w:rPr>
          <w:rFonts w:ascii="Times New Roman" w:hAnsi="Times New Roman" w:cs="Times New Roman"/>
          <w:lang w:val="nl-BE"/>
        </w:rPr>
        <w:t>., 2009-2010, p</w:t>
      </w:r>
      <w:r w:rsidR="00837CAC" w:rsidRPr="00167A1B">
        <w:rPr>
          <w:rFonts w:ascii="Times New Roman" w:hAnsi="Times New Roman" w:cs="Times New Roman"/>
          <w:lang w:val="nl-BE"/>
        </w:rPr>
        <w:t>p</w:t>
      </w:r>
      <w:r w:rsidRPr="00167A1B">
        <w:rPr>
          <w:rFonts w:ascii="Times New Roman" w:hAnsi="Times New Roman" w:cs="Times New Roman"/>
          <w:lang w:val="nl-BE"/>
        </w:rPr>
        <w:t xml:space="preserve">. </w:t>
      </w:r>
      <w:r w:rsidR="00837CAC" w:rsidRPr="00167A1B">
        <w:rPr>
          <w:rFonts w:ascii="Times New Roman" w:hAnsi="Times New Roman" w:cs="Times New Roman"/>
          <w:lang w:val="nl-BE"/>
        </w:rPr>
        <w:t xml:space="preserve">498 et s., </w:t>
      </w:r>
      <w:r w:rsidRPr="00167A1B">
        <w:rPr>
          <w:rFonts w:ascii="Times New Roman" w:hAnsi="Times New Roman" w:cs="Times New Roman"/>
          <w:lang w:val="nl-BE"/>
        </w:rPr>
        <w:t>avec note E. DIRIX, « De opheffing van beslagen onder gelding van de Wet Continuïteit Ondernemingen ».</w:t>
      </w:r>
    </w:p>
  </w:footnote>
  <w:footnote w:id="10">
    <w:p w14:paraId="44579D00" w14:textId="46B30459" w:rsidR="004367EC" w:rsidRPr="00167A1B" w:rsidRDefault="00E8092E" w:rsidP="00B5673A">
      <w:pPr>
        <w:pStyle w:val="Notedebasdepage"/>
        <w:jc w:val="both"/>
        <w:rPr>
          <w:rFonts w:ascii="Times New Roman" w:hAnsi="Times New Roman" w:cs="Times New Roman"/>
          <w:lang w:val="fr-FR"/>
        </w:rPr>
      </w:pPr>
      <w:r w:rsidRPr="00167A1B">
        <w:rPr>
          <w:rFonts w:ascii="Times New Roman" w:eastAsia="Times New Roman" w:hAnsi="Times New Roman" w:cs="Times New Roman"/>
          <w:vertAlign w:val="superscript"/>
        </w:rPr>
        <w:footnoteRef/>
      </w:r>
      <w:r w:rsidRPr="00167A1B">
        <w:rPr>
          <w:rFonts w:ascii="Times New Roman" w:hAnsi="Times New Roman" w:cs="Times New Roman"/>
          <w:lang w:val="nl-BE"/>
        </w:rPr>
        <w:t xml:space="preserve"> N. OUCHINSKY, « L’incidence de l’insolvabilité des entreprises sur les saisies »,</w:t>
      </w:r>
      <w:r w:rsidRPr="00167A1B">
        <w:rPr>
          <w:rFonts w:ascii="Times New Roman" w:hAnsi="Times New Roman" w:cs="Times New Roman"/>
          <w:i/>
          <w:iCs/>
          <w:lang w:val="nl-BE"/>
        </w:rPr>
        <w:t xml:space="preserve"> op.cit</w:t>
      </w:r>
      <w:r w:rsidRPr="00167A1B">
        <w:rPr>
          <w:rFonts w:ascii="Times New Roman" w:hAnsi="Times New Roman" w:cs="Times New Roman"/>
          <w:lang w:val="nl-BE"/>
        </w:rPr>
        <w:t xml:space="preserve">., p. 79 ; E. DIRIX et R. JANSEN, « De positie van de schuldeisers en het lot van lopende overeenkomsten », </w:t>
      </w:r>
      <w:r w:rsidRPr="00167A1B">
        <w:rPr>
          <w:rFonts w:ascii="Times New Roman" w:hAnsi="Times New Roman" w:cs="Times New Roman"/>
          <w:i/>
          <w:iCs/>
          <w:lang w:val="nl-BE"/>
        </w:rPr>
        <w:t>Gerechteljike reorganisatie - Getest, gewikt en gewogen</w:t>
      </w:r>
      <w:r w:rsidRPr="00167A1B">
        <w:rPr>
          <w:rFonts w:ascii="Times New Roman" w:hAnsi="Times New Roman" w:cs="Times New Roman"/>
          <w:lang w:val="nl-BE"/>
        </w:rPr>
        <w:t>, Intersentia, 2010, p. 162.</w:t>
      </w:r>
      <w:r w:rsidR="00FC4162" w:rsidRPr="00D969FC">
        <w:rPr>
          <w:rFonts w:ascii="Times New Roman" w:hAnsi="Times New Roman" w:cs="Times New Roman"/>
          <w:lang w:val="nl-BE"/>
        </w:rPr>
        <w:t xml:space="preserve"> </w:t>
      </w:r>
      <w:r w:rsidR="00FC4162" w:rsidRPr="00D969FC">
        <w:rPr>
          <w:rFonts w:ascii="Times New Roman" w:hAnsi="Times New Roman" w:cs="Times New Roman"/>
        </w:rPr>
        <w:t>Nonobstant le</w:t>
      </w:r>
      <w:r w:rsidRPr="00167A1B">
        <w:rPr>
          <w:rFonts w:ascii="Times New Roman" w:hAnsi="Times New Roman" w:cs="Times New Roman"/>
          <w:lang w:val="fr-FR"/>
        </w:rPr>
        <w:t xml:space="preserve"> dépôt de la requête en réorganisation judiciaire, sont notamment autorisés les actes suivants : une saisie conservatoire, l’obtention d’un titre exécutoire contre le débiteur, l’obtention de nouvelles sûretés sur le patrimoine du débiteur, l’invocation d’une exception d’inexécution,… (</w:t>
      </w:r>
      <w:r w:rsidR="004A58E3" w:rsidRPr="00167A1B">
        <w:rPr>
          <w:rFonts w:ascii="Times New Roman" w:hAnsi="Times New Roman" w:cs="Times New Roman"/>
          <w:lang w:val="fr-FR"/>
        </w:rPr>
        <w:t xml:space="preserve">I. VEROUGSTRAETE, </w:t>
      </w:r>
      <w:r w:rsidR="004A58E3" w:rsidRPr="00167A1B">
        <w:rPr>
          <w:rFonts w:ascii="Times New Roman" w:hAnsi="Times New Roman" w:cs="Times New Roman"/>
          <w:i/>
          <w:iCs/>
          <w:lang w:val="fr-FR"/>
        </w:rPr>
        <w:t>Manuel de l’insolvabilité de l’entreprise</w:t>
      </w:r>
      <w:r w:rsidR="004A58E3" w:rsidRPr="00167A1B">
        <w:rPr>
          <w:rFonts w:ascii="Times New Roman" w:hAnsi="Times New Roman" w:cs="Times New Roman"/>
          <w:lang w:val="fr-FR"/>
        </w:rPr>
        <w:t xml:space="preserve">, </w:t>
      </w:r>
      <w:r w:rsidR="004A58E3" w:rsidRPr="00167A1B">
        <w:rPr>
          <w:rFonts w:ascii="Times New Roman" w:hAnsi="Times New Roman" w:cs="Times New Roman"/>
          <w:i/>
          <w:iCs/>
          <w:lang w:val="fr-FR"/>
        </w:rPr>
        <w:t>op.cit</w:t>
      </w:r>
      <w:r w:rsidR="004A58E3" w:rsidRPr="00167A1B">
        <w:rPr>
          <w:rFonts w:ascii="Times New Roman" w:hAnsi="Times New Roman" w:cs="Times New Roman"/>
          <w:lang w:val="fr-FR"/>
        </w:rPr>
        <w:t xml:space="preserve">., pp. 429 et 430 ; </w:t>
      </w:r>
      <w:r w:rsidR="00ED3D3A" w:rsidRPr="00167A1B">
        <w:rPr>
          <w:rFonts w:ascii="Times New Roman" w:hAnsi="Times New Roman" w:cs="Times New Roman"/>
          <w:lang w:val="fr-FR"/>
        </w:rPr>
        <w:t xml:space="preserve">D. DE MAREZ et C. STRAGIER, </w:t>
      </w:r>
      <w:proofErr w:type="spellStart"/>
      <w:r w:rsidR="00ED3D3A" w:rsidRPr="00167A1B">
        <w:rPr>
          <w:rFonts w:ascii="Times New Roman" w:hAnsi="Times New Roman" w:cs="Times New Roman"/>
          <w:i/>
          <w:iCs/>
          <w:lang w:val="fr-FR"/>
        </w:rPr>
        <w:t>Boek</w:t>
      </w:r>
      <w:proofErr w:type="spellEnd"/>
      <w:r w:rsidR="00ED3D3A" w:rsidRPr="00167A1B">
        <w:rPr>
          <w:rFonts w:ascii="Times New Roman" w:hAnsi="Times New Roman" w:cs="Times New Roman"/>
          <w:i/>
          <w:iCs/>
          <w:lang w:val="fr-FR"/>
        </w:rPr>
        <w:t xml:space="preserve"> XX. </w:t>
      </w:r>
      <w:r w:rsidR="00ED3D3A" w:rsidRPr="00D969FC">
        <w:rPr>
          <w:rFonts w:ascii="Times New Roman" w:hAnsi="Times New Roman" w:cs="Times New Roman"/>
          <w:i/>
          <w:iCs/>
          <w:lang w:val="nl-BE"/>
        </w:rPr>
        <w:t>Een commentaar bij het niewe insolventierecht</w:t>
      </w:r>
      <w:r w:rsidR="00ED3D3A" w:rsidRPr="00D969FC">
        <w:rPr>
          <w:rFonts w:ascii="Times New Roman" w:hAnsi="Times New Roman" w:cs="Times New Roman"/>
          <w:lang w:val="nl-BE"/>
        </w:rPr>
        <w:t>, Bruges, Die Keure, 2018, p. 158</w:t>
      </w:r>
      <w:r w:rsidR="004A58E3" w:rsidRPr="00D969FC">
        <w:rPr>
          <w:rFonts w:ascii="Times New Roman" w:hAnsi="Times New Roman" w:cs="Times New Roman"/>
          <w:lang w:val="nl-BE"/>
        </w:rPr>
        <w:t>)</w:t>
      </w:r>
      <w:r w:rsidRPr="00D969FC">
        <w:rPr>
          <w:rFonts w:ascii="Times New Roman" w:hAnsi="Times New Roman" w:cs="Times New Roman"/>
          <w:lang w:val="nl-BE"/>
        </w:rPr>
        <w:t xml:space="preserve">. </w:t>
      </w:r>
      <w:r w:rsidRPr="00167A1B">
        <w:rPr>
          <w:rFonts w:ascii="Times New Roman" w:hAnsi="Times New Roman" w:cs="Times New Roman"/>
          <w:lang w:val="fr-FR"/>
        </w:rPr>
        <w:t xml:space="preserve">Sur la prise d’une hypothèque, </w:t>
      </w:r>
      <w:proofErr w:type="spellStart"/>
      <w:r w:rsidRPr="00167A1B">
        <w:rPr>
          <w:rFonts w:ascii="Times New Roman" w:hAnsi="Times New Roman" w:cs="Times New Roman"/>
          <w:lang w:val="fr-FR"/>
        </w:rPr>
        <w:t>voy</w:t>
      </w:r>
      <w:proofErr w:type="spellEnd"/>
      <w:r w:rsidRPr="00167A1B">
        <w:rPr>
          <w:rFonts w:ascii="Times New Roman" w:hAnsi="Times New Roman" w:cs="Times New Roman"/>
          <w:lang w:val="fr-FR"/>
        </w:rPr>
        <w:t>. Liège, 10 mai 2016, R.G. 2015/RG/792</w:t>
      </w:r>
      <w:r w:rsidR="000E7259">
        <w:rPr>
          <w:rFonts w:ascii="Times New Roman" w:hAnsi="Times New Roman" w:cs="Times New Roman"/>
          <w:lang w:val="fr-FR"/>
        </w:rPr>
        <w:t xml:space="preserve">, </w:t>
      </w:r>
      <w:r w:rsidRPr="00167A1B">
        <w:rPr>
          <w:rFonts w:ascii="Times New Roman" w:hAnsi="Times New Roman" w:cs="Times New Roman"/>
          <w:lang w:val="fr-FR"/>
        </w:rPr>
        <w:t>où la cour d’appel décide que le dépôt de la requête</w:t>
      </w:r>
      <w:r w:rsidR="00523A08" w:rsidRPr="00167A1B">
        <w:rPr>
          <w:rFonts w:ascii="Times New Roman" w:hAnsi="Times New Roman" w:cs="Times New Roman"/>
          <w:lang w:val="fr-FR"/>
        </w:rPr>
        <w:t xml:space="preserve"> en réorganisation judiciaire</w:t>
      </w:r>
      <w:r w:rsidRPr="00167A1B">
        <w:rPr>
          <w:rFonts w:ascii="Times New Roman" w:hAnsi="Times New Roman" w:cs="Times New Roman"/>
          <w:lang w:val="fr-FR"/>
        </w:rPr>
        <w:t xml:space="preserve"> ne fait pas obstacle à la prise d’une hypothèque par le créancier sur le patrimoine du débiteur.</w:t>
      </w:r>
    </w:p>
  </w:footnote>
  <w:footnote w:id="11">
    <w:p w14:paraId="702EDDBE" w14:textId="0B48729A"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Ce délai de deux mois est, selon le législateur, le délai nécessaire « </w:t>
      </w:r>
      <w:r w:rsidRPr="00167A1B">
        <w:rPr>
          <w:rFonts w:ascii="Times New Roman" w:hAnsi="Times New Roman" w:cs="Times New Roman"/>
          <w:i/>
          <w:iCs/>
          <w:lang w:val="fr-FR"/>
        </w:rPr>
        <w:t>pour procéder aux publicités et autres formalités pour les fonds de commerce et les bâtiments industriels (…). Il se justifie dès lors dans la mesure où la probabilité qu’un tel bien soit vendu dans le cadre d’une saisie alors qu’il appartient à un débiteur qui fait l’objet d’une réorganisation judiciaire, est élevée</w:t>
      </w:r>
      <w:r w:rsidRPr="00167A1B">
        <w:rPr>
          <w:rFonts w:ascii="Times New Roman" w:hAnsi="Times New Roman" w:cs="Times New Roman"/>
          <w:lang w:val="fr-FR"/>
        </w:rPr>
        <w:t> »</w:t>
      </w:r>
      <w:r w:rsidR="001D1228" w:rsidRPr="00167A1B">
        <w:rPr>
          <w:rFonts w:ascii="Times New Roman" w:hAnsi="Times New Roman" w:cs="Times New Roman"/>
          <w:lang w:val="fr-FR"/>
        </w:rPr>
        <w:t xml:space="preserve"> (Exposé des motifs précité, </w:t>
      </w:r>
      <w:r w:rsidR="001D1228" w:rsidRPr="00167A1B">
        <w:rPr>
          <w:rFonts w:ascii="Times New Roman" w:hAnsi="Times New Roman" w:cs="Times New Roman"/>
          <w:i/>
          <w:iCs/>
          <w:lang w:val="fr-FR"/>
        </w:rPr>
        <w:t>Doc</w:t>
      </w:r>
      <w:r w:rsidR="001D1228" w:rsidRPr="00167A1B">
        <w:rPr>
          <w:rFonts w:ascii="Times New Roman" w:hAnsi="Times New Roman" w:cs="Times New Roman"/>
          <w:lang w:val="fr-FR"/>
        </w:rPr>
        <w:t xml:space="preserve">. </w:t>
      </w:r>
      <w:proofErr w:type="spellStart"/>
      <w:r w:rsidR="001D1228" w:rsidRPr="00167A1B">
        <w:rPr>
          <w:rFonts w:ascii="Times New Roman" w:hAnsi="Times New Roman" w:cs="Times New Roman"/>
        </w:rPr>
        <w:t>Parl</w:t>
      </w:r>
      <w:proofErr w:type="spellEnd"/>
      <w:r w:rsidR="001D1228" w:rsidRPr="00167A1B">
        <w:rPr>
          <w:rFonts w:ascii="Times New Roman" w:hAnsi="Times New Roman" w:cs="Times New Roman"/>
        </w:rPr>
        <w:t xml:space="preserve">., Ch. </w:t>
      </w:r>
      <w:proofErr w:type="spellStart"/>
      <w:r w:rsidR="001D1228" w:rsidRPr="00167A1B">
        <w:rPr>
          <w:rFonts w:ascii="Times New Roman" w:hAnsi="Times New Roman" w:cs="Times New Roman"/>
        </w:rPr>
        <w:t>repr</w:t>
      </w:r>
      <w:proofErr w:type="spellEnd"/>
      <w:r w:rsidR="001D1228" w:rsidRPr="00167A1B">
        <w:rPr>
          <w:rFonts w:ascii="Times New Roman" w:hAnsi="Times New Roman" w:cs="Times New Roman"/>
        </w:rPr>
        <w:t xml:space="preserve">. 2016-2017, n°54-2407/001, p. 63). </w:t>
      </w:r>
    </w:p>
  </w:footnote>
  <w:footnote w:id="12">
    <w:p w14:paraId="34D7A7AB" w14:textId="5094E74D" w:rsidR="005D641B" w:rsidRPr="00167A1B" w:rsidRDefault="005D641B" w:rsidP="00B5673A">
      <w:pPr>
        <w:pStyle w:val="Notedebasdepage"/>
        <w:jc w:val="both"/>
        <w:rPr>
          <w:rFonts w:ascii="Times New Roman" w:hAnsi="Times New Roman" w:cs="Times New Roman"/>
        </w:rPr>
      </w:pPr>
      <w:r w:rsidRPr="00167A1B">
        <w:rPr>
          <w:rStyle w:val="Appelnotedebasdep"/>
          <w:rFonts w:ascii="Times New Roman" w:hAnsi="Times New Roman" w:cs="Times New Roman"/>
        </w:rPr>
        <w:footnoteRef/>
      </w:r>
      <w:r w:rsidRPr="00167A1B">
        <w:rPr>
          <w:rFonts w:ascii="Times New Roman" w:hAnsi="Times New Roman" w:cs="Times New Roman"/>
        </w:rPr>
        <w:t xml:space="preserve"> En dehors de l’hypothèse d’un transfert sous autorité de justice, les créanciers chirographaires et privilégiés </w:t>
      </w:r>
      <w:r w:rsidR="00CF2994">
        <w:rPr>
          <w:rFonts w:ascii="Times New Roman" w:hAnsi="Times New Roman" w:cs="Times New Roman"/>
        </w:rPr>
        <w:t>généraux</w:t>
      </w:r>
      <w:r w:rsidRPr="00167A1B">
        <w:rPr>
          <w:rFonts w:ascii="Times New Roman" w:hAnsi="Times New Roman" w:cs="Times New Roman"/>
        </w:rPr>
        <w:t xml:space="preserve"> ne sont pas pris en compte lors de la répartition du produit de la vente (</w:t>
      </w:r>
      <w:proofErr w:type="spellStart"/>
      <w:r w:rsidRPr="00167A1B">
        <w:rPr>
          <w:rFonts w:ascii="Times New Roman" w:hAnsi="Times New Roman" w:cs="Times New Roman"/>
        </w:rPr>
        <w:t>voy</w:t>
      </w:r>
      <w:proofErr w:type="spellEnd"/>
      <w:r w:rsidRPr="00167A1B">
        <w:rPr>
          <w:rFonts w:ascii="Times New Roman" w:hAnsi="Times New Roman" w:cs="Times New Roman"/>
        </w:rPr>
        <w:t xml:space="preserve">. </w:t>
      </w:r>
      <w:r w:rsidRPr="00167A1B">
        <w:rPr>
          <w:rFonts w:ascii="Times New Roman" w:hAnsi="Times New Roman" w:cs="Times New Roman"/>
          <w:i/>
          <w:iCs/>
        </w:rPr>
        <w:t>infra</w:t>
      </w:r>
      <w:r w:rsidRPr="00167A1B">
        <w:rPr>
          <w:rFonts w:ascii="Times New Roman" w:hAnsi="Times New Roman" w:cs="Times New Roman"/>
        </w:rPr>
        <w:t xml:space="preserve">, </w:t>
      </w:r>
      <w:r w:rsidR="001F0DF0" w:rsidRPr="00167A1B">
        <w:rPr>
          <w:rFonts w:ascii="Times New Roman" w:hAnsi="Times New Roman" w:cs="Times New Roman"/>
          <w:color w:val="000000" w:themeColor="text1"/>
        </w:rPr>
        <w:t>I, 3, b) ; I, 4, a) ; I, 4, b)</w:t>
      </w:r>
      <w:r w:rsidR="001F0DF0" w:rsidRPr="00167A1B">
        <w:rPr>
          <w:rFonts w:ascii="Times New Roman" w:hAnsi="Times New Roman" w:cs="Times New Roman"/>
        </w:rPr>
        <w:t xml:space="preserve">. </w:t>
      </w:r>
    </w:p>
  </w:footnote>
  <w:footnote w:id="13">
    <w:p w14:paraId="50FDC393" w14:textId="1505A69C" w:rsidR="004367EC" w:rsidRPr="00167A1B" w:rsidRDefault="00E8092E" w:rsidP="00B5673A">
      <w:pPr>
        <w:pStyle w:val="Notedebasdepage"/>
        <w:jc w:val="both"/>
        <w:rPr>
          <w:rFonts w:ascii="Times New Roman" w:hAnsi="Times New Roman" w:cs="Times New Roman"/>
          <w:lang w:val="fr-FR"/>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Une telle suspension pourrait être demandée</w:t>
      </w:r>
      <w:r w:rsidR="007B6833" w:rsidRPr="00167A1B">
        <w:rPr>
          <w:rFonts w:ascii="Times New Roman" w:hAnsi="Times New Roman" w:cs="Times New Roman"/>
          <w:lang w:val="fr-FR"/>
        </w:rPr>
        <w:t xml:space="preserve"> </w:t>
      </w:r>
      <w:r w:rsidRPr="00167A1B">
        <w:rPr>
          <w:rFonts w:ascii="Times New Roman" w:hAnsi="Times New Roman" w:cs="Times New Roman"/>
          <w:lang w:val="fr-FR"/>
        </w:rPr>
        <w:t xml:space="preserve">parce que la vente porterait sur un bien nécessaire à l’exercice de l’activité du débiteur (A. ZENNER, </w:t>
      </w:r>
      <w:r w:rsidRPr="00167A1B">
        <w:rPr>
          <w:rFonts w:ascii="Times New Roman" w:hAnsi="Times New Roman" w:cs="Times New Roman"/>
          <w:i/>
          <w:iCs/>
          <w:lang w:val="fr-FR"/>
        </w:rPr>
        <w:t>Traité du droit de l’insolvabilité</w:t>
      </w:r>
      <w:r w:rsidRPr="00167A1B">
        <w:rPr>
          <w:rFonts w:ascii="Times New Roman" w:hAnsi="Times New Roman" w:cs="Times New Roman"/>
          <w:lang w:val="fr-FR"/>
        </w:rPr>
        <w:t>,</w:t>
      </w:r>
      <w:r w:rsidR="00712B88" w:rsidRPr="00167A1B">
        <w:rPr>
          <w:rFonts w:ascii="Times New Roman" w:hAnsi="Times New Roman" w:cs="Times New Roman"/>
          <w:lang w:val="fr-FR"/>
        </w:rPr>
        <w:t xml:space="preserve"> </w:t>
      </w:r>
      <w:r w:rsidR="00712B88" w:rsidRPr="00167A1B">
        <w:rPr>
          <w:rFonts w:ascii="Times New Roman" w:hAnsi="Times New Roman" w:cs="Times New Roman"/>
          <w:i/>
          <w:iCs/>
          <w:lang w:val="fr-FR"/>
        </w:rPr>
        <w:t>op.cit</w:t>
      </w:r>
      <w:r w:rsidR="00712B88" w:rsidRPr="00167A1B">
        <w:rPr>
          <w:rFonts w:ascii="Times New Roman" w:hAnsi="Times New Roman" w:cs="Times New Roman"/>
          <w:lang w:val="fr-FR"/>
        </w:rPr>
        <w:t xml:space="preserve">., </w:t>
      </w:r>
      <w:r w:rsidRPr="00167A1B">
        <w:rPr>
          <w:rFonts w:ascii="Times New Roman" w:hAnsi="Times New Roman" w:cs="Times New Roman"/>
          <w:lang w:val="fr-FR"/>
        </w:rPr>
        <w:t xml:space="preserve">p. 593). </w:t>
      </w:r>
      <w:proofErr w:type="spellStart"/>
      <w:r w:rsidR="003106FB" w:rsidRPr="00167A1B">
        <w:rPr>
          <w:rFonts w:ascii="Times New Roman" w:hAnsi="Times New Roman" w:cs="Times New Roman"/>
          <w:lang w:val="fr-FR"/>
        </w:rPr>
        <w:t>Voy</w:t>
      </w:r>
      <w:proofErr w:type="spellEnd"/>
      <w:r w:rsidR="003106FB" w:rsidRPr="00167A1B">
        <w:rPr>
          <w:rFonts w:ascii="Times New Roman" w:hAnsi="Times New Roman" w:cs="Times New Roman"/>
          <w:lang w:val="fr-FR"/>
        </w:rPr>
        <w:t>.</w:t>
      </w:r>
      <w:r w:rsidR="00523A08" w:rsidRPr="00167A1B">
        <w:rPr>
          <w:rFonts w:ascii="Times New Roman" w:hAnsi="Times New Roman" w:cs="Times New Roman"/>
          <w:lang w:val="fr-FR"/>
        </w:rPr>
        <w:t xml:space="preserve"> </w:t>
      </w:r>
      <w:proofErr w:type="spellStart"/>
      <w:r w:rsidR="003106FB" w:rsidRPr="00167A1B">
        <w:rPr>
          <w:rFonts w:ascii="Times New Roman" w:hAnsi="Times New Roman" w:cs="Times New Roman"/>
          <w:lang w:val="fr-FR"/>
        </w:rPr>
        <w:t>Comm</w:t>
      </w:r>
      <w:proofErr w:type="spellEnd"/>
      <w:r w:rsidR="003106FB" w:rsidRPr="00167A1B">
        <w:rPr>
          <w:rFonts w:ascii="Times New Roman" w:hAnsi="Times New Roman" w:cs="Times New Roman"/>
          <w:lang w:val="fr-FR"/>
        </w:rPr>
        <w:t xml:space="preserve">. Liège, 2 octobre 2018, </w:t>
      </w:r>
      <w:r w:rsidR="003106FB" w:rsidRPr="00167A1B">
        <w:rPr>
          <w:rFonts w:ascii="Times New Roman" w:hAnsi="Times New Roman" w:cs="Times New Roman"/>
          <w:i/>
          <w:iCs/>
          <w:lang w:val="fr-FR"/>
        </w:rPr>
        <w:t>R.D.C. – T.B.H</w:t>
      </w:r>
      <w:r w:rsidR="003106FB" w:rsidRPr="00167A1B">
        <w:rPr>
          <w:rFonts w:ascii="Times New Roman" w:hAnsi="Times New Roman" w:cs="Times New Roman"/>
          <w:lang w:val="fr-FR"/>
        </w:rPr>
        <w:t>., 2019, pp. 584 à 585</w:t>
      </w:r>
      <w:r w:rsidR="00C26B92" w:rsidRPr="00167A1B">
        <w:rPr>
          <w:rFonts w:ascii="Times New Roman" w:hAnsi="Times New Roman" w:cs="Times New Roman"/>
          <w:lang w:val="fr-FR"/>
        </w:rPr>
        <w:t xml:space="preserve">, </w:t>
      </w:r>
      <w:r w:rsidR="003106FB" w:rsidRPr="00167A1B">
        <w:rPr>
          <w:rFonts w:ascii="Times New Roman" w:hAnsi="Times New Roman" w:cs="Times New Roman"/>
          <w:lang w:val="fr-FR"/>
        </w:rPr>
        <w:t xml:space="preserve">où le tribunal </w:t>
      </w:r>
      <w:r w:rsidR="00603E77" w:rsidRPr="00167A1B">
        <w:rPr>
          <w:rFonts w:ascii="Times New Roman" w:hAnsi="Times New Roman" w:cs="Times New Roman"/>
          <w:lang w:val="fr-FR"/>
        </w:rPr>
        <w:t>avait considéré</w:t>
      </w:r>
      <w:r w:rsidR="003106FB" w:rsidRPr="00167A1B">
        <w:rPr>
          <w:rFonts w:ascii="Times New Roman" w:hAnsi="Times New Roman" w:cs="Times New Roman"/>
          <w:lang w:val="fr-FR"/>
        </w:rPr>
        <w:t xml:space="preserve"> que</w:t>
      </w:r>
      <w:r w:rsidR="000E7259">
        <w:rPr>
          <w:rFonts w:ascii="Times New Roman" w:hAnsi="Times New Roman" w:cs="Times New Roman"/>
          <w:lang w:val="fr-FR"/>
        </w:rPr>
        <w:t> :</w:t>
      </w:r>
      <w:r w:rsidR="003106FB" w:rsidRPr="00167A1B">
        <w:rPr>
          <w:rFonts w:ascii="Times New Roman" w:hAnsi="Times New Roman" w:cs="Times New Roman"/>
          <w:lang w:val="fr-FR"/>
        </w:rPr>
        <w:t xml:space="preserve"> « </w:t>
      </w:r>
      <w:r w:rsidR="003106FB" w:rsidRPr="00167A1B">
        <w:rPr>
          <w:rFonts w:ascii="Times New Roman" w:hAnsi="Times New Roman" w:cs="Times New Roman"/>
          <w:i/>
          <w:iCs/>
          <w:lang w:val="fr-FR"/>
        </w:rPr>
        <w:t>le matériel saisi est indispensable à la poursuite de son activité, ce qui est confirmé par le juge délégué. Les biens saisis ont par ailleurs une valeur relativement faible notamment par rapport aux frais qu’une telle vente engendre. Dans ces conditions, il s’impose d’ord</w:t>
      </w:r>
      <w:r w:rsidR="00603E77" w:rsidRPr="00167A1B">
        <w:rPr>
          <w:rFonts w:ascii="Times New Roman" w:hAnsi="Times New Roman" w:cs="Times New Roman"/>
          <w:i/>
          <w:iCs/>
          <w:lang w:val="fr-FR"/>
        </w:rPr>
        <w:t>o</w:t>
      </w:r>
      <w:r w:rsidR="003106FB" w:rsidRPr="00167A1B">
        <w:rPr>
          <w:rFonts w:ascii="Times New Roman" w:hAnsi="Times New Roman" w:cs="Times New Roman"/>
          <w:i/>
          <w:iCs/>
          <w:lang w:val="fr-FR"/>
        </w:rPr>
        <w:t>nner la suspension des opérations de vente (…)</w:t>
      </w:r>
      <w:r w:rsidR="003106FB" w:rsidRPr="00167A1B">
        <w:rPr>
          <w:rFonts w:ascii="Times New Roman" w:hAnsi="Times New Roman" w:cs="Times New Roman"/>
          <w:lang w:val="fr-FR"/>
        </w:rPr>
        <w:t xml:space="preserve"> ». </w:t>
      </w:r>
    </w:p>
  </w:footnote>
  <w:footnote w:id="14">
    <w:p w14:paraId="3244BA7E" w14:textId="5FC0B1DA" w:rsidR="004367EC" w:rsidRPr="00CB7E44" w:rsidRDefault="00E8092E" w:rsidP="00B5673A">
      <w:pPr>
        <w:pStyle w:val="Notedebasdepage"/>
        <w:jc w:val="both"/>
        <w:rPr>
          <w:rFonts w:ascii="Times New Roman" w:hAnsi="Times New Roman" w:cs="Times New Roman"/>
          <w:highlight w:val="lightGray"/>
          <w:lang w:val="fr-FR"/>
        </w:rPr>
      </w:pPr>
      <w:r w:rsidRPr="00B06F42">
        <w:rPr>
          <w:rFonts w:ascii="Times New Roman" w:eastAsia="Times New Roman" w:hAnsi="Times New Roman" w:cs="Times New Roman"/>
          <w:vertAlign w:val="superscript"/>
        </w:rPr>
        <w:footnoteRef/>
      </w:r>
      <w:r w:rsidRPr="00B06F42">
        <w:rPr>
          <w:rFonts w:ascii="Times New Roman" w:hAnsi="Times New Roman" w:cs="Times New Roman"/>
        </w:rPr>
        <w:t xml:space="preserve"> </w:t>
      </w:r>
      <w:r w:rsidRPr="00B06F42">
        <w:rPr>
          <w:rFonts w:ascii="Times New Roman" w:hAnsi="Times New Roman" w:cs="Times New Roman"/>
          <w:lang w:val="fr-FR"/>
        </w:rPr>
        <w:t>L’article XX.44, §</w:t>
      </w:r>
      <w:r w:rsidR="009A492B" w:rsidRPr="00B06F42">
        <w:rPr>
          <w:rFonts w:ascii="Times New Roman" w:hAnsi="Times New Roman" w:cs="Times New Roman"/>
          <w:lang w:val="fr-FR"/>
        </w:rPr>
        <w:t xml:space="preserve"> </w:t>
      </w:r>
      <w:r w:rsidRPr="00B06F42">
        <w:rPr>
          <w:rFonts w:ascii="Times New Roman" w:hAnsi="Times New Roman" w:cs="Times New Roman"/>
          <w:lang w:val="fr-FR"/>
        </w:rPr>
        <w:t>2, du C.D.E</w:t>
      </w:r>
      <w:r w:rsidR="00CB7E44" w:rsidRPr="00B06F42">
        <w:rPr>
          <w:rFonts w:ascii="Times New Roman" w:hAnsi="Times New Roman" w:cs="Times New Roman"/>
          <w:lang w:val="fr-FR"/>
        </w:rPr>
        <w:t xml:space="preserve">. prévoit, de manière étonnante, que cette suspension puisse aussi être demandée par le créancier saisissant (à ce propos, </w:t>
      </w:r>
      <w:proofErr w:type="spellStart"/>
      <w:r w:rsidR="00CB7E44" w:rsidRPr="00B06F42">
        <w:rPr>
          <w:rFonts w:ascii="Times New Roman" w:hAnsi="Times New Roman" w:cs="Times New Roman"/>
          <w:lang w:val="fr-FR"/>
        </w:rPr>
        <w:t>voy</w:t>
      </w:r>
      <w:proofErr w:type="spellEnd"/>
      <w:r w:rsidR="00CB7E44" w:rsidRPr="00B06F42">
        <w:rPr>
          <w:rFonts w:ascii="Times New Roman" w:hAnsi="Times New Roman" w:cs="Times New Roman"/>
          <w:lang w:val="fr-FR"/>
        </w:rPr>
        <w:t>. N. OUCHINSKY, « </w:t>
      </w:r>
      <w:r w:rsidR="00C927FE" w:rsidRPr="00167A1B">
        <w:rPr>
          <w:rFonts w:ascii="Times New Roman" w:hAnsi="Times New Roman" w:cs="Times New Roman"/>
          <w:lang w:val="fr-FR"/>
        </w:rPr>
        <w:t xml:space="preserve">L’incidence de l’insolvabilité des entreprises sur les </w:t>
      </w:r>
      <w:proofErr w:type="gramStart"/>
      <w:r w:rsidR="00C927FE" w:rsidRPr="00167A1B">
        <w:rPr>
          <w:rFonts w:ascii="Times New Roman" w:hAnsi="Times New Roman" w:cs="Times New Roman"/>
          <w:lang w:val="fr-FR"/>
        </w:rPr>
        <w:t>saisies </w:t>
      </w:r>
      <w:r w:rsidR="00CB7E44" w:rsidRPr="00B06F42">
        <w:rPr>
          <w:rFonts w:ascii="Times New Roman" w:hAnsi="Times New Roman" w:cs="Times New Roman"/>
          <w:lang w:val="fr-FR"/>
        </w:rPr>
        <w:t> »</w:t>
      </w:r>
      <w:proofErr w:type="gramEnd"/>
      <w:r w:rsidR="00CB7E44" w:rsidRPr="00B06F42">
        <w:rPr>
          <w:rFonts w:ascii="Times New Roman" w:hAnsi="Times New Roman" w:cs="Times New Roman"/>
          <w:lang w:val="fr-FR"/>
        </w:rPr>
        <w:t xml:space="preserve">, </w:t>
      </w:r>
      <w:r w:rsidR="00CB7E44" w:rsidRPr="00C927FE">
        <w:rPr>
          <w:rFonts w:ascii="Times New Roman" w:hAnsi="Times New Roman" w:cs="Times New Roman"/>
          <w:i/>
          <w:iCs/>
          <w:lang w:val="fr-FR"/>
        </w:rPr>
        <w:t>op.cit</w:t>
      </w:r>
      <w:r w:rsidR="00CB7E44" w:rsidRPr="00B06F42">
        <w:rPr>
          <w:rFonts w:ascii="Times New Roman" w:hAnsi="Times New Roman" w:cs="Times New Roman"/>
          <w:lang w:val="fr-FR"/>
        </w:rPr>
        <w:t>., p. 81</w:t>
      </w:r>
      <w:r w:rsidR="00CB7E44" w:rsidRPr="00D96A6A">
        <w:rPr>
          <w:rFonts w:ascii="Times New Roman" w:hAnsi="Times New Roman" w:cs="Times New Roman"/>
          <w:lang w:val="fr-FR"/>
        </w:rPr>
        <w:t xml:space="preserve"> ; C. ALTER et Z. PLETINCK, « Dépistage, mesures provisoires et réorganisation judiciaire (nouvelles dispositions) », in C. </w:t>
      </w:r>
      <w:r w:rsidR="00C927FE">
        <w:rPr>
          <w:rFonts w:ascii="Times New Roman" w:hAnsi="Times New Roman" w:cs="Times New Roman"/>
          <w:lang w:val="fr-FR"/>
        </w:rPr>
        <w:t>ALTER</w:t>
      </w:r>
      <w:r w:rsidR="00CB7E44" w:rsidRPr="00D96A6A">
        <w:rPr>
          <w:rFonts w:ascii="Times New Roman" w:hAnsi="Times New Roman" w:cs="Times New Roman"/>
          <w:lang w:val="fr-FR"/>
        </w:rPr>
        <w:t xml:space="preserve"> (</w:t>
      </w:r>
      <w:proofErr w:type="spellStart"/>
      <w:r w:rsidR="00CB7E44" w:rsidRPr="00D96A6A">
        <w:rPr>
          <w:rFonts w:ascii="Times New Roman" w:hAnsi="Times New Roman" w:cs="Times New Roman"/>
          <w:lang w:val="fr-FR"/>
        </w:rPr>
        <w:t>dir</w:t>
      </w:r>
      <w:proofErr w:type="spellEnd"/>
      <w:r w:rsidR="00CB7E44" w:rsidRPr="00D96A6A">
        <w:rPr>
          <w:rFonts w:ascii="Times New Roman" w:hAnsi="Times New Roman" w:cs="Times New Roman"/>
          <w:lang w:val="fr-FR"/>
        </w:rPr>
        <w:t xml:space="preserve">.), </w:t>
      </w:r>
      <w:r w:rsidR="00CB7E44" w:rsidRPr="00D96A6A">
        <w:rPr>
          <w:rFonts w:ascii="Times New Roman" w:hAnsi="Times New Roman" w:cs="Times New Roman"/>
          <w:i/>
          <w:iCs/>
          <w:lang w:val="fr-FR"/>
        </w:rPr>
        <w:t>Le nouveau livre XX du Code de droit économique consacré à l’insolvabilité des entreprises</w:t>
      </w:r>
      <w:r w:rsidR="00CB7E44" w:rsidRPr="00D96A6A">
        <w:rPr>
          <w:rFonts w:ascii="Times New Roman" w:hAnsi="Times New Roman" w:cs="Times New Roman"/>
          <w:lang w:val="fr-FR"/>
        </w:rPr>
        <w:t>,</w:t>
      </w:r>
      <w:r w:rsidR="00D658CA">
        <w:rPr>
          <w:rFonts w:ascii="Times New Roman" w:hAnsi="Times New Roman" w:cs="Times New Roman"/>
          <w:lang w:val="fr-FR"/>
        </w:rPr>
        <w:t xml:space="preserve"> </w:t>
      </w:r>
      <w:proofErr w:type="spellStart"/>
      <w:r w:rsidR="00D658CA">
        <w:rPr>
          <w:rFonts w:ascii="Times New Roman" w:hAnsi="Times New Roman" w:cs="Times New Roman"/>
          <w:lang w:val="fr-FR"/>
        </w:rPr>
        <w:t>Larcier</w:t>
      </w:r>
      <w:proofErr w:type="spellEnd"/>
      <w:r w:rsidR="00D658CA">
        <w:rPr>
          <w:rFonts w:ascii="Times New Roman" w:hAnsi="Times New Roman" w:cs="Times New Roman"/>
          <w:lang w:val="fr-FR"/>
        </w:rPr>
        <w:t xml:space="preserve"> </w:t>
      </w:r>
      <w:r w:rsidR="00CB7E44" w:rsidRPr="00D96A6A">
        <w:rPr>
          <w:rFonts w:ascii="Times New Roman" w:hAnsi="Times New Roman" w:cs="Times New Roman"/>
          <w:lang w:val="fr-FR"/>
        </w:rPr>
        <w:t>, 201</w:t>
      </w:r>
      <w:r w:rsidR="00D658CA">
        <w:rPr>
          <w:rFonts w:ascii="Times New Roman" w:hAnsi="Times New Roman" w:cs="Times New Roman"/>
          <w:lang w:val="fr-FR"/>
        </w:rPr>
        <w:t>8</w:t>
      </w:r>
      <w:r w:rsidR="00CB7E44" w:rsidRPr="00D96A6A">
        <w:rPr>
          <w:rFonts w:ascii="Times New Roman" w:hAnsi="Times New Roman" w:cs="Times New Roman"/>
          <w:lang w:val="fr-FR"/>
        </w:rPr>
        <w:t xml:space="preserve">, p. 106. </w:t>
      </w:r>
      <w:proofErr w:type="spellStart"/>
      <w:r w:rsidR="00CB7E44" w:rsidRPr="00B06F42">
        <w:rPr>
          <w:rFonts w:ascii="Times New Roman" w:hAnsi="Times New Roman" w:cs="Times New Roman"/>
          <w:lang w:val="fr-FR"/>
        </w:rPr>
        <w:t>Comp</w:t>
      </w:r>
      <w:proofErr w:type="spellEnd"/>
      <w:r w:rsidR="00CB7E44" w:rsidRPr="00B06F42">
        <w:rPr>
          <w:rFonts w:ascii="Times New Roman" w:hAnsi="Times New Roman" w:cs="Times New Roman"/>
          <w:lang w:val="fr-FR"/>
        </w:rPr>
        <w:t xml:space="preserve">. A. ZENNER, </w:t>
      </w:r>
      <w:r w:rsidR="00CB7E44" w:rsidRPr="00B06F42">
        <w:rPr>
          <w:rFonts w:ascii="Times New Roman" w:hAnsi="Times New Roman" w:cs="Times New Roman"/>
          <w:i/>
          <w:iCs/>
          <w:lang w:val="fr-FR"/>
        </w:rPr>
        <w:t>ibid</w:t>
      </w:r>
      <w:r w:rsidR="00CB7E44" w:rsidRPr="00B06F42">
        <w:rPr>
          <w:rFonts w:ascii="Times New Roman" w:hAnsi="Times New Roman" w:cs="Times New Roman"/>
          <w:lang w:val="fr-FR"/>
        </w:rPr>
        <w:t xml:space="preserve">., p. 593 ; H. SIMON, « Saisies et procédures collectives d’insolvabilité : la désunion sacrée », </w:t>
      </w:r>
      <w:r w:rsidR="00CB7E44" w:rsidRPr="00B06F42">
        <w:rPr>
          <w:rFonts w:ascii="Times New Roman" w:hAnsi="Times New Roman" w:cs="Times New Roman"/>
          <w:i/>
          <w:iCs/>
          <w:lang w:val="fr-FR"/>
        </w:rPr>
        <w:t>op.cit</w:t>
      </w:r>
      <w:r w:rsidR="00CB7E44" w:rsidRPr="00B06F42">
        <w:rPr>
          <w:rFonts w:ascii="Times New Roman" w:hAnsi="Times New Roman" w:cs="Times New Roman"/>
          <w:lang w:val="fr-FR"/>
        </w:rPr>
        <w:t xml:space="preserve">., p. 118). </w:t>
      </w:r>
    </w:p>
  </w:footnote>
  <w:footnote w:id="15">
    <w:p w14:paraId="11B33052" w14:textId="569D9603"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A. ZENNER, </w:t>
      </w:r>
      <w:r w:rsidR="00017416" w:rsidRPr="00167A1B">
        <w:rPr>
          <w:rFonts w:ascii="Times New Roman" w:hAnsi="Times New Roman" w:cs="Times New Roman"/>
          <w:i/>
          <w:iCs/>
          <w:lang w:val="fr-FR"/>
        </w:rPr>
        <w:t>ibid.</w:t>
      </w:r>
      <w:r w:rsidRPr="00167A1B">
        <w:rPr>
          <w:rFonts w:ascii="Times New Roman" w:hAnsi="Times New Roman" w:cs="Times New Roman"/>
          <w:lang w:val="fr-FR"/>
        </w:rPr>
        <w:t xml:space="preserve">, p. 594 ; </w:t>
      </w:r>
      <w:r w:rsidR="00712B88" w:rsidRPr="00167A1B">
        <w:rPr>
          <w:rFonts w:ascii="Times New Roman" w:hAnsi="Times New Roman" w:cs="Times New Roman"/>
          <w:lang w:val="fr-FR"/>
        </w:rPr>
        <w:t xml:space="preserve">Exposé des motifs précité, </w:t>
      </w:r>
      <w:r w:rsidR="00712B88" w:rsidRPr="00167A1B">
        <w:rPr>
          <w:rFonts w:ascii="Times New Roman" w:hAnsi="Times New Roman" w:cs="Times New Roman"/>
          <w:i/>
          <w:iCs/>
          <w:lang w:val="fr-FR"/>
        </w:rPr>
        <w:t>Doc</w:t>
      </w:r>
      <w:r w:rsidR="00712B88" w:rsidRPr="00167A1B">
        <w:rPr>
          <w:rFonts w:ascii="Times New Roman" w:hAnsi="Times New Roman" w:cs="Times New Roman"/>
          <w:lang w:val="fr-FR"/>
        </w:rPr>
        <w:t xml:space="preserve">. </w:t>
      </w:r>
      <w:proofErr w:type="spellStart"/>
      <w:r w:rsidR="00712B88" w:rsidRPr="00167A1B">
        <w:rPr>
          <w:rFonts w:ascii="Times New Roman" w:hAnsi="Times New Roman" w:cs="Times New Roman"/>
        </w:rPr>
        <w:t>Parl</w:t>
      </w:r>
      <w:proofErr w:type="spellEnd"/>
      <w:r w:rsidR="00712B88" w:rsidRPr="00167A1B">
        <w:rPr>
          <w:rFonts w:ascii="Times New Roman" w:hAnsi="Times New Roman" w:cs="Times New Roman"/>
        </w:rPr>
        <w:t xml:space="preserve">., </w:t>
      </w:r>
      <w:r w:rsidR="001D11DA" w:rsidRPr="00167A1B">
        <w:rPr>
          <w:rFonts w:ascii="Times New Roman" w:hAnsi="Times New Roman" w:cs="Times New Roman"/>
        </w:rPr>
        <w:t>C</w:t>
      </w:r>
      <w:r w:rsidR="00712B88" w:rsidRPr="00167A1B">
        <w:rPr>
          <w:rFonts w:ascii="Times New Roman" w:hAnsi="Times New Roman" w:cs="Times New Roman"/>
        </w:rPr>
        <w:t xml:space="preserve">h. </w:t>
      </w:r>
      <w:proofErr w:type="spellStart"/>
      <w:r w:rsidR="00712B88" w:rsidRPr="00167A1B">
        <w:rPr>
          <w:rFonts w:ascii="Times New Roman" w:hAnsi="Times New Roman" w:cs="Times New Roman"/>
        </w:rPr>
        <w:t>repr</w:t>
      </w:r>
      <w:proofErr w:type="spellEnd"/>
      <w:r w:rsidR="00712B88" w:rsidRPr="00167A1B">
        <w:rPr>
          <w:rFonts w:ascii="Times New Roman" w:hAnsi="Times New Roman" w:cs="Times New Roman"/>
        </w:rPr>
        <w:t xml:space="preserve">. 2016-2017, n°54-2407/001, </w:t>
      </w:r>
      <w:r w:rsidRPr="00167A1B">
        <w:rPr>
          <w:rFonts w:ascii="Times New Roman" w:hAnsi="Times New Roman" w:cs="Times New Roman"/>
          <w:lang w:val="fr-FR"/>
        </w:rPr>
        <w:t xml:space="preserve">pp. 59 et </w:t>
      </w:r>
      <w:r w:rsidRPr="00CB7E44">
        <w:rPr>
          <w:rFonts w:ascii="Times New Roman" w:hAnsi="Times New Roman" w:cs="Times New Roman"/>
          <w:color w:val="auto"/>
          <w:lang w:val="fr-FR"/>
        </w:rPr>
        <w:t>60</w:t>
      </w:r>
      <w:r w:rsidRPr="00B06F42">
        <w:rPr>
          <w:rFonts w:ascii="Times New Roman" w:hAnsi="Times New Roman" w:cs="Times New Roman"/>
          <w:color w:val="auto"/>
          <w:lang w:val="fr-FR"/>
        </w:rPr>
        <w:t>.</w:t>
      </w:r>
    </w:p>
  </w:footnote>
  <w:footnote w:id="16">
    <w:p w14:paraId="535DD305" w14:textId="5870C04C" w:rsidR="006709A2" w:rsidRPr="00167A1B" w:rsidRDefault="006709A2" w:rsidP="00B5673A">
      <w:pPr>
        <w:pStyle w:val="Notedebasdepage"/>
        <w:jc w:val="both"/>
        <w:rPr>
          <w:rFonts w:ascii="Times New Roman" w:hAnsi="Times New Roman" w:cs="Times New Roman"/>
          <w:lang w:val="fr-FR"/>
        </w:rPr>
      </w:pPr>
      <w:r w:rsidRPr="00167A1B">
        <w:rPr>
          <w:rStyle w:val="Appelnotedebasdep"/>
          <w:rFonts w:ascii="Times New Roman" w:hAnsi="Times New Roman" w:cs="Times New Roman"/>
        </w:rPr>
        <w:footnoteRef/>
      </w:r>
      <w:r w:rsidRPr="00167A1B">
        <w:rPr>
          <w:rFonts w:ascii="Times New Roman" w:hAnsi="Times New Roman" w:cs="Times New Roman"/>
        </w:rPr>
        <w:t xml:space="preserve"> </w:t>
      </w:r>
      <w:r w:rsidRPr="00167A1B">
        <w:rPr>
          <w:rFonts w:ascii="Times New Roman" w:hAnsi="Times New Roman" w:cs="Times New Roman"/>
          <w:lang w:val="fr-FR"/>
        </w:rPr>
        <w:t>L’objectif poursuivi par le législateur était de mettre un terme aux pratiques consistant à multiplier les dépôts de requêtes</w:t>
      </w:r>
      <w:r w:rsidR="000C05BA" w:rsidRPr="00167A1B">
        <w:rPr>
          <w:rFonts w:ascii="Times New Roman" w:hAnsi="Times New Roman" w:cs="Times New Roman"/>
          <w:lang w:val="fr-FR"/>
        </w:rPr>
        <w:t xml:space="preserve"> en réorganisation, sans réelle chance de succès, dans le but principal de faire obstacle à l’exercice des droits des créanciers (</w:t>
      </w:r>
      <w:r w:rsidR="000233E8" w:rsidRPr="00167A1B">
        <w:rPr>
          <w:rFonts w:ascii="Times New Roman" w:hAnsi="Times New Roman" w:cs="Times New Roman"/>
          <w:lang w:val="fr-FR"/>
        </w:rPr>
        <w:t xml:space="preserve">Exposé des motifs précité, </w:t>
      </w:r>
      <w:r w:rsidR="000233E8" w:rsidRPr="00167A1B">
        <w:rPr>
          <w:rFonts w:ascii="Times New Roman" w:hAnsi="Times New Roman" w:cs="Times New Roman"/>
          <w:i/>
          <w:iCs/>
          <w:lang w:val="fr-FR"/>
        </w:rPr>
        <w:t>Doc</w:t>
      </w:r>
      <w:r w:rsidR="000233E8" w:rsidRPr="00167A1B">
        <w:rPr>
          <w:rFonts w:ascii="Times New Roman" w:hAnsi="Times New Roman" w:cs="Times New Roman"/>
          <w:lang w:val="fr-FR"/>
        </w:rPr>
        <w:t xml:space="preserve">. </w:t>
      </w:r>
      <w:proofErr w:type="spellStart"/>
      <w:r w:rsidR="000233E8" w:rsidRPr="00167A1B">
        <w:rPr>
          <w:rFonts w:ascii="Times New Roman" w:hAnsi="Times New Roman" w:cs="Times New Roman"/>
        </w:rPr>
        <w:t>Parl</w:t>
      </w:r>
      <w:proofErr w:type="spellEnd"/>
      <w:r w:rsidR="000233E8" w:rsidRPr="00167A1B">
        <w:rPr>
          <w:rFonts w:ascii="Times New Roman" w:hAnsi="Times New Roman" w:cs="Times New Roman"/>
        </w:rPr>
        <w:t xml:space="preserve">., Ch. </w:t>
      </w:r>
      <w:proofErr w:type="spellStart"/>
      <w:r w:rsidR="000233E8" w:rsidRPr="00167A1B">
        <w:rPr>
          <w:rFonts w:ascii="Times New Roman" w:hAnsi="Times New Roman" w:cs="Times New Roman"/>
        </w:rPr>
        <w:t>repr</w:t>
      </w:r>
      <w:proofErr w:type="spellEnd"/>
      <w:r w:rsidR="000233E8" w:rsidRPr="00167A1B">
        <w:rPr>
          <w:rFonts w:ascii="Times New Roman" w:hAnsi="Times New Roman" w:cs="Times New Roman"/>
        </w:rPr>
        <w:t xml:space="preserve">. 2016-2017, n°54-2407/001, p. 60 </w:t>
      </w:r>
      <w:r w:rsidR="000C05BA" w:rsidRPr="00167A1B">
        <w:rPr>
          <w:rFonts w:ascii="Times New Roman" w:hAnsi="Times New Roman" w:cs="Times New Roman"/>
          <w:lang w:val="fr-FR"/>
        </w:rPr>
        <w:t xml:space="preserve">; N. OUCHINSKY, « L’incidence de l’insolvabilité des entreprises sur les saisies », </w:t>
      </w:r>
      <w:r w:rsidR="000C05BA" w:rsidRPr="00167A1B">
        <w:rPr>
          <w:rFonts w:ascii="Times New Roman" w:hAnsi="Times New Roman" w:cs="Times New Roman"/>
          <w:i/>
          <w:iCs/>
          <w:lang w:val="fr-FR"/>
        </w:rPr>
        <w:t>op.cit</w:t>
      </w:r>
      <w:r w:rsidR="000C05BA" w:rsidRPr="00167A1B">
        <w:rPr>
          <w:rFonts w:ascii="Times New Roman" w:hAnsi="Times New Roman" w:cs="Times New Roman"/>
          <w:lang w:val="fr-FR"/>
        </w:rPr>
        <w:t xml:space="preserve">., p. 81). </w:t>
      </w:r>
    </w:p>
  </w:footnote>
  <w:footnote w:id="17">
    <w:p w14:paraId="22516447" w14:textId="3EB69E80"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proofErr w:type="spellStart"/>
      <w:r w:rsidRPr="00167A1B">
        <w:rPr>
          <w:rFonts w:ascii="Times New Roman" w:hAnsi="Times New Roman" w:cs="Times New Roman"/>
          <w:lang w:val="fr-FR"/>
        </w:rPr>
        <w:t>Voy</w:t>
      </w:r>
      <w:proofErr w:type="spellEnd"/>
      <w:r w:rsidRPr="00167A1B">
        <w:rPr>
          <w:rFonts w:ascii="Times New Roman" w:hAnsi="Times New Roman" w:cs="Times New Roman"/>
          <w:lang w:val="fr-FR"/>
        </w:rPr>
        <w:t xml:space="preserve">. Trib. </w:t>
      </w:r>
      <w:proofErr w:type="spellStart"/>
      <w:proofErr w:type="gramStart"/>
      <w:r w:rsidRPr="00167A1B">
        <w:rPr>
          <w:rFonts w:ascii="Times New Roman" w:hAnsi="Times New Roman" w:cs="Times New Roman"/>
          <w:lang w:val="fr-FR"/>
        </w:rPr>
        <w:t>entr</w:t>
      </w:r>
      <w:proofErr w:type="spellEnd"/>
      <w:proofErr w:type="gramEnd"/>
      <w:r w:rsidRPr="00167A1B">
        <w:rPr>
          <w:rFonts w:ascii="Times New Roman" w:hAnsi="Times New Roman" w:cs="Times New Roman"/>
          <w:lang w:val="fr-FR"/>
        </w:rPr>
        <w:t xml:space="preserve">. Gand, 21 décembre 2018, </w:t>
      </w:r>
      <w:r w:rsidRPr="00167A1B">
        <w:rPr>
          <w:rFonts w:ascii="Times New Roman" w:hAnsi="Times New Roman" w:cs="Times New Roman"/>
          <w:i/>
          <w:iCs/>
          <w:lang w:val="fr-FR"/>
        </w:rPr>
        <w:t>T.I.B.R</w:t>
      </w:r>
      <w:r w:rsidRPr="00167A1B">
        <w:rPr>
          <w:rFonts w:ascii="Times New Roman" w:hAnsi="Times New Roman" w:cs="Times New Roman"/>
          <w:lang w:val="fr-FR"/>
        </w:rPr>
        <w:t xml:space="preserve">., 2020. </w:t>
      </w:r>
      <w:r w:rsidRPr="00D969FC">
        <w:rPr>
          <w:rFonts w:ascii="Times New Roman" w:hAnsi="Times New Roman" w:cs="Times New Roman"/>
          <w:lang w:val="nl-BE"/>
        </w:rPr>
        <w:t xml:space="preserve">Le tribunal </w:t>
      </w:r>
      <w:r w:rsidR="003A78C4" w:rsidRPr="00D969FC">
        <w:rPr>
          <w:rFonts w:ascii="Times New Roman" w:hAnsi="Times New Roman" w:cs="Times New Roman"/>
          <w:lang w:val="nl-BE"/>
        </w:rPr>
        <w:t>décide</w:t>
      </w:r>
      <w:r w:rsidRPr="00D969FC">
        <w:rPr>
          <w:rFonts w:ascii="Times New Roman" w:hAnsi="Times New Roman" w:cs="Times New Roman"/>
          <w:lang w:val="nl-BE"/>
        </w:rPr>
        <w:t xml:space="preserve"> en effet que</w:t>
      </w:r>
      <w:r w:rsidR="00712B88" w:rsidRPr="00D969FC">
        <w:rPr>
          <w:rFonts w:ascii="Times New Roman" w:hAnsi="Times New Roman" w:cs="Times New Roman"/>
          <w:lang w:val="nl-BE"/>
        </w:rPr>
        <w:t> :</w:t>
      </w:r>
      <w:r w:rsidRPr="00D969FC">
        <w:rPr>
          <w:rFonts w:ascii="Times New Roman" w:hAnsi="Times New Roman" w:cs="Times New Roman"/>
          <w:lang w:val="nl-BE"/>
        </w:rPr>
        <w:t xml:space="preserve"> « </w:t>
      </w:r>
      <w:r w:rsidRPr="00167A1B">
        <w:rPr>
          <w:rFonts w:ascii="Times New Roman" w:hAnsi="Times New Roman" w:cs="Times New Roman"/>
          <w:i/>
          <w:iCs/>
          <w:lang w:val="nl-NL"/>
        </w:rPr>
        <w:t xml:space="preserve">De rechter kan, overeenkomstig artikel XX.44 </w:t>
      </w:r>
      <w:r w:rsidRPr="00D969FC">
        <w:rPr>
          <w:rFonts w:ascii="Times New Roman" w:hAnsi="Times New Roman" w:cs="Times New Roman"/>
          <w:i/>
          <w:iCs/>
          <w:lang w:val="nl-BE"/>
        </w:rPr>
        <w:t xml:space="preserve">§ </w:t>
      </w:r>
      <w:r w:rsidRPr="00167A1B">
        <w:rPr>
          <w:rFonts w:ascii="Times New Roman" w:hAnsi="Times New Roman" w:cs="Times New Roman"/>
          <w:i/>
          <w:iCs/>
          <w:lang w:val="nl-NL"/>
        </w:rPr>
        <w:t>2 WER, de schorsing uitspreken van een gedwongen verkoop van roerende goederen. Het uitvoerend derdenbeslag is geen verkoop</w:t>
      </w:r>
      <w:r w:rsidRPr="00167A1B">
        <w:rPr>
          <w:rFonts w:ascii="Times New Roman" w:hAnsi="Times New Roman" w:cs="Times New Roman"/>
          <w:i/>
          <w:iCs/>
          <w:rtl/>
        </w:rPr>
        <w:t xml:space="preserve">’ </w:t>
      </w:r>
      <w:r w:rsidRPr="00167A1B">
        <w:rPr>
          <w:rFonts w:ascii="Times New Roman" w:hAnsi="Times New Roman" w:cs="Times New Roman"/>
          <w:i/>
          <w:iCs/>
          <w:lang w:val="nl-NL"/>
        </w:rPr>
        <w:t xml:space="preserve">en kan aldus geen aanleiding geven tot een schorsing op grond van artikel XX.44, </w:t>
      </w:r>
      <w:r w:rsidRPr="00D969FC">
        <w:rPr>
          <w:rFonts w:ascii="Times New Roman" w:hAnsi="Times New Roman" w:cs="Times New Roman"/>
          <w:i/>
          <w:iCs/>
          <w:lang w:val="nl-BE"/>
        </w:rPr>
        <w:t xml:space="preserve">§ </w:t>
      </w:r>
      <w:r w:rsidRPr="00167A1B">
        <w:rPr>
          <w:rFonts w:ascii="Times New Roman" w:hAnsi="Times New Roman" w:cs="Times New Roman"/>
          <w:i/>
          <w:iCs/>
          <w:lang w:val="de-DE"/>
        </w:rPr>
        <w:t>2 WER</w:t>
      </w:r>
      <w:r w:rsidRPr="00D969FC">
        <w:rPr>
          <w:rFonts w:ascii="Times New Roman" w:hAnsi="Times New Roman" w:cs="Times New Roman"/>
          <w:i/>
          <w:iCs/>
          <w:lang w:val="nl-BE"/>
        </w:rPr>
        <w:t> </w:t>
      </w:r>
      <w:r w:rsidRPr="00D969FC">
        <w:rPr>
          <w:rFonts w:ascii="Times New Roman" w:hAnsi="Times New Roman" w:cs="Times New Roman"/>
          <w:lang w:val="nl-BE"/>
        </w:rPr>
        <w:t xml:space="preserve">». </w:t>
      </w:r>
      <w:proofErr w:type="spellStart"/>
      <w:r w:rsidRPr="00167A1B">
        <w:rPr>
          <w:rFonts w:ascii="Times New Roman" w:hAnsi="Times New Roman" w:cs="Times New Roman"/>
          <w:lang w:val="fr-FR"/>
        </w:rPr>
        <w:t>Comp</w:t>
      </w:r>
      <w:proofErr w:type="spellEnd"/>
      <w:r w:rsidRPr="00167A1B">
        <w:rPr>
          <w:rFonts w:ascii="Times New Roman" w:hAnsi="Times New Roman" w:cs="Times New Roman"/>
          <w:lang w:val="fr-FR"/>
        </w:rPr>
        <w:t>. H. SIMON, « Saisies et procédures collectives d’insolvabilité : la désunion sacrée</w:t>
      </w:r>
      <w:r w:rsidR="00712B88" w:rsidRPr="00167A1B">
        <w:rPr>
          <w:rFonts w:ascii="Times New Roman" w:hAnsi="Times New Roman" w:cs="Times New Roman"/>
          <w:lang w:val="fr-FR"/>
        </w:rPr>
        <w:t xml:space="preserve"> </w:t>
      </w:r>
      <w:r w:rsidRPr="00167A1B">
        <w:rPr>
          <w:rFonts w:ascii="Times New Roman" w:hAnsi="Times New Roman" w:cs="Times New Roman"/>
          <w:lang w:val="fr-FR"/>
        </w:rPr>
        <w:t xml:space="preserve">? », </w:t>
      </w:r>
      <w:r w:rsidRPr="00167A1B">
        <w:rPr>
          <w:rFonts w:ascii="Times New Roman" w:hAnsi="Times New Roman" w:cs="Times New Roman"/>
          <w:i/>
          <w:iCs/>
          <w:lang w:val="fr-FR"/>
        </w:rPr>
        <w:t>op.cit</w:t>
      </w:r>
      <w:r w:rsidRPr="00167A1B">
        <w:rPr>
          <w:rFonts w:ascii="Times New Roman" w:hAnsi="Times New Roman" w:cs="Times New Roman"/>
          <w:lang w:val="fr-FR"/>
        </w:rPr>
        <w:t>., p. 106</w:t>
      </w:r>
      <w:r w:rsidR="00FF0243" w:rsidRPr="00167A1B">
        <w:rPr>
          <w:rFonts w:ascii="Times New Roman" w:hAnsi="Times New Roman" w:cs="Times New Roman"/>
          <w:lang w:val="fr-FR"/>
        </w:rPr>
        <w:t xml:space="preserve">. </w:t>
      </w:r>
      <w:r w:rsidRPr="00167A1B">
        <w:rPr>
          <w:rFonts w:ascii="Times New Roman" w:hAnsi="Times New Roman" w:cs="Times New Roman"/>
          <w:lang w:val="fr-FR"/>
        </w:rPr>
        <w:t xml:space="preserve"> </w:t>
      </w:r>
    </w:p>
  </w:footnote>
  <w:footnote w:id="18">
    <w:p w14:paraId="09D0F26B" w14:textId="402C9C22" w:rsidR="000D6DFE" w:rsidRPr="00167A1B" w:rsidRDefault="000D6DFE" w:rsidP="00B5673A">
      <w:pPr>
        <w:pStyle w:val="Notedebasdepage"/>
        <w:jc w:val="both"/>
        <w:rPr>
          <w:rFonts w:ascii="Times New Roman" w:hAnsi="Times New Roman" w:cs="Times New Roman"/>
          <w:lang w:val="fr-FR"/>
        </w:rPr>
      </w:pPr>
      <w:r w:rsidRPr="00167A1B">
        <w:rPr>
          <w:rStyle w:val="Appelnotedebasdep"/>
          <w:rFonts w:ascii="Times New Roman" w:hAnsi="Times New Roman" w:cs="Times New Roman"/>
        </w:rPr>
        <w:footnoteRef/>
      </w:r>
      <w:r w:rsidRPr="00167A1B">
        <w:rPr>
          <w:rFonts w:ascii="Times New Roman" w:hAnsi="Times New Roman" w:cs="Times New Roman"/>
        </w:rPr>
        <w:t xml:space="preserve"> </w:t>
      </w:r>
      <w:r w:rsidRPr="00167A1B">
        <w:rPr>
          <w:rFonts w:ascii="Times New Roman" w:hAnsi="Times New Roman" w:cs="Times New Roman"/>
          <w:lang w:val="fr-FR"/>
        </w:rPr>
        <w:t>Après l’ouverture de la procédure, la saisie-arrêt</w:t>
      </w:r>
      <w:r w:rsidR="000E7259">
        <w:rPr>
          <w:rFonts w:ascii="Times New Roman" w:hAnsi="Times New Roman" w:cs="Times New Roman"/>
          <w:lang w:val="fr-FR"/>
        </w:rPr>
        <w:t xml:space="preserve"> </w:t>
      </w:r>
      <w:r w:rsidRPr="00167A1B">
        <w:rPr>
          <w:rFonts w:ascii="Times New Roman" w:hAnsi="Times New Roman" w:cs="Times New Roman"/>
          <w:lang w:val="fr-FR"/>
        </w:rPr>
        <w:t>exécution se</w:t>
      </w:r>
      <w:r w:rsidR="00712B88" w:rsidRPr="00167A1B">
        <w:rPr>
          <w:rFonts w:ascii="Times New Roman" w:hAnsi="Times New Roman" w:cs="Times New Roman"/>
          <w:lang w:val="fr-FR"/>
        </w:rPr>
        <w:t>ra</w:t>
      </w:r>
      <w:r w:rsidRPr="00167A1B">
        <w:rPr>
          <w:rFonts w:ascii="Times New Roman" w:hAnsi="Times New Roman" w:cs="Times New Roman"/>
          <w:lang w:val="fr-FR"/>
        </w:rPr>
        <w:t xml:space="preserve"> suspendue </w:t>
      </w:r>
      <w:r w:rsidR="00712B88" w:rsidRPr="00167A1B">
        <w:rPr>
          <w:rFonts w:ascii="Times New Roman" w:hAnsi="Times New Roman" w:cs="Times New Roman"/>
          <w:lang w:val="fr-FR"/>
        </w:rPr>
        <w:t>mais</w:t>
      </w:r>
      <w:r w:rsidRPr="00167A1B">
        <w:rPr>
          <w:rFonts w:ascii="Times New Roman" w:hAnsi="Times New Roman" w:cs="Times New Roman"/>
          <w:lang w:val="fr-FR"/>
        </w:rPr>
        <w:t xml:space="preserve"> conservera un effet conservatoire. A en lire le texte légal, aucune exception n’est prévue à cette suspension de principe prévue par l’article XX.51, §</w:t>
      </w:r>
      <w:r w:rsidR="009A492B">
        <w:rPr>
          <w:rFonts w:ascii="Times New Roman" w:hAnsi="Times New Roman" w:cs="Times New Roman"/>
          <w:lang w:val="fr-FR"/>
        </w:rPr>
        <w:t xml:space="preserve"> </w:t>
      </w:r>
      <w:r w:rsidRPr="00167A1B">
        <w:rPr>
          <w:rFonts w:ascii="Times New Roman" w:hAnsi="Times New Roman" w:cs="Times New Roman"/>
          <w:lang w:val="fr-FR"/>
        </w:rPr>
        <w:t>1</w:t>
      </w:r>
      <w:r w:rsidRPr="00167A1B">
        <w:rPr>
          <w:rFonts w:ascii="Times New Roman" w:hAnsi="Times New Roman" w:cs="Times New Roman"/>
          <w:vertAlign w:val="superscript"/>
          <w:lang w:val="fr-FR"/>
        </w:rPr>
        <w:t>er</w:t>
      </w:r>
      <w:r w:rsidRPr="00167A1B">
        <w:rPr>
          <w:rFonts w:ascii="Times New Roman" w:hAnsi="Times New Roman" w:cs="Times New Roman"/>
          <w:lang w:val="fr-FR"/>
        </w:rPr>
        <w:t>, al. 2, du C.D.E</w:t>
      </w:r>
      <w:r w:rsidR="00553CE4" w:rsidRPr="00167A1B">
        <w:rPr>
          <w:rFonts w:ascii="Times New Roman" w:hAnsi="Times New Roman" w:cs="Times New Roman"/>
          <w:lang w:val="fr-FR"/>
        </w:rPr>
        <w:t xml:space="preserve"> (</w:t>
      </w:r>
      <w:proofErr w:type="spellStart"/>
      <w:r w:rsidR="00553CE4" w:rsidRPr="00167A1B">
        <w:rPr>
          <w:rFonts w:ascii="Times New Roman" w:hAnsi="Times New Roman" w:cs="Times New Roman"/>
          <w:lang w:val="fr-FR"/>
        </w:rPr>
        <w:t>v</w:t>
      </w:r>
      <w:r w:rsidRPr="00167A1B">
        <w:rPr>
          <w:rFonts w:ascii="Times New Roman" w:hAnsi="Times New Roman" w:cs="Times New Roman"/>
          <w:lang w:val="fr-FR"/>
        </w:rPr>
        <w:t>oy</w:t>
      </w:r>
      <w:proofErr w:type="spellEnd"/>
      <w:r w:rsidRPr="00167A1B">
        <w:rPr>
          <w:rFonts w:ascii="Times New Roman" w:hAnsi="Times New Roman" w:cs="Times New Roman"/>
          <w:i/>
          <w:iCs/>
          <w:lang w:val="fr-FR"/>
        </w:rPr>
        <w:t xml:space="preserve">. </w:t>
      </w:r>
      <w:proofErr w:type="gramStart"/>
      <w:r w:rsidRPr="00167A1B">
        <w:rPr>
          <w:rFonts w:ascii="Times New Roman" w:hAnsi="Times New Roman" w:cs="Times New Roman"/>
          <w:i/>
          <w:iCs/>
          <w:lang w:val="fr-FR"/>
        </w:rPr>
        <w:t>infra</w:t>
      </w:r>
      <w:proofErr w:type="gramEnd"/>
      <w:r w:rsidR="00553CE4" w:rsidRPr="00167A1B">
        <w:rPr>
          <w:rFonts w:ascii="Times New Roman" w:hAnsi="Times New Roman" w:cs="Times New Roman"/>
          <w:lang w:val="fr-FR"/>
        </w:rPr>
        <w:t xml:space="preserve">, I, 3, b) ; II, 3 ; III, 3). </w:t>
      </w:r>
    </w:p>
  </w:footnote>
  <w:footnote w:id="19">
    <w:p w14:paraId="7FDA80F2" w14:textId="02E3E844" w:rsidR="00C927FE" w:rsidRPr="00C927FE" w:rsidRDefault="00C927FE">
      <w:pPr>
        <w:pStyle w:val="Notedebasdepage"/>
      </w:pPr>
      <w:r w:rsidRPr="00C927FE">
        <w:rPr>
          <w:rStyle w:val="Appelnotedebasdep"/>
          <w:rFonts w:ascii="Times New Roman" w:hAnsi="Times New Roman" w:cs="Times New Roman"/>
        </w:rPr>
        <w:footnoteRef/>
      </w:r>
      <w:r w:rsidRPr="00C927FE">
        <w:rPr>
          <w:rFonts w:ascii="Times New Roman" w:hAnsi="Times New Roman" w:cs="Times New Roman"/>
        </w:rPr>
        <w:t xml:space="preserve"> Dès lors qu’il ne s’agit pas d’une vente forcée</w:t>
      </w:r>
      <w:r>
        <w:t>.</w:t>
      </w:r>
    </w:p>
  </w:footnote>
  <w:footnote w:id="20">
    <w:p w14:paraId="7C7B1C61" w14:textId="58091993" w:rsidR="001E40B3" w:rsidRPr="00167A1B" w:rsidRDefault="001E40B3"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G. </w:t>
      </w:r>
      <w:r w:rsidR="005624EE" w:rsidRPr="00167A1B">
        <w:rPr>
          <w:rFonts w:ascii="Times New Roman" w:hAnsi="Times New Roman" w:cs="Times New Roman"/>
          <w:lang w:val="fr-FR"/>
        </w:rPr>
        <w:t>de</w:t>
      </w:r>
      <w:r w:rsidR="00523A08" w:rsidRPr="00167A1B">
        <w:rPr>
          <w:rFonts w:ascii="Times New Roman" w:hAnsi="Times New Roman" w:cs="Times New Roman"/>
          <w:lang w:val="fr-FR"/>
        </w:rPr>
        <w:t xml:space="preserve"> LEVAL</w:t>
      </w:r>
      <w:r w:rsidRPr="00167A1B">
        <w:rPr>
          <w:rFonts w:ascii="Times New Roman" w:hAnsi="Times New Roman" w:cs="Times New Roman"/>
          <w:lang w:val="fr-FR"/>
        </w:rPr>
        <w:t xml:space="preserve">, </w:t>
      </w:r>
      <w:r w:rsidRPr="00167A1B">
        <w:rPr>
          <w:rFonts w:ascii="Times New Roman" w:hAnsi="Times New Roman" w:cs="Times New Roman"/>
          <w:i/>
          <w:iCs/>
          <w:lang w:val="fr-FR"/>
        </w:rPr>
        <w:t>La saisie immobilière</w:t>
      </w:r>
      <w:r w:rsidRPr="00167A1B">
        <w:rPr>
          <w:rFonts w:ascii="Times New Roman" w:hAnsi="Times New Roman" w:cs="Times New Roman"/>
          <w:lang w:val="fr-FR"/>
        </w:rPr>
        <w:t xml:space="preserve">, </w:t>
      </w:r>
      <w:r w:rsidRPr="00167A1B">
        <w:rPr>
          <w:rFonts w:ascii="Times New Roman" w:hAnsi="Times New Roman" w:cs="Times New Roman"/>
          <w:i/>
          <w:iCs/>
          <w:lang w:val="fr-FR"/>
        </w:rPr>
        <w:t>op.cit</w:t>
      </w:r>
      <w:r w:rsidRPr="00167A1B">
        <w:rPr>
          <w:rFonts w:ascii="Times New Roman" w:hAnsi="Times New Roman" w:cs="Times New Roman"/>
          <w:lang w:val="fr-FR"/>
        </w:rPr>
        <w:t xml:space="preserve">., p. 436. </w:t>
      </w:r>
    </w:p>
  </w:footnote>
  <w:footnote w:id="21">
    <w:p w14:paraId="7AF6039A" w14:textId="4EA77755" w:rsidR="0087586D" w:rsidRPr="00167A1B" w:rsidRDefault="0087586D" w:rsidP="00B5673A">
      <w:pPr>
        <w:pStyle w:val="Corps"/>
        <w:jc w:val="both"/>
        <w:rPr>
          <w:rFonts w:ascii="Times New Roman" w:eastAsia="Times New Roman" w:hAnsi="Times New Roman" w:cs="Times New Roman"/>
        </w:rPr>
      </w:pPr>
      <w:r w:rsidRPr="00CB7E44">
        <w:rPr>
          <w:rStyle w:val="Appelnotedebasdep"/>
          <w:rFonts w:ascii="Times New Roman" w:hAnsi="Times New Roman" w:cs="Times New Roman"/>
        </w:rPr>
        <w:footnoteRef/>
      </w:r>
      <w:r w:rsidR="00CF2994" w:rsidRPr="00CB7E44">
        <w:rPr>
          <w:rFonts w:ascii="Times New Roman" w:hAnsi="Times New Roman" w:cs="Times New Roman"/>
        </w:rPr>
        <w:t xml:space="preserve"> En cas de vente immobilière du bien indivis, l’article XX.44, § 4, du C.D.E. prévoit expressément que le notaire règle les créanciers hypothécaires et privilégiés spéciaux, le solde étant restitué au débiteur (ou au mandataire de justice en cas de transfert sous autorité de justice). </w:t>
      </w:r>
    </w:p>
  </w:footnote>
  <w:footnote w:id="22">
    <w:p w14:paraId="2677F4D5" w14:textId="5703FF29" w:rsidR="00C927FE" w:rsidRPr="00C927FE" w:rsidRDefault="00C927FE">
      <w:pPr>
        <w:pStyle w:val="Notedebasdepage"/>
        <w:rPr>
          <w:rFonts w:ascii="Times New Roman" w:hAnsi="Times New Roman" w:cs="Times New Roman"/>
        </w:rPr>
      </w:pPr>
      <w:r w:rsidRPr="00C927FE">
        <w:rPr>
          <w:rStyle w:val="Appelnotedebasdep"/>
          <w:rFonts w:ascii="Times New Roman" w:hAnsi="Times New Roman" w:cs="Times New Roman"/>
        </w:rPr>
        <w:footnoteRef/>
      </w:r>
      <w:r w:rsidRPr="00C927FE">
        <w:rPr>
          <w:rFonts w:ascii="Times New Roman" w:hAnsi="Times New Roman" w:cs="Times New Roman"/>
        </w:rPr>
        <w:t xml:space="preserve"> Pour remédier à ceci et en dehors de l’hypothèse d’un transfert sous autorité de justice, l’on pourrait conseiller à l’huissier de procéder à une distribution par contribution classique.</w:t>
      </w:r>
    </w:p>
  </w:footnote>
  <w:footnote w:id="23">
    <w:p w14:paraId="2780AAE5" w14:textId="39A3C91B"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Sans préjudice de l’article XX.52 du C.D.E. traitant des créances spécifiquement gagées.</w:t>
      </w:r>
    </w:p>
  </w:footnote>
  <w:footnote w:id="24">
    <w:p w14:paraId="2AEDA4DF" w14:textId="5B66F62F" w:rsidR="00A460DD" w:rsidRPr="00167A1B" w:rsidRDefault="00E8092E" w:rsidP="00B5673A">
      <w:pPr>
        <w:pStyle w:val="Notedebasdepage"/>
        <w:jc w:val="both"/>
        <w:rPr>
          <w:rFonts w:ascii="Times New Roman" w:hAnsi="Times New Roman" w:cs="Times New Roman"/>
          <w:lang w:val="fr-FR"/>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N. OUCHINSKY,</w:t>
      </w:r>
      <w:r w:rsidR="0021589A" w:rsidRPr="00167A1B">
        <w:rPr>
          <w:rFonts w:ascii="Times New Roman" w:hAnsi="Times New Roman" w:cs="Times New Roman"/>
          <w:lang w:val="fr-FR"/>
        </w:rPr>
        <w:t xml:space="preserve"> </w:t>
      </w:r>
      <w:r w:rsidRPr="00167A1B">
        <w:rPr>
          <w:rFonts w:ascii="Times New Roman" w:hAnsi="Times New Roman" w:cs="Times New Roman"/>
        </w:rPr>
        <w:t>« L</w:t>
      </w:r>
      <w:r w:rsidRPr="00167A1B">
        <w:rPr>
          <w:rFonts w:ascii="Times New Roman" w:hAnsi="Times New Roman" w:cs="Times New Roman"/>
          <w:rtl/>
        </w:rPr>
        <w:t>’</w:t>
      </w:r>
      <w:r w:rsidRPr="00167A1B">
        <w:rPr>
          <w:rFonts w:ascii="Times New Roman" w:hAnsi="Times New Roman" w:cs="Times New Roman"/>
          <w:lang w:val="fr-FR"/>
        </w:rPr>
        <w:t>incidence de l</w:t>
      </w:r>
      <w:r w:rsidRPr="00167A1B">
        <w:rPr>
          <w:rFonts w:ascii="Times New Roman" w:hAnsi="Times New Roman" w:cs="Times New Roman"/>
          <w:rtl/>
        </w:rPr>
        <w:t>’</w:t>
      </w:r>
      <w:proofErr w:type="spellStart"/>
      <w:r w:rsidRPr="00167A1B">
        <w:rPr>
          <w:rFonts w:ascii="Times New Roman" w:hAnsi="Times New Roman" w:cs="Times New Roman"/>
        </w:rPr>
        <w:t>insolvabilit</w:t>
      </w:r>
      <w:proofErr w:type="spellEnd"/>
      <w:r w:rsidRPr="00167A1B">
        <w:rPr>
          <w:rFonts w:ascii="Times New Roman" w:hAnsi="Times New Roman" w:cs="Times New Roman"/>
          <w:lang w:val="fr-FR"/>
        </w:rPr>
        <w:t>é des entreprises sur les saisies</w:t>
      </w:r>
      <w:r w:rsidRPr="00167A1B">
        <w:rPr>
          <w:rFonts w:ascii="Times New Roman" w:hAnsi="Times New Roman" w:cs="Times New Roman"/>
        </w:rPr>
        <w:t> »</w:t>
      </w:r>
      <w:r w:rsidRPr="00167A1B">
        <w:rPr>
          <w:rFonts w:ascii="Times New Roman" w:hAnsi="Times New Roman" w:cs="Times New Roman"/>
          <w:lang w:val="fr-FR"/>
        </w:rPr>
        <w:t xml:space="preserve">, </w:t>
      </w:r>
      <w:r w:rsidRPr="00167A1B">
        <w:rPr>
          <w:rFonts w:ascii="Times New Roman" w:hAnsi="Times New Roman" w:cs="Times New Roman"/>
          <w:i/>
          <w:iCs/>
          <w:lang w:val="fr-FR"/>
        </w:rPr>
        <w:t>op.cit</w:t>
      </w:r>
      <w:r w:rsidRPr="00167A1B">
        <w:rPr>
          <w:rFonts w:ascii="Times New Roman" w:hAnsi="Times New Roman" w:cs="Times New Roman"/>
          <w:lang w:val="fr-FR"/>
        </w:rPr>
        <w:t xml:space="preserve">., p. 86 </w:t>
      </w:r>
      <w:proofErr w:type="spellStart"/>
      <w:r w:rsidRPr="00167A1B">
        <w:rPr>
          <w:rFonts w:ascii="Times New Roman" w:hAnsi="Times New Roman" w:cs="Times New Roman"/>
          <w:lang w:val="fr-FR"/>
        </w:rPr>
        <w:t>Voy</w:t>
      </w:r>
      <w:proofErr w:type="spellEnd"/>
      <w:r w:rsidRPr="00167A1B">
        <w:rPr>
          <w:rFonts w:ascii="Times New Roman" w:hAnsi="Times New Roman" w:cs="Times New Roman"/>
          <w:lang w:val="fr-FR"/>
        </w:rPr>
        <w:t xml:space="preserve">. </w:t>
      </w:r>
      <w:proofErr w:type="gramStart"/>
      <w:r w:rsidRPr="00167A1B">
        <w:rPr>
          <w:rFonts w:ascii="Times New Roman" w:hAnsi="Times New Roman" w:cs="Times New Roman"/>
          <w:lang w:val="fr-FR"/>
        </w:rPr>
        <w:t>aussi</w:t>
      </w:r>
      <w:proofErr w:type="gramEnd"/>
      <w:r w:rsidRPr="00167A1B">
        <w:rPr>
          <w:rFonts w:ascii="Times New Roman" w:hAnsi="Times New Roman" w:cs="Times New Roman"/>
          <w:lang w:val="fr-FR"/>
        </w:rPr>
        <w:t xml:space="preserve"> </w:t>
      </w:r>
      <w:proofErr w:type="spellStart"/>
      <w:r w:rsidRPr="00167A1B">
        <w:rPr>
          <w:rFonts w:ascii="Times New Roman" w:hAnsi="Times New Roman" w:cs="Times New Roman"/>
          <w:lang w:val="fr-FR"/>
        </w:rPr>
        <w:t>Civ</w:t>
      </w:r>
      <w:proofErr w:type="spellEnd"/>
      <w:r w:rsidRPr="00167A1B">
        <w:rPr>
          <w:rFonts w:ascii="Times New Roman" w:hAnsi="Times New Roman" w:cs="Times New Roman"/>
          <w:lang w:val="fr-FR"/>
        </w:rPr>
        <w:t xml:space="preserve">. Liège (sais.), 2 mai 2018, </w:t>
      </w:r>
      <w:proofErr w:type="spellStart"/>
      <w:r w:rsidRPr="00167A1B">
        <w:rPr>
          <w:rFonts w:ascii="Times New Roman" w:hAnsi="Times New Roman" w:cs="Times New Roman"/>
          <w:i/>
          <w:iCs/>
          <w:lang w:val="fr-FR"/>
        </w:rPr>
        <w:t>Ius</w:t>
      </w:r>
      <w:proofErr w:type="spellEnd"/>
      <w:r w:rsidRPr="00167A1B">
        <w:rPr>
          <w:rFonts w:ascii="Times New Roman" w:hAnsi="Times New Roman" w:cs="Times New Roman"/>
          <w:i/>
          <w:iCs/>
          <w:lang w:val="fr-FR"/>
        </w:rPr>
        <w:t xml:space="preserve"> et </w:t>
      </w:r>
      <w:proofErr w:type="spellStart"/>
      <w:r w:rsidRPr="00167A1B">
        <w:rPr>
          <w:rFonts w:ascii="Times New Roman" w:hAnsi="Times New Roman" w:cs="Times New Roman"/>
          <w:i/>
          <w:iCs/>
          <w:lang w:val="fr-FR"/>
        </w:rPr>
        <w:t>Actores</w:t>
      </w:r>
      <w:proofErr w:type="spellEnd"/>
      <w:r w:rsidRPr="00167A1B">
        <w:rPr>
          <w:rFonts w:ascii="Times New Roman" w:hAnsi="Times New Roman" w:cs="Times New Roman"/>
          <w:lang w:val="fr-FR"/>
        </w:rPr>
        <w:t>, 2018, pp. 169 et s.</w:t>
      </w:r>
      <w:r w:rsidR="00C26B92" w:rsidRPr="00167A1B">
        <w:rPr>
          <w:rFonts w:ascii="Times New Roman" w:hAnsi="Times New Roman" w:cs="Times New Roman"/>
          <w:lang w:val="fr-FR"/>
        </w:rPr>
        <w:t xml:space="preserve">, </w:t>
      </w:r>
      <w:r w:rsidRPr="00167A1B">
        <w:rPr>
          <w:rFonts w:ascii="Times New Roman" w:hAnsi="Times New Roman" w:cs="Times New Roman"/>
          <w:lang w:val="fr-FR"/>
        </w:rPr>
        <w:t xml:space="preserve">avec note N. OUCHINSKY, « L’incidence de la procédure de réorganisation judiciaire sur les voies d’exécution ». </w:t>
      </w:r>
      <w:r w:rsidR="00AE214A" w:rsidRPr="00167A1B">
        <w:rPr>
          <w:rFonts w:ascii="Times New Roman" w:hAnsi="Times New Roman" w:cs="Times New Roman"/>
          <w:lang w:val="fr-FR"/>
        </w:rPr>
        <w:t xml:space="preserve">Selon l’auteur, il en va de même d’une vente terminée avant la saisie mais dont le produit n’a pas encore été distribué. </w:t>
      </w:r>
      <w:r w:rsidR="00AE214A" w:rsidRPr="00167A1B">
        <w:rPr>
          <w:rFonts w:ascii="Times New Roman" w:hAnsi="Times New Roman" w:cs="Times New Roman"/>
          <w:i/>
          <w:iCs/>
          <w:lang w:val="fr-FR"/>
        </w:rPr>
        <w:t>C</w:t>
      </w:r>
      <w:r w:rsidR="00441E7A" w:rsidRPr="00167A1B">
        <w:rPr>
          <w:rFonts w:ascii="Times New Roman" w:hAnsi="Times New Roman" w:cs="Times New Roman"/>
          <w:i/>
          <w:iCs/>
          <w:lang w:val="fr-FR"/>
        </w:rPr>
        <w:t>ontra</w:t>
      </w:r>
      <w:r w:rsidR="00441E7A" w:rsidRPr="00167A1B">
        <w:rPr>
          <w:rFonts w:ascii="Times New Roman" w:hAnsi="Times New Roman" w:cs="Times New Roman"/>
          <w:lang w:val="fr-FR"/>
        </w:rPr>
        <w:t xml:space="preserve"> : </w:t>
      </w:r>
      <w:r w:rsidR="00AE214A" w:rsidRPr="00167A1B">
        <w:rPr>
          <w:rFonts w:ascii="Times New Roman" w:hAnsi="Times New Roman" w:cs="Times New Roman"/>
          <w:lang w:val="fr-FR"/>
        </w:rPr>
        <w:t>E. DIRIX et R. JANSSEN, « </w:t>
      </w:r>
      <w:r w:rsidR="00AE214A" w:rsidRPr="00D969FC">
        <w:rPr>
          <w:rFonts w:ascii="Times New Roman" w:hAnsi="Times New Roman" w:cs="Times New Roman"/>
        </w:rPr>
        <w:t xml:space="preserve">De </w:t>
      </w:r>
      <w:proofErr w:type="spellStart"/>
      <w:r w:rsidR="00AE214A" w:rsidRPr="00D969FC">
        <w:rPr>
          <w:rFonts w:ascii="Times New Roman" w:hAnsi="Times New Roman" w:cs="Times New Roman"/>
        </w:rPr>
        <w:t>positie</w:t>
      </w:r>
      <w:proofErr w:type="spellEnd"/>
      <w:r w:rsidR="00AE214A" w:rsidRPr="00D969FC">
        <w:rPr>
          <w:rFonts w:ascii="Times New Roman" w:hAnsi="Times New Roman" w:cs="Times New Roman"/>
        </w:rPr>
        <w:t xml:space="preserve"> van de </w:t>
      </w:r>
      <w:proofErr w:type="spellStart"/>
      <w:r w:rsidR="00AE214A" w:rsidRPr="00D969FC">
        <w:rPr>
          <w:rFonts w:ascii="Times New Roman" w:hAnsi="Times New Roman" w:cs="Times New Roman"/>
        </w:rPr>
        <w:t>schuldeisers</w:t>
      </w:r>
      <w:proofErr w:type="spellEnd"/>
      <w:r w:rsidR="00AE214A" w:rsidRPr="00D969FC">
        <w:rPr>
          <w:rFonts w:ascii="Times New Roman" w:hAnsi="Times New Roman" w:cs="Times New Roman"/>
        </w:rPr>
        <w:t xml:space="preserve"> en het lot van </w:t>
      </w:r>
      <w:proofErr w:type="spellStart"/>
      <w:r w:rsidR="00AE214A" w:rsidRPr="00D969FC">
        <w:rPr>
          <w:rFonts w:ascii="Times New Roman" w:hAnsi="Times New Roman" w:cs="Times New Roman"/>
        </w:rPr>
        <w:t>lopende</w:t>
      </w:r>
      <w:proofErr w:type="spellEnd"/>
      <w:r w:rsidR="00AE214A" w:rsidRPr="00D969FC">
        <w:rPr>
          <w:rFonts w:ascii="Times New Roman" w:hAnsi="Times New Roman" w:cs="Times New Roman"/>
        </w:rPr>
        <w:t xml:space="preserve"> </w:t>
      </w:r>
      <w:proofErr w:type="spellStart"/>
      <w:r w:rsidR="00AE214A" w:rsidRPr="00D969FC">
        <w:rPr>
          <w:rFonts w:ascii="Times New Roman" w:hAnsi="Times New Roman" w:cs="Times New Roman"/>
        </w:rPr>
        <w:t>overeenkomsten</w:t>
      </w:r>
      <w:proofErr w:type="spellEnd"/>
      <w:r w:rsidR="00AE214A" w:rsidRPr="00167A1B">
        <w:rPr>
          <w:rFonts w:ascii="Times New Roman" w:hAnsi="Times New Roman" w:cs="Times New Roman"/>
          <w:lang w:val="fr-FR"/>
        </w:rPr>
        <w:t xml:space="preserve"> », </w:t>
      </w:r>
      <w:r w:rsidR="00AE214A" w:rsidRPr="00167A1B">
        <w:rPr>
          <w:rFonts w:ascii="Times New Roman" w:hAnsi="Times New Roman" w:cs="Times New Roman"/>
          <w:i/>
          <w:iCs/>
          <w:lang w:val="fr-FR"/>
        </w:rPr>
        <w:t>op.cit</w:t>
      </w:r>
      <w:r w:rsidR="00AE214A" w:rsidRPr="00167A1B">
        <w:rPr>
          <w:rFonts w:ascii="Times New Roman" w:hAnsi="Times New Roman" w:cs="Times New Roman"/>
          <w:lang w:val="fr-FR"/>
        </w:rPr>
        <w:t>., pp. 165 et 166</w:t>
      </w:r>
      <w:r w:rsidR="00617B69" w:rsidRPr="00167A1B">
        <w:rPr>
          <w:rFonts w:ascii="Times New Roman" w:hAnsi="Times New Roman" w:cs="Times New Roman"/>
          <w:lang w:val="fr-FR"/>
        </w:rPr>
        <w:t>,</w:t>
      </w:r>
      <w:r w:rsidR="00AE214A" w:rsidRPr="00167A1B">
        <w:rPr>
          <w:rFonts w:ascii="Times New Roman" w:hAnsi="Times New Roman" w:cs="Times New Roman"/>
          <w:lang w:val="fr-FR"/>
        </w:rPr>
        <w:t> </w:t>
      </w:r>
      <w:r w:rsidR="0021589A" w:rsidRPr="00167A1B">
        <w:rPr>
          <w:rFonts w:ascii="Times New Roman" w:hAnsi="Times New Roman" w:cs="Times New Roman"/>
          <w:lang w:val="fr-FR"/>
        </w:rPr>
        <w:t>qui considèrent que le produit devra être distribué aux créanciers si la procédure de répartition n’est plus susceptible de recours ; W. DAVID, « La suspension des voies d’exécution durant la procédure de réorganisation judiciaire </w:t>
      </w:r>
      <w:r w:rsidR="0021589A" w:rsidRPr="00097755">
        <w:rPr>
          <w:rFonts w:ascii="Times New Roman" w:hAnsi="Times New Roman" w:cs="Times New Roman"/>
          <w:lang w:val="fr-FR"/>
        </w:rPr>
        <w:t xml:space="preserve">», </w:t>
      </w:r>
      <w:r w:rsidR="0021589A" w:rsidRPr="00097755">
        <w:rPr>
          <w:rFonts w:ascii="Times New Roman" w:hAnsi="Times New Roman" w:cs="Times New Roman"/>
          <w:i/>
          <w:iCs/>
          <w:lang w:val="fr-FR"/>
        </w:rPr>
        <w:t>op.cit</w:t>
      </w:r>
      <w:r w:rsidR="0021589A" w:rsidRPr="00097755">
        <w:rPr>
          <w:rFonts w:ascii="Times New Roman" w:hAnsi="Times New Roman" w:cs="Times New Roman"/>
          <w:lang w:val="fr-FR"/>
        </w:rPr>
        <w:t>., p. 30</w:t>
      </w:r>
      <w:r w:rsidR="00094B99" w:rsidRPr="00097755">
        <w:rPr>
          <w:rFonts w:ascii="Times New Roman" w:hAnsi="Times New Roman" w:cs="Times New Roman"/>
          <w:lang w:val="fr-FR"/>
        </w:rPr>
        <w:t>2</w:t>
      </w:r>
      <w:r w:rsidR="0021589A" w:rsidRPr="00097755">
        <w:rPr>
          <w:rFonts w:ascii="Times New Roman" w:hAnsi="Times New Roman" w:cs="Times New Roman"/>
          <w:lang w:val="fr-FR"/>
        </w:rPr>
        <w:t xml:space="preserve"> ; </w:t>
      </w:r>
      <w:r w:rsidR="00AE214A" w:rsidRPr="00097755">
        <w:rPr>
          <w:rFonts w:ascii="Times New Roman" w:hAnsi="Times New Roman" w:cs="Times New Roman"/>
          <w:lang w:val="fr-FR"/>
        </w:rPr>
        <w:t xml:space="preserve">A. ZENNER, </w:t>
      </w:r>
      <w:r w:rsidR="00AE214A" w:rsidRPr="00097755">
        <w:rPr>
          <w:rFonts w:ascii="Times New Roman" w:hAnsi="Times New Roman" w:cs="Times New Roman"/>
          <w:i/>
          <w:iCs/>
          <w:lang w:val="fr-FR"/>
        </w:rPr>
        <w:t>Traité du droit de l’insolvabilité</w:t>
      </w:r>
      <w:r w:rsidR="00AE214A" w:rsidRPr="00097755">
        <w:rPr>
          <w:rFonts w:ascii="Times New Roman" w:hAnsi="Times New Roman" w:cs="Times New Roman"/>
          <w:lang w:val="fr-FR"/>
        </w:rPr>
        <w:t xml:space="preserve">, </w:t>
      </w:r>
      <w:r w:rsidR="00712B88" w:rsidRPr="00097755">
        <w:rPr>
          <w:rFonts w:ascii="Times New Roman" w:hAnsi="Times New Roman" w:cs="Times New Roman"/>
          <w:i/>
          <w:iCs/>
          <w:lang w:val="fr-FR"/>
        </w:rPr>
        <w:t>op.cit</w:t>
      </w:r>
      <w:r w:rsidR="00712B88" w:rsidRPr="00097755">
        <w:rPr>
          <w:rFonts w:ascii="Times New Roman" w:hAnsi="Times New Roman" w:cs="Times New Roman"/>
          <w:lang w:val="fr-FR"/>
        </w:rPr>
        <w:t xml:space="preserve">., </w:t>
      </w:r>
      <w:r w:rsidR="00AE214A" w:rsidRPr="00097755">
        <w:rPr>
          <w:rFonts w:ascii="Times New Roman" w:hAnsi="Times New Roman" w:cs="Times New Roman"/>
          <w:lang w:val="fr-FR"/>
        </w:rPr>
        <w:t xml:space="preserve">p. 658. </w:t>
      </w:r>
      <w:r w:rsidR="00211F54" w:rsidRPr="00097755">
        <w:rPr>
          <w:rFonts w:ascii="Times New Roman" w:hAnsi="Times New Roman" w:cs="Times New Roman"/>
          <w:lang w:val="fr-FR"/>
        </w:rPr>
        <w:t>Notons que la décision du juge des saisies de Liège</w:t>
      </w:r>
      <w:r w:rsidR="00AE214A" w:rsidRPr="00097755">
        <w:rPr>
          <w:rFonts w:ascii="Times New Roman" w:hAnsi="Times New Roman" w:cs="Times New Roman"/>
          <w:lang w:val="fr-FR"/>
        </w:rPr>
        <w:t xml:space="preserve"> précitée</w:t>
      </w:r>
      <w:r w:rsidR="00211F54" w:rsidRPr="00097755">
        <w:rPr>
          <w:rFonts w:ascii="Times New Roman" w:hAnsi="Times New Roman" w:cs="Times New Roman"/>
          <w:lang w:val="fr-FR"/>
        </w:rPr>
        <w:t xml:space="preserve"> s’inscrit dans le contexte particulier d’une saisie-arrêt</w:t>
      </w:r>
      <w:r w:rsidR="00017416" w:rsidRPr="00CB7E44">
        <w:rPr>
          <w:rFonts w:ascii="Times New Roman" w:hAnsi="Times New Roman" w:cs="Times New Roman"/>
          <w:lang w:val="fr-FR"/>
        </w:rPr>
        <w:t>, suspendue de principe, et ne connaissant pas d’exception à cette suspension à en lire l’article XX. 51 du C.D.E.</w:t>
      </w:r>
      <w:r w:rsidR="00017416" w:rsidRPr="00167A1B">
        <w:rPr>
          <w:rFonts w:ascii="Times New Roman" w:hAnsi="Times New Roman" w:cs="Times New Roman"/>
          <w:lang w:val="fr-FR"/>
        </w:rPr>
        <w:t xml:space="preserve"> </w:t>
      </w:r>
    </w:p>
  </w:footnote>
  <w:footnote w:id="25">
    <w:p w14:paraId="0440DEC0" w14:textId="10B9FD87" w:rsidR="00FE5EED" w:rsidRPr="00167A1B" w:rsidRDefault="00FE5EED" w:rsidP="00B5673A">
      <w:pPr>
        <w:pStyle w:val="Notedebasdepage"/>
        <w:jc w:val="both"/>
        <w:rPr>
          <w:rFonts w:ascii="Times New Roman" w:hAnsi="Times New Roman" w:cs="Times New Roman"/>
          <w:lang w:val="fr-FR"/>
        </w:rPr>
      </w:pPr>
      <w:r w:rsidRPr="00167A1B">
        <w:rPr>
          <w:rStyle w:val="Appelnotedebasdep"/>
          <w:rFonts w:ascii="Times New Roman" w:hAnsi="Times New Roman" w:cs="Times New Roman"/>
        </w:rPr>
        <w:footnoteRef/>
      </w:r>
      <w:r w:rsidRPr="00167A1B">
        <w:rPr>
          <w:rFonts w:ascii="Times New Roman" w:hAnsi="Times New Roman" w:cs="Times New Roman"/>
        </w:rPr>
        <w:t xml:space="preserve"> </w:t>
      </w:r>
      <w:r w:rsidR="0081018A" w:rsidRPr="00167A1B">
        <w:rPr>
          <w:rFonts w:ascii="Times New Roman" w:hAnsi="Times New Roman" w:cs="Times New Roman"/>
        </w:rPr>
        <w:t>Il ressort clairement de l’article XX.51, §</w:t>
      </w:r>
      <w:r w:rsidR="00617B69" w:rsidRPr="00167A1B">
        <w:rPr>
          <w:rFonts w:ascii="Times New Roman" w:hAnsi="Times New Roman" w:cs="Times New Roman"/>
        </w:rPr>
        <w:t xml:space="preserve"> </w:t>
      </w:r>
      <w:r w:rsidR="0081018A" w:rsidRPr="00167A1B">
        <w:rPr>
          <w:rFonts w:ascii="Times New Roman" w:hAnsi="Times New Roman" w:cs="Times New Roman"/>
        </w:rPr>
        <w:t xml:space="preserve">4, du C.D.E. que s’il reste un éventuel solde, celui-ci soit remis au débiteur (ou au mandataire de justice), </w:t>
      </w:r>
      <w:r w:rsidR="00441E7A" w:rsidRPr="00167A1B">
        <w:rPr>
          <w:rFonts w:ascii="Times New Roman" w:hAnsi="Times New Roman" w:cs="Times New Roman"/>
        </w:rPr>
        <w:t xml:space="preserve">nonobstant </w:t>
      </w:r>
      <w:r w:rsidR="0081018A" w:rsidRPr="00167A1B">
        <w:rPr>
          <w:rFonts w:ascii="Times New Roman" w:hAnsi="Times New Roman" w:cs="Times New Roman"/>
        </w:rPr>
        <w:t>l’effet conservatoire prévu par l’article XX.51, §</w:t>
      </w:r>
      <w:r w:rsidR="00617B69" w:rsidRPr="00167A1B">
        <w:rPr>
          <w:rFonts w:ascii="Times New Roman" w:hAnsi="Times New Roman" w:cs="Times New Roman"/>
        </w:rPr>
        <w:t xml:space="preserve"> </w:t>
      </w:r>
      <w:r w:rsidR="0081018A" w:rsidRPr="00167A1B">
        <w:rPr>
          <w:rFonts w:ascii="Times New Roman" w:hAnsi="Times New Roman" w:cs="Times New Roman"/>
        </w:rPr>
        <w:t>1</w:t>
      </w:r>
      <w:r w:rsidR="0081018A" w:rsidRPr="00167A1B">
        <w:rPr>
          <w:rFonts w:ascii="Times New Roman" w:hAnsi="Times New Roman" w:cs="Times New Roman"/>
          <w:vertAlign w:val="superscript"/>
        </w:rPr>
        <w:t>er</w:t>
      </w:r>
      <w:r w:rsidR="0081018A" w:rsidRPr="00167A1B">
        <w:rPr>
          <w:rFonts w:ascii="Times New Roman" w:hAnsi="Times New Roman" w:cs="Times New Roman"/>
        </w:rPr>
        <w:t>, al. 2,</w:t>
      </w:r>
      <w:r w:rsidR="00617B69" w:rsidRPr="00167A1B">
        <w:rPr>
          <w:rFonts w:ascii="Times New Roman" w:hAnsi="Times New Roman" w:cs="Times New Roman"/>
        </w:rPr>
        <w:t xml:space="preserve"> </w:t>
      </w:r>
      <w:r w:rsidR="0081018A" w:rsidRPr="00167A1B">
        <w:rPr>
          <w:rFonts w:ascii="Times New Roman" w:hAnsi="Times New Roman" w:cs="Times New Roman"/>
        </w:rPr>
        <w:t xml:space="preserve">C.D.E. </w:t>
      </w:r>
      <w:r w:rsidR="0033603D" w:rsidRPr="00167A1B">
        <w:rPr>
          <w:rFonts w:ascii="Times New Roman" w:hAnsi="Times New Roman" w:cs="Times New Roman"/>
        </w:rPr>
        <w:t>(</w:t>
      </w:r>
      <w:r w:rsidRPr="00167A1B">
        <w:rPr>
          <w:rFonts w:ascii="Times New Roman" w:hAnsi="Times New Roman" w:cs="Times New Roman"/>
          <w:lang w:val="fr-FR"/>
        </w:rPr>
        <w:t xml:space="preserve">G. </w:t>
      </w:r>
      <w:proofErr w:type="gramStart"/>
      <w:r w:rsidR="00E81B40">
        <w:rPr>
          <w:rFonts w:ascii="Times New Roman" w:hAnsi="Times New Roman" w:cs="Times New Roman"/>
          <w:lang w:val="fr-FR"/>
        </w:rPr>
        <w:t>de</w:t>
      </w:r>
      <w:proofErr w:type="gramEnd"/>
      <w:r w:rsidRPr="00167A1B">
        <w:rPr>
          <w:rFonts w:ascii="Times New Roman" w:hAnsi="Times New Roman" w:cs="Times New Roman"/>
          <w:lang w:val="fr-FR"/>
        </w:rPr>
        <w:t xml:space="preserve"> LEVAL, </w:t>
      </w:r>
      <w:r w:rsidRPr="00167A1B">
        <w:rPr>
          <w:rFonts w:ascii="Times New Roman" w:hAnsi="Times New Roman" w:cs="Times New Roman"/>
          <w:i/>
          <w:iCs/>
          <w:lang w:val="fr-FR"/>
        </w:rPr>
        <w:t>La saisie immobilière</w:t>
      </w:r>
      <w:r w:rsidRPr="00167A1B">
        <w:rPr>
          <w:rFonts w:ascii="Times New Roman" w:hAnsi="Times New Roman" w:cs="Times New Roman"/>
          <w:lang w:val="fr-FR"/>
        </w:rPr>
        <w:t xml:space="preserve">, </w:t>
      </w:r>
      <w:r w:rsidRPr="00167A1B">
        <w:rPr>
          <w:rFonts w:ascii="Times New Roman" w:hAnsi="Times New Roman" w:cs="Times New Roman"/>
          <w:i/>
          <w:iCs/>
          <w:lang w:val="fr-FR"/>
        </w:rPr>
        <w:t>op.cit.</w:t>
      </w:r>
      <w:r w:rsidRPr="00167A1B">
        <w:rPr>
          <w:rFonts w:ascii="Times New Roman" w:hAnsi="Times New Roman" w:cs="Times New Roman"/>
          <w:lang w:val="fr-FR"/>
        </w:rPr>
        <w:t>, p. 436 </w:t>
      </w:r>
      <w:r w:rsidRPr="00167A1B">
        <w:rPr>
          <w:rFonts w:ascii="Times New Roman" w:hAnsi="Times New Roman" w:cs="Times New Roman"/>
        </w:rPr>
        <w:t>;</w:t>
      </w:r>
      <w:r w:rsidR="00094B99" w:rsidRPr="00167A1B">
        <w:rPr>
          <w:rFonts w:ascii="Times New Roman" w:hAnsi="Times New Roman" w:cs="Times New Roman"/>
          <w:lang w:val="fr-FR"/>
        </w:rPr>
        <w:t xml:space="preserve"> </w:t>
      </w:r>
      <w:r w:rsidRPr="00167A1B">
        <w:rPr>
          <w:rFonts w:ascii="Times New Roman" w:hAnsi="Times New Roman" w:cs="Times New Roman"/>
          <w:lang w:val="fr-FR"/>
        </w:rPr>
        <w:t xml:space="preserve">A. ZENNER, </w:t>
      </w:r>
      <w:r w:rsidR="00441E7A" w:rsidRPr="00167A1B">
        <w:rPr>
          <w:rFonts w:ascii="Times New Roman" w:hAnsi="Times New Roman" w:cs="Times New Roman"/>
          <w:i/>
          <w:iCs/>
          <w:lang w:val="fr-FR"/>
        </w:rPr>
        <w:t>ibid</w:t>
      </w:r>
      <w:r w:rsidR="00441E7A" w:rsidRPr="00167A1B">
        <w:rPr>
          <w:rFonts w:ascii="Times New Roman" w:hAnsi="Times New Roman" w:cs="Times New Roman"/>
          <w:lang w:val="fr-FR"/>
        </w:rPr>
        <w:t xml:space="preserve">., </w:t>
      </w:r>
      <w:r w:rsidRPr="00167A1B">
        <w:rPr>
          <w:rFonts w:ascii="Times New Roman" w:hAnsi="Times New Roman" w:cs="Times New Roman"/>
          <w:lang w:val="fr-FR"/>
        </w:rPr>
        <w:t>p. 658</w:t>
      </w:r>
      <w:r w:rsidR="00094B99" w:rsidRPr="00167A1B">
        <w:rPr>
          <w:rFonts w:ascii="Times New Roman" w:hAnsi="Times New Roman" w:cs="Times New Roman"/>
          <w:lang w:val="fr-FR"/>
        </w:rPr>
        <w:t> ; W. DAVID</w:t>
      </w:r>
      <w:r w:rsidR="000E7259">
        <w:rPr>
          <w:rFonts w:ascii="Times New Roman" w:hAnsi="Times New Roman" w:cs="Times New Roman"/>
          <w:lang w:val="fr-FR"/>
        </w:rPr>
        <w:t xml:space="preserve">, </w:t>
      </w:r>
      <w:r w:rsidR="00094B99" w:rsidRPr="00167A1B">
        <w:rPr>
          <w:rFonts w:ascii="Times New Roman" w:hAnsi="Times New Roman" w:cs="Times New Roman"/>
          <w:i/>
          <w:iCs/>
          <w:lang w:val="fr-FR"/>
        </w:rPr>
        <w:t>ibid</w:t>
      </w:r>
      <w:r w:rsidR="00094B99" w:rsidRPr="00167A1B">
        <w:rPr>
          <w:rFonts w:ascii="Times New Roman" w:hAnsi="Times New Roman" w:cs="Times New Roman"/>
          <w:lang w:val="fr-FR"/>
        </w:rPr>
        <w:t>., p. 302</w:t>
      </w:r>
      <w:r w:rsidR="0033603D" w:rsidRPr="00167A1B">
        <w:rPr>
          <w:rFonts w:ascii="Times New Roman" w:hAnsi="Times New Roman" w:cs="Times New Roman"/>
          <w:lang w:val="fr-FR"/>
        </w:rPr>
        <w:t>).</w:t>
      </w:r>
    </w:p>
  </w:footnote>
  <w:footnote w:id="26">
    <w:p w14:paraId="585C473A" w14:textId="4A3FF005" w:rsidR="00211F54" w:rsidRPr="00167A1B" w:rsidRDefault="00211F54" w:rsidP="00B5673A">
      <w:pPr>
        <w:pStyle w:val="Notedebasdepage"/>
        <w:jc w:val="both"/>
        <w:rPr>
          <w:rFonts w:ascii="Times New Roman" w:hAnsi="Times New Roman" w:cs="Times New Roman"/>
        </w:rPr>
      </w:pPr>
      <w:r w:rsidRPr="00167A1B">
        <w:rPr>
          <w:rStyle w:val="Appelnotedebasdep"/>
          <w:rFonts w:ascii="Times New Roman" w:hAnsi="Times New Roman" w:cs="Times New Roman"/>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G. </w:t>
      </w:r>
      <w:r w:rsidR="00E81B40">
        <w:rPr>
          <w:rFonts w:ascii="Times New Roman" w:hAnsi="Times New Roman" w:cs="Times New Roman"/>
          <w:lang w:val="fr-FR"/>
        </w:rPr>
        <w:t>de</w:t>
      </w:r>
      <w:r w:rsidRPr="00167A1B">
        <w:rPr>
          <w:rFonts w:ascii="Times New Roman" w:hAnsi="Times New Roman" w:cs="Times New Roman"/>
          <w:lang w:val="fr-FR"/>
        </w:rPr>
        <w:t xml:space="preserve"> LEVAL, </w:t>
      </w:r>
      <w:r w:rsidRPr="00167A1B">
        <w:rPr>
          <w:rFonts w:ascii="Times New Roman" w:hAnsi="Times New Roman" w:cs="Times New Roman"/>
          <w:i/>
          <w:iCs/>
          <w:lang w:val="fr-FR"/>
        </w:rPr>
        <w:t>La saisie immobilière</w:t>
      </w:r>
      <w:r w:rsidRPr="00167A1B">
        <w:rPr>
          <w:rFonts w:ascii="Times New Roman" w:hAnsi="Times New Roman" w:cs="Times New Roman"/>
          <w:lang w:val="fr-FR"/>
        </w:rPr>
        <w:t xml:space="preserve">, </w:t>
      </w:r>
      <w:r w:rsidR="00FE5EED" w:rsidRPr="00167A1B">
        <w:rPr>
          <w:rFonts w:ascii="Times New Roman" w:hAnsi="Times New Roman" w:cs="Times New Roman"/>
          <w:i/>
          <w:iCs/>
          <w:lang w:val="fr-FR"/>
        </w:rPr>
        <w:t>ibid</w:t>
      </w:r>
      <w:r w:rsidRPr="00167A1B">
        <w:rPr>
          <w:rFonts w:ascii="Times New Roman" w:hAnsi="Times New Roman" w:cs="Times New Roman"/>
          <w:i/>
          <w:iCs/>
          <w:lang w:val="fr-FR"/>
        </w:rPr>
        <w:t>.</w:t>
      </w:r>
      <w:r w:rsidRPr="00167A1B">
        <w:rPr>
          <w:rFonts w:ascii="Times New Roman" w:hAnsi="Times New Roman" w:cs="Times New Roman"/>
          <w:lang w:val="fr-FR"/>
        </w:rPr>
        <w:t>, p. 436</w:t>
      </w:r>
      <w:r w:rsidR="00441E7A" w:rsidRPr="00167A1B">
        <w:rPr>
          <w:rFonts w:ascii="Times New Roman" w:hAnsi="Times New Roman" w:cs="Times New Roman"/>
          <w:lang w:val="fr-FR"/>
        </w:rPr>
        <w:t xml:space="preserve">. </w:t>
      </w:r>
      <w:r w:rsidRPr="00167A1B">
        <w:rPr>
          <w:rFonts w:ascii="Times New Roman" w:hAnsi="Times New Roman" w:cs="Times New Roman"/>
          <w:lang w:val="fr-FR"/>
        </w:rPr>
        <w:t xml:space="preserve">En ce sens, </w:t>
      </w:r>
      <w:proofErr w:type="spellStart"/>
      <w:r w:rsidRPr="00167A1B">
        <w:rPr>
          <w:rFonts w:ascii="Times New Roman" w:hAnsi="Times New Roman" w:cs="Times New Roman"/>
          <w:lang w:val="fr-FR"/>
        </w:rPr>
        <w:t>voy</w:t>
      </w:r>
      <w:proofErr w:type="spellEnd"/>
      <w:r w:rsidRPr="00167A1B">
        <w:rPr>
          <w:rFonts w:ascii="Times New Roman" w:hAnsi="Times New Roman" w:cs="Times New Roman"/>
          <w:lang w:val="fr-FR"/>
        </w:rPr>
        <w:t>. H. SIMON, « Saisies et procédures collectives d’insolvabilité : la désunion sacrée</w:t>
      </w:r>
      <w:r w:rsidR="00617B69" w:rsidRPr="00167A1B">
        <w:rPr>
          <w:rFonts w:ascii="Times New Roman" w:hAnsi="Times New Roman" w:cs="Times New Roman"/>
          <w:lang w:val="fr-FR"/>
        </w:rPr>
        <w:t xml:space="preserve"> </w:t>
      </w:r>
      <w:r w:rsidRPr="00167A1B">
        <w:rPr>
          <w:rFonts w:ascii="Times New Roman" w:hAnsi="Times New Roman" w:cs="Times New Roman"/>
          <w:lang w:val="fr-FR"/>
        </w:rPr>
        <w:t xml:space="preserve">? », </w:t>
      </w:r>
      <w:r w:rsidRPr="00167A1B">
        <w:rPr>
          <w:rFonts w:ascii="Times New Roman" w:hAnsi="Times New Roman" w:cs="Times New Roman"/>
          <w:i/>
          <w:iCs/>
          <w:lang w:val="fr-FR"/>
        </w:rPr>
        <w:t>op.cit</w:t>
      </w:r>
      <w:r w:rsidRPr="00167A1B">
        <w:rPr>
          <w:rFonts w:ascii="Times New Roman" w:hAnsi="Times New Roman" w:cs="Times New Roman"/>
          <w:lang w:val="fr-FR"/>
        </w:rPr>
        <w:t>., p. 107 ;</w:t>
      </w:r>
      <w:r w:rsidRPr="00167A1B">
        <w:rPr>
          <w:rFonts w:ascii="Times New Roman" w:hAnsi="Times New Roman" w:cs="Times New Roman"/>
        </w:rPr>
        <w:t xml:space="preserve"> </w:t>
      </w:r>
      <w:r w:rsidRPr="00167A1B">
        <w:rPr>
          <w:rFonts w:ascii="Times New Roman" w:hAnsi="Times New Roman" w:cs="Times New Roman"/>
          <w:lang w:val="fr-FR"/>
        </w:rPr>
        <w:t xml:space="preserve">E. DIRIX, « Art. 47-56. </w:t>
      </w:r>
      <w:proofErr w:type="spellStart"/>
      <w:r w:rsidRPr="00167A1B">
        <w:rPr>
          <w:rFonts w:ascii="Times New Roman" w:hAnsi="Times New Roman" w:cs="Times New Roman"/>
        </w:rPr>
        <w:t>Pandwet</w:t>
      </w:r>
      <w:proofErr w:type="spellEnd"/>
      <w:r w:rsidRPr="00167A1B">
        <w:rPr>
          <w:rFonts w:ascii="Times New Roman" w:hAnsi="Times New Roman" w:cs="Times New Roman"/>
        </w:rPr>
        <w:t xml:space="preserve"> », in E. </w:t>
      </w:r>
      <w:r w:rsidR="000E7259">
        <w:rPr>
          <w:rFonts w:ascii="Times New Roman" w:hAnsi="Times New Roman" w:cs="Times New Roman"/>
        </w:rPr>
        <w:t>DIRIX</w:t>
      </w:r>
      <w:r w:rsidR="00C26B92" w:rsidRPr="00167A1B">
        <w:rPr>
          <w:rFonts w:ascii="Times New Roman" w:hAnsi="Times New Roman" w:cs="Times New Roman"/>
        </w:rPr>
        <w:t xml:space="preserve"> </w:t>
      </w:r>
      <w:r w:rsidRPr="00167A1B">
        <w:rPr>
          <w:rFonts w:ascii="Times New Roman" w:hAnsi="Times New Roman" w:cs="Times New Roman"/>
        </w:rPr>
        <w:t>et al. (</w:t>
      </w:r>
      <w:proofErr w:type="spellStart"/>
      <w:r w:rsidRPr="00167A1B">
        <w:rPr>
          <w:rFonts w:ascii="Times New Roman" w:hAnsi="Times New Roman" w:cs="Times New Roman"/>
        </w:rPr>
        <w:t>dir</w:t>
      </w:r>
      <w:proofErr w:type="spellEnd"/>
      <w:r w:rsidRPr="00167A1B">
        <w:rPr>
          <w:rFonts w:ascii="Times New Roman" w:hAnsi="Times New Roman" w:cs="Times New Roman"/>
        </w:rPr>
        <w:t xml:space="preserve">.), </w:t>
      </w:r>
      <w:proofErr w:type="spellStart"/>
      <w:r w:rsidRPr="00167A1B">
        <w:rPr>
          <w:rFonts w:ascii="Times New Roman" w:hAnsi="Times New Roman" w:cs="Times New Roman"/>
          <w:i/>
          <w:iCs/>
        </w:rPr>
        <w:t>Bijzondere</w:t>
      </w:r>
      <w:proofErr w:type="spellEnd"/>
      <w:r w:rsidRPr="00167A1B">
        <w:rPr>
          <w:rFonts w:ascii="Times New Roman" w:hAnsi="Times New Roman" w:cs="Times New Roman"/>
          <w:i/>
          <w:iCs/>
        </w:rPr>
        <w:t xml:space="preserve"> </w:t>
      </w:r>
      <w:proofErr w:type="spellStart"/>
      <w:r w:rsidRPr="00167A1B">
        <w:rPr>
          <w:rFonts w:ascii="Times New Roman" w:hAnsi="Times New Roman" w:cs="Times New Roman"/>
          <w:i/>
          <w:iCs/>
        </w:rPr>
        <w:t>overeenkomsten</w:t>
      </w:r>
      <w:proofErr w:type="spellEnd"/>
      <w:r w:rsidRPr="00167A1B">
        <w:rPr>
          <w:rFonts w:ascii="Times New Roman" w:hAnsi="Times New Roman" w:cs="Times New Roman"/>
          <w:i/>
          <w:iCs/>
        </w:rPr>
        <w:t xml:space="preserve"> : </w:t>
      </w:r>
      <w:proofErr w:type="spellStart"/>
      <w:r w:rsidRPr="00167A1B">
        <w:rPr>
          <w:rFonts w:ascii="Times New Roman" w:hAnsi="Times New Roman" w:cs="Times New Roman"/>
          <w:i/>
          <w:iCs/>
        </w:rPr>
        <w:t>commentaar</w:t>
      </w:r>
      <w:proofErr w:type="spellEnd"/>
      <w:r w:rsidRPr="00167A1B">
        <w:rPr>
          <w:rFonts w:ascii="Times New Roman" w:hAnsi="Times New Roman" w:cs="Times New Roman"/>
          <w:i/>
          <w:iCs/>
        </w:rPr>
        <w:t xml:space="preserve"> met </w:t>
      </w:r>
      <w:proofErr w:type="spellStart"/>
      <w:r w:rsidRPr="00167A1B">
        <w:rPr>
          <w:rFonts w:ascii="Times New Roman" w:hAnsi="Times New Roman" w:cs="Times New Roman"/>
          <w:i/>
          <w:iCs/>
        </w:rPr>
        <w:t>overzicht</w:t>
      </w:r>
      <w:proofErr w:type="spellEnd"/>
      <w:r w:rsidRPr="00167A1B">
        <w:rPr>
          <w:rFonts w:ascii="Times New Roman" w:hAnsi="Times New Roman" w:cs="Times New Roman"/>
          <w:i/>
          <w:iCs/>
        </w:rPr>
        <w:t xml:space="preserve"> van </w:t>
      </w:r>
      <w:proofErr w:type="spellStart"/>
      <w:r w:rsidRPr="00167A1B">
        <w:rPr>
          <w:rFonts w:ascii="Times New Roman" w:hAnsi="Times New Roman" w:cs="Times New Roman"/>
          <w:i/>
          <w:iCs/>
        </w:rPr>
        <w:t>rechtspraak</w:t>
      </w:r>
      <w:proofErr w:type="spellEnd"/>
      <w:r w:rsidRPr="00167A1B">
        <w:rPr>
          <w:rFonts w:ascii="Times New Roman" w:hAnsi="Times New Roman" w:cs="Times New Roman"/>
          <w:i/>
          <w:iCs/>
        </w:rPr>
        <w:t xml:space="preserve"> en </w:t>
      </w:r>
      <w:proofErr w:type="spellStart"/>
      <w:r w:rsidRPr="00167A1B">
        <w:rPr>
          <w:rFonts w:ascii="Times New Roman" w:hAnsi="Times New Roman" w:cs="Times New Roman"/>
          <w:i/>
          <w:iCs/>
        </w:rPr>
        <w:t>rechstleer</w:t>
      </w:r>
      <w:proofErr w:type="spellEnd"/>
      <w:r w:rsidRPr="00167A1B">
        <w:rPr>
          <w:rFonts w:ascii="Times New Roman" w:hAnsi="Times New Roman" w:cs="Times New Roman"/>
        </w:rPr>
        <w:t xml:space="preserve">, </w:t>
      </w:r>
      <w:proofErr w:type="spellStart"/>
      <w:r w:rsidRPr="00167A1B">
        <w:rPr>
          <w:rFonts w:ascii="Times New Roman" w:hAnsi="Times New Roman" w:cs="Times New Roman"/>
        </w:rPr>
        <w:t>Wolters</w:t>
      </w:r>
      <w:proofErr w:type="spellEnd"/>
      <w:r w:rsidRPr="00167A1B">
        <w:rPr>
          <w:rFonts w:ascii="Times New Roman" w:hAnsi="Times New Roman" w:cs="Times New Roman"/>
        </w:rPr>
        <w:t xml:space="preserve"> Kluwer, 2020, p. 71 ; </w:t>
      </w:r>
      <w:r w:rsidRPr="00167A1B">
        <w:rPr>
          <w:rFonts w:ascii="Times New Roman" w:hAnsi="Times New Roman" w:cs="Times New Roman"/>
          <w:lang w:val="fr-FR"/>
        </w:rPr>
        <w:t xml:space="preserve">I. VEROUGSTRAETE, </w:t>
      </w:r>
      <w:r w:rsidRPr="00167A1B">
        <w:rPr>
          <w:rFonts w:ascii="Times New Roman" w:hAnsi="Times New Roman" w:cs="Times New Roman"/>
          <w:i/>
          <w:iCs/>
          <w:lang w:val="fr-FR"/>
        </w:rPr>
        <w:t>Manuel de la continuité des entreprises et de la faillite</w:t>
      </w:r>
      <w:r w:rsidRPr="00167A1B">
        <w:rPr>
          <w:rFonts w:ascii="Times New Roman" w:hAnsi="Times New Roman" w:cs="Times New Roman"/>
          <w:lang w:val="fr-FR"/>
        </w:rPr>
        <w:t xml:space="preserve">, </w:t>
      </w:r>
      <w:r w:rsidR="009962BE" w:rsidRPr="00167A1B">
        <w:rPr>
          <w:rFonts w:ascii="Times New Roman" w:hAnsi="Times New Roman" w:cs="Times New Roman"/>
          <w:i/>
          <w:iCs/>
          <w:lang w:val="fr-FR"/>
        </w:rPr>
        <w:t>op.cit</w:t>
      </w:r>
      <w:r w:rsidR="009962BE" w:rsidRPr="00167A1B">
        <w:rPr>
          <w:rFonts w:ascii="Times New Roman" w:hAnsi="Times New Roman" w:cs="Times New Roman"/>
          <w:lang w:val="fr-FR"/>
        </w:rPr>
        <w:t xml:space="preserve">., </w:t>
      </w:r>
      <w:r w:rsidRPr="00167A1B">
        <w:rPr>
          <w:rFonts w:ascii="Times New Roman" w:hAnsi="Times New Roman" w:cs="Times New Roman"/>
          <w:lang w:val="fr-FR"/>
        </w:rPr>
        <w:t xml:space="preserve">p. 160 ; J. DEROM, « La procédure de saisie-exécution immobilière versus la procédure d’insolvabilité : </w:t>
      </w:r>
      <w:proofErr w:type="spellStart"/>
      <w:r w:rsidRPr="00167A1B">
        <w:rPr>
          <w:rFonts w:ascii="Times New Roman" w:hAnsi="Times New Roman" w:cs="Times New Roman"/>
          <w:lang w:val="fr-FR"/>
        </w:rPr>
        <w:t>david</w:t>
      </w:r>
      <w:proofErr w:type="spellEnd"/>
      <w:r w:rsidRPr="00167A1B">
        <w:rPr>
          <w:rFonts w:ascii="Times New Roman" w:hAnsi="Times New Roman" w:cs="Times New Roman"/>
          <w:lang w:val="fr-FR"/>
        </w:rPr>
        <w:t xml:space="preserve"> contre Goliath », in A. D</w:t>
      </w:r>
      <w:r w:rsidR="00617B69" w:rsidRPr="00167A1B">
        <w:rPr>
          <w:rFonts w:ascii="Times New Roman" w:hAnsi="Times New Roman" w:cs="Times New Roman"/>
          <w:lang w:val="fr-FR"/>
        </w:rPr>
        <w:t>ESPONTIN</w:t>
      </w:r>
      <w:r w:rsidRPr="00167A1B">
        <w:rPr>
          <w:rFonts w:ascii="Times New Roman" w:hAnsi="Times New Roman" w:cs="Times New Roman"/>
          <w:lang w:val="fr-FR"/>
        </w:rPr>
        <w:t xml:space="preserve"> (</w:t>
      </w:r>
      <w:proofErr w:type="spellStart"/>
      <w:r w:rsidRPr="00167A1B">
        <w:rPr>
          <w:rFonts w:ascii="Times New Roman" w:hAnsi="Times New Roman" w:cs="Times New Roman"/>
          <w:lang w:val="fr-FR"/>
        </w:rPr>
        <w:t>dir</w:t>
      </w:r>
      <w:proofErr w:type="spellEnd"/>
      <w:r w:rsidRPr="00167A1B">
        <w:rPr>
          <w:rFonts w:ascii="Times New Roman" w:hAnsi="Times New Roman" w:cs="Times New Roman"/>
          <w:lang w:val="fr-FR"/>
        </w:rPr>
        <w:t xml:space="preserve">.), </w:t>
      </w:r>
      <w:r w:rsidRPr="00167A1B">
        <w:rPr>
          <w:rFonts w:ascii="Times New Roman" w:hAnsi="Times New Roman" w:cs="Times New Roman"/>
          <w:i/>
          <w:iCs/>
          <w:lang w:val="fr-FR"/>
        </w:rPr>
        <w:t>La réforme du droit de l’insolvabilité et ses conséquences (sur les avocats) : une (r)</w:t>
      </w:r>
      <w:proofErr w:type="gramStart"/>
      <w:r w:rsidRPr="00167A1B">
        <w:rPr>
          <w:rFonts w:ascii="Times New Roman" w:hAnsi="Times New Roman" w:cs="Times New Roman"/>
          <w:i/>
          <w:iCs/>
          <w:lang w:val="fr-FR"/>
        </w:rPr>
        <w:t>évolution</w:t>
      </w:r>
      <w:r w:rsidR="00617B69" w:rsidRPr="00167A1B">
        <w:rPr>
          <w:rFonts w:ascii="Times New Roman" w:hAnsi="Times New Roman" w:cs="Times New Roman"/>
          <w:i/>
          <w:iCs/>
          <w:lang w:val="fr-FR"/>
        </w:rPr>
        <w:t xml:space="preserve"> </w:t>
      </w:r>
      <w:r w:rsidRPr="00167A1B">
        <w:rPr>
          <w:rFonts w:ascii="Times New Roman" w:hAnsi="Times New Roman" w:cs="Times New Roman"/>
          <w:i/>
          <w:iCs/>
          <w:lang w:val="fr-FR"/>
        </w:rPr>
        <w:t>?</w:t>
      </w:r>
      <w:r w:rsidRPr="00167A1B">
        <w:rPr>
          <w:rFonts w:ascii="Times New Roman" w:hAnsi="Times New Roman" w:cs="Times New Roman"/>
          <w:lang w:val="fr-FR"/>
        </w:rPr>
        <w:t>,</w:t>
      </w:r>
      <w:proofErr w:type="gramEnd"/>
      <w:r w:rsidRPr="00167A1B">
        <w:rPr>
          <w:rFonts w:ascii="Times New Roman" w:hAnsi="Times New Roman" w:cs="Times New Roman"/>
          <w:lang w:val="fr-FR"/>
        </w:rPr>
        <w:t xml:space="preserve"> Larcier, 2017, p. 193.</w:t>
      </w:r>
    </w:p>
  </w:footnote>
  <w:footnote w:id="27">
    <w:p w14:paraId="2B1E5346" w14:textId="302039B0" w:rsidR="00CB7E44" w:rsidRPr="00CB7E44" w:rsidRDefault="00CB7E44">
      <w:pPr>
        <w:pStyle w:val="Notedebasdepage"/>
        <w:rPr>
          <w:rFonts w:ascii="Times New Roman" w:hAnsi="Times New Roman" w:cs="Times New Roman"/>
        </w:rPr>
      </w:pPr>
      <w:r w:rsidRPr="00CB7E44">
        <w:rPr>
          <w:rStyle w:val="Appelnotedebasdep"/>
          <w:rFonts w:ascii="Times New Roman" w:hAnsi="Times New Roman" w:cs="Times New Roman"/>
        </w:rPr>
        <w:footnoteRef/>
      </w:r>
      <w:r w:rsidRPr="00CB7E44">
        <w:rPr>
          <w:rFonts w:ascii="Times New Roman" w:hAnsi="Times New Roman" w:cs="Times New Roman"/>
        </w:rPr>
        <w:t xml:space="preserve"> A notre estime, une telle suspension est</w:t>
      </w:r>
      <w:r w:rsidR="00C927FE">
        <w:rPr>
          <w:rFonts w:ascii="Times New Roman" w:hAnsi="Times New Roman" w:cs="Times New Roman"/>
        </w:rPr>
        <w:t xml:space="preserve"> aussi</w:t>
      </w:r>
      <w:r w:rsidRPr="00CB7E44">
        <w:rPr>
          <w:rFonts w:ascii="Times New Roman" w:hAnsi="Times New Roman" w:cs="Times New Roman"/>
        </w:rPr>
        <w:t xml:space="preserve"> de mise en matière immobilière malgré le libellé fort imparfait de l’article XX. 51, § 3, du C.D.E. (Sur ce point, </w:t>
      </w:r>
      <w:proofErr w:type="spellStart"/>
      <w:r w:rsidRPr="00CB7E44">
        <w:rPr>
          <w:rFonts w:ascii="Times New Roman" w:hAnsi="Times New Roman" w:cs="Times New Roman"/>
        </w:rPr>
        <w:t>voy</w:t>
      </w:r>
      <w:proofErr w:type="spellEnd"/>
      <w:r w:rsidRPr="00CB7E44">
        <w:rPr>
          <w:rFonts w:ascii="Times New Roman" w:hAnsi="Times New Roman" w:cs="Times New Roman"/>
        </w:rPr>
        <w:t xml:space="preserve">. </w:t>
      </w:r>
      <w:r w:rsidRPr="00CB7E44">
        <w:rPr>
          <w:rFonts w:ascii="Times New Roman" w:hAnsi="Times New Roman" w:cs="Times New Roman"/>
          <w:lang w:val="fr-FR"/>
        </w:rPr>
        <w:t xml:space="preserve">A. ZENNER, </w:t>
      </w:r>
      <w:r w:rsidRPr="00CB7E44">
        <w:rPr>
          <w:rFonts w:ascii="Times New Roman" w:hAnsi="Times New Roman" w:cs="Times New Roman"/>
          <w:i/>
          <w:iCs/>
          <w:lang w:val="fr-FR"/>
        </w:rPr>
        <w:t>Traité du droit de l’insolvabilité</w:t>
      </w:r>
      <w:r w:rsidRPr="00CB7E44">
        <w:rPr>
          <w:rFonts w:ascii="Times New Roman" w:hAnsi="Times New Roman" w:cs="Times New Roman"/>
          <w:lang w:val="fr-FR"/>
        </w:rPr>
        <w:t xml:space="preserve">, </w:t>
      </w:r>
      <w:r w:rsidRPr="00CB7E44">
        <w:rPr>
          <w:rFonts w:ascii="Times New Roman" w:hAnsi="Times New Roman" w:cs="Times New Roman"/>
          <w:i/>
          <w:iCs/>
          <w:lang w:val="fr-FR"/>
        </w:rPr>
        <w:t>op.cit</w:t>
      </w:r>
      <w:r w:rsidRPr="00CB7E44">
        <w:rPr>
          <w:rFonts w:ascii="Times New Roman" w:hAnsi="Times New Roman" w:cs="Times New Roman"/>
          <w:lang w:val="fr-FR"/>
        </w:rPr>
        <w:t xml:space="preserve">., p. 662 ; N. OUCHINSKY, « L’incidence de l’insolvabilité des entreprises sur les saisies », </w:t>
      </w:r>
      <w:r w:rsidRPr="00CB7E44">
        <w:rPr>
          <w:rFonts w:ascii="Times New Roman" w:hAnsi="Times New Roman" w:cs="Times New Roman"/>
          <w:i/>
          <w:iCs/>
          <w:lang w:val="fr-FR"/>
        </w:rPr>
        <w:t>op.cit..</w:t>
      </w:r>
      <w:r w:rsidRPr="00CB7E44">
        <w:rPr>
          <w:rFonts w:ascii="Times New Roman" w:hAnsi="Times New Roman" w:cs="Times New Roman"/>
          <w:lang w:val="fr-FR"/>
        </w:rPr>
        <w:t>, p. 93).</w:t>
      </w:r>
    </w:p>
  </w:footnote>
  <w:footnote w:id="28">
    <w:p w14:paraId="53A8705A" w14:textId="2ABB2617" w:rsidR="00457C41" w:rsidRPr="00167A1B" w:rsidRDefault="00457C41" w:rsidP="00B5673A">
      <w:pPr>
        <w:pStyle w:val="Notedebasdepage"/>
        <w:jc w:val="both"/>
        <w:rPr>
          <w:rFonts w:ascii="Times New Roman" w:hAnsi="Times New Roman" w:cs="Times New Roman"/>
        </w:rPr>
      </w:pPr>
      <w:r w:rsidRPr="00167A1B">
        <w:rPr>
          <w:rStyle w:val="Appelnotedebasdep"/>
          <w:rFonts w:ascii="Times New Roman" w:hAnsi="Times New Roman" w:cs="Times New Roman"/>
        </w:rPr>
        <w:footnoteRef/>
      </w:r>
      <w:r w:rsidRPr="00167A1B">
        <w:rPr>
          <w:rFonts w:ascii="Times New Roman" w:hAnsi="Times New Roman" w:cs="Times New Roman"/>
        </w:rPr>
        <w:t xml:space="preserve"> A. ZENNER, </w:t>
      </w:r>
      <w:r w:rsidR="00441E7A" w:rsidRPr="00167A1B">
        <w:rPr>
          <w:rFonts w:ascii="Times New Roman" w:hAnsi="Times New Roman" w:cs="Times New Roman"/>
          <w:i/>
          <w:iCs/>
        </w:rPr>
        <w:t>ibid.</w:t>
      </w:r>
      <w:r w:rsidRPr="00167A1B">
        <w:rPr>
          <w:rFonts w:ascii="Times New Roman" w:hAnsi="Times New Roman" w:cs="Times New Roman"/>
        </w:rPr>
        <w:t xml:space="preserve">, p. 658. </w:t>
      </w:r>
    </w:p>
  </w:footnote>
  <w:footnote w:id="29">
    <w:p w14:paraId="76DFEAEE" w14:textId="1DB2A9B8" w:rsidR="004367EC" w:rsidRPr="00B06F42"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Le critère de progression dans la procédure de saisie diffère de celui applicable en cas de faillit</w:t>
      </w:r>
      <w:r w:rsidR="00FE5EED" w:rsidRPr="00167A1B">
        <w:rPr>
          <w:rFonts w:ascii="Times New Roman" w:hAnsi="Times New Roman" w:cs="Times New Roman"/>
          <w:lang w:val="fr-FR"/>
        </w:rPr>
        <w:t>e ; ceci est justifié dans un objectif de maximisation des chances de succès de la procédure en réorganisation</w:t>
      </w:r>
      <w:r w:rsidRPr="00167A1B">
        <w:rPr>
          <w:rFonts w:ascii="Times New Roman" w:hAnsi="Times New Roman" w:cs="Times New Roman"/>
          <w:lang w:val="fr-FR"/>
        </w:rPr>
        <w:t xml:space="preserve"> (</w:t>
      </w:r>
      <w:r w:rsidR="000233E8" w:rsidRPr="00167A1B">
        <w:rPr>
          <w:rFonts w:ascii="Times New Roman" w:hAnsi="Times New Roman" w:cs="Times New Roman"/>
          <w:lang w:val="fr-FR"/>
        </w:rPr>
        <w:t xml:space="preserve">Exposé des motifs précité, </w:t>
      </w:r>
      <w:r w:rsidR="000233E8" w:rsidRPr="00167A1B">
        <w:rPr>
          <w:rFonts w:ascii="Times New Roman" w:hAnsi="Times New Roman" w:cs="Times New Roman"/>
          <w:i/>
          <w:iCs/>
          <w:lang w:val="fr-FR"/>
        </w:rPr>
        <w:t>Doc</w:t>
      </w:r>
      <w:r w:rsidR="000233E8" w:rsidRPr="00167A1B">
        <w:rPr>
          <w:rFonts w:ascii="Times New Roman" w:hAnsi="Times New Roman" w:cs="Times New Roman"/>
          <w:lang w:val="fr-FR"/>
        </w:rPr>
        <w:t xml:space="preserve">. </w:t>
      </w:r>
      <w:proofErr w:type="spellStart"/>
      <w:r w:rsidR="000233E8" w:rsidRPr="00167A1B">
        <w:rPr>
          <w:rFonts w:ascii="Times New Roman" w:hAnsi="Times New Roman" w:cs="Times New Roman"/>
        </w:rPr>
        <w:t>Parl</w:t>
      </w:r>
      <w:proofErr w:type="spellEnd"/>
      <w:r w:rsidR="000233E8" w:rsidRPr="00167A1B">
        <w:rPr>
          <w:rFonts w:ascii="Times New Roman" w:hAnsi="Times New Roman" w:cs="Times New Roman"/>
        </w:rPr>
        <w:t xml:space="preserve">., Ch. </w:t>
      </w:r>
      <w:proofErr w:type="spellStart"/>
      <w:r w:rsidR="000233E8" w:rsidRPr="00167A1B">
        <w:rPr>
          <w:rFonts w:ascii="Times New Roman" w:hAnsi="Times New Roman" w:cs="Times New Roman"/>
        </w:rPr>
        <w:t>repr</w:t>
      </w:r>
      <w:proofErr w:type="spellEnd"/>
      <w:r w:rsidR="000233E8" w:rsidRPr="00167A1B">
        <w:rPr>
          <w:rFonts w:ascii="Times New Roman" w:hAnsi="Times New Roman" w:cs="Times New Roman"/>
        </w:rPr>
        <w:t>. 2016-2017, n°54-2407/001, p. 58</w:t>
      </w:r>
      <w:r w:rsidRPr="00167A1B">
        <w:rPr>
          <w:rFonts w:ascii="Times New Roman" w:hAnsi="Times New Roman" w:cs="Times New Roman"/>
          <w:lang w:val="fr-FR"/>
        </w:rPr>
        <w:t xml:space="preserve">). </w:t>
      </w:r>
      <w:r w:rsidR="00E81B40" w:rsidRPr="00CB7E44">
        <w:rPr>
          <w:rFonts w:ascii="Times New Roman" w:hAnsi="Times New Roman" w:cs="Times New Roman"/>
        </w:rPr>
        <w:t>Le terme de</w:t>
      </w:r>
      <w:r w:rsidR="00E81B40">
        <w:rPr>
          <w:rFonts w:ascii="Times New Roman" w:hAnsi="Times New Roman" w:cs="Times New Roman"/>
        </w:rPr>
        <w:t> :</w:t>
      </w:r>
      <w:r w:rsidR="00E81B40" w:rsidRPr="00CB7E44">
        <w:rPr>
          <w:rFonts w:ascii="Times New Roman" w:hAnsi="Times New Roman" w:cs="Times New Roman"/>
        </w:rPr>
        <w:t xml:space="preserve"> « jour fixé pour procéder à la vente » est</w:t>
      </w:r>
      <w:r w:rsidR="00C927FE">
        <w:rPr>
          <w:rFonts w:ascii="Times New Roman" w:hAnsi="Times New Roman" w:cs="Times New Roman"/>
        </w:rPr>
        <w:t xml:space="preserve"> désormais</w:t>
      </w:r>
      <w:r w:rsidR="00B06F42">
        <w:rPr>
          <w:rFonts w:ascii="Times New Roman" w:hAnsi="Times New Roman" w:cs="Times New Roman"/>
        </w:rPr>
        <w:t xml:space="preserve"> peu </w:t>
      </w:r>
      <w:r w:rsidR="00E81B40" w:rsidRPr="00CB7E44">
        <w:rPr>
          <w:rFonts w:ascii="Times New Roman" w:hAnsi="Times New Roman" w:cs="Times New Roman"/>
        </w:rPr>
        <w:t>clair</w:t>
      </w:r>
      <w:r w:rsidR="00C927FE">
        <w:rPr>
          <w:rFonts w:ascii="Times New Roman" w:hAnsi="Times New Roman" w:cs="Times New Roman"/>
        </w:rPr>
        <w:t xml:space="preserve">, </w:t>
      </w:r>
      <w:r w:rsidR="00E81B40" w:rsidRPr="00CB7E44">
        <w:rPr>
          <w:rFonts w:ascii="Times New Roman" w:hAnsi="Times New Roman" w:cs="Times New Roman"/>
        </w:rPr>
        <w:t>au regard des ventes publiques dématérialisées</w:t>
      </w:r>
      <w:r w:rsidR="003E3131">
        <w:rPr>
          <w:rFonts w:ascii="Times New Roman" w:hAnsi="Times New Roman" w:cs="Times New Roman"/>
        </w:rPr>
        <w:t xml:space="preserve">. L’on pourrait considérer, </w:t>
      </w:r>
      <w:r w:rsidR="00E81B40">
        <w:rPr>
          <w:rFonts w:ascii="Times New Roman" w:hAnsi="Times New Roman" w:cs="Times New Roman"/>
        </w:rPr>
        <w:t xml:space="preserve">que ce jour </w:t>
      </w:r>
      <w:r w:rsidR="00E81B40" w:rsidRPr="00CB7E44">
        <w:rPr>
          <w:rFonts w:ascii="Times New Roman" w:hAnsi="Times New Roman" w:cs="Times New Roman"/>
        </w:rPr>
        <w:t>soit celui intervenant, au plus tard, dix jours ouvrables après le moment où les enchères ont été clôturées</w:t>
      </w:r>
      <w:r w:rsidR="00C927FE">
        <w:rPr>
          <w:rFonts w:ascii="Times New Roman" w:hAnsi="Times New Roman" w:cs="Times New Roman"/>
        </w:rPr>
        <w:t xml:space="preserve"> (article 1587, al. 2, du C. </w:t>
      </w:r>
      <w:proofErr w:type="spellStart"/>
      <w:r w:rsidR="00C927FE">
        <w:rPr>
          <w:rFonts w:ascii="Times New Roman" w:hAnsi="Times New Roman" w:cs="Times New Roman"/>
        </w:rPr>
        <w:t>Jud</w:t>
      </w:r>
      <w:proofErr w:type="spellEnd"/>
      <w:r w:rsidR="00C927FE">
        <w:rPr>
          <w:rFonts w:ascii="Times New Roman" w:hAnsi="Times New Roman" w:cs="Times New Roman"/>
        </w:rPr>
        <w:t>.).</w:t>
      </w:r>
    </w:p>
  </w:footnote>
  <w:footnote w:id="30">
    <w:p w14:paraId="0744B030" w14:textId="639D0A5F" w:rsidR="004367EC" w:rsidRPr="00167A1B" w:rsidRDefault="00E8092E" w:rsidP="00B5673A">
      <w:pPr>
        <w:pStyle w:val="Notedebasdepage"/>
        <w:jc w:val="both"/>
        <w:rPr>
          <w:rFonts w:ascii="Times New Roman" w:hAnsi="Times New Roman" w:cs="Times New Roman"/>
          <w:i/>
          <w:iCs/>
          <w:lang w:val="fr-FR"/>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G. DE LEVAL, </w:t>
      </w:r>
      <w:r w:rsidRPr="00167A1B">
        <w:rPr>
          <w:rFonts w:ascii="Times New Roman" w:hAnsi="Times New Roman" w:cs="Times New Roman"/>
          <w:i/>
          <w:iCs/>
          <w:lang w:val="fr-FR"/>
        </w:rPr>
        <w:t>L’ordre</w:t>
      </w:r>
      <w:r w:rsidRPr="00167A1B">
        <w:rPr>
          <w:rFonts w:ascii="Times New Roman" w:hAnsi="Times New Roman" w:cs="Times New Roman"/>
          <w:lang w:val="fr-FR"/>
        </w:rPr>
        <w:t xml:space="preserve">, </w:t>
      </w:r>
      <w:r w:rsidR="00116E14" w:rsidRPr="00167A1B">
        <w:rPr>
          <w:rFonts w:ascii="Times New Roman" w:hAnsi="Times New Roman" w:cs="Times New Roman"/>
          <w:lang w:val="fr-FR"/>
        </w:rPr>
        <w:t>T</w:t>
      </w:r>
      <w:r w:rsidRPr="00167A1B">
        <w:rPr>
          <w:rFonts w:ascii="Times New Roman" w:hAnsi="Times New Roman" w:cs="Times New Roman"/>
          <w:lang w:val="fr-FR"/>
        </w:rPr>
        <w:t xml:space="preserve">iré à part du répertoire notarial, </w:t>
      </w:r>
      <w:proofErr w:type="spellStart"/>
      <w:r w:rsidRPr="00D969FC">
        <w:rPr>
          <w:rFonts w:ascii="Times New Roman" w:hAnsi="Times New Roman" w:cs="Times New Roman"/>
          <w:color w:val="000000" w:themeColor="text1"/>
          <w:lang w:val="fr-FR"/>
        </w:rPr>
        <w:t>Larcier</w:t>
      </w:r>
      <w:proofErr w:type="spellEnd"/>
      <w:r w:rsidRPr="00D969FC">
        <w:rPr>
          <w:rFonts w:ascii="Times New Roman" w:hAnsi="Times New Roman" w:cs="Times New Roman"/>
          <w:color w:val="000000" w:themeColor="text1"/>
          <w:lang w:val="fr-FR"/>
        </w:rPr>
        <w:t xml:space="preserve">, 2020, </w:t>
      </w:r>
      <w:proofErr w:type="spellStart"/>
      <w:r w:rsidRPr="00D969FC">
        <w:rPr>
          <w:rFonts w:ascii="Times New Roman" w:hAnsi="Times New Roman" w:cs="Times New Roman"/>
          <w:color w:val="000000" w:themeColor="text1"/>
          <w:lang w:val="fr-FR"/>
        </w:rPr>
        <w:t>spéc</w:t>
      </w:r>
      <w:proofErr w:type="spellEnd"/>
      <w:r w:rsidRPr="00167A1B">
        <w:rPr>
          <w:rFonts w:ascii="Times New Roman" w:hAnsi="Times New Roman" w:cs="Times New Roman"/>
          <w:lang w:val="fr-FR"/>
        </w:rPr>
        <w:t>. p. 62. Les ventes visées aux articles XX.44, §</w:t>
      </w:r>
      <w:r w:rsidR="001C75FD" w:rsidRPr="00167A1B">
        <w:rPr>
          <w:rFonts w:ascii="Times New Roman" w:hAnsi="Times New Roman" w:cs="Times New Roman"/>
          <w:lang w:val="fr-FR"/>
        </w:rPr>
        <w:t xml:space="preserve"> </w:t>
      </w:r>
      <w:r w:rsidRPr="00167A1B">
        <w:rPr>
          <w:rFonts w:ascii="Times New Roman" w:hAnsi="Times New Roman" w:cs="Times New Roman"/>
          <w:lang w:val="fr-FR"/>
        </w:rPr>
        <w:t>3, XX.44, §</w:t>
      </w:r>
      <w:r w:rsidR="001C75FD" w:rsidRPr="00167A1B">
        <w:rPr>
          <w:rFonts w:ascii="Times New Roman" w:hAnsi="Times New Roman" w:cs="Times New Roman"/>
          <w:lang w:val="fr-FR"/>
        </w:rPr>
        <w:t xml:space="preserve"> </w:t>
      </w:r>
      <w:r w:rsidRPr="00167A1B">
        <w:rPr>
          <w:rFonts w:ascii="Times New Roman" w:hAnsi="Times New Roman" w:cs="Times New Roman"/>
          <w:lang w:val="fr-FR"/>
        </w:rPr>
        <w:t>4, XX.51, §</w:t>
      </w:r>
      <w:r w:rsidR="001C75FD" w:rsidRPr="00167A1B">
        <w:rPr>
          <w:rFonts w:ascii="Times New Roman" w:hAnsi="Times New Roman" w:cs="Times New Roman"/>
          <w:lang w:val="fr-FR"/>
        </w:rPr>
        <w:t xml:space="preserve"> </w:t>
      </w:r>
      <w:r w:rsidRPr="00167A1B">
        <w:rPr>
          <w:rFonts w:ascii="Times New Roman" w:hAnsi="Times New Roman" w:cs="Times New Roman"/>
          <w:lang w:val="fr-FR"/>
        </w:rPr>
        <w:t>3, XX. 51, §</w:t>
      </w:r>
      <w:r w:rsidR="001C75FD" w:rsidRPr="00167A1B">
        <w:rPr>
          <w:rFonts w:ascii="Times New Roman" w:hAnsi="Times New Roman" w:cs="Times New Roman"/>
          <w:lang w:val="fr-FR"/>
        </w:rPr>
        <w:t xml:space="preserve"> </w:t>
      </w:r>
      <w:r w:rsidRPr="00167A1B">
        <w:rPr>
          <w:rFonts w:ascii="Times New Roman" w:hAnsi="Times New Roman" w:cs="Times New Roman"/>
          <w:lang w:val="fr-FR"/>
        </w:rPr>
        <w:t>4, XX.120, §</w:t>
      </w:r>
      <w:r w:rsidR="001C75FD" w:rsidRPr="00167A1B">
        <w:rPr>
          <w:rFonts w:ascii="Times New Roman" w:hAnsi="Times New Roman" w:cs="Times New Roman"/>
          <w:lang w:val="fr-FR"/>
        </w:rPr>
        <w:t xml:space="preserve"> </w:t>
      </w:r>
      <w:r w:rsidRPr="00167A1B">
        <w:rPr>
          <w:rFonts w:ascii="Times New Roman" w:hAnsi="Times New Roman" w:cs="Times New Roman"/>
          <w:lang w:val="fr-FR"/>
        </w:rPr>
        <w:t>1</w:t>
      </w:r>
      <w:r w:rsidRPr="00D969FC">
        <w:rPr>
          <w:rFonts w:ascii="Times New Roman" w:hAnsi="Times New Roman" w:cs="Times New Roman"/>
          <w:vertAlign w:val="superscript"/>
          <w:lang w:val="fr-FR"/>
        </w:rPr>
        <w:t>er</w:t>
      </w:r>
      <w:r w:rsidRPr="00167A1B">
        <w:rPr>
          <w:rFonts w:ascii="Times New Roman" w:hAnsi="Times New Roman" w:cs="Times New Roman"/>
          <w:lang w:val="fr-FR"/>
        </w:rPr>
        <w:t>, al. 3 et XX.120, §</w:t>
      </w:r>
      <w:r w:rsidR="001C75FD" w:rsidRPr="00167A1B">
        <w:rPr>
          <w:rFonts w:ascii="Times New Roman" w:hAnsi="Times New Roman" w:cs="Times New Roman"/>
          <w:lang w:val="fr-FR"/>
        </w:rPr>
        <w:t xml:space="preserve"> </w:t>
      </w:r>
      <w:r w:rsidRPr="00167A1B">
        <w:rPr>
          <w:rFonts w:ascii="Times New Roman" w:hAnsi="Times New Roman" w:cs="Times New Roman"/>
          <w:lang w:val="fr-FR"/>
        </w:rPr>
        <w:t>2 du C.D.E. font toutes l’objet d’une procédure d’ordre allégé</w:t>
      </w:r>
      <w:r w:rsidR="00476BAE" w:rsidRPr="00167A1B">
        <w:rPr>
          <w:rFonts w:ascii="Times New Roman" w:hAnsi="Times New Roman" w:cs="Times New Roman"/>
          <w:lang w:val="fr-FR"/>
        </w:rPr>
        <w:t xml:space="preserve"> (en cas d</w:t>
      </w:r>
      <w:r w:rsidR="009962BE" w:rsidRPr="00167A1B">
        <w:rPr>
          <w:rFonts w:ascii="Times New Roman" w:hAnsi="Times New Roman" w:cs="Times New Roman"/>
          <w:lang w:val="fr-FR"/>
        </w:rPr>
        <w:t>’intervention d’un</w:t>
      </w:r>
      <w:r w:rsidR="00476BAE" w:rsidRPr="00167A1B">
        <w:rPr>
          <w:rFonts w:ascii="Times New Roman" w:hAnsi="Times New Roman" w:cs="Times New Roman"/>
          <w:lang w:val="fr-FR"/>
        </w:rPr>
        <w:t xml:space="preserve"> mandataire de justice)</w:t>
      </w:r>
      <w:r w:rsidRPr="00167A1B">
        <w:rPr>
          <w:rFonts w:ascii="Times New Roman" w:hAnsi="Times New Roman" w:cs="Times New Roman"/>
          <w:lang w:val="fr-FR"/>
        </w:rPr>
        <w:t xml:space="preserve"> et ont un caractère purgeant (article</w:t>
      </w:r>
      <w:r w:rsidR="00C26B92" w:rsidRPr="00167A1B">
        <w:rPr>
          <w:rFonts w:ascii="Times New Roman" w:hAnsi="Times New Roman" w:cs="Times New Roman"/>
          <w:lang w:val="fr-FR"/>
        </w:rPr>
        <w:t>s</w:t>
      </w:r>
      <w:r w:rsidRPr="00167A1B">
        <w:rPr>
          <w:rFonts w:ascii="Times New Roman" w:hAnsi="Times New Roman" w:cs="Times New Roman"/>
          <w:lang w:val="fr-FR"/>
        </w:rPr>
        <w:t xml:space="preserve"> 1326 </w:t>
      </w:r>
      <w:proofErr w:type="spellStart"/>
      <w:r w:rsidRPr="00167A1B">
        <w:rPr>
          <w:rFonts w:ascii="Times New Roman" w:hAnsi="Times New Roman" w:cs="Times New Roman"/>
          <w:i/>
          <w:iCs/>
          <w:lang w:val="fr-FR"/>
        </w:rPr>
        <w:t>jo</w:t>
      </w:r>
      <w:proofErr w:type="spellEnd"/>
      <w:r w:rsidRPr="00167A1B">
        <w:rPr>
          <w:rFonts w:ascii="Times New Roman" w:hAnsi="Times New Roman" w:cs="Times New Roman"/>
          <w:lang w:val="fr-FR"/>
        </w:rPr>
        <w:t xml:space="preserve">. 1580, 1580 bis et 1580 ter du C. </w:t>
      </w:r>
      <w:proofErr w:type="spellStart"/>
      <w:r w:rsidRPr="00167A1B">
        <w:rPr>
          <w:rFonts w:ascii="Times New Roman" w:hAnsi="Times New Roman" w:cs="Times New Roman"/>
          <w:lang w:val="fr-FR"/>
        </w:rPr>
        <w:t>Jud</w:t>
      </w:r>
      <w:proofErr w:type="spellEnd"/>
      <w:r w:rsidRPr="00167A1B">
        <w:rPr>
          <w:rFonts w:ascii="Times New Roman" w:hAnsi="Times New Roman" w:cs="Times New Roman"/>
          <w:lang w:val="fr-FR"/>
        </w:rPr>
        <w:t xml:space="preserve">.). Sur la définition et la raison d’être de la purge, </w:t>
      </w:r>
      <w:proofErr w:type="spellStart"/>
      <w:r w:rsidRPr="00167A1B">
        <w:rPr>
          <w:rFonts w:ascii="Times New Roman" w:hAnsi="Times New Roman" w:cs="Times New Roman"/>
          <w:lang w:val="fr-FR"/>
        </w:rPr>
        <w:t>voy</w:t>
      </w:r>
      <w:proofErr w:type="spellEnd"/>
      <w:r w:rsidRPr="00167A1B">
        <w:rPr>
          <w:rFonts w:ascii="Times New Roman" w:hAnsi="Times New Roman" w:cs="Times New Roman"/>
          <w:lang w:val="fr-FR"/>
        </w:rPr>
        <w:t xml:space="preserve">. G. DE LEVAL, </w:t>
      </w:r>
      <w:r w:rsidRPr="00167A1B">
        <w:rPr>
          <w:rFonts w:ascii="Times New Roman" w:hAnsi="Times New Roman" w:cs="Times New Roman"/>
          <w:i/>
          <w:iCs/>
          <w:lang w:val="fr-FR"/>
        </w:rPr>
        <w:t>ibid</w:t>
      </w:r>
      <w:r w:rsidRPr="00167A1B">
        <w:rPr>
          <w:rFonts w:ascii="Times New Roman" w:hAnsi="Times New Roman" w:cs="Times New Roman"/>
          <w:lang w:val="fr-FR"/>
        </w:rPr>
        <w:t xml:space="preserve">., pp. 51 et s. </w:t>
      </w:r>
      <w:r w:rsidR="00D838A3" w:rsidRPr="00167A1B">
        <w:rPr>
          <w:rFonts w:ascii="Times New Roman" w:hAnsi="Times New Roman" w:cs="Times New Roman"/>
          <w:lang w:val="fr-FR"/>
        </w:rPr>
        <w:t xml:space="preserve">S’il s’agit d’une réorganisation judiciaire sans transfert, il appartiendra aussi au notaire de régler les créanciers hypothécaires et privilégiés spéciaux. </w:t>
      </w:r>
      <w:r w:rsidR="00A776E9" w:rsidRPr="00167A1B">
        <w:rPr>
          <w:rFonts w:ascii="Times New Roman" w:hAnsi="Times New Roman" w:cs="Times New Roman"/>
          <w:lang w:val="fr-FR"/>
        </w:rPr>
        <w:t xml:space="preserve">Encore une fois, </w:t>
      </w:r>
      <w:r w:rsidR="00D838A3" w:rsidRPr="00167A1B">
        <w:rPr>
          <w:rFonts w:ascii="Times New Roman" w:hAnsi="Times New Roman" w:cs="Times New Roman"/>
          <w:lang w:val="fr-FR"/>
        </w:rPr>
        <w:t xml:space="preserve">la position des créanciers chirographaires et privilégiés généraux est éludée dès lors que le solde est remis au débiteur. </w:t>
      </w:r>
    </w:p>
  </w:footnote>
  <w:footnote w:id="31">
    <w:p w14:paraId="2202D0F4" w14:textId="31695C27" w:rsidR="004367EC" w:rsidRPr="00167A1B" w:rsidRDefault="00E8092E" w:rsidP="00B5673A">
      <w:pPr>
        <w:pStyle w:val="Notedebasdepage"/>
        <w:jc w:val="both"/>
        <w:rPr>
          <w:rFonts w:ascii="Times New Roman" w:eastAsia="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lang w:val="fr-FR"/>
        </w:rPr>
        <w:t xml:space="preserve"> L’article XX.44, §3 du C.D.E. dispose : « </w:t>
      </w:r>
      <w:r w:rsidRPr="00167A1B">
        <w:rPr>
          <w:rFonts w:ascii="Times New Roman" w:hAnsi="Times New Roman" w:cs="Times New Roman"/>
          <w:i/>
          <w:iCs/>
          <w:lang w:val="fr-FR"/>
        </w:rPr>
        <w:t xml:space="preserve">1° à la demande expresse du débiteur dans sa requête en réorganisation judiciaire, le tribunal prononce la suspension des opérations de vente forcée, préalablement ou conjointement à la décision prononçant l’ouverture de la procédure de réorganisation judiciaire, après avoir étendu le juge délégué en son rapport, ainsi que les créanciers hypothécaires (et) privilégiés inscrits, le créancier saisissant et le débiteur ; la demande en suspension de la vente n’a pas d’effet suspensif ; les frais réels exposés par le notaire dans le cadre de la vente forcée, entre sa désignation et le dépôt de la requête en réorganisation judiciaire, sont à charge du débiteur ; </w:t>
      </w:r>
    </w:p>
    <w:p w14:paraId="6116F861" w14:textId="77777777" w:rsidR="004367EC" w:rsidRPr="00167A1B" w:rsidRDefault="00E8092E" w:rsidP="00B5673A">
      <w:pPr>
        <w:pStyle w:val="Notedebasdepage"/>
        <w:jc w:val="both"/>
        <w:rPr>
          <w:rFonts w:ascii="Times New Roman" w:eastAsia="Times New Roman" w:hAnsi="Times New Roman" w:cs="Times New Roman"/>
          <w:i/>
          <w:iCs/>
        </w:rPr>
      </w:pPr>
      <w:r w:rsidRPr="00167A1B">
        <w:rPr>
          <w:rFonts w:ascii="Times New Roman" w:hAnsi="Times New Roman" w:cs="Times New Roman"/>
          <w:i/>
          <w:iCs/>
          <w:lang w:val="fr-FR"/>
        </w:rPr>
        <w:t xml:space="preserve">2° un montant correspondant à ces frais est versé en l’étude d’un huissier de justice ; </w:t>
      </w:r>
    </w:p>
    <w:p w14:paraId="494395FA" w14:textId="68E7E017" w:rsidR="004367EC" w:rsidRPr="00167A1B" w:rsidRDefault="00E8092E" w:rsidP="00B5673A">
      <w:pPr>
        <w:pStyle w:val="Notedebasdepage"/>
        <w:jc w:val="both"/>
        <w:rPr>
          <w:rFonts w:ascii="Times New Roman" w:hAnsi="Times New Roman" w:cs="Times New Roman"/>
        </w:rPr>
      </w:pPr>
      <w:r w:rsidRPr="00167A1B">
        <w:rPr>
          <w:rFonts w:ascii="Times New Roman" w:hAnsi="Times New Roman" w:cs="Times New Roman"/>
          <w:i/>
          <w:iCs/>
          <w:lang w:val="fr-FR"/>
        </w:rPr>
        <w:t>3° l’huissier en informe immédiatement par exploit le notaire</w:t>
      </w:r>
      <w:r w:rsidRPr="00167A1B">
        <w:rPr>
          <w:rFonts w:ascii="Times New Roman" w:hAnsi="Times New Roman" w:cs="Times New Roman"/>
          <w:lang w:val="fr-FR"/>
        </w:rPr>
        <w:t xml:space="preserve"> ». </w:t>
      </w:r>
    </w:p>
  </w:footnote>
  <w:footnote w:id="32">
    <w:p w14:paraId="1E63584F" w14:textId="7098F797" w:rsidR="001711D8" w:rsidRPr="00167A1B" w:rsidRDefault="001711D8" w:rsidP="00B5673A">
      <w:pPr>
        <w:pStyle w:val="Notedebasdepage"/>
        <w:jc w:val="both"/>
        <w:rPr>
          <w:rFonts w:ascii="Times New Roman" w:hAnsi="Times New Roman" w:cs="Times New Roman"/>
          <w:lang w:val="fr-FR"/>
        </w:rPr>
      </w:pPr>
      <w:r w:rsidRPr="00167A1B">
        <w:rPr>
          <w:rStyle w:val="Appelnotedebasdep"/>
          <w:rFonts w:ascii="Times New Roman" w:hAnsi="Times New Roman" w:cs="Times New Roman"/>
        </w:rPr>
        <w:footnoteRef/>
      </w:r>
      <w:r w:rsidRPr="00167A1B">
        <w:rPr>
          <w:rFonts w:ascii="Times New Roman" w:hAnsi="Times New Roman" w:cs="Times New Roman"/>
        </w:rPr>
        <w:t xml:space="preserve"> </w:t>
      </w:r>
      <w:r w:rsidRPr="00167A1B">
        <w:rPr>
          <w:rFonts w:ascii="Times New Roman" w:hAnsi="Times New Roman" w:cs="Times New Roman"/>
          <w:lang w:val="fr-FR"/>
        </w:rPr>
        <w:t>Cette obligation d’information fait écho à une solution</w:t>
      </w:r>
      <w:r w:rsidR="00523A08" w:rsidRPr="00167A1B">
        <w:rPr>
          <w:rFonts w:ascii="Times New Roman" w:hAnsi="Times New Roman" w:cs="Times New Roman"/>
          <w:lang w:val="fr-FR"/>
        </w:rPr>
        <w:t xml:space="preserve">, tirée de la pratique, </w:t>
      </w:r>
      <w:r w:rsidRPr="00167A1B">
        <w:rPr>
          <w:rFonts w:ascii="Times New Roman" w:hAnsi="Times New Roman" w:cs="Times New Roman"/>
          <w:lang w:val="fr-FR"/>
        </w:rPr>
        <w:t>qui considérait que si le débiteur n’informait pas le créancier saisissant et le notaire du dépôt de la requête en réorganisation, il ne pouvait plus requérir l’annulation de l’adjudication qui avait lieu dans le cadre de la saisie (</w:t>
      </w:r>
      <w:r w:rsidR="000233E8" w:rsidRPr="00167A1B">
        <w:rPr>
          <w:rFonts w:ascii="Times New Roman" w:hAnsi="Times New Roman" w:cs="Times New Roman"/>
          <w:lang w:val="fr-FR"/>
        </w:rPr>
        <w:t xml:space="preserve">Exposé des motifs précité, </w:t>
      </w:r>
      <w:r w:rsidR="000233E8" w:rsidRPr="00167A1B">
        <w:rPr>
          <w:rFonts w:ascii="Times New Roman" w:hAnsi="Times New Roman" w:cs="Times New Roman"/>
          <w:i/>
          <w:iCs/>
          <w:lang w:val="fr-FR"/>
        </w:rPr>
        <w:t>Doc</w:t>
      </w:r>
      <w:r w:rsidR="000233E8" w:rsidRPr="00167A1B">
        <w:rPr>
          <w:rFonts w:ascii="Times New Roman" w:hAnsi="Times New Roman" w:cs="Times New Roman"/>
          <w:lang w:val="fr-FR"/>
        </w:rPr>
        <w:t xml:space="preserve">. </w:t>
      </w:r>
      <w:proofErr w:type="spellStart"/>
      <w:r w:rsidR="000233E8" w:rsidRPr="00167A1B">
        <w:rPr>
          <w:rFonts w:ascii="Times New Roman" w:hAnsi="Times New Roman" w:cs="Times New Roman"/>
        </w:rPr>
        <w:t>Parl</w:t>
      </w:r>
      <w:proofErr w:type="spellEnd"/>
      <w:r w:rsidR="000233E8" w:rsidRPr="00167A1B">
        <w:rPr>
          <w:rFonts w:ascii="Times New Roman" w:hAnsi="Times New Roman" w:cs="Times New Roman"/>
        </w:rPr>
        <w:t xml:space="preserve">., Ch. </w:t>
      </w:r>
      <w:proofErr w:type="spellStart"/>
      <w:r w:rsidR="000233E8" w:rsidRPr="00167A1B">
        <w:rPr>
          <w:rFonts w:ascii="Times New Roman" w:hAnsi="Times New Roman" w:cs="Times New Roman"/>
        </w:rPr>
        <w:t>repr</w:t>
      </w:r>
      <w:proofErr w:type="spellEnd"/>
      <w:r w:rsidR="000233E8" w:rsidRPr="00167A1B">
        <w:rPr>
          <w:rFonts w:ascii="Times New Roman" w:hAnsi="Times New Roman" w:cs="Times New Roman"/>
        </w:rPr>
        <w:t>. 2016-2017, n°54-2407/001, pp. 59, 60 et 65</w:t>
      </w:r>
      <w:r w:rsidRPr="00167A1B">
        <w:rPr>
          <w:rFonts w:ascii="Times New Roman" w:hAnsi="Times New Roman" w:cs="Times New Roman"/>
          <w:lang w:val="fr-FR"/>
        </w:rPr>
        <w:t> ; N. OUCHIN</w:t>
      </w:r>
      <w:r w:rsidR="001C7054" w:rsidRPr="00167A1B">
        <w:rPr>
          <w:rFonts w:ascii="Times New Roman" w:hAnsi="Times New Roman" w:cs="Times New Roman"/>
          <w:lang w:val="fr-FR"/>
        </w:rPr>
        <w:t xml:space="preserve">SKY, « Analyse des nouveaux moyens d’action des créanciers dans le cadre d’une procédure en réorganisation judiciaire. Questions choisies », </w:t>
      </w:r>
      <w:r w:rsidR="001C7054" w:rsidRPr="00167A1B">
        <w:rPr>
          <w:rFonts w:ascii="Times New Roman" w:hAnsi="Times New Roman" w:cs="Times New Roman"/>
          <w:i/>
          <w:iCs/>
          <w:lang w:val="fr-FR"/>
        </w:rPr>
        <w:t>op.cit</w:t>
      </w:r>
      <w:r w:rsidR="001C7054" w:rsidRPr="00167A1B">
        <w:rPr>
          <w:rFonts w:ascii="Times New Roman" w:hAnsi="Times New Roman" w:cs="Times New Roman"/>
          <w:lang w:val="fr-FR"/>
        </w:rPr>
        <w:t>., p. 94)</w:t>
      </w:r>
    </w:p>
  </w:footnote>
  <w:footnote w:id="33">
    <w:p w14:paraId="0A587254" w14:textId="13CE99EC"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G. D</w:t>
      </w:r>
      <w:r w:rsidR="00523A08" w:rsidRPr="00167A1B">
        <w:rPr>
          <w:rFonts w:ascii="Times New Roman" w:hAnsi="Times New Roman" w:cs="Times New Roman"/>
          <w:lang w:val="fr-FR"/>
        </w:rPr>
        <w:t>E LEVAL</w:t>
      </w:r>
      <w:r w:rsidRPr="00167A1B">
        <w:rPr>
          <w:rFonts w:ascii="Times New Roman" w:hAnsi="Times New Roman" w:cs="Times New Roman"/>
          <w:lang w:val="fr-FR"/>
        </w:rPr>
        <w:t xml:space="preserve">, </w:t>
      </w:r>
      <w:r w:rsidRPr="00167A1B">
        <w:rPr>
          <w:rFonts w:ascii="Times New Roman" w:hAnsi="Times New Roman" w:cs="Times New Roman"/>
          <w:i/>
          <w:iCs/>
          <w:lang w:val="fr-FR"/>
        </w:rPr>
        <w:t>La saisie immobilière</w:t>
      </w:r>
      <w:r w:rsidRPr="00167A1B">
        <w:rPr>
          <w:rFonts w:ascii="Times New Roman" w:hAnsi="Times New Roman" w:cs="Times New Roman"/>
          <w:lang w:val="fr-FR"/>
        </w:rPr>
        <w:t xml:space="preserve">, </w:t>
      </w:r>
      <w:r w:rsidRPr="00167A1B">
        <w:rPr>
          <w:rFonts w:ascii="Times New Roman" w:hAnsi="Times New Roman" w:cs="Times New Roman"/>
          <w:i/>
          <w:iCs/>
          <w:lang w:val="fr-FR"/>
        </w:rPr>
        <w:t>op.cit</w:t>
      </w:r>
      <w:r w:rsidRPr="00167A1B">
        <w:rPr>
          <w:rFonts w:ascii="Times New Roman" w:hAnsi="Times New Roman" w:cs="Times New Roman"/>
          <w:lang w:val="fr-FR"/>
        </w:rPr>
        <w:t xml:space="preserve">., p. 436. </w:t>
      </w:r>
    </w:p>
  </w:footnote>
  <w:footnote w:id="34">
    <w:p w14:paraId="3B738171" w14:textId="1AA3BDE6" w:rsidR="00B06F42" w:rsidRPr="00B06F42" w:rsidRDefault="00B06F42">
      <w:pPr>
        <w:pStyle w:val="Notedebasdepage"/>
        <w:rPr>
          <w:rFonts w:ascii="Times New Roman" w:hAnsi="Times New Roman" w:cs="Times New Roman"/>
          <w:lang w:val="fr-FR"/>
        </w:rPr>
      </w:pPr>
      <w:r w:rsidRPr="00B06F42">
        <w:rPr>
          <w:rStyle w:val="Appelnotedebasdep"/>
          <w:rFonts w:ascii="Times New Roman" w:hAnsi="Times New Roman" w:cs="Times New Roman"/>
        </w:rPr>
        <w:footnoteRef/>
      </w:r>
      <w:r w:rsidRPr="00B06F42">
        <w:rPr>
          <w:rFonts w:ascii="Times New Roman" w:hAnsi="Times New Roman" w:cs="Times New Roman"/>
        </w:rPr>
        <w:t xml:space="preserve"> </w:t>
      </w:r>
      <w:r w:rsidRPr="00B06F42">
        <w:rPr>
          <w:rFonts w:ascii="Times New Roman" w:hAnsi="Times New Roman" w:cs="Times New Roman"/>
          <w:lang w:val="fr-FR"/>
        </w:rPr>
        <w:t xml:space="preserve">Sur le terme de : « jour fixé pour procéder à la vente », </w:t>
      </w:r>
      <w:proofErr w:type="spellStart"/>
      <w:r w:rsidRPr="00B06F42">
        <w:rPr>
          <w:rFonts w:ascii="Times New Roman" w:hAnsi="Times New Roman" w:cs="Times New Roman"/>
          <w:lang w:val="fr-FR"/>
        </w:rPr>
        <w:t>voy</w:t>
      </w:r>
      <w:proofErr w:type="spellEnd"/>
      <w:r w:rsidRPr="00B06F42">
        <w:rPr>
          <w:rFonts w:ascii="Times New Roman" w:hAnsi="Times New Roman" w:cs="Times New Roman"/>
          <w:lang w:val="fr-FR"/>
        </w:rPr>
        <w:t xml:space="preserve">. </w:t>
      </w:r>
      <w:proofErr w:type="gramStart"/>
      <w:r w:rsidRPr="00B06F42">
        <w:rPr>
          <w:rFonts w:ascii="Times New Roman" w:hAnsi="Times New Roman" w:cs="Times New Roman"/>
          <w:i/>
          <w:iCs/>
          <w:lang w:val="fr-FR"/>
        </w:rPr>
        <w:t>supra</w:t>
      </w:r>
      <w:proofErr w:type="gramEnd"/>
      <w:r w:rsidRPr="00B06F42">
        <w:rPr>
          <w:rFonts w:ascii="Times New Roman" w:hAnsi="Times New Roman" w:cs="Times New Roman"/>
          <w:lang w:val="fr-FR"/>
        </w:rPr>
        <w:t xml:space="preserve">, note </w:t>
      </w:r>
      <w:proofErr w:type="spellStart"/>
      <w:r w:rsidRPr="00B06F42">
        <w:rPr>
          <w:rFonts w:ascii="Times New Roman" w:hAnsi="Times New Roman" w:cs="Times New Roman"/>
          <w:lang w:val="fr-FR"/>
        </w:rPr>
        <w:t>subpaginale</w:t>
      </w:r>
      <w:proofErr w:type="spellEnd"/>
      <w:r w:rsidRPr="00B06F42">
        <w:rPr>
          <w:rFonts w:ascii="Times New Roman" w:hAnsi="Times New Roman" w:cs="Times New Roman"/>
          <w:lang w:val="fr-FR"/>
        </w:rPr>
        <w:t xml:space="preserve"> n°2</w:t>
      </w:r>
      <w:r w:rsidR="00C927FE">
        <w:rPr>
          <w:rFonts w:ascii="Times New Roman" w:hAnsi="Times New Roman" w:cs="Times New Roman"/>
          <w:lang w:val="fr-FR"/>
        </w:rPr>
        <w:t>8</w:t>
      </w:r>
      <w:r w:rsidRPr="00B06F42">
        <w:rPr>
          <w:rFonts w:ascii="Times New Roman" w:hAnsi="Times New Roman" w:cs="Times New Roman"/>
          <w:lang w:val="fr-FR"/>
        </w:rPr>
        <w:t xml:space="preserve">. </w:t>
      </w:r>
    </w:p>
  </w:footnote>
  <w:footnote w:id="35">
    <w:p w14:paraId="48D8E8A6" w14:textId="1B50EED7" w:rsidR="00E515E2" w:rsidRPr="00167A1B" w:rsidRDefault="00E515E2" w:rsidP="00B5673A">
      <w:pPr>
        <w:pStyle w:val="Notedebasdepage"/>
        <w:jc w:val="both"/>
        <w:rPr>
          <w:rFonts w:ascii="Times New Roman" w:hAnsi="Times New Roman" w:cs="Times New Roman"/>
        </w:rPr>
      </w:pPr>
      <w:r w:rsidRPr="00167A1B">
        <w:rPr>
          <w:rStyle w:val="Appelnotedebasdep"/>
          <w:rFonts w:ascii="Times New Roman" w:hAnsi="Times New Roman" w:cs="Times New Roman"/>
        </w:rPr>
        <w:footnoteRef/>
      </w:r>
      <w:r w:rsidRPr="00167A1B">
        <w:rPr>
          <w:rFonts w:ascii="Times New Roman" w:hAnsi="Times New Roman" w:cs="Times New Roman"/>
        </w:rPr>
        <w:t xml:space="preserve"> Applicable en cas de saisie diligentée à l’encontre de plusieurs débiteurs dont seul l’un deux a déposé une requête en réorganisation judiciaire. </w:t>
      </w:r>
    </w:p>
  </w:footnote>
  <w:footnote w:id="36">
    <w:p w14:paraId="42AA5EF9" w14:textId="77777777" w:rsidR="00BA27D5" w:rsidRPr="00167A1B" w:rsidRDefault="00BA27D5"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G. DE LEVAL, </w:t>
      </w:r>
      <w:r w:rsidRPr="00167A1B">
        <w:rPr>
          <w:rFonts w:ascii="Times New Roman" w:hAnsi="Times New Roman" w:cs="Times New Roman"/>
          <w:i/>
          <w:iCs/>
          <w:lang w:val="fr-FR"/>
        </w:rPr>
        <w:t>La saisie immobilière</w:t>
      </w:r>
      <w:r w:rsidRPr="00167A1B">
        <w:rPr>
          <w:rFonts w:ascii="Times New Roman" w:hAnsi="Times New Roman" w:cs="Times New Roman"/>
          <w:lang w:val="fr-FR"/>
        </w:rPr>
        <w:t xml:space="preserve">, </w:t>
      </w:r>
      <w:r w:rsidRPr="00167A1B">
        <w:rPr>
          <w:rFonts w:ascii="Times New Roman" w:hAnsi="Times New Roman" w:cs="Times New Roman"/>
          <w:i/>
          <w:iCs/>
          <w:lang w:val="fr-FR"/>
        </w:rPr>
        <w:t>op.cit.</w:t>
      </w:r>
      <w:r w:rsidRPr="00167A1B">
        <w:rPr>
          <w:rFonts w:ascii="Times New Roman" w:hAnsi="Times New Roman" w:cs="Times New Roman"/>
          <w:lang w:val="fr-FR"/>
        </w:rPr>
        <w:t xml:space="preserve">, p. 436. </w:t>
      </w:r>
    </w:p>
  </w:footnote>
  <w:footnote w:id="37">
    <w:p w14:paraId="2EFEDB7F" w14:textId="789579A6" w:rsidR="004367EC" w:rsidRPr="00167A1B" w:rsidRDefault="00E8092E" w:rsidP="00B5673A">
      <w:pPr>
        <w:pStyle w:val="Notedebasdepage"/>
        <w:jc w:val="both"/>
        <w:rPr>
          <w:rFonts w:ascii="Times New Roman" w:hAnsi="Times New Roman" w:cs="Times New Roman"/>
          <w:lang w:val="fr-FR"/>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I. VEROUGSTRAETE, </w:t>
      </w:r>
      <w:r w:rsidRPr="00167A1B">
        <w:rPr>
          <w:rFonts w:ascii="Times New Roman" w:hAnsi="Times New Roman" w:cs="Times New Roman"/>
          <w:i/>
          <w:iCs/>
          <w:lang w:val="fr-FR"/>
        </w:rPr>
        <w:t>Manuel de la continuité des entreprises et de la faillite</w:t>
      </w:r>
      <w:r w:rsidRPr="00167A1B">
        <w:rPr>
          <w:rFonts w:ascii="Times New Roman" w:hAnsi="Times New Roman" w:cs="Times New Roman"/>
          <w:lang w:val="fr-FR"/>
        </w:rPr>
        <w:t>,</w:t>
      </w:r>
      <w:r w:rsidR="000233E8" w:rsidRPr="00167A1B">
        <w:rPr>
          <w:rFonts w:ascii="Times New Roman" w:hAnsi="Times New Roman" w:cs="Times New Roman"/>
          <w:lang w:val="fr-FR"/>
        </w:rPr>
        <w:t xml:space="preserve"> </w:t>
      </w:r>
      <w:r w:rsidR="000233E8" w:rsidRPr="00167A1B">
        <w:rPr>
          <w:rFonts w:ascii="Times New Roman" w:hAnsi="Times New Roman" w:cs="Times New Roman"/>
          <w:i/>
          <w:iCs/>
          <w:lang w:val="fr-FR"/>
        </w:rPr>
        <w:t>op.cit</w:t>
      </w:r>
      <w:r w:rsidR="000233E8" w:rsidRPr="00167A1B">
        <w:rPr>
          <w:rFonts w:ascii="Times New Roman" w:hAnsi="Times New Roman" w:cs="Times New Roman"/>
          <w:lang w:val="fr-FR"/>
        </w:rPr>
        <w:t>.,</w:t>
      </w:r>
      <w:r w:rsidRPr="00167A1B">
        <w:rPr>
          <w:rFonts w:ascii="Times New Roman" w:hAnsi="Times New Roman" w:cs="Times New Roman"/>
          <w:lang w:val="fr-FR"/>
        </w:rPr>
        <w:t xml:space="preserve"> p. 160 et H. SIMON,</w:t>
      </w:r>
      <w:r w:rsidR="000233E8" w:rsidRPr="00167A1B">
        <w:rPr>
          <w:rFonts w:ascii="Times New Roman" w:hAnsi="Times New Roman" w:cs="Times New Roman"/>
          <w:lang w:val="fr-FR"/>
        </w:rPr>
        <w:t xml:space="preserve"> « Saisies et procédures collectives d’insolvabilité : la désunion sacrée », </w:t>
      </w:r>
      <w:r w:rsidR="000233E8" w:rsidRPr="00167A1B">
        <w:rPr>
          <w:rFonts w:ascii="Times New Roman" w:hAnsi="Times New Roman" w:cs="Times New Roman"/>
          <w:i/>
          <w:iCs/>
          <w:lang w:val="fr-FR"/>
        </w:rPr>
        <w:t>op.cit</w:t>
      </w:r>
      <w:r w:rsidR="000233E8" w:rsidRPr="00167A1B">
        <w:rPr>
          <w:rFonts w:ascii="Times New Roman" w:hAnsi="Times New Roman" w:cs="Times New Roman"/>
          <w:lang w:val="fr-FR"/>
        </w:rPr>
        <w:t>.,</w:t>
      </w:r>
      <w:r w:rsidRPr="00167A1B">
        <w:rPr>
          <w:rFonts w:ascii="Times New Roman" w:hAnsi="Times New Roman" w:cs="Times New Roman"/>
          <w:lang w:val="fr-FR"/>
        </w:rPr>
        <w:t xml:space="preserve"> p. 113</w:t>
      </w:r>
      <w:r w:rsidR="00AE214A" w:rsidRPr="00167A1B">
        <w:rPr>
          <w:rFonts w:ascii="Times New Roman" w:hAnsi="Times New Roman" w:cs="Times New Roman"/>
          <w:lang w:val="fr-FR"/>
        </w:rPr>
        <w:t>.</w:t>
      </w:r>
      <w:r w:rsidR="000233E8" w:rsidRPr="00167A1B">
        <w:rPr>
          <w:rFonts w:ascii="Times New Roman" w:hAnsi="Times New Roman" w:cs="Times New Roman"/>
          <w:lang w:val="fr-FR"/>
        </w:rPr>
        <w:t xml:space="preserve">  </w:t>
      </w:r>
      <w:r w:rsidR="00E515E2" w:rsidRPr="00167A1B">
        <w:rPr>
          <w:rFonts w:ascii="Times New Roman" w:hAnsi="Times New Roman" w:cs="Times New Roman"/>
          <w:lang w:val="fr-FR"/>
        </w:rPr>
        <w:t xml:space="preserve"> </w:t>
      </w:r>
    </w:p>
  </w:footnote>
  <w:footnote w:id="38">
    <w:p w14:paraId="0187FBC7" w14:textId="7208DF67" w:rsidR="009A492B" w:rsidRPr="00CF2994" w:rsidRDefault="009A492B">
      <w:pPr>
        <w:pStyle w:val="Notedebasdepage"/>
        <w:rPr>
          <w:lang w:val="fr-FR"/>
        </w:rPr>
      </w:pPr>
      <w:r w:rsidRPr="008E6CEF">
        <w:rPr>
          <w:rStyle w:val="Appelnotedebasdep"/>
        </w:rPr>
        <w:footnoteRef/>
      </w:r>
      <w:r w:rsidRPr="008E6CEF">
        <w:t xml:space="preserve"> </w:t>
      </w:r>
      <w:r w:rsidRPr="008E6CEF">
        <w:rPr>
          <w:rFonts w:ascii="Times New Roman" w:hAnsi="Times New Roman" w:cs="Times New Roman"/>
          <w:lang w:val="fr-FR"/>
        </w:rPr>
        <w:t xml:space="preserve">I. VEROUGSTRAETE, </w:t>
      </w:r>
      <w:r w:rsidRPr="008E6CEF">
        <w:rPr>
          <w:rFonts w:ascii="Times New Roman" w:hAnsi="Times New Roman" w:cs="Times New Roman"/>
          <w:i/>
          <w:iCs/>
          <w:lang w:val="fr-FR"/>
        </w:rPr>
        <w:t>Manuel</w:t>
      </w:r>
      <w:r w:rsidRPr="00167A1B">
        <w:rPr>
          <w:rFonts w:ascii="Times New Roman" w:hAnsi="Times New Roman" w:cs="Times New Roman"/>
          <w:i/>
          <w:iCs/>
          <w:lang w:val="fr-FR"/>
        </w:rPr>
        <w:t xml:space="preserve"> de l’insolvabilité de l’entreprise</w:t>
      </w:r>
      <w:r w:rsidRPr="00167A1B">
        <w:rPr>
          <w:rFonts w:ascii="Times New Roman" w:hAnsi="Times New Roman" w:cs="Times New Roman"/>
          <w:lang w:val="fr-FR"/>
        </w:rPr>
        <w:t xml:space="preserve">, </w:t>
      </w:r>
      <w:r w:rsidRPr="00167A1B">
        <w:rPr>
          <w:rFonts w:ascii="Times New Roman" w:hAnsi="Times New Roman" w:cs="Times New Roman"/>
          <w:i/>
          <w:iCs/>
          <w:lang w:val="fr-FR"/>
        </w:rPr>
        <w:t>op.cit</w:t>
      </w:r>
      <w:r w:rsidRPr="00167A1B">
        <w:rPr>
          <w:rFonts w:ascii="Times New Roman" w:hAnsi="Times New Roman" w:cs="Times New Roman"/>
          <w:lang w:val="fr-FR"/>
        </w:rPr>
        <w:t>., p. 781</w:t>
      </w:r>
    </w:p>
  </w:footnote>
  <w:footnote w:id="39">
    <w:p w14:paraId="02376A16" w14:textId="16B8DCCD"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M. GREGOIRE, </w:t>
      </w:r>
      <w:r w:rsidRPr="00167A1B">
        <w:rPr>
          <w:rFonts w:ascii="Times New Roman" w:hAnsi="Times New Roman" w:cs="Times New Roman"/>
          <w:i/>
          <w:iCs/>
          <w:lang w:val="fr-FR"/>
        </w:rPr>
        <w:t>Procédures collectives d’insolvabilité</w:t>
      </w:r>
      <w:r w:rsidRPr="00167A1B">
        <w:rPr>
          <w:rFonts w:ascii="Times New Roman" w:hAnsi="Times New Roman" w:cs="Times New Roman"/>
          <w:lang w:val="fr-FR"/>
        </w:rPr>
        <w:t xml:space="preserve">, </w:t>
      </w:r>
      <w:proofErr w:type="spellStart"/>
      <w:r w:rsidR="00C927FE">
        <w:rPr>
          <w:rFonts w:ascii="Times New Roman" w:hAnsi="Times New Roman" w:cs="Times New Roman"/>
          <w:lang w:val="fr-FR"/>
        </w:rPr>
        <w:t>Bruylant</w:t>
      </w:r>
      <w:proofErr w:type="spellEnd"/>
      <w:r w:rsidRPr="00167A1B">
        <w:rPr>
          <w:rFonts w:ascii="Times New Roman" w:hAnsi="Times New Roman" w:cs="Times New Roman"/>
          <w:lang w:val="fr-FR"/>
        </w:rPr>
        <w:t xml:space="preserve">, 2012, p. 268. </w:t>
      </w:r>
    </w:p>
  </w:footnote>
  <w:footnote w:id="40">
    <w:p w14:paraId="6F339448" w14:textId="564F3990" w:rsidR="008A4B87" w:rsidRPr="00167A1B" w:rsidRDefault="008A4B87" w:rsidP="00B5673A">
      <w:pPr>
        <w:pStyle w:val="Notedebasdepage"/>
        <w:jc w:val="both"/>
        <w:rPr>
          <w:rFonts w:ascii="Times New Roman" w:hAnsi="Times New Roman" w:cs="Times New Roman"/>
          <w:lang w:val="fr-FR"/>
        </w:rPr>
      </w:pPr>
      <w:r w:rsidRPr="00167A1B">
        <w:rPr>
          <w:rStyle w:val="Appelnotedebasdep"/>
          <w:rFonts w:ascii="Times New Roman" w:hAnsi="Times New Roman" w:cs="Times New Roman"/>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I. VEROUGSTRAETE, </w:t>
      </w:r>
      <w:r w:rsidRPr="00167A1B">
        <w:rPr>
          <w:rFonts w:ascii="Times New Roman" w:hAnsi="Times New Roman" w:cs="Times New Roman"/>
          <w:i/>
          <w:iCs/>
          <w:lang w:val="fr-FR"/>
        </w:rPr>
        <w:t>Manuel de l’insolvabilité</w:t>
      </w:r>
      <w:r w:rsidR="00085D27" w:rsidRPr="00167A1B">
        <w:rPr>
          <w:rFonts w:ascii="Times New Roman" w:hAnsi="Times New Roman" w:cs="Times New Roman"/>
          <w:i/>
          <w:iCs/>
          <w:lang w:val="fr-FR"/>
        </w:rPr>
        <w:t xml:space="preserve"> de l’entreprise</w:t>
      </w:r>
      <w:r w:rsidRPr="00167A1B">
        <w:rPr>
          <w:rFonts w:ascii="Times New Roman" w:hAnsi="Times New Roman" w:cs="Times New Roman"/>
          <w:lang w:val="fr-FR"/>
        </w:rPr>
        <w:t>,</w:t>
      </w:r>
      <w:r w:rsidR="000233E8" w:rsidRPr="00167A1B">
        <w:rPr>
          <w:rFonts w:ascii="Times New Roman" w:hAnsi="Times New Roman" w:cs="Times New Roman"/>
          <w:lang w:val="fr-FR"/>
        </w:rPr>
        <w:t xml:space="preserve"> </w:t>
      </w:r>
      <w:r w:rsidR="000E7259">
        <w:rPr>
          <w:rFonts w:ascii="Times New Roman" w:hAnsi="Times New Roman" w:cs="Times New Roman"/>
          <w:i/>
          <w:iCs/>
          <w:lang w:val="fr-FR"/>
        </w:rPr>
        <w:t>op.cit</w:t>
      </w:r>
      <w:r w:rsidRPr="00167A1B">
        <w:rPr>
          <w:rFonts w:ascii="Times New Roman" w:hAnsi="Times New Roman" w:cs="Times New Roman"/>
          <w:lang w:val="fr-FR"/>
        </w:rPr>
        <w:t xml:space="preserve">., p. 806. Si la vente forcée a eu lieu avant le jugement déclaratif mais que les fonds se trouvent encore entre les mains de l’huissier, les fonds non distribués devront être remis au curateur (A. ZENNER, </w:t>
      </w:r>
      <w:r w:rsidRPr="00167A1B">
        <w:rPr>
          <w:rFonts w:ascii="Times New Roman" w:hAnsi="Times New Roman" w:cs="Times New Roman"/>
          <w:i/>
          <w:iCs/>
          <w:lang w:val="fr-FR"/>
        </w:rPr>
        <w:t>Traité du droit de l’insolvabilité</w:t>
      </w:r>
      <w:r w:rsidRPr="00167A1B">
        <w:rPr>
          <w:rFonts w:ascii="Times New Roman" w:hAnsi="Times New Roman" w:cs="Times New Roman"/>
          <w:lang w:val="fr-FR"/>
        </w:rPr>
        <w:t xml:space="preserve">, </w:t>
      </w:r>
      <w:r w:rsidRPr="00167A1B">
        <w:rPr>
          <w:rFonts w:ascii="Times New Roman" w:hAnsi="Times New Roman" w:cs="Times New Roman"/>
          <w:i/>
          <w:iCs/>
          <w:lang w:val="fr-FR"/>
        </w:rPr>
        <w:t>op.cit</w:t>
      </w:r>
      <w:r w:rsidRPr="00167A1B">
        <w:rPr>
          <w:rFonts w:ascii="Times New Roman" w:hAnsi="Times New Roman" w:cs="Times New Roman"/>
          <w:lang w:val="fr-FR"/>
        </w:rPr>
        <w:t>., p. 1084 ; Cass. (1</w:t>
      </w:r>
      <w:r w:rsidR="00BF687E" w:rsidRPr="00D969FC">
        <w:rPr>
          <w:rFonts w:ascii="Times New Roman" w:hAnsi="Times New Roman" w:cs="Times New Roman"/>
          <w:vertAlign w:val="superscript"/>
          <w:lang w:val="fr-FR"/>
        </w:rPr>
        <w:t>è</w:t>
      </w:r>
      <w:r w:rsidRPr="00D969FC">
        <w:rPr>
          <w:rFonts w:ascii="Times New Roman" w:hAnsi="Times New Roman" w:cs="Times New Roman"/>
          <w:vertAlign w:val="superscript"/>
          <w:lang w:val="fr-FR"/>
        </w:rPr>
        <w:t>re</w:t>
      </w:r>
      <w:r w:rsidR="00BF687E" w:rsidRPr="00167A1B">
        <w:rPr>
          <w:rFonts w:ascii="Times New Roman" w:hAnsi="Times New Roman" w:cs="Times New Roman"/>
          <w:lang w:val="fr-FR"/>
        </w:rPr>
        <w:t xml:space="preserve"> </w:t>
      </w:r>
      <w:r w:rsidRPr="00167A1B">
        <w:rPr>
          <w:rFonts w:ascii="Times New Roman" w:hAnsi="Times New Roman" w:cs="Times New Roman"/>
          <w:lang w:val="fr-FR"/>
        </w:rPr>
        <w:t>ch.), 23 avril 2010,</w:t>
      </w:r>
      <w:r w:rsidR="00AA6F38" w:rsidRPr="00167A1B">
        <w:rPr>
          <w:rFonts w:ascii="Times New Roman" w:hAnsi="Times New Roman" w:cs="Times New Roman"/>
          <w:lang w:val="fr-FR"/>
        </w:rPr>
        <w:t xml:space="preserve"> </w:t>
      </w:r>
      <w:hyperlink r:id="rId1" w:history="1">
        <w:r w:rsidR="00AA6F38" w:rsidRPr="00167A1B">
          <w:rPr>
            <w:rStyle w:val="Lienhypertexte"/>
            <w:rFonts w:ascii="Times New Roman" w:hAnsi="Times New Roman" w:cs="Times New Roman"/>
            <w:lang w:val="fr-FR"/>
          </w:rPr>
          <w:t>www.juportal.be</w:t>
        </w:r>
      </w:hyperlink>
      <w:r w:rsidRPr="00167A1B">
        <w:rPr>
          <w:rFonts w:ascii="Times New Roman" w:hAnsi="Times New Roman" w:cs="Times New Roman"/>
          <w:lang w:val="fr-FR"/>
        </w:rPr>
        <w:t xml:space="preserve">, </w:t>
      </w:r>
      <w:r w:rsidR="003D77B8" w:rsidRPr="00167A1B">
        <w:rPr>
          <w:rFonts w:ascii="Times New Roman" w:hAnsi="Times New Roman" w:cs="Times New Roman"/>
          <w:i/>
          <w:iCs/>
          <w:lang w:val="fr-FR"/>
        </w:rPr>
        <w:t>Ius et Actores</w:t>
      </w:r>
      <w:r w:rsidR="003D77B8" w:rsidRPr="00167A1B">
        <w:rPr>
          <w:rFonts w:ascii="Times New Roman" w:hAnsi="Times New Roman" w:cs="Times New Roman"/>
          <w:lang w:val="fr-FR"/>
        </w:rPr>
        <w:t xml:space="preserve">, 2010, pp. 184 et s., avec note </w:t>
      </w:r>
      <w:r w:rsidRPr="00167A1B">
        <w:rPr>
          <w:rFonts w:ascii="Times New Roman" w:hAnsi="Times New Roman" w:cs="Times New Roman"/>
          <w:lang w:val="fr-FR"/>
        </w:rPr>
        <w:t xml:space="preserve">G. </w:t>
      </w:r>
      <w:r w:rsidR="00AA6F38" w:rsidRPr="00167A1B">
        <w:rPr>
          <w:rFonts w:ascii="Times New Roman" w:hAnsi="Times New Roman" w:cs="Times New Roman"/>
          <w:lang w:val="fr-FR"/>
        </w:rPr>
        <w:t>de</w:t>
      </w:r>
      <w:r w:rsidRPr="00167A1B">
        <w:rPr>
          <w:rFonts w:ascii="Times New Roman" w:hAnsi="Times New Roman" w:cs="Times New Roman"/>
          <w:lang w:val="fr-FR"/>
        </w:rPr>
        <w:t xml:space="preserve"> LEVAL</w:t>
      </w:r>
      <w:r w:rsidR="003D77B8" w:rsidRPr="00167A1B">
        <w:rPr>
          <w:rFonts w:ascii="Times New Roman" w:hAnsi="Times New Roman" w:cs="Times New Roman"/>
          <w:lang w:val="fr-FR"/>
        </w:rPr>
        <w:t xml:space="preserve">). </w:t>
      </w:r>
    </w:p>
  </w:footnote>
  <w:footnote w:id="41">
    <w:p w14:paraId="0CFCC53A" w14:textId="7940554E"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Selon les auteurs précités, il s’agirait un mauvais « copier-coller » de la part du législateur du régime prévu en matière de saisie immobilière (N. OUCHINSKY,</w:t>
      </w:r>
      <w:r w:rsidR="008A4B87" w:rsidRPr="00167A1B">
        <w:rPr>
          <w:rFonts w:ascii="Times New Roman" w:hAnsi="Times New Roman" w:cs="Times New Roman"/>
          <w:lang w:val="fr-FR"/>
        </w:rPr>
        <w:t xml:space="preserve"> </w:t>
      </w:r>
      <w:r w:rsidRPr="00167A1B">
        <w:rPr>
          <w:rFonts w:ascii="Times New Roman" w:hAnsi="Times New Roman" w:cs="Times New Roman"/>
        </w:rPr>
        <w:t>« L</w:t>
      </w:r>
      <w:r w:rsidRPr="00167A1B">
        <w:rPr>
          <w:rFonts w:ascii="Times New Roman" w:hAnsi="Times New Roman" w:cs="Times New Roman"/>
          <w:rtl/>
        </w:rPr>
        <w:t>’</w:t>
      </w:r>
      <w:r w:rsidRPr="00167A1B">
        <w:rPr>
          <w:rFonts w:ascii="Times New Roman" w:hAnsi="Times New Roman" w:cs="Times New Roman"/>
          <w:lang w:val="fr-FR"/>
        </w:rPr>
        <w:t>incidence de l</w:t>
      </w:r>
      <w:r w:rsidRPr="00167A1B">
        <w:rPr>
          <w:rFonts w:ascii="Times New Roman" w:hAnsi="Times New Roman" w:cs="Times New Roman"/>
          <w:rtl/>
        </w:rPr>
        <w:t>’</w:t>
      </w:r>
      <w:proofErr w:type="spellStart"/>
      <w:r w:rsidRPr="00167A1B">
        <w:rPr>
          <w:rFonts w:ascii="Times New Roman" w:hAnsi="Times New Roman" w:cs="Times New Roman"/>
        </w:rPr>
        <w:t>insolvabilit</w:t>
      </w:r>
      <w:proofErr w:type="spellEnd"/>
      <w:r w:rsidRPr="00167A1B">
        <w:rPr>
          <w:rFonts w:ascii="Times New Roman" w:hAnsi="Times New Roman" w:cs="Times New Roman"/>
          <w:lang w:val="fr-FR"/>
        </w:rPr>
        <w:t>é des entreprises sur les saisies</w:t>
      </w:r>
      <w:r w:rsidRPr="00167A1B">
        <w:rPr>
          <w:rFonts w:ascii="Times New Roman" w:hAnsi="Times New Roman" w:cs="Times New Roman"/>
        </w:rPr>
        <w:t> »</w:t>
      </w:r>
      <w:r w:rsidRPr="00167A1B">
        <w:rPr>
          <w:rFonts w:ascii="Times New Roman" w:hAnsi="Times New Roman" w:cs="Times New Roman"/>
          <w:lang w:val="fr-FR"/>
        </w:rPr>
        <w:t xml:space="preserve">, </w:t>
      </w:r>
      <w:r w:rsidRPr="00167A1B">
        <w:rPr>
          <w:rFonts w:ascii="Times New Roman" w:hAnsi="Times New Roman" w:cs="Times New Roman"/>
          <w:i/>
          <w:iCs/>
          <w:lang w:val="fr-FR"/>
        </w:rPr>
        <w:t>op.cit</w:t>
      </w:r>
      <w:r w:rsidRPr="00167A1B">
        <w:rPr>
          <w:rFonts w:ascii="Times New Roman" w:hAnsi="Times New Roman" w:cs="Times New Roman"/>
          <w:lang w:val="fr-FR"/>
        </w:rPr>
        <w:t>., p. 98</w:t>
      </w:r>
      <w:r w:rsidR="000A6B41" w:rsidRPr="00167A1B">
        <w:rPr>
          <w:rFonts w:ascii="Times New Roman" w:hAnsi="Times New Roman" w:cs="Times New Roman"/>
          <w:lang w:val="fr-FR"/>
        </w:rPr>
        <w:t>)</w:t>
      </w:r>
      <w:r w:rsidRPr="00167A1B">
        <w:rPr>
          <w:rFonts w:ascii="Times New Roman" w:hAnsi="Times New Roman" w:cs="Times New Roman"/>
          <w:lang w:val="fr-FR"/>
        </w:rPr>
        <w:t>. En outre, le juge commissaire ne tenait</w:t>
      </w:r>
      <w:r w:rsidR="004271EC" w:rsidRPr="00167A1B">
        <w:rPr>
          <w:rFonts w:ascii="Times New Roman" w:hAnsi="Times New Roman" w:cs="Times New Roman"/>
          <w:lang w:val="fr-FR"/>
        </w:rPr>
        <w:t xml:space="preserve">, </w:t>
      </w:r>
      <w:r w:rsidRPr="00167A1B">
        <w:rPr>
          <w:rFonts w:ascii="Times New Roman" w:hAnsi="Times New Roman" w:cs="Times New Roman"/>
          <w:lang w:val="fr-FR"/>
        </w:rPr>
        <w:t>jusque</w:t>
      </w:r>
      <w:r w:rsidR="000A6B41" w:rsidRPr="00167A1B">
        <w:rPr>
          <w:rFonts w:ascii="Times New Roman" w:hAnsi="Times New Roman" w:cs="Times New Roman"/>
          <w:lang w:val="fr-FR"/>
        </w:rPr>
        <w:t>-</w:t>
      </w:r>
      <w:r w:rsidRPr="00167A1B">
        <w:rPr>
          <w:rFonts w:ascii="Times New Roman" w:hAnsi="Times New Roman" w:cs="Times New Roman"/>
          <w:lang w:val="fr-FR"/>
        </w:rPr>
        <w:t>là</w:t>
      </w:r>
      <w:r w:rsidR="004271EC" w:rsidRPr="00167A1B">
        <w:rPr>
          <w:rFonts w:ascii="Times New Roman" w:hAnsi="Times New Roman" w:cs="Times New Roman"/>
          <w:lang w:val="fr-FR"/>
        </w:rPr>
        <w:t>, p</w:t>
      </w:r>
      <w:r w:rsidRPr="00167A1B">
        <w:rPr>
          <w:rFonts w:ascii="Times New Roman" w:hAnsi="Times New Roman" w:cs="Times New Roman"/>
          <w:lang w:val="fr-FR"/>
        </w:rPr>
        <w:t>as d’audience dans le cadre de son mandat</w:t>
      </w:r>
      <w:r w:rsidR="004271EC" w:rsidRPr="00167A1B">
        <w:rPr>
          <w:rFonts w:ascii="Times New Roman" w:hAnsi="Times New Roman" w:cs="Times New Roman"/>
          <w:lang w:val="fr-FR"/>
        </w:rPr>
        <w:t xml:space="preserve">, </w:t>
      </w:r>
      <w:r w:rsidRPr="00167A1B">
        <w:rPr>
          <w:rFonts w:ascii="Times New Roman" w:hAnsi="Times New Roman" w:cs="Times New Roman"/>
          <w:lang w:val="fr-FR"/>
        </w:rPr>
        <w:t>et ne semble pas être spécialement apte à trancher de telles questions de droit qui pourraient survenir dans ce cadre (A. ZENNER,</w:t>
      </w:r>
      <w:r w:rsidR="000E7259">
        <w:rPr>
          <w:rFonts w:ascii="Times New Roman" w:hAnsi="Times New Roman" w:cs="Times New Roman"/>
          <w:lang w:val="fr-FR"/>
        </w:rPr>
        <w:t xml:space="preserve"> </w:t>
      </w:r>
      <w:r w:rsidR="000233E8" w:rsidRPr="00167A1B">
        <w:rPr>
          <w:rFonts w:ascii="Times New Roman" w:hAnsi="Times New Roman" w:cs="Times New Roman"/>
          <w:i/>
          <w:iCs/>
          <w:lang w:val="fr-FR"/>
        </w:rPr>
        <w:t>ibid</w:t>
      </w:r>
      <w:r w:rsidR="000233E8" w:rsidRPr="00167A1B">
        <w:rPr>
          <w:rFonts w:ascii="Times New Roman" w:hAnsi="Times New Roman" w:cs="Times New Roman"/>
          <w:lang w:val="fr-FR"/>
        </w:rPr>
        <w:t>.,</w:t>
      </w:r>
      <w:r w:rsidRPr="00167A1B">
        <w:rPr>
          <w:rFonts w:ascii="Times New Roman" w:hAnsi="Times New Roman" w:cs="Times New Roman"/>
          <w:lang w:val="fr-FR"/>
        </w:rPr>
        <w:t xml:space="preserve"> p. 1086). </w:t>
      </w:r>
    </w:p>
  </w:footnote>
  <w:footnote w:id="42">
    <w:p w14:paraId="582704D5" w14:textId="758A4016"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004271EC" w:rsidRPr="00167A1B">
        <w:rPr>
          <w:rFonts w:ascii="Times New Roman" w:hAnsi="Times New Roman" w:cs="Times New Roman"/>
        </w:rPr>
        <w:t xml:space="preserve"> </w:t>
      </w:r>
      <w:r w:rsidRPr="00167A1B">
        <w:rPr>
          <w:rFonts w:ascii="Times New Roman" w:hAnsi="Times New Roman" w:cs="Times New Roman"/>
        </w:rPr>
        <w:t xml:space="preserve">N. OUCHINSKY, </w:t>
      </w:r>
      <w:r w:rsidRPr="00167A1B">
        <w:rPr>
          <w:rFonts w:ascii="Times New Roman" w:hAnsi="Times New Roman" w:cs="Times New Roman"/>
          <w:i/>
          <w:iCs/>
        </w:rPr>
        <w:t>ibid</w:t>
      </w:r>
      <w:r w:rsidRPr="00167A1B">
        <w:rPr>
          <w:rFonts w:ascii="Times New Roman" w:hAnsi="Times New Roman" w:cs="Times New Roman"/>
        </w:rPr>
        <w:t xml:space="preserve">., p.98 ; A. ZENNER, </w:t>
      </w:r>
      <w:r w:rsidR="004271EC" w:rsidRPr="00167A1B">
        <w:rPr>
          <w:rFonts w:ascii="Times New Roman" w:hAnsi="Times New Roman" w:cs="Times New Roman"/>
          <w:i/>
          <w:iCs/>
          <w:lang w:val="fr-FR"/>
        </w:rPr>
        <w:t>Traité du droit de l’insolvabilité</w:t>
      </w:r>
      <w:r w:rsidRPr="00167A1B">
        <w:rPr>
          <w:rFonts w:ascii="Times New Roman" w:hAnsi="Times New Roman" w:cs="Times New Roman"/>
          <w:i/>
          <w:iCs/>
        </w:rPr>
        <w:t>,</w:t>
      </w:r>
      <w:r w:rsidR="000233E8" w:rsidRPr="00167A1B">
        <w:rPr>
          <w:rFonts w:ascii="Times New Roman" w:hAnsi="Times New Roman" w:cs="Times New Roman"/>
          <w:i/>
          <w:iCs/>
        </w:rPr>
        <w:t xml:space="preserve"> ibid.</w:t>
      </w:r>
      <w:r w:rsidRPr="00167A1B">
        <w:rPr>
          <w:rFonts w:ascii="Times New Roman" w:hAnsi="Times New Roman" w:cs="Times New Roman"/>
          <w:i/>
          <w:iCs/>
        </w:rPr>
        <w:t xml:space="preserve"> </w:t>
      </w:r>
      <w:r w:rsidRPr="00167A1B">
        <w:rPr>
          <w:rFonts w:ascii="Times New Roman" w:hAnsi="Times New Roman" w:cs="Times New Roman"/>
        </w:rPr>
        <w:t xml:space="preserve">p. 1086. </w:t>
      </w:r>
    </w:p>
  </w:footnote>
  <w:footnote w:id="43">
    <w:p w14:paraId="505937C3" w14:textId="570B0F67" w:rsidR="00CB7E44" w:rsidRPr="00C927FE" w:rsidRDefault="00CB7E44">
      <w:pPr>
        <w:pStyle w:val="Notedebasdepage"/>
        <w:rPr>
          <w:rFonts w:ascii="Times New Roman" w:hAnsi="Times New Roman" w:cs="Times New Roman"/>
        </w:rPr>
      </w:pPr>
      <w:r w:rsidRPr="00C927FE">
        <w:rPr>
          <w:rStyle w:val="Appelnotedebasdep"/>
          <w:rFonts w:ascii="Times New Roman" w:hAnsi="Times New Roman" w:cs="Times New Roman"/>
        </w:rPr>
        <w:footnoteRef/>
      </w:r>
      <w:r w:rsidRPr="00C927FE">
        <w:rPr>
          <w:rFonts w:ascii="Times New Roman" w:hAnsi="Times New Roman" w:cs="Times New Roman"/>
        </w:rPr>
        <w:t xml:space="preserve"> Ayant </w:t>
      </w:r>
      <w:r w:rsidR="00C927FE" w:rsidRPr="00C927FE">
        <w:rPr>
          <w:rFonts w:ascii="Times New Roman" w:hAnsi="Times New Roman" w:cs="Times New Roman"/>
        </w:rPr>
        <w:t>les</w:t>
      </w:r>
      <w:r w:rsidRPr="00C927FE">
        <w:rPr>
          <w:rFonts w:ascii="Times New Roman" w:hAnsi="Times New Roman" w:cs="Times New Roman"/>
        </w:rPr>
        <w:t xml:space="preserve"> effets identiques à ceux d’une saisie-arrêt (article 37 du CRAF.). </w:t>
      </w:r>
    </w:p>
  </w:footnote>
  <w:footnote w:id="44">
    <w:p w14:paraId="1F44157E" w14:textId="5E5AB477"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A. ZENNER, </w:t>
      </w:r>
      <w:r w:rsidRPr="00167A1B">
        <w:rPr>
          <w:rFonts w:ascii="Times New Roman" w:hAnsi="Times New Roman" w:cs="Times New Roman"/>
          <w:i/>
          <w:iCs/>
          <w:lang w:val="fr-FR"/>
        </w:rPr>
        <w:t>Traité du droit de l’insolvabilité</w:t>
      </w:r>
      <w:r w:rsidRPr="00167A1B">
        <w:rPr>
          <w:rFonts w:ascii="Times New Roman" w:hAnsi="Times New Roman" w:cs="Times New Roman"/>
          <w:lang w:val="fr-FR"/>
        </w:rPr>
        <w:t xml:space="preserve">, </w:t>
      </w:r>
      <w:r w:rsidR="00C927FE">
        <w:rPr>
          <w:rFonts w:ascii="Times New Roman" w:hAnsi="Times New Roman" w:cs="Times New Roman"/>
          <w:i/>
          <w:iCs/>
          <w:lang w:val="fr-FR"/>
        </w:rPr>
        <w:t>op.cit</w:t>
      </w:r>
      <w:r w:rsidRPr="00167A1B">
        <w:rPr>
          <w:rFonts w:ascii="Times New Roman" w:hAnsi="Times New Roman" w:cs="Times New Roman"/>
          <w:i/>
          <w:iCs/>
          <w:lang w:val="fr-FR"/>
        </w:rPr>
        <w:t>.</w:t>
      </w:r>
      <w:r w:rsidRPr="00167A1B">
        <w:rPr>
          <w:rFonts w:ascii="Times New Roman" w:hAnsi="Times New Roman" w:cs="Times New Roman"/>
          <w:lang w:val="fr-FR"/>
        </w:rPr>
        <w:t xml:space="preserve">, p. 1084. </w:t>
      </w:r>
    </w:p>
  </w:footnote>
  <w:footnote w:id="45">
    <w:p w14:paraId="249C9924" w14:textId="04FA328D"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Ce moment pivot permettant que la saisie échappe à la suspension a été choisi en vue d’éviter une trop grande accumulation de frais (Fl. GEORGE, « La réforme de la faillite », </w:t>
      </w:r>
      <w:r w:rsidR="003D77B8" w:rsidRPr="00167A1B">
        <w:rPr>
          <w:rFonts w:ascii="Times New Roman" w:hAnsi="Times New Roman" w:cs="Times New Roman"/>
          <w:lang w:val="fr-FR"/>
        </w:rPr>
        <w:t>in C. A</w:t>
      </w:r>
      <w:r w:rsidR="009A492B">
        <w:rPr>
          <w:rFonts w:ascii="Times New Roman" w:hAnsi="Times New Roman" w:cs="Times New Roman"/>
          <w:lang w:val="fr-FR"/>
        </w:rPr>
        <w:t>LTER</w:t>
      </w:r>
      <w:r w:rsidR="003D77B8" w:rsidRPr="00167A1B">
        <w:rPr>
          <w:rFonts w:ascii="Times New Roman" w:hAnsi="Times New Roman" w:cs="Times New Roman"/>
          <w:lang w:val="fr-FR"/>
        </w:rPr>
        <w:t xml:space="preserve"> (</w:t>
      </w:r>
      <w:proofErr w:type="spellStart"/>
      <w:r w:rsidR="003D77B8" w:rsidRPr="00167A1B">
        <w:rPr>
          <w:rFonts w:ascii="Times New Roman" w:hAnsi="Times New Roman" w:cs="Times New Roman"/>
          <w:lang w:val="fr-FR"/>
        </w:rPr>
        <w:t>dir</w:t>
      </w:r>
      <w:proofErr w:type="spellEnd"/>
      <w:r w:rsidR="003D77B8" w:rsidRPr="00167A1B">
        <w:rPr>
          <w:rFonts w:ascii="Times New Roman" w:hAnsi="Times New Roman" w:cs="Times New Roman"/>
          <w:lang w:val="fr-FR"/>
        </w:rPr>
        <w:t xml:space="preserve">.), </w:t>
      </w:r>
      <w:r w:rsidRPr="00167A1B">
        <w:rPr>
          <w:rFonts w:ascii="Times New Roman" w:hAnsi="Times New Roman" w:cs="Times New Roman"/>
          <w:i/>
          <w:iCs/>
          <w:lang w:val="fr-FR"/>
        </w:rPr>
        <w:t>Le nouveau livre XX du Code de droit économique consacré à l’insolvabilité des entreprises</w:t>
      </w:r>
      <w:r w:rsidRPr="00167A1B">
        <w:rPr>
          <w:rFonts w:ascii="Times New Roman" w:hAnsi="Times New Roman" w:cs="Times New Roman"/>
          <w:lang w:val="fr-FR"/>
        </w:rPr>
        <w:t xml:space="preserve">, </w:t>
      </w:r>
      <w:proofErr w:type="spellStart"/>
      <w:r w:rsidRPr="00167A1B">
        <w:rPr>
          <w:rFonts w:ascii="Times New Roman" w:hAnsi="Times New Roman" w:cs="Times New Roman"/>
          <w:lang w:val="fr-FR"/>
        </w:rPr>
        <w:t>Larcier</w:t>
      </w:r>
      <w:proofErr w:type="spellEnd"/>
      <w:r w:rsidRPr="00167A1B">
        <w:rPr>
          <w:rFonts w:ascii="Times New Roman" w:hAnsi="Times New Roman" w:cs="Times New Roman"/>
          <w:lang w:val="fr-FR"/>
        </w:rPr>
        <w:t xml:space="preserve">, 2017, p. 214 ; </w:t>
      </w:r>
      <w:r w:rsidR="00085D27" w:rsidRPr="00167A1B">
        <w:rPr>
          <w:rFonts w:ascii="Times New Roman" w:hAnsi="Times New Roman" w:cs="Times New Roman"/>
          <w:lang w:val="fr-FR"/>
        </w:rPr>
        <w:t xml:space="preserve">Exposé des motifs précité, </w:t>
      </w:r>
      <w:r w:rsidR="00085D27" w:rsidRPr="00167A1B">
        <w:rPr>
          <w:rFonts w:ascii="Times New Roman" w:hAnsi="Times New Roman" w:cs="Times New Roman"/>
          <w:i/>
          <w:iCs/>
          <w:lang w:val="fr-FR"/>
        </w:rPr>
        <w:t>Doc</w:t>
      </w:r>
      <w:r w:rsidR="00085D27" w:rsidRPr="00167A1B">
        <w:rPr>
          <w:rFonts w:ascii="Times New Roman" w:hAnsi="Times New Roman" w:cs="Times New Roman"/>
          <w:lang w:val="fr-FR"/>
        </w:rPr>
        <w:t xml:space="preserve">. </w:t>
      </w:r>
      <w:proofErr w:type="spellStart"/>
      <w:r w:rsidR="00085D27" w:rsidRPr="00167A1B">
        <w:rPr>
          <w:rFonts w:ascii="Times New Roman" w:hAnsi="Times New Roman" w:cs="Times New Roman"/>
        </w:rPr>
        <w:t>Parl</w:t>
      </w:r>
      <w:proofErr w:type="spellEnd"/>
      <w:r w:rsidR="00085D27" w:rsidRPr="00167A1B">
        <w:rPr>
          <w:rFonts w:ascii="Times New Roman" w:hAnsi="Times New Roman" w:cs="Times New Roman"/>
        </w:rPr>
        <w:t xml:space="preserve">., Ch. </w:t>
      </w:r>
      <w:proofErr w:type="spellStart"/>
      <w:r w:rsidR="00085D27" w:rsidRPr="00167A1B">
        <w:rPr>
          <w:rFonts w:ascii="Times New Roman" w:hAnsi="Times New Roman" w:cs="Times New Roman"/>
        </w:rPr>
        <w:t>repr</w:t>
      </w:r>
      <w:proofErr w:type="spellEnd"/>
      <w:r w:rsidR="00085D27" w:rsidRPr="00167A1B">
        <w:rPr>
          <w:rFonts w:ascii="Times New Roman" w:hAnsi="Times New Roman" w:cs="Times New Roman"/>
        </w:rPr>
        <w:t xml:space="preserve">. 2016-2017, n°54-2407/001, p. 84). </w:t>
      </w:r>
    </w:p>
  </w:footnote>
  <w:footnote w:id="46">
    <w:p w14:paraId="09CD8432" w14:textId="4C722D93" w:rsidR="00CB7E44" w:rsidRPr="00CB7E44" w:rsidRDefault="00CB7E44" w:rsidP="00CB7E44">
      <w:pPr>
        <w:pStyle w:val="Notedebasdepage"/>
        <w:jc w:val="both"/>
        <w:rPr>
          <w:rFonts w:ascii="Times New Roman" w:hAnsi="Times New Roman" w:cs="Times New Roman"/>
        </w:rPr>
      </w:pPr>
      <w:r w:rsidRPr="00CB7E44">
        <w:rPr>
          <w:rStyle w:val="Appelnotedebasdep"/>
          <w:rFonts w:ascii="Times New Roman" w:hAnsi="Times New Roman" w:cs="Times New Roman"/>
        </w:rPr>
        <w:footnoteRef/>
      </w:r>
      <w:r w:rsidRPr="00CB7E44">
        <w:rPr>
          <w:rFonts w:ascii="Times New Roman" w:hAnsi="Times New Roman" w:cs="Times New Roman"/>
        </w:rPr>
        <w:t xml:space="preserve"> En cas de saisie initiée par le créancier hypothécaire premier inscrit, </w:t>
      </w:r>
      <w:proofErr w:type="spellStart"/>
      <w:r w:rsidRPr="00CB7E44">
        <w:rPr>
          <w:rFonts w:ascii="Times New Roman" w:hAnsi="Times New Roman" w:cs="Times New Roman"/>
        </w:rPr>
        <w:t>voy</w:t>
      </w:r>
      <w:proofErr w:type="spellEnd"/>
      <w:r w:rsidRPr="00CB7E44">
        <w:rPr>
          <w:rFonts w:ascii="Times New Roman" w:hAnsi="Times New Roman" w:cs="Times New Roman"/>
        </w:rPr>
        <w:t xml:space="preserve">. </w:t>
      </w:r>
      <w:proofErr w:type="spellStart"/>
      <w:r w:rsidRPr="00CB7E44">
        <w:rPr>
          <w:rFonts w:ascii="Times New Roman" w:hAnsi="Times New Roman" w:cs="Times New Roman"/>
          <w:lang w:val="fr-FR"/>
        </w:rPr>
        <w:t>Civ</w:t>
      </w:r>
      <w:proofErr w:type="spellEnd"/>
      <w:r w:rsidRPr="00CB7E44">
        <w:rPr>
          <w:rFonts w:ascii="Times New Roman" w:hAnsi="Times New Roman" w:cs="Times New Roman"/>
          <w:lang w:val="fr-FR"/>
        </w:rPr>
        <w:t xml:space="preserve">. Liège (sais.), 20 mars 2019, </w:t>
      </w:r>
      <w:r w:rsidRPr="00CB7E44">
        <w:rPr>
          <w:rFonts w:ascii="Times New Roman" w:hAnsi="Times New Roman" w:cs="Times New Roman"/>
          <w:i/>
          <w:iCs/>
          <w:lang w:val="fr-FR"/>
        </w:rPr>
        <w:t>J.L.M.B</w:t>
      </w:r>
      <w:r w:rsidRPr="00CB7E44">
        <w:rPr>
          <w:rFonts w:ascii="Times New Roman" w:hAnsi="Times New Roman" w:cs="Times New Roman"/>
          <w:lang w:val="fr-FR"/>
        </w:rPr>
        <w:t xml:space="preserve">., 2020/8, p. 364, avec note Fr. GEORGES, « L’exception au monopole du curateur de vendre les immeubles de la masse </w:t>
      </w:r>
      <w:proofErr w:type="spellStart"/>
      <w:r w:rsidRPr="00CB7E44">
        <w:rPr>
          <w:rFonts w:ascii="Times New Roman" w:hAnsi="Times New Roman" w:cs="Times New Roman"/>
          <w:lang w:val="fr-FR"/>
        </w:rPr>
        <w:t>faillie</w:t>
      </w:r>
      <w:proofErr w:type="spellEnd"/>
      <w:r w:rsidRPr="00CB7E44">
        <w:rPr>
          <w:rFonts w:ascii="Times New Roman" w:hAnsi="Times New Roman" w:cs="Times New Roman"/>
          <w:lang w:val="fr-FR"/>
        </w:rPr>
        <w:t xml:space="preserve"> ». </w:t>
      </w:r>
    </w:p>
  </w:footnote>
  <w:footnote w:id="47">
    <w:p w14:paraId="28B432A2" w14:textId="7E73D27B" w:rsidR="004367EC" w:rsidRPr="00167A1B" w:rsidRDefault="00E8092E" w:rsidP="00B5673A">
      <w:pPr>
        <w:pStyle w:val="Notedebasdepage"/>
        <w:jc w:val="both"/>
        <w:rPr>
          <w:rFonts w:ascii="Times New Roman" w:hAnsi="Times New Roman" w:cs="Times New Roman"/>
          <w:lang w:val="fr-FR"/>
        </w:rPr>
      </w:pPr>
      <w:r w:rsidRPr="00167A1B">
        <w:rPr>
          <w:rFonts w:ascii="Times New Roman" w:eastAsia="Times New Roman" w:hAnsi="Times New Roman" w:cs="Times New Roman"/>
          <w:vertAlign w:val="superscript"/>
        </w:rPr>
        <w:footnoteRef/>
      </w:r>
      <w:r w:rsidRPr="00167A1B">
        <w:rPr>
          <w:rFonts w:ascii="Times New Roman" w:hAnsi="Times New Roman" w:cs="Times New Roman"/>
          <w:lang w:val="es-ES_tradnl"/>
        </w:rPr>
        <w:t xml:space="preserve">G. </w:t>
      </w:r>
      <w:r w:rsidR="00E24E9F">
        <w:rPr>
          <w:rFonts w:ascii="Times New Roman" w:hAnsi="Times New Roman" w:cs="Times New Roman"/>
          <w:lang w:val="es-ES_tradnl"/>
        </w:rPr>
        <w:t>de</w:t>
      </w:r>
      <w:r w:rsidRPr="00167A1B">
        <w:rPr>
          <w:rFonts w:ascii="Times New Roman" w:hAnsi="Times New Roman" w:cs="Times New Roman"/>
          <w:lang w:val="es-ES_tradnl"/>
        </w:rPr>
        <w:t xml:space="preserve"> LEVAL, </w:t>
      </w:r>
      <w:r w:rsidRPr="00167A1B">
        <w:rPr>
          <w:rFonts w:ascii="Times New Roman" w:hAnsi="Times New Roman" w:cs="Times New Roman"/>
          <w:i/>
          <w:iCs/>
          <w:lang w:val="fr-FR"/>
        </w:rPr>
        <w:t>La saisie immobilière</w:t>
      </w:r>
      <w:r w:rsidRPr="00167A1B">
        <w:rPr>
          <w:rFonts w:ascii="Times New Roman" w:hAnsi="Times New Roman" w:cs="Times New Roman"/>
          <w:lang w:val="fr-FR"/>
        </w:rPr>
        <w:t xml:space="preserve">, </w:t>
      </w:r>
      <w:proofErr w:type="spellStart"/>
      <w:r w:rsidRPr="00167A1B">
        <w:rPr>
          <w:rFonts w:ascii="Times New Roman" w:hAnsi="Times New Roman" w:cs="Times New Roman"/>
          <w:i/>
          <w:iCs/>
          <w:lang w:val="fr-FR"/>
        </w:rPr>
        <w:t>op.cit</w:t>
      </w:r>
      <w:proofErr w:type="spellEnd"/>
      <w:r w:rsidRPr="00167A1B">
        <w:rPr>
          <w:rFonts w:ascii="Times New Roman" w:hAnsi="Times New Roman" w:cs="Times New Roman"/>
        </w:rPr>
        <w:t xml:space="preserve">., p. 419. </w:t>
      </w:r>
      <w:r w:rsidRPr="00167A1B">
        <w:rPr>
          <w:rFonts w:ascii="Times New Roman" w:hAnsi="Times New Roman" w:cs="Times New Roman"/>
          <w:lang w:val="fr-FR"/>
        </w:rPr>
        <w:t>En cas de remise ou d’abandon de la vente, il convient pour le notaire d’arrêter sa mission pour autant</w:t>
      </w:r>
      <w:r w:rsidR="00085D27" w:rsidRPr="00167A1B">
        <w:rPr>
          <w:rFonts w:ascii="Times New Roman" w:hAnsi="Times New Roman" w:cs="Times New Roman"/>
          <w:lang w:val="fr-FR"/>
        </w:rPr>
        <w:t xml:space="preserve"> que</w:t>
      </w:r>
      <w:r w:rsidRPr="00167A1B">
        <w:rPr>
          <w:rFonts w:ascii="Times New Roman" w:hAnsi="Times New Roman" w:cs="Times New Roman"/>
          <w:lang w:val="fr-FR"/>
        </w:rPr>
        <w:t xml:space="preserve"> les frais réels qu’il a exposés jusqu’à ce moment soient versés à l’huissier </w:t>
      </w:r>
      <w:r w:rsidRPr="00097755">
        <w:rPr>
          <w:rFonts w:ascii="Times New Roman" w:hAnsi="Times New Roman" w:cs="Times New Roman"/>
          <w:lang w:val="fr-FR"/>
        </w:rPr>
        <w:t xml:space="preserve">pour lui être ensuite transférés (G. </w:t>
      </w:r>
      <w:r w:rsidR="00E24E9F" w:rsidRPr="00097755">
        <w:rPr>
          <w:rFonts w:ascii="Times New Roman" w:hAnsi="Times New Roman" w:cs="Times New Roman"/>
          <w:lang w:val="fr-FR"/>
        </w:rPr>
        <w:t>de</w:t>
      </w:r>
      <w:r w:rsidRPr="00097755">
        <w:rPr>
          <w:rFonts w:ascii="Times New Roman" w:hAnsi="Times New Roman" w:cs="Times New Roman"/>
          <w:lang w:val="fr-FR"/>
        </w:rPr>
        <w:t xml:space="preserve"> LEVAL, </w:t>
      </w:r>
      <w:r w:rsidRPr="00CB7E44">
        <w:rPr>
          <w:rFonts w:ascii="Times New Roman" w:hAnsi="Times New Roman" w:cs="Times New Roman"/>
          <w:i/>
          <w:iCs/>
          <w:lang w:val="fr-FR"/>
        </w:rPr>
        <w:t>ibid.</w:t>
      </w:r>
      <w:r w:rsidRPr="00CB7E44">
        <w:rPr>
          <w:rFonts w:ascii="Times New Roman" w:hAnsi="Times New Roman" w:cs="Times New Roman"/>
          <w:lang w:val="fr-FR"/>
        </w:rPr>
        <w:t>, p. 422</w:t>
      </w:r>
      <w:r w:rsidR="00E24E9F" w:rsidRPr="00CB7E44">
        <w:rPr>
          <w:rFonts w:ascii="Times New Roman" w:hAnsi="Times New Roman" w:cs="Times New Roman"/>
          <w:lang w:val="fr-FR"/>
        </w:rPr>
        <w:t>)</w:t>
      </w:r>
      <w:r w:rsidR="00085D27" w:rsidRPr="00CB7E44">
        <w:rPr>
          <w:rFonts w:ascii="Times New Roman" w:hAnsi="Times New Roman" w:cs="Times New Roman"/>
          <w:lang w:val="fr-FR"/>
        </w:rPr>
        <w:t>. S</w:t>
      </w:r>
      <w:r w:rsidRPr="00CB7E44">
        <w:rPr>
          <w:rFonts w:ascii="Times New Roman" w:hAnsi="Times New Roman" w:cs="Times New Roman"/>
          <w:lang w:val="fr-FR"/>
        </w:rPr>
        <w:t xml:space="preserve">elon l’auteur, on peut s’interroger sur la nécessité d’une intervention de l’huissier et </w:t>
      </w:r>
      <w:r w:rsidR="00E24E9F" w:rsidRPr="00CB7E44">
        <w:rPr>
          <w:rFonts w:ascii="Times New Roman" w:hAnsi="Times New Roman" w:cs="Times New Roman"/>
          <w:lang w:val="fr-FR"/>
        </w:rPr>
        <w:t>sur le fait que</w:t>
      </w:r>
      <w:r w:rsidRPr="00CB7E44">
        <w:rPr>
          <w:rFonts w:ascii="Times New Roman" w:hAnsi="Times New Roman" w:cs="Times New Roman"/>
          <w:lang w:val="fr-FR"/>
        </w:rPr>
        <w:t xml:space="preserve"> que ce principe ne soit pas appliqué en cas de saisie mobilière suspendue ou abandonnée</w:t>
      </w:r>
      <w:r w:rsidR="00E24E9F" w:rsidRPr="00CB7E44">
        <w:rPr>
          <w:rFonts w:ascii="Times New Roman" w:hAnsi="Times New Roman" w:cs="Times New Roman"/>
          <w:lang w:val="fr-FR"/>
        </w:rPr>
        <w:t>,</w:t>
      </w:r>
      <w:r w:rsidRPr="00CB7E44">
        <w:rPr>
          <w:rFonts w:ascii="Times New Roman" w:hAnsi="Times New Roman" w:cs="Times New Roman"/>
          <w:lang w:val="fr-FR"/>
        </w:rPr>
        <w:t xml:space="preserve"> alors que tel est le cas </w:t>
      </w:r>
      <w:r w:rsidR="00D658CA">
        <w:rPr>
          <w:rFonts w:ascii="Times New Roman" w:hAnsi="Times New Roman" w:cs="Times New Roman"/>
          <w:lang w:val="fr-FR"/>
        </w:rPr>
        <w:t>en</w:t>
      </w:r>
      <w:r w:rsidRPr="00CB7E44">
        <w:rPr>
          <w:rFonts w:ascii="Times New Roman" w:hAnsi="Times New Roman" w:cs="Times New Roman"/>
          <w:lang w:val="fr-FR"/>
        </w:rPr>
        <w:t xml:space="preserve"> matière de procédure de réorganisation judiciaire.</w:t>
      </w:r>
      <w:r w:rsidRPr="00097755">
        <w:rPr>
          <w:rFonts w:ascii="Times New Roman" w:hAnsi="Times New Roman" w:cs="Times New Roman"/>
          <w:lang w:val="fr-FR"/>
        </w:rPr>
        <w:t xml:space="preserve"> Comme en matière de vente mobilière, la demande de suspension est introduite devant le juge commissaire.</w:t>
      </w:r>
      <w:r w:rsidRPr="00167A1B">
        <w:rPr>
          <w:rFonts w:ascii="Times New Roman" w:hAnsi="Times New Roman" w:cs="Times New Roman"/>
          <w:lang w:val="fr-FR"/>
        </w:rPr>
        <w:t xml:space="preserve"> Nous renvoyons le lecteur à nos développements </w:t>
      </w:r>
      <w:r w:rsidR="005D641B" w:rsidRPr="00167A1B">
        <w:rPr>
          <w:rFonts w:ascii="Times New Roman" w:hAnsi="Times New Roman" w:cs="Times New Roman"/>
          <w:lang w:val="fr-FR"/>
        </w:rPr>
        <w:t xml:space="preserve">émis précédemment </w:t>
      </w:r>
      <w:r w:rsidRPr="00167A1B">
        <w:rPr>
          <w:rFonts w:ascii="Times New Roman" w:hAnsi="Times New Roman" w:cs="Times New Roman"/>
          <w:lang w:val="fr-FR"/>
        </w:rPr>
        <w:t xml:space="preserve">quant </w:t>
      </w:r>
      <w:r w:rsidR="009962BE" w:rsidRPr="00167A1B">
        <w:rPr>
          <w:rFonts w:ascii="Times New Roman" w:hAnsi="Times New Roman" w:cs="Times New Roman"/>
          <w:lang w:val="fr-FR"/>
        </w:rPr>
        <w:t>au choix de ce juge par le législateur</w:t>
      </w:r>
      <w:r w:rsidR="005D641B" w:rsidRPr="00167A1B">
        <w:rPr>
          <w:rFonts w:ascii="Times New Roman" w:hAnsi="Times New Roman" w:cs="Times New Roman"/>
          <w:lang w:val="fr-FR"/>
        </w:rPr>
        <w:t xml:space="preserve"> (</w:t>
      </w:r>
      <w:proofErr w:type="spellStart"/>
      <w:r w:rsidR="005D641B" w:rsidRPr="00167A1B">
        <w:rPr>
          <w:rFonts w:ascii="Times New Roman" w:hAnsi="Times New Roman" w:cs="Times New Roman"/>
          <w:lang w:val="fr-FR"/>
        </w:rPr>
        <w:t>voy</w:t>
      </w:r>
      <w:proofErr w:type="spellEnd"/>
      <w:r w:rsidR="005D641B" w:rsidRPr="00167A1B">
        <w:rPr>
          <w:rFonts w:ascii="Times New Roman" w:hAnsi="Times New Roman" w:cs="Times New Roman"/>
          <w:lang w:val="fr-FR"/>
        </w:rPr>
        <w:t xml:space="preserve">. </w:t>
      </w:r>
      <w:proofErr w:type="gramStart"/>
      <w:r w:rsidR="00C91DFF" w:rsidRPr="00167A1B">
        <w:rPr>
          <w:rFonts w:ascii="Times New Roman" w:hAnsi="Times New Roman" w:cs="Times New Roman"/>
          <w:i/>
          <w:iCs/>
          <w:lang w:val="fr-FR"/>
        </w:rPr>
        <w:t>supra</w:t>
      </w:r>
      <w:proofErr w:type="gramEnd"/>
      <w:r w:rsidR="00C91DFF" w:rsidRPr="00167A1B">
        <w:rPr>
          <w:rFonts w:ascii="Times New Roman" w:hAnsi="Times New Roman" w:cs="Times New Roman"/>
          <w:lang w:val="fr-FR"/>
        </w:rPr>
        <w:t xml:space="preserve">, note </w:t>
      </w:r>
      <w:proofErr w:type="spellStart"/>
      <w:r w:rsidR="00C91DFF" w:rsidRPr="00167A1B">
        <w:rPr>
          <w:rFonts w:ascii="Times New Roman" w:hAnsi="Times New Roman" w:cs="Times New Roman"/>
          <w:lang w:val="fr-FR"/>
        </w:rPr>
        <w:t>subpaginale</w:t>
      </w:r>
      <w:proofErr w:type="spellEnd"/>
      <w:r w:rsidR="00C91DFF" w:rsidRPr="00167A1B">
        <w:rPr>
          <w:rFonts w:ascii="Times New Roman" w:hAnsi="Times New Roman" w:cs="Times New Roman"/>
          <w:lang w:val="fr-FR"/>
        </w:rPr>
        <w:t xml:space="preserve"> n°</w:t>
      </w:r>
      <w:r w:rsidR="00AA6F38" w:rsidRPr="00167A1B">
        <w:rPr>
          <w:rFonts w:ascii="Times New Roman" w:hAnsi="Times New Roman" w:cs="Times New Roman"/>
          <w:lang w:val="fr-FR"/>
        </w:rPr>
        <w:t xml:space="preserve"> </w:t>
      </w:r>
      <w:r w:rsidR="00C91DFF" w:rsidRPr="00167A1B">
        <w:rPr>
          <w:rFonts w:ascii="Times New Roman" w:hAnsi="Times New Roman" w:cs="Times New Roman"/>
          <w:lang w:val="fr-FR"/>
        </w:rPr>
        <w:t>4</w:t>
      </w:r>
      <w:r w:rsidR="00C927FE">
        <w:rPr>
          <w:rFonts w:ascii="Times New Roman" w:hAnsi="Times New Roman" w:cs="Times New Roman"/>
          <w:lang w:val="fr-FR"/>
        </w:rPr>
        <w:t>0</w:t>
      </w:r>
      <w:r w:rsidR="00C91DFF" w:rsidRPr="00167A1B">
        <w:rPr>
          <w:rFonts w:ascii="Times New Roman" w:hAnsi="Times New Roman" w:cs="Times New Roman"/>
          <w:lang w:val="fr-FR"/>
        </w:rPr>
        <w:t xml:space="preserve">). </w:t>
      </w:r>
    </w:p>
  </w:footnote>
  <w:footnote w:id="48">
    <w:p w14:paraId="4B2F0B2C" w14:textId="1D38C855" w:rsidR="004367EC" w:rsidRPr="00167A1B" w:rsidRDefault="00E8092E" w:rsidP="00B5673A">
      <w:pPr>
        <w:pStyle w:val="Notedebasdepage"/>
        <w:jc w:val="both"/>
        <w:rPr>
          <w:rFonts w:ascii="Times New Roman" w:hAnsi="Times New Roman" w:cs="Times New Roman"/>
          <w:lang w:val="fr-FR"/>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Selon G</w:t>
      </w:r>
      <w:r w:rsidR="006F5127" w:rsidRPr="00167A1B">
        <w:rPr>
          <w:rFonts w:ascii="Times New Roman" w:hAnsi="Times New Roman" w:cs="Times New Roman"/>
          <w:lang w:val="fr-FR"/>
        </w:rPr>
        <w:t>.</w:t>
      </w:r>
      <w:r w:rsidRPr="00167A1B">
        <w:rPr>
          <w:rFonts w:ascii="Times New Roman" w:hAnsi="Times New Roman" w:cs="Times New Roman"/>
          <w:lang w:val="fr-FR"/>
        </w:rPr>
        <w:t xml:space="preserve"> </w:t>
      </w:r>
      <w:r w:rsidR="006F5127" w:rsidRPr="00167A1B">
        <w:rPr>
          <w:rFonts w:ascii="Times New Roman" w:hAnsi="Times New Roman" w:cs="Times New Roman"/>
          <w:lang w:val="fr-FR"/>
        </w:rPr>
        <w:t>d</w:t>
      </w:r>
      <w:r w:rsidRPr="00167A1B">
        <w:rPr>
          <w:rFonts w:ascii="Times New Roman" w:hAnsi="Times New Roman" w:cs="Times New Roman"/>
          <w:lang w:val="fr-FR"/>
        </w:rPr>
        <w:t xml:space="preserve">e </w:t>
      </w:r>
      <w:proofErr w:type="spellStart"/>
      <w:r w:rsidRPr="00167A1B">
        <w:rPr>
          <w:rFonts w:ascii="Times New Roman" w:hAnsi="Times New Roman" w:cs="Times New Roman"/>
          <w:lang w:val="fr-FR"/>
        </w:rPr>
        <w:t>Leval</w:t>
      </w:r>
      <w:proofErr w:type="spellEnd"/>
      <w:r w:rsidRPr="00167A1B">
        <w:rPr>
          <w:rFonts w:ascii="Times New Roman" w:hAnsi="Times New Roman" w:cs="Times New Roman"/>
          <w:lang w:val="fr-FR"/>
        </w:rPr>
        <w:t xml:space="preserve"> et </w:t>
      </w:r>
      <w:r w:rsidR="006F5127" w:rsidRPr="00167A1B">
        <w:rPr>
          <w:rFonts w:ascii="Times New Roman" w:hAnsi="Times New Roman" w:cs="Times New Roman"/>
          <w:lang w:val="fr-FR"/>
        </w:rPr>
        <w:t>N.</w:t>
      </w:r>
      <w:r w:rsidRPr="00167A1B">
        <w:rPr>
          <w:rFonts w:ascii="Times New Roman" w:hAnsi="Times New Roman" w:cs="Times New Roman"/>
          <w:lang w:val="fr-FR"/>
        </w:rPr>
        <w:t xml:space="preserve"> </w:t>
      </w:r>
      <w:proofErr w:type="spellStart"/>
      <w:r w:rsidRPr="00167A1B">
        <w:rPr>
          <w:rFonts w:ascii="Times New Roman" w:hAnsi="Times New Roman" w:cs="Times New Roman"/>
          <w:lang w:val="fr-FR"/>
        </w:rPr>
        <w:t>Ouchinsky</w:t>
      </w:r>
      <w:proofErr w:type="spellEnd"/>
      <w:r w:rsidRPr="00167A1B">
        <w:rPr>
          <w:rFonts w:ascii="Times New Roman" w:hAnsi="Times New Roman" w:cs="Times New Roman"/>
          <w:lang w:val="fr-FR"/>
        </w:rPr>
        <w:t>, il est nécessaire que cette demande ait un effet suspensif pour éviter que, pendant l’examen de la demande de suspension ou d’abandon de la vente, il ne soit procéd</w:t>
      </w:r>
      <w:r w:rsidR="005E260D" w:rsidRPr="00167A1B">
        <w:rPr>
          <w:rFonts w:ascii="Times New Roman" w:hAnsi="Times New Roman" w:cs="Times New Roman"/>
          <w:lang w:val="fr-FR"/>
        </w:rPr>
        <w:t>é</w:t>
      </w:r>
      <w:r w:rsidRPr="00167A1B">
        <w:rPr>
          <w:rFonts w:ascii="Times New Roman" w:hAnsi="Times New Roman" w:cs="Times New Roman"/>
          <w:lang w:val="fr-FR"/>
        </w:rPr>
        <w:t xml:space="preserve"> à des coûts inutiles (G. </w:t>
      </w:r>
      <w:r w:rsidR="006F5127" w:rsidRPr="00167A1B">
        <w:rPr>
          <w:rFonts w:ascii="Times New Roman" w:hAnsi="Times New Roman" w:cs="Times New Roman"/>
          <w:lang w:val="fr-FR"/>
        </w:rPr>
        <w:t xml:space="preserve">de </w:t>
      </w:r>
      <w:r w:rsidRPr="00167A1B">
        <w:rPr>
          <w:rFonts w:ascii="Times New Roman" w:hAnsi="Times New Roman" w:cs="Times New Roman"/>
          <w:lang w:val="fr-FR"/>
        </w:rPr>
        <w:t xml:space="preserve">LEVAL, </w:t>
      </w:r>
      <w:r w:rsidR="000E7259">
        <w:rPr>
          <w:rFonts w:ascii="Times New Roman" w:hAnsi="Times New Roman" w:cs="Times New Roman"/>
          <w:i/>
          <w:iCs/>
          <w:lang w:val="fr-FR"/>
        </w:rPr>
        <w:t xml:space="preserve">ibid., </w:t>
      </w:r>
      <w:r w:rsidRPr="00167A1B">
        <w:rPr>
          <w:rFonts w:ascii="Times New Roman" w:hAnsi="Times New Roman" w:cs="Times New Roman"/>
          <w:lang w:val="fr-FR"/>
        </w:rPr>
        <w:t xml:space="preserve">p. 422 ; N. OUCHINSKY, « Les innovations du livre XX du Code de droit économique en matière de faillite - Questions choisies », </w:t>
      </w:r>
      <w:r w:rsidR="004271EC" w:rsidRPr="00167A1B">
        <w:rPr>
          <w:rFonts w:ascii="Times New Roman" w:hAnsi="Times New Roman" w:cs="Times New Roman"/>
          <w:i/>
          <w:iCs/>
          <w:lang w:val="fr-FR"/>
        </w:rPr>
        <w:t>op.cit</w:t>
      </w:r>
      <w:r w:rsidR="004271EC" w:rsidRPr="00167A1B">
        <w:rPr>
          <w:rFonts w:ascii="Times New Roman" w:hAnsi="Times New Roman" w:cs="Times New Roman"/>
          <w:lang w:val="fr-FR"/>
        </w:rPr>
        <w:t>., pp. 513 et s.)</w:t>
      </w:r>
    </w:p>
  </w:footnote>
  <w:footnote w:id="49">
    <w:p w14:paraId="66CC7F6F" w14:textId="65F58F3D"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G. </w:t>
      </w:r>
      <w:r w:rsidR="006F5127" w:rsidRPr="00167A1B">
        <w:rPr>
          <w:rFonts w:ascii="Times New Roman" w:hAnsi="Times New Roman" w:cs="Times New Roman"/>
          <w:lang w:val="fr-FR"/>
        </w:rPr>
        <w:t xml:space="preserve">de </w:t>
      </w:r>
      <w:r w:rsidRPr="00167A1B">
        <w:rPr>
          <w:rFonts w:ascii="Times New Roman" w:hAnsi="Times New Roman" w:cs="Times New Roman"/>
          <w:lang w:val="fr-FR"/>
        </w:rPr>
        <w:t xml:space="preserve">LEVAL, </w:t>
      </w:r>
      <w:r w:rsidRPr="00167A1B">
        <w:rPr>
          <w:rFonts w:ascii="Times New Roman" w:hAnsi="Times New Roman" w:cs="Times New Roman"/>
          <w:i/>
          <w:iCs/>
          <w:lang w:val="fr-FR"/>
        </w:rPr>
        <w:t>ibid</w:t>
      </w:r>
      <w:r w:rsidRPr="00167A1B">
        <w:rPr>
          <w:rFonts w:ascii="Times New Roman" w:hAnsi="Times New Roman" w:cs="Times New Roman"/>
          <w:lang w:val="fr-FR"/>
        </w:rPr>
        <w:t>. p. 419 ; article XX.120, §</w:t>
      </w:r>
      <w:r w:rsidR="006F5127" w:rsidRPr="00167A1B">
        <w:rPr>
          <w:rFonts w:ascii="Times New Roman" w:hAnsi="Times New Roman" w:cs="Times New Roman"/>
          <w:lang w:val="fr-FR"/>
        </w:rPr>
        <w:t xml:space="preserve"> </w:t>
      </w:r>
      <w:r w:rsidRPr="00167A1B">
        <w:rPr>
          <w:rFonts w:ascii="Times New Roman" w:hAnsi="Times New Roman" w:cs="Times New Roman"/>
          <w:lang w:val="fr-FR"/>
        </w:rPr>
        <w:t>2</w:t>
      </w:r>
      <w:r w:rsidR="00B63C8C" w:rsidRPr="00167A1B">
        <w:rPr>
          <w:rFonts w:ascii="Times New Roman" w:hAnsi="Times New Roman" w:cs="Times New Roman"/>
          <w:lang w:val="fr-FR"/>
        </w:rPr>
        <w:t xml:space="preserve">, </w:t>
      </w:r>
      <w:r w:rsidRPr="00167A1B">
        <w:rPr>
          <w:rFonts w:ascii="Times New Roman" w:hAnsi="Times New Roman" w:cs="Times New Roman"/>
          <w:lang w:val="fr-FR"/>
        </w:rPr>
        <w:t>du C.D.E. L’article XX.120, §</w:t>
      </w:r>
      <w:r w:rsidR="006F5127" w:rsidRPr="00167A1B">
        <w:rPr>
          <w:rFonts w:ascii="Times New Roman" w:hAnsi="Times New Roman" w:cs="Times New Roman"/>
          <w:lang w:val="fr-FR"/>
        </w:rPr>
        <w:t xml:space="preserve"> </w:t>
      </w:r>
      <w:r w:rsidRPr="00167A1B">
        <w:rPr>
          <w:rFonts w:ascii="Times New Roman" w:hAnsi="Times New Roman" w:cs="Times New Roman"/>
          <w:lang w:val="fr-FR"/>
        </w:rPr>
        <w:t>2</w:t>
      </w:r>
      <w:r w:rsidR="00B63C8C" w:rsidRPr="00167A1B">
        <w:rPr>
          <w:rFonts w:ascii="Times New Roman" w:hAnsi="Times New Roman" w:cs="Times New Roman"/>
          <w:lang w:val="fr-FR"/>
        </w:rPr>
        <w:t xml:space="preserve">, </w:t>
      </w:r>
      <w:r w:rsidRPr="00167A1B">
        <w:rPr>
          <w:rFonts w:ascii="Times New Roman" w:hAnsi="Times New Roman" w:cs="Times New Roman"/>
          <w:lang w:val="fr-FR"/>
        </w:rPr>
        <w:t xml:space="preserve">du C.D.E. vise aussi l’hypothèse de la saisie mobilière contre plusieurs débiteurs copropriétaires. Dans tel cas, il appartiendra à l’huissier de justice de répartir le prix et de procéder à une distribution par contribution allégée. </w:t>
      </w:r>
    </w:p>
  </w:footnote>
  <w:footnote w:id="50">
    <w:p w14:paraId="4E41A71B" w14:textId="7A77C137" w:rsidR="004367EC" w:rsidRPr="00167A1B" w:rsidRDefault="00E8092E" w:rsidP="00B5673A">
      <w:pPr>
        <w:pStyle w:val="Notedebasdepage"/>
        <w:jc w:val="both"/>
        <w:rPr>
          <w:rFonts w:ascii="Times New Roman" w:hAnsi="Times New Roman" w:cs="Times New Roman"/>
          <w:lang w:val="fr-FR"/>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G. </w:t>
      </w:r>
      <w:r w:rsidR="006F5127" w:rsidRPr="00167A1B">
        <w:rPr>
          <w:rFonts w:ascii="Times New Roman" w:hAnsi="Times New Roman" w:cs="Times New Roman"/>
          <w:lang w:val="fr-FR"/>
        </w:rPr>
        <w:t xml:space="preserve">de </w:t>
      </w:r>
      <w:r w:rsidRPr="00167A1B">
        <w:rPr>
          <w:rFonts w:ascii="Times New Roman" w:hAnsi="Times New Roman" w:cs="Times New Roman"/>
          <w:lang w:val="fr-FR"/>
        </w:rPr>
        <w:t xml:space="preserve">LEVAL, </w:t>
      </w:r>
      <w:r w:rsidRPr="00167A1B">
        <w:rPr>
          <w:rFonts w:ascii="Times New Roman" w:hAnsi="Times New Roman" w:cs="Times New Roman"/>
          <w:i/>
          <w:iCs/>
          <w:lang w:val="fr-FR"/>
        </w:rPr>
        <w:t>ibid</w:t>
      </w:r>
      <w:r w:rsidRPr="00167A1B">
        <w:rPr>
          <w:rFonts w:ascii="Times New Roman" w:hAnsi="Times New Roman" w:cs="Times New Roman"/>
          <w:lang w:val="fr-FR"/>
        </w:rPr>
        <w:t>., p. 423. Selon</w:t>
      </w:r>
      <w:r w:rsidR="004271EC" w:rsidRPr="00167A1B">
        <w:rPr>
          <w:rFonts w:ascii="Times New Roman" w:hAnsi="Times New Roman" w:cs="Times New Roman"/>
          <w:lang w:val="fr-FR"/>
        </w:rPr>
        <w:t xml:space="preserve"> cet auteur</w:t>
      </w:r>
      <w:r w:rsidRPr="00167A1B">
        <w:rPr>
          <w:rFonts w:ascii="Times New Roman" w:hAnsi="Times New Roman" w:cs="Times New Roman"/>
          <w:lang w:val="fr-FR"/>
        </w:rPr>
        <w:t>, l’article XX.120, §</w:t>
      </w:r>
      <w:r w:rsidR="006F5127" w:rsidRPr="00167A1B">
        <w:rPr>
          <w:rFonts w:ascii="Times New Roman" w:hAnsi="Times New Roman" w:cs="Times New Roman"/>
          <w:lang w:val="fr-FR"/>
        </w:rPr>
        <w:t xml:space="preserve"> </w:t>
      </w:r>
      <w:r w:rsidRPr="00167A1B">
        <w:rPr>
          <w:rFonts w:ascii="Times New Roman" w:hAnsi="Times New Roman" w:cs="Times New Roman"/>
          <w:lang w:val="fr-FR"/>
        </w:rPr>
        <w:t>2</w:t>
      </w:r>
      <w:r w:rsidR="00B63C8C" w:rsidRPr="00167A1B">
        <w:rPr>
          <w:rFonts w:ascii="Times New Roman" w:hAnsi="Times New Roman" w:cs="Times New Roman"/>
          <w:lang w:val="fr-FR"/>
        </w:rPr>
        <w:t>, du C.D.E.</w:t>
      </w:r>
      <w:r w:rsidRPr="00167A1B">
        <w:rPr>
          <w:rFonts w:ascii="Times New Roman" w:hAnsi="Times New Roman" w:cs="Times New Roman"/>
          <w:lang w:val="fr-FR"/>
        </w:rPr>
        <w:t xml:space="preserve"> est insuffisant dans la mesure où il ne concerne pas le cas où l’immeuble appartient en copropriété au débiteur failli et à d’autres personnes, </w:t>
      </w:r>
      <w:r w:rsidRPr="00167A1B">
        <w:rPr>
          <w:rFonts w:ascii="Times New Roman" w:hAnsi="Times New Roman" w:cs="Times New Roman"/>
          <w:i/>
          <w:iCs/>
          <w:lang w:val="fr-FR"/>
        </w:rPr>
        <w:t>non débitrice</w:t>
      </w:r>
      <w:r w:rsidR="00742637" w:rsidRPr="00167A1B">
        <w:rPr>
          <w:rFonts w:ascii="Times New Roman" w:hAnsi="Times New Roman" w:cs="Times New Roman"/>
          <w:i/>
          <w:iCs/>
          <w:lang w:val="fr-FR"/>
        </w:rPr>
        <w:t xml:space="preserve">s </w:t>
      </w:r>
      <w:r w:rsidRPr="00167A1B">
        <w:rPr>
          <w:rFonts w:ascii="Times New Roman" w:hAnsi="Times New Roman" w:cs="Times New Roman"/>
          <w:lang w:val="fr-FR"/>
        </w:rPr>
        <w:t>(c’est nous qui soulignons)</w:t>
      </w:r>
      <w:r w:rsidR="00742637" w:rsidRPr="00167A1B">
        <w:rPr>
          <w:rFonts w:ascii="Times New Roman" w:hAnsi="Times New Roman" w:cs="Times New Roman"/>
          <w:lang w:val="fr-FR"/>
        </w:rPr>
        <w:t xml:space="preserve">, contrairement à ce que prévoit l’article XX.193, §2, du C.D.E. </w:t>
      </w:r>
      <w:r w:rsidR="009962BE" w:rsidRPr="00167A1B">
        <w:rPr>
          <w:rFonts w:ascii="Times New Roman" w:hAnsi="Times New Roman" w:cs="Times New Roman"/>
          <w:lang w:val="fr-FR"/>
        </w:rPr>
        <w:t>A la différence de</w:t>
      </w:r>
      <w:r w:rsidRPr="00167A1B">
        <w:rPr>
          <w:rFonts w:ascii="Times New Roman" w:hAnsi="Times New Roman" w:cs="Times New Roman"/>
          <w:lang w:val="fr-FR"/>
        </w:rPr>
        <w:t xml:space="preserve"> Hugues Simon, nous n’apercevons pas de différence de traitement entre l’article XX.120, §</w:t>
      </w:r>
      <w:r w:rsidR="006F5127" w:rsidRPr="00167A1B">
        <w:rPr>
          <w:rFonts w:ascii="Times New Roman" w:hAnsi="Times New Roman" w:cs="Times New Roman"/>
          <w:lang w:val="fr-FR"/>
        </w:rPr>
        <w:t xml:space="preserve"> </w:t>
      </w:r>
      <w:r w:rsidRPr="00167A1B">
        <w:rPr>
          <w:rFonts w:ascii="Times New Roman" w:hAnsi="Times New Roman" w:cs="Times New Roman"/>
          <w:lang w:val="fr-FR"/>
        </w:rPr>
        <w:t>2</w:t>
      </w:r>
      <w:r w:rsidR="00B63C8C" w:rsidRPr="00167A1B">
        <w:rPr>
          <w:rFonts w:ascii="Times New Roman" w:hAnsi="Times New Roman" w:cs="Times New Roman"/>
          <w:lang w:val="fr-FR"/>
        </w:rPr>
        <w:t>,</w:t>
      </w:r>
      <w:r w:rsidR="006F5127" w:rsidRPr="00167A1B">
        <w:rPr>
          <w:rFonts w:ascii="Times New Roman" w:hAnsi="Times New Roman" w:cs="Times New Roman"/>
          <w:lang w:val="fr-FR"/>
        </w:rPr>
        <w:t xml:space="preserve"> </w:t>
      </w:r>
      <w:r w:rsidRPr="00167A1B">
        <w:rPr>
          <w:rFonts w:ascii="Times New Roman" w:hAnsi="Times New Roman" w:cs="Times New Roman"/>
          <w:lang w:val="fr-FR"/>
        </w:rPr>
        <w:t>C.D.E. et 1561 du C.</w:t>
      </w:r>
      <w:r w:rsidR="004271EC" w:rsidRPr="00167A1B">
        <w:rPr>
          <w:rFonts w:ascii="Times New Roman" w:hAnsi="Times New Roman" w:cs="Times New Roman"/>
          <w:lang w:val="fr-FR"/>
        </w:rPr>
        <w:t xml:space="preserve"> </w:t>
      </w:r>
      <w:proofErr w:type="spellStart"/>
      <w:r w:rsidRPr="00167A1B">
        <w:rPr>
          <w:rFonts w:ascii="Times New Roman" w:hAnsi="Times New Roman" w:cs="Times New Roman"/>
          <w:lang w:val="fr-FR"/>
        </w:rPr>
        <w:t>Jud</w:t>
      </w:r>
      <w:proofErr w:type="spellEnd"/>
      <w:r w:rsidRPr="00167A1B">
        <w:rPr>
          <w:rFonts w:ascii="Times New Roman" w:hAnsi="Times New Roman" w:cs="Times New Roman"/>
          <w:lang w:val="fr-FR"/>
        </w:rPr>
        <w:t xml:space="preserve">. </w:t>
      </w:r>
      <w:proofErr w:type="gramStart"/>
      <w:r w:rsidRPr="00167A1B">
        <w:rPr>
          <w:rFonts w:ascii="Times New Roman" w:hAnsi="Times New Roman" w:cs="Times New Roman"/>
          <w:lang w:val="fr-FR"/>
        </w:rPr>
        <w:t>dans</w:t>
      </w:r>
      <w:proofErr w:type="gramEnd"/>
      <w:r w:rsidRPr="00167A1B">
        <w:rPr>
          <w:rFonts w:ascii="Times New Roman" w:hAnsi="Times New Roman" w:cs="Times New Roman"/>
          <w:lang w:val="fr-FR"/>
        </w:rPr>
        <w:t xml:space="preserve"> la mesure où il n’est pas nécessaire de passer par la procédure de liquidation-partage lorsque les poursuites sont dirigées contre plusieurs copropriétaires, tous débiteurs, en cas de survenance d’une faillite ou non (H. SIMON, « Saisies et procédures collectives d’insolvabilité : la désunion sacrée », </w:t>
      </w:r>
      <w:r w:rsidRPr="00167A1B">
        <w:rPr>
          <w:rFonts w:ascii="Times New Roman" w:hAnsi="Times New Roman" w:cs="Times New Roman"/>
          <w:i/>
          <w:iCs/>
          <w:lang w:val="fr-FR"/>
        </w:rPr>
        <w:t>op.cit</w:t>
      </w:r>
      <w:r w:rsidRPr="00167A1B">
        <w:rPr>
          <w:rFonts w:ascii="Times New Roman" w:hAnsi="Times New Roman" w:cs="Times New Roman"/>
          <w:lang w:val="fr-FR"/>
        </w:rPr>
        <w:t xml:space="preserve">., p. 118). </w:t>
      </w:r>
      <w:proofErr w:type="spellStart"/>
      <w:r w:rsidR="00085D27" w:rsidRPr="00167A1B">
        <w:rPr>
          <w:rFonts w:ascii="Times New Roman" w:hAnsi="Times New Roman" w:cs="Times New Roman"/>
          <w:lang w:val="fr-FR"/>
        </w:rPr>
        <w:t>Voy</w:t>
      </w:r>
      <w:proofErr w:type="spellEnd"/>
      <w:r w:rsidR="00085D27" w:rsidRPr="00167A1B">
        <w:rPr>
          <w:rFonts w:ascii="Times New Roman" w:hAnsi="Times New Roman" w:cs="Times New Roman"/>
          <w:lang w:val="fr-FR"/>
        </w:rPr>
        <w:t>.</w:t>
      </w:r>
      <w:r w:rsidR="00D419DB" w:rsidRPr="00167A1B">
        <w:rPr>
          <w:rFonts w:ascii="Times New Roman" w:hAnsi="Times New Roman" w:cs="Times New Roman"/>
          <w:lang w:val="fr-FR"/>
        </w:rPr>
        <w:t xml:space="preserve"> </w:t>
      </w:r>
      <w:proofErr w:type="gramStart"/>
      <w:r w:rsidR="00D419DB" w:rsidRPr="00167A1B">
        <w:rPr>
          <w:rFonts w:ascii="Times New Roman" w:hAnsi="Times New Roman" w:cs="Times New Roman"/>
          <w:lang w:val="fr-FR"/>
        </w:rPr>
        <w:t>sur</w:t>
      </w:r>
      <w:proofErr w:type="gramEnd"/>
      <w:r w:rsidR="00D419DB" w:rsidRPr="00167A1B">
        <w:rPr>
          <w:rFonts w:ascii="Times New Roman" w:hAnsi="Times New Roman" w:cs="Times New Roman"/>
          <w:lang w:val="fr-FR"/>
        </w:rPr>
        <w:t xml:space="preserve"> ce point,</w:t>
      </w:r>
      <w:r w:rsidR="00085D27" w:rsidRPr="00167A1B">
        <w:rPr>
          <w:rFonts w:ascii="Times New Roman" w:hAnsi="Times New Roman" w:cs="Times New Roman"/>
          <w:lang w:val="fr-FR"/>
        </w:rPr>
        <w:t xml:space="preserve"> Fr. GEORGES, « La réalisation sur saisie des parts indivises d’immeuble : considérations pour une lecture efficiente de l’article 1561 du Code judiciaire », </w:t>
      </w:r>
      <w:r w:rsidR="00085D27" w:rsidRPr="00167A1B">
        <w:rPr>
          <w:rFonts w:ascii="Times New Roman" w:hAnsi="Times New Roman" w:cs="Times New Roman"/>
          <w:i/>
          <w:iCs/>
          <w:lang w:val="fr-FR"/>
        </w:rPr>
        <w:t>op.</w:t>
      </w:r>
      <w:r w:rsidR="006F5127" w:rsidRPr="00167A1B">
        <w:rPr>
          <w:rFonts w:ascii="Times New Roman" w:hAnsi="Times New Roman" w:cs="Times New Roman"/>
          <w:i/>
          <w:iCs/>
          <w:lang w:val="fr-FR"/>
        </w:rPr>
        <w:t xml:space="preserve"> </w:t>
      </w:r>
      <w:proofErr w:type="spellStart"/>
      <w:proofErr w:type="gramStart"/>
      <w:r w:rsidR="00085D27" w:rsidRPr="00167A1B">
        <w:rPr>
          <w:rFonts w:ascii="Times New Roman" w:hAnsi="Times New Roman" w:cs="Times New Roman"/>
          <w:i/>
          <w:iCs/>
          <w:lang w:val="fr-FR"/>
        </w:rPr>
        <w:t>cit</w:t>
      </w:r>
      <w:proofErr w:type="spellEnd"/>
      <w:proofErr w:type="gramEnd"/>
      <w:r w:rsidR="00085D27" w:rsidRPr="00167A1B">
        <w:rPr>
          <w:rFonts w:ascii="Times New Roman" w:hAnsi="Times New Roman" w:cs="Times New Roman"/>
          <w:lang w:val="fr-FR"/>
        </w:rPr>
        <w:t xml:space="preserve">., p. 303. </w:t>
      </w:r>
    </w:p>
  </w:footnote>
  <w:footnote w:id="51">
    <w:p w14:paraId="2C02DF6C" w14:textId="5AB21210" w:rsidR="00547F4D" w:rsidRPr="00167A1B" w:rsidRDefault="00547F4D" w:rsidP="00B5673A">
      <w:pPr>
        <w:pStyle w:val="Notedebasdepage"/>
        <w:jc w:val="both"/>
        <w:rPr>
          <w:rFonts w:ascii="Times New Roman" w:hAnsi="Times New Roman" w:cs="Times New Roman"/>
        </w:rPr>
      </w:pPr>
      <w:r w:rsidRPr="00167A1B">
        <w:rPr>
          <w:rStyle w:val="Appelnotedebasdep"/>
          <w:rFonts w:ascii="Times New Roman" w:hAnsi="Times New Roman" w:cs="Times New Roman"/>
        </w:rPr>
        <w:footnoteRef/>
      </w:r>
      <w:r w:rsidRPr="00167A1B">
        <w:rPr>
          <w:rFonts w:ascii="Times New Roman" w:hAnsi="Times New Roman" w:cs="Times New Roman"/>
        </w:rPr>
        <w:t xml:space="preserve"> Fr. GEORGES, « Saisies conservatoires, voies d’exécution et règlement collectif de dettes », </w:t>
      </w:r>
      <w:r w:rsidRPr="00167A1B">
        <w:rPr>
          <w:rFonts w:ascii="Times New Roman" w:hAnsi="Times New Roman" w:cs="Times New Roman"/>
          <w:i/>
          <w:iCs/>
        </w:rPr>
        <w:t>op.</w:t>
      </w:r>
      <w:r w:rsidR="006F5127" w:rsidRPr="00167A1B">
        <w:rPr>
          <w:rFonts w:ascii="Times New Roman" w:hAnsi="Times New Roman" w:cs="Times New Roman"/>
          <w:i/>
          <w:iCs/>
        </w:rPr>
        <w:t xml:space="preserve"> </w:t>
      </w:r>
      <w:proofErr w:type="spellStart"/>
      <w:r w:rsidRPr="00167A1B">
        <w:rPr>
          <w:rFonts w:ascii="Times New Roman" w:hAnsi="Times New Roman" w:cs="Times New Roman"/>
          <w:i/>
          <w:iCs/>
        </w:rPr>
        <w:t>cit</w:t>
      </w:r>
      <w:proofErr w:type="spellEnd"/>
      <w:r w:rsidRPr="00167A1B">
        <w:rPr>
          <w:rFonts w:ascii="Times New Roman" w:hAnsi="Times New Roman" w:cs="Times New Roman"/>
        </w:rPr>
        <w:t xml:space="preserve">., pp. 217 et s. </w:t>
      </w:r>
      <w:r w:rsidR="005B6247" w:rsidRPr="00167A1B">
        <w:rPr>
          <w:rFonts w:ascii="Times New Roman" w:hAnsi="Times New Roman" w:cs="Times New Roman"/>
        </w:rPr>
        <w:t>Bien que</w:t>
      </w:r>
      <w:r w:rsidR="00C834C4" w:rsidRPr="00167A1B">
        <w:rPr>
          <w:rFonts w:ascii="Times New Roman" w:hAnsi="Times New Roman" w:cs="Times New Roman"/>
        </w:rPr>
        <w:t xml:space="preserve"> le législateur consacre </w:t>
      </w:r>
      <w:r w:rsidR="005B6247" w:rsidRPr="00167A1B">
        <w:rPr>
          <w:rFonts w:ascii="Times New Roman" w:hAnsi="Times New Roman" w:cs="Times New Roman"/>
        </w:rPr>
        <w:t xml:space="preserve">un </w:t>
      </w:r>
      <w:r w:rsidR="00C834C4" w:rsidRPr="00167A1B">
        <w:rPr>
          <w:rFonts w:ascii="Times New Roman" w:hAnsi="Times New Roman" w:cs="Times New Roman"/>
        </w:rPr>
        <w:t>effet de concours dès l’admission à la procédure, cette dernière n’a pas pour objectif principal de réaliser les biens du débiteur, au contraire de la faillite</w:t>
      </w:r>
      <w:r w:rsidR="008C0A36" w:rsidRPr="00167A1B">
        <w:rPr>
          <w:rFonts w:ascii="Times New Roman" w:hAnsi="Times New Roman" w:cs="Times New Roman"/>
        </w:rPr>
        <w:t xml:space="preserve"> (</w:t>
      </w:r>
      <w:r w:rsidR="005B6247" w:rsidRPr="00167A1B">
        <w:rPr>
          <w:rFonts w:ascii="Times New Roman" w:hAnsi="Times New Roman" w:cs="Times New Roman"/>
        </w:rPr>
        <w:t>s</w:t>
      </w:r>
      <w:r w:rsidR="008C0A36" w:rsidRPr="00167A1B">
        <w:rPr>
          <w:rFonts w:ascii="Times New Roman" w:hAnsi="Times New Roman" w:cs="Times New Roman"/>
        </w:rPr>
        <w:t xml:space="preserve">ur la définition du concours, </w:t>
      </w:r>
      <w:proofErr w:type="spellStart"/>
      <w:r w:rsidR="008C0A36" w:rsidRPr="00167A1B">
        <w:rPr>
          <w:rFonts w:ascii="Times New Roman" w:hAnsi="Times New Roman" w:cs="Times New Roman"/>
        </w:rPr>
        <w:t>voy</w:t>
      </w:r>
      <w:proofErr w:type="spellEnd"/>
      <w:r w:rsidR="008C0A36" w:rsidRPr="00167A1B">
        <w:rPr>
          <w:rFonts w:ascii="Times New Roman" w:hAnsi="Times New Roman" w:cs="Times New Roman"/>
        </w:rPr>
        <w:t xml:space="preserve">. M. GREGOIRE, </w:t>
      </w:r>
      <w:r w:rsidR="008C0A36" w:rsidRPr="00167A1B">
        <w:rPr>
          <w:rFonts w:ascii="Times New Roman" w:hAnsi="Times New Roman" w:cs="Times New Roman"/>
          <w:i/>
          <w:iCs/>
        </w:rPr>
        <w:t>Procédures collectives d’insolvabilité</w:t>
      </w:r>
      <w:r w:rsidR="008C0A36" w:rsidRPr="00167A1B">
        <w:rPr>
          <w:rFonts w:ascii="Times New Roman" w:hAnsi="Times New Roman" w:cs="Times New Roman"/>
        </w:rPr>
        <w:t xml:space="preserve">, </w:t>
      </w:r>
      <w:r w:rsidR="00C927FE" w:rsidRPr="00C927FE">
        <w:rPr>
          <w:rFonts w:ascii="Times New Roman" w:hAnsi="Times New Roman" w:cs="Times New Roman"/>
          <w:i/>
          <w:iCs/>
        </w:rPr>
        <w:t>op.cit</w:t>
      </w:r>
      <w:r w:rsidR="00C927FE">
        <w:rPr>
          <w:rFonts w:ascii="Times New Roman" w:hAnsi="Times New Roman" w:cs="Times New Roman"/>
        </w:rPr>
        <w:t>.</w:t>
      </w:r>
      <w:r w:rsidR="008C0A36" w:rsidRPr="00167A1B">
        <w:rPr>
          <w:rFonts w:ascii="Times New Roman" w:hAnsi="Times New Roman" w:cs="Times New Roman"/>
        </w:rPr>
        <w:t>, 2012, pp. 24 et s.</w:t>
      </w:r>
      <w:r w:rsidR="005B6247" w:rsidRPr="00167A1B">
        <w:rPr>
          <w:rFonts w:ascii="Times New Roman" w:hAnsi="Times New Roman" w:cs="Times New Roman"/>
        </w:rPr>
        <w:t>)</w:t>
      </w:r>
      <w:r w:rsidR="00B63C8C" w:rsidRPr="00167A1B">
        <w:rPr>
          <w:rFonts w:ascii="Times New Roman" w:hAnsi="Times New Roman" w:cs="Times New Roman"/>
        </w:rPr>
        <w:t xml:space="preserve">. </w:t>
      </w:r>
    </w:p>
  </w:footnote>
  <w:footnote w:id="52">
    <w:p w14:paraId="47B49239" w14:textId="66BB47ED" w:rsidR="004367EC" w:rsidRPr="00CF2994" w:rsidRDefault="00E8092E" w:rsidP="00B5673A">
      <w:pPr>
        <w:pStyle w:val="Notedebasdepage"/>
        <w:jc w:val="both"/>
        <w:rPr>
          <w:rFonts w:ascii="Times New Roman" w:hAnsi="Times New Roman" w:cs="Times New Roman"/>
          <w:lang w:val="fr-FR"/>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A. BOUVAIN, « L’impact de la procédure de règlement collectif de dettes sur les saisies (et plus particulièrement les saisies immobilières</w:t>
      </w:r>
      <w:r w:rsidR="00F062DA" w:rsidRPr="00167A1B">
        <w:rPr>
          <w:rFonts w:ascii="Times New Roman" w:hAnsi="Times New Roman" w:cs="Times New Roman"/>
          <w:lang w:val="fr-FR"/>
        </w:rPr>
        <w:t>)</w:t>
      </w:r>
      <w:r w:rsidRPr="00167A1B">
        <w:rPr>
          <w:rFonts w:ascii="Times New Roman" w:hAnsi="Times New Roman" w:cs="Times New Roman"/>
          <w:lang w:val="fr-FR"/>
        </w:rPr>
        <w:t xml:space="preserve"> », </w:t>
      </w:r>
      <w:r w:rsidR="00CF2994">
        <w:rPr>
          <w:rFonts w:ascii="Times New Roman" w:hAnsi="Times New Roman" w:cs="Times New Roman"/>
          <w:lang w:val="fr-FR"/>
        </w:rPr>
        <w:t>in A. BOULVAIN et al. (</w:t>
      </w:r>
      <w:proofErr w:type="spellStart"/>
      <w:proofErr w:type="gramStart"/>
      <w:r w:rsidR="00CF2994">
        <w:rPr>
          <w:rFonts w:ascii="Times New Roman" w:hAnsi="Times New Roman" w:cs="Times New Roman"/>
          <w:lang w:val="fr-FR"/>
        </w:rPr>
        <w:t>dir</w:t>
      </w:r>
      <w:proofErr w:type="spellEnd"/>
      <w:r w:rsidR="00CF2994">
        <w:rPr>
          <w:rFonts w:ascii="Times New Roman" w:hAnsi="Times New Roman" w:cs="Times New Roman"/>
          <w:lang w:val="fr-FR"/>
        </w:rPr>
        <w:t>.</w:t>
      </w:r>
      <w:proofErr w:type="gramEnd"/>
      <w:r w:rsidR="00CF2994">
        <w:rPr>
          <w:rFonts w:ascii="Times New Roman" w:hAnsi="Times New Roman" w:cs="Times New Roman"/>
          <w:lang w:val="fr-FR"/>
        </w:rPr>
        <w:t xml:space="preserve">), Le notaire face à la dette, </w:t>
      </w:r>
      <w:proofErr w:type="spellStart"/>
      <w:r w:rsidR="00CF2994">
        <w:rPr>
          <w:rFonts w:ascii="Times New Roman" w:hAnsi="Times New Roman" w:cs="Times New Roman"/>
          <w:lang w:val="fr-FR"/>
        </w:rPr>
        <w:t>Larcier</w:t>
      </w:r>
      <w:proofErr w:type="spellEnd"/>
      <w:r w:rsidR="00CF2994">
        <w:rPr>
          <w:rFonts w:ascii="Times New Roman" w:hAnsi="Times New Roman" w:cs="Times New Roman"/>
          <w:lang w:val="fr-FR"/>
        </w:rPr>
        <w:t>, 2021, p. 71.</w:t>
      </w:r>
    </w:p>
  </w:footnote>
  <w:footnote w:id="53">
    <w:p w14:paraId="755A5F42" w14:textId="3F9562F6"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Ce</w:t>
      </w:r>
      <w:r w:rsidR="00F062DA" w:rsidRPr="00167A1B">
        <w:rPr>
          <w:rFonts w:ascii="Times New Roman" w:hAnsi="Times New Roman" w:cs="Times New Roman"/>
          <w:lang w:val="fr-FR"/>
        </w:rPr>
        <w:t xml:space="preserve">tte rédaction du législateur surprend une fois de plus </w:t>
      </w:r>
      <w:r w:rsidRPr="00167A1B">
        <w:rPr>
          <w:rFonts w:ascii="Times New Roman" w:hAnsi="Times New Roman" w:cs="Times New Roman"/>
          <w:lang w:val="fr-FR"/>
        </w:rPr>
        <w:t>et donne l’impression d’une différence de traitement non justifiée instau</w:t>
      </w:r>
      <w:r w:rsidR="00F062DA" w:rsidRPr="00167A1B">
        <w:rPr>
          <w:rFonts w:ascii="Times New Roman" w:hAnsi="Times New Roman" w:cs="Times New Roman"/>
          <w:lang w:val="fr-FR"/>
        </w:rPr>
        <w:t>rée par ce dernier ; d</w:t>
      </w:r>
      <w:r w:rsidRPr="00167A1B">
        <w:rPr>
          <w:rFonts w:ascii="Times New Roman" w:hAnsi="Times New Roman" w:cs="Times New Roman"/>
          <w:lang w:val="fr-FR"/>
        </w:rPr>
        <w:t>’autant plus qu’en cas de remise d’une vente immobilière, l’article 1675/7, §</w:t>
      </w:r>
      <w:r w:rsidR="006F5127" w:rsidRPr="00167A1B">
        <w:rPr>
          <w:rFonts w:ascii="Times New Roman" w:hAnsi="Times New Roman" w:cs="Times New Roman"/>
          <w:lang w:val="fr-FR"/>
        </w:rPr>
        <w:t xml:space="preserve"> </w:t>
      </w:r>
      <w:r w:rsidRPr="00167A1B">
        <w:rPr>
          <w:rFonts w:ascii="Times New Roman" w:hAnsi="Times New Roman" w:cs="Times New Roman"/>
          <w:lang w:val="fr-FR"/>
        </w:rPr>
        <w:t>2, al. 3</w:t>
      </w:r>
      <w:r w:rsidR="00F062DA" w:rsidRPr="00167A1B">
        <w:rPr>
          <w:rFonts w:ascii="Times New Roman" w:hAnsi="Times New Roman" w:cs="Times New Roman"/>
          <w:lang w:val="fr-FR"/>
        </w:rPr>
        <w:t xml:space="preserve">, </w:t>
      </w:r>
      <w:r w:rsidRPr="00167A1B">
        <w:rPr>
          <w:rFonts w:ascii="Times New Roman" w:hAnsi="Times New Roman" w:cs="Times New Roman"/>
          <w:lang w:val="fr-FR"/>
        </w:rPr>
        <w:t xml:space="preserve">du C. </w:t>
      </w:r>
      <w:proofErr w:type="spellStart"/>
      <w:r w:rsidRPr="00167A1B">
        <w:rPr>
          <w:rFonts w:ascii="Times New Roman" w:hAnsi="Times New Roman" w:cs="Times New Roman"/>
          <w:lang w:val="fr-FR"/>
        </w:rPr>
        <w:t>Jud</w:t>
      </w:r>
      <w:proofErr w:type="spellEnd"/>
      <w:r w:rsidRPr="00167A1B">
        <w:rPr>
          <w:rFonts w:ascii="Times New Roman" w:hAnsi="Times New Roman" w:cs="Times New Roman"/>
          <w:lang w:val="fr-FR"/>
        </w:rPr>
        <w:t xml:space="preserve">., prévoit d’entendre les créanciers hypothécaires, privilégiés inscrits et </w:t>
      </w:r>
      <w:r w:rsidR="00D419DB" w:rsidRPr="00167A1B">
        <w:rPr>
          <w:rFonts w:ascii="Times New Roman" w:hAnsi="Times New Roman" w:cs="Times New Roman"/>
          <w:lang w:val="fr-FR"/>
        </w:rPr>
        <w:t xml:space="preserve">le créancier </w:t>
      </w:r>
      <w:r w:rsidRPr="00167A1B">
        <w:rPr>
          <w:rFonts w:ascii="Times New Roman" w:hAnsi="Times New Roman" w:cs="Times New Roman"/>
          <w:lang w:val="fr-FR"/>
        </w:rPr>
        <w:t xml:space="preserve">saisissant. </w:t>
      </w:r>
    </w:p>
  </w:footnote>
  <w:footnote w:id="54">
    <w:p w14:paraId="27055CEA" w14:textId="39C33321"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Pour une application jurisprudentielle de la suspension d’une saisie-arrêt exécution intentée par le créancier alimentaire après</w:t>
      </w:r>
      <w:r w:rsidR="009962BE" w:rsidRPr="00167A1B">
        <w:rPr>
          <w:rFonts w:ascii="Times New Roman" w:hAnsi="Times New Roman" w:cs="Times New Roman"/>
          <w:lang w:val="fr-FR"/>
        </w:rPr>
        <w:t xml:space="preserve"> </w:t>
      </w:r>
      <w:r w:rsidRPr="00167A1B">
        <w:rPr>
          <w:rFonts w:ascii="Times New Roman" w:hAnsi="Times New Roman" w:cs="Times New Roman"/>
          <w:lang w:val="fr-FR"/>
        </w:rPr>
        <w:t xml:space="preserve">l’admission du débiteur à la procédure en règlement collectif de dettes, </w:t>
      </w:r>
      <w:proofErr w:type="spellStart"/>
      <w:r w:rsidRPr="00167A1B">
        <w:rPr>
          <w:rFonts w:ascii="Times New Roman" w:hAnsi="Times New Roman" w:cs="Times New Roman"/>
          <w:lang w:val="fr-FR"/>
        </w:rPr>
        <w:t>voy</w:t>
      </w:r>
      <w:proofErr w:type="spellEnd"/>
      <w:r w:rsidRPr="00167A1B">
        <w:rPr>
          <w:rFonts w:ascii="Times New Roman" w:hAnsi="Times New Roman" w:cs="Times New Roman"/>
          <w:lang w:val="fr-FR"/>
        </w:rPr>
        <w:t>. Trib. trav. Bruxel</w:t>
      </w:r>
      <w:r w:rsidR="00D96A6A">
        <w:rPr>
          <w:rFonts w:ascii="Times New Roman" w:hAnsi="Times New Roman" w:cs="Times New Roman"/>
          <w:lang w:val="fr-FR"/>
        </w:rPr>
        <w:t>les</w:t>
      </w:r>
      <w:r w:rsidRPr="00167A1B">
        <w:rPr>
          <w:rFonts w:ascii="Times New Roman" w:hAnsi="Times New Roman" w:cs="Times New Roman"/>
          <w:lang w:val="fr-FR"/>
        </w:rPr>
        <w:t xml:space="preserve">, 30 janvier 2019, </w:t>
      </w:r>
      <w:r w:rsidRPr="00167A1B">
        <w:rPr>
          <w:rFonts w:ascii="Times New Roman" w:hAnsi="Times New Roman" w:cs="Times New Roman"/>
          <w:i/>
          <w:iCs/>
          <w:lang w:val="fr-FR"/>
        </w:rPr>
        <w:t>Chr. D. S</w:t>
      </w:r>
      <w:r w:rsidRPr="00167A1B">
        <w:rPr>
          <w:rFonts w:ascii="Times New Roman" w:hAnsi="Times New Roman" w:cs="Times New Roman"/>
          <w:lang w:val="fr-FR"/>
        </w:rPr>
        <w:t>., 2021, pp. 303 et s. Si une telle saisie a été intentée, il peut</w:t>
      </w:r>
      <w:r w:rsidR="000E7259">
        <w:rPr>
          <w:rFonts w:ascii="Times New Roman" w:hAnsi="Times New Roman" w:cs="Times New Roman"/>
          <w:lang w:val="fr-FR"/>
        </w:rPr>
        <w:t> :</w:t>
      </w:r>
      <w:r w:rsidR="00FB7C86" w:rsidRPr="00167A1B">
        <w:rPr>
          <w:rFonts w:ascii="Times New Roman" w:hAnsi="Times New Roman" w:cs="Times New Roman"/>
          <w:lang w:val="fr-FR"/>
        </w:rPr>
        <w:t xml:space="preserve"> </w:t>
      </w:r>
      <w:r w:rsidRPr="00167A1B">
        <w:rPr>
          <w:rFonts w:ascii="Times New Roman" w:hAnsi="Times New Roman" w:cs="Times New Roman"/>
          <w:lang w:val="fr-FR"/>
        </w:rPr>
        <w:t>«</w:t>
      </w:r>
      <w:r w:rsidR="00FB7C86" w:rsidRPr="00167A1B">
        <w:rPr>
          <w:rFonts w:ascii="Times New Roman" w:hAnsi="Times New Roman" w:cs="Times New Roman"/>
          <w:lang w:val="fr-FR"/>
        </w:rPr>
        <w:t xml:space="preserve"> </w:t>
      </w:r>
      <w:r w:rsidRPr="00167A1B">
        <w:rPr>
          <w:rFonts w:ascii="Times New Roman" w:hAnsi="Times New Roman" w:cs="Times New Roman"/>
          <w:i/>
          <w:iCs/>
          <w:lang w:val="fr-FR"/>
        </w:rPr>
        <w:t>être fait injonction à l’huissier instrumentant de restituer sur le compte de médiation les sommes qui auraient été irrégulièrement saisies, au mépris de l’article 1675/7, §§1 et 2 du Code judiciaire</w:t>
      </w:r>
      <w:r w:rsidRPr="00167A1B">
        <w:rPr>
          <w:rFonts w:ascii="Times New Roman" w:hAnsi="Times New Roman" w:cs="Times New Roman"/>
          <w:lang w:val="fr-FR"/>
        </w:rPr>
        <w:t xml:space="preserve"> ». </w:t>
      </w:r>
    </w:p>
  </w:footnote>
  <w:footnote w:id="55">
    <w:p w14:paraId="27CCF5CC" w14:textId="77777777" w:rsidR="003212BA" w:rsidRPr="00167A1B" w:rsidRDefault="003212BA" w:rsidP="003212BA">
      <w:pPr>
        <w:pStyle w:val="Notedebasdepage"/>
        <w:jc w:val="both"/>
        <w:rPr>
          <w:rFonts w:ascii="Times New Roman" w:hAnsi="Times New Roman" w:cs="Times New Roman"/>
        </w:rPr>
      </w:pPr>
      <w:r w:rsidRPr="00167A1B">
        <w:rPr>
          <w:rStyle w:val="Appelnotedebasdep"/>
          <w:rFonts w:ascii="Times New Roman" w:hAnsi="Times New Roman" w:cs="Times New Roman"/>
        </w:rPr>
        <w:footnoteRef/>
      </w:r>
      <w:r w:rsidRPr="00167A1B">
        <w:rPr>
          <w:rFonts w:ascii="Times New Roman" w:hAnsi="Times New Roman" w:cs="Times New Roman"/>
        </w:rPr>
        <w:t xml:space="preserve"> Les fonds seront alors bloqués entre les mains du tiers saisi (</w:t>
      </w:r>
      <w:r w:rsidRPr="00167A1B">
        <w:rPr>
          <w:rFonts w:ascii="Times New Roman" w:hAnsi="Times New Roman" w:cs="Times New Roman"/>
          <w:lang w:val="fr-FR"/>
        </w:rPr>
        <w:t xml:space="preserve">M-C. BAUCHE, « Récupération d’aliments, parcours du combattant ? », </w:t>
      </w:r>
      <w:r w:rsidRPr="00167A1B">
        <w:rPr>
          <w:rFonts w:ascii="Times New Roman" w:hAnsi="Times New Roman" w:cs="Times New Roman"/>
          <w:i/>
          <w:iCs/>
          <w:lang w:val="fr-FR"/>
        </w:rPr>
        <w:t xml:space="preserve">Bull. </w:t>
      </w:r>
      <w:proofErr w:type="spellStart"/>
      <w:r w:rsidRPr="00167A1B">
        <w:rPr>
          <w:rFonts w:ascii="Times New Roman" w:hAnsi="Times New Roman" w:cs="Times New Roman"/>
          <w:i/>
          <w:iCs/>
          <w:lang w:val="fr-FR"/>
        </w:rPr>
        <w:t>jur</w:t>
      </w:r>
      <w:proofErr w:type="spellEnd"/>
      <w:r w:rsidRPr="00167A1B">
        <w:rPr>
          <w:rFonts w:ascii="Times New Roman" w:hAnsi="Times New Roman" w:cs="Times New Roman"/>
          <w:i/>
          <w:iCs/>
          <w:lang w:val="fr-FR"/>
        </w:rPr>
        <w:t>. soc.,</w:t>
      </w:r>
      <w:r w:rsidRPr="00167A1B">
        <w:rPr>
          <w:rFonts w:ascii="Times New Roman" w:hAnsi="Times New Roman" w:cs="Times New Roman"/>
          <w:lang w:val="fr-FR"/>
        </w:rPr>
        <w:t xml:space="preserve"> 2018, pp. 7 et s.).</w:t>
      </w:r>
    </w:p>
  </w:footnote>
  <w:footnote w:id="56">
    <w:p w14:paraId="53E89AB6" w14:textId="108D3F46" w:rsidR="004367EC" w:rsidRPr="00167A1B" w:rsidRDefault="00E8092E" w:rsidP="00B5673A">
      <w:pPr>
        <w:pStyle w:val="Notedebasdepage"/>
        <w:jc w:val="both"/>
        <w:rPr>
          <w:rFonts w:ascii="Times New Roman" w:hAnsi="Times New Roman" w:cs="Times New Roman"/>
          <w:lang w:val="fr-FR"/>
        </w:rPr>
      </w:pPr>
      <w:r w:rsidRPr="00167A1B">
        <w:rPr>
          <w:rFonts w:ascii="Times New Roman" w:eastAsia="Times New Roman" w:hAnsi="Times New Roman" w:cs="Times New Roman"/>
          <w:vertAlign w:val="superscript"/>
        </w:rPr>
        <w:footnoteRef/>
      </w:r>
      <w:r w:rsidRPr="00167A1B">
        <w:rPr>
          <w:rFonts w:ascii="Times New Roman" w:hAnsi="Times New Roman" w:cs="Times New Roman"/>
          <w:lang w:val="fr-FR"/>
        </w:rPr>
        <w:t xml:space="preserve"> En ce qui concerne l’initiative du médiateur de dettes dans le seul cadre d’un plan de règlement judiciaire, </w:t>
      </w:r>
      <w:proofErr w:type="spellStart"/>
      <w:r w:rsidRPr="00167A1B">
        <w:rPr>
          <w:rFonts w:ascii="Times New Roman" w:hAnsi="Times New Roman" w:cs="Times New Roman"/>
          <w:lang w:val="fr-FR"/>
        </w:rPr>
        <w:t>voy</w:t>
      </w:r>
      <w:proofErr w:type="spellEnd"/>
      <w:r w:rsidRPr="00167A1B">
        <w:rPr>
          <w:rFonts w:ascii="Times New Roman" w:hAnsi="Times New Roman" w:cs="Times New Roman"/>
          <w:lang w:val="fr-FR"/>
        </w:rPr>
        <w:t xml:space="preserve">. </w:t>
      </w:r>
      <w:r w:rsidR="000C046D" w:rsidRPr="00167A1B">
        <w:rPr>
          <w:rFonts w:ascii="Times New Roman" w:hAnsi="Times New Roman" w:cs="Times New Roman"/>
          <w:lang w:val="fr-FR"/>
        </w:rPr>
        <w:t>Ph. LECOCQ, « Règlement collectif de dettes et voies d’exécution », in Q. D</w:t>
      </w:r>
      <w:r w:rsidR="006F5127" w:rsidRPr="00167A1B">
        <w:rPr>
          <w:rFonts w:ascii="Times New Roman" w:hAnsi="Times New Roman" w:cs="Times New Roman"/>
          <w:lang w:val="fr-FR"/>
        </w:rPr>
        <w:t xml:space="preserve">EBRAY </w:t>
      </w:r>
      <w:r w:rsidR="000C046D" w:rsidRPr="00167A1B">
        <w:rPr>
          <w:rFonts w:ascii="Times New Roman" w:hAnsi="Times New Roman" w:cs="Times New Roman"/>
          <w:lang w:val="fr-FR"/>
        </w:rPr>
        <w:t>(</w:t>
      </w:r>
      <w:proofErr w:type="spellStart"/>
      <w:r w:rsidR="000C046D" w:rsidRPr="00167A1B">
        <w:rPr>
          <w:rFonts w:ascii="Times New Roman" w:hAnsi="Times New Roman" w:cs="Times New Roman"/>
          <w:lang w:val="fr-FR"/>
        </w:rPr>
        <w:t>dir</w:t>
      </w:r>
      <w:proofErr w:type="spellEnd"/>
      <w:r w:rsidR="00D419DB" w:rsidRPr="00167A1B">
        <w:rPr>
          <w:rFonts w:ascii="Times New Roman" w:hAnsi="Times New Roman" w:cs="Times New Roman"/>
          <w:lang w:val="fr-FR"/>
        </w:rPr>
        <w:t>.</w:t>
      </w:r>
      <w:r w:rsidR="000C046D" w:rsidRPr="00167A1B">
        <w:rPr>
          <w:rFonts w:ascii="Times New Roman" w:hAnsi="Times New Roman" w:cs="Times New Roman"/>
          <w:lang w:val="fr-FR"/>
        </w:rPr>
        <w:t xml:space="preserve">), </w:t>
      </w:r>
      <w:r w:rsidR="000C046D" w:rsidRPr="00167A1B">
        <w:rPr>
          <w:rFonts w:ascii="Times New Roman" w:hAnsi="Times New Roman" w:cs="Times New Roman"/>
          <w:i/>
          <w:iCs/>
          <w:lang w:val="fr-FR"/>
        </w:rPr>
        <w:t>Saisies et voies d’exécution</w:t>
      </w:r>
      <w:r w:rsidR="000C046D" w:rsidRPr="00167A1B">
        <w:rPr>
          <w:rFonts w:ascii="Times New Roman" w:hAnsi="Times New Roman" w:cs="Times New Roman"/>
          <w:lang w:val="fr-FR"/>
        </w:rPr>
        <w:t xml:space="preserve">, Anthémis, 2020, p. 92 et </w:t>
      </w:r>
      <w:r w:rsidRPr="00167A1B">
        <w:rPr>
          <w:rFonts w:ascii="Times New Roman" w:hAnsi="Times New Roman" w:cs="Times New Roman"/>
          <w:lang w:val="fr-FR"/>
        </w:rPr>
        <w:t xml:space="preserve">G. </w:t>
      </w:r>
      <w:r w:rsidR="006F5127" w:rsidRPr="00167A1B">
        <w:rPr>
          <w:rFonts w:ascii="Times New Roman" w:hAnsi="Times New Roman" w:cs="Times New Roman"/>
          <w:lang w:val="fr-FR"/>
        </w:rPr>
        <w:t>de</w:t>
      </w:r>
      <w:r w:rsidRPr="00167A1B">
        <w:rPr>
          <w:rFonts w:ascii="Times New Roman" w:hAnsi="Times New Roman" w:cs="Times New Roman"/>
          <w:lang w:val="fr-FR"/>
        </w:rPr>
        <w:t xml:space="preserve"> LEVAL, </w:t>
      </w:r>
      <w:r w:rsidRPr="00167A1B">
        <w:rPr>
          <w:rFonts w:ascii="Times New Roman" w:hAnsi="Times New Roman" w:cs="Times New Roman"/>
          <w:i/>
          <w:iCs/>
          <w:lang w:val="fr-FR"/>
        </w:rPr>
        <w:t>La saisie immobilière</w:t>
      </w:r>
      <w:r w:rsidRPr="00167A1B">
        <w:rPr>
          <w:rFonts w:ascii="Times New Roman" w:hAnsi="Times New Roman" w:cs="Times New Roman"/>
          <w:lang w:val="fr-FR"/>
        </w:rPr>
        <w:t xml:space="preserve">, </w:t>
      </w:r>
      <w:r w:rsidRPr="00167A1B">
        <w:rPr>
          <w:rFonts w:ascii="Times New Roman" w:hAnsi="Times New Roman" w:cs="Times New Roman"/>
          <w:i/>
          <w:iCs/>
          <w:lang w:val="fr-FR"/>
        </w:rPr>
        <w:t>op.cit.</w:t>
      </w:r>
      <w:r w:rsidRPr="00167A1B">
        <w:rPr>
          <w:rFonts w:ascii="Times New Roman" w:hAnsi="Times New Roman" w:cs="Times New Roman"/>
          <w:lang w:val="fr-FR"/>
        </w:rPr>
        <w:t xml:space="preserve">, p. 430. </w:t>
      </w:r>
      <w:r w:rsidR="000C046D" w:rsidRPr="00167A1B">
        <w:rPr>
          <w:rFonts w:ascii="Times New Roman" w:hAnsi="Times New Roman" w:cs="Times New Roman"/>
          <w:lang w:val="fr-FR"/>
        </w:rPr>
        <w:t>La</w:t>
      </w:r>
      <w:r w:rsidRPr="00167A1B">
        <w:rPr>
          <w:rFonts w:ascii="Times New Roman" w:hAnsi="Times New Roman" w:cs="Times New Roman"/>
          <w:lang w:val="fr-FR"/>
        </w:rPr>
        <w:t xml:space="preserve"> faculté offerte au débiteur de demander la suspension ou la remise de la vente s’inscrit dans un des objectifs assigné</w:t>
      </w:r>
      <w:r w:rsidR="00137937" w:rsidRPr="00167A1B">
        <w:rPr>
          <w:rFonts w:ascii="Times New Roman" w:hAnsi="Times New Roman" w:cs="Times New Roman"/>
          <w:lang w:val="fr-FR"/>
        </w:rPr>
        <w:t>s</w:t>
      </w:r>
      <w:r w:rsidRPr="00167A1B">
        <w:rPr>
          <w:rFonts w:ascii="Times New Roman" w:hAnsi="Times New Roman" w:cs="Times New Roman"/>
          <w:lang w:val="fr-FR"/>
        </w:rPr>
        <w:t xml:space="preserve"> au règlement collectif de dettes, à savoir de continuer à mener une vie conforme à la dignité humaine (</w:t>
      </w:r>
      <w:r w:rsidR="00D419DB" w:rsidRPr="00167A1B">
        <w:rPr>
          <w:rFonts w:ascii="Times New Roman" w:hAnsi="Times New Roman" w:cs="Times New Roman"/>
          <w:lang w:val="fr-FR"/>
        </w:rPr>
        <w:t xml:space="preserve">Exposé des motifs précité, </w:t>
      </w:r>
      <w:r w:rsidR="00D419DB" w:rsidRPr="00167A1B">
        <w:rPr>
          <w:rFonts w:ascii="Times New Roman" w:hAnsi="Times New Roman" w:cs="Times New Roman"/>
          <w:i/>
          <w:iCs/>
          <w:lang w:val="fr-FR"/>
        </w:rPr>
        <w:t>Doc</w:t>
      </w:r>
      <w:r w:rsidR="00D419DB" w:rsidRPr="00167A1B">
        <w:rPr>
          <w:rFonts w:ascii="Times New Roman" w:hAnsi="Times New Roman" w:cs="Times New Roman"/>
          <w:lang w:val="fr-FR"/>
        </w:rPr>
        <w:t xml:space="preserve">. </w:t>
      </w:r>
      <w:proofErr w:type="spellStart"/>
      <w:r w:rsidR="00D419DB" w:rsidRPr="00167A1B">
        <w:rPr>
          <w:rFonts w:ascii="Times New Roman" w:hAnsi="Times New Roman" w:cs="Times New Roman"/>
        </w:rPr>
        <w:t>Parl</w:t>
      </w:r>
      <w:proofErr w:type="spellEnd"/>
      <w:r w:rsidR="00D419DB" w:rsidRPr="00167A1B">
        <w:rPr>
          <w:rFonts w:ascii="Times New Roman" w:hAnsi="Times New Roman" w:cs="Times New Roman"/>
        </w:rPr>
        <w:t xml:space="preserve">., Ch. </w:t>
      </w:r>
      <w:proofErr w:type="spellStart"/>
      <w:r w:rsidR="00D419DB" w:rsidRPr="00167A1B">
        <w:rPr>
          <w:rFonts w:ascii="Times New Roman" w:hAnsi="Times New Roman" w:cs="Times New Roman"/>
        </w:rPr>
        <w:t>repr</w:t>
      </w:r>
      <w:proofErr w:type="spellEnd"/>
      <w:r w:rsidR="00D419DB" w:rsidRPr="00167A1B">
        <w:rPr>
          <w:rFonts w:ascii="Times New Roman" w:hAnsi="Times New Roman" w:cs="Times New Roman"/>
        </w:rPr>
        <w:t xml:space="preserve">. 2016-2017, n°54-2407/001, p. 25 </w:t>
      </w:r>
      <w:r w:rsidRPr="00167A1B">
        <w:rPr>
          <w:rFonts w:ascii="Times New Roman" w:hAnsi="Times New Roman" w:cs="Times New Roman"/>
          <w:lang w:val="fr-FR"/>
        </w:rPr>
        <w:t xml:space="preserve">; J. DEROM, « La procédure de saisie exécution immobilière versus la procédure d’insolvabilité : David contre Goliath », </w:t>
      </w:r>
      <w:r w:rsidRPr="00167A1B">
        <w:rPr>
          <w:rFonts w:ascii="Times New Roman" w:hAnsi="Times New Roman" w:cs="Times New Roman"/>
          <w:i/>
          <w:iCs/>
          <w:lang w:val="fr-FR"/>
        </w:rPr>
        <w:t>op.cit</w:t>
      </w:r>
      <w:r w:rsidRPr="00167A1B">
        <w:rPr>
          <w:rFonts w:ascii="Times New Roman" w:hAnsi="Times New Roman" w:cs="Times New Roman"/>
          <w:lang w:val="fr-FR"/>
        </w:rPr>
        <w:t>., p. 200</w:t>
      </w:r>
      <w:r w:rsidR="002A0639" w:rsidRPr="00167A1B">
        <w:rPr>
          <w:rFonts w:ascii="Times New Roman" w:hAnsi="Times New Roman" w:cs="Times New Roman"/>
          <w:lang w:val="fr-FR"/>
        </w:rPr>
        <w:t>).</w:t>
      </w:r>
    </w:p>
  </w:footnote>
  <w:footnote w:id="57">
    <w:p w14:paraId="775D459B" w14:textId="77037E33" w:rsidR="00BE39AB" w:rsidRPr="00167A1B" w:rsidRDefault="00BE39AB" w:rsidP="00B5673A">
      <w:pPr>
        <w:pStyle w:val="Notedebasdepage"/>
        <w:jc w:val="both"/>
        <w:rPr>
          <w:rFonts w:ascii="Times New Roman" w:hAnsi="Times New Roman" w:cs="Times New Roman"/>
          <w:lang w:val="fr-FR"/>
        </w:rPr>
      </w:pPr>
      <w:r w:rsidRPr="00167A1B">
        <w:rPr>
          <w:rStyle w:val="Appelnotedebasdep"/>
          <w:rFonts w:ascii="Times New Roman" w:hAnsi="Times New Roman" w:cs="Times New Roman"/>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G. </w:t>
      </w:r>
      <w:r w:rsidR="006F5127" w:rsidRPr="00167A1B">
        <w:rPr>
          <w:rFonts w:ascii="Times New Roman" w:hAnsi="Times New Roman" w:cs="Times New Roman"/>
          <w:lang w:val="fr-FR"/>
        </w:rPr>
        <w:t>de</w:t>
      </w:r>
      <w:r w:rsidRPr="00167A1B">
        <w:rPr>
          <w:rFonts w:ascii="Times New Roman" w:hAnsi="Times New Roman" w:cs="Times New Roman"/>
          <w:lang w:val="fr-FR"/>
        </w:rPr>
        <w:t xml:space="preserve"> LEVAL</w:t>
      </w:r>
      <w:r w:rsidRPr="00167A1B">
        <w:rPr>
          <w:rFonts w:ascii="Times New Roman" w:hAnsi="Times New Roman" w:cs="Times New Roman"/>
          <w:i/>
          <w:iCs/>
          <w:lang w:val="fr-FR"/>
        </w:rPr>
        <w:t>,</w:t>
      </w:r>
      <w:r w:rsidRPr="00167A1B">
        <w:rPr>
          <w:rFonts w:ascii="Times New Roman" w:hAnsi="Times New Roman" w:cs="Times New Roman"/>
          <w:lang w:val="fr-FR"/>
        </w:rPr>
        <w:t xml:space="preserve"> </w:t>
      </w:r>
      <w:r w:rsidRPr="00167A1B">
        <w:rPr>
          <w:rFonts w:ascii="Times New Roman" w:hAnsi="Times New Roman" w:cs="Times New Roman"/>
          <w:i/>
          <w:iCs/>
          <w:lang w:val="fr-FR"/>
        </w:rPr>
        <w:t>ibid.</w:t>
      </w:r>
      <w:r w:rsidRPr="00167A1B">
        <w:rPr>
          <w:rFonts w:ascii="Times New Roman" w:hAnsi="Times New Roman" w:cs="Times New Roman"/>
          <w:lang w:val="fr-FR"/>
        </w:rPr>
        <w:t>, p. 430</w:t>
      </w:r>
    </w:p>
  </w:footnote>
  <w:footnote w:id="58">
    <w:p w14:paraId="6F866C1A" w14:textId="2D5323DE" w:rsidR="004367EC" w:rsidRPr="00167A1B" w:rsidRDefault="00E8092E" w:rsidP="00B5673A">
      <w:pPr>
        <w:pStyle w:val="Notedebasdepage"/>
        <w:jc w:val="both"/>
        <w:rPr>
          <w:rFonts w:ascii="Times New Roman" w:hAnsi="Times New Roman" w:cs="Times New Roman"/>
          <w:lang w:val="fr-FR"/>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Sur la compétence</w:t>
      </w:r>
      <w:r w:rsidR="00BE39AB" w:rsidRPr="00167A1B">
        <w:rPr>
          <w:rFonts w:ascii="Times New Roman" w:hAnsi="Times New Roman" w:cs="Times New Roman"/>
          <w:lang w:val="fr-FR"/>
        </w:rPr>
        <w:t xml:space="preserve"> désormais</w:t>
      </w:r>
      <w:r w:rsidRPr="00167A1B">
        <w:rPr>
          <w:rFonts w:ascii="Times New Roman" w:hAnsi="Times New Roman" w:cs="Times New Roman"/>
          <w:lang w:val="fr-FR"/>
        </w:rPr>
        <w:t xml:space="preserve"> incontestable du tribunal du travail et non du juge des saisies, </w:t>
      </w:r>
      <w:proofErr w:type="spellStart"/>
      <w:r w:rsidRPr="00167A1B">
        <w:rPr>
          <w:rFonts w:ascii="Times New Roman" w:hAnsi="Times New Roman" w:cs="Times New Roman"/>
          <w:lang w:val="fr-FR"/>
        </w:rPr>
        <w:t>voy</w:t>
      </w:r>
      <w:proofErr w:type="spellEnd"/>
      <w:r w:rsidRPr="00167A1B">
        <w:rPr>
          <w:rFonts w:ascii="Times New Roman" w:hAnsi="Times New Roman" w:cs="Times New Roman"/>
          <w:lang w:val="fr-FR"/>
        </w:rPr>
        <w:t xml:space="preserve">. M. VAN MOLLE, « Actualités des procédures de saisie immobilière et d’ordre », </w:t>
      </w:r>
      <w:r w:rsidR="009962BE" w:rsidRPr="00167A1B">
        <w:rPr>
          <w:rFonts w:ascii="Times New Roman" w:hAnsi="Times New Roman" w:cs="Times New Roman"/>
          <w:i/>
          <w:iCs/>
          <w:lang w:val="fr-FR"/>
        </w:rPr>
        <w:t>op.cit.</w:t>
      </w:r>
      <w:r w:rsidRPr="00167A1B">
        <w:rPr>
          <w:rFonts w:ascii="Times New Roman" w:hAnsi="Times New Roman" w:cs="Times New Roman"/>
          <w:lang w:val="fr-FR"/>
        </w:rPr>
        <w:t xml:space="preserve">, p. 169 ; </w:t>
      </w:r>
      <w:r w:rsidR="00874548" w:rsidRPr="00167A1B">
        <w:rPr>
          <w:rFonts w:ascii="Times New Roman" w:hAnsi="Times New Roman" w:cs="Times New Roman"/>
          <w:lang w:val="fr-FR"/>
        </w:rPr>
        <w:t xml:space="preserve">Fr. GEORGES, « Saisies conservatoires, voies d’exécution et règlement collectif de dettes », </w:t>
      </w:r>
      <w:r w:rsidR="00874548" w:rsidRPr="00167A1B">
        <w:rPr>
          <w:rFonts w:ascii="Times New Roman" w:hAnsi="Times New Roman" w:cs="Times New Roman"/>
          <w:i/>
          <w:iCs/>
          <w:lang w:val="fr-FR"/>
        </w:rPr>
        <w:t>op.cit</w:t>
      </w:r>
      <w:r w:rsidR="00874548" w:rsidRPr="00167A1B">
        <w:rPr>
          <w:rFonts w:ascii="Times New Roman" w:hAnsi="Times New Roman" w:cs="Times New Roman"/>
          <w:lang w:val="fr-FR"/>
        </w:rPr>
        <w:t xml:space="preserve">., </w:t>
      </w:r>
      <w:proofErr w:type="spellStart"/>
      <w:r w:rsidR="00874548" w:rsidRPr="00167A1B">
        <w:rPr>
          <w:rFonts w:ascii="Times New Roman" w:hAnsi="Times New Roman" w:cs="Times New Roman"/>
          <w:lang w:val="fr-FR"/>
        </w:rPr>
        <w:t>spéc</w:t>
      </w:r>
      <w:proofErr w:type="spellEnd"/>
      <w:r w:rsidR="00874548" w:rsidRPr="00167A1B">
        <w:rPr>
          <w:rFonts w:ascii="Times New Roman" w:hAnsi="Times New Roman" w:cs="Times New Roman"/>
          <w:lang w:val="fr-FR"/>
        </w:rPr>
        <w:t xml:space="preserve">. p. 31 ; </w:t>
      </w:r>
      <w:r w:rsidRPr="00167A1B">
        <w:rPr>
          <w:rFonts w:ascii="Times New Roman" w:hAnsi="Times New Roman" w:cs="Times New Roman"/>
          <w:lang w:val="fr-FR"/>
        </w:rPr>
        <w:t xml:space="preserve">G. </w:t>
      </w:r>
      <w:r w:rsidR="006F5127" w:rsidRPr="00167A1B">
        <w:rPr>
          <w:rFonts w:ascii="Times New Roman" w:hAnsi="Times New Roman" w:cs="Times New Roman"/>
          <w:lang w:val="fr-FR"/>
        </w:rPr>
        <w:t xml:space="preserve">de </w:t>
      </w:r>
      <w:r w:rsidRPr="00167A1B">
        <w:rPr>
          <w:rFonts w:ascii="Times New Roman" w:hAnsi="Times New Roman" w:cs="Times New Roman"/>
          <w:lang w:val="fr-FR"/>
        </w:rPr>
        <w:t xml:space="preserve">LEVAL, « Le sort d’une saisie-exécution immobilière en cas de procédure de règlement collectif de dettes ultérieure. Droit nouveau versus droit ancien », </w:t>
      </w:r>
      <w:r w:rsidRPr="00167A1B">
        <w:rPr>
          <w:rFonts w:ascii="Times New Roman" w:hAnsi="Times New Roman" w:cs="Times New Roman"/>
          <w:i/>
          <w:iCs/>
          <w:lang w:val="fr-FR"/>
        </w:rPr>
        <w:t>op.cit.</w:t>
      </w:r>
      <w:r w:rsidRPr="00167A1B">
        <w:rPr>
          <w:rFonts w:ascii="Times New Roman" w:hAnsi="Times New Roman" w:cs="Times New Roman"/>
          <w:lang w:val="fr-FR"/>
        </w:rPr>
        <w:t>, p. 331 ; Fr. GEORGES et V. GRELLA, « Règlement collectif de dettes, saisies et garanties : points de friction », in J. H</w:t>
      </w:r>
      <w:r w:rsidR="00AA6F38" w:rsidRPr="00167A1B">
        <w:rPr>
          <w:rFonts w:ascii="Times New Roman" w:hAnsi="Times New Roman" w:cs="Times New Roman"/>
          <w:lang w:val="fr-FR"/>
        </w:rPr>
        <w:t>UBIN</w:t>
      </w:r>
      <w:r w:rsidRPr="00167A1B">
        <w:rPr>
          <w:rFonts w:ascii="Times New Roman" w:hAnsi="Times New Roman" w:cs="Times New Roman"/>
          <w:lang w:val="fr-FR"/>
        </w:rPr>
        <w:t xml:space="preserve"> et Ch. B</w:t>
      </w:r>
      <w:r w:rsidR="00AA6F38" w:rsidRPr="00167A1B">
        <w:rPr>
          <w:rFonts w:ascii="Times New Roman" w:hAnsi="Times New Roman" w:cs="Times New Roman"/>
          <w:lang w:val="fr-FR"/>
        </w:rPr>
        <w:t>EDORET</w:t>
      </w:r>
      <w:r w:rsidRPr="00167A1B">
        <w:rPr>
          <w:rFonts w:ascii="Times New Roman" w:hAnsi="Times New Roman" w:cs="Times New Roman"/>
          <w:lang w:val="fr-FR"/>
        </w:rPr>
        <w:t xml:space="preserve"> (</w:t>
      </w:r>
      <w:proofErr w:type="spellStart"/>
      <w:r w:rsidRPr="00167A1B">
        <w:rPr>
          <w:rFonts w:ascii="Times New Roman" w:hAnsi="Times New Roman" w:cs="Times New Roman"/>
          <w:lang w:val="fr-FR"/>
        </w:rPr>
        <w:t>dir</w:t>
      </w:r>
      <w:proofErr w:type="spellEnd"/>
      <w:r w:rsidRPr="00167A1B">
        <w:rPr>
          <w:rFonts w:ascii="Times New Roman" w:hAnsi="Times New Roman" w:cs="Times New Roman"/>
          <w:lang w:val="fr-FR"/>
        </w:rPr>
        <w:t xml:space="preserve">.), </w:t>
      </w:r>
      <w:r w:rsidRPr="00167A1B">
        <w:rPr>
          <w:rFonts w:ascii="Times New Roman" w:hAnsi="Times New Roman" w:cs="Times New Roman"/>
          <w:i/>
          <w:iCs/>
          <w:lang w:val="fr-FR"/>
        </w:rPr>
        <w:t>Le règlement collectif de dettes</w:t>
      </w:r>
      <w:r w:rsidRPr="00167A1B">
        <w:rPr>
          <w:rFonts w:ascii="Times New Roman" w:hAnsi="Times New Roman" w:cs="Times New Roman"/>
          <w:lang w:val="fr-FR"/>
        </w:rPr>
        <w:t xml:space="preserve">, </w:t>
      </w:r>
      <w:r w:rsidR="00B63C8C" w:rsidRPr="00167A1B">
        <w:rPr>
          <w:rFonts w:ascii="Times New Roman" w:hAnsi="Times New Roman" w:cs="Times New Roman"/>
          <w:lang w:val="fr-FR"/>
        </w:rPr>
        <w:t xml:space="preserve">coll. </w:t>
      </w:r>
      <w:r w:rsidRPr="00167A1B">
        <w:rPr>
          <w:rFonts w:ascii="Times New Roman" w:hAnsi="Times New Roman" w:cs="Times New Roman"/>
          <w:lang w:val="fr-FR"/>
        </w:rPr>
        <w:t xml:space="preserve">CUP, vol. 140, </w:t>
      </w:r>
      <w:proofErr w:type="spellStart"/>
      <w:r w:rsidRPr="00167A1B">
        <w:rPr>
          <w:rFonts w:ascii="Times New Roman" w:hAnsi="Times New Roman" w:cs="Times New Roman"/>
          <w:lang w:val="fr-FR"/>
        </w:rPr>
        <w:t>Larcier</w:t>
      </w:r>
      <w:proofErr w:type="spellEnd"/>
      <w:r w:rsidRPr="00167A1B">
        <w:rPr>
          <w:rFonts w:ascii="Times New Roman" w:hAnsi="Times New Roman" w:cs="Times New Roman"/>
          <w:lang w:val="fr-FR"/>
        </w:rPr>
        <w:t>, 2013, pp. 93 à 99.</w:t>
      </w:r>
    </w:p>
  </w:footnote>
  <w:footnote w:id="59">
    <w:p w14:paraId="12EE2326" w14:textId="7747B7DE"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G. </w:t>
      </w:r>
      <w:r w:rsidR="006F5127" w:rsidRPr="00167A1B">
        <w:rPr>
          <w:rFonts w:ascii="Times New Roman" w:hAnsi="Times New Roman" w:cs="Times New Roman"/>
          <w:lang w:val="fr-FR"/>
        </w:rPr>
        <w:t>de</w:t>
      </w:r>
      <w:r w:rsidRPr="00167A1B">
        <w:rPr>
          <w:rFonts w:ascii="Times New Roman" w:hAnsi="Times New Roman" w:cs="Times New Roman"/>
          <w:lang w:val="fr-FR"/>
        </w:rPr>
        <w:t xml:space="preserve"> LEVAL, </w:t>
      </w:r>
      <w:r w:rsidRPr="00167A1B">
        <w:rPr>
          <w:rFonts w:ascii="Times New Roman" w:hAnsi="Times New Roman" w:cs="Times New Roman"/>
          <w:i/>
          <w:iCs/>
          <w:lang w:val="fr-FR"/>
        </w:rPr>
        <w:t>La saisie immobilière</w:t>
      </w:r>
      <w:r w:rsidRPr="00167A1B">
        <w:rPr>
          <w:rFonts w:ascii="Times New Roman" w:hAnsi="Times New Roman" w:cs="Times New Roman"/>
          <w:lang w:val="fr-FR"/>
        </w:rPr>
        <w:t xml:space="preserve">, </w:t>
      </w:r>
      <w:r w:rsidRPr="00167A1B">
        <w:rPr>
          <w:rFonts w:ascii="Times New Roman" w:hAnsi="Times New Roman" w:cs="Times New Roman"/>
          <w:i/>
          <w:iCs/>
          <w:lang w:val="fr-FR"/>
        </w:rPr>
        <w:t>op.cit</w:t>
      </w:r>
      <w:r w:rsidRPr="00167A1B">
        <w:rPr>
          <w:rFonts w:ascii="Times New Roman" w:hAnsi="Times New Roman" w:cs="Times New Roman"/>
          <w:lang w:val="fr-FR"/>
        </w:rPr>
        <w:t xml:space="preserve">., p. 430. </w:t>
      </w:r>
      <w:r w:rsidR="00E81DF4" w:rsidRPr="00167A1B">
        <w:rPr>
          <w:rFonts w:ascii="Times New Roman" w:hAnsi="Times New Roman" w:cs="Times New Roman"/>
          <w:lang w:val="fr-FR"/>
        </w:rPr>
        <w:t xml:space="preserve"> </w:t>
      </w:r>
    </w:p>
  </w:footnote>
  <w:footnote w:id="60">
    <w:p w14:paraId="7801ABE4" w14:textId="18329649" w:rsidR="004367EC" w:rsidRPr="00167A1B" w:rsidRDefault="00E8092E" w:rsidP="00B5673A">
      <w:pPr>
        <w:pStyle w:val="Notedebasdepage"/>
        <w:jc w:val="both"/>
        <w:rPr>
          <w:rFonts w:ascii="Times New Roman" w:hAnsi="Times New Roman" w:cs="Times New Roman"/>
          <w:lang w:val="fr-FR"/>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L’article XX.120, §2, du C.D.E. ne contient pas non plus de renvoi explicite, contrairement aux articles XX.44, §4 et XX.51, §</w:t>
      </w:r>
      <w:r w:rsidR="006F5127" w:rsidRPr="00167A1B">
        <w:rPr>
          <w:rFonts w:ascii="Times New Roman" w:hAnsi="Times New Roman" w:cs="Times New Roman"/>
          <w:lang w:val="fr-FR"/>
        </w:rPr>
        <w:t xml:space="preserve"> </w:t>
      </w:r>
      <w:r w:rsidRPr="00167A1B">
        <w:rPr>
          <w:rFonts w:ascii="Times New Roman" w:hAnsi="Times New Roman" w:cs="Times New Roman"/>
          <w:lang w:val="fr-FR"/>
        </w:rPr>
        <w:t xml:space="preserve">4, du C.D.E., applicables en matière de réorganisation judiciaire (G. </w:t>
      </w:r>
      <w:r w:rsidR="006F5127" w:rsidRPr="00167A1B">
        <w:rPr>
          <w:rFonts w:ascii="Times New Roman" w:hAnsi="Times New Roman" w:cs="Times New Roman"/>
          <w:lang w:val="fr-FR"/>
        </w:rPr>
        <w:t>de</w:t>
      </w:r>
      <w:r w:rsidRPr="00167A1B">
        <w:rPr>
          <w:rFonts w:ascii="Times New Roman" w:hAnsi="Times New Roman" w:cs="Times New Roman"/>
          <w:lang w:val="fr-FR"/>
        </w:rPr>
        <w:t xml:space="preserve"> LEVAL, </w:t>
      </w:r>
      <w:r w:rsidRPr="00167A1B">
        <w:rPr>
          <w:rFonts w:ascii="Times New Roman" w:hAnsi="Times New Roman" w:cs="Times New Roman"/>
          <w:i/>
          <w:iCs/>
          <w:lang w:val="fr-FR"/>
        </w:rPr>
        <w:t>La saisie immobilière</w:t>
      </w:r>
      <w:r w:rsidRPr="00167A1B">
        <w:rPr>
          <w:rFonts w:ascii="Times New Roman" w:hAnsi="Times New Roman" w:cs="Times New Roman"/>
          <w:lang w:val="fr-FR"/>
        </w:rPr>
        <w:t>,</w:t>
      </w:r>
      <w:r w:rsidRPr="00167A1B">
        <w:rPr>
          <w:rFonts w:ascii="Times New Roman" w:hAnsi="Times New Roman" w:cs="Times New Roman"/>
          <w:i/>
          <w:iCs/>
          <w:lang w:val="fr-FR"/>
        </w:rPr>
        <w:t xml:space="preserve"> op.cit.</w:t>
      </w:r>
      <w:r w:rsidRPr="00167A1B">
        <w:rPr>
          <w:rFonts w:ascii="Times New Roman" w:hAnsi="Times New Roman" w:cs="Times New Roman"/>
          <w:lang w:val="fr-FR"/>
        </w:rPr>
        <w:t>, p. 431</w:t>
      </w:r>
      <w:r w:rsidR="002A0639" w:rsidRPr="00167A1B">
        <w:rPr>
          <w:rFonts w:ascii="Times New Roman" w:hAnsi="Times New Roman" w:cs="Times New Roman"/>
          <w:lang w:val="fr-FR"/>
        </w:rPr>
        <w:t xml:space="preserve"> ; G. </w:t>
      </w:r>
      <w:r w:rsidR="006F5127" w:rsidRPr="00167A1B">
        <w:rPr>
          <w:rFonts w:ascii="Times New Roman" w:hAnsi="Times New Roman" w:cs="Times New Roman"/>
          <w:lang w:val="fr-FR"/>
        </w:rPr>
        <w:t>de</w:t>
      </w:r>
      <w:r w:rsidR="002A0639" w:rsidRPr="00167A1B">
        <w:rPr>
          <w:rFonts w:ascii="Times New Roman" w:hAnsi="Times New Roman" w:cs="Times New Roman"/>
          <w:lang w:val="fr-FR"/>
        </w:rPr>
        <w:t xml:space="preserve"> LEVAL et Fr. GEORGES, « L’enlisement de la saisie d’un immeuble indivis dans un fouillis procédural n’est pas une fatalité », </w:t>
      </w:r>
      <w:r w:rsidR="00D419DB" w:rsidRPr="00167A1B">
        <w:rPr>
          <w:rFonts w:ascii="Times New Roman" w:hAnsi="Times New Roman" w:cs="Times New Roman"/>
          <w:i/>
          <w:iCs/>
          <w:lang w:val="fr-FR"/>
        </w:rPr>
        <w:t>op.cit</w:t>
      </w:r>
      <w:r w:rsidR="00D419DB" w:rsidRPr="00167A1B">
        <w:rPr>
          <w:rFonts w:ascii="Times New Roman" w:hAnsi="Times New Roman" w:cs="Times New Roman"/>
          <w:lang w:val="fr-FR"/>
        </w:rPr>
        <w:t>., p. 196</w:t>
      </w:r>
      <w:r w:rsidR="006E2BEC" w:rsidRPr="00167A1B">
        <w:rPr>
          <w:rFonts w:ascii="Times New Roman" w:hAnsi="Times New Roman" w:cs="Times New Roman"/>
          <w:lang w:val="fr-FR"/>
        </w:rPr>
        <w:t>).</w:t>
      </w:r>
      <w:r w:rsidR="00D419DB" w:rsidRPr="00167A1B">
        <w:rPr>
          <w:rFonts w:ascii="Times New Roman" w:hAnsi="Times New Roman" w:cs="Times New Roman"/>
          <w:lang w:val="fr-FR"/>
        </w:rPr>
        <w:t xml:space="preserve"> </w:t>
      </w:r>
      <w:r w:rsidR="00097755" w:rsidRPr="00CB7E44">
        <w:rPr>
          <w:rFonts w:ascii="Times New Roman" w:hAnsi="Times New Roman" w:cs="Times New Roman"/>
          <w:i/>
          <w:iCs/>
          <w:lang w:val="fr-FR"/>
        </w:rPr>
        <w:t>Contra</w:t>
      </w:r>
      <w:r w:rsidR="00CB7E44">
        <w:rPr>
          <w:rFonts w:ascii="Times New Roman" w:hAnsi="Times New Roman" w:cs="Times New Roman"/>
          <w:lang w:val="fr-FR"/>
        </w:rPr>
        <w:t xml:space="preserve"> (à </w:t>
      </w:r>
      <w:r w:rsidR="00097755">
        <w:rPr>
          <w:rFonts w:ascii="Times New Roman" w:hAnsi="Times New Roman" w:cs="Times New Roman"/>
          <w:lang w:val="fr-FR"/>
        </w:rPr>
        <w:t>tort</w:t>
      </w:r>
      <w:r w:rsidR="00CB7E44">
        <w:rPr>
          <w:rFonts w:ascii="Times New Roman" w:hAnsi="Times New Roman" w:cs="Times New Roman"/>
          <w:lang w:val="fr-FR"/>
        </w:rPr>
        <w:t xml:space="preserve"> selon nous) : </w:t>
      </w:r>
      <w:r w:rsidRPr="00167A1B">
        <w:rPr>
          <w:rFonts w:ascii="Times New Roman" w:hAnsi="Times New Roman" w:cs="Times New Roman"/>
          <w:lang w:val="fr-FR"/>
        </w:rPr>
        <w:t xml:space="preserve">A. BOULVAIN, « L’impact de la procédure de règlement collectif de dettes sur les saisies (et plus particulièrement sur les saisies immobilières), </w:t>
      </w:r>
      <w:r w:rsidRPr="00167A1B">
        <w:rPr>
          <w:rFonts w:ascii="Times New Roman" w:hAnsi="Times New Roman" w:cs="Times New Roman"/>
          <w:i/>
          <w:iCs/>
          <w:lang w:val="fr-FR"/>
        </w:rPr>
        <w:t>op.</w:t>
      </w:r>
      <w:r w:rsidR="006F5127" w:rsidRPr="00167A1B">
        <w:rPr>
          <w:rFonts w:ascii="Times New Roman" w:hAnsi="Times New Roman" w:cs="Times New Roman"/>
          <w:i/>
          <w:iCs/>
          <w:lang w:val="fr-FR"/>
        </w:rPr>
        <w:t xml:space="preserve"> </w:t>
      </w:r>
      <w:proofErr w:type="spellStart"/>
      <w:proofErr w:type="gramStart"/>
      <w:r w:rsidRPr="00167A1B">
        <w:rPr>
          <w:rFonts w:ascii="Times New Roman" w:hAnsi="Times New Roman" w:cs="Times New Roman"/>
          <w:i/>
          <w:iCs/>
          <w:lang w:val="fr-FR"/>
        </w:rPr>
        <w:t>cit</w:t>
      </w:r>
      <w:proofErr w:type="spellEnd"/>
      <w:proofErr w:type="gramEnd"/>
      <w:r w:rsidRPr="00167A1B">
        <w:rPr>
          <w:rFonts w:ascii="Times New Roman" w:hAnsi="Times New Roman" w:cs="Times New Roman"/>
          <w:lang w:val="fr-FR"/>
        </w:rPr>
        <w:t xml:space="preserve">., p. 73 et J. DEROM, « La procédure de saisie-exécution immobilière versus la procédure d’insolvabilité : David contre Goliath », </w:t>
      </w:r>
      <w:r w:rsidRPr="00167A1B">
        <w:rPr>
          <w:rFonts w:ascii="Times New Roman" w:hAnsi="Times New Roman" w:cs="Times New Roman"/>
          <w:i/>
          <w:iCs/>
          <w:lang w:val="fr-FR"/>
        </w:rPr>
        <w:t>op.cit</w:t>
      </w:r>
      <w:r w:rsidRPr="00167A1B">
        <w:rPr>
          <w:rFonts w:ascii="Times New Roman" w:hAnsi="Times New Roman" w:cs="Times New Roman"/>
          <w:lang w:val="fr-FR"/>
        </w:rPr>
        <w:t xml:space="preserve">., p. 205. Les auteurs précités considèrent que les </w:t>
      </w:r>
      <w:r w:rsidRPr="00CB7E44">
        <w:rPr>
          <w:rFonts w:ascii="Times New Roman" w:hAnsi="Times New Roman" w:cs="Times New Roman"/>
          <w:lang w:val="fr-FR"/>
        </w:rPr>
        <w:t xml:space="preserve">règles reprises à l’article 1675/7, §2, al. 2, du C. </w:t>
      </w:r>
      <w:proofErr w:type="spellStart"/>
      <w:r w:rsidRPr="00CB7E44">
        <w:rPr>
          <w:rFonts w:ascii="Times New Roman" w:hAnsi="Times New Roman" w:cs="Times New Roman"/>
          <w:lang w:val="fr-FR"/>
        </w:rPr>
        <w:t>Jud</w:t>
      </w:r>
      <w:proofErr w:type="spellEnd"/>
      <w:r w:rsidRPr="00CB7E44">
        <w:rPr>
          <w:rFonts w:ascii="Times New Roman" w:hAnsi="Times New Roman" w:cs="Times New Roman"/>
          <w:lang w:val="fr-FR"/>
        </w:rPr>
        <w:t xml:space="preserve">. </w:t>
      </w:r>
      <w:proofErr w:type="gramStart"/>
      <w:r w:rsidRPr="00CB7E44">
        <w:rPr>
          <w:rFonts w:ascii="Times New Roman" w:hAnsi="Times New Roman" w:cs="Times New Roman"/>
          <w:lang w:val="fr-FR"/>
        </w:rPr>
        <w:t>ne</w:t>
      </w:r>
      <w:proofErr w:type="gramEnd"/>
      <w:r w:rsidRPr="00CB7E44">
        <w:rPr>
          <w:rFonts w:ascii="Times New Roman" w:hAnsi="Times New Roman" w:cs="Times New Roman"/>
          <w:lang w:val="fr-FR"/>
        </w:rPr>
        <w:t xml:space="preserve"> valent que si le débiteur est propriétaire en totalité du bien et qu’il ne pourra donc pas, par exemple, introduire une demande en suspension de la vente.</w:t>
      </w:r>
      <w:r w:rsidR="00F31E4A" w:rsidRPr="00CB7E44">
        <w:rPr>
          <w:rFonts w:ascii="Times New Roman" w:hAnsi="Times New Roman" w:cs="Times New Roman"/>
          <w:lang w:val="fr-FR"/>
        </w:rPr>
        <w:t xml:space="preserve"> </w:t>
      </w:r>
      <w:r w:rsidRPr="00CB7E44">
        <w:rPr>
          <w:rFonts w:ascii="Times New Roman" w:hAnsi="Times New Roman" w:cs="Times New Roman"/>
          <w:lang w:val="fr-FR"/>
        </w:rPr>
        <w:t>S’il fallait retenir cette</w:t>
      </w:r>
      <w:r w:rsidRPr="00167A1B">
        <w:rPr>
          <w:rFonts w:ascii="Times New Roman" w:hAnsi="Times New Roman" w:cs="Times New Roman"/>
          <w:lang w:val="fr-FR"/>
        </w:rPr>
        <w:t xml:space="preserve"> dernière solution, il y aura</w:t>
      </w:r>
      <w:r w:rsidR="002708E6" w:rsidRPr="00167A1B">
        <w:rPr>
          <w:rFonts w:ascii="Times New Roman" w:hAnsi="Times New Roman" w:cs="Times New Roman"/>
          <w:lang w:val="fr-FR"/>
        </w:rPr>
        <w:t>it</w:t>
      </w:r>
      <w:r w:rsidRPr="00167A1B">
        <w:rPr>
          <w:rFonts w:ascii="Times New Roman" w:hAnsi="Times New Roman" w:cs="Times New Roman"/>
          <w:lang w:val="fr-FR"/>
        </w:rPr>
        <w:t xml:space="preserve"> incontestablement une différence de traitement injustifiée entre la poursuite de la vente concernant le débiteur possédant le bien en totalité et le cas des poursuites dirigées contre plusieurs codébiteurs. </w:t>
      </w:r>
      <w:r w:rsidR="00E10AB9" w:rsidRPr="00167A1B">
        <w:rPr>
          <w:rFonts w:ascii="Times New Roman" w:hAnsi="Times New Roman" w:cs="Times New Roman"/>
          <w:lang w:val="fr-FR"/>
        </w:rPr>
        <w:t>G</w:t>
      </w:r>
      <w:r w:rsidR="006F5127" w:rsidRPr="00167A1B">
        <w:rPr>
          <w:rFonts w:ascii="Times New Roman" w:hAnsi="Times New Roman" w:cs="Times New Roman"/>
          <w:lang w:val="fr-FR"/>
        </w:rPr>
        <w:t>. d</w:t>
      </w:r>
      <w:r w:rsidR="006E2BEC" w:rsidRPr="00167A1B">
        <w:rPr>
          <w:rFonts w:ascii="Times New Roman" w:hAnsi="Times New Roman" w:cs="Times New Roman"/>
          <w:lang w:val="fr-FR"/>
        </w:rPr>
        <w:t xml:space="preserve">e </w:t>
      </w:r>
      <w:proofErr w:type="spellStart"/>
      <w:r w:rsidR="006E2BEC" w:rsidRPr="00167A1B">
        <w:rPr>
          <w:rFonts w:ascii="Times New Roman" w:hAnsi="Times New Roman" w:cs="Times New Roman"/>
          <w:lang w:val="fr-FR"/>
        </w:rPr>
        <w:t>Leval</w:t>
      </w:r>
      <w:proofErr w:type="spellEnd"/>
      <w:r w:rsidR="006E2BEC" w:rsidRPr="00167A1B">
        <w:rPr>
          <w:rFonts w:ascii="Times New Roman" w:hAnsi="Times New Roman" w:cs="Times New Roman"/>
          <w:lang w:val="fr-FR"/>
        </w:rPr>
        <w:t xml:space="preserve"> et Fr</w:t>
      </w:r>
      <w:r w:rsidR="006F5127" w:rsidRPr="00167A1B">
        <w:rPr>
          <w:rFonts w:ascii="Times New Roman" w:hAnsi="Times New Roman" w:cs="Times New Roman"/>
          <w:lang w:val="fr-FR"/>
        </w:rPr>
        <w:t>.</w:t>
      </w:r>
      <w:r w:rsidR="006E2BEC" w:rsidRPr="00167A1B">
        <w:rPr>
          <w:rFonts w:ascii="Times New Roman" w:hAnsi="Times New Roman" w:cs="Times New Roman"/>
          <w:lang w:val="fr-FR"/>
        </w:rPr>
        <w:t xml:space="preserve"> Georges </w:t>
      </w:r>
      <w:r w:rsidR="00E10AB9" w:rsidRPr="00167A1B">
        <w:rPr>
          <w:rFonts w:ascii="Times New Roman" w:hAnsi="Times New Roman" w:cs="Times New Roman"/>
          <w:lang w:val="fr-FR"/>
        </w:rPr>
        <w:t>considèrent en effet</w:t>
      </w:r>
      <w:r w:rsidR="006E2BEC" w:rsidRPr="00167A1B">
        <w:rPr>
          <w:rFonts w:ascii="Times New Roman" w:hAnsi="Times New Roman" w:cs="Times New Roman"/>
          <w:lang w:val="fr-FR"/>
        </w:rPr>
        <w:t xml:space="preserve"> : </w:t>
      </w:r>
      <w:r w:rsidR="00E10AB9" w:rsidRPr="00167A1B">
        <w:rPr>
          <w:rFonts w:ascii="Times New Roman" w:hAnsi="Times New Roman" w:cs="Times New Roman"/>
          <w:lang w:val="fr-FR"/>
        </w:rPr>
        <w:t>«</w:t>
      </w:r>
      <w:r w:rsidR="006E2BEC" w:rsidRPr="00167A1B">
        <w:rPr>
          <w:rFonts w:ascii="Times New Roman" w:hAnsi="Times New Roman" w:cs="Times New Roman"/>
          <w:lang w:val="fr-FR"/>
        </w:rPr>
        <w:t xml:space="preserve"> (qu’) </w:t>
      </w:r>
      <w:r w:rsidR="00E10AB9" w:rsidRPr="00167A1B">
        <w:rPr>
          <w:rFonts w:ascii="Times New Roman" w:hAnsi="Times New Roman" w:cs="Times New Roman"/>
          <w:i/>
          <w:iCs/>
          <w:lang w:val="fr-FR"/>
        </w:rPr>
        <w:t>une lecture autonome de l’alinéa 4 aboutirait à une incohérente distorsion de traitement : si le médié est seul propriétaire, une saisie contre lui devrait être suffisamment avancée pour pouvoir être poursuivie, alors que si le médié est en indivision, une saisie pourrait être poursuivie en toutes circonstances, peu importe sa date</w:t>
      </w:r>
      <w:r w:rsidR="00E10AB9" w:rsidRPr="00167A1B">
        <w:rPr>
          <w:rFonts w:ascii="Times New Roman" w:hAnsi="Times New Roman" w:cs="Times New Roman"/>
          <w:lang w:val="fr-FR"/>
        </w:rPr>
        <w:t xml:space="preserve"> » (G. </w:t>
      </w:r>
      <w:r w:rsidR="006F5127" w:rsidRPr="00167A1B">
        <w:rPr>
          <w:rFonts w:ascii="Times New Roman" w:hAnsi="Times New Roman" w:cs="Times New Roman"/>
          <w:lang w:val="fr-FR"/>
        </w:rPr>
        <w:t>de</w:t>
      </w:r>
      <w:r w:rsidR="00E10AB9" w:rsidRPr="00167A1B">
        <w:rPr>
          <w:rFonts w:ascii="Times New Roman" w:hAnsi="Times New Roman" w:cs="Times New Roman"/>
          <w:lang w:val="fr-FR"/>
        </w:rPr>
        <w:t xml:space="preserve"> LEVAL et Fr. GEORGES, </w:t>
      </w:r>
      <w:r w:rsidR="00E10AB9" w:rsidRPr="00167A1B">
        <w:rPr>
          <w:rFonts w:ascii="Times New Roman" w:hAnsi="Times New Roman" w:cs="Times New Roman"/>
          <w:i/>
          <w:iCs/>
          <w:lang w:val="fr-FR"/>
        </w:rPr>
        <w:t>ibid</w:t>
      </w:r>
      <w:r w:rsidR="00E10AB9" w:rsidRPr="00167A1B">
        <w:rPr>
          <w:rFonts w:ascii="Times New Roman" w:hAnsi="Times New Roman" w:cs="Times New Roman"/>
          <w:lang w:val="fr-FR"/>
        </w:rPr>
        <w:t>., p. 196</w:t>
      </w:r>
      <w:r w:rsidR="006E2BEC" w:rsidRPr="00167A1B">
        <w:rPr>
          <w:rFonts w:ascii="Times New Roman" w:hAnsi="Times New Roman" w:cs="Times New Roman"/>
          <w:lang w:val="fr-FR"/>
        </w:rPr>
        <w:t xml:space="preserve">). </w:t>
      </w:r>
    </w:p>
  </w:footnote>
  <w:footnote w:id="61">
    <w:p w14:paraId="732C41C9" w14:textId="135775F2" w:rsidR="004367EC" w:rsidRPr="00167A1B" w:rsidRDefault="00E8092E" w:rsidP="00B5673A">
      <w:pPr>
        <w:pStyle w:val="Notedebasdepage"/>
        <w:jc w:val="both"/>
        <w:rPr>
          <w:rFonts w:ascii="Times New Roman" w:hAnsi="Times New Roman" w:cs="Times New Roman"/>
          <w:lang w:val="fr-FR"/>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C. C., 15 octobre 2020, n°136/2020,</w:t>
      </w:r>
      <w:r w:rsidR="00AA6F38" w:rsidRPr="00167A1B">
        <w:rPr>
          <w:rFonts w:ascii="Times New Roman" w:hAnsi="Times New Roman" w:cs="Times New Roman"/>
        </w:rPr>
        <w:t xml:space="preserve"> </w:t>
      </w:r>
      <w:hyperlink r:id="rId2" w:history="1">
        <w:r w:rsidR="00AA6F38" w:rsidRPr="00167A1B">
          <w:rPr>
            <w:rStyle w:val="Lienhypertexte"/>
            <w:rFonts w:ascii="Times New Roman" w:hAnsi="Times New Roman" w:cs="Times New Roman"/>
          </w:rPr>
          <w:t>www.const-court.be</w:t>
        </w:r>
      </w:hyperlink>
      <w:r w:rsidR="00AA6F38" w:rsidRPr="00167A1B">
        <w:rPr>
          <w:rFonts w:ascii="Times New Roman" w:hAnsi="Times New Roman" w:cs="Times New Roman"/>
        </w:rPr>
        <w:t xml:space="preserve">, </w:t>
      </w:r>
      <w:proofErr w:type="spellStart"/>
      <w:r w:rsidR="008215F8" w:rsidRPr="00167A1B">
        <w:rPr>
          <w:rFonts w:ascii="Times New Roman" w:hAnsi="Times New Roman" w:cs="Times New Roman"/>
          <w:i/>
          <w:iCs/>
        </w:rPr>
        <w:t>Rev</w:t>
      </w:r>
      <w:proofErr w:type="spellEnd"/>
      <w:r w:rsidR="008215F8" w:rsidRPr="00167A1B">
        <w:rPr>
          <w:rFonts w:ascii="Times New Roman" w:hAnsi="Times New Roman" w:cs="Times New Roman"/>
          <w:i/>
          <w:iCs/>
        </w:rPr>
        <w:t>. not. bel</w:t>
      </w:r>
      <w:r w:rsidR="008215F8" w:rsidRPr="00167A1B">
        <w:rPr>
          <w:rFonts w:ascii="Times New Roman" w:hAnsi="Times New Roman" w:cs="Times New Roman"/>
        </w:rPr>
        <w:t xml:space="preserve">., 2021, pp. 196 et s., avec note </w:t>
      </w:r>
      <w:r w:rsidRPr="00167A1B">
        <w:rPr>
          <w:rFonts w:ascii="Times New Roman" w:hAnsi="Times New Roman" w:cs="Times New Roman"/>
          <w:lang w:val="fr-FR"/>
        </w:rPr>
        <w:t>G.</w:t>
      </w:r>
      <w:r w:rsidR="006F5127" w:rsidRPr="00167A1B">
        <w:rPr>
          <w:rFonts w:ascii="Times New Roman" w:hAnsi="Times New Roman" w:cs="Times New Roman"/>
          <w:lang w:val="fr-FR"/>
        </w:rPr>
        <w:t xml:space="preserve"> de</w:t>
      </w:r>
      <w:r w:rsidRPr="00167A1B">
        <w:rPr>
          <w:rFonts w:ascii="Times New Roman" w:hAnsi="Times New Roman" w:cs="Times New Roman"/>
          <w:lang w:val="fr-FR"/>
        </w:rPr>
        <w:t xml:space="preserve"> LEVAL, « Les prérogatives du bénéficiaire d’une sûreté réelle impacté par la procédure de règlement collectif de dettes de la caution réelle »</w:t>
      </w:r>
      <w:r w:rsidR="008215F8" w:rsidRPr="00167A1B">
        <w:rPr>
          <w:rFonts w:ascii="Times New Roman" w:hAnsi="Times New Roman" w:cs="Times New Roman"/>
          <w:lang w:val="fr-FR"/>
        </w:rPr>
        <w:t xml:space="preserve"> </w:t>
      </w:r>
      <w:r w:rsidRPr="00167A1B">
        <w:rPr>
          <w:rFonts w:ascii="Times New Roman" w:hAnsi="Times New Roman" w:cs="Times New Roman"/>
          <w:lang w:val="fr-FR"/>
        </w:rPr>
        <w:t xml:space="preserve">; </w:t>
      </w:r>
      <w:r w:rsidRPr="00167A1B">
        <w:rPr>
          <w:rFonts w:ascii="Times New Roman" w:hAnsi="Times New Roman" w:cs="Times New Roman"/>
          <w:i/>
          <w:iCs/>
          <w:lang w:val="fr-FR"/>
        </w:rPr>
        <w:t>J.T</w:t>
      </w:r>
      <w:r w:rsidRPr="00167A1B">
        <w:rPr>
          <w:rFonts w:ascii="Times New Roman" w:hAnsi="Times New Roman" w:cs="Times New Roman"/>
          <w:lang w:val="fr-FR"/>
        </w:rPr>
        <w:t>., 2021, p. 233 avec note Fr. GEORGES, « L’hypothèque consentie pour sûreté de la dette d’autrui : statuts des protagonistes en cas de règlement collectif de dettes du tiers affectant »</w:t>
      </w:r>
      <w:r w:rsidR="006E2BEC" w:rsidRPr="00167A1B">
        <w:rPr>
          <w:rFonts w:ascii="Times New Roman" w:hAnsi="Times New Roman" w:cs="Times New Roman"/>
          <w:lang w:val="fr-FR"/>
        </w:rPr>
        <w:t xml:space="preserve"> </w:t>
      </w:r>
      <w:r w:rsidRPr="00167A1B">
        <w:rPr>
          <w:rFonts w:ascii="Times New Roman" w:hAnsi="Times New Roman" w:cs="Times New Roman"/>
          <w:lang w:val="fr-FR"/>
        </w:rPr>
        <w:t>;</w:t>
      </w:r>
      <w:r w:rsidR="006E2BEC" w:rsidRPr="00167A1B">
        <w:rPr>
          <w:rFonts w:ascii="Times New Roman" w:hAnsi="Times New Roman" w:cs="Times New Roman"/>
          <w:lang w:val="fr-FR"/>
        </w:rPr>
        <w:t xml:space="preserve"> </w:t>
      </w:r>
      <w:r w:rsidRPr="00167A1B">
        <w:rPr>
          <w:rFonts w:ascii="Times New Roman" w:hAnsi="Times New Roman" w:cs="Times New Roman"/>
          <w:lang w:val="fr-FR"/>
        </w:rPr>
        <w:t>J. BOILEAU, Fr. GEORGES, M. MOREAUX, M. PASSANISI, « Développements jurisprudentiels récents en matière de garanties de paiement », in Fr. GEORGES et F. GEORGE (</w:t>
      </w:r>
      <w:proofErr w:type="spellStart"/>
      <w:r w:rsidRPr="00167A1B">
        <w:rPr>
          <w:rFonts w:ascii="Times New Roman" w:hAnsi="Times New Roman" w:cs="Times New Roman"/>
          <w:lang w:val="fr-FR"/>
        </w:rPr>
        <w:t>dir</w:t>
      </w:r>
      <w:proofErr w:type="spellEnd"/>
      <w:r w:rsidRPr="00167A1B">
        <w:rPr>
          <w:rFonts w:ascii="Times New Roman" w:hAnsi="Times New Roman" w:cs="Times New Roman"/>
          <w:lang w:val="fr-FR"/>
        </w:rPr>
        <w:t xml:space="preserve">.), </w:t>
      </w:r>
      <w:r w:rsidRPr="00167A1B">
        <w:rPr>
          <w:rFonts w:ascii="Times New Roman" w:hAnsi="Times New Roman" w:cs="Times New Roman"/>
          <w:i/>
          <w:iCs/>
          <w:lang w:val="fr-FR"/>
        </w:rPr>
        <w:t>Varia en droit de l’insolvabilité</w:t>
      </w:r>
      <w:r w:rsidRPr="00167A1B">
        <w:rPr>
          <w:rFonts w:ascii="Times New Roman" w:hAnsi="Times New Roman" w:cs="Times New Roman"/>
          <w:lang w:val="fr-FR"/>
        </w:rPr>
        <w:t xml:space="preserve">, coll. CUP, vol. 214, Anthémis, 2022, p. 418. </w:t>
      </w:r>
      <w:r w:rsidR="00D8692B" w:rsidRPr="00167A1B">
        <w:rPr>
          <w:rFonts w:ascii="Times New Roman" w:hAnsi="Times New Roman" w:cs="Times New Roman"/>
          <w:lang w:val="fr-FR"/>
        </w:rPr>
        <w:t xml:space="preserve">Notons que le cas vise ici le tiers affectant réel </w:t>
      </w:r>
      <w:proofErr w:type="gramStart"/>
      <w:r w:rsidR="00D8692B" w:rsidRPr="00167A1B">
        <w:rPr>
          <w:rFonts w:ascii="Times New Roman" w:hAnsi="Times New Roman" w:cs="Times New Roman"/>
          <w:lang w:val="fr-FR"/>
        </w:rPr>
        <w:t>médié</w:t>
      </w:r>
      <w:proofErr w:type="gramEnd"/>
      <w:r w:rsidR="00D8692B" w:rsidRPr="00167A1B">
        <w:rPr>
          <w:rFonts w:ascii="Times New Roman" w:hAnsi="Times New Roman" w:cs="Times New Roman"/>
          <w:lang w:val="fr-FR"/>
        </w:rPr>
        <w:t>. Si ce tiers affectant n’a pas introduit de procédure en règlement collectif de dettes, le garant réel ne profitera pas des mesures de clémence dont peut bénéficier la sûreté personnelle</w:t>
      </w:r>
      <w:r w:rsidR="00E56D5E" w:rsidRPr="00167A1B">
        <w:rPr>
          <w:rFonts w:ascii="Times New Roman" w:hAnsi="Times New Roman" w:cs="Times New Roman"/>
          <w:lang w:val="fr-FR"/>
        </w:rPr>
        <w:t xml:space="preserve">. Sur ce dernier point </w:t>
      </w:r>
      <w:proofErr w:type="spellStart"/>
      <w:r w:rsidR="00E56D5E" w:rsidRPr="00167A1B">
        <w:rPr>
          <w:rFonts w:ascii="Times New Roman" w:hAnsi="Times New Roman" w:cs="Times New Roman"/>
          <w:lang w:val="fr-FR"/>
        </w:rPr>
        <w:t>voy</w:t>
      </w:r>
      <w:proofErr w:type="spellEnd"/>
      <w:r w:rsidR="00E56D5E" w:rsidRPr="00167A1B">
        <w:rPr>
          <w:rFonts w:ascii="Times New Roman" w:hAnsi="Times New Roman" w:cs="Times New Roman"/>
          <w:lang w:val="fr-FR"/>
        </w:rPr>
        <w:t xml:space="preserve">. </w:t>
      </w:r>
      <w:r w:rsidR="00071480" w:rsidRPr="00167A1B">
        <w:rPr>
          <w:rFonts w:ascii="Times New Roman" w:hAnsi="Times New Roman" w:cs="Times New Roman"/>
          <w:lang w:val="fr-FR"/>
        </w:rPr>
        <w:t xml:space="preserve">Cass. 6 mai 2011, </w:t>
      </w:r>
      <w:r w:rsidR="00071480" w:rsidRPr="00167A1B">
        <w:rPr>
          <w:rFonts w:ascii="Times New Roman" w:hAnsi="Times New Roman" w:cs="Times New Roman"/>
          <w:i/>
          <w:iCs/>
          <w:lang w:val="fr-FR"/>
        </w:rPr>
        <w:t>Pas</w:t>
      </w:r>
      <w:r w:rsidR="00071480" w:rsidRPr="00167A1B">
        <w:rPr>
          <w:rFonts w:ascii="Times New Roman" w:hAnsi="Times New Roman" w:cs="Times New Roman"/>
          <w:lang w:val="fr-FR"/>
        </w:rPr>
        <w:t>., 2011, p. 1300, n°305</w:t>
      </w:r>
      <w:r w:rsidR="000E7259">
        <w:rPr>
          <w:rFonts w:ascii="Times New Roman" w:hAnsi="Times New Roman" w:cs="Times New Roman"/>
          <w:lang w:val="fr-FR"/>
        </w:rPr>
        <w:t xml:space="preserve">, </w:t>
      </w:r>
      <w:r w:rsidR="00071480" w:rsidRPr="00167A1B">
        <w:rPr>
          <w:rFonts w:ascii="Times New Roman" w:hAnsi="Times New Roman" w:cs="Times New Roman"/>
          <w:lang w:val="fr-FR"/>
        </w:rPr>
        <w:t xml:space="preserve">où la </w:t>
      </w:r>
      <w:r w:rsidR="00D419DB" w:rsidRPr="00167A1B">
        <w:rPr>
          <w:rFonts w:ascii="Times New Roman" w:hAnsi="Times New Roman" w:cs="Times New Roman"/>
          <w:lang w:val="fr-FR"/>
        </w:rPr>
        <w:t xml:space="preserve">Cour </w:t>
      </w:r>
      <w:r w:rsidR="00071480" w:rsidRPr="00167A1B">
        <w:rPr>
          <w:rFonts w:ascii="Times New Roman" w:hAnsi="Times New Roman" w:cs="Times New Roman"/>
          <w:lang w:val="fr-FR"/>
        </w:rPr>
        <w:t>avait jugé</w:t>
      </w:r>
      <w:r w:rsidR="006E2BEC" w:rsidRPr="00167A1B">
        <w:rPr>
          <w:rFonts w:ascii="Times New Roman" w:hAnsi="Times New Roman" w:cs="Times New Roman"/>
          <w:lang w:val="fr-FR"/>
        </w:rPr>
        <w:t xml:space="preserve"> : </w:t>
      </w:r>
      <w:r w:rsidR="00071480" w:rsidRPr="00167A1B">
        <w:rPr>
          <w:rFonts w:ascii="Times New Roman" w:hAnsi="Times New Roman" w:cs="Times New Roman"/>
          <w:lang w:val="fr-FR"/>
        </w:rPr>
        <w:t>«</w:t>
      </w:r>
      <w:r w:rsidR="006E2BEC" w:rsidRPr="00167A1B">
        <w:rPr>
          <w:rFonts w:ascii="Times New Roman" w:hAnsi="Times New Roman" w:cs="Times New Roman"/>
          <w:lang w:val="fr-FR"/>
        </w:rPr>
        <w:t xml:space="preserve"> (qu’)</w:t>
      </w:r>
      <w:r w:rsidR="00071480" w:rsidRPr="00167A1B">
        <w:rPr>
          <w:rFonts w:ascii="Times New Roman" w:hAnsi="Times New Roman" w:cs="Times New Roman"/>
          <w:lang w:val="fr-FR"/>
        </w:rPr>
        <w:t> </w:t>
      </w:r>
      <w:r w:rsidR="00071480" w:rsidRPr="00167A1B">
        <w:rPr>
          <w:rFonts w:ascii="Times New Roman" w:hAnsi="Times New Roman" w:cs="Times New Roman"/>
          <w:i/>
          <w:iCs/>
          <w:lang w:val="fr-FR"/>
        </w:rPr>
        <w:t>il ne peut se déduire de l’article 1675/7, §2, alinéas 1</w:t>
      </w:r>
      <w:r w:rsidR="00071480" w:rsidRPr="00167A1B">
        <w:rPr>
          <w:rFonts w:ascii="Times New Roman" w:hAnsi="Times New Roman" w:cs="Times New Roman"/>
          <w:i/>
          <w:iCs/>
          <w:vertAlign w:val="superscript"/>
          <w:lang w:val="fr-FR"/>
        </w:rPr>
        <w:t>er</w:t>
      </w:r>
      <w:r w:rsidR="00071480" w:rsidRPr="00167A1B">
        <w:rPr>
          <w:rFonts w:ascii="Times New Roman" w:hAnsi="Times New Roman" w:cs="Times New Roman"/>
          <w:i/>
          <w:iCs/>
          <w:lang w:val="fr-FR"/>
        </w:rPr>
        <w:t>, 3 et 4, du Code judiciaire que les voies d’exécution sont aussi suspendues à l’égard des personnes ayant consenti une sûreté réelle pour garantir une dette du requérant admis à la procédure de règlement collectif de dettes ; les motifs de suspension visés ne valent pas davantage lorsque celui qui s’est constitué sûreté réelle s’est aussi constitué sûreté personnelle au profit du requérant et que l’exécution concerne le ou les biens qui font l’objet de la sûreté réelle</w:t>
      </w:r>
      <w:r w:rsidR="00071480" w:rsidRPr="00167A1B">
        <w:rPr>
          <w:rFonts w:ascii="Times New Roman" w:hAnsi="Times New Roman" w:cs="Times New Roman"/>
          <w:lang w:val="fr-FR"/>
        </w:rPr>
        <w:t xml:space="preserve"> » ; </w:t>
      </w:r>
      <w:r w:rsidR="00D8692B" w:rsidRPr="00167A1B">
        <w:rPr>
          <w:rFonts w:ascii="Times New Roman" w:hAnsi="Times New Roman" w:cs="Times New Roman"/>
          <w:lang w:val="fr-FR"/>
        </w:rPr>
        <w:t>C.</w:t>
      </w:r>
      <w:r w:rsidR="00D419DB" w:rsidRPr="00167A1B">
        <w:rPr>
          <w:rFonts w:ascii="Times New Roman" w:hAnsi="Times New Roman" w:cs="Times New Roman"/>
          <w:lang w:val="fr-FR"/>
        </w:rPr>
        <w:t>C</w:t>
      </w:r>
      <w:r w:rsidR="00D8692B" w:rsidRPr="00167A1B">
        <w:rPr>
          <w:rFonts w:ascii="Times New Roman" w:hAnsi="Times New Roman" w:cs="Times New Roman"/>
          <w:lang w:val="fr-FR"/>
        </w:rPr>
        <w:t>.,</w:t>
      </w:r>
      <w:r w:rsidR="00071480" w:rsidRPr="00167A1B">
        <w:rPr>
          <w:rFonts w:ascii="Times New Roman" w:hAnsi="Times New Roman" w:cs="Times New Roman"/>
          <w:lang w:val="fr-FR"/>
        </w:rPr>
        <w:t xml:space="preserve"> n°136/2020 précité ; </w:t>
      </w:r>
      <w:r w:rsidR="00E56D5E" w:rsidRPr="00167A1B">
        <w:rPr>
          <w:rFonts w:ascii="Times New Roman" w:hAnsi="Times New Roman" w:cs="Times New Roman"/>
          <w:lang w:val="fr-FR"/>
        </w:rPr>
        <w:t>Mons (34</w:t>
      </w:r>
      <w:r w:rsidR="00E56D5E" w:rsidRPr="00167A1B">
        <w:rPr>
          <w:rFonts w:ascii="Times New Roman" w:hAnsi="Times New Roman" w:cs="Times New Roman"/>
          <w:vertAlign w:val="superscript"/>
          <w:lang w:val="fr-FR"/>
        </w:rPr>
        <w:t>e</w:t>
      </w:r>
      <w:r w:rsidR="00E56D5E" w:rsidRPr="00167A1B">
        <w:rPr>
          <w:rFonts w:ascii="Times New Roman" w:hAnsi="Times New Roman" w:cs="Times New Roman"/>
          <w:lang w:val="fr-FR"/>
        </w:rPr>
        <w:t xml:space="preserve"> ch.), 18 octobre 2021, </w:t>
      </w:r>
      <w:proofErr w:type="spellStart"/>
      <w:r w:rsidR="00E56D5E" w:rsidRPr="00167A1B">
        <w:rPr>
          <w:rFonts w:ascii="Times New Roman" w:hAnsi="Times New Roman" w:cs="Times New Roman"/>
          <w:i/>
          <w:iCs/>
          <w:lang w:val="fr-FR"/>
        </w:rPr>
        <w:t>Rev</w:t>
      </w:r>
      <w:proofErr w:type="spellEnd"/>
      <w:r w:rsidR="00E56D5E" w:rsidRPr="00167A1B">
        <w:rPr>
          <w:rFonts w:ascii="Times New Roman" w:hAnsi="Times New Roman" w:cs="Times New Roman"/>
          <w:i/>
          <w:iCs/>
          <w:lang w:val="fr-FR"/>
        </w:rPr>
        <w:t xml:space="preserve">. </w:t>
      </w:r>
      <w:proofErr w:type="gramStart"/>
      <w:r w:rsidR="00E56D5E" w:rsidRPr="00167A1B">
        <w:rPr>
          <w:rFonts w:ascii="Times New Roman" w:hAnsi="Times New Roman" w:cs="Times New Roman"/>
          <w:i/>
          <w:iCs/>
          <w:lang w:val="fr-FR"/>
        </w:rPr>
        <w:t>not</w:t>
      </w:r>
      <w:proofErr w:type="gramEnd"/>
      <w:r w:rsidR="00E56D5E" w:rsidRPr="00167A1B">
        <w:rPr>
          <w:rFonts w:ascii="Times New Roman" w:hAnsi="Times New Roman" w:cs="Times New Roman"/>
          <w:i/>
          <w:iCs/>
          <w:lang w:val="fr-FR"/>
        </w:rPr>
        <w:t>. b.,</w:t>
      </w:r>
      <w:r w:rsidR="00E56D5E" w:rsidRPr="00167A1B">
        <w:rPr>
          <w:rFonts w:ascii="Times New Roman" w:hAnsi="Times New Roman" w:cs="Times New Roman"/>
          <w:lang w:val="fr-FR"/>
        </w:rPr>
        <w:t xml:space="preserve"> 2022, p. 183, avec note G. </w:t>
      </w:r>
      <w:r w:rsidR="006F5127" w:rsidRPr="00167A1B">
        <w:rPr>
          <w:rFonts w:ascii="Times New Roman" w:hAnsi="Times New Roman" w:cs="Times New Roman"/>
          <w:lang w:val="fr-FR"/>
        </w:rPr>
        <w:t>de</w:t>
      </w:r>
      <w:r w:rsidR="00E56D5E" w:rsidRPr="00167A1B">
        <w:rPr>
          <w:rFonts w:ascii="Times New Roman" w:hAnsi="Times New Roman" w:cs="Times New Roman"/>
          <w:lang w:val="fr-FR"/>
        </w:rPr>
        <w:t xml:space="preserve"> LEVAL et Fr. GEORGES</w:t>
      </w:r>
      <w:r w:rsidR="003C3BA6" w:rsidRPr="00167A1B">
        <w:rPr>
          <w:rFonts w:ascii="Times New Roman" w:hAnsi="Times New Roman" w:cs="Times New Roman"/>
          <w:lang w:val="fr-FR"/>
        </w:rPr>
        <w:t xml:space="preserve">, </w:t>
      </w:r>
      <w:r w:rsidR="003C3BA6" w:rsidRPr="00167A1B">
        <w:rPr>
          <w:rFonts w:ascii="Times New Roman" w:hAnsi="Times New Roman" w:cs="Times New Roman"/>
          <w:i/>
          <w:iCs/>
          <w:lang w:val="fr-FR"/>
        </w:rPr>
        <w:t>ibid</w:t>
      </w:r>
      <w:r w:rsidR="003C3BA6" w:rsidRPr="00167A1B">
        <w:rPr>
          <w:rFonts w:ascii="Times New Roman" w:hAnsi="Times New Roman" w:cs="Times New Roman"/>
          <w:lang w:val="fr-FR"/>
        </w:rPr>
        <w:t>.</w:t>
      </w:r>
    </w:p>
  </w:footnote>
  <w:footnote w:id="62">
    <w:p w14:paraId="6ED06C4C" w14:textId="18E876A3" w:rsidR="00BE39AB" w:rsidRPr="00167A1B" w:rsidRDefault="00E8092E" w:rsidP="00B5673A">
      <w:pPr>
        <w:pStyle w:val="NormalWeb"/>
        <w:jc w:val="both"/>
        <w:rPr>
          <w:sz w:val="22"/>
          <w:szCs w:val="22"/>
        </w:rPr>
      </w:pPr>
      <w:r w:rsidRPr="00167A1B">
        <w:rPr>
          <w:sz w:val="22"/>
          <w:szCs w:val="22"/>
          <w:vertAlign w:val="superscript"/>
        </w:rPr>
        <w:footnoteRef/>
      </w:r>
      <w:r w:rsidR="00B17203" w:rsidRPr="00167A1B">
        <w:rPr>
          <w:sz w:val="22"/>
          <w:szCs w:val="22"/>
        </w:rPr>
        <w:t xml:space="preserve"> </w:t>
      </w:r>
      <w:r w:rsidRPr="00167A1B">
        <w:rPr>
          <w:sz w:val="22"/>
          <w:szCs w:val="22"/>
          <w:lang w:val="fr-FR"/>
        </w:rPr>
        <w:t xml:space="preserve">La liberté contractuelle prévaut donc sous réserve d’un contrôle judiciaire </w:t>
      </w:r>
      <w:r w:rsidRPr="00167A1B">
        <w:rPr>
          <w:i/>
          <w:iCs/>
          <w:sz w:val="22"/>
          <w:szCs w:val="22"/>
          <w:lang w:val="fr-FR"/>
        </w:rPr>
        <w:t xml:space="preserve">a posteriori </w:t>
      </w:r>
      <w:r w:rsidRPr="00167A1B">
        <w:rPr>
          <w:sz w:val="22"/>
          <w:szCs w:val="22"/>
          <w:lang w:val="fr-FR"/>
        </w:rPr>
        <w:t xml:space="preserve">(M. GREGOIRE, « Chapitre II. Le gage », in </w:t>
      </w:r>
      <w:r w:rsidRPr="00167A1B">
        <w:rPr>
          <w:i/>
          <w:iCs/>
          <w:sz w:val="22"/>
          <w:szCs w:val="22"/>
          <w:lang w:val="fr-FR"/>
        </w:rPr>
        <w:t>Privilèges et hypothèques</w:t>
      </w:r>
      <w:r w:rsidRPr="00167A1B">
        <w:rPr>
          <w:sz w:val="22"/>
          <w:szCs w:val="22"/>
          <w:lang w:val="fr-FR"/>
        </w:rPr>
        <w:t xml:space="preserve">, </w:t>
      </w:r>
      <w:proofErr w:type="spellStart"/>
      <w:r w:rsidRPr="00167A1B">
        <w:rPr>
          <w:sz w:val="22"/>
          <w:szCs w:val="22"/>
          <w:lang w:val="fr-FR"/>
        </w:rPr>
        <w:t>Wolters</w:t>
      </w:r>
      <w:proofErr w:type="spellEnd"/>
      <w:r w:rsidRPr="00167A1B">
        <w:rPr>
          <w:sz w:val="22"/>
          <w:szCs w:val="22"/>
          <w:lang w:val="fr-FR"/>
        </w:rPr>
        <w:t xml:space="preserve"> Kluwer, </w:t>
      </w:r>
      <w:proofErr w:type="spellStart"/>
      <w:r w:rsidRPr="00167A1B">
        <w:rPr>
          <w:sz w:val="22"/>
          <w:szCs w:val="22"/>
          <w:lang w:val="fr-FR"/>
        </w:rPr>
        <w:t>feuill.mob</w:t>
      </w:r>
      <w:proofErr w:type="spellEnd"/>
      <w:r w:rsidRPr="00167A1B">
        <w:rPr>
          <w:sz w:val="22"/>
          <w:szCs w:val="22"/>
          <w:lang w:val="fr-FR"/>
        </w:rPr>
        <w:t xml:space="preserve">., suppl. 2021, </w:t>
      </w:r>
      <w:proofErr w:type="spellStart"/>
      <w:r w:rsidRPr="00167A1B">
        <w:rPr>
          <w:sz w:val="22"/>
          <w:szCs w:val="22"/>
          <w:lang w:val="fr-FR"/>
        </w:rPr>
        <w:t>spéc</w:t>
      </w:r>
      <w:proofErr w:type="spellEnd"/>
      <w:r w:rsidRPr="00167A1B">
        <w:rPr>
          <w:sz w:val="22"/>
          <w:szCs w:val="22"/>
          <w:lang w:val="fr-FR"/>
        </w:rPr>
        <w:t xml:space="preserve">. pp. 32 et s.). </w:t>
      </w:r>
      <w:r w:rsidR="00A00ECC" w:rsidRPr="00167A1B">
        <w:rPr>
          <w:sz w:val="22"/>
          <w:szCs w:val="22"/>
          <w:lang w:val="fr-FR"/>
        </w:rPr>
        <w:t xml:space="preserve">Sur la réalisation du gage ayant pour objet un bien meuble corporel, </w:t>
      </w:r>
      <w:proofErr w:type="spellStart"/>
      <w:r w:rsidR="00A00ECC" w:rsidRPr="00167A1B">
        <w:rPr>
          <w:sz w:val="22"/>
          <w:szCs w:val="22"/>
          <w:lang w:val="fr-FR"/>
        </w:rPr>
        <w:t>voy</w:t>
      </w:r>
      <w:proofErr w:type="spellEnd"/>
      <w:r w:rsidR="00A00ECC" w:rsidRPr="00167A1B">
        <w:rPr>
          <w:sz w:val="22"/>
          <w:szCs w:val="22"/>
          <w:lang w:val="fr-FR"/>
        </w:rPr>
        <w:t xml:space="preserve">. </w:t>
      </w:r>
      <w:proofErr w:type="gramStart"/>
      <w:r w:rsidR="00A00ECC" w:rsidRPr="00167A1B">
        <w:rPr>
          <w:sz w:val="22"/>
          <w:szCs w:val="22"/>
          <w:lang w:val="fr-FR"/>
        </w:rPr>
        <w:t>notamment</w:t>
      </w:r>
      <w:proofErr w:type="gramEnd"/>
      <w:r w:rsidR="00A00ECC" w:rsidRPr="00167A1B">
        <w:rPr>
          <w:sz w:val="22"/>
          <w:szCs w:val="22"/>
          <w:lang w:val="fr-FR"/>
        </w:rPr>
        <w:t xml:space="preserve"> J. BAECK, « Regels </w:t>
      </w:r>
      <w:proofErr w:type="spellStart"/>
      <w:r w:rsidR="00A00ECC" w:rsidRPr="00167A1B">
        <w:rPr>
          <w:sz w:val="22"/>
          <w:szCs w:val="22"/>
          <w:lang w:val="fr-FR"/>
        </w:rPr>
        <w:t>panduitwinning</w:t>
      </w:r>
      <w:proofErr w:type="spellEnd"/>
      <w:r w:rsidR="00A00ECC" w:rsidRPr="00167A1B">
        <w:rPr>
          <w:sz w:val="22"/>
          <w:szCs w:val="22"/>
          <w:lang w:val="fr-FR"/>
        </w:rPr>
        <w:t xml:space="preserve"> </w:t>
      </w:r>
      <w:proofErr w:type="spellStart"/>
      <w:r w:rsidR="00A00ECC" w:rsidRPr="00167A1B">
        <w:rPr>
          <w:sz w:val="22"/>
          <w:szCs w:val="22"/>
          <w:lang w:val="fr-FR"/>
        </w:rPr>
        <w:t>verder</w:t>
      </w:r>
      <w:proofErr w:type="spellEnd"/>
      <w:r w:rsidR="00A00ECC" w:rsidRPr="00167A1B">
        <w:rPr>
          <w:sz w:val="22"/>
          <w:szCs w:val="22"/>
          <w:lang w:val="fr-FR"/>
        </w:rPr>
        <w:t xml:space="preserve"> </w:t>
      </w:r>
      <w:proofErr w:type="spellStart"/>
      <w:r w:rsidR="00A00ECC" w:rsidRPr="00167A1B">
        <w:rPr>
          <w:sz w:val="22"/>
          <w:szCs w:val="22"/>
          <w:lang w:val="fr-FR"/>
        </w:rPr>
        <w:t>verfijnd</w:t>
      </w:r>
      <w:proofErr w:type="spellEnd"/>
      <w:r w:rsidR="00A00ECC" w:rsidRPr="00167A1B">
        <w:rPr>
          <w:sz w:val="22"/>
          <w:szCs w:val="22"/>
          <w:lang w:val="fr-FR"/>
        </w:rPr>
        <w:t xml:space="preserve"> », </w:t>
      </w:r>
      <w:r w:rsidR="00A00ECC" w:rsidRPr="00167A1B">
        <w:rPr>
          <w:i/>
          <w:iCs/>
          <w:sz w:val="22"/>
          <w:szCs w:val="22"/>
          <w:lang w:val="fr-FR"/>
        </w:rPr>
        <w:t>R.W</w:t>
      </w:r>
      <w:r w:rsidR="00A00ECC" w:rsidRPr="00167A1B">
        <w:rPr>
          <w:sz w:val="22"/>
          <w:szCs w:val="22"/>
          <w:lang w:val="fr-FR"/>
        </w:rPr>
        <w:t xml:space="preserve">., 2019-2020, p. 482 ; E. DIRIX, « Art. 47-56. </w:t>
      </w:r>
      <w:proofErr w:type="spellStart"/>
      <w:r w:rsidR="00A00ECC" w:rsidRPr="00167A1B">
        <w:rPr>
          <w:sz w:val="22"/>
          <w:szCs w:val="22"/>
        </w:rPr>
        <w:t>Pandwet</w:t>
      </w:r>
      <w:proofErr w:type="spellEnd"/>
      <w:r w:rsidR="00A00ECC" w:rsidRPr="00167A1B">
        <w:rPr>
          <w:sz w:val="22"/>
          <w:szCs w:val="22"/>
        </w:rPr>
        <w:t> »,</w:t>
      </w:r>
      <w:r w:rsidR="003C3BA6" w:rsidRPr="00167A1B">
        <w:rPr>
          <w:sz w:val="22"/>
          <w:szCs w:val="22"/>
        </w:rPr>
        <w:t xml:space="preserve"> </w:t>
      </w:r>
      <w:r w:rsidR="003C3BA6" w:rsidRPr="00167A1B">
        <w:rPr>
          <w:i/>
          <w:iCs/>
          <w:sz w:val="22"/>
          <w:szCs w:val="22"/>
        </w:rPr>
        <w:t>op.cit</w:t>
      </w:r>
      <w:r w:rsidR="003C3BA6" w:rsidRPr="00167A1B">
        <w:rPr>
          <w:sz w:val="22"/>
          <w:szCs w:val="22"/>
        </w:rPr>
        <w:t>.,</w:t>
      </w:r>
      <w:r w:rsidR="00403FBE" w:rsidRPr="00167A1B">
        <w:rPr>
          <w:sz w:val="22"/>
          <w:szCs w:val="22"/>
        </w:rPr>
        <w:t xml:space="preserve"> pp. 49 et s. ; </w:t>
      </w:r>
      <w:r w:rsidR="00D21C17" w:rsidRPr="00167A1B">
        <w:rPr>
          <w:sz w:val="22"/>
          <w:szCs w:val="22"/>
        </w:rPr>
        <w:t xml:space="preserve">F. </w:t>
      </w:r>
      <w:r w:rsidR="000D72B1" w:rsidRPr="00167A1B">
        <w:rPr>
          <w:sz w:val="22"/>
          <w:szCs w:val="22"/>
        </w:rPr>
        <w:t>ROZENBERG</w:t>
      </w:r>
      <w:r w:rsidR="00D21C17" w:rsidRPr="00167A1B">
        <w:rPr>
          <w:sz w:val="22"/>
          <w:szCs w:val="22"/>
        </w:rPr>
        <w:t xml:space="preserve">, </w:t>
      </w:r>
      <w:r w:rsidR="00B17203" w:rsidRPr="00167A1B">
        <w:rPr>
          <w:sz w:val="22"/>
          <w:szCs w:val="22"/>
        </w:rPr>
        <w:t>« </w:t>
      </w:r>
      <w:r w:rsidR="00D21C17" w:rsidRPr="00167A1B">
        <w:rPr>
          <w:sz w:val="22"/>
          <w:szCs w:val="22"/>
        </w:rPr>
        <w:t>Exécution forc</w:t>
      </w:r>
      <w:r w:rsidR="00B17203" w:rsidRPr="00167A1B">
        <w:rPr>
          <w:sz w:val="22"/>
          <w:szCs w:val="22"/>
        </w:rPr>
        <w:t>ée</w:t>
      </w:r>
      <w:r w:rsidR="00D21C17" w:rsidRPr="00167A1B">
        <w:rPr>
          <w:sz w:val="22"/>
          <w:szCs w:val="22"/>
        </w:rPr>
        <w:t xml:space="preserve"> et r</w:t>
      </w:r>
      <w:r w:rsidR="00B17203" w:rsidRPr="00167A1B">
        <w:rPr>
          <w:sz w:val="22"/>
          <w:szCs w:val="22"/>
        </w:rPr>
        <w:t>éalisation</w:t>
      </w:r>
      <w:r w:rsidR="00D21C17" w:rsidRPr="00167A1B">
        <w:rPr>
          <w:sz w:val="22"/>
          <w:szCs w:val="22"/>
        </w:rPr>
        <w:t xml:space="preserve"> des sûretés réelles mobilières</w:t>
      </w:r>
      <w:r w:rsidR="00B17203" w:rsidRPr="00167A1B">
        <w:rPr>
          <w:sz w:val="22"/>
          <w:szCs w:val="22"/>
        </w:rPr>
        <w:t> »</w:t>
      </w:r>
      <w:r w:rsidR="00D21C17" w:rsidRPr="00167A1B">
        <w:rPr>
          <w:sz w:val="22"/>
          <w:szCs w:val="22"/>
        </w:rPr>
        <w:t>, in I. D</w:t>
      </w:r>
      <w:r w:rsidR="000D72B1" w:rsidRPr="00167A1B">
        <w:rPr>
          <w:sz w:val="22"/>
          <w:szCs w:val="22"/>
        </w:rPr>
        <w:t>URANT</w:t>
      </w:r>
      <w:r w:rsidR="00D21C17" w:rsidRPr="00167A1B">
        <w:rPr>
          <w:sz w:val="22"/>
          <w:szCs w:val="22"/>
        </w:rPr>
        <w:t xml:space="preserve"> </w:t>
      </w:r>
      <w:r w:rsidR="00D21C17" w:rsidRPr="00737525">
        <w:rPr>
          <w:sz w:val="22"/>
          <w:szCs w:val="22"/>
        </w:rPr>
        <w:t>(</w:t>
      </w:r>
      <w:proofErr w:type="spellStart"/>
      <w:r w:rsidR="00D21C17" w:rsidRPr="00737525">
        <w:rPr>
          <w:sz w:val="22"/>
          <w:szCs w:val="22"/>
        </w:rPr>
        <w:t>dir</w:t>
      </w:r>
      <w:proofErr w:type="spellEnd"/>
      <w:r w:rsidR="00D21C17" w:rsidRPr="00D969FC">
        <w:rPr>
          <w:sz w:val="22"/>
          <w:szCs w:val="22"/>
        </w:rPr>
        <w:t>.),</w:t>
      </w:r>
      <w:r w:rsidR="00D21C17" w:rsidRPr="00167A1B">
        <w:rPr>
          <w:i/>
          <w:iCs/>
          <w:sz w:val="22"/>
          <w:szCs w:val="22"/>
        </w:rPr>
        <w:t xml:space="preserve"> Les sûretés réelles mobilières</w:t>
      </w:r>
      <w:r w:rsidR="00D21C17" w:rsidRPr="00167A1B">
        <w:rPr>
          <w:sz w:val="22"/>
          <w:szCs w:val="22"/>
        </w:rPr>
        <w:t>, coll. CUP, vol. 176</w:t>
      </w:r>
      <w:r w:rsidR="00CF2994">
        <w:rPr>
          <w:sz w:val="22"/>
          <w:szCs w:val="22"/>
        </w:rPr>
        <w:t xml:space="preserve">, </w:t>
      </w:r>
      <w:r w:rsidR="00D21C17" w:rsidRPr="00167A1B">
        <w:rPr>
          <w:sz w:val="22"/>
          <w:szCs w:val="22"/>
        </w:rPr>
        <w:t xml:space="preserve">Anthémis, 2017, pp. 117 et s. ; </w:t>
      </w:r>
      <w:r w:rsidR="00CD6592" w:rsidRPr="00167A1B">
        <w:rPr>
          <w:sz w:val="22"/>
          <w:szCs w:val="22"/>
        </w:rPr>
        <w:t xml:space="preserve">J. CATTARUZZA, </w:t>
      </w:r>
      <w:r w:rsidR="00B17203" w:rsidRPr="00167A1B">
        <w:rPr>
          <w:sz w:val="22"/>
          <w:szCs w:val="22"/>
        </w:rPr>
        <w:t>« </w:t>
      </w:r>
      <w:r w:rsidR="00CD6592" w:rsidRPr="00167A1B">
        <w:rPr>
          <w:sz w:val="22"/>
          <w:szCs w:val="22"/>
        </w:rPr>
        <w:t xml:space="preserve">Les grands axes de la réforme des sûretés mobilières », </w:t>
      </w:r>
      <w:r w:rsidR="00CD6592" w:rsidRPr="00167A1B">
        <w:rPr>
          <w:i/>
          <w:iCs/>
          <w:sz w:val="22"/>
          <w:szCs w:val="22"/>
        </w:rPr>
        <w:t>Dr. banc. fin</w:t>
      </w:r>
      <w:r w:rsidR="00CD6592" w:rsidRPr="00167A1B">
        <w:rPr>
          <w:sz w:val="22"/>
          <w:szCs w:val="22"/>
        </w:rPr>
        <w:t xml:space="preserve">., 2013, pp. 183 et </w:t>
      </w:r>
      <w:r w:rsidR="006A5AA5" w:rsidRPr="00167A1B">
        <w:rPr>
          <w:sz w:val="22"/>
          <w:szCs w:val="22"/>
        </w:rPr>
        <w:t xml:space="preserve">s. ; Fr. GEORGES, « La réforme des sûretés mobilières », </w:t>
      </w:r>
      <w:proofErr w:type="spellStart"/>
      <w:r w:rsidR="006A5AA5" w:rsidRPr="00167A1B">
        <w:rPr>
          <w:i/>
          <w:iCs/>
          <w:sz w:val="22"/>
          <w:szCs w:val="22"/>
        </w:rPr>
        <w:t>Rev</w:t>
      </w:r>
      <w:proofErr w:type="spellEnd"/>
      <w:r w:rsidR="006A5AA5" w:rsidRPr="00167A1B">
        <w:rPr>
          <w:i/>
          <w:iCs/>
          <w:sz w:val="22"/>
          <w:szCs w:val="22"/>
        </w:rPr>
        <w:t xml:space="preserve">. </w:t>
      </w:r>
      <w:proofErr w:type="spellStart"/>
      <w:r w:rsidR="006A5AA5" w:rsidRPr="00167A1B">
        <w:rPr>
          <w:i/>
          <w:iCs/>
          <w:sz w:val="22"/>
          <w:szCs w:val="22"/>
        </w:rPr>
        <w:t>dr</w:t>
      </w:r>
      <w:proofErr w:type="spellEnd"/>
      <w:r w:rsidR="006A5AA5" w:rsidRPr="00167A1B">
        <w:rPr>
          <w:i/>
          <w:iCs/>
          <w:sz w:val="22"/>
          <w:szCs w:val="22"/>
        </w:rPr>
        <w:t xml:space="preserve">. </w:t>
      </w:r>
      <w:proofErr w:type="spellStart"/>
      <w:r w:rsidR="006A5AA5" w:rsidRPr="00167A1B">
        <w:rPr>
          <w:i/>
          <w:iCs/>
          <w:sz w:val="22"/>
          <w:szCs w:val="22"/>
        </w:rPr>
        <w:t>ULiège</w:t>
      </w:r>
      <w:proofErr w:type="spellEnd"/>
      <w:r w:rsidR="006A5AA5" w:rsidRPr="00167A1B">
        <w:rPr>
          <w:sz w:val="22"/>
          <w:szCs w:val="22"/>
        </w:rPr>
        <w:t xml:space="preserve">, </w:t>
      </w:r>
      <w:r w:rsidR="00B17203" w:rsidRPr="00167A1B">
        <w:rPr>
          <w:sz w:val="22"/>
          <w:szCs w:val="22"/>
        </w:rPr>
        <w:t>2013</w:t>
      </w:r>
      <w:r w:rsidR="009A492B">
        <w:rPr>
          <w:sz w:val="22"/>
          <w:szCs w:val="22"/>
        </w:rPr>
        <w:t>, pp. 319 et s.</w:t>
      </w:r>
      <w:r w:rsidR="00403FBE" w:rsidRPr="00167A1B">
        <w:rPr>
          <w:sz w:val="22"/>
          <w:szCs w:val="22"/>
        </w:rPr>
        <w:t xml:space="preserve">                                                                 </w:t>
      </w:r>
    </w:p>
  </w:footnote>
  <w:footnote w:id="63">
    <w:p w14:paraId="77FBF520" w14:textId="67864A2F"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 </w:t>
      </w:r>
      <w:r w:rsidR="001E12AA" w:rsidRPr="00167A1B">
        <w:rPr>
          <w:rFonts w:ascii="Times New Roman" w:hAnsi="Times New Roman" w:cs="Times New Roman"/>
          <w:lang w:val="fr-FR"/>
        </w:rPr>
        <w:t>La liste prévue à l’article 51 n’est pas limitative de sorte que le créancier pourrait procéder à d’autres modes de réalisation et se passer de l’intervention de l’huissier de justice, pour autant que cela ait été contractuellement prévu entre le débiteur constituant et le créancier (M. FORGES</w:t>
      </w:r>
      <w:r w:rsidR="00D97B7D" w:rsidRPr="00167A1B">
        <w:rPr>
          <w:rFonts w:ascii="Times New Roman" w:hAnsi="Times New Roman" w:cs="Times New Roman"/>
          <w:lang w:val="fr-FR"/>
        </w:rPr>
        <w:t xml:space="preserve">, « La réalisation du gage sur fonds de commerce après l’entrée en vigueur de la loi du 11 juillet 2013 et les nouvelles compétences du juge des saisies », </w:t>
      </w:r>
      <w:r w:rsidR="00D97B7D" w:rsidRPr="00167A1B">
        <w:rPr>
          <w:rFonts w:ascii="Times New Roman" w:hAnsi="Times New Roman" w:cs="Times New Roman"/>
          <w:i/>
          <w:iCs/>
          <w:lang w:val="fr-FR"/>
        </w:rPr>
        <w:t xml:space="preserve">Pli </w:t>
      </w:r>
      <w:proofErr w:type="spellStart"/>
      <w:r w:rsidR="00D97B7D" w:rsidRPr="00167A1B">
        <w:rPr>
          <w:rFonts w:ascii="Times New Roman" w:hAnsi="Times New Roman" w:cs="Times New Roman"/>
          <w:i/>
          <w:iCs/>
          <w:lang w:val="fr-FR"/>
        </w:rPr>
        <w:t>jur</w:t>
      </w:r>
      <w:proofErr w:type="spellEnd"/>
      <w:r w:rsidR="00D97B7D" w:rsidRPr="00167A1B">
        <w:rPr>
          <w:rFonts w:ascii="Times New Roman" w:hAnsi="Times New Roman" w:cs="Times New Roman"/>
          <w:i/>
          <w:iCs/>
          <w:lang w:val="fr-FR"/>
        </w:rPr>
        <w:t>.,</w:t>
      </w:r>
      <w:r w:rsidR="00D97B7D" w:rsidRPr="00167A1B">
        <w:rPr>
          <w:rFonts w:ascii="Times New Roman" w:hAnsi="Times New Roman" w:cs="Times New Roman"/>
          <w:lang w:val="fr-FR"/>
        </w:rPr>
        <w:t xml:space="preserve"> 2018, p. 5. En ce sens : E. DIRIX, </w:t>
      </w:r>
      <w:r w:rsidR="00D97B7D" w:rsidRPr="00167A1B">
        <w:rPr>
          <w:rFonts w:ascii="Times New Roman" w:hAnsi="Times New Roman" w:cs="Times New Roman"/>
          <w:i/>
          <w:iCs/>
          <w:lang w:val="fr-FR"/>
        </w:rPr>
        <w:t>ibid</w:t>
      </w:r>
      <w:r w:rsidR="00D97B7D" w:rsidRPr="00167A1B">
        <w:rPr>
          <w:rFonts w:ascii="Times New Roman" w:hAnsi="Times New Roman" w:cs="Times New Roman"/>
          <w:lang w:val="fr-FR"/>
        </w:rPr>
        <w:t>., p. 61)</w:t>
      </w:r>
    </w:p>
  </w:footnote>
  <w:footnote w:id="64">
    <w:p w14:paraId="1CA5ACBC" w14:textId="308880DA" w:rsidR="00456C03" w:rsidRPr="00167A1B" w:rsidRDefault="00456C03" w:rsidP="00B5673A">
      <w:pPr>
        <w:pStyle w:val="Notedebasdepage"/>
        <w:jc w:val="both"/>
        <w:rPr>
          <w:rFonts w:ascii="Times New Roman" w:hAnsi="Times New Roman" w:cs="Times New Roman"/>
          <w:color w:val="C00000"/>
        </w:rPr>
      </w:pPr>
      <w:r w:rsidRPr="00167A1B">
        <w:rPr>
          <w:rStyle w:val="Appelnotedebasdep"/>
          <w:rFonts w:ascii="Times New Roman" w:hAnsi="Times New Roman" w:cs="Times New Roman"/>
        </w:rPr>
        <w:footnoteRef/>
      </w:r>
      <w:r w:rsidRPr="00167A1B">
        <w:rPr>
          <w:rFonts w:ascii="Times New Roman" w:hAnsi="Times New Roman" w:cs="Times New Roman"/>
        </w:rPr>
        <w:t xml:space="preserve"> E. DIRIX,</w:t>
      </w:r>
      <w:r w:rsidR="000E7259">
        <w:rPr>
          <w:rFonts w:ascii="Times New Roman" w:hAnsi="Times New Roman" w:cs="Times New Roman"/>
        </w:rPr>
        <w:t xml:space="preserve"> </w:t>
      </w:r>
      <w:r w:rsidR="00BE39AB" w:rsidRPr="00167A1B">
        <w:rPr>
          <w:rFonts w:ascii="Times New Roman" w:hAnsi="Times New Roman" w:cs="Times New Roman"/>
          <w:i/>
          <w:iCs/>
        </w:rPr>
        <w:t>ibid.</w:t>
      </w:r>
      <w:r w:rsidRPr="00167A1B">
        <w:rPr>
          <w:rFonts w:ascii="Times New Roman" w:hAnsi="Times New Roman" w:cs="Times New Roman"/>
        </w:rPr>
        <w:t>, p. 61</w:t>
      </w:r>
      <w:r w:rsidR="007827F0" w:rsidRPr="00167A1B">
        <w:rPr>
          <w:rFonts w:ascii="Times New Roman" w:hAnsi="Times New Roman" w:cs="Times New Roman"/>
        </w:rPr>
        <w:t xml:space="preserve"> ; </w:t>
      </w:r>
      <w:r w:rsidR="002708E6" w:rsidRPr="00167A1B">
        <w:rPr>
          <w:rFonts w:ascii="Times New Roman" w:hAnsi="Times New Roman" w:cs="Times New Roman"/>
        </w:rPr>
        <w:t xml:space="preserve">Projet de loi modifiant le Code civil en ce qui concerne les sûretés réelles mobilières et abrogeant diverses dispositions en cette matière, exposé des motifs, </w:t>
      </w:r>
      <w:r w:rsidR="007827F0" w:rsidRPr="00167A1B">
        <w:rPr>
          <w:rFonts w:ascii="Times New Roman" w:hAnsi="Times New Roman" w:cs="Times New Roman"/>
          <w:i/>
          <w:iCs/>
          <w:color w:val="000000" w:themeColor="text1"/>
        </w:rPr>
        <w:t>Doc</w:t>
      </w:r>
      <w:r w:rsidR="007827F0" w:rsidRPr="00167A1B">
        <w:rPr>
          <w:rFonts w:ascii="Times New Roman" w:hAnsi="Times New Roman" w:cs="Times New Roman"/>
          <w:color w:val="000000" w:themeColor="text1"/>
        </w:rPr>
        <w:t xml:space="preserve">. </w:t>
      </w:r>
      <w:proofErr w:type="spellStart"/>
      <w:r w:rsidR="007827F0" w:rsidRPr="00167A1B">
        <w:rPr>
          <w:rFonts w:ascii="Times New Roman" w:hAnsi="Times New Roman" w:cs="Times New Roman"/>
          <w:color w:val="000000" w:themeColor="text1"/>
        </w:rPr>
        <w:t>parl</w:t>
      </w:r>
      <w:proofErr w:type="spellEnd"/>
      <w:r w:rsidR="007827F0" w:rsidRPr="00167A1B">
        <w:rPr>
          <w:rFonts w:ascii="Times New Roman" w:hAnsi="Times New Roman" w:cs="Times New Roman"/>
          <w:i/>
          <w:iCs/>
          <w:color w:val="000000" w:themeColor="text1"/>
        </w:rPr>
        <w:t>.</w:t>
      </w:r>
      <w:r w:rsidR="007827F0" w:rsidRPr="00167A1B">
        <w:rPr>
          <w:rFonts w:ascii="Times New Roman" w:hAnsi="Times New Roman" w:cs="Times New Roman"/>
          <w:color w:val="000000" w:themeColor="text1"/>
        </w:rPr>
        <w:t xml:space="preserve">, </w:t>
      </w:r>
      <w:r w:rsidR="002708E6" w:rsidRPr="00167A1B">
        <w:rPr>
          <w:rFonts w:ascii="Times New Roman" w:hAnsi="Times New Roman" w:cs="Times New Roman"/>
          <w:color w:val="000000" w:themeColor="text1"/>
        </w:rPr>
        <w:t xml:space="preserve">Ch. </w:t>
      </w:r>
      <w:proofErr w:type="spellStart"/>
      <w:r w:rsidR="002708E6" w:rsidRPr="00167A1B">
        <w:rPr>
          <w:rFonts w:ascii="Times New Roman" w:hAnsi="Times New Roman" w:cs="Times New Roman"/>
          <w:color w:val="000000" w:themeColor="text1"/>
        </w:rPr>
        <w:t>repr</w:t>
      </w:r>
      <w:proofErr w:type="spellEnd"/>
      <w:r w:rsidR="002708E6" w:rsidRPr="00167A1B">
        <w:rPr>
          <w:rFonts w:ascii="Times New Roman" w:hAnsi="Times New Roman" w:cs="Times New Roman"/>
          <w:color w:val="000000" w:themeColor="text1"/>
        </w:rPr>
        <w:t xml:space="preserve">. </w:t>
      </w:r>
      <w:proofErr w:type="spellStart"/>
      <w:r w:rsidR="002708E6" w:rsidRPr="00167A1B">
        <w:rPr>
          <w:rFonts w:ascii="Times New Roman" w:hAnsi="Times New Roman" w:cs="Times New Roman"/>
          <w:color w:val="000000" w:themeColor="text1"/>
        </w:rPr>
        <w:t>sess</w:t>
      </w:r>
      <w:proofErr w:type="spellEnd"/>
      <w:r w:rsidR="002708E6" w:rsidRPr="00167A1B">
        <w:rPr>
          <w:rFonts w:ascii="Times New Roman" w:hAnsi="Times New Roman" w:cs="Times New Roman"/>
          <w:color w:val="000000" w:themeColor="text1"/>
        </w:rPr>
        <w:t xml:space="preserve">. ord. </w:t>
      </w:r>
      <w:r w:rsidR="007827F0" w:rsidRPr="00167A1B">
        <w:rPr>
          <w:rFonts w:ascii="Times New Roman" w:hAnsi="Times New Roman" w:cs="Times New Roman"/>
          <w:color w:val="000000" w:themeColor="text1"/>
        </w:rPr>
        <w:t xml:space="preserve">n°53-2463/001, p. 25. </w:t>
      </w:r>
      <w:r w:rsidRPr="00167A1B">
        <w:rPr>
          <w:rFonts w:ascii="Times New Roman" w:hAnsi="Times New Roman" w:cs="Times New Roman"/>
        </w:rPr>
        <w:t xml:space="preserve">Dans tel cas, le créancier gagiste devra alors disposer d’un titre exécutoire </w:t>
      </w:r>
      <w:r w:rsidR="007B3669" w:rsidRPr="00167A1B">
        <w:rPr>
          <w:rFonts w:ascii="Times New Roman" w:hAnsi="Times New Roman" w:cs="Times New Roman"/>
        </w:rPr>
        <w:t xml:space="preserve">(E. DIRIX, « Art. 47-56. </w:t>
      </w:r>
      <w:proofErr w:type="spellStart"/>
      <w:r w:rsidR="007B3669" w:rsidRPr="00167A1B">
        <w:rPr>
          <w:rFonts w:ascii="Times New Roman" w:hAnsi="Times New Roman" w:cs="Times New Roman"/>
        </w:rPr>
        <w:t>Pandwet</w:t>
      </w:r>
      <w:proofErr w:type="spellEnd"/>
      <w:r w:rsidR="007B3669" w:rsidRPr="00167A1B">
        <w:rPr>
          <w:rFonts w:ascii="Times New Roman" w:hAnsi="Times New Roman" w:cs="Times New Roman"/>
        </w:rPr>
        <w:t xml:space="preserve"> », </w:t>
      </w:r>
      <w:r w:rsidR="007B3669" w:rsidRPr="00167A1B">
        <w:rPr>
          <w:rFonts w:ascii="Times New Roman" w:hAnsi="Times New Roman" w:cs="Times New Roman"/>
          <w:i/>
          <w:iCs/>
        </w:rPr>
        <w:t>ibid</w:t>
      </w:r>
      <w:r w:rsidR="007B3669" w:rsidRPr="00167A1B">
        <w:rPr>
          <w:rFonts w:ascii="Times New Roman" w:hAnsi="Times New Roman" w:cs="Times New Roman"/>
        </w:rPr>
        <w:t xml:space="preserve">., p. 62). </w:t>
      </w:r>
      <w:r w:rsidR="007827F0" w:rsidRPr="00167A1B">
        <w:rPr>
          <w:rFonts w:ascii="Times New Roman" w:hAnsi="Times New Roman" w:cs="Times New Roman"/>
        </w:rPr>
        <w:t>Il s’agira alors d’une saisie</w:t>
      </w:r>
      <w:r w:rsidR="000D72B1" w:rsidRPr="00167A1B">
        <w:rPr>
          <w:rFonts w:ascii="Times New Roman" w:hAnsi="Times New Roman" w:cs="Times New Roman"/>
        </w:rPr>
        <w:t>-exécution</w:t>
      </w:r>
      <w:r w:rsidR="007827F0" w:rsidRPr="00167A1B">
        <w:rPr>
          <w:rFonts w:ascii="Times New Roman" w:hAnsi="Times New Roman" w:cs="Times New Roman"/>
        </w:rPr>
        <w:t xml:space="preserve"> </w:t>
      </w:r>
      <w:r w:rsidR="007827F0" w:rsidRPr="00097755">
        <w:rPr>
          <w:rFonts w:ascii="Times New Roman" w:hAnsi="Times New Roman" w:cs="Times New Roman"/>
        </w:rPr>
        <w:t>mobilière classique.</w:t>
      </w:r>
    </w:p>
  </w:footnote>
  <w:footnote w:id="65">
    <w:p w14:paraId="17F7C137" w14:textId="38983A40" w:rsidR="004367EC" w:rsidRPr="00167A1B" w:rsidRDefault="00E8092E" w:rsidP="00B5673A">
      <w:pPr>
        <w:pStyle w:val="Notedebasdepage"/>
        <w:jc w:val="both"/>
        <w:rPr>
          <w:rFonts w:ascii="Times New Roman" w:hAnsi="Times New Roman" w:cs="Times New Roman"/>
          <w:lang w:val="fr-FR"/>
        </w:rPr>
      </w:pPr>
      <w:r w:rsidRPr="00167A1B">
        <w:rPr>
          <w:rFonts w:ascii="Times New Roman" w:eastAsia="Times New Roman" w:hAnsi="Times New Roman" w:cs="Times New Roman"/>
          <w:vertAlign w:val="superscript"/>
        </w:rPr>
        <w:footnoteRef/>
      </w:r>
      <w:r w:rsidRPr="00167A1B">
        <w:rPr>
          <w:rFonts w:ascii="Times New Roman" w:hAnsi="Times New Roman" w:cs="Times New Roman"/>
          <w:lang w:val="fr-FR"/>
        </w:rPr>
        <w:t xml:space="preserve"> </w:t>
      </w:r>
      <w:r w:rsidR="005777C5">
        <w:rPr>
          <w:rFonts w:ascii="Times New Roman" w:hAnsi="Times New Roman" w:cs="Times New Roman"/>
          <w:lang w:val="fr-FR"/>
        </w:rPr>
        <w:t>La l</w:t>
      </w:r>
      <w:r w:rsidRPr="00167A1B">
        <w:rPr>
          <w:rFonts w:ascii="Times New Roman" w:hAnsi="Times New Roman" w:cs="Times New Roman"/>
          <w:lang w:val="fr-FR"/>
        </w:rPr>
        <w:t>oi du 15 décembre 2004 relative aux sûretés financières et portant des dispositions fiscales diverses en matière de conventions constitutives de sûreté réelle et de prêts portant sur des instruments financiers</w:t>
      </w:r>
      <w:r w:rsidR="005777C5">
        <w:rPr>
          <w:rFonts w:ascii="Times New Roman" w:hAnsi="Times New Roman" w:cs="Times New Roman"/>
          <w:lang w:val="fr-FR"/>
        </w:rPr>
        <w:t xml:space="preserve"> a</w:t>
      </w:r>
      <w:r w:rsidRPr="00167A1B">
        <w:rPr>
          <w:rFonts w:ascii="Times New Roman" w:hAnsi="Times New Roman" w:cs="Times New Roman"/>
          <w:lang w:val="fr-FR"/>
        </w:rPr>
        <w:t xml:space="preserve"> vocation </w:t>
      </w:r>
      <w:r w:rsidR="005777C5">
        <w:rPr>
          <w:rFonts w:ascii="Times New Roman" w:hAnsi="Times New Roman" w:cs="Times New Roman"/>
          <w:lang w:val="fr-FR"/>
        </w:rPr>
        <w:t>à</w:t>
      </w:r>
      <w:r w:rsidRPr="00167A1B">
        <w:rPr>
          <w:rFonts w:ascii="Times New Roman" w:hAnsi="Times New Roman" w:cs="Times New Roman"/>
          <w:lang w:val="fr-FR"/>
        </w:rPr>
        <w:t xml:space="preserve"> régir la réalisation d’un gage portant sur des instruments financiers, sur des espèces ou sur des créances bancaires dans un contexte </w:t>
      </w:r>
      <w:r w:rsidRPr="00167A1B">
        <w:rPr>
          <w:rFonts w:ascii="Times New Roman" w:hAnsi="Times New Roman" w:cs="Times New Roman"/>
          <w:i/>
          <w:iCs/>
          <w:lang w:val="fr-FR"/>
        </w:rPr>
        <w:t>B</w:t>
      </w:r>
      <w:r w:rsidR="00F550F5" w:rsidRPr="00167A1B">
        <w:rPr>
          <w:rFonts w:ascii="Times New Roman" w:hAnsi="Times New Roman" w:cs="Times New Roman"/>
          <w:i/>
          <w:iCs/>
          <w:lang w:val="fr-FR"/>
        </w:rPr>
        <w:t>usiness</w:t>
      </w:r>
      <w:r w:rsidRPr="00167A1B">
        <w:rPr>
          <w:rFonts w:ascii="Times New Roman" w:hAnsi="Times New Roman" w:cs="Times New Roman"/>
          <w:i/>
          <w:iCs/>
          <w:lang w:val="fr-FR"/>
        </w:rPr>
        <w:t xml:space="preserve"> to B</w:t>
      </w:r>
      <w:r w:rsidR="00F550F5" w:rsidRPr="00167A1B">
        <w:rPr>
          <w:rFonts w:ascii="Times New Roman" w:hAnsi="Times New Roman" w:cs="Times New Roman"/>
          <w:lang w:val="fr-FR"/>
        </w:rPr>
        <w:t xml:space="preserve">usiness </w:t>
      </w:r>
      <w:r w:rsidRPr="00167A1B">
        <w:rPr>
          <w:rFonts w:ascii="Times New Roman" w:hAnsi="Times New Roman" w:cs="Times New Roman"/>
          <w:lang w:val="fr-FR"/>
        </w:rPr>
        <w:t>(art. 4, §</w:t>
      </w:r>
      <w:r w:rsidR="000D72B1" w:rsidRPr="00167A1B">
        <w:rPr>
          <w:rFonts w:ascii="Times New Roman" w:hAnsi="Times New Roman" w:cs="Times New Roman"/>
          <w:lang w:val="fr-FR"/>
        </w:rPr>
        <w:t xml:space="preserve"> </w:t>
      </w:r>
      <w:r w:rsidRPr="00167A1B">
        <w:rPr>
          <w:rFonts w:ascii="Times New Roman" w:hAnsi="Times New Roman" w:cs="Times New Roman"/>
          <w:lang w:val="fr-FR"/>
        </w:rPr>
        <w:t>1</w:t>
      </w:r>
      <w:r w:rsidRPr="00D969FC">
        <w:rPr>
          <w:rFonts w:ascii="Times New Roman" w:hAnsi="Times New Roman" w:cs="Times New Roman"/>
          <w:vertAlign w:val="superscript"/>
          <w:lang w:val="fr-FR"/>
        </w:rPr>
        <w:t>er</w:t>
      </w:r>
      <w:r w:rsidRPr="00167A1B">
        <w:rPr>
          <w:rFonts w:ascii="Times New Roman" w:hAnsi="Times New Roman" w:cs="Times New Roman"/>
          <w:lang w:val="fr-FR"/>
        </w:rPr>
        <w:t>, de la loi du 15 décembre 2004</w:t>
      </w:r>
      <w:r w:rsidR="000E7259">
        <w:rPr>
          <w:rFonts w:ascii="Times New Roman" w:hAnsi="Times New Roman" w:cs="Times New Roman"/>
          <w:lang w:val="fr-FR"/>
        </w:rPr>
        <w:t xml:space="preserve">, </w:t>
      </w:r>
      <w:r w:rsidR="000E7259" w:rsidRPr="000E7259">
        <w:rPr>
          <w:rFonts w:ascii="Times New Roman" w:hAnsi="Times New Roman" w:cs="Times New Roman"/>
          <w:i/>
          <w:iCs/>
          <w:lang w:val="fr-FR"/>
        </w:rPr>
        <w:t>M.B</w:t>
      </w:r>
      <w:r w:rsidR="000E7259">
        <w:rPr>
          <w:rFonts w:ascii="Times New Roman" w:hAnsi="Times New Roman" w:cs="Times New Roman"/>
          <w:lang w:val="fr-FR"/>
        </w:rPr>
        <w:t>., 1</w:t>
      </w:r>
      <w:r w:rsidR="000E7259" w:rsidRPr="000E7259">
        <w:rPr>
          <w:rFonts w:ascii="Times New Roman" w:hAnsi="Times New Roman" w:cs="Times New Roman"/>
          <w:vertAlign w:val="superscript"/>
          <w:lang w:val="fr-FR"/>
        </w:rPr>
        <w:t>er</w:t>
      </w:r>
      <w:r w:rsidR="000E7259">
        <w:rPr>
          <w:rFonts w:ascii="Times New Roman" w:hAnsi="Times New Roman" w:cs="Times New Roman"/>
          <w:lang w:val="fr-FR"/>
        </w:rPr>
        <w:t xml:space="preserve"> février 2005</w:t>
      </w:r>
      <w:r w:rsidRPr="00167A1B">
        <w:rPr>
          <w:rFonts w:ascii="Times New Roman" w:hAnsi="Times New Roman" w:cs="Times New Roman"/>
          <w:lang w:val="fr-FR"/>
        </w:rPr>
        <w:t>)</w:t>
      </w:r>
      <w:r w:rsidR="000C191C" w:rsidRPr="00167A1B">
        <w:rPr>
          <w:rFonts w:ascii="Times New Roman" w:hAnsi="Times New Roman" w:cs="Times New Roman"/>
          <w:lang w:val="fr-FR"/>
        </w:rPr>
        <w:t xml:space="preserve"> si </w:t>
      </w:r>
      <w:r w:rsidR="00F550F5" w:rsidRPr="00167A1B">
        <w:rPr>
          <w:rFonts w:ascii="Times New Roman" w:hAnsi="Times New Roman" w:cs="Times New Roman"/>
          <w:lang w:val="fr-FR"/>
        </w:rPr>
        <w:t xml:space="preserve">l’on étend le constat d’inconstitutionnalité qui a frappé les conventions de </w:t>
      </w:r>
      <w:proofErr w:type="spellStart"/>
      <w:r w:rsidR="00F550F5" w:rsidRPr="00167A1B">
        <w:rPr>
          <w:rFonts w:ascii="Times New Roman" w:hAnsi="Times New Roman" w:cs="Times New Roman"/>
          <w:lang w:val="fr-FR"/>
        </w:rPr>
        <w:t>netting</w:t>
      </w:r>
      <w:proofErr w:type="spellEnd"/>
      <w:r w:rsidR="00F550F5" w:rsidRPr="00167A1B">
        <w:rPr>
          <w:rFonts w:ascii="Times New Roman" w:hAnsi="Times New Roman" w:cs="Times New Roman"/>
          <w:lang w:val="fr-FR"/>
        </w:rPr>
        <w:t xml:space="preserve"> (C.C., 27 novembre 2008, n°167/2009,</w:t>
      </w:r>
      <w:r w:rsidR="00D969FC">
        <w:rPr>
          <w:rFonts w:ascii="Times New Roman" w:hAnsi="Times New Roman" w:cs="Times New Roman"/>
          <w:lang w:val="fr-FR"/>
        </w:rPr>
        <w:t xml:space="preserve"> www.const-court.be </w:t>
      </w:r>
      <w:r w:rsidR="00F550F5" w:rsidRPr="00167A1B">
        <w:rPr>
          <w:rFonts w:ascii="Times New Roman" w:hAnsi="Times New Roman" w:cs="Times New Roman"/>
          <w:lang w:val="fr-FR"/>
        </w:rPr>
        <w:t xml:space="preserve">). </w:t>
      </w:r>
      <w:r w:rsidRPr="00167A1B">
        <w:rPr>
          <w:rFonts w:ascii="Times New Roman" w:hAnsi="Times New Roman" w:cs="Times New Roman"/>
          <w:lang w:val="fr-FR"/>
        </w:rPr>
        <w:t>Pour un commentaire</w:t>
      </w:r>
      <w:r w:rsidR="00F550F5" w:rsidRPr="00167A1B">
        <w:rPr>
          <w:rFonts w:ascii="Times New Roman" w:hAnsi="Times New Roman" w:cs="Times New Roman"/>
          <w:lang w:val="fr-FR"/>
        </w:rPr>
        <w:t xml:space="preserve"> concernant</w:t>
      </w:r>
      <w:r w:rsidRPr="00167A1B">
        <w:rPr>
          <w:rFonts w:ascii="Times New Roman" w:hAnsi="Times New Roman" w:cs="Times New Roman"/>
          <w:lang w:val="fr-FR"/>
        </w:rPr>
        <w:t xml:space="preserve"> la mise en gage de tels instruments, </w:t>
      </w:r>
      <w:proofErr w:type="spellStart"/>
      <w:r w:rsidRPr="00167A1B">
        <w:rPr>
          <w:rFonts w:ascii="Times New Roman" w:hAnsi="Times New Roman" w:cs="Times New Roman"/>
          <w:lang w:val="fr-FR"/>
        </w:rPr>
        <w:t>voy</w:t>
      </w:r>
      <w:proofErr w:type="spellEnd"/>
      <w:r w:rsidRPr="00167A1B">
        <w:rPr>
          <w:rFonts w:ascii="Times New Roman" w:hAnsi="Times New Roman" w:cs="Times New Roman"/>
          <w:lang w:val="fr-FR"/>
        </w:rPr>
        <w:t xml:space="preserve">. </w:t>
      </w:r>
      <w:proofErr w:type="gramStart"/>
      <w:r w:rsidRPr="00167A1B">
        <w:rPr>
          <w:rFonts w:ascii="Times New Roman" w:hAnsi="Times New Roman" w:cs="Times New Roman"/>
          <w:lang w:val="fr-FR"/>
        </w:rPr>
        <w:t>notamment</w:t>
      </w:r>
      <w:proofErr w:type="gramEnd"/>
      <w:r w:rsidRPr="00167A1B">
        <w:rPr>
          <w:rFonts w:ascii="Times New Roman" w:hAnsi="Times New Roman" w:cs="Times New Roman"/>
          <w:lang w:val="fr-FR"/>
        </w:rPr>
        <w:t xml:space="preserve"> Th. H</w:t>
      </w:r>
      <w:r w:rsidR="000D72B1" w:rsidRPr="00167A1B">
        <w:rPr>
          <w:rFonts w:ascii="Times New Roman" w:hAnsi="Times New Roman" w:cs="Times New Roman"/>
          <w:lang w:val="fr-FR"/>
        </w:rPr>
        <w:t>Ü</w:t>
      </w:r>
      <w:r w:rsidRPr="00167A1B">
        <w:rPr>
          <w:rFonts w:ascii="Times New Roman" w:hAnsi="Times New Roman" w:cs="Times New Roman"/>
          <w:lang w:val="fr-FR"/>
        </w:rPr>
        <w:t xml:space="preserve">RNER, « Le gage sur espèces », in </w:t>
      </w:r>
      <w:r w:rsidRPr="00167A1B">
        <w:rPr>
          <w:rFonts w:ascii="Times New Roman" w:hAnsi="Times New Roman" w:cs="Times New Roman"/>
          <w:i/>
          <w:iCs/>
          <w:lang w:val="fr-FR"/>
        </w:rPr>
        <w:t>Privilèges et hypothèques</w:t>
      </w:r>
      <w:r w:rsidRPr="00167A1B">
        <w:rPr>
          <w:rFonts w:ascii="Times New Roman" w:hAnsi="Times New Roman" w:cs="Times New Roman"/>
          <w:lang w:val="fr-FR"/>
        </w:rPr>
        <w:t>,</w:t>
      </w:r>
      <w:r w:rsidR="00D96A6A">
        <w:rPr>
          <w:rFonts w:ascii="Times New Roman" w:hAnsi="Times New Roman" w:cs="Times New Roman"/>
          <w:lang w:val="fr-FR"/>
        </w:rPr>
        <w:t xml:space="preserve"> </w:t>
      </w:r>
      <w:proofErr w:type="spellStart"/>
      <w:r w:rsidRPr="00167A1B">
        <w:rPr>
          <w:rFonts w:ascii="Times New Roman" w:hAnsi="Times New Roman" w:cs="Times New Roman"/>
          <w:lang w:val="fr-FR"/>
        </w:rPr>
        <w:t>Wolters</w:t>
      </w:r>
      <w:proofErr w:type="spellEnd"/>
      <w:r w:rsidRPr="00167A1B">
        <w:rPr>
          <w:rFonts w:ascii="Times New Roman" w:hAnsi="Times New Roman" w:cs="Times New Roman"/>
          <w:lang w:val="fr-FR"/>
        </w:rPr>
        <w:t xml:space="preserve"> Kluwer, </w:t>
      </w:r>
      <w:proofErr w:type="spellStart"/>
      <w:r w:rsidRPr="00167A1B">
        <w:rPr>
          <w:rFonts w:ascii="Times New Roman" w:hAnsi="Times New Roman" w:cs="Times New Roman"/>
          <w:lang w:val="fr-FR"/>
        </w:rPr>
        <w:t>feuill.mob</w:t>
      </w:r>
      <w:proofErr w:type="spellEnd"/>
      <w:r w:rsidRPr="00167A1B">
        <w:rPr>
          <w:rFonts w:ascii="Times New Roman" w:hAnsi="Times New Roman" w:cs="Times New Roman"/>
          <w:lang w:val="fr-FR"/>
        </w:rPr>
        <w:t>., suppl. 2019 ; Th. H</w:t>
      </w:r>
      <w:r w:rsidR="000D72B1" w:rsidRPr="00167A1B">
        <w:rPr>
          <w:rFonts w:ascii="Times New Roman" w:hAnsi="Times New Roman" w:cs="Times New Roman"/>
          <w:lang w:val="fr-FR"/>
        </w:rPr>
        <w:t>Ü</w:t>
      </w:r>
      <w:r w:rsidRPr="00167A1B">
        <w:rPr>
          <w:rFonts w:ascii="Times New Roman" w:hAnsi="Times New Roman" w:cs="Times New Roman"/>
          <w:lang w:val="fr-FR"/>
        </w:rPr>
        <w:t xml:space="preserve">RNER, « Le gage sur créances bancaires », in </w:t>
      </w:r>
      <w:r w:rsidRPr="00167A1B">
        <w:rPr>
          <w:rFonts w:ascii="Times New Roman" w:hAnsi="Times New Roman" w:cs="Times New Roman"/>
          <w:i/>
          <w:iCs/>
          <w:lang w:val="fr-FR"/>
        </w:rPr>
        <w:t>Privilèges et hypothèques</w:t>
      </w:r>
      <w:r w:rsidRPr="00167A1B">
        <w:rPr>
          <w:rFonts w:ascii="Times New Roman" w:hAnsi="Times New Roman" w:cs="Times New Roman"/>
          <w:lang w:val="fr-FR"/>
        </w:rPr>
        <w:t xml:space="preserve">, </w:t>
      </w:r>
      <w:proofErr w:type="spellStart"/>
      <w:r w:rsidR="002708E6" w:rsidRPr="00167A1B">
        <w:rPr>
          <w:rFonts w:ascii="Times New Roman" w:hAnsi="Times New Roman" w:cs="Times New Roman"/>
          <w:lang w:val="fr-FR"/>
        </w:rPr>
        <w:t>Wolters</w:t>
      </w:r>
      <w:proofErr w:type="spellEnd"/>
      <w:r w:rsidR="002708E6" w:rsidRPr="00167A1B">
        <w:rPr>
          <w:rFonts w:ascii="Times New Roman" w:hAnsi="Times New Roman" w:cs="Times New Roman"/>
          <w:lang w:val="fr-FR"/>
        </w:rPr>
        <w:t xml:space="preserve"> Kluwer, </w:t>
      </w:r>
      <w:proofErr w:type="spellStart"/>
      <w:r w:rsidR="002708E6" w:rsidRPr="00167A1B">
        <w:rPr>
          <w:rFonts w:ascii="Times New Roman" w:hAnsi="Times New Roman" w:cs="Times New Roman"/>
          <w:lang w:val="fr-FR"/>
        </w:rPr>
        <w:t>feuill.mob</w:t>
      </w:r>
      <w:proofErr w:type="spellEnd"/>
      <w:r w:rsidR="002708E6" w:rsidRPr="00167A1B">
        <w:rPr>
          <w:rFonts w:ascii="Times New Roman" w:hAnsi="Times New Roman" w:cs="Times New Roman"/>
          <w:lang w:val="fr-FR"/>
        </w:rPr>
        <w:t xml:space="preserve">., suppl. 2019 ; </w:t>
      </w:r>
      <w:r w:rsidRPr="00167A1B">
        <w:rPr>
          <w:rFonts w:ascii="Times New Roman" w:hAnsi="Times New Roman" w:cs="Times New Roman"/>
          <w:lang w:val="fr-FR"/>
        </w:rPr>
        <w:t>Th. H</w:t>
      </w:r>
      <w:r w:rsidR="005777C5">
        <w:rPr>
          <w:rFonts w:ascii="Times New Roman" w:hAnsi="Times New Roman" w:cs="Times New Roman"/>
          <w:lang w:val="fr-FR"/>
        </w:rPr>
        <w:t>Ü</w:t>
      </w:r>
      <w:r w:rsidRPr="00167A1B">
        <w:rPr>
          <w:rFonts w:ascii="Times New Roman" w:hAnsi="Times New Roman" w:cs="Times New Roman"/>
          <w:lang w:val="fr-FR"/>
        </w:rPr>
        <w:t xml:space="preserve">RNER, « Le gage sur instruments financiers », in </w:t>
      </w:r>
      <w:r w:rsidRPr="00167A1B">
        <w:rPr>
          <w:rFonts w:ascii="Times New Roman" w:hAnsi="Times New Roman" w:cs="Times New Roman"/>
          <w:i/>
          <w:iCs/>
          <w:lang w:val="fr-FR"/>
        </w:rPr>
        <w:t>Privilèges et hypothèques</w:t>
      </w:r>
      <w:r w:rsidRPr="00167A1B">
        <w:rPr>
          <w:rFonts w:ascii="Times New Roman" w:hAnsi="Times New Roman" w:cs="Times New Roman"/>
          <w:lang w:val="fr-FR"/>
        </w:rPr>
        <w:t xml:space="preserve">, </w:t>
      </w:r>
      <w:proofErr w:type="spellStart"/>
      <w:r w:rsidR="002708E6" w:rsidRPr="00167A1B">
        <w:rPr>
          <w:rFonts w:ascii="Times New Roman" w:hAnsi="Times New Roman" w:cs="Times New Roman"/>
          <w:lang w:val="fr-FR"/>
        </w:rPr>
        <w:t>Wolters</w:t>
      </w:r>
      <w:proofErr w:type="spellEnd"/>
      <w:r w:rsidR="002708E6" w:rsidRPr="00167A1B">
        <w:rPr>
          <w:rFonts w:ascii="Times New Roman" w:hAnsi="Times New Roman" w:cs="Times New Roman"/>
          <w:lang w:val="fr-FR"/>
        </w:rPr>
        <w:t xml:space="preserve"> Kluwer, </w:t>
      </w:r>
      <w:proofErr w:type="spellStart"/>
      <w:r w:rsidR="002708E6" w:rsidRPr="00167A1B">
        <w:rPr>
          <w:rFonts w:ascii="Times New Roman" w:hAnsi="Times New Roman" w:cs="Times New Roman"/>
          <w:lang w:val="fr-FR"/>
        </w:rPr>
        <w:t>feuill.mob</w:t>
      </w:r>
      <w:proofErr w:type="spellEnd"/>
      <w:r w:rsidR="002708E6" w:rsidRPr="00167A1B">
        <w:rPr>
          <w:rFonts w:ascii="Times New Roman" w:hAnsi="Times New Roman" w:cs="Times New Roman"/>
          <w:lang w:val="fr-FR"/>
        </w:rPr>
        <w:t xml:space="preserve">., suppl. 2019. </w:t>
      </w:r>
      <w:r w:rsidRPr="00167A1B">
        <w:rPr>
          <w:rFonts w:ascii="Times New Roman" w:hAnsi="Times New Roman" w:cs="Times New Roman"/>
          <w:lang w:val="fr-FR"/>
        </w:rPr>
        <w:t xml:space="preserve">Pour un aperçu de quelques récentes décisions en la matière, </w:t>
      </w:r>
      <w:proofErr w:type="spellStart"/>
      <w:r w:rsidRPr="00167A1B">
        <w:rPr>
          <w:rFonts w:ascii="Times New Roman" w:hAnsi="Times New Roman" w:cs="Times New Roman"/>
          <w:lang w:val="fr-FR"/>
        </w:rPr>
        <w:t>voy</w:t>
      </w:r>
      <w:proofErr w:type="spellEnd"/>
      <w:r w:rsidRPr="00167A1B">
        <w:rPr>
          <w:rFonts w:ascii="Times New Roman" w:hAnsi="Times New Roman" w:cs="Times New Roman"/>
          <w:lang w:val="fr-FR"/>
        </w:rPr>
        <w:t xml:space="preserve">. J. BOILEAU, Fr. GEORGES, M. MOREAUX et M. PASSANISI, « Développements jurisprudentiels récents en matière de garanties de paiement », </w:t>
      </w:r>
      <w:r w:rsidRPr="00167A1B">
        <w:rPr>
          <w:rFonts w:ascii="Times New Roman" w:hAnsi="Times New Roman" w:cs="Times New Roman"/>
          <w:i/>
          <w:iCs/>
          <w:lang w:val="fr-FR"/>
        </w:rPr>
        <w:t>op.cit</w:t>
      </w:r>
      <w:r w:rsidRPr="00167A1B">
        <w:rPr>
          <w:rFonts w:ascii="Times New Roman" w:hAnsi="Times New Roman" w:cs="Times New Roman"/>
          <w:lang w:val="fr-FR"/>
        </w:rPr>
        <w:t xml:space="preserve">., </w:t>
      </w:r>
      <w:proofErr w:type="spellStart"/>
      <w:r w:rsidRPr="00167A1B">
        <w:rPr>
          <w:rFonts w:ascii="Times New Roman" w:hAnsi="Times New Roman" w:cs="Times New Roman"/>
          <w:lang w:val="fr-FR"/>
        </w:rPr>
        <w:t>spéc</w:t>
      </w:r>
      <w:proofErr w:type="spellEnd"/>
      <w:r w:rsidRPr="00167A1B">
        <w:rPr>
          <w:rFonts w:ascii="Times New Roman" w:hAnsi="Times New Roman" w:cs="Times New Roman"/>
          <w:lang w:val="fr-FR"/>
        </w:rPr>
        <w:t xml:space="preserve">. pp. 334 et s. </w:t>
      </w:r>
    </w:p>
  </w:footnote>
  <w:footnote w:id="66">
    <w:p w14:paraId="16BC26BC" w14:textId="5C1060A9"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00185C28" w:rsidRPr="00167A1B">
        <w:rPr>
          <w:rFonts w:ascii="Times New Roman" w:hAnsi="Times New Roman" w:cs="Times New Roman"/>
          <w:lang w:val="fr-FR"/>
        </w:rPr>
        <w:t xml:space="preserve">E. DIRIX, « Art. 47-56. </w:t>
      </w:r>
      <w:proofErr w:type="spellStart"/>
      <w:r w:rsidR="00185C28" w:rsidRPr="00167A1B">
        <w:rPr>
          <w:rFonts w:ascii="Times New Roman" w:hAnsi="Times New Roman" w:cs="Times New Roman"/>
        </w:rPr>
        <w:t>Pandwet</w:t>
      </w:r>
      <w:proofErr w:type="spellEnd"/>
      <w:r w:rsidR="00185C28" w:rsidRPr="00167A1B">
        <w:rPr>
          <w:rFonts w:ascii="Times New Roman" w:hAnsi="Times New Roman" w:cs="Times New Roman"/>
        </w:rPr>
        <w:t xml:space="preserve"> », </w:t>
      </w:r>
      <w:proofErr w:type="spellStart"/>
      <w:r w:rsidR="00185C28" w:rsidRPr="00167A1B">
        <w:rPr>
          <w:rFonts w:ascii="Times New Roman" w:hAnsi="Times New Roman" w:cs="Times New Roman"/>
          <w:i/>
          <w:iCs/>
        </w:rPr>
        <w:t>op.cit</w:t>
      </w:r>
      <w:proofErr w:type="spellEnd"/>
      <w:r w:rsidR="00185C28" w:rsidRPr="00167A1B">
        <w:rPr>
          <w:rFonts w:ascii="Times New Roman" w:hAnsi="Times New Roman" w:cs="Times New Roman"/>
          <w:i/>
          <w:iCs/>
        </w:rPr>
        <w:t xml:space="preserve">, </w:t>
      </w:r>
      <w:r w:rsidR="00185C28" w:rsidRPr="00167A1B">
        <w:rPr>
          <w:rFonts w:ascii="Times New Roman" w:hAnsi="Times New Roman" w:cs="Times New Roman"/>
        </w:rPr>
        <w:t xml:space="preserve">pp. 71 à 73 ; </w:t>
      </w:r>
      <w:r w:rsidR="00185C28" w:rsidRPr="00167A1B">
        <w:rPr>
          <w:rFonts w:ascii="Times New Roman" w:hAnsi="Times New Roman" w:cs="Times New Roman"/>
          <w:lang w:val="fr-FR"/>
        </w:rPr>
        <w:t xml:space="preserve">M. FORGES, « La réalisation du gage sur fonds de commerce après l’entrée en vigueur de la loi du 11 juillet 2013 et les nouvelles compétences du juge des saisies », </w:t>
      </w:r>
      <w:r w:rsidR="00185C28" w:rsidRPr="00167A1B">
        <w:rPr>
          <w:rFonts w:ascii="Times New Roman" w:hAnsi="Times New Roman" w:cs="Times New Roman"/>
          <w:i/>
          <w:iCs/>
          <w:lang w:val="fr-FR"/>
        </w:rPr>
        <w:t>op.cit</w:t>
      </w:r>
      <w:r w:rsidR="00185C28" w:rsidRPr="00167A1B">
        <w:rPr>
          <w:rFonts w:ascii="Times New Roman" w:hAnsi="Times New Roman" w:cs="Times New Roman"/>
          <w:lang w:val="fr-FR"/>
        </w:rPr>
        <w:t xml:space="preserve">., p. 7 ; </w:t>
      </w:r>
      <w:r w:rsidRPr="00167A1B">
        <w:rPr>
          <w:rFonts w:ascii="Times New Roman" w:hAnsi="Times New Roman" w:cs="Times New Roman"/>
          <w:lang w:val="fr-FR"/>
        </w:rPr>
        <w:t>M. GREGOIRE, « Lecture conjointe des réformes relatives aux sûretés réelles mobilières et aux procédures collectives d’insolvabilité », in C. A</w:t>
      </w:r>
      <w:r w:rsidR="00CF2994">
        <w:rPr>
          <w:rFonts w:ascii="Times New Roman" w:hAnsi="Times New Roman" w:cs="Times New Roman"/>
          <w:lang w:val="fr-FR"/>
        </w:rPr>
        <w:t>LTER</w:t>
      </w:r>
      <w:r w:rsidRPr="00167A1B">
        <w:rPr>
          <w:rFonts w:ascii="Times New Roman" w:hAnsi="Times New Roman" w:cs="Times New Roman"/>
          <w:lang w:val="fr-FR"/>
        </w:rPr>
        <w:t xml:space="preserve"> (</w:t>
      </w:r>
      <w:proofErr w:type="spellStart"/>
      <w:r w:rsidRPr="00167A1B">
        <w:rPr>
          <w:rFonts w:ascii="Times New Roman" w:hAnsi="Times New Roman" w:cs="Times New Roman"/>
          <w:lang w:val="fr-FR"/>
        </w:rPr>
        <w:t>dir</w:t>
      </w:r>
      <w:proofErr w:type="spellEnd"/>
      <w:r w:rsidRPr="00167A1B">
        <w:rPr>
          <w:rFonts w:ascii="Times New Roman" w:hAnsi="Times New Roman" w:cs="Times New Roman"/>
          <w:lang w:val="fr-FR"/>
        </w:rPr>
        <w:t>.),</w:t>
      </w:r>
      <w:r w:rsidRPr="00167A1B">
        <w:rPr>
          <w:rFonts w:ascii="Times New Roman" w:hAnsi="Times New Roman" w:cs="Times New Roman"/>
          <w:i/>
          <w:iCs/>
          <w:lang w:val="fr-FR"/>
        </w:rPr>
        <w:t xml:space="preserve"> Le nouveau livre XX du Code de droit économique consacré à l’insolvabilité des entreprises</w:t>
      </w:r>
      <w:r w:rsidRPr="00167A1B">
        <w:rPr>
          <w:rFonts w:ascii="Times New Roman" w:hAnsi="Times New Roman" w:cs="Times New Roman"/>
          <w:lang w:val="fr-FR"/>
        </w:rPr>
        <w:t>,</w:t>
      </w:r>
      <w:r w:rsidR="00D96A6A">
        <w:rPr>
          <w:rFonts w:ascii="Times New Roman" w:hAnsi="Times New Roman" w:cs="Times New Roman"/>
          <w:lang w:val="fr-FR"/>
        </w:rPr>
        <w:t xml:space="preserve"> </w:t>
      </w:r>
      <w:proofErr w:type="spellStart"/>
      <w:r w:rsidRPr="00167A1B">
        <w:rPr>
          <w:rFonts w:ascii="Times New Roman" w:hAnsi="Times New Roman" w:cs="Times New Roman"/>
          <w:lang w:val="fr-FR"/>
        </w:rPr>
        <w:t>Bruylant</w:t>
      </w:r>
      <w:proofErr w:type="spellEnd"/>
      <w:r w:rsidRPr="00167A1B">
        <w:rPr>
          <w:rFonts w:ascii="Times New Roman" w:hAnsi="Times New Roman" w:cs="Times New Roman"/>
          <w:lang w:val="fr-FR"/>
        </w:rPr>
        <w:t>, 2017, p. 78</w:t>
      </w:r>
      <w:r w:rsidR="00185C28" w:rsidRPr="00167A1B">
        <w:rPr>
          <w:rFonts w:ascii="Times New Roman" w:hAnsi="Times New Roman" w:cs="Times New Roman"/>
          <w:lang w:val="fr-FR"/>
        </w:rPr>
        <w:t xml:space="preserve">. </w:t>
      </w:r>
      <w:r w:rsidR="00185C28" w:rsidRPr="00167A1B">
        <w:rPr>
          <w:rFonts w:ascii="Times New Roman" w:hAnsi="Times New Roman" w:cs="Times New Roman"/>
        </w:rPr>
        <w:t xml:space="preserve"> </w:t>
      </w:r>
    </w:p>
  </w:footnote>
  <w:footnote w:id="67">
    <w:p w14:paraId="03D3C025" w14:textId="23CA980C" w:rsidR="0019399B" w:rsidRPr="00D969FC" w:rsidRDefault="0019399B" w:rsidP="00B5673A">
      <w:pPr>
        <w:pStyle w:val="Notedebasdepage"/>
        <w:jc w:val="both"/>
        <w:rPr>
          <w:rFonts w:ascii="Times New Roman" w:hAnsi="Times New Roman" w:cs="Times New Roman"/>
          <w:lang w:val="nl-BE"/>
        </w:rPr>
      </w:pPr>
      <w:r w:rsidRPr="00167A1B">
        <w:rPr>
          <w:rStyle w:val="Appelnotedebasdep"/>
          <w:rFonts w:ascii="Times New Roman" w:hAnsi="Times New Roman" w:cs="Times New Roman"/>
        </w:rPr>
        <w:footnoteRef/>
      </w:r>
      <w:r w:rsidRPr="00D969FC">
        <w:rPr>
          <w:rFonts w:ascii="Times New Roman" w:hAnsi="Times New Roman" w:cs="Times New Roman"/>
          <w:lang w:val="nl-BE"/>
        </w:rPr>
        <w:t xml:space="preserve"> V. FREMAT et al., </w:t>
      </w:r>
      <w:r w:rsidRPr="00D969FC">
        <w:rPr>
          <w:rFonts w:ascii="Times New Roman" w:hAnsi="Times New Roman" w:cs="Times New Roman"/>
          <w:i/>
          <w:iCs/>
          <w:lang w:val="nl-BE"/>
        </w:rPr>
        <w:t>Continuiteit van ondernemingen. Artickelsgewijze commentaar bij boek XX Wer en CAO NR. 102</w:t>
      </w:r>
      <w:r w:rsidR="000E7259">
        <w:rPr>
          <w:rFonts w:ascii="Times New Roman" w:hAnsi="Times New Roman" w:cs="Times New Roman"/>
          <w:lang w:val="nl-BE"/>
        </w:rPr>
        <w:t xml:space="preserve">, </w:t>
      </w:r>
      <w:r w:rsidRPr="00D969FC">
        <w:rPr>
          <w:rFonts w:ascii="Times New Roman" w:hAnsi="Times New Roman" w:cs="Times New Roman"/>
          <w:lang w:val="nl-BE"/>
        </w:rPr>
        <w:t xml:space="preserve">Intersentia, 2018, p. 138. </w:t>
      </w:r>
    </w:p>
  </w:footnote>
  <w:footnote w:id="68">
    <w:p w14:paraId="677C3E7D" w14:textId="65008091" w:rsidR="00D143C8" w:rsidRPr="00167A1B" w:rsidRDefault="00D143C8" w:rsidP="00B5673A">
      <w:pPr>
        <w:pStyle w:val="Notedebasdepage"/>
        <w:jc w:val="both"/>
        <w:rPr>
          <w:rFonts w:ascii="Times New Roman" w:hAnsi="Times New Roman" w:cs="Times New Roman"/>
          <w:lang w:val="fr-FR"/>
        </w:rPr>
      </w:pPr>
      <w:r w:rsidRPr="00167A1B">
        <w:rPr>
          <w:rStyle w:val="Appelnotedebasdep"/>
          <w:rFonts w:ascii="Times New Roman" w:hAnsi="Times New Roman" w:cs="Times New Roman"/>
        </w:rPr>
        <w:footnoteRef/>
      </w:r>
      <w:r w:rsidRPr="00167A1B">
        <w:rPr>
          <w:rFonts w:ascii="Times New Roman" w:hAnsi="Times New Roman" w:cs="Times New Roman"/>
        </w:rPr>
        <w:t xml:space="preserve"> </w:t>
      </w:r>
      <w:r w:rsidRPr="00167A1B">
        <w:rPr>
          <w:rFonts w:ascii="Times New Roman" w:hAnsi="Times New Roman" w:cs="Times New Roman"/>
          <w:lang w:val="fr-FR"/>
        </w:rPr>
        <w:t>Si la vente intervient, il appartiendra à l’huissier de justice de procéder</w:t>
      </w:r>
      <w:r w:rsidR="008215F8" w:rsidRPr="00167A1B">
        <w:rPr>
          <w:rFonts w:ascii="Times New Roman" w:hAnsi="Times New Roman" w:cs="Times New Roman"/>
          <w:lang w:val="fr-FR"/>
        </w:rPr>
        <w:t xml:space="preserve"> </w:t>
      </w:r>
      <w:r w:rsidRPr="00167A1B">
        <w:rPr>
          <w:rFonts w:ascii="Times New Roman" w:hAnsi="Times New Roman" w:cs="Times New Roman"/>
          <w:lang w:val="fr-FR"/>
        </w:rPr>
        <w:t>à une distribution par contribution allégée, le solde du prix revenant au débiteur. Nous renvoyons le lecteur à nos</w:t>
      </w:r>
      <w:r w:rsidR="00403FBE" w:rsidRPr="00167A1B">
        <w:rPr>
          <w:rFonts w:ascii="Times New Roman" w:hAnsi="Times New Roman" w:cs="Times New Roman"/>
          <w:lang w:val="fr-FR"/>
        </w:rPr>
        <w:t xml:space="preserve"> précédents</w:t>
      </w:r>
      <w:r w:rsidRPr="00167A1B">
        <w:rPr>
          <w:rFonts w:ascii="Times New Roman" w:hAnsi="Times New Roman" w:cs="Times New Roman"/>
          <w:lang w:val="fr-FR"/>
        </w:rPr>
        <w:t xml:space="preserve"> propos en ce qui concerne l’oubli des créanciers chirographaires et privilégiés généraux</w:t>
      </w:r>
      <w:r w:rsidR="004E654C" w:rsidRPr="00167A1B">
        <w:rPr>
          <w:rFonts w:ascii="Times New Roman" w:hAnsi="Times New Roman" w:cs="Times New Roman"/>
          <w:lang w:val="fr-FR"/>
        </w:rPr>
        <w:t xml:space="preserve"> (</w:t>
      </w:r>
      <w:proofErr w:type="spellStart"/>
      <w:r w:rsidR="004E654C" w:rsidRPr="00167A1B">
        <w:rPr>
          <w:rFonts w:ascii="Times New Roman" w:hAnsi="Times New Roman" w:cs="Times New Roman"/>
          <w:lang w:val="fr-FR"/>
        </w:rPr>
        <w:t>voy</w:t>
      </w:r>
      <w:proofErr w:type="spellEnd"/>
      <w:r w:rsidR="004E654C" w:rsidRPr="00167A1B">
        <w:rPr>
          <w:rFonts w:ascii="Times New Roman" w:hAnsi="Times New Roman" w:cs="Times New Roman"/>
          <w:lang w:val="fr-FR"/>
        </w:rPr>
        <w:t xml:space="preserve">. </w:t>
      </w:r>
      <w:proofErr w:type="gramStart"/>
      <w:r w:rsidR="004E654C" w:rsidRPr="00167A1B">
        <w:rPr>
          <w:rFonts w:ascii="Times New Roman" w:hAnsi="Times New Roman" w:cs="Times New Roman"/>
          <w:i/>
          <w:iCs/>
          <w:lang w:val="fr-FR"/>
        </w:rPr>
        <w:t>supra</w:t>
      </w:r>
      <w:proofErr w:type="gramEnd"/>
      <w:r w:rsidR="00C91DFF" w:rsidRPr="00167A1B">
        <w:rPr>
          <w:rFonts w:ascii="Times New Roman" w:hAnsi="Times New Roman" w:cs="Times New Roman"/>
          <w:lang w:val="fr-FR"/>
        </w:rPr>
        <w:t xml:space="preserve">, I, 3, a) ; </w:t>
      </w:r>
      <w:r w:rsidR="00C91DFF" w:rsidRPr="00167A1B">
        <w:rPr>
          <w:rFonts w:ascii="Times New Roman" w:hAnsi="Times New Roman" w:cs="Times New Roman"/>
          <w:color w:val="000000" w:themeColor="text1"/>
        </w:rPr>
        <w:t xml:space="preserve"> I, 3, b) ; I, 4, a) ; I, 4, b)</w:t>
      </w:r>
      <w:r w:rsidR="00C91DFF" w:rsidRPr="00167A1B">
        <w:rPr>
          <w:rFonts w:ascii="Times New Roman" w:hAnsi="Times New Roman" w:cs="Times New Roman"/>
          <w:lang w:val="fr-FR"/>
        </w:rPr>
        <w:t xml:space="preserve">). </w:t>
      </w:r>
    </w:p>
  </w:footnote>
  <w:footnote w:id="69">
    <w:p w14:paraId="47FAA0BC" w14:textId="301E932A" w:rsidR="00F82D91" w:rsidRPr="00167A1B" w:rsidRDefault="00F82D91" w:rsidP="00B5673A">
      <w:pPr>
        <w:pStyle w:val="Notedebasdepage"/>
        <w:jc w:val="both"/>
        <w:rPr>
          <w:rFonts w:ascii="Times New Roman" w:hAnsi="Times New Roman" w:cs="Times New Roman"/>
        </w:rPr>
      </w:pPr>
      <w:r w:rsidRPr="00167A1B">
        <w:rPr>
          <w:rStyle w:val="Appelnotedebasdep"/>
          <w:rFonts w:ascii="Times New Roman" w:hAnsi="Times New Roman" w:cs="Times New Roman"/>
        </w:rPr>
        <w:footnoteRef/>
      </w:r>
      <w:r w:rsidRPr="00167A1B">
        <w:rPr>
          <w:rFonts w:ascii="Times New Roman" w:hAnsi="Times New Roman" w:cs="Times New Roman"/>
        </w:rPr>
        <w:t xml:space="preserve"> En ce qui concerne la répartition du produit de la vente par l’huissier de </w:t>
      </w:r>
      <w:r w:rsidRPr="00167A1B">
        <w:rPr>
          <w:rFonts w:ascii="Times New Roman" w:hAnsi="Times New Roman" w:cs="Times New Roman"/>
          <w:color w:val="000000" w:themeColor="text1"/>
        </w:rPr>
        <w:t xml:space="preserve">justice, </w:t>
      </w:r>
      <w:proofErr w:type="spellStart"/>
      <w:r w:rsidRPr="00167A1B">
        <w:rPr>
          <w:rFonts w:ascii="Times New Roman" w:hAnsi="Times New Roman" w:cs="Times New Roman"/>
          <w:color w:val="000000" w:themeColor="text1"/>
        </w:rPr>
        <w:t>voy</w:t>
      </w:r>
      <w:proofErr w:type="spellEnd"/>
      <w:r w:rsidRPr="00167A1B">
        <w:rPr>
          <w:rFonts w:ascii="Times New Roman" w:hAnsi="Times New Roman" w:cs="Times New Roman"/>
          <w:color w:val="000000" w:themeColor="text1"/>
        </w:rPr>
        <w:t xml:space="preserve">. </w:t>
      </w:r>
      <w:r w:rsidRPr="00167A1B">
        <w:rPr>
          <w:rFonts w:ascii="Times New Roman" w:hAnsi="Times New Roman" w:cs="Times New Roman"/>
          <w:i/>
          <w:iCs/>
          <w:color w:val="000000" w:themeColor="text1"/>
        </w:rPr>
        <w:t>supra</w:t>
      </w:r>
      <w:r w:rsidRPr="00167A1B">
        <w:rPr>
          <w:rFonts w:ascii="Times New Roman" w:hAnsi="Times New Roman" w:cs="Times New Roman"/>
          <w:color w:val="000000" w:themeColor="text1"/>
        </w:rPr>
        <w:t>, I, 3, b).</w:t>
      </w:r>
    </w:p>
  </w:footnote>
  <w:footnote w:id="70">
    <w:p w14:paraId="7FAD822A" w14:textId="7782DA5C" w:rsidR="00C22B7B" w:rsidRPr="00167A1B" w:rsidRDefault="00C22B7B" w:rsidP="00B5673A">
      <w:pPr>
        <w:pStyle w:val="Notedebasdepage"/>
        <w:jc w:val="both"/>
        <w:rPr>
          <w:rFonts w:ascii="Times New Roman" w:hAnsi="Times New Roman" w:cs="Times New Roman"/>
          <w:lang w:val="fr-FR"/>
        </w:rPr>
      </w:pPr>
      <w:r w:rsidRPr="00167A1B">
        <w:rPr>
          <w:rStyle w:val="Appelnotedebasdep"/>
          <w:rFonts w:ascii="Times New Roman" w:hAnsi="Times New Roman" w:cs="Times New Roman"/>
        </w:rPr>
        <w:footnoteRef/>
      </w:r>
      <w:r w:rsidRPr="00167A1B">
        <w:rPr>
          <w:rFonts w:ascii="Times New Roman" w:hAnsi="Times New Roman" w:cs="Times New Roman"/>
        </w:rPr>
        <w:t xml:space="preserve"> </w:t>
      </w:r>
      <w:r w:rsidRPr="00167A1B">
        <w:rPr>
          <w:rFonts w:ascii="Times New Roman" w:hAnsi="Times New Roman" w:cs="Times New Roman"/>
          <w:lang w:val="fr-FR"/>
        </w:rPr>
        <w:t>Dans le cadre de la vente du bien gagé par l’huissier de justice</w:t>
      </w:r>
      <w:r w:rsidR="004A1D64" w:rsidRPr="00167A1B">
        <w:rPr>
          <w:rFonts w:ascii="Times New Roman" w:hAnsi="Times New Roman" w:cs="Times New Roman"/>
          <w:lang w:val="fr-FR"/>
        </w:rPr>
        <w:t xml:space="preserve"> et si le créancier gagiste ne recourt pas aux voies d’exécution classiques du Code judiciaire,</w:t>
      </w:r>
      <w:r w:rsidRPr="00167A1B">
        <w:rPr>
          <w:rFonts w:ascii="Times New Roman" w:hAnsi="Times New Roman" w:cs="Times New Roman"/>
          <w:lang w:val="fr-FR"/>
        </w:rPr>
        <w:t xml:space="preserve"> il s’agit </w:t>
      </w:r>
      <w:r w:rsidR="004A1D64" w:rsidRPr="00167A1B">
        <w:rPr>
          <w:rFonts w:ascii="Times New Roman" w:hAnsi="Times New Roman" w:cs="Times New Roman"/>
          <w:lang w:val="fr-FR"/>
        </w:rPr>
        <w:t xml:space="preserve">alors </w:t>
      </w:r>
      <w:r w:rsidRPr="00167A1B">
        <w:rPr>
          <w:rFonts w:ascii="Times New Roman" w:hAnsi="Times New Roman" w:cs="Times New Roman"/>
          <w:lang w:val="fr-FR"/>
        </w:rPr>
        <w:t xml:space="preserve">d’une saisie </w:t>
      </w:r>
      <w:r w:rsidRPr="00167A1B">
        <w:rPr>
          <w:rFonts w:ascii="Times New Roman" w:hAnsi="Times New Roman" w:cs="Times New Roman"/>
          <w:i/>
          <w:iCs/>
          <w:lang w:val="fr-FR"/>
        </w:rPr>
        <w:t>sui generis</w:t>
      </w:r>
      <w:r w:rsidRPr="00167A1B">
        <w:rPr>
          <w:rFonts w:ascii="Times New Roman" w:hAnsi="Times New Roman" w:cs="Times New Roman"/>
          <w:lang w:val="fr-FR"/>
        </w:rPr>
        <w:t>, visée par l’article XX. 120, §</w:t>
      </w:r>
      <w:r w:rsidR="009A492B">
        <w:rPr>
          <w:rFonts w:ascii="Times New Roman" w:hAnsi="Times New Roman" w:cs="Times New Roman"/>
          <w:lang w:val="fr-FR"/>
        </w:rPr>
        <w:t xml:space="preserve"> </w:t>
      </w:r>
      <w:r w:rsidRPr="00167A1B">
        <w:rPr>
          <w:rFonts w:ascii="Times New Roman" w:hAnsi="Times New Roman" w:cs="Times New Roman"/>
          <w:lang w:val="fr-FR"/>
        </w:rPr>
        <w:t>1</w:t>
      </w:r>
      <w:r w:rsidRPr="00167A1B">
        <w:rPr>
          <w:rFonts w:ascii="Times New Roman" w:hAnsi="Times New Roman" w:cs="Times New Roman"/>
          <w:vertAlign w:val="superscript"/>
          <w:lang w:val="fr-FR"/>
        </w:rPr>
        <w:t>er</w:t>
      </w:r>
      <w:r w:rsidRPr="00167A1B">
        <w:rPr>
          <w:rFonts w:ascii="Times New Roman" w:hAnsi="Times New Roman" w:cs="Times New Roman"/>
          <w:lang w:val="fr-FR"/>
        </w:rPr>
        <w:t>, du C.D.E.</w:t>
      </w:r>
      <w:r w:rsidR="004A1D64" w:rsidRPr="00167A1B">
        <w:rPr>
          <w:rFonts w:ascii="Times New Roman" w:hAnsi="Times New Roman" w:cs="Times New Roman"/>
          <w:lang w:val="fr-FR"/>
        </w:rPr>
        <w:t xml:space="preserve">, </w:t>
      </w:r>
      <w:r w:rsidRPr="00167A1B">
        <w:rPr>
          <w:rFonts w:ascii="Times New Roman" w:hAnsi="Times New Roman" w:cs="Times New Roman"/>
          <w:lang w:val="fr-FR"/>
        </w:rPr>
        <w:t>visant toute sorte de saisie</w:t>
      </w:r>
      <w:r w:rsidR="004A1D64" w:rsidRPr="00167A1B">
        <w:rPr>
          <w:rFonts w:ascii="Times New Roman" w:hAnsi="Times New Roman" w:cs="Times New Roman"/>
          <w:lang w:val="fr-FR"/>
        </w:rPr>
        <w:t xml:space="preserve">. </w:t>
      </w:r>
      <w:proofErr w:type="spellStart"/>
      <w:r w:rsidR="004A1D64" w:rsidRPr="00167A1B">
        <w:rPr>
          <w:rFonts w:ascii="Times New Roman" w:hAnsi="Times New Roman" w:cs="Times New Roman"/>
          <w:lang w:val="fr-FR"/>
        </w:rPr>
        <w:t>Voy</w:t>
      </w:r>
      <w:proofErr w:type="spellEnd"/>
      <w:r w:rsidR="004A1D64" w:rsidRPr="00167A1B">
        <w:rPr>
          <w:rFonts w:ascii="Times New Roman" w:hAnsi="Times New Roman" w:cs="Times New Roman"/>
          <w:lang w:val="fr-FR"/>
        </w:rPr>
        <w:t xml:space="preserve">. E. DIRIX, « Art. 47-56. </w:t>
      </w:r>
      <w:proofErr w:type="spellStart"/>
      <w:r w:rsidR="004A1D64" w:rsidRPr="00167A1B">
        <w:rPr>
          <w:rFonts w:ascii="Times New Roman" w:hAnsi="Times New Roman" w:cs="Times New Roman"/>
          <w:lang w:val="fr-FR"/>
        </w:rPr>
        <w:t>Pandwet</w:t>
      </w:r>
      <w:proofErr w:type="spellEnd"/>
      <w:r w:rsidR="004A1D64" w:rsidRPr="00167A1B">
        <w:rPr>
          <w:rFonts w:ascii="Times New Roman" w:hAnsi="Times New Roman" w:cs="Times New Roman"/>
          <w:lang w:val="fr-FR"/>
        </w:rPr>
        <w:t xml:space="preserve"> », </w:t>
      </w:r>
      <w:r w:rsidR="004A1D64" w:rsidRPr="00167A1B">
        <w:rPr>
          <w:rFonts w:ascii="Times New Roman" w:hAnsi="Times New Roman" w:cs="Times New Roman"/>
          <w:i/>
          <w:iCs/>
          <w:lang w:val="fr-FR"/>
        </w:rPr>
        <w:t>op.cit</w:t>
      </w:r>
      <w:r w:rsidR="004A1D64" w:rsidRPr="00167A1B">
        <w:rPr>
          <w:rFonts w:ascii="Times New Roman" w:hAnsi="Times New Roman" w:cs="Times New Roman"/>
          <w:lang w:val="fr-FR"/>
        </w:rPr>
        <w:t xml:space="preserve">., p. 60. </w:t>
      </w:r>
    </w:p>
  </w:footnote>
  <w:footnote w:id="71">
    <w:p w14:paraId="68D576F0" w14:textId="48C27903" w:rsidR="000B327D" w:rsidRPr="00167A1B" w:rsidRDefault="000B327D" w:rsidP="00B5673A">
      <w:pPr>
        <w:pStyle w:val="Notedebasdepage"/>
        <w:jc w:val="both"/>
        <w:rPr>
          <w:rFonts w:ascii="Times New Roman" w:hAnsi="Times New Roman" w:cs="Times New Roman"/>
        </w:rPr>
      </w:pPr>
      <w:r w:rsidRPr="00167A1B">
        <w:rPr>
          <w:rStyle w:val="Appelnotedebasdep"/>
          <w:rFonts w:ascii="Times New Roman" w:hAnsi="Times New Roman" w:cs="Times New Roman"/>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E. DIRIX, </w:t>
      </w:r>
      <w:r w:rsidR="00FF47A4" w:rsidRPr="00167A1B">
        <w:rPr>
          <w:rFonts w:ascii="Times New Roman" w:hAnsi="Times New Roman" w:cs="Times New Roman"/>
          <w:i/>
          <w:iCs/>
        </w:rPr>
        <w:t>ibid</w:t>
      </w:r>
      <w:r w:rsidRPr="00167A1B">
        <w:rPr>
          <w:rFonts w:ascii="Times New Roman" w:hAnsi="Times New Roman" w:cs="Times New Roman"/>
        </w:rPr>
        <w:t>., p. 70. L’auteur</w:t>
      </w:r>
      <w:r w:rsidR="00630F71" w:rsidRPr="00167A1B">
        <w:rPr>
          <w:rFonts w:ascii="Times New Roman" w:hAnsi="Times New Roman" w:cs="Times New Roman"/>
        </w:rPr>
        <w:t>, dont nous soutenons l</w:t>
      </w:r>
      <w:r w:rsidR="00AA6F38" w:rsidRPr="00167A1B">
        <w:rPr>
          <w:rFonts w:ascii="Times New Roman" w:hAnsi="Times New Roman" w:cs="Times New Roman"/>
        </w:rPr>
        <w:t>’opinion</w:t>
      </w:r>
      <w:r w:rsidR="00630F71" w:rsidRPr="00167A1B">
        <w:rPr>
          <w:rFonts w:ascii="Times New Roman" w:hAnsi="Times New Roman" w:cs="Times New Roman"/>
        </w:rPr>
        <w:t>,</w:t>
      </w:r>
      <w:r w:rsidRPr="00167A1B">
        <w:rPr>
          <w:rFonts w:ascii="Times New Roman" w:hAnsi="Times New Roman" w:cs="Times New Roman"/>
        </w:rPr>
        <w:t xml:space="preserve"> propose de faire une application par analogie de l’article 1639, al. 2, du C. </w:t>
      </w:r>
      <w:proofErr w:type="spellStart"/>
      <w:r w:rsidRPr="00167A1B">
        <w:rPr>
          <w:rFonts w:ascii="Times New Roman" w:hAnsi="Times New Roman" w:cs="Times New Roman"/>
        </w:rPr>
        <w:t>Jud</w:t>
      </w:r>
      <w:proofErr w:type="spellEnd"/>
      <w:r w:rsidR="007D5DAB" w:rsidRPr="00167A1B">
        <w:rPr>
          <w:rFonts w:ascii="Times New Roman" w:hAnsi="Times New Roman" w:cs="Times New Roman"/>
        </w:rPr>
        <w:t>.</w:t>
      </w:r>
      <w:r w:rsidRPr="00167A1B">
        <w:rPr>
          <w:rFonts w:ascii="Times New Roman" w:hAnsi="Times New Roman" w:cs="Times New Roman"/>
        </w:rPr>
        <w:t xml:space="preserve"> en réalisant une distribution par contribution allégée</w:t>
      </w:r>
      <w:r w:rsidR="00630F71" w:rsidRPr="00167A1B">
        <w:rPr>
          <w:rFonts w:ascii="Times New Roman" w:hAnsi="Times New Roman" w:cs="Times New Roman"/>
        </w:rPr>
        <w:t xml:space="preserve">. </w:t>
      </w:r>
    </w:p>
  </w:footnote>
  <w:footnote w:id="72">
    <w:p w14:paraId="60B1B81B" w14:textId="1DFB6C20" w:rsidR="00097755" w:rsidRPr="00CB7E44" w:rsidRDefault="00097755">
      <w:pPr>
        <w:pStyle w:val="Notedebasdepage"/>
        <w:rPr>
          <w:rFonts w:ascii="Times New Roman" w:hAnsi="Times New Roman" w:cs="Times New Roman"/>
        </w:rPr>
      </w:pPr>
      <w:r w:rsidRPr="00CB7E44">
        <w:rPr>
          <w:rStyle w:val="Appelnotedebasdep"/>
          <w:rFonts w:ascii="Times New Roman" w:hAnsi="Times New Roman" w:cs="Times New Roman"/>
        </w:rPr>
        <w:footnoteRef/>
      </w:r>
      <w:r w:rsidRPr="00CB7E44">
        <w:rPr>
          <w:rFonts w:ascii="Times New Roman" w:hAnsi="Times New Roman" w:cs="Times New Roman"/>
        </w:rPr>
        <w:t xml:space="preserve"> </w:t>
      </w:r>
      <w:r w:rsidR="00CB7E44" w:rsidRPr="00CB7E44">
        <w:rPr>
          <w:rFonts w:ascii="Times New Roman" w:hAnsi="Times New Roman" w:cs="Times New Roman"/>
        </w:rPr>
        <w:t xml:space="preserve">Sur la définition de la sûreté réelle au </w:t>
      </w:r>
      <w:r w:rsidR="00B06F42">
        <w:rPr>
          <w:rFonts w:ascii="Times New Roman" w:hAnsi="Times New Roman" w:cs="Times New Roman"/>
        </w:rPr>
        <w:t>regard</w:t>
      </w:r>
      <w:r w:rsidR="00CB7E44" w:rsidRPr="00CB7E44">
        <w:rPr>
          <w:rFonts w:ascii="Times New Roman" w:hAnsi="Times New Roman" w:cs="Times New Roman"/>
        </w:rPr>
        <w:t xml:space="preserve"> du livre 3 du Code civil, </w:t>
      </w:r>
      <w:proofErr w:type="spellStart"/>
      <w:r w:rsidR="00CB7E44" w:rsidRPr="00CB7E44">
        <w:rPr>
          <w:rFonts w:ascii="Times New Roman" w:hAnsi="Times New Roman" w:cs="Times New Roman"/>
        </w:rPr>
        <w:t>voy</w:t>
      </w:r>
      <w:proofErr w:type="spellEnd"/>
      <w:r w:rsidR="00CB7E44" w:rsidRPr="00CB7E44">
        <w:rPr>
          <w:rFonts w:ascii="Times New Roman" w:hAnsi="Times New Roman" w:cs="Times New Roman"/>
        </w:rPr>
        <w:t>.</w:t>
      </w:r>
      <w:r w:rsidR="00B06F42">
        <w:rPr>
          <w:rFonts w:ascii="Times New Roman" w:hAnsi="Times New Roman" w:cs="Times New Roman"/>
        </w:rPr>
        <w:t xml:space="preserve"> notamment</w:t>
      </w:r>
      <w:r w:rsidR="00CB7E44" w:rsidRPr="00CB7E44">
        <w:rPr>
          <w:rFonts w:ascii="Times New Roman" w:hAnsi="Times New Roman" w:cs="Times New Roman"/>
        </w:rPr>
        <w:t xml:space="preserve"> Fl. GEORGE et N. OUCHINSKY, « Le nouveau livre 3 du Code civil : ceci n’est pas une sûreté réelle… », </w:t>
      </w:r>
      <w:r w:rsidR="00CB7E44" w:rsidRPr="00CB7E44">
        <w:rPr>
          <w:rFonts w:ascii="Times New Roman" w:hAnsi="Times New Roman" w:cs="Times New Roman"/>
          <w:i/>
          <w:iCs/>
        </w:rPr>
        <w:t>J.T</w:t>
      </w:r>
      <w:r w:rsidR="00CB7E44" w:rsidRPr="00CB7E44">
        <w:rPr>
          <w:rFonts w:ascii="Times New Roman" w:hAnsi="Times New Roman" w:cs="Times New Roman"/>
        </w:rPr>
        <w:t xml:space="preserve">., 2022, p. 72. </w:t>
      </w:r>
    </w:p>
  </w:footnote>
  <w:footnote w:id="73">
    <w:p w14:paraId="4B26C646" w14:textId="77777777" w:rsidR="004367EC" w:rsidRPr="00167A1B" w:rsidRDefault="00E8092E" w:rsidP="00B5673A">
      <w:pPr>
        <w:pStyle w:val="Notedebasdepage"/>
        <w:jc w:val="both"/>
        <w:rPr>
          <w:rFonts w:ascii="Times New Roman" w:hAnsi="Times New Roman" w:cs="Times New Roman"/>
        </w:rPr>
      </w:pPr>
      <w:r w:rsidRPr="00167A1B">
        <w:rPr>
          <w:rFonts w:ascii="Times New Roman" w:eastAsia="Times New Roman" w:hAnsi="Times New Roman" w:cs="Times New Roman"/>
          <w:vertAlign w:val="superscript"/>
        </w:rPr>
        <w:footnoteRef/>
      </w:r>
      <w:r w:rsidRPr="00167A1B">
        <w:rPr>
          <w:rFonts w:ascii="Times New Roman" w:hAnsi="Times New Roman" w:cs="Times New Roman"/>
        </w:rPr>
        <w:t xml:space="preserve"> </w:t>
      </w:r>
      <w:r w:rsidRPr="00167A1B">
        <w:rPr>
          <w:rFonts w:ascii="Times New Roman" w:hAnsi="Times New Roman" w:cs="Times New Roman"/>
          <w:lang w:val="fr-FR"/>
        </w:rPr>
        <w:t xml:space="preserve">A. ZENNER, </w:t>
      </w:r>
      <w:r w:rsidRPr="00167A1B">
        <w:rPr>
          <w:rFonts w:ascii="Times New Roman" w:hAnsi="Times New Roman" w:cs="Times New Roman"/>
          <w:i/>
          <w:iCs/>
          <w:lang w:val="fr-FR"/>
        </w:rPr>
        <w:t>Traité du droit de l’insolvabilité</w:t>
      </w:r>
      <w:r w:rsidRPr="00167A1B">
        <w:rPr>
          <w:rFonts w:ascii="Times New Roman" w:hAnsi="Times New Roman" w:cs="Times New Roman"/>
          <w:lang w:val="fr-FR"/>
        </w:rPr>
        <w:t xml:space="preserve">, </w:t>
      </w:r>
      <w:r w:rsidRPr="00167A1B">
        <w:rPr>
          <w:rFonts w:ascii="Times New Roman" w:hAnsi="Times New Roman" w:cs="Times New Roman"/>
          <w:i/>
          <w:iCs/>
          <w:lang w:val="fr-FR"/>
        </w:rPr>
        <w:t>op.cit</w:t>
      </w:r>
      <w:r w:rsidRPr="00167A1B">
        <w:rPr>
          <w:rFonts w:ascii="Times New Roman" w:hAnsi="Times New Roman" w:cs="Times New Roman"/>
          <w:lang w:val="fr-FR"/>
        </w:rPr>
        <w:t xml:space="preserve">., p. 1100.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4E7"/>
    <w:multiLevelType w:val="hybridMultilevel"/>
    <w:tmpl w:val="9B4E81BC"/>
    <w:lvl w:ilvl="0" w:tplc="1FCC42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DB298C"/>
    <w:multiLevelType w:val="hybridMultilevel"/>
    <w:tmpl w:val="70061BB4"/>
    <w:lvl w:ilvl="0" w:tplc="808E67C6">
      <w:start w:val="3"/>
      <w:numFmt w:val="decimal"/>
      <w:lvlText w:val="%1."/>
      <w:lvlJc w:val="left"/>
      <w:pPr>
        <w:ind w:left="753" w:hanging="360"/>
      </w:pPr>
      <w:rPr>
        <w:rFonts w:hint="default"/>
      </w:rPr>
    </w:lvl>
    <w:lvl w:ilvl="1" w:tplc="040C0019" w:tentative="1">
      <w:start w:val="1"/>
      <w:numFmt w:val="lowerLetter"/>
      <w:lvlText w:val="%2."/>
      <w:lvlJc w:val="left"/>
      <w:pPr>
        <w:ind w:left="1473" w:hanging="360"/>
      </w:pPr>
    </w:lvl>
    <w:lvl w:ilvl="2" w:tplc="040C001B" w:tentative="1">
      <w:start w:val="1"/>
      <w:numFmt w:val="lowerRoman"/>
      <w:lvlText w:val="%3."/>
      <w:lvlJc w:val="right"/>
      <w:pPr>
        <w:ind w:left="2193" w:hanging="180"/>
      </w:pPr>
    </w:lvl>
    <w:lvl w:ilvl="3" w:tplc="040C000F" w:tentative="1">
      <w:start w:val="1"/>
      <w:numFmt w:val="decimal"/>
      <w:lvlText w:val="%4."/>
      <w:lvlJc w:val="left"/>
      <w:pPr>
        <w:ind w:left="2913" w:hanging="360"/>
      </w:pPr>
    </w:lvl>
    <w:lvl w:ilvl="4" w:tplc="040C0019" w:tentative="1">
      <w:start w:val="1"/>
      <w:numFmt w:val="lowerLetter"/>
      <w:lvlText w:val="%5."/>
      <w:lvlJc w:val="left"/>
      <w:pPr>
        <w:ind w:left="3633" w:hanging="360"/>
      </w:pPr>
    </w:lvl>
    <w:lvl w:ilvl="5" w:tplc="040C001B" w:tentative="1">
      <w:start w:val="1"/>
      <w:numFmt w:val="lowerRoman"/>
      <w:lvlText w:val="%6."/>
      <w:lvlJc w:val="right"/>
      <w:pPr>
        <w:ind w:left="4353" w:hanging="180"/>
      </w:pPr>
    </w:lvl>
    <w:lvl w:ilvl="6" w:tplc="040C000F" w:tentative="1">
      <w:start w:val="1"/>
      <w:numFmt w:val="decimal"/>
      <w:lvlText w:val="%7."/>
      <w:lvlJc w:val="left"/>
      <w:pPr>
        <w:ind w:left="5073" w:hanging="360"/>
      </w:pPr>
    </w:lvl>
    <w:lvl w:ilvl="7" w:tplc="040C0019" w:tentative="1">
      <w:start w:val="1"/>
      <w:numFmt w:val="lowerLetter"/>
      <w:lvlText w:val="%8."/>
      <w:lvlJc w:val="left"/>
      <w:pPr>
        <w:ind w:left="5793" w:hanging="360"/>
      </w:pPr>
    </w:lvl>
    <w:lvl w:ilvl="8" w:tplc="040C001B" w:tentative="1">
      <w:start w:val="1"/>
      <w:numFmt w:val="lowerRoman"/>
      <w:lvlText w:val="%9."/>
      <w:lvlJc w:val="right"/>
      <w:pPr>
        <w:ind w:left="6513" w:hanging="180"/>
      </w:pPr>
    </w:lvl>
  </w:abstractNum>
  <w:abstractNum w:abstractNumId="2" w15:restartNumberingAfterBreak="0">
    <w:nsid w:val="10303C05"/>
    <w:multiLevelType w:val="hybridMultilevel"/>
    <w:tmpl w:val="0C2A19F0"/>
    <w:lvl w:ilvl="0" w:tplc="9E92C474">
      <w:start w:val="3"/>
      <w:numFmt w:val="decimal"/>
      <w:lvlText w:val="%1."/>
      <w:lvlJc w:val="left"/>
      <w:pPr>
        <w:ind w:left="753" w:hanging="360"/>
      </w:pPr>
      <w:rPr>
        <w:rFonts w:hint="default"/>
      </w:rPr>
    </w:lvl>
    <w:lvl w:ilvl="1" w:tplc="040C0019" w:tentative="1">
      <w:start w:val="1"/>
      <w:numFmt w:val="lowerLetter"/>
      <w:lvlText w:val="%2."/>
      <w:lvlJc w:val="left"/>
      <w:pPr>
        <w:ind w:left="1473" w:hanging="360"/>
      </w:pPr>
    </w:lvl>
    <w:lvl w:ilvl="2" w:tplc="040C001B" w:tentative="1">
      <w:start w:val="1"/>
      <w:numFmt w:val="lowerRoman"/>
      <w:lvlText w:val="%3."/>
      <w:lvlJc w:val="right"/>
      <w:pPr>
        <w:ind w:left="2193" w:hanging="180"/>
      </w:pPr>
    </w:lvl>
    <w:lvl w:ilvl="3" w:tplc="040C000F" w:tentative="1">
      <w:start w:val="1"/>
      <w:numFmt w:val="decimal"/>
      <w:lvlText w:val="%4."/>
      <w:lvlJc w:val="left"/>
      <w:pPr>
        <w:ind w:left="2913" w:hanging="360"/>
      </w:pPr>
    </w:lvl>
    <w:lvl w:ilvl="4" w:tplc="040C0019" w:tentative="1">
      <w:start w:val="1"/>
      <w:numFmt w:val="lowerLetter"/>
      <w:lvlText w:val="%5."/>
      <w:lvlJc w:val="left"/>
      <w:pPr>
        <w:ind w:left="3633" w:hanging="360"/>
      </w:pPr>
    </w:lvl>
    <w:lvl w:ilvl="5" w:tplc="040C001B" w:tentative="1">
      <w:start w:val="1"/>
      <w:numFmt w:val="lowerRoman"/>
      <w:lvlText w:val="%6."/>
      <w:lvlJc w:val="right"/>
      <w:pPr>
        <w:ind w:left="4353" w:hanging="180"/>
      </w:pPr>
    </w:lvl>
    <w:lvl w:ilvl="6" w:tplc="040C000F" w:tentative="1">
      <w:start w:val="1"/>
      <w:numFmt w:val="decimal"/>
      <w:lvlText w:val="%7."/>
      <w:lvlJc w:val="left"/>
      <w:pPr>
        <w:ind w:left="5073" w:hanging="360"/>
      </w:pPr>
    </w:lvl>
    <w:lvl w:ilvl="7" w:tplc="040C0019" w:tentative="1">
      <w:start w:val="1"/>
      <w:numFmt w:val="lowerLetter"/>
      <w:lvlText w:val="%8."/>
      <w:lvlJc w:val="left"/>
      <w:pPr>
        <w:ind w:left="5793" w:hanging="360"/>
      </w:pPr>
    </w:lvl>
    <w:lvl w:ilvl="8" w:tplc="040C001B" w:tentative="1">
      <w:start w:val="1"/>
      <w:numFmt w:val="lowerRoman"/>
      <w:lvlText w:val="%9."/>
      <w:lvlJc w:val="right"/>
      <w:pPr>
        <w:ind w:left="6513" w:hanging="180"/>
      </w:pPr>
    </w:lvl>
  </w:abstractNum>
  <w:abstractNum w:abstractNumId="3" w15:restartNumberingAfterBreak="0">
    <w:nsid w:val="17990943"/>
    <w:multiLevelType w:val="hybridMultilevel"/>
    <w:tmpl w:val="0060DBA8"/>
    <w:styleLink w:val="Nombres"/>
    <w:lvl w:ilvl="0" w:tplc="60228FC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1C36907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5C1E4F1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0DBC5C12">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6392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4D54E30A">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B7E8DF88">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E4EA81F4">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F3F0FEE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4F3757"/>
    <w:multiLevelType w:val="hybridMultilevel"/>
    <w:tmpl w:val="A8207D8A"/>
    <w:styleLink w:val="Tiret"/>
    <w:lvl w:ilvl="0" w:tplc="94889D0C">
      <w:start w:val="1"/>
      <w:numFmt w:val="bullet"/>
      <w:lvlText w:val="-"/>
      <w:lvlJc w:val="left"/>
      <w:pPr>
        <w:ind w:left="26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1" w:tplc="7182F372">
      <w:start w:val="1"/>
      <w:numFmt w:val="bullet"/>
      <w:lvlText w:val="-"/>
      <w:lvlJc w:val="left"/>
      <w:pPr>
        <w:ind w:left="50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2" w:tplc="1FD48286">
      <w:start w:val="1"/>
      <w:numFmt w:val="bullet"/>
      <w:lvlText w:val="-"/>
      <w:lvlJc w:val="left"/>
      <w:pPr>
        <w:ind w:left="74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3" w:tplc="EFE49E6E">
      <w:start w:val="1"/>
      <w:numFmt w:val="bullet"/>
      <w:lvlText w:val="-"/>
      <w:lvlJc w:val="left"/>
      <w:pPr>
        <w:ind w:left="98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4" w:tplc="8702E226">
      <w:start w:val="1"/>
      <w:numFmt w:val="bullet"/>
      <w:lvlText w:val="-"/>
      <w:lvlJc w:val="left"/>
      <w:pPr>
        <w:ind w:left="122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5" w:tplc="56CAFF5C">
      <w:start w:val="1"/>
      <w:numFmt w:val="bullet"/>
      <w:lvlText w:val="-"/>
      <w:lvlJc w:val="left"/>
      <w:pPr>
        <w:ind w:left="146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6" w:tplc="F710E95A">
      <w:start w:val="1"/>
      <w:numFmt w:val="bullet"/>
      <w:lvlText w:val="-"/>
      <w:lvlJc w:val="left"/>
      <w:pPr>
        <w:ind w:left="170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7" w:tplc="C6F2B910">
      <w:start w:val="1"/>
      <w:numFmt w:val="bullet"/>
      <w:lvlText w:val="-"/>
      <w:lvlJc w:val="left"/>
      <w:pPr>
        <w:ind w:left="194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lvl w:ilvl="8" w:tplc="482C18F8">
      <w:start w:val="1"/>
      <w:numFmt w:val="bullet"/>
      <w:lvlText w:val="-"/>
      <w:lvlJc w:val="left"/>
      <w:pPr>
        <w:ind w:left="2182" w:hanging="262"/>
      </w:pPr>
      <w:rPr>
        <w:rFonts w:hAnsi="Arial Unicode MS"/>
        <w:i/>
        <w:iCs/>
        <w:caps w:val="0"/>
        <w:smallCaps w:val="0"/>
        <w:strike w:val="0"/>
        <w:dstrike w:val="0"/>
        <w:outline w:val="0"/>
        <w:emboss w:val="0"/>
        <w:imprint w:val="0"/>
        <w:spacing w:val="0"/>
        <w:w w:val="100"/>
        <w:kern w:val="0"/>
        <w:position w:val="4"/>
        <w:sz w:val="29"/>
        <w:szCs w:val="29"/>
        <w:highlight w:val="none"/>
        <w:vertAlign w:val="baseline"/>
      </w:rPr>
    </w:lvl>
  </w:abstractNum>
  <w:abstractNum w:abstractNumId="5" w15:restartNumberingAfterBreak="0">
    <w:nsid w:val="31BF1A4F"/>
    <w:multiLevelType w:val="hybridMultilevel"/>
    <w:tmpl w:val="7A4E61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00753E"/>
    <w:multiLevelType w:val="hybridMultilevel"/>
    <w:tmpl w:val="5882F530"/>
    <w:lvl w:ilvl="0" w:tplc="254071C6">
      <w:start w:val="1"/>
      <w:numFmt w:val="lowerLetter"/>
      <w:lvlText w:val="%1)"/>
      <w:lvlJc w:val="left"/>
      <w:pPr>
        <w:ind w:left="720" w:hanging="360"/>
      </w:pPr>
      <w:rPr>
        <w:rFonts w:eastAsia="Arial Unicode MS" w:cs="Arial Unicode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FBF4C09"/>
    <w:multiLevelType w:val="multilevel"/>
    <w:tmpl w:val="834A305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2706B5"/>
    <w:multiLevelType w:val="hybridMultilevel"/>
    <w:tmpl w:val="0060DBA8"/>
    <w:numStyleLink w:val="Nombres"/>
  </w:abstractNum>
  <w:abstractNum w:abstractNumId="9" w15:restartNumberingAfterBreak="0">
    <w:nsid w:val="540F7DAC"/>
    <w:multiLevelType w:val="hybridMultilevel"/>
    <w:tmpl w:val="5950E6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C821497"/>
    <w:multiLevelType w:val="hybridMultilevel"/>
    <w:tmpl w:val="EE40B5FA"/>
    <w:numStyleLink w:val="Lettres"/>
  </w:abstractNum>
  <w:abstractNum w:abstractNumId="11" w15:restartNumberingAfterBreak="0">
    <w:nsid w:val="6D593A22"/>
    <w:multiLevelType w:val="hybridMultilevel"/>
    <w:tmpl w:val="A8207D8A"/>
    <w:numStyleLink w:val="Tiret"/>
  </w:abstractNum>
  <w:abstractNum w:abstractNumId="12" w15:restartNumberingAfterBreak="0">
    <w:nsid w:val="71DE1293"/>
    <w:multiLevelType w:val="hybridMultilevel"/>
    <w:tmpl w:val="8B5A617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37539F"/>
    <w:multiLevelType w:val="hybridMultilevel"/>
    <w:tmpl w:val="239A13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2559F6"/>
    <w:multiLevelType w:val="hybridMultilevel"/>
    <w:tmpl w:val="EE40B5FA"/>
    <w:styleLink w:val="Lettres"/>
    <w:lvl w:ilvl="0" w:tplc="E74C077E">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B208B74">
      <w:start w:val="1"/>
      <w:numFmt w:val="low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4246CFE0">
      <w:start w:val="1"/>
      <w:numFmt w:val="low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852C89E6">
      <w:start w:val="1"/>
      <w:numFmt w:val="low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C834F61E">
      <w:start w:val="1"/>
      <w:numFmt w:val="low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84786B78">
      <w:start w:val="1"/>
      <w:numFmt w:val="low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45706146">
      <w:start w:val="1"/>
      <w:numFmt w:val="low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2708BACC">
      <w:start w:val="1"/>
      <w:numFmt w:val="low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AC70D690">
      <w:start w:val="1"/>
      <w:numFmt w:val="low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CA92648"/>
    <w:multiLevelType w:val="hybridMultilevel"/>
    <w:tmpl w:val="9C2E18FC"/>
    <w:lvl w:ilvl="0" w:tplc="E28A7F28">
      <w:start w:val="4"/>
      <w:numFmt w:val="decimal"/>
      <w:lvlText w:val="%1."/>
      <w:lvlJc w:val="left"/>
      <w:pPr>
        <w:ind w:left="720" w:hanging="360"/>
      </w:pPr>
      <w:rPr>
        <w:rFonts w:eastAsia="Arial Unicode MS" w:cs="Arial Unicode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4"/>
  </w:num>
  <w:num w:numId="4">
    <w:abstractNumId w:val="10"/>
  </w:num>
  <w:num w:numId="5">
    <w:abstractNumId w:val="10"/>
    <w:lvlOverride w:ilvl="0">
      <w:startOverride w:val="1"/>
      <w:lvl w:ilvl="0" w:tplc="A454C818">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45C1D9C">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5AA2EA">
        <w:start w:val="1"/>
        <w:numFmt w:val="upp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B6655D8">
        <w:start w:val="1"/>
        <w:numFmt w:val="upp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1A7470">
        <w:start w:val="1"/>
        <w:numFmt w:val="upp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B34E738">
        <w:start w:val="1"/>
        <w:numFmt w:val="upp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AD838EC">
        <w:start w:val="1"/>
        <w:numFmt w:val="upp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7487B8">
        <w:start w:val="1"/>
        <w:numFmt w:val="upp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364BB4">
        <w:start w:val="1"/>
        <w:numFmt w:val="upp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0"/>
    <w:lvlOverride w:ilvl="0">
      <w:startOverride w:val="1"/>
    </w:lvlOverride>
  </w:num>
  <w:num w:numId="7">
    <w:abstractNumId w:val="4"/>
  </w:num>
  <w:num w:numId="8">
    <w:abstractNumId w:val="11"/>
  </w:num>
  <w:num w:numId="9">
    <w:abstractNumId w:val="11"/>
    <w:lvlOverride w:ilvl="0">
      <w:lvl w:ilvl="0" w:tplc="B2A856A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tplc="23B0836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tplc="85046E0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tplc="05668E2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tplc="9B68585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tplc="2E1AFA0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tplc="FC9CB48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tplc="ED9E71F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tplc="C3A885D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10">
    <w:abstractNumId w:val="8"/>
    <w:lvlOverride w:ilvl="0">
      <w:startOverride w:val="1"/>
      <w:lvl w:ilvl="0" w:tplc="EE003C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030DB1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CCAF73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6A715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AD6D8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8695E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AEC720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A708FD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76121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 w:ilvl="0" w:tplc="EE003C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030DB1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CCAF73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6A715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AD6D8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8695E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AEC720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A708FD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76121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startOverride w:val="1"/>
    </w:lvlOverride>
  </w:num>
  <w:num w:numId="13">
    <w:abstractNumId w:val="10"/>
    <w:lvlOverride w:ilvl="0">
      <w:startOverride w:val="1"/>
      <w:lvl w:ilvl="0" w:tplc="A454C818">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45C1D9C">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5AA2EA">
        <w:start w:val="1"/>
        <w:numFmt w:val="upp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B6655D8">
        <w:start w:val="1"/>
        <w:numFmt w:val="upp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1A7470">
        <w:start w:val="1"/>
        <w:numFmt w:val="upp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B34E738">
        <w:start w:val="1"/>
        <w:numFmt w:val="upp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AD838EC">
        <w:start w:val="1"/>
        <w:numFmt w:val="upp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7487B8">
        <w:start w:val="1"/>
        <w:numFmt w:val="upp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364BB4">
        <w:start w:val="1"/>
        <w:numFmt w:val="upp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8"/>
    <w:lvlOverride w:ilvl="0">
      <w:startOverride w:val="1"/>
      <w:lvl w:ilvl="0" w:tplc="EE003C2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030DB10">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CCAF73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6A715A">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AD6D8C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E8695E8">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AEC7206">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A708FDC">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76121E">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0"/>
    <w:lvlOverride w:ilvl="0">
      <w:startOverride w:val="1"/>
      <w:lvl w:ilvl="0" w:tplc="A454C818">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45C1D9C">
        <w:start w:val="1"/>
        <w:numFmt w:val="upperLetter"/>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5AA2EA">
        <w:start w:val="1"/>
        <w:numFmt w:val="upperLetter"/>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B6655D8">
        <w:start w:val="1"/>
        <w:numFmt w:val="upperLetter"/>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D1A7470">
        <w:start w:val="1"/>
        <w:numFmt w:val="upperLetter"/>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B34E738">
        <w:start w:val="1"/>
        <w:numFmt w:val="upperLetter"/>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AD838EC">
        <w:start w:val="1"/>
        <w:numFmt w:val="upperLetter"/>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07487B8">
        <w:start w:val="1"/>
        <w:numFmt w:val="upperLetter"/>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D364BB4">
        <w:start w:val="1"/>
        <w:numFmt w:val="upperLetter"/>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7"/>
  </w:num>
  <w:num w:numId="17">
    <w:abstractNumId w:val="12"/>
  </w:num>
  <w:num w:numId="18">
    <w:abstractNumId w:val="15"/>
  </w:num>
  <w:num w:numId="19">
    <w:abstractNumId w:val="1"/>
  </w:num>
  <w:num w:numId="20">
    <w:abstractNumId w:val="2"/>
  </w:num>
  <w:num w:numId="21">
    <w:abstractNumId w:val="0"/>
  </w:num>
  <w:num w:numId="22">
    <w:abstractNumId w:val="13"/>
  </w:num>
  <w:num w:numId="23">
    <w:abstractNumId w:val="9"/>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trackRevisions/>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EC"/>
    <w:rsid w:val="0000162D"/>
    <w:rsid w:val="000021E4"/>
    <w:rsid w:val="00003C54"/>
    <w:rsid w:val="00010E78"/>
    <w:rsid w:val="0001494B"/>
    <w:rsid w:val="00017416"/>
    <w:rsid w:val="00021309"/>
    <w:rsid w:val="00021C89"/>
    <w:rsid w:val="000233E8"/>
    <w:rsid w:val="000336EA"/>
    <w:rsid w:val="000346FD"/>
    <w:rsid w:val="000358E3"/>
    <w:rsid w:val="0004051E"/>
    <w:rsid w:val="00070986"/>
    <w:rsid w:val="00071480"/>
    <w:rsid w:val="0008072C"/>
    <w:rsid w:val="00085D27"/>
    <w:rsid w:val="00094B99"/>
    <w:rsid w:val="00095FE7"/>
    <w:rsid w:val="00097659"/>
    <w:rsid w:val="00097755"/>
    <w:rsid w:val="000A6B41"/>
    <w:rsid w:val="000B3181"/>
    <w:rsid w:val="000B327D"/>
    <w:rsid w:val="000B3550"/>
    <w:rsid w:val="000C046D"/>
    <w:rsid w:val="000C05BA"/>
    <w:rsid w:val="000C191C"/>
    <w:rsid w:val="000C247E"/>
    <w:rsid w:val="000C478C"/>
    <w:rsid w:val="000D6821"/>
    <w:rsid w:val="000D6DFE"/>
    <w:rsid w:val="000D72B1"/>
    <w:rsid w:val="000E7259"/>
    <w:rsid w:val="000F4D00"/>
    <w:rsid w:val="00116E14"/>
    <w:rsid w:val="00117749"/>
    <w:rsid w:val="00121143"/>
    <w:rsid w:val="0012639F"/>
    <w:rsid w:val="00133289"/>
    <w:rsid w:val="00133C3F"/>
    <w:rsid w:val="00137937"/>
    <w:rsid w:val="00137E34"/>
    <w:rsid w:val="00140FEE"/>
    <w:rsid w:val="00142D01"/>
    <w:rsid w:val="001440CB"/>
    <w:rsid w:val="001537F0"/>
    <w:rsid w:val="001627E9"/>
    <w:rsid w:val="00167A1B"/>
    <w:rsid w:val="001711D8"/>
    <w:rsid w:val="0017171E"/>
    <w:rsid w:val="00185C28"/>
    <w:rsid w:val="00191600"/>
    <w:rsid w:val="0019399B"/>
    <w:rsid w:val="001B2C09"/>
    <w:rsid w:val="001C7054"/>
    <w:rsid w:val="001C75FD"/>
    <w:rsid w:val="001D0FC3"/>
    <w:rsid w:val="001D11DA"/>
    <w:rsid w:val="001D1228"/>
    <w:rsid w:val="001E12AA"/>
    <w:rsid w:val="001E40B3"/>
    <w:rsid w:val="001E5F59"/>
    <w:rsid w:val="001F0DF0"/>
    <w:rsid w:val="001F41CC"/>
    <w:rsid w:val="00211F54"/>
    <w:rsid w:val="0021589A"/>
    <w:rsid w:val="00242039"/>
    <w:rsid w:val="002708E6"/>
    <w:rsid w:val="002A0639"/>
    <w:rsid w:val="002A0EDC"/>
    <w:rsid w:val="002B06C3"/>
    <w:rsid w:val="002E0F67"/>
    <w:rsid w:val="002E7DEF"/>
    <w:rsid w:val="002F55EF"/>
    <w:rsid w:val="003106FB"/>
    <w:rsid w:val="00311941"/>
    <w:rsid w:val="00311B8C"/>
    <w:rsid w:val="0031301F"/>
    <w:rsid w:val="00313215"/>
    <w:rsid w:val="003212BA"/>
    <w:rsid w:val="00327144"/>
    <w:rsid w:val="00335A90"/>
    <w:rsid w:val="0033603D"/>
    <w:rsid w:val="00336189"/>
    <w:rsid w:val="00356597"/>
    <w:rsid w:val="00362903"/>
    <w:rsid w:val="00376FEB"/>
    <w:rsid w:val="003810F7"/>
    <w:rsid w:val="0038297C"/>
    <w:rsid w:val="00395F76"/>
    <w:rsid w:val="003A78C4"/>
    <w:rsid w:val="003B0C85"/>
    <w:rsid w:val="003B1DE9"/>
    <w:rsid w:val="003C2F44"/>
    <w:rsid w:val="003C3BA6"/>
    <w:rsid w:val="003C6F23"/>
    <w:rsid w:val="003D631E"/>
    <w:rsid w:val="003D77B8"/>
    <w:rsid w:val="003E142C"/>
    <w:rsid w:val="003E290B"/>
    <w:rsid w:val="003E3131"/>
    <w:rsid w:val="003F313E"/>
    <w:rsid w:val="003F49B3"/>
    <w:rsid w:val="003F7B0C"/>
    <w:rsid w:val="00403FBE"/>
    <w:rsid w:val="00405EA4"/>
    <w:rsid w:val="00424592"/>
    <w:rsid w:val="004271EC"/>
    <w:rsid w:val="00427FD1"/>
    <w:rsid w:val="004367EC"/>
    <w:rsid w:val="00441E7A"/>
    <w:rsid w:val="00452355"/>
    <w:rsid w:val="00456C03"/>
    <w:rsid w:val="00457C41"/>
    <w:rsid w:val="00474031"/>
    <w:rsid w:val="00476BAE"/>
    <w:rsid w:val="00486C91"/>
    <w:rsid w:val="00491C39"/>
    <w:rsid w:val="00494211"/>
    <w:rsid w:val="004A1D64"/>
    <w:rsid w:val="004A1DBB"/>
    <w:rsid w:val="004A22C3"/>
    <w:rsid w:val="004A4E2B"/>
    <w:rsid w:val="004A58E3"/>
    <w:rsid w:val="004B201B"/>
    <w:rsid w:val="004B6605"/>
    <w:rsid w:val="004C7CD4"/>
    <w:rsid w:val="004D3EFB"/>
    <w:rsid w:val="004E654C"/>
    <w:rsid w:val="004F47CB"/>
    <w:rsid w:val="0050656E"/>
    <w:rsid w:val="005155CE"/>
    <w:rsid w:val="00523A08"/>
    <w:rsid w:val="00523A7A"/>
    <w:rsid w:val="00547F4D"/>
    <w:rsid w:val="005516B2"/>
    <w:rsid w:val="00551C38"/>
    <w:rsid w:val="00553CE4"/>
    <w:rsid w:val="00555E8F"/>
    <w:rsid w:val="005624EE"/>
    <w:rsid w:val="00565059"/>
    <w:rsid w:val="0056764A"/>
    <w:rsid w:val="005771B4"/>
    <w:rsid w:val="005777C5"/>
    <w:rsid w:val="00587CDF"/>
    <w:rsid w:val="00595719"/>
    <w:rsid w:val="005A0D64"/>
    <w:rsid w:val="005A5005"/>
    <w:rsid w:val="005A761E"/>
    <w:rsid w:val="005B6247"/>
    <w:rsid w:val="005C41A7"/>
    <w:rsid w:val="005C4416"/>
    <w:rsid w:val="005C6F89"/>
    <w:rsid w:val="005C7B71"/>
    <w:rsid w:val="005D4EF8"/>
    <w:rsid w:val="005D544C"/>
    <w:rsid w:val="005D641B"/>
    <w:rsid w:val="005E260D"/>
    <w:rsid w:val="005E5FEA"/>
    <w:rsid w:val="005E65B6"/>
    <w:rsid w:val="005F4E47"/>
    <w:rsid w:val="00603E77"/>
    <w:rsid w:val="006110B9"/>
    <w:rsid w:val="00617B69"/>
    <w:rsid w:val="00620ED6"/>
    <w:rsid w:val="006259F6"/>
    <w:rsid w:val="00630F71"/>
    <w:rsid w:val="0063318F"/>
    <w:rsid w:val="0067040E"/>
    <w:rsid w:val="006709A2"/>
    <w:rsid w:val="0067399D"/>
    <w:rsid w:val="00674CEF"/>
    <w:rsid w:val="00687CFB"/>
    <w:rsid w:val="00690FC0"/>
    <w:rsid w:val="0069242D"/>
    <w:rsid w:val="006A5AA5"/>
    <w:rsid w:val="006A5AE3"/>
    <w:rsid w:val="006B3276"/>
    <w:rsid w:val="006C5C29"/>
    <w:rsid w:val="006D3C11"/>
    <w:rsid w:val="006D79B1"/>
    <w:rsid w:val="006D7C7B"/>
    <w:rsid w:val="006E2BEC"/>
    <w:rsid w:val="006E2E1B"/>
    <w:rsid w:val="006F5127"/>
    <w:rsid w:val="006F7417"/>
    <w:rsid w:val="00703BE5"/>
    <w:rsid w:val="00712B88"/>
    <w:rsid w:val="00713A4A"/>
    <w:rsid w:val="00714464"/>
    <w:rsid w:val="00715812"/>
    <w:rsid w:val="00715E6E"/>
    <w:rsid w:val="00737525"/>
    <w:rsid w:val="007403EB"/>
    <w:rsid w:val="007419AB"/>
    <w:rsid w:val="00742637"/>
    <w:rsid w:val="00751054"/>
    <w:rsid w:val="00753C30"/>
    <w:rsid w:val="00755EEB"/>
    <w:rsid w:val="0077307B"/>
    <w:rsid w:val="007827F0"/>
    <w:rsid w:val="00791D1B"/>
    <w:rsid w:val="00794D87"/>
    <w:rsid w:val="00797C97"/>
    <w:rsid w:val="007A02F4"/>
    <w:rsid w:val="007A4223"/>
    <w:rsid w:val="007A5EC9"/>
    <w:rsid w:val="007A6E7E"/>
    <w:rsid w:val="007B31FD"/>
    <w:rsid w:val="007B3669"/>
    <w:rsid w:val="007B6833"/>
    <w:rsid w:val="007C2582"/>
    <w:rsid w:val="007C5849"/>
    <w:rsid w:val="007D0B0A"/>
    <w:rsid w:val="007D5DAB"/>
    <w:rsid w:val="007E214A"/>
    <w:rsid w:val="007E251B"/>
    <w:rsid w:val="007E57A0"/>
    <w:rsid w:val="007F3A5F"/>
    <w:rsid w:val="007F4C41"/>
    <w:rsid w:val="008035AC"/>
    <w:rsid w:val="0081018A"/>
    <w:rsid w:val="00813F4C"/>
    <w:rsid w:val="00814A4C"/>
    <w:rsid w:val="0082135C"/>
    <w:rsid w:val="008215F8"/>
    <w:rsid w:val="00830D94"/>
    <w:rsid w:val="00837CAC"/>
    <w:rsid w:val="008424BC"/>
    <w:rsid w:val="008455AE"/>
    <w:rsid w:val="00845F0E"/>
    <w:rsid w:val="00850046"/>
    <w:rsid w:val="008500CA"/>
    <w:rsid w:val="00856881"/>
    <w:rsid w:val="00856CD8"/>
    <w:rsid w:val="00857A8E"/>
    <w:rsid w:val="00874548"/>
    <w:rsid w:val="0087586D"/>
    <w:rsid w:val="00880433"/>
    <w:rsid w:val="0089671E"/>
    <w:rsid w:val="00896DCC"/>
    <w:rsid w:val="008A4B87"/>
    <w:rsid w:val="008A5A36"/>
    <w:rsid w:val="008B0CF9"/>
    <w:rsid w:val="008C0A36"/>
    <w:rsid w:val="008C7F54"/>
    <w:rsid w:val="008D79E0"/>
    <w:rsid w:val="008E626D"/>
    <w:rsid w:val="008E6CEF"/>
    <w:rsid w:val="008F04E3"/>
    <w:rsid w:val="008F4CE0"/>
    <w:rsid w:val="00902043"/>
    <w:rsid w:val="009123F2"/>
    <w:rsid w:val="0091293C"/>
    <w:rsid w:val="0091418D"/>
    <w:rsid w:val="009367D5"/>
    <w:rsid w:val="00941CF2"/>
    <w:rsid w:val="009505E0"/>
    <w:rsid w:val="00955DFB"/>
    <w:rsid w:val="00962368"/>
    <w:rsid w:val="00973F5C"/>
    <w:rsid w:val="00976D2C"/>
    <w:rsid w:val="00985579"/>
    <w:rsid w:val="009962BE"/>
    <w:rsid w:val="009A0967"/>
    <w:rsid w:val="009A29BF"/>
    <w:rsid w:val="009A492B"/>
    <w:rsid w:val="009D318F"/>
    <w:rsid w:val="009F3DEA"/>
    <w:rsid w:val="009F6FC5"/>
    <w:rsid w:val="00A00ECC"/>
    <w:rsid w:val="00A0170D"/>
    <w:rsid w:val="00A05E0D"/>
    <w:rsid w:val="00A078EB"/>
    <w:rsid w:val="00A11AD2"/>
    <w:rsid w:val="00A30C81"/>
    <w:rsid w:val="00A3314C"/>
    <w:rsid w:val="00A368CC"/>
    <w:rsid w:val="00A460DD"/>
    <w:rsid w:val="00A54F58"/>
    <w:rsid w:val="00A607A4"/>
    <w:rsid w:val="00A70705"/>
    <w:rsid w:val="00A76322"/>
    <w:rsid w:val="00A76A10"/>
    <w:rsid w:val="00A776E9"/>
    <w:rsid w:val="00A87361"/>
    <w:rsid w:val="00AA6F38"/>
    <w:rsid w:val="00AA7ADD"/>
    <w:rsid w:val="00AB2CDF"/>
    <w:rsid w:val="00AB4954"/>
    <w:rsid w:val="00AC3B96"/>
    <w:rsid w:val="00AC7765"/>
    <w:rsid w:val="00AD23DE"/>
    <w:rsid w:val="00AE06DB"/>
    <w:rsid w:val="00AE214A"/>
    <w:rsid w:val="00B06F42"/>
    <w:rsid w:val="00B07222"/>
    <w:rsid w:val="00B11320"/>
    <w:rsid w:val="00B15EA6"/>
    <w:rsid w:val="00B17203"/>
    <w:rsid w:val="00B2597B"/>
    <w:rsid w:val="00B35E1B"/>
    <w:rsid w:val="00B36176"/>
    <w:rsid w:val="00B36C45"/>
    <w:rsid w:val="00B51954"/>
    <w:rsid w:val="00B55FF0"/>
    <w:rsid w:val="00B5673A"/>
    <w:rsid w:val="00B63C51"/>
    <w:rsid w:val="00B63C8C"/>
    <w:rsid w:val="00B74FF6"/>
    <w:rsid w:val="00B76186"/>
    <w:rsid w:val="00B76F31"/>
    <w:rsid w:val="00B96BA0"/>
    <w:rsid w:val="00BA18AB"/>
    <w:rsid w:val="00BA27D5"/>
    <w:rsid w:val="00BA70A5"/>
    <w:rsid w:val="00BC6656"/>
    <w:rsid w:val="00BE18F3"/>
    <w:rsid w:val="00BE2E99"/>
    <w:rsid w:val="00BE39AB"/>
    <w:rsid w:val="00BE3EEC"/>
    <w:rsid w:val="00BF4444"/>
    <w:rsid w:val="00BF687E"/>
    <w:rsid w:val="00C004B7"/>
    <w:rsid w:val="00C04C8A"/>
    <w:rsid w:val="00C15F3C"/>
    <w:rsid w:val="00C22B7B"/>
    <w:rsid w:val="00C2550F"/>
    <w:rsid w:val="00C26B92"/>
    <w:rsid w:val="00C454F6"/>
    <w:rsid w:val="00C666A1"/>
    <w:rsid w:val="00C834C4"/>
    <w:rsid w:val="00C84E75"/>
    <w:rsid w:val="00C91B05"/>
    <w:rsid w:val="00C91DFF"/>
    <w:rsid w:val="00C927FE"/>
    <w:rsid w:val="00CA6933"/>
    <w:rsid w:val="00CB0424"/>
    <w:rsid w:val="00CB4558"/>
    <w:rsid w:val="00CB7E44"/>
    <w:rsid w:val="00CD2FE5"/>
    <w:rsid w:val="00CD6592"/>
    <w:rsid w:val="00CF2994"/>
    <w:rsid w:val="00CF2F24"/>
    <w:rsid w:val="00CF3A7F"/>
    <w:rsid w:val="00D06819"/>
    <w:rsid w:val="00D143C8"/>
    <w:rsid w:val="00D172AA"/>
    <w:rsid w:val="00D177E8"/>
    <w:rsid w:val="00D21C17"/>
    <w:rsid w:val="00D3007D"/>
    <w:rsid w:val="00D34567"/>
    <w:rsid w:val="00D35FA9"/>
    <w:rsid w:val="00D419DB"/>
    <w:rsid w:val="00D459C8"/>
    <w:rsid w:val="00D50BED"/>
    <w:rsid w:val="00D50C73"/>
    <w:rsid w:val="00D60D26"/>
    <w:rsid w:val="00D658CA"/>
    <w:rsid w:val="00D71A36"/>
    <w:rsid w:val="00D7651A"/>
    <w:rsid w:val="00D82333"/>
    <w:rsid w:val="00D838A3"/>
    <w:rsid w:val="00D858F3"/>
    <w:rsid w:val="00D8692B"/>
    <w:rsid w:val="00D929A4"/>
    <w:rsid w:val="00D9549C"/>
    <w:rsid w:val="00D969FC"/>
    <w:rsid w:val="00D96A6A"/>
    <w:rsid w:val="00D97B7D"/>
    <w:rsid w:val="00DA1BD7"/>
    <w:rsid w:val="00DA2408"/>
    <w:rsid w:val="00DA2D24"/>
    <w:rsid w:val="00DA59DD"/>
    <w:rsid w:val="00DB16EE"/>
    <w:rsid w:val="00DB615A"/>
    <w:rsid w:val="00DC1722"/>
    <w:rsid w:val="00DC31DE"/>
    <w:rsid w:val="00DD0096"/>
    <w:rsid w:val="00DD5D4C"/>
    <w:rsid w:val="00DE5D3A"/>
    <w:rsid w:val="00DF2323"/>
    <w:rsid w:val="00DF2342"/>
    <w:rsid w:val="00E06914"/>
    <w:rsid w:val="00E10AB9"/>
    <w:rsid w:val="00E1536B"/>
    <w:rsid w:val="00E24E9F"/>
    <w:rsid w:val="00E451E3"/>
    <w:rsid w:val="00E468E0"/>
    <w:rsid w:val="00E515E2"/>
    <w:rsid w:val="00E56D5E"/>
    <w:rsid w:val="00E61F32"/>
    <w:rsid w:val="00E62E10"/>
    <w:rsid w:val="00E762B1"/>
    <w:rsid w:val="00E8092E"/>
    <w:rsid w:val="00E81B40"/>
    <w:rsid w:val="00E81DF4"/>
    <w:rsid w:val="00E929B3"/>
    <w:rsid w:val="00EA2A47"/>
    <w:rsid w:val="00EA73E5"/>
    <w:rsid w:val="00EB6AF9"/>
    <w:rsid w:val="00ED3437"/>
    <w:rsid w:val="00ED3D3A"/>
    <w:rsid w:val="00ED52E7"/>
    <w:rsid w:val="00EE173B"/>
    <w:rsid w:val="00EF0EDE"/>
    <w:rsid w:val="00EF1A2B"/>
    <w:rsid w:val="00EF1B49"/>
    <w:rsid w:val="00EF234D"/>
    <w:rsid w:val="00EF433D"/>
    <w:rsid w:val="00EF4ECC"/>
    <w:rsid w:val="00F062DA"/>
    <w:rsid w:val="00F31E4A"/>
    <w:rsid w:val="00F32674"/>
    <w:rsid w:val="00F3680E"/>
    <w:rsid w:val="00F432F4"/>
    <w:rsid w:val="00F50C1D"/>
    <w:rsid w:val="00F518C3"/>
    <w:rsid w:val="00F550F5"/>
    <w:rsid w:val="00F653EE"/>
    <w:rsid w:val="00F7264B"/>
    <w:rsid w:val="00F8226E"/>
    <w:rsid w:val="00F82D91"/>
    <w:rsid w:val="00F82E16"/>
    <w:rsid w:val="00F91E73"/>
    <w:rsid w:val="00F96D0B"/>
    <w:rsid w:val="00FB7C86"/>
    <w:rsid w:val="00FC4162"/>
    <w:rsid w:val="00FD0FA2"/>
    <w:rsid w:val="00FD21CF"/>
    <w:rsid w:val="00FE5EED"/>
    <w:rsid w:val="00FF0243"/>
    <w:rsid w:val="00FF2AB5"/>
    <w:rsid w:val="00FF47A4"/>
    <w:rsid w:val="00FF61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E5DC2C6"/>
  <w15:docId w15:val="{EA5AE71F-4B95-AC49-B478-1D507D96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Helvetica" w:cs="Arial Unicode MS"/>
      <w:color w:val="000000"/>
      <w:sz w:val="22"/>
      <w:szCs w:val="22"/>
      <w:lang w:val="fr-FR"/>
    </w:rPr>
  </w:style>
  <w:style w:type="paragraph" w:styleId="Notedebasdepage">
    <w:name w:val="footnote text"/>
    <w:rPr>
      <w:rFonts w:ascii="Helvetica" w:eastAsia="Helvetica" w:hAnsi="Helvetica" w:cs="Helvetica"/>
      <w:color w:val="000000"/>
      <w:sz w:val="22"/>
      <w:szCs w:val="22"/>
    </w:rPr>
  </w:style>
  <w:style w:type="numbering" w:customStyle="1" w:styleId="Nombres">
    <w:name w:val="Nombres"/>
    <w:pPr>
      <w:numPr>
        <w:numId w:val="1"/>
      </w:numPr>
    </w:pPr>
  </w:style>
  <w:style w:type="numbering" w:customStyle="1" w:styleId="Lettres">
    <w:name w:val="Lettres"/>
    <w:pPr>
      <w:numPr>
        <w:numId w:val="3"/>
      </w:numPr>
    </w:pPr>
  </w:style>
  <w:style w:type="numbering" w:customStyle="1" w:styleId="Tiret">
    <w:name w:val="Tiret"/>
    <w:pPr>
      <w:numPr>
        <w:numId w:val="7"/>
      </w:numPr>
    </w:pPr>
  </w:style>
  <w:style w:type="character" w:customStyle="1" w:styleId="Hyperlink0">
    <w:name w:val="Hyperlink.0"/>
    <w:basedOn w:val="Lienhypertexte"/>
    <w:rPr>
      <w:u w:val="single"/>
    </w:rPr>
  </w:style>
  <w:style w:type="paragraph" w:styleId="NormalWeb">
    <w:name w:val="Normal (Web)"/>
    <w:basedOn w:val="Normal"/>
    <w:uiPriority w:val="99"/>
    <w:unhideWhenUsed/>
    <w:rsid w:val="006A5A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BE" w:eastAsia="fr-FR"/>
    </w:rPr>
  </w:style>
  <w:style w:type="character" w:styleId="Appelnotedebasdep">
    <w:name w:val="footnote reference"/>
    <w:basedOn w:val="Policepardfaut"/>
    <w:uiPriority w:val="99"/>
    <w:semiHidden/>
    <w:unhideWhenUsed/>
    <w:rsid w:val="0019399B"/>
    <w:rPr>
      <w:vertAlign w:val="superscript"/>
    </w:rPr>
  </w:style>
  <w:style w:type="character" w:styleId="Mentionnonrsolue">
    <w:name w:val="Unresolved Mention"/>
    <w:basedOn w:val="Policepardfaut"/>
    <w:uiPriority w:val="99"/>
    <w:semiHidden/>
    <w:unhideWhenUsed/>
    <w:rsid w:val="00F550F5"/>
    <w:rPr>
      <w:color w:val="605E5C"/>
      <w:shd w:val="clear" w:color="auto" w:fill="E1DFDD"/>
    </w:rPr>
  </w:style>
  <w:style w:type="paragraph" w:styleId="Rvision">
    <w:name w:val="Revision"/>
    <w:hidden/>
    <w:uiPriority w:val="99"/>
    <w:semiHidden/>
    <w:rsid w:val="00003C5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Pieddepage">
    <w:name w:val="footer"/>
    <w:basedOn w:val="Normal"/>
    <w:link w:val="PieddepageCar"/>
    <w:uiPriority w:val="99"/>
    <w:unhideWhenUsed/>
    <w:rsid w:val="00DA59DD"/>
    <w:pPr>
      <w:tabs>
        <w:tab w:val="center" w:pos="4536"/>
        <w:tab w:val="right" w:pos="9072"/>
      </w:tabs>
    </w:pPr>
  </w:style>
  <w:style w:type="character" w:customStyle="1" w:styleId="PieddepageCar">
    <w:name w:val="Pied de page Car"/>
    <w:basedOn w:val="Policepardfaut"/>
    <w:link w:val="Pieddepage"/>
    <w:uiPriority w:val="99"/>
    <w:rsid w:val="00DA59DD"/>
    <w:rPr>
      <w:sz w:val="24"/>
      <w:szCs w:val="24"/>
      <w:lang w:val="en-US" w:eastAsia="en-US"/>
    </w:rPr>
  </w:style>
  <w:style w:type="character" w:styleId="Numrodepage">
    <w:name w:val="page number"/>
    <w:basedOn w:val="Policepardfaut"/>
    <w:uiPriority w:val="99"/>
    <w:semiHidden/>
    <w:unhideWhenUsed/>
    <w:rsid w:val="00DA59DD"/>
  </w:style>
  <w:style w:type="character" w:styleId="Marquedecommentaire">
    <w:name w:val="annotation reference"/>
    <w:basedOn w:val="Policepardfaut"/>
    <w:uiPriority w:val="99"/>
    <w:semiHidden/>
    <w:unhideWhenUsed/>
    <w:rsid w:val="00D9549C"/>
    <w:rPr>
      <w:sz w:val="16"/>
      <w:szCs w:val="16"/>
    </w:rPr>
  </w:style>
  <w:style w:type="paragraph" w:styleId="Commentaire">
    <w:name w:val="annotation text"/>
    <w:basedOn w:val="Normal"/>
    <w:link w:val="CommentaireCar"/>
    <w:uiPriority w:val="99"/>
    <w:unhideWhenUsed/>
    <w:rsid w:val="00D9549C"/>
    <w:rPr>
      <w:sz w:val="20"/>
      <w:szCs w:val="20"/>
    </w:rPr>
  </w:style>
  <w:style w:type="character" w:customStyle="1" w:styleId="CommentaireCar">
    <w:name w:val="Commentaire Car"/>
    <w:basedOn w:val="Policepardfaut"/>
    <w:link w:val="Commentaire"/>
    <w:uiPriority w:val="99"/>
    <w:rsid w:val="00D9549C"/>
    <w:rPr>
      <w:lang w:val="en-US" w:eastAsia="en-US"/>
    </w:rPr>
  </w:style>
  <w:style w:type="paragraph" w:styleId="Objetducommentaire">
    <w:name w:val="annotation subject"/>
    <w:basedOn w:val="Commentaire"/>
    <w:next w:val="Commentaire"/>
    <w:link w:val="ObjetducommentaireCar"/>
    <w:uiPriority w:val="99"/>
    <w:semiHidden/>
    <w:unhideWhenUsed/>
    <w:rsid w:val="00D9549C"/>
    <w:rPr>
      <w:b/>
      <w:bCs/>
    </w:rPr>
  </w:style>
  <w:style w:type="character" w:customStyle="1" w:styleId="ObjetducommentaireCar">
    <w:name w:val="Objet du commentaire Car"/>
    <w:basedOn w:val="CommentaireCar"/>
    <w:link w:val="Objetducommentaire"/>
    <w:uiPriority w:val="99"/>
    <w:semiHidden/>
    <w:rsid w:val="00D9549C"/>
    <w:rPr>
      <w:b/>
      <w:bCs/>
      <w:lang w:val="en-US" w:eastAsia="en-US"/>
    </w:rPr>
  </w:style>
  <w:style w:type="paragraph" w:styleId="En-tte">
    <w:name w:val="header"/>
    <w:basedOn w:val="Normal"/>
    <w:link w:val="En-tteCar"/>
    <w:uiPriority w:val="99"/>
    <w:unhideWhenUsed/>
    <w:rsid w:val="00D969FC"/>
    <w:pPr>
      <w:tabs>
        <w:tab w:val="center" w:pos="4536"/>
        <w:tab w:val="right" w:pos="9072"/>
      </w:tabs>
    </w:pPr>
  </w:style>
  <w:style w:type="character" w:customStyle="1" w:styleId="En-tteCar">
    <w:name w:val="En-tête Car"/>
    <w:basedOn w:val="Policepardfaut"/>
    <w:link w:val="En-tte"/>
    <w:uiPriority w:val="99"/>
    <w:rsid w:val="00D969F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58679">
      <w:bodyDiv w:val="1"/>
      <w:marLeft w:val="0"/>
      <w:marRight w:val="0"/>
      <w:marTop w:val="0"/>
      <w:marBottom w:val="0"/>
      <w:divBdr>
        <w:top w:val="none" w:sz="0" w:space="0" w:color="auto"/>
        <w:left w:val="none" w:sz="0" w:space="0" w:color="auto"/>
        <w:bottom w:val="none" w:sz="0" w:space="0" w:color="auto"/>
        <w:right w:val="none" w:sz="0" w:space="0" w:color="auto"/>
      </w:divBdr>
      <w:divsChild>
        <w:div w:id="1366557991">
          <w:marLeft w:val="0"/>
          <w:marRight w:val="0"/>
          <w:marTop w:val="0"/>
          <w:marBottom w:val="0"/>
          <w:divBdr>
            <w:top w:val="none" w:sz="0" w:space="0" w:color="auto"/>
            <w:left w:val="none" w:sz="0" w:space="0" w:color="auto"/>
            <w:bottom w:val="none" w:sz="0" w:space="0" w:color="auto"/>
            <w:right w:val="none" w:sz="0" w:space="0" w:color="auto"/>
          </w:divBdr>
          <w:divsChild>
            <w:div w:id="1055155282">
              <w:marLeft w:val="0"/>
              <w:marRight w:val="0"/>
              <w:marTop w:val="0"/>
              <w:marBottom w:val="0"/>
              <w:divBdr>
                <w:top w:val="none" w:sz="0" w:space="0" w:color="auto"/>
                <w:left w:val="none" w:sz="0" w:space="0" w:color="auto"/>
                <w:bottom w:val="none" w:sz="0" w:space="0" w:color="auto"/>
                <w:right w:val="none" w:sz="0" w:space="0" w:color="auto"/>
              </w:divBdr>
              <w:divsChild>
                <w:div w:id="1346051693">
                  <w:marLeft w:val="0"/>
                  <w:marRight w:val="0"/>
                  <w:marTop w:val="0"/>
                  <w:marBottom w:val="0"/>
                  <w:divBdr>
                    <w:top w:val="none" w:sz="0" w:space="0" w:color="auto"/>
                    <w:left w:val="none" w:sz="0" w:space="0" w:color="auto"/>
                    <w:bottom w:val="none" w:sz="0" w:space="0" w:color="auto"/>
                    <w:right w:val="none" w:sz="0" w:space="0" w:color="auto"/>
                  </w:divBdr>
                  <w:divsChild>
                    <w:div w:id="11780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onst-court.be" TargetMode="External"/><Relationship Id="rId1" Type="http://schemas.openxmlformats.org/officeDocument/2006/relationships/hyperlink" Target="http://www.juportal.b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14C93-B898-7242-B9D1-7BE874C0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5025</Words>
  <Characters>27643</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Boileau Jean</cp:lastModifiedBy>
  <cp:revision>3</cp:revision>
  <cp:lastPrinted>2022-10-28T07:02:00Z</cp:lastPrinted>
  <dcterms:created xsi:type="dcterms:W3CDTF">2022-10-28T07:56:00Z</dcterms:created>
  <dcterms:modified xsi:type="dcterms:W3CDTF">2022-12-08T09:55:00Z</dcterms:modified>
</cp:coreProperties>
</file>