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06E07195" w:rsidR="005A1512" w:rsidRPr="00C81D4D" w:rsidRDefault="00C81D4D" w:rsidP="00C81D4D">
      <w:pPr>
        <w:spacing w:before="76"/>
        <w:ind w:right="14"/>
        <w:jc w:val="both"/>
        <w:rPr>
          <w:rFonts w:cstheme="minorHAnsi"/>
          <w:w w:val="110"/>
          <w:sz w:val="36"/>
          <w:szCs w:val="32"/>
        </w:rPr>
      </w:pPr>
      <w:r w:rsidRPr="00C81D4D">
        <w:rPr>
          <w:rFonts w:cstheme="minorHAnsi"/>
          <w:w w:val="110"/>
          <w:sz w:val="36"/>
          <w:szCs w:val="32"/>
        </w:rPr>
        <w:t>Analysis of mixed plastic pyrolysis oil by comprehensive two-dimensional</w:t>
      </w:r>
      <w:r w:rsidR="00E16F8D">
        <w:rPr>
          <w:rFonts w:cstheme="minorHAnsi"/>
          <w:w w:val="110"/>
          <w:sz w:val="36"/>
          <w:szCs w:val="32"/>
        </w:rPr>
        <w:t xml:space="preserve"> </w:t>
      </w:r>
      <w:r w:rsidRPr="00C81D4D">
        <w:rPr>
          <w:rFonts w:cstheme="minorHAnsi"/>
          <w:w w:val="110"/>
          <w:sz w:val="36"/>
          <w:szCs w:val="32"/>
        </w:rPr>
        <w:t>gas chromatography coupled with low- and high-resolution time-of-flight</w:t>
      </w:r>
      <w:r>
        <w:rPr>
          <w:rFonts w:cstheme="minorHAnsi"/>
          <w:w w:val="110"/>
          <w:sz w:val="36"/>
          <w:szCs w:val="32"/>
        </w:rPr>
        <w:t xml:space="preserve"> </w:t>
      </w:r>
      <w:r w:rsidRPr="00C81D4D">
        <w:rPr>
          <w:rFonts w:cstheme="minorHAnsi"/>
          <w:w w:val="110"/>
          <w:sz w:val="36"/>
          <w:szCs w:val="32"/>
        </w:rPr>
        <w:t>mass spectrometry with the support of soft ionization</w:t>
      </w:r>
    </w:p>
    <w:p w14:paraId="4C5A030F" w14:textId="77777777" w:rsidR="00763248" w:rsidRPr="00763248" w:rsidRDefault="00763248" w:rsidP="00FA32E5">
      <w:pPr>
        <w:spacing w:before="76"/>
        <w:ind w:right="14"/>
        <w:jc w:val="both"/>
        <w:rPr>
          <w:rFonts w:cstheme="minorHAnsi"/>
          <w:sz w:val="20"/>
          <w:szCs w:val="32"/>
        </w:rPr>
      </w:pPr>
    </w:p>
    <w:p w14:paraId="4DE165AB" w14:textId="3BDC6154" w:rsidR="00C81D4D" w:rsidRPr="00C81D4D" w:rsidRDefault="00C81D4D" w:rsidP="00C81D4D">
      <w:pPr>
        <w:pStyle w:val="Corpsdetexte"/>
        <w:spacing w:before="2"/>
        <w:ind w:left="0"/>
        <w:rPr>
          <w:rFonts w:asciiTheme="minorHAnsi" w:hAnsiTheme="minorHAnsi" w:cstheme="minorHAnsi"/>
          <w:sz w:val="24"/>
          <w:szCs w:val="24"/>
        </w:rPr>
      </w:pPr>
      <w:r w:rsidRPr="00C81D4D">
        <w:rPr>
          <w:rFonts w:asciiTheme="minorHAnsi" w:hAnsiTheme="minorHAnsi" w:cstheme="minorHAnsi"/>
          <w:sz w:val="24"/>
          <w:szCs w:val="24"/>
        </w:rPr>
        <w:t xml:space="preserve">Marco Beccaria </w:t>
      </w:r>
      <w:hyperlink w:anchor="_bookmark0" w:history="1">
        <w:proofErr w:type="spellStart"/>
        <w:r w:rsidRPr="00C81D4D">
          <w:rPr>
            <w:rStyle w:val="Lienhypertexte"/>
            <w:rFonts w:asciiTheme="minorHAnsi" w:hAnsiTheme="minorHAnsi" w:cstheme="minorHAnsi"/>
            <w:color w:val="auto"/>
            <w:sz w:val="24"/>
            <w:szCs w:val="24"/>
            <w:u w:val="none"/>
            <w:vertAlign w:val="superscript"/>
          </w:rPr>
          <w:t>a,</w:t>
        </w:r>
      </w:hyperlink>
      <w:hyperlink w:anchor="_bookmark1" w:history="1">
        <w:r w:rsidRPr="00C81D4D">
          <w:rPr>
            <w:rStyle w:val="Lienhypertexte"/>
            <w:rFonts w:asciiTheme="minorHAnsi" w:hAnsiTheme="minorHAnsi" w:cstheme="minorHAnsi"/>
            <w:color w:val="auto"/>
            <w:sz w:val="24"/>
            <w:szCs w:val="24"/>
            <w:u w:val="none"/>
            <w:vertAlign w:val="superscript"/>
          </w:rPr>
          <w:t>b</w:t>
        </w:r>
        <w:proofErr w:type="spellEnd"/>
        <w:r w:rsidRPr="00C81D4D">
          <w:rPr>
            <w:rStyle w:val="Lienhypertexte"/>
            <w:rFonts w:asciiTheme="minorHAnsi" w:hAnsiTheme="minorHAnsi" w:cstheme="minorHAnsi"/>
            <w:color w:val="auto"/>
            <w:sz w:val="24"/>
            <w:szCs w:val="24"/>
            <w:u w:val="none"/>
            <w:vertAlign w:val="superscript"/>
          </w:rPr>
          <w:t>,</w:t>
        </w:r>
      </w:hyperlink>
      <w:r w:rsidRPr="00C81D4D">
        <w:rPr>
          <w:rFonts w:asciiTheme="minorHAnsi" w:hAnsiTheme="minorHAnsi" w:cstheme="minorHAnsi"/>
          <w:sz w:val="24"/>
          <w:szCs w:val="24"/>
          <w:vertAlign w:val="superscript"/>
        </w:rPr>
        <w:t>*</w:t>
      </w:r>
      <w:r w:rsidRPr="00C81D4D">
        <w:rPr>
          <w:rFonts w:asciiTheme="minorHAnsi" w:hAnsiTheme="minorHAnsi" w:cstheme="minorHAnsi"/>
          <w:sz w:val="24"/>
          <w:szCs w:val="24"/>
        </w:rPr>
        <w:t xml:space="preserve">, Marco Piparo </w:t>
      </w:r>
      <w:hyperlink w:anchor="_bookmark2" w:history="1">
        <w:proofErr w:type="spellStart"/>
        <w:r w:rsidRPr="00C81D4D">
          <w:rPr>
            <w:rStyle w:val="Lienhypertexte"/>
            <w:rFonts w:asciiTheme="minorHAnsi" w:hAnsiTheme="minorHAnsi" w:cstheme="minorHAnsi"/>
            <w:color w:val="auto"/>
            <w:sz w:val="24"/>
            <w:szCs w:val="24"/>
            <w:u w:val="none"/>
            <w:vertAlign w:val="superscript"/>
          </w:rPr>
          <w:t>c,</w:t>
        </w:r>
      </w:hyperlink>
      <w:r w:rsidRPr="00C81D4D">
        <w:rPr>
          <w:rFonts w:asciiTheme="minorHAnsi" w:hAnsiTheme="minorHAnsi" w:cstheme="minorHAnsi"/>
          <w:sz w:val="24"/>
          <w:szCs w:val="24"/>
          <w:vertAlign w:val="superscript"/>
        </w:rPr>
        <w:t>d</w:t>
      </w:r>
      <w:proofErr w:type="spellEnd"/>
      <w:r w:rsidRPr="00C81D4D">
        <w:rPr>
          <w:rFonts w:asciiTheme="minorHAnsi" w:hAnsiTheme="minorHAnsi" w:cstheme="minorHAnsi"/>
          <w:sz w:val="24"/>
          <w:szCs w:val="24"/>
        </w:rPr>
        <w:fldChar w:fldCharType="begin"/>
      </w:r>
      <w:r w:rsidRPr="00C81D4D">
        <w:rPr>
          <w:rFonts w:asciiTheme="minorHAnsi" w:hAnsiTheme="minorHAnsi" w:cstheme="minorHAnsi"/>
          <w:sz w:val="24"/>
          <w:szCs w:val="24"/>
        </w:rPr>
        <w:instrText>HYPERLINK \l "_bookmark3"</w:instrText>
      </w:r>
      <w:r w:rsidRPr="00C81D4D">
        <w:rPr>
          <w:rFonts w:asciiTheme="minorHAnsi" w:hAnsiTheme="minorHAnsi" w:cstheme="minorHAnsi"/>
          <w:sz w:val="24"/>
          <w:szCs w:val="24"/>
        </w:rPr>
      </w:r>
      <w:r w:rsidRPr="00C81D4D">
        <w:rPr>
          <w:rFonts w:asciiTheme="minorHAnsi" w:hAnsiTheme="minorHAnsi" w:cstheme="minorHAnsi"/>
          <w:sz w:val="24"/>
          <w:szCs w:val="24"/>
        </w:rPr>
        <w:fldChar w:fldCharType="separate"/>
      </w:r>
      <w:r w:rsidRPr="00C81D4D">
        <w:rPr>
          <w:rStyle w:val="Lienhypertexte"/>
          <w:rFonts w:asciiTheme="minorHAnsi" w:hAnsiTheme="minorHAnsi" w:cstheme="minorHAnsi"/>
          <w:color w:val="auto"/>
          <w:sz w:val="24"/>
          <w:szCs w:val="24"/>
          <w:u w:val="none"/>
        </w:rPr>
        <w:t>, Yun Zou</w:t>
      </w:r>
      <w:r w:rsidRPr="00C81D4D">
        <w:rPr>
          <w:rFonts w:asciiTheme="minorHAnsi" w:hAnsiTheme="minorHAnsi" w:cstheme="minorHAnsi"/>
          <w:sz w:val="24"/>
          <w:szCs w:val="24"/>
        </w:rPr>
        <w:fldChar w:fldCharType="end"/>
      </w:r>
      <w:r w:rsidRPr="00C81D4D">
        <w:rPr>
          <w:rFonts w:asciiTheme="minorHAnsi" w:hAnsiTheme="minorHAnsi" w:cstheme="minorHAnsi"/>
          <w:sz w:val="24"/>
          <w:szCs w:val="24"/>
        </w:rPr>
        <w:t xml:space="preserve"> </w:t>
      </w:r>
      <w:hyperlink w:anchor="_bookmark1" w:history="1">
        <w:r w:rsidRPr="00C81D4D">
          <w:rPr>
            <w:rStyle w:val="Lienhypertexte"/>
            <w:rFonts w:asciiTheme="minorHAnsi" w:hAnsiTheme="minorHAnsi" w:cstheme="minorHAnsi"/>
            <w:color w:val="auto"/>
            <w:sz w:val="24"/>
            <w:szCs w:val="24"/>
            <w:u w:val="none"/>
            <w:vertAlign w:val="superscript"/>
          </w:rPr>
          <w:t>b,</w:t>
        </w:r>
      </w:hyperlink>
      <w:hyperlink w:anchor="_bookmark6" w:history="1">
        <w:r w:rsidRPr="00C81D4D">
          <w:rPr>
            <w:rStyle w:val="Lienhypertexte"/>
            <w:rFonts w:asciiTheme="minorHAnsi" w:hAnsiTheme="minorHAnsi" w:cstheme="minorHAnsi"/>
            <w:color w:val="auto"/>
            <w:sz w:val="24"/>
            <w:szCs w:val="24"/>
            <w:u w:val="none"/>
            <w:vertAlign w:val="superscript"/>
          </w:rPr>
          <w:t>**</w:t>
        </w:r>
      </w:hyperlink>
      <w:hyperlink w:anchor="_bookmark6" w:history="1">
        <w:r w:rsidRPr="00C81D4D">
          <w:rPr>
            <w:rStyle w:val="Lienhypertexte"/>
            <w:rFonts w:asciiTheme="minorHAnsi" w:hAnsiTheme="minorHAnsi" w:cstheme="minorHAnsi"/>
            <w:color w:val="auto"/>
            <w:sz w:val="24"/>
            <w:szCs w:val="24"/>
            <w:u w:val="none"/>
          </w:rPr>
          <w:t xml:space="preserve">, Pierre-Hugues </w:t>
        </w:r>
        <w:proofErr w:type="spellStart"/>
        <w:r w:rsidRPr="00C81D4D">
          <w:rPr>
            <w:rStyle w:val="Lienhypertexte"/>
            <w:rFonts w:asciiTheme="minorHAnsi" w:hAnsiTheme="minorHAnsi" w:cstheme="minorHAnsi"/>
            <w:color w:val="auto"/>
            <w:sz w:val="24"/>
            <w:szCs w:val="24"/>
            <w:u w:val="none"/>
          </w:rPr>
          <w:t>Stefanuto</w:t>
        </w:r>
        <w:proofErr w:type="spellEnd"/>
      </w:hyperlink>
      <w:r w:rsidRPr="00C81D4D">
        <w:rPr>
          <w:rFonts w:asciiTheme="minorHAnsi" w:hAnsiTheme="minorHAnsi" w:cstheme="minorHAnsi"/>
          <w:sz w:val="24"/>
          <w:szCs w:val="24"/>
        </w:rPr>
        <w:t xml:space="preserve"> </w:t>
      </w:r>
      <w:r w:rsidRPr="00C81D4D">
        <w:rPr>
          <w:rFonts w:asciiTheme="minorHAnsi" w:hAnsiTheme="minorHAnsi" w:cstheme="minorHAnsi"/>
          <w:sz w:val="24"/>
          <w:szCs w:val="24"/>
          <w:vertAlign w:val="superscript"/>
        </w:rPr>
        <w:t>b</w:t>
      </w:r>
      <w:hyperlink w:anchor="_bookmark1" w:history="1">
        <w:r w:rsidRPr="00C81D4D">
          <w:rPr>
            <w:rStyle w:val="Lienhypertexte"/>
            <w:rFonts w:asciiTheme="minorHAnsi" w:hAnsiTheme="minorHAnsi" w:cstheme="minorHAnsi"/>
            <w:color w:val="auto"/>
            <w:sz w:val="24"/>
            <w:szCs w:val="24"/>
            <w:u w:val="none"/>
          </w:rPr>
          <w:t>, Giorgia Purcaro</w:t>
        </w:r>
      </w:hyperlink>
      <w:r w:rsidRPr="00C81D4D">
        <w:rPr>
          <w:rFonts w:asciiTheme="minorHAnsi" w:hAnsiTheme="minorHAnsi" w:cstheme="minorHAnsi"/>
          <w:sz w:val="24"/>
          <w:szCs w:val="24"/>
        </w:rPr>
        <w:t xml:space="preserve"> </w:t>
      </w:r>
      <w:r w:rsidRPr="00C81D4D">
        <w:rPr>
          <w:rFonts w:asciiTheme="minorHAnsi" w:hAnsiTheme="minorHAnsi" w:cstheme="minorHAnsi"/>
          <w:sz w:val="24"/>
          <w:szCs w:val="24"/>
          <w:vertAlign w:val="superscript"/>
        </w:rPr>
        <w:t>e</w:t>
      </w:r>
      <w:hyperlink w:anchor="_bookmark4" w:history="1">
        <w:r w:rsidRPr="00C81D4D">
          <w:rPr>
            <w:rStyle w:val="Lienhypertexte"/>
            <w:rFonts w:asciiTheme="minorHAnsi" w:hAnsiTheme="minorHAnsi" w:cstheme="minorHAnsi"/>
            <w:color w:val="auto"/>
            <w:sz w:val="24"/>
            <w:szCs w:val="24"/>
            <w:u w:val="none"/>
          </w:rPr>
          <w:t>,</w:t>
        </w:r>
      </w:hyperlink>
      <w:r w:rsidRPr="00C81D4D">
        <w:rPr>
          <w:rFonts w:asciiTheme="minorHAnsi" w:hAnsiTheme="minorHAnsi" w:cstheme="minorHAnsi"/>
          <w:sz w:val="24"/>
          <w:szCs w:val="24"/>
        </w:rPr>
        <w:t xml:space="preserve"> </w:t>
      </w:r>
      <w:r w:rsidRPr="00C81D4D">
        <w:rPr>
          <w:rFonts w:asciiTheme="minorHAnsi" w:hAnsiTheme="minorHAnsi" w:cstheme="minorHAnsi"/>
          <w:sz w:val="24"/>
          <w:szCs w:val="24"/>
        </w:rPr>
        <w:t xml:space="preserve">Anna Luiza Mendes Siqueira </w:t>
      </w:r>
      <w:r w:rsidRPr="00C81D4D">
        <w:rPr>
          <w:rFonts w:asciiTheme="minorHAnsi" w:hAnsiTheme="minorHAnsi" w:cstheme="minorHAnsi"/>
          <w:sz w:val="24"/>
          <w:szCs w:val="24"/>
          <w:vertAlign w:val="superscript"/>
        </w:rPr>
        <w:t>f</w:t>
      </w:r>
      <w:hyperlink w:anchor="_bookmark5" w:history="1">
        <w:r w:rsidRPr="00C81D4D">
          <w:rPr>
            <w:rStyle w:val="Lienhypertexte"/>
            <w:rFonts w:asciiTheme="minorHAnsi" w:hAnsiTheme="minorHAnsi" w:cstheme="minorHAnsi"/>
            <w:color w:val="auto"/>
            <w:sz w:val="24"/>
            <w:szCs w:val="24"/>
            <w:u w:val="none"/>
          </w:rPr>
          <w:t xml:space="preserve">, Adrien </w:t>
        </w:r>
        <w:proofErr w:type="spellStart"/>
        <w:r w:rsidRPr="00C81D4D">
          <w:rPr>
            <w:rStyle w:val="Lienhypertexte"/>
            <w:rFonts w:asciiTheme="minorHAnsi" w:hAnsiTheme="minorHAnsi" w:cstheme="minorHAnsi"/>
            <w:color w:val="auto"/>
            <w:sz w:val="24"/>
            <w:szCs w:val="24"/>
            <w:u w:val="none"/>
          </w:rPr>
          <w:t>Maniquet</w:t>
        </w:r>
        <w:proofErr w:type="spellEnd"/>
      </w:hyperlink>
      <w:r w:rsidRPr="00C81D4D">
        <w:rPr>
          <w:rFonts w:asciiTheme="minorHAnsi" w:hAnsiTheme="minorHAnsi" w:cstheme="minorHAnsi"/>
          <w:sz w:val="24"/>
          <w:szCs w:val="24"/>
        </w:rPr>
        <w:t xml:space="preserve"> </w:t>
      </w:r>
      <w:r w:rsidRPr="00C81D4D">
        <w:rPr>
          <w:rFonts w:asciiTheme="minorHAnsi" w:hAnsiTheme="minorHAnsi" w:cstheme="minorHAnsi"/>
          <w:sz w:val="24"/>
          <w:szCs w:val="24"/>
          <w:vertAlign w:val="superscript"/>
        </w:rPr>
        <w:t>f</w:t>
      </w:r>
      <w:hyperlink w:anchor="_bookmark5" w:history="1">
        <w:r w:rsidRPr="00C81D4D">
          <w:rPr>
            <w:rStyle w:val="Lienhypertexte"/>
            <w:rFonts w:asciiTheme="minorHAnsi" w:hAnsiTheme="minorHAnsi" w:cstheme="minorHAnsi"/>
            <w:color w:val="auto"/>
            <w:sz w:val="24"/>
            <w:szCs w:val="24"/>
            <w:u w:val="none"/>
          </w:rPr>
          <w:t>, Pierre Giusti</w:t>
        </w:r>
      </w:hyperlink>
      <w:r w:rsidRPr="00C81D4D">
        <w:rPr>
          <w:rFonts w:asciiTheme="minorHAnsi" w:hAnsiTheme="minorHAnsi" w:cstheme="minorHAnsi"/>
          <w:sz w:val="24"/>
          <w:szCs w:val="24"/>
        </w:rPr>
        <w:t xml:space="preserve"> </w:t>
      </w:r>
      <w:hyperlink w:anchor="_bookmark2" w:history="1">
        <w:proofErr w:type="spellStart"/>
        <w:r w:rsidRPr="00C81D4D">
          <w:rPr>
            <w:rStyle w:val="Lienhypertexte"/>
            <w:rFonts w:asciiTheme="minorHAnsi" w:hAnsiTheme="minorHAnsi" w:cstheme="minorHAnsi"/>
            <w:color w:val="auto"/>
            <w:sz w:val="24"/>
            <w:szCs w:val="24"/>
            <w:u w:val="none"/>
            <w:vertAlign w:val="superscript"/>
          </w:rPr>
          <w:t>c,</w:t>
        </w:r>
      </w:hyperlink>
      <w:r w:rsidRPr="00C81D4D">
        <w:rPr>
          <w:rFonts w:asciiTheme="minorHAnsi" w:hAnsiTheme="minorHAnsi" w:cstheme="minorHAnsi"/>
          <w:sz w:val="24"/>
          <w:szCs w:val="24"/>
          <w:vertAlign w:val="superscript"/>
        </w:rPr>
        <w:t>d</w:t>
      </w:r>
      <w:proofErr w:type="spellEnd"/>
      <w:r w:rsidRPr="00C81D4D">
        <w:rPr>
          <w:rFonts w:asciiTheme="minorHAnsi" w:hAnsiTheme="minorHAnsi" w:cstheme="minorHAnsi"/>
          <w:sz w:val="24"/>
          <w:szCs w:val="24"/>
        </w:rPr>
        <w:fldChar w:fldCharType="begin"/>
      </w:r>
      <w:r w:rsidRPr="00C81D4D">
        <w:rPr>
          <w:rFonts w:asciiTheme="minorHAnsi" w:hAnsiTheme="minorHAnsi" w:cstheme="minorHAnsi"/>
          <w:sz w:val="24"/>
          <w:szCs w:val="24"/>
        </w:rPr>
        <w:instrText>HYPERLINK \l "_bookmark3"</w:instrText>
      </w:r>
      <w:r w:rsidRPr="00C81D4D">
        <w:rPr>
          <w:rFonts w:asciiTheme="minorHAnsi" w:hAnsiTheme="minorHAnsi" w:cstheme="minorHAnsi"/>
          <w:sz w:val="24"/>
          <w:szCs w:val="24"/>
        </w:rPr>
      </w:r>
      <w:r w:rsidRPr="00C81D4D">
        <w:rPr>
          <w:rFonts w:asciiTheme="minorHAnsi" w:hAnsiTheme="minorHAnsi" w:cstheme="minorHAnsi"/>
          <w:sz w:val="24"/>
          <w:szCs w:val="24"/>
        </w:rPr>
        <w:fldChar w:fldCharType="separate"/>
      </w:r>
      <w:r w:rsidRPr="00C81D4D">
        <w:rPr>
          <w:rStyle w:val="Lienhypertexte"/>
          <w:rFonts w:asciiTheme="minorHAnsi" w:hAnsiTheme="minorHAnsi" w:cstheme="minorHAnsi"/>
          <w:color w:val="auto"/>
          <w:sz w:val="24"/>
          <w:szCs w:val="24"/>
          <w:u w:val="none"/>
        </w:rPr>
        <w:t xml:space="preserve">, Jean-François </w:t>
      </w:r>
      <w:proofErr w:type="spellStart"/>
      <w:r w:rsidRPr="00C81D4D">
        <w:rPr>
          <w:rStyle w:val="Lienhypertexte"/>
          <w:rFonts w:asciiTheme="minorHAnsi" w:hAnsiTheme="minorHAnsi" w:cstheme="minorHAnsi"/>
          <w:color w:val="auto"/>
          <w:sz w:val="24"/>
          <w:szCs w:val="24"/>
          <w:u w:val="none"/>
        </w:rPr>
        <w:t>Focant</w:t>
      </w:r>
      <w:proofErr w:type="spellEnd"/>
      <w:r w:rsidRPr="00C81D4D">
        <w:rPr>
          <w:rFonts w:asciiTheme="minorHAnsi" w:hAnsiTheme="minorHAnsi" w:cstheme="minorHAnsi"/>
          <w:sz w:val="24"/>
          <w:szCs w:val="24"/>
        </w:rPr>
        <w:fldChar w:fldCharType="end"/>
      </w:r>
      <w:r w:rsidRPr="00C81D4D">
        <w:rPr>
          <w:rFonts w:asciiTheme="minorHAnsi" w:hAnsiTheme="minorHAnsi" w:cstheme="minorHAnsi"/>
          <w:sz w:val="24"/>
          <w:szCs w:val="24"/>
        </w:rPr>
        <w:t xml:space="preserve"> </w:t>
      </w:r>
      <w:r w:rsidRPr="00C81D4D">
        <w:rPr>
          <w:rFonts w:asciiTheme="minorHAnsi" w:hAnsiTheme="minorHAnsi" w:cstheme="minorHAnsi"/>
          <w:sz w:val="24"/>
          <w:szCs w:val="24"/>
          <w:vertAlign w:val="superscript"/>
        </w:rPr>
        <w:t>b</w:t>
      </w:r>
    </w:p>
    <w:p w14:paraId="5680CC77" w14:textId="77777777" w:rsidR="00C81D4D" w:rsidRPr="00C81D4D" w:rsidRDefault="00C81D4D" w:rsidP="00C81D4D">
      <w:pPr>
        <w:pStyle w:val="Corpsdetexte"/>
        <w:spacing w:before="2"/>
        <w:ind w:left="0"/>
        <w:rPr>
          <w:rFonts w:asciiTheme="minorHAnsi" w:hAnsiTheme="minorHAnsi" w:cstheme="minorHAnsi"/>
          <w:sz w:val="18"/>
          <w:szCs w:val="18"/>
          <w:vertAlign w:val="superscript"/>
        </w:rPr>
      </w:pPr>
      <w:bookmarkStart w:id="0" w:name="_bookmark0"/>
      <w:bookmarkEnd w:id="0"/>
    </w:p>
    <w:p w14:paraId="5B061CF2" w14:textId="449A6CAB" w:rsidR="00C81D4D" w:rsidRPr="00C81D4D" w:rsidRDefault="00C81D4D" w:rsidP="00C81D4D">
      <w:pPr>
        <w:pStyle w:val="Corpsdetexte"/>
        <w:spacing w:before="2"/>
        <w:ind w:left="720"/>
        <w:rPr>
          <w:rFonts w:asciiTheme="minorHAnsi" w:hAnsiTheme="minorHAnsi" w:cstheme="minorHAnsi"/>
          <w:i/>
          <w:sz w:val="18"/>
          <w:szCs w:val="18"/>
        </w:rPr>
      </w:pPr>
      <w:r w:rsidRPr="00C81D4D">
        <w:rPr>
          <w:rFonts w:asciiTheme="minorHAnsi" w:hAnsiTheme="minorHAnsi" w:cstheme="minorHAnsi"/>
          <w:sz w:val="18"/>
          <w:szCs w:val="18"/>
          <w:vertAlign w:val="superscript"/>
        </w:rPr>
        <w:t>a</w:t>
      </w:r>
      <w:r w:rsidRPr="00C81D4D">
        <w:rPr>
          <w:rFonts w:asciiTheme="minorHAnsi" w:hAnsiTheme="minorHAnsi" w:cstheme="minorHAnsi"/>
          <w:sz w:val="18"/>
          <w:szCs w:val="18"/>
        </w:rPr>
        <w:t xml:space="preserve"> </w:t>
      </w:r>
      <w:r w:rsidRPr="00C81D4D">
        <w:rPr>
          <w:rFonts w:asciiTheme="minorHAnsi" w:hAnsiTheme="minorHAnsi" w:cstheme="minorHAnsi"/>
          <w:i/>
          <w:sz w:val="18"/>
          <w:szCs w:val="18"/>
        </w:rPr>
        <w:t>University of Ferrara, Department of Chemical, Pharmaceutical, and Agricultural Sciences, via L. Borsari 46,</w:t>
      </w:r>
      <w:r w:rsidR="00320786" w:rsidRPr="00E076BF">
        <w:rPr>
          <w:rFonts w:asciiTheme="minorHAnsi" w:hAnsiTheme="minorHAnsi" w:cstheme="minorHAnsi"/>
          <w:i/>
          <w:sz w:val="18"/>
          <w:szCs w:val="18"/>
        </w:rPr>
        <w:t xml:space="preserve"> </w:t>
      </w:r>
      <w:r w:rsidRPr="00C81D4D">
        <w:rPr>
          <w:rFonts w:asciiTheme="minorHAnsi" w:hAnsiTheme="minorHAnsi" w:cstheme="minorHAnsi"/>
          <w:i/>
          <w:sz w:val="18"/>
          <w:szCs w:val="18"/>
        </w:rPr>
        <w:t>Ferrara, Italy</w:t>
      </w:r>
    </w:p>
    <w:p w14:paraId="1491693A" w14:textId="0E34D19E" w:rsidR="00C81D4D" w:rsidRPr="00C81D4D" w:rsidRDefault="00C81D4D" w:rsidP="00C81D4D">
      <w:pPr>
        <w:pStyle w:val="Corpsdetexte"/>
        <w:spacing w:before="2"/>
        <w:ind w:left="0" w:firstLine="720"/>
        <w:rPr>
          <w:rFonts w:asciiTheme="minorHAnsi" w:hAnsiTheme="minorHAnsi" w:cstheme="minorHAnsi"/>
          <w:i/>
          <w:sz w:val="18"/>
          <w:szCs w:val="18"/>
        </w:rPr>
      </w:pPr>
      <w:bookmarkStart w:id="1" w:name="_bookmark1"/>
      <w:bookmarkEnd w:id="1"/>
      <w:r w:rsidRPr="00C81D4D">
        <w:rPr>
          <w:rFonts w:asciiTheme="minorHAnsi" w:hAnsiTheme="minorHAnsi" w:cstheme="minorHAnsi"/>
          <w:i/>
          <w:sz w:val="18"/>
          <w:szCs w:val="18"/>
          <w:vertAlign w:val="superscript"/>
        </w:rPr>
        <w:t>b</w:t>
      </w:r>
      <w:r w:rsidRPr="00C81D4D">
        <w:rPr>
          <w:rFonts w:asciiTheme="minorHAnsi" w:hAnsiTheme="minorHAnsi" w:cstheme="minorHAnsi"/>
          <w:i/>
          <w:sz w:val="18"/>
          <w:szCs w:val="18"/>
        </w:rPr>
        <w:t xml:space="preserve"> Organic and Biological Analytical Chemistry Group, </w:t>
      </w:r>
      <w:proofErr w:type="spellStart"/>
      <w:r w:rsidRPr="00C81D4D">
        <w:rPr>
          <w:rFonts w:asciiTheme="minorHAnsi" w:hAnsiTheme="minorHAnsi" w:cstheme="minorHAnsi"/>
          <w:i/>
          <w:sz w:val="18"/>
          <w:szCs w:val="18"/>
        </w:rPr>
        <w:t>MolSys</w:t>
      </w:r>
      <w:proofErr w:type="spellEnd"/>
      <w:r w:rsidRPr="00C81D4D">
        <w:rPr>
          <w:rFonts w:asciiTheme="minorHAnsi" w:hAnsiTheme="minorHAnsi" w:cstheme="minorHAnsi"/>
          <w:i/>
          <w:sz w:val="18"/>
          <w:szCs w:val="18"/>
        </w:rPr>
        <w:t xml:space="preserve"> Research Unit, University of Li</w:t>
      </w:r>
      <w:r w:rsidR="00E076BF" w:rsidRPr="00E076BF">
        <w:rPr>
          <w:rFonts w:asciiTheme="minorHAnsi" w:hAnsiTheme="minorHAnsi" w:cstheme="minorHAnsi"/>
          <w:i/>
          <w:sz w:val="18"/>
          <w:szCs w:val="18"/>
        </w:rPr>
        <w:t>è</w:t>
      </w:r>
      <w:r w:rsidRPr="00C81D4D">
        <w:rPr>
          <w:rFonts w:asciiTheme="minorHAnsi" w:hAnsiTheme="minorHAnsi" w:cstheme="minorHAnsi"/>
          <w:i/>
          <w:sz w:val="18"/>
          <w:szCs w:val="18"/>
        </w:rPr>
        <w:t>ge, L</w:t>
      </w:r>
      <w:r w:rsidR="00E076BF" w:rsidRPr="00E076BF">
        <w:rPr>
          <w:rFonts w:asciiTheme="minorHAnsi" w:hAnsiTheme="minorHAnsi" w:cstheme="minorHAnsi"/>
          <w:i/>
          <w:sz w:val="18"/>
          <w:szCs w:val="18"/>
        </w:rPr>
        <w:t>iè</w:t>
      </w:r>
      <w:r w:rsidRPr="00C81D4D">
        <w:rPr>
          <w:rFonts w:asciiTheme="minorHAnsi" w:hAnsiTheme="minorHAnsi" w:cstheme="minorHAnsi"/>
          <w:i/>
          <w:sz w:val="18"/>
          <w:szCs w:val="18"/>
        </w:rPr>
        <w:t>ge, Belgium</w:t>
      </w:r>
    </w:p>
    <w:p w14:paraId="297E8C78" w14:textId="77777777" w:rsidR="00C81D4D" w:rsidRPr="00C81D4D" w:rsidRDefault="00C81D4D" w:rsidP="00C81D4D">
      <w:pPr>
        <w:pStyle w:val="Corpsdetexte"/>
        <w:spacing w:before="2"/>
        <w:ind w:left="720"/>
        <w:rPr>
          <w:rFonts w:asciiTheme="minorHAnsi" w:hAnsiTheme="minorHAnsi" w:cstheme="minorHAnsi"/>
          <w:i/>
          <w:sz w:val="18"/>
          <w:szCs w:val="18"/>
        </w:rPr>
      </w:pPr>
      <w:bookmarkStart w:id="2" w:name="_bookmark2"/>
      <w:bookmarkEnd w:id="2"/>
      <w:r w:rsidRPr="00C81D4D">
        <w:rPr>
          <w:rFonts w:asciiTheme="minorHAnsi" w:hAnsiTheme="minorHAnsi" w:cstheme="minorHAnsi"/>
          <w:i/>
          <w:sz w:val="18"/>
          <w:szCs w:val="18"/>
          <w:vertAlign w:val="superscript"/>
        </w:rPr>
        <w:t>c</w:t>
      </w:r>
      <w:r w:rsidRPr="00C81D4D">
        <w:rPr>
          <w:rFonts w:asciiTheme="minorHAnsi" w:hAnsiTheme="minorHAnsi" w:cstheme="minorHAnsi"/>
          <w:i/>
          <w:sz w:val="18"/>
          <w:szCs w:val="18"/>
        </w:rPr>
        <w:t xml:space="preserve"> TotalEnergies One Tech, R&amp;D, Downstream Processes &amp; Polymers, Total Research and Technologies, </w:t>
      </w:r>
      <w:proofErr w:type="spellStart"/>
      <w:r w:rsidRPr="00C81D4D">
        <w:rPr>
          <w:rFonts w:asciiTheme="minorHAnsi" w:hAnsiTheme="minorHAnsi" w:cstheme="minorHAnsi"/>
          <w:i/>
          <w:sz w:val="18"/>
          <w:szCs w:val="18"/>
        </w:rPr>
        <w:t>Gonfreville</w:t>
      </w:r>
      <w:proofErr w:type="spellEnd"/>
      <w:r w:rsidRPr="00C81D4D">
        <w:rPr>
          <w:rFonts w:asciiTheme="minorHAnsi" w:hAnsiTheme="minorHAnsi" w:cstheme="minorHAnsi"/>
          <w:i/>
          <w:sz w:val="18"/>
          <w:szCs w:val="18"/>
        </w:rPr>
        <w:t>, France</w:t>
      </w:r>
    </w:p>
    <w:p w14:paraId="76DFAC7C" w14:textId="77777777" w:rsidR="00C81D4D" w:rsidRPr="00C81D4D" w:rsidRDefault="00C81D4D" w:rsidP="00C81D4D">
      <w:pPr>
        <w:pStyle w:val="Corpsdetexte"/>
        <w:spacing w:before="2"/>
        <w:ind w:left="0" w:firstLine="720"/>
        <w:rPr>
          <w:rFonts w:asciiTheme="minorHAnsi" w:hAnsiTheme="minorHAnsi" w:cstheme="minorHAnsi"/>
          <w:i/>
          <w:sz w:val="18"/>
          <w:szCs w:val="18"/>
        </w:rPr>
      </w:pPr>
      <w:bookmarkStart w:id="3" w:name="_bookmark3"/>
      <w:bookmarkEnd w:id="3"/>
      <w:r w:rsidRPr="00C81D4D">
        <w:rPr>
          <w:rFonts w:asciiTheme="minorHAnsi" w:hAnsiTheme="minorHAnsi" w:cstheme="minorHAnsi"/>
          <w:i/>
          <w:sz w:val="18"/>
          <w:szCs w:val="18"/>
          <w:vertAlign w:val="superscript"/>
        </w:rPr>
        <w:t>d</w:t>
      </w:r>
      <w:r w:rsidRPr="00C81D4D">
        <w:rPr>
          <w:rFonts w:asciiTheme="minorHAnsi" w:hAnsiTheme="minorHAnsi" w:cstheme="minorHAnsi"/>
          <w:i/>
          <w:sz w:val="18"/>
          <w:szCs w:val="18"/>
        </w:rPr>
        <w:t xml:space="preserve"> International Joint Laboratory - iC2MC: Complex Matrices Molecular Characterization, TRTG, Harfleur, France</w:t>
      </w:r>
    </w:p>
    <w:p w14:paraId="7DE90987" w14:textId="0E1B9A27" w:rsidR="00C81D4D" w:rsidRPr="00C81D4D" w:rsidRDefault="00C81D4D" w:rsidP="00C81D4D">
      <w:pPr>
        <w:pStyle w:val="Corpsdetexte"/>
        <w:spacing w:before="2"/>
        <w:ind w:left="0" w:firstLine="720"/>
        <w:rPr>
          <w:rFonts w:asciiTheme="minorHAnsi" w:hAnsiTheme="minorHAnsi" w:cstheme="minorHAnsi"/>
          <w:i/>
          <w:sz w:val="18"/>
          <w:szCs w:val="18"/>
        </w:rPr>
      </w:pPr>
      <w:bookmarkStart w:id="4" w:name="_bookmark4"/>
      <w:bookmarkEnd w:id="4"/>
      <w:r w:rsidRPr="00C81D4D">
        <w:rPr>
          <w:rFonts w:asciiTheme="minorHAnsi" w:hAnsiTheme="minorHAnsi" w:cstheme="minorHAnsi"/>
          <w:i/>
          <w:sz w:val="18"/>
          <w:szCs w:val="18"/>
          <w:vertAlign w:val="superscript"/>
        </w:rPr>
        <w:t>e</w:t>
      </w:r>
      <w:r w:rsidRPr="00C81D4D">
        <w:rPr>
          <w:rFonts w:asciiTheme="minorHAnsi" w:hAnsiTheme="minorHAnsi" w:cstheme="minorHAnsi"/>
          <w:i/>
          <w:sz w:val="18"/>
          <w:szCs w:val="18"/>
        </w:rPr>
        <w:t xml:space="preserve"> Analytical Chemistry Lab, Gembloux </w:t>
      </w:r>
      <w:proofErr w:type="spellStart"/>
      <w:r w:rsidRPr="00C81D4D">
        <w:rPr>
          <w:rFonts w:asciiTheme="minorHAnsi" w:hAnsiTheme="minorHAnsi" w:cstheme="minorHAnsi"/>
          <w:i/>
          <w:sz w:val="18"/>
          <w:szCs w:val="18"/>
        </w:rPr>
        <w:t>Agro</w:t>
      </w:r>
      <w:proofErr w:type="spellEnd"/>
      <w:r w:rsidRPr="00C81D4D">
        <w:rPr>
          <w:rFonts w:asciiTheme="minorHAnsi" w:hAnsiTheme="minorHAnsi" w:cstheme="minorHAnsi"/>
          <w:i/>
          <w:sz w:val="18"/>
          <w:szCs w:val="18"/>
        </w:rPr>
        <w:t>-Bio Tech, University of L</w:t>
      </w:r>
      <w:r w:rsidR="00E076BF" w:rsidRPr="00E076BF">
        <w:rPr>
          <w:rFonts w:asciiTheme="minorHAnsi" w:hAnsiTheme="minorHAnsi" w:cstheme="minorHAnsi"/>
          <w:i/>
          <w:sz w:val="18"/>
          <w:szCs w:val="18"/>
        </w:rPr>
        <w:t>iè</w:t>
      </w:r>
      <w:r w:rsidRPr="00C81D4D">
        <w:rPr>
          <w:rFonts w:asciiTheme="minorHAnsi" w:hAnsiTheme="minorHAnsi" w:cstheme="minorHAnsi"/>
          <w:i/>
          <w:sz w:val="18"/>
          <w:szCs w:val="18"/>
        </w:rPr>
        <w:t>ge, Gembloux, 5030, Belgium</w:t>
      </w:r>
    </w:p>
    <w:p w14:paraId="701F833D" w14:textId="77777777" w:rsidR="00C81D4D" w:rsidRPr="00C81D4D" w:rsidRDefault="00C81D4D" w:rsidP="00C81D4D">
      <w:pPr>
        <w:pStyle w:val="Corpsdetexte"/>
        <w:spacing w:before="2"/>
        <w:ind w:left="0" w:firstLine="720"/>
        <w:rPr>
          <w:rFonts w:asciiTheme="minorHAnsi" w:hAnsiTheme="minorHAnsi" w:cstheme="minorHAnsi"/>
          <w:i/>
          <w:sz w:val="18"/>
          <w:szCs w:val="18"/>
        </w:rPr>
      </w:pPr>
      <w:bookmarkStart w:id="5" w:name="_bookmark5"/>
      <w:bookmarkEnd w:id="5"/>
      <w:r w:rsidRPr="00C81D4D">
        <w:rPr>
          <w:rFonts w:asciiTheme="minorHAnsi" w:hAnsiTheme="minorHAnsi" w:cstheme="minorHAnsi"/>
          <w:i/>
          <w:sz w:val="18"/>
          <w:szCs w:val="18"/>
          <w:vertAlign w:val="superscript"/>
        </w:rPr>
        <w:t>f</w:t>
      </w:r>
      <w:r w:rsidRPr="00C81D4D">
        <w:rPr>
          <w:rFonts w:asciiTheme="minorHAnsi" w:hAnsiTheme="minorHAnsi" w:cstheme="minorHAnsi"/>
          <w:i/>
          <w:sz w:val="18"/>
          <w:szCs w:val="18"/>
        </w:rPr>
        <w:t xml:space="preserve"> TotalEnergies One Tech, R&amp;D, Fuels &amp; Lubricants, </w:t>
      </w:r>
      <w:proofErr w:type="spellStart"/>
      <w:r w:rsidRPr="00C81D4D">
        <w:rPr>
          <w:rFonts w:asciiTheme="minorHAnsi" w:hAnsiTheme="minorHAnsi" w:cstheme="minorHAnsi"/>
          <w:i/>
          <w:sz w:val="18"/>
          <w:szCs w:val="18"/>
        </w:rPr>
        <w:t>Solaize</w:t>
      </w:r>
      <w:proofErr w:type="spellEnd"/>
      <w:r w:rsidRPr="00C81D4D">
        <w:rPr>
          <w:rFonts w:asciiTheme="minorHAnsi" w:hAnsiTheme="minorHAnsi" w:cstheme="minorHAnsi"/>
          <w:i/>
          <w:sz w:val="18"/>
          <w:szCs w:val="18"/>
        </w:rPr>
        <w:t xml:space="preserve"> Research Center, </w:t>
      </w:r>
      <w:proofErr w:type="spellStart"/>
      <w:r w:rsidRPr="00C81D4D">
        <w:rPr>
          <w:rFonts w:asciiTheme="minorHAnsi" w:hAnsiTheme="minorHAnsi" w:cstheme="minorHAnsi"/>
          <w:i/>
          <w:sz w:val="18"/>
          <w:szCs w:val="18"/>
        </w:rPr>
        <w:t>Solaize</w:t>
      </w:r>
      <w:proofErr w:type="spellEnd"/>
      <w:r w:rsidRPr="00C81D4D">
        <w:rPr>
          <w:rFonts w:asciiTheme="minorHAnsi" w:hAnsiTheme="minorHAnsi" w:cstheme="minorHAnsi"/>
          <w:i/>
          <w:sz w:val="18"/>
          <w:szCs w:val="18"/>
        </w:rPr>
        <w:t>, France</w:t>
      </w:r>
    </w:p>
    <w:p w14:paraId="636CBE03" w14:textId="77777777" w:rsidR="00371939" w:rsidRDefault="00371939" w:rsidP="00371939">
      <w:pPr>
        <w:pStyle w:val="Corpsdetexte"/>
        <w:spacing w:before="2"/>
        <w:ind w:left="0"/>
        <w:rPr>
          <w:rFonts w:asciiTheme="minorHAnsi" w:hAnsiTheme="minorHAnsi" w:cstheme="minorHAnsi"/>
          <w:sz w:val="22"/>
          <w:szCs w:val="22"/>
        </w:rPr>
      </w:pPr>
    </w:p>
    <w:p w14:paraId="1071259D" w14:textId="77777777" w:rsidR="00C81D4D" w:rsidRPr="00763248" w:rsidRDefault="00C81D4D" w:rsidP="00371939">
      <w:pPr>
        <w:pStyle w:val="Corpsdetexte"/>
        <w:spacing w:before="2"/>
        <w:ind w:left="0"/>
        <w:rPr>
          <w:rFonts w:asciiTheme="minorHAnsi" w:hAnsiTheme="minorHAnsi" w:cstheme="minorHAnsi"/>
          <w:sz w:val="22"/>
          <w:szCs w:val="22"/>
        </w:rPr>
      </w:pPr>
    </w:p>
    <w:p w14:paraId="5DC2546D" w14:textId="77777777" w:rsidR="00371939" w:rsidRPr="00763248" w:rsidRDefault="00371939" w:rsidP="00371939">
      <w:pPr>
        <w:pStyle w:val="Corpsdetexte"/>
        <w:spacing w:line="20" w:lineRule="exact"/>
        <w:ind w:left="44" w:right="-576"/>
        <w:rPr>
          <w:rFonts w:asciiTheme="minorHAnsi" w:hAnsiTheme="minorHAnsi" w:cstheme="minorHAnsi"/>
          <w:sz w:val="22"/>
          <w:szCs w:val="22"/>
        </w:rPr>
      </w:pPr>
    </w:p>
    <w:p w14:paraId="032DC38D" w14:textId="65562E9E" w:rsidR="00371939" w:rsidRPr="001817ED" w:rsidRDefault="00371939" w:rsidP="001817ED">
      <w:pPr>
        <w:spacing w:before="44" w:line="276" w:lineRule="auto"/>
        <w:ind w:right="807"/>
        <w:jc w:val="both"/>
        <w:rPr>
          <w:iCs/>
        </w:rPr>
      </w:pPr>
      <w:r w:rsidRPr="00763248">
        <w:rPr>
          <w:rFonts w:cstheme="minorHAnsi"/>
          <w:b/>
          <w:iCs/>
        </w:rPr>
        <w:t>Keywords</w:t>
      </w:r>
      <w:r w:rsidRPr="004235D5">
        <w:rPr>
          <w:b/>
          <w:iCs/>
        </w:rPr>
        <w:t>:</w:t>
      </w:r>
      <w:r w:rsidRPr="004235D5">
        <w:rPr>
          <w:iCs/>
        </w:rPr>
        <w:t xml:space="preserve"> </w:t>
      </w:r>
      <w:r w:rsidR="001817ED" w:rsidRPr="001817ED">
        <w:rPr>
          <w:iCs/>
        </w:rPr>
        <w:t>Plastic pyrolysis oil</w:t>
      </w:r>
      <w:r w:rsidR="001817ED">
        <w:rPr>
          <w:iCs/>
        </w:rPr>
        <w:t xml:space="preserve"> </w:t>
      </w:r>
      <w:r w:rsidR="001817ED" w:rsidRPr="001817ED">
        <w:rPr>
          <w:iCs/>
        </w:rPr>
        <w:t>Central composite design (CCD) PTV optimization</w:t>
      </w:r>
      <w:r w:rsidR="001817ED">
        <w:rPr>
          <w:iCs/>
        </w:rPr>
        <w:t xml:space="preserve"> </w:t>
      </w:r>
      <w:r w:rsidR="001817ED" w:rsidRPr="001817ED">
        <w:rPr>
          <w:iCs/>
        </w:rPr>
        <w:t>Comprehensive 2D-GC (GC×GC)-TOFMS</w:t>
      </w:r>
      <w:r w:rsidR="001817ED">
        <w:rPr>
          <w:iCs/>
        </w:rPr>
        <w:t xml:space="preserve"> </w:t>
      </w:r>
      <w:r w:rsidR="001817ED" w:rsidRPr="001817ED">
        <w:rPr>
          <w:iCs/>
        </w:rPr>
        <w:t>Photoionization interface (PI) GC soft Ionization HRMS</w:t>
      </w:r>
    </w:p>
    <w:p w14:paraId="52C9E157" w14:textId="77777777" w:rsidR="00FA32E5" w:rsidRDefault="00FA32E5" w:rsidP="00C81D4D">
      <w:pPr>
        <w:spacing w:before="44" w:line="276" w:lineRule="auto"/>
        <w:ind w:right="807"/>
        <w:jc w:val="both"/>
        <w:rPr>
          <w:rFonts w:cstheme="minorHAnsi"/>
          <w:spacing w:val="-5"/>
        </w:rPr>
      </w:pPr>
    </w:p>
    <w:p w14:paraId="0A85663B" w14:textId="14030EEC" w:rsidR="00FA32E5" w:rsidRPr="00371939" w:rsidRDefault="00F440B0" w:rsidP="00C81D4D">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631EA2C4" w14:textId="2619CE33" w:rsidR="00F447B3" w:rsidRDefault="00591551" w:rsidP="00D03755">
      <w:pPr>
        <w:widowControl/>
        <w:autoSpaceDE/>
        <w:autoSpaceDN/>
        <w:spacing w:after="120" w:line="276" w:lineRule="auto"/>
        <w:jc w:val="both"/>
        <w:rPr>
          <w:rFonts w:eastAsia="Calibri" w:cstheme="minorHAnsi"/>
          <w:bCs/>
          <w:lang w:val="en-GB"/>
        </w:rPr>
      </w:pPr>
      <w:r>
        <w:rPr>
          <w:rFonts w:eastAsia="Calibri" w:cstheme="minorHAnsi"/>
          <w:bCs/>
          <w:lang w:val="en-GB"/>
        </w:rPr>
        <w:t xml:space="preserve">    </w:t>
      </w:r>
      <w:r w:rsidR="00D03755">
        <w:rPr>
          <w:rFonts w:eastAsia="Calibri" w:cstheme="minorHAnsi"/>
          <w:bCs/>
          <w:lang w:val="en-GB"/>
        </w:rPr>
        <w:tab/>
      </w:r>
      <w:r w:rsidR="00D03755" w:rsidRPr="00D03755">
        <w:rPr>
          <w:rFonts w:eastAsia="Calibri" w:cstheme="minorHAnsi"/>
          <w:bCs/>
          <w:lang w:val="en-GB"/>
        </w:rPr>
        <w:t xml:space="preserve">According to the annual production of plastics worldwide, in 2020 about 370 million tons of plastic were pro- </w:t>
      </w:r>
      <w:proofErr w:type="spellStart"/>
      <w:r w:rsidR="00D03755" w:rsidRPr="00D03755">
        <w:rPr>
          <w:rFonts w:eastAsia="Calibri" w:cstheme="minorHAnsi"/>
          <w:bCs/>
          <w:lang w:val="en-GB"/>
        </w:rPr>
        <w:t>duced</w:t>
      </w:r>
      <w:proofErr w:type="spellEnd"/>
      <w:r w:rsidR="00D03755" w:rsidRPr="00D03755">
        <w:rPr>
          <w:rFonts w:eastAsia="Calibri" w:cstheme="minorHAnsi"/>
          <w:bCs/>
          <w:lang w:val="en-GB"/>
        </w:rPr>
        <w:t xml:space="preserve"> in the world. Chemical recycling, particularly pyrolysis of plastic wastes, could be a valuable solution to resolve these problems and provide an alternative pathway to produce “recycled” chemical products for the petrochemical industry. Nevertheless, the pyrolysis oils need a detailed characterization before the upgrading test to re-use them to generate new recycled products. Multidimensional gas chromatography coupled with both low- and high-resolution time-of-flight mass spectrometers was employed for a detailed investigation among and within different chemical classes present in bio-plastic oil. The presence of several isomeric species as well as</w:t>
      </w:r>
      <w:r w:rsidR="00DF4871">
        <w:rPr>
          <w:rFonts w:eastAsia="Calibri" w:cstheme="minorHAnsi"/>
          <w:bCs/>
          <w:lang w:val="en-GB"/>
        </w:rPr>
        <w:t xml:space="preserve"> </w:t>
      </w:r>
      <w:r w:rsidR="00D03755" w:rsidRPr="00D03755">
        <w:rPr>
          <w:rFonts w:eastAsia="Calibri" w:cstheme="minorHAnsi"/>
          <w:bCs/>
          <w:lang w:val="en-GB"/>
        </w:rPr>
        <w:t>homologs series did not allow a reliable molecular identification, except for a few compounds that showed both MS similarity &gt;800/1000 and retention index within ±20. Indeed, the identification of several isomeric species</w:t>
      </w:r>
      <w:r w:rsidR="00353ACE">
        <w:rPr>
          <w:rFonts w:eastAsia="Calibri" w:cstheme="minorHAnsi"/>
          <w:bCs/>
          <w:lang w:val="en-GB"/>
        </w:rPr>
        <w:t xml:space="preserve"> </w:t>
      </w:r>
      <w:r w:rsidR="00D03755" w:rsidRPr="00D03755">
        <w:rPr>
          <w:rFonts w:eastAsia="Calibri" w:cstheme="minorHAnsi"/>
          <w:bCs/>
          <w:lang w:val="en-GB"/>
        </w:rPr>
        <w:t xml:space="preserve"> was assessed by </w:t>
      </w:r>
      <w:r w:rsidR="00353ACE">
        <w:rPr>
          <w:rFonts w:eastAsia="Calibri" w:cstheme="minorHAnsi"/>
          <w:bCs/>
          <w:lang w:val="en-GB"/>
        </w:rPr>
        <w:t xml:space="preserve"> </w:t>
      </w:r>
      <w:r w:rsidR="00D03755" w:rsidRPr="00D03755">
        <w:rPr>
          <w:rFonts w:eastAsia="Calibri" w:cstheme="minorHAnsi"/>
          <w:bCs/>
          <w:lang w:val="en-GB"/>
        </w:rPr>
        <w:t xml:space="preserve">high-resolution </w:t>
      </w:r>
      <w:r w:rsidR="00353ACE">
        <w:rPr>
          <w:rFonts w:eastAsia="Calibri" w:cstheme="minorHAnsi"/>
          <w:bCs/>
          <w:lang w:val="en-GB"/>
        </w:rPr>
        <w:t xml:space="preserve"> </w:t>
      </w:r>
      <w:r w:rsidR="00D03755" w:rsidRPr="00D03755">
        <w:rPr>
          <w:rFonts w:eastAsia="Calibri" w:cstheme="minorHAnsi"/>
          <w:bCs/>
          <w:lang w:val="en-GB"/>
        </w:rPr>
        <w:t>mass</w:t>
      </w:r>
      <w:r w:rsidR="00353ACE">
        <w:rPr>
          <w:rFonts w:eastAsia="Calibri" w:cstheme="minorHAnsi"/>
          <w:bCs/>
          <w:lang w:val="en-GB"/>
        </w:rPr>
        <w:t xml:space="preserve"> </w:t>
      </w:r>
      <w:r w:rsidR="00D03755" w:rsidRPr="00D03755">
        <w:rPr>
          <w:rFonts w:eastAsia="Calibri" w:cstheme="minorHAnsi"/>
          <w:bCs/>
          <w:lang w:val="en-GB"/>
        </w:rPr>
        <w:t xml:space="preserve"> spectrometry equipped </w:t>
      </w:r>
      <w:r w:rsidR="00353ACE">
        <w:rPr>
          <w:rFonts w:eastAsia="Calibri" w:cstheme="minorHAnsi"/>
          <w:bCs/>
          <w:lang w:val="en-GB"/>
        </w:rPr>
        <w:t xml:space="preserve"> </w:t>
      </w:r>
      <w:r w:rsidR="00D03755" w:rsidRPr="00D03755">
        <w:rPr>
          <w:rFonts w:eastAsia="Calibri" w:cstheme="minorHAnsi"/>
          <w:bCs/>
          <w:lang w:val="en-GB"/>
        </w:rPr>
        <w:t xml:space="preserve">with </w:t>
      </w:r>
      <w:r w:rsidR="008A20A3">
        <w:rPr>
          <w:rFonts w:eastAsia="Calibri" w:cstheme="minorHAnsi"/>
          <w:bCs/>
          <w:lang w:val="en-GB"/>
        </w:rPr>
        <w:t>photo-</w:t>
      </w:r>
    </w:p>
    <w:p w14:paraId="7A87FF02" w14:textId="7D793BAB" w:rsidR="00F8268B" w:rsidRDefault="00F8268B" w:rsidP="00F8268B">
      <w:pPr>
        <w:widowControl/>
        <w:autoSpaceDE/>
        <w:autoSpaceDN/>
        <w:spacing w:line="276" w:lineRule="auto"/>
        <w:jc w:val="both"/>
        <w:rPr>
          <w:rFonts w:eastAsia="Calibri" w:cstheme="minorHAnsi"/>
          <w:bCs/>
          <w:sz w:val="20"/>
          <w:szCs w:val="20"/>
          <w:lang w:val="en-GB"/>
        </w:rPr>
      </w:pPr>
      <w:r>
        <w:rPr>
          <w:rFonts w:eastAsia="Calibri" w:cstheme="minorHAnsi"/>
          <w:bCs/>
          <w:noProof/>
          <w:sz w:val="20"/>
          <w:szCs w:val="20"/>
          <w:lang w:val="en-GB"/>
        </w:rPr>
        <mc:AlternateContent>
          <mc:Choice Requires="wps">
            <w:drawing>
              <wp:anchor distT="0" distB="0" distL="114300" distR="114300" simplePos="0" relativeHeight="251659264" behindDoc="0" locked="0" layoutInCell="1" allowOverlap="1" wp14:anchorId="2EF316E4" wp14:editId="06D6DC80">
                <wp:simplePos x="0" y="0"/>
                <wp:positionH relativeFrom="column">
                  <wp:posOffset>-1933</wp:posOffset>
                </wp:positionH>
                <wp:positionV relativeFrom="paragraph">
                  <wp:posOffset>122472</wp:posOffset>
                </wp:positionV>
                <wp:extent cx="1136623" cy="0"/>
                <wp:effectExtent l="0" t="0" r="0" b="0"/>
                <wp:wrapNone/>
                <wp:docPr id="589126024" name="Connecteur droit 2"/>
                <wp:cNvGraphicFramePr/>
                <a:graphic xmlns:a="http://schemas.openxmlformats.org/drawingml/2006/main">
                  <a:graphicData uri="http://schemas.microsoft.com/office/word/2010/wordprocessingShape">
                    <wps:wsp>
                      <wps:cNvCnPr/>
                      <wps:spPr>
                        <a:xfrm flipV="1">
                          <a:off x="0" y="0"/>
                          <a:ext cx="11366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27879" id="Connecteur droit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65pt" to="8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" strokecolor="black [3040]"/>
            </w:pict>
          </mc:Fallback>
        </mc:AlternateContent>
      </w:r>
    </w:p>
    <w:p w14:paraId="0F34043E" w14:textId="4E4EF5FF" w:rsidR="00F447B3" w:rsidRPr="00F447B3" w:rsidRDefault="00F447B3" w:rsidP="00F8268B">
      <w:pPr>
        <w:widowControl/>
        <w:autoSpaceDE/>
        <w:autoSpaceDN/>
        <w:spacing w:line="276" w:lineRule="auto"/>
        <w:jc w:val="both"/>
        <w:rPr>
          <w:rFonts w:eastAsia="Calibri" w:cstheme="minorHAnsi"/>
          <w:bCs/>
          <w:sz w:val="20"/>
          <w:szCs w:val="20"/>
          <w:lang w:val="en-GB"/>
        </w:rPr>
      </w:pPr>
      <w:r w:rsidRPr="00F447B3">
        <w:rPr>
          <w:rFonts w:eastAsia="Calibri" w:cstheme="minorHAnsi"/>
          <w:bCs/>
          <w:sz w:val="20"/>
          <w:szCs w:val="20"/>
          <w:lang w:val="en-GB"/>
        </w:rPr>
        <w:t>* Corresponding author. University of Ferrara, Department of Chemical, Pharmaceutical, and Agricultural Sciences, via L. Borsari 46, Ferrara, Italy.</w:t>
      </w:r>
    </w:p>
    <w:p w14:paraId="59936569" w14:textId="77777777" w:rsidR="00F447B3" w:rsidRPr="00F447B3" w:rsidRDefault="00F447B3" w:rsidP="00F8268B">
      <w:pPr>
        <w:widowControl/>
        <w:autoSpaceDE/>
        <w:autoSpaceDN/>
        <w:spacing w:line="276" w:lineRule="auto"/>
        <w:jc w:val="both"/>
        <w:rPr>
          <w:rFonts w:eastAsia="Calibri" w:cstheme="minorHAnsi"/>
          <w:bCs/>
          <w:sz w:val="20"/>
          <w:szCs w:val="20"/>
          <w:lang w:val="en-GB"/>
        </w:rPr>
      </w:pPr>
      <w:r w:rsidRPr="00F447B3">
        <w:rPr>
          <w:rFonts w:eastAsia="Calibri" w:cstheme="minorHAnsi"/>
          <w:bCs/>
          <w:sz w:val="20"/>
          <w:szCs w:val="20"/>
          <w:lang w:val="en-GB"/>
        </w:rPr>
        <w:t>** Corresponding author.</w:t>
      </w:r>
    </w:p>
    <w:p w14:paraId="173CC8F7" w14:textId="77777777" w:rsidR="005C6046" w:rsidRDefault="00F447B3" w:rsidP="005C6046">
      <w:pPr>
        <w:widowControl/>
        <w:autoSpaceDE/>
        <w:autoSpaceDN/>
        <w:spacing w:line="276" w:lineRule="auto"/>
        <w:jc w:val="both"/>
        <w:rPr>
          <w:rFonts w:eastAsia="Calibri" w:cstheme="minorHAnsi"/>
          <w:bCs/>
          <w:sz w:val="20"/>
          <w:szCs w:val="20"/>
          <w:lang w:val="en-GB"/>
        </w:rPr>
      </w:pPr>
      <w:r w:rsidRPr="00F447B3">
        <w:rPr>
          <w:rFonts w:eastAsia="Calibri" w:cstheme="minorHAnsi"/>
          <w:bCs/>
          <w:sz w:val="20"/>
          <w:szCs w:val="20"/>
          <w:lang w:val="en-GB"/>
        </w:rPr>
        <w:t xml:space="preserve">E-mail addresses: </w:t>
      </w:r>
      <w:r w:rsidRPr="00F447B3">
        <w:rPr>
          <w:rFonts w:eastAsia="Calibri" w:cstheme="minorHAnsi"/>
          <w:bCs/>
          <w:color w:val="4F81BD" w:themeColor="accent1"/>
          <w:sz w:val="20"/>
          <w:szCs w:val="20"/>
          <w:lang w:val="en-GB"/>
        </w:rPr>
        <w:t xml:space="preserve">marco.beccaria@unife.it </w:t>
      </w:r>
      <w:r w:rsidRPr="00F447B3">
        <w:rPr>
          <w:rFonts w:eastAsia="Calibri" w:cstheme="minorHAnsi"/>
          <w:bCs/>
          <w:sz w:val="20"/>
          <w:szCs w:val="20"/>
          <w:lang w:val="en-GB"/>
        </w:rPr>
        <w:t xml:space="preserve">(M. Beccaria), </w:t>
      </w:r>
      <w:r w:rsidRPr="00F447B3">
        <w:rPr>
          <w:rFonts w:eastAsia="Calibri" w:cstheme="minorHAnsi"/>
          <w:bCs/>
          <w:color w:val="4F81BD" w:themeColor="accent1"/>
          <w:sz w:val="20"/>
          <w:szCs w:val="20"/>
          <w:lang w:val="en-GB"/>
        </w:rPr>
        <w:t xml:space="preserve">yun.zou.titech@gmail.com </w:t>
      </w:r>
      <w:r w:rsidRPr="00F447B3">
        <w:rPr>
          <w:rFonts w:eastAsia="Calibri" w:cstheme="minorHAnsi"/>
          <w:bCs/>
          <w:sz w:val="20"/>
          <w:szCs w:val="20"/>
          <w:lang w:val="en-GB"/>
        </w:rPr>
        <w:t>(Y. Zou).</w:t>
      </w:r>
    </w:p>
    <w:p w14:paraId="120D7E88" w14:textId="414A269A" w:rsidR="00371939" w:rsidRPr="005C6046" w:rsidRDefault="00E03882" w:rsidP="005C6046">
      <w:pPr>
        <w:widowControl/>
        <w:autoSpaceDE/>
        <w:autoSpaceDN/>
        <w:spacing w:line="276" w:lineRule="auto"/>
        <w:jc w:val="both"/>
        <w:rPr>
          <w:rFonts w:eastAsia="Calibri" w:cstheme="minorHAnsi"/>
          <w:bCs/>
          <w:sz w:val="20"/>
          <w:szCs w:val="20"/>
          <w:lang w:val="en-GB"/>
        </w:rPr>
      </w:pPr>
      <w:r>
        <w:rPr>
          <w:rFonts w:eastAsia="Calibri" w:cstheme="minorHAnsi"/>
          <w:bCs/>
          <w:lang w:val="en-GB"/>
        </w:rPr>
        <w:lastRenderedPageBreak/>
        <w:t>io</w:t>
      </w:r>
      <w:r w:rsidR="00D03755" w:rsidRPr="00D03755">
        <w:rPr>
          <w:rFonts w:eastAsia="Calibri" w:cstheme="minorHAnsi"/>
          <w:bCs/>
          <w:lang w:val="en-GB"/>
        </w:rPr>
        <w:t>nization interface. This soft ionization</w:t>
      </w:r>
      <w:r w:rsidR="00DF4871">
        <w:rPr>
          <w:rFonts w:eastAsia="Calibri" w:cstheme="minorHAnsi"/>
          <w:bCs/>
          <w:lang w:val="en-GB"/>
        </w:rPr>
        <w:t xml:space="preserve"> </w:t>
      </w:r>
      <w:r w:rsidR="00D03755" w:rsidRPr="00D03755">
        <w:rPr>
          <w:rFonts w:eastAsia="Calibri" w:cstheme="minorHAnsi"/>
          <w:bCs/>
          <w:lang w:val="en-GB"/>
        </w:rPr>
        <w:t>mode was an additional filter in the identification step allowing unambiguous identification of analytes not identified by the standard electron ionization mode at 70 eV. The injection method was also optimized using a central composite design to successfully introduce a wide range of carbon number compounds without discrimination of low/high boiling points</w:t>
      </w:r>
      <w:r w:rsidR="00D03755">
        <w:rPr>
          <w:rFonts w:eastAsia="Calibri" w:cstheme="minorHAnsi"/>
          <w:bCs/>
          <w:lang w:val="en-GB"/>
        </w:rPr>
        <w:t>.</w:t>
      </w:r>
    </w:p>
    <w:p w14:paraId="454CFFB4" w14:textId="726C6BDF" w:rsidR="00D03755" w:rsidRPr="00873D39" w:rsidRDefault="00D03755" w:rsidP="00D03755">
      <w:pPr>
        <w:widowControl/>
        <w:autoSpaceDE/>
        <w:autoSpaceDN/>
        <w:spacing w:after="120" w:line="276" w:lineRule="auto"/>
        <w:jc w:val="both"/>
        <w:rPr>
          <w:rFonts w:eastAsia="Calibri" w:cstheme="minorHAnsi"/>
          <w:bCs/>
          <w:lang w:val="en-GB"/>
        </w:rPr>
        <w:sectPr w:rsidR="00D03755" w:rsidRPr="00873D39" w:rsidSect="000504DE">
          <w:headerReference w:type="default" r:id="rId8"/>
          <w:type w:val="continuous"/>
          <w:pgSz w:w="11910" w:h="15880"/>
          <w:pgMar w:top="1418" w:right="1418" w:bottom="1418" w:left="1418" w:header="720" w:footer="720" w:gutter="0"/>
          <w:cols w:space="720"/>
        </w:sectPr>
      </w:pPr>
    </w:p>
    <w:p w14:paraId="632623D7" w14:textId="77777777" w:rsidR="00FA32E5" w:rsidRDefault="00FA32E5" w:rsidP="00C81D4D">
      <w:pPr>
        <w:jc w:val="both"/>
      </w:pPr>
    </w:p>
    <w:p w14:paraId="733B4914" w14:textId="36A5DB8E" w:rsidR="000504DE" w:rsidRDefault="00FA32E5" w:rsidP="00C81D4D">
      <w:pPr>
        <w:pStyle w:val="Titre1"/>
        <w:jc w:val="both"/>
      </w:pPr>
      <w:r w:rsidRPr="00FA32E5">
        <w:t>Introduction</w:t>
      </w:r>
    </w:p>
    <w:p w14:paraId="51B22216" w14:textId="77777777" w:rsidR="005A1512" w:rsidRDefault="005A1512" w:rsidP="00C81D4D">
      <w:pPr>
        <w:pStyle w:val="Corpsdetexte"/>
        <w:spacing w:line="273" w:lineRule="auto"/>
        <w:rPr>
          <w:rFonts w:asciiTheme="minorHAnsi" w:hAnsiTheme="minorHAnsi" w:cstheme="minorHAnsi"/>
          <w:sz w:val="22"/>
          <w:szCs w:val="22"/>
        </w:rPr>
      </w:pPr>
    </w:p>
    <w:p w14:paraId="09D6121F" w14:textId="2ADDD563" w:rsidR="00353ACE" w:rsidRPr="00353ACE" w:rsidRDefault="00353ACE" w:rsidP="00353ACE">
      <w:pPr>
        <w:pStyle w:val="Corpsdetexte"/>
        <w:spacing w:before="25"/>
        <w:rPr>
          <w:rFonts w:asciiTheme="minorHAnsi" w:hAnsiTheme="minorHAnsi" w:cstheme="minorHAnsi"/>
          <w:sz w:val="22"/>
          <w:szCs w:val="22"/>
        </w:rPr>
      </w:pPr>
      <w:r>
        <w:rPr>
          <w:rFonts w:asciiTheme="minorHAnsi" w:hAnsiTheme="minorHAnsi" w:cstheme="minorHAnsi"/>
          <w:sz w:val="22"/>
          <w:szCs w:val="22"/>
        </w:rPr>
        <w:tab/>
      </w:r>
      <w:r w:rsidRPr="00353ACE">
        <w:rPr>
          <w:rFonts w:asciiTheme="minorHAnsi" w:hAnsiTheme="minorHAnsi" w:cstheme="minorHAnsi"/>
          <w:sz w:val="22"/>
          <w:szCs w:val="22"/>
        </w:rPr>
        <w:t>The ubiquitous pollution of plastics is a threat to humans and the earth. The concentration of the global population and the increasing use of plastics aggravate the current environmental situation [1–3]. Thus, the end-of-life (EOL) management of plastic waste is essential. Singh and coworkers summarized four main approaches for recycling plastic solid waste (PSW) [4]: I) primary recycling (reuse/repair) of the single un- contaminated type of polymers; II) secondary recycling (mechanical recycling) that downgrades the materials; III) tertiary recycling (thermo-chemical recycling) by chemical means, and IV) quaternary recycling which incinerates waste for energy recovery [4,5]. In 2018 in the</w:t>
      </w:r>
      <w:r>
        <w:rPr>
          <w:rFonts w:asciiTheme="minorHAnsi" w:hAnsiTheme="minorHAnsi" w:cstheme="minorHAnsi"/>
          <w:sz w:val="22"/>
          <w:szCs w:val="22"/>
        </w:rPr>
        <w:t xml:space="preserve"> </w:t>
      </w:r>
      <w:r w:rsidRPr="00353ACE">
        <w:rPr>
          <w:rFonts w:asciiTheme="minorHAnsi" w:hAnsiTheme="minorHAnsi" w:cstheme="minorHAnsi"/>
          <w:sz w:val="22"/>
          <w:szCs w:val="22"/>
        </w:rPr>
        <w:t xml:space="preserve">EU, 42.6% of plastic waste was used for energy recovery, 32.5% was recycled, and 2.9% was landfilled [3]. Worldwide up to 2015, 9% of the plastic waste was recycled, 12% was incinerated (energy recovery), and the majority 79% was accumulated in landfills [6]. Although incineration can recover energy, the extended emission of greenhouse gases such as NOx, </w:t>
      </w:r>
      <w:proofErr w:type="spellStart"/>
      <w:r w:rsidRPr="00353ACE">
        <w:rPr>
          <w:rFonts w:asciiTheme="minorHAnsi" w:hAnsiTheme="minorHAnsi" w:cstheme="minorHAnsi"/>
          <w:sz w:val="22"/>
          <w:szCs w:val="22"/>
        </w:rPr>
        <w:t>SOx</w:t>
      </w:r>
      <w:proofErr w:type="spellEnd"/>
      <w:r w:rsidRPr="00353ACE">
        <w:rPr>
          <w:rFonts w:asciiTheme="minorHAnsi" w:hAnsiTheme="minorHAnsi" w:cstheme="minorHAnsi"/>
          <w:sz w:val="22"/>
          <w:szCs w:val="22"/>
        </w:rPr>
        <w:t xml:space="preserve">, and </w:t>
      </w:r>
      <w:proofErr w:type="spellStart"/>
      <w:r w:rsidRPr="00353ACE">
        <w:rPr>
          <w:rFonts w:asciiTheme="minorHAnsi" w:hAnsiTheme="minorHAnsi" w:cstheme="minorHAnsi"/>
          <w:sz w:val="22"/>
          <w:szCs w:val="22"/>
        </w:rPr>
        <w:t>COx</w:t>
      </w:r>
      <w:proofErr w:type="spellEnd"/>
      <w:r w:rsidRPr="00353ACE">
        <w:rPr>
          <w:rFonts w:asciiTheme="minorHAnsi" w:hAnsiTheme="minorHAnsi" w:cstheme="minorHAnsi"/>
          <w:sz w:val="22"/>
          <w:szCs w:val="22"/>
        </w:rPr>
        <w:t xml:space="preserve"> cannot be negligible [7]. Thermo-chemical recycling is a promising process for producing fuels and recovering monomers for plastic production. This concept of the waste refinery is based on the development of environmentally friendly pyrolysis technology [1]. Pyrolysis breaks down the material’s macromolecular structure into small molecules and produces various types of hydrocar- bons [7]. The pyrolysis oil is a mixture of paraffins, olefins, </w:t>
      </w:r>
      <w:proofErr w:type="spellStart"/>
      <w:r w:rsidRPr="00353ACE">
        <w:rPr>
          <w:rFonts w:asciiTheme="minorHAnsi" w:hAnsiTheme="minorHAnsi" w:cstheme="minorHAnsi"/>
          <w:sz w:val="22"/>
          <w:szCs w:val="22"/>
        </w:rPr>
        <w:t>naphthenes</w:t>
      </w:r>
      <w:proofErr w:type="spellEnd"/>
      <w:r w:rsidRPr="00353ACE">
        <w:rPr>
          <w:rFonts w:asciiTheme="minorHAnsi" w:hAnsiTheme="minorHAnsi" w:cstheme="minorHAnsi"/>
          <w:sz w:val="22"/>
          <w:szCs w:val="22"/>
        </w:rPr>
        <w:t>,</w:t>
      </w:r>
      <w:r w:rsidRPr="00353ACE">
        <w:t xml:space="preserve"> </w:t>
      </w:r>
      <w:r w:rsidRPr="00353ACE">
        <w:rPr>
          <w:rFonts w:asciiTheme="minorHAnsi" w:hAnsiTheme="minorHAnsi" w:cstheme="minorHAnsi"/>
          <w:sz w:val="22"/>
          <w:szCs w:val="22"/>
        </w:rPr>
        <w:t xml:space="preserve">aromatics, </w:t>
      </w:r>
      <w:proofErr w:type="gramStart"/>
      <w:r w:rsidRPr="00353ACE">
        <w:rPr>
          <w:rFonts w:asciiTheme="minorHAnsi" w:hAnsiTheme="minorHAnsi" w:cstheme="minorHAnsi"/>
          <w:sz w:val="22"/>
          <w:szCs w:val="22"/>
        </w:rPr>
        <w:t>and sulfur-,</w:t>
      </w:r>
      <w:proofErr w:type="gramEnd"/>
      <w:r w:rsidRPr="00353ACE">
        <w:rPr>
          <w:rFonts w:asciiTheme="minorHAnsi" w:hAnsiTheme="minorHAnsi" w:cstheme="minorHAnsi"/>
          <w:sz w:val="22"/>
          <w:szCs w:val="22"/>
        </w:rPr>
        <w:t xml:space="preserve"> nitrogen-, oxygen-containing compounds. The composition differs depending on the type of plastic waste pyrolyzed [7, 8].</w:t>
      </w:r>
    </w:p>
    <w:p w14:paraId="1707B7BD" w14:textId="511B165D" w:rsidR="00353ACE" w:rsidRPr="00353ACE" w:rsidRDefault="00353ACE" w:rsidP="00353ACE">
      <w:pPr>
        <w:pStyle w:val="Corpsdetexte"/>
        <w:spacing w:before="25"/>
        <w:ind w:firstLine="677"/>
        <w:rPr>
          <w:rFonts w:asciiTheme="minorHAnsi" w:hAnsiTheme="minorHAnsi" w:cstheme="minorHAnsi"/>
          <w:sz w:val="22"/>
          <w:szCs w:val="22"/>
        </w:rPr>
      </w:pPr>
      <w:r w:rsidRPr="00353ACE">
        <w:rPr>
          <w:rFonts w:asciiTheme="minorHAnsi" w:hAnsiTheme="minorHAnsi" w:cstheme="minorHAnsi"/>
          <w:sz w:val="22"/>
          <w:szCs w:val="22"/>
        </w:rPr>
        <w:t>The most widely applied technique to determine the composition of plastic pyrolysis oil is the conventional one-dimensional gas chromatography (1D-GC) coupled to mass spectrometry (GC-MS) [9–11]. However, 1D-GC encounters many challenges while dealing with ultra-complex samples due to the limitation of the separation power</w:t>
      </w:r>
      <w:r>
        <w:rPr>
          <w:rFonts w:asciiTheme="minorHAnsi" w:hAnsiTheme="minorHAnsi" w:cstheme="minorHAnsi"/>
          <w:sz w:val="22"/>
          <w:szCs w:val="22"/>
        </w:rPr>
        <w:t xml:space="preserve"> </w:t>
      </w:r>
      <w:r w:rsidRPr="00353ACE">
        <w:rPr>
          <w:rFonts w:asciiTheme="minorHAnsi" w:hAnsiTheme="minorHAnsi" w:cstheme="minorHAnsi"/>
          <w:sz w:val="22"/>
          <w:szCs w:val="22"/>
        </w:rPr>
        <w:t>[11]. Comprehensive two-dimensional GC (GC × GC) coupled to MS</w:t>
      </w:r>
      <w:r>
        <w:rPr>
          <w:rFonts w:asciiTheme="minorHAnsi" w:hAnsiTheme="minorHAnsi" w:cstheme="minorHAnsi"/>
          <w:sz w:val="22"/>
          <w:szCs w:val="22"/>
        </w:rPr>
        <w:t xml:space="preserve"> </w:t>
      </w:r>
      <w:r w:rsidRPr="00353ACE">
        <w:rPr>
          <w:rFonts w:asciiTheme="minorHAnsi" w:hAnsiTheme="minorHAnsi" w:cstheme="minorHAnsi"/>
          <w:sz w:val="22"/>
          <w:szCs w:val="22"/>
        </w:rPr>
        <w:t>became the state-of-the-art technique to unravel the complex composition of challenging samples in both targeted and non-targeted analyses [12–16]. Indeed, recently, GC × GC-MS has been employed in plastic</w:t>
      </w:r>
      <w:r>
        <w:rPr>
          <w:rFonts w:asciiTheme="minorHAnsi" w:hAnsiTheme="minorHAnsi" w:cstheme="minorHAnsi"/>
          <w:sz w:val="22"/>
          <w:szCs w:val="22"/>
        </w:rPr>
        <w:t xml:space="preserve"> </w:t>
      </w:r>
      <w:r w:rsidRPr="00353ACE">
        <w:rPr>
          <w:rFonts w:asciiTheme="minorHAnsi" w:hAnsiTheme="minorHAnsi" w:cstheme="minorHAnsi"/>
          <w:sz w:val="22"/>
          <w:szCs w:val="22"/>
        </w:rPr>
        <w:t xml:space="preserve">pyrolysis oil analysis. Many sulfur- (thiophenes, </w:t>
      </w:r>
      <w:proofErr w:type="gramStart"/>
      <w:r w:rsidRPr="00353ACE">
        <w:rPr>
          <w:rFonts w:asciiTheme="minorHAnsi" w:hAnsiTheme="minorHAnsi" w:cstheme="minorHAnsi"/>
          <w:sz w:val="22"/>
          <w:szCs w:val="22"/>
        </w:rPr>
        <w:t>thiols</w:t>
      </w:r>
      <w:proofErr w:type="gramEnd"/>
      <w:r w:rsidRPr="00353ACE">
        <w:rPr>
          <w:rFonts w:asciiTheme="minorHAnsi" w:hAnsiTheme="minorHAnsi" w:cstheme="minorHAnsi"/>
          <w:sz w:val="22"/>
          <w:szCs w:val="22"/>
        </w:rPr>
        <w:t>, etc.), nitrogen-</w:t>
      </w:r>
      <w:r>
        <w:rPr>
          <w:rFonts w:asciiTheme="minorHAnsi" w:hAnsiTheme="minorHAnsi" w:cstheme="minorHAnsi"/>
          <w:sz w:val="22"/>
          <w:szCs w:val="22"/>
        </w:rPr>
        <w:t xml:space="preserve"> </w:t>
      </w:r>
      <w:r w:rsidRPr="00353ACE">
        <w:rPr>
          <w:rFonts w:asciiTheme="minorHAnsi" w:hAnsiTheme="minorHAnsi" w:cstheme="minorHAnsi"/>
          <w:sz w:val="22"/>
          <w:szCs w:val="22"/>
        </w:rPr>
        <w:t xml:space="preserve">(nitriles, pyridines, etc.), and oxygen- (ketones, aldehydes, etc.) containing compounds, in addition to pure hydrocarbon groups, were identified thanks to the outstanding separation power of GC × GC [7,8,17,18]. The improved chromatographic resolution </w:t>
      </w:r>
      <w:proofErr w:type="gramStart"/>
      <w:r w:rsidRPr="00353ACE">
        <w:rPr>
          <w:rFonts w:asciiTheme="minorHAnsi" w:hAnsiTheme="minorHAnsi" w:cstheme="minorHAnsi"/>
          <w:sz w:val="22"/>
          <w:szCs w:val="22"/>
        </w:rPr>
        <w:t>enables</w:t>
      </w:r>
      <w:proofErr w:type="gramEnd"/>
      <w:r w:rsidRPr="00353ACE">
        <w:rPr>
          <w:rFonts w:asciiTheme="minorHAnsi" w:hAnsiTheme="minorHAnsi" w:cstheme="minorHAnsi"/>
          <w:sz w:val="22"/>
          <w:szCs w:val="22"/>
        </w:rPr>
        <w:t xml:space="preserve"> to obtain a</w:t>
      </w:r>
      <w:r>
        <w:rPr>
          <w:rFonts w:asciiTheme="minorHAnsi" w:hAnsiTheme="minorHAnsi" w:cstheme="minorHAnsi"/>
          <w:sz w:val="22"/>
          <w:szCs w:val="22"/>
        </w:rPr>
        <w:t xml:space="preserve"> </w:t>
      </w:r>
      <w:r w:rsidRPr="00353ACE">
        <w:rPr>
          <w:rFonts w:asciiTheme="minorHAnsi" w:hAnsiTheme="minorHAnsi" w:cstheme="minorHAnsi"/>
          <w:sz w:val="22"/>
          <w:szCs w:val="22"/>
        </w:rPr>
        <w:t xml:space="preserve">more accurate MS similarity search, which, complemented with the linear retention indices (LRIs), provides an additional level of certainty to the identification of the compounds. LRIs are now easily included in </w:t>
      </w:r>
      <w:proofErr w:type="gramStart"/>
      <w:r w:rsidRPr="00353ACE">
        <w:rPr>
          <w:rFonts w:asciiTheme="minorHAnsi" w:hAnsiTheme="minorHAnsi" w:cstheme="minorHAnsi"/>
          <w:sz w:val="22"/>
          <w:szCs w:val="22"/>
        </w:rPr>
        <w:t>most</w:t>
      </w:r>
      <w:proofErr w:type="gramEnd"/>
      <w:r w:rsidRPr="00353ACE">
        <w:rPr>
          <w:rFonts w:asciiTheme="minorHAnsi" w:hAnsiTheme="minorHAnsi" w:cstheme="minorHAnsi"/>
          <w:sz w:val="22"/>
          <w:szCs w:val="22"/>
        </w:rPr>
        <w:t xml:space="preserve"> the commercial MS libraries, such as the National Institute of Standards and Technology (NIST).</w:t>
      </w:r>
    </w:p>
    <w:p w14:paraId="64599B98" w14:textId="4FA44A0D" w:rsidR="00353ACE" w:rsidRPr="00353ACE" w:rsidRDefault="00353ACE" w:rsidP="00B06307">
      <w:pPr>
        <w:pStyle w:val="Corpsdetexte"/>
        <w:spacing w:before="25"/>
        <w:ind w:firstLine="677"/>
        <w:rPr>
          <w:rFonts w:asciiTheme="minorHAnsi" w:hAnsiTheme="minorHAnsi" w:cstheme="minorHAnsi"/>
          <w:sz w:val="22"/>
          <w:szCs w:val="22"/>
        </w:rPr>
      </w:pPr>
      <w:r w:rsidRPr="00353ACE">
        <w:rPr>
          <w:rFonts w:asciiTheme="minorHAnsi" w:hAnsiTheme="minorHAnsi" w:cstheme="minorHAnsi"/>
          <w:sz w:val="22"/>
          <w:szCs w:val="22"/>
        </w:rPr>
        <w:t>In addition to the advantages of GC × GC, the coupling of high-resolution MS (HRMS) provides extra benefits to the identification of unknown compounds. The exact molecular mass enables the prediction of the elemental composition of unknown compounds and to assign of their class species according to the heteroatom numbers (</w:t>
      </w:r>
      <w:proofErr w:type="spellStart"/>
      <w:r w:rsidRPr="00353ACE">
        <w:rPr>
          <w:rFonts w:asciiTheme="minorHAnsi" w:hAnsiTheme="minorHAnsi" w:cstheme="minorHAnsi"/>
          <w:sz w:val="22"/>
          <w:szCs w:val="22"/>
        </w:rPr>
        <w:t>CcHhNnOoSsPp</w:t>
      </w:r>
      <w:proofErr w:type="spellEnd"/>
      <w:r w:rsidRPr="00353ACE">
        <w:rPr>
          <w:rFonts w:asciiTheme="minorHAnsi" w:hAnsiTheme="minorHAnsi" w:cstheme="minorHAnsi"/>
          <w:sz w:val="22"/>
          <w:szCs w:val="22"/>
        </w:rPr>
        <w:t xml:space="preserve">) and double bond equivalent (DBE) [19,20]. This feature helps to identify the compounds which are not yet included in any MS </w:t>
      </w:r>
      <w:r w:rsidRPr="00353ACE">
        <w:rPr>
          <w:rFonts w:asciiTheme="minorHAnsi" w:hAnsiTheme="minorHAnsi" w:cstheme="minorHAnsi"/>
          <w:sz w:val="22"/>
          <w:szCs w:val="22"/>
        </w:rPr>
        <w:lastRenderedPageBreak/>
        <w:t xml:space="preserve">libraries. The ability to identify or predict the structures of previously unknown compounds accelerates the understanding of plastic pyrolysis oil and the pyrolysis mechanisms. </w:t>
      </w:r>
      <w:proofErr w:type="gramStart"/>
      <w:r w:rsidRPr="00353ACE">
        <w:rPr>
          <w:rFonts w:asciiTheme="minorHAnsi" w:hAnsiTheme="minorHAnsi" w:cstheme="minorHAnsi"/>
          <w:sz w:val="22"/>
          <w:szCs w:val="22"/>
        </w:rPr>
        <w:t>A detailed</w:t>
      </w:r>
      <w:proofErr w:type="gramEnd"/>
      <w:r w:rsidRPr="00353ACE">
        <w:rPr>
          <w:rFonts w:asciiTheme="minorHAnsi" w:hAnsiTheme="minorHAnsi" w:cstheme="minorHAnsi"/>
          <w:sz w:val="22"/>
          <w:szCs w:val="22"/>
        </w:rPr>
        <w:t xml:space="preserve"> characterization is also essential for supporting the development of a dedicated pyrolysis process [21].</w:t>
      </w:r>
    </w:p>
    <w:p w14:paraId="09E8C179" w14:textId="3CE33ACF" w:rsidR="005A1512" w:rsidRDefault="00353ACE" w:rsidP="00B06307">
      <w:pPr>
        <w:pStyle w:val="Corpsdetexte"/>
        <w:spacing w:before="25"/>
        <w:ind w:firstLine="677"/>
        <w:rPr>
          <w:rFonts w:asciiTheme="minorHAnsi" w:hAnsiTheme="minorHAnsi" w:cstheme="minorHAnsi"/>
          <w:sz w:val="22"/>
          <w:szCs w:val="22"/>
        </w:rPr>
      </w:pPr>
      <w:r w:rsidRPr="00353ACE">
        <w:rPr>
          <w:rFonts w:asciiTheme="minorHAnsi" w:hAnsiTheme="minorHAnsi" w:cstheme="minorHAnsi"/>
          <w:sz w:val="22"/>
          <w:szCs w:val="22"/>
        </w:rPr>
        <w:t>In this study, we aimed to better characterize the composition of plastic pyrolysis oil by using GC × GC coupled to both low-resolution time of flight mass spectrometry (LRTOFMS) and HRTOFMS with electron impact ionization (EI) and photoionization (PI). Chemical class identification was achieved using GC × GC-EI-LRTOFMS, while the identification of several isomers was conducted by the combined interpretation of mass spectra generated using EI and PI -HRTOFMS. The PTV GC injection method was also optimized using a central composite design (CCD) to minimize the discrimination of low/high boiling point compounds caused by the PTV injector.</w:t>
      </w:r>
    </w:p>
    <w:p w14:paraId="244EDAB2" w14:textId="77777777" w:rsidR="00353ACE" w:rsidRPr="00763248" w:rsidRDefault="00353ACE" w:rsidP="00C81D4D">
      <w:pPr>
        <w:pStyle w:val="Corpsdetexte"/>
        <w:spacing w:before="25"/>
        <w:ind w:left="0"/>
        <w:rPr>
          <w:rFonts w:asciiTheme="minorHAnsi" w:hAnsiTheme="minorHAnsi" w:cstheme="minorHAnsi"/>
          <w:sz w:val="22"/>
          <w:szCs w:val="22"/>
        </w:rPr>
      </w:pPr>
    </w:p>
    <w:p w14:paraId="4152F475" w14:textId="77777777" w:rsidR="005A1512" w:rsidRPr="004C2B62" w:rsidRDefault="00000000" w:rsidP="00C81D4D">
      <w:pPr>
        <w:pStyle w:val="Titre1"/>
        <w:jc w:val="both"/>
      </w:pPr>
      <w:bookmarkStart w:id="6" w:name="2_Materials_and_methods"/>
      <w:bookmarkEnd w:id="6"/>
      <w:r w:rsidRPr="004C2B62">
        <w:t>Materials and methods</w:t>
      </w:r>
    </w:p>
    <w:p w14:paraId="2678FA82" w14:textId="77777777" w:rsidR="005A1512" w:rsidRPr="00763248" w:rsidRDefault="005A1512" w:rsidP="00C81D4D">
      <w:pPr>
        <w:pStyle w:val="Corpsdetexte"/>
        <w:spacing w:before="50"/>
        <w:ind w:left="0"/>
        <w:rPr>
          <w:rFonts w:asciiTheme="minorHAnsi" w:hAnsiTheme="minorHAnsi" w:cstheme="minorHAnsi"/>
          <w:b/>
          <w:sz w:val="22"/>
          <w:szCs w:val="22"/>
        </w:rPr>
      </w:pPr>
    </w:p>
    <w:p w14:paraId="63772554" w14:textId="31CEA841" w:rsidR="005A1512" w:rsidRDefault="004C2B62" w:rsidP="00F632B8">
      <w:pPr>
        <w:pStyle w:val="Titre2"/>
        <w:jc w:val="both"/>
      </w:pPr>
      <w:bookmarkStart w:id="7" w:name="2.1_Chemicals"/>
      <w:bookmarkEnd w:id="7"/>
      <w:r w:rsidRPr="00A5150C">
        <w:t>CHEMICALS</w:t>
      </w:r>
      <w:r w:rsidR="00F632B8">
        <w:t xml:space="preserve"> AND SAMPLES</w:t>
      </w:r>
    </w:p>
    <w:p w14:paraId="4E5DE0F9" w14:textId="77777777" w:rsidR="00F632B8" w:rsidRDefault="00F632B8" w:rsidP="00F632B8"/>
    <w:p w14:paraId="64ADD6C3" w14:textId="720F6325" w:rsidR="00F632B8" w:rsidRDefault="00F632B8" w:rsidP="00F632B8">
      <w:pPr>
        <w:jc w:val="both"/>
      </w:pPr>
      <w:r>
        <w:tab/>
      </w:r>
      <w:r>
        <w:t>Cyclohexane was purchased from Sigma-Aldrich (St Louis, MO). Alkanes’ mixture (n-C6-n-C33 mix) was purchased from Merck (Bellefonte, PA, USA). The mixed plastic pyrolysis oil was supplied by TOTAL TRTF (Total Research and Technology, Feluy, Belgium). One hundred kilograms of this mix was pyrolyzed in a 20 L continuous pyrolysis unit</w:t>
      </w:r>
      <w:r>
        <w:t xml:space="preserve"> </w:t>
      </w:r>
      <w:r>
        <w:t>at 410 ◦C under an inert atmosphere without additive additions, as</w:t>
      </w:r>
      <w:r>
        <w:t xml:space="preserve"> </w:t>
      </w:r>
      <w:r>
        <w:t>recently reported by Mase and coworkers [22]. The pyrolysis oil sample was dissolved to a concentration of 5 mg mL</w:t>
      </w:r>
      <w:r w:rsidRPr="00F632B8">
        <w:rPr>
          <w:vertAlign w:val="superscript"/>
        </w:rPr>
        <w:t>—1</w:t>
      </w:r>
      <w:r>
        <w:t xml:space="preserve"> in cyclohexane prior to the GC analyses.</w:t>
      </w:r>
    </w:p>
    <w:p w14:paraId="48CCA6E6" w14:textId="77777777" w:rsidR="00F632B8" w:rsidRPr="00F632B8" w:rsidRDefault="00F632B8" w:rsidP="00F632B8">
      <w:pPr>
        <w:jc w:val="both"/>
      </w:pPr>
    </w:p>
    <w:p w14:paraId="38B83F21" w14:textId="77777777" w:rsidR="00B74C72" w:rsidRPr="00F632B8" w:rsidRDefault="00B74C72" w:rsidP="00B74C72">
      <w:pPr>
        <w:pStyle w:val="Titre2"/>
        <w:jc w:val="both"/>
        <w:rPr>
          <w:spacing w:val="-2"/>
          <w:lang w:val="de-DE"/>
        </w:rPr>
      </w:pPr>
      <w:bookmarkStart w:id="8" w:name="2.2_Samples_and_sample_preparation"/>
      <w:bookmarkStart w:id="9" w:name="2.2.1_Samples"/>
      <w:bookmarkEnd w:id="8"/>
      <w:bookmarkEnd w:id="9"/>
      <w:r w:rsidRPr="00F632B8">
        <w:rPr>
          <w:lang w:val="de-DE"/>
        </w:rPr>
        <w:t>FM-GC x GC-EI-LRTOFMS INS</w:t>
      </w:r>
      <w:r>
        <w:rPr>
          <w:lang w:val="de-DE"/>
        </w:rPr>
        <w:t>TRUMENTATION</w:t>
      </w:r>
    </w:p>
    <w:p w14:paraId="2BAD06D2" w14:textId="77777777" w:rsidR="00552603" w:rsidRPr="00B74C72" w:rsidRDefault="00552603" w:rsidP="00F632B8">
      <w:pPr>
        <w:jc w:val="both"/>
        <w:rPr>
          <w:lang w:val="de-DE"/>
        </w:rPr>
      </w:pPr>
    </w:p>
    <w:p w14:paraId="7B37B60C" w14:textId="2200AE93" w:rsidR="00552603" w:rsidRPr="00B74C72" w:rsidRDefault="00EA3759" w:rsidP="00F632B8">
      <w:pPr>
        <w:jc w:val="both"/>
      </w:pPr>
      <w:r w:rsidRPr="00B74C72">
        <w:rPr>
          <w:lang w:val="de-DE"/>
        </w:rPr>
        <w:tab/>
      </w:r>
      <w:r>
        <w:t>A Pegasus 4D (LECO Corp., St. Joseph, MI, U.S.A.) GC × GC-TOFMS</w:t>
      </w:r>
      <w:r>
        <w:t xml:space="preserve"> </w:t>
      </w:r>
      <w:r>
        <w:t>instrument with electron ionization (EI) interface operating at 70 eV, equipped with a LECO Flux™ Flow Modulator (FM) and conventional</w:t>
      </w:r>
      <w:r>
        <w:t xml:space="preserve"> </w:t>
      </w:r>
      <w:r>
        <w:t xml:space="preserve">(non-polar × polar) column set, composed of a non-polar Rxi-5MS (30 m × 0.25 mm </w:t>
      </w:r>
      <w:proofErr w:type="spellStart"/>
      <w:r>
        <w:t>i.d.</w:t>
      </w:r>
      <w:proofErr w:type="spellEnd"/>
      <w:r>
        <w:t xml:space="preserve"> × 0.25 </w:t>
      </w:r>
      <w:proofErr w:type="spellStart"/>
      <w:r>
        <w:t>μm</w:t>
      </w:r>
      <w:proofErr w:type="spellEnd"/>
      <w:r>
        <w:t xml:space="preserve"> </w:t>
      </w:r>
      <w:proofErr w:type="spellStart"/>
      <w:r>
        <w:t>df</w:t>
      </w:r>
      <w:proofErr w:type="spellEnd"/>
      <w:r>
        <w:t xml:space="preserve">, </w:t>
      </w:r>
      <w:proofErr w:type="spellStart"/>
      <w:r>
        <w:t>Restek</w:t>
      </w:r>
      <w:proofErr w:type="spellEnd"/>
      <w:r>
        <w:t xml:space="preserve"> Corp.) in the first dimension (1D) and a mid-polar Rxi-17Sil MS (1.4 m × 0.1 mm </w:t>
      </w:r>
      <w:proofErr w:type="spellStart"/>
      <w:r>
        <w:t>i.d.</w:t>
      </w:r>
      <w:proofErr w:type="spellEnd"/>
      <w:r>
        <w:t xml:space="preserve"> × 0.1 </w:t>
      </w:r>
      <w:proofErr w:type="spellStart"/>
      <w:r>
        <w:t>μm</w:t>
      </w:r>
      <w:proofErr w:type="spellEnd"/>
      <w:r>
        <w:t xml:space="preserve"> </w:t>
      </w:r>
      <w:proofErr w:type="spellStart"/>
      <w:r>
        <w:t>df</w:t>
      </w:r>
      <w:proofErr w:type="spellEnd"/>
      <w:r>
        <w:t xml:space="preserve">, </w:t>
      </w:r>
      <w:proofErr w:type="spellStart"/>
      <w:r>
        <w:t>Restek</w:t>
      </w:r>
      <w:proofErr w:type="spellEnd"/>
      <w:r w:rsidRPr="00EA3759">
        <w:t xml:space="preserve"> </w:t>
      </w:r>
      <w:r>
        <w:t xml:space="preserve">Corp.) in the second dimension (2D), was employed. The modulation period (PM) was set at 3.5 s. Data processing of GC × GC-EI-TOFMS was performed on </w:t>
      </w:r>
      <w:proofErr w:type="spellStart"/>
      <w:r>
        <w:t>ChromaTOF</w:t>
      </w:r>
      <w:proofErr w:type="spellEnd"/>
      <w:r>
        <w:t xml:space="preserve"> ver. 4.72 (LECO Corp.). The injection volume</w:t>
      </w:r>
      <w:r>
        <w:t xml:space="preserve"> </w:t>
      </w:r>
      <w:r>
        <w:t xml:space="preserve">was 1 </w:t>
      </w:r>
      <w:proofErr w:type="spellStart"/>
      <w:r>
        <w:t>μL</w:t>
      </w:r>
      <w:proofErr w:type="spellEnd"/>
      <w:r>
        <w:t xml:space="preserve"> in split mode 1/5. The GC oven was set at 50 ◦C initially and hold for 0.2 min, then the temperature increased to 325 ◦C (hold for 5 min) at a rate of 2 ◦C min</w:t>
      </w:r>
      <w:r w:rsidRPr="00EA3759">
        <w:rPr>
          <w:vertAlign w:val="superscript"/>
        </w:rPr>
        <w:t>—1</w:t>
      </w:r>
      <w:r>
        <w:t>. The transfer line was set at 330 ◦C. The carrier gas flow was constantly 0.8 mL min</w:t>
      </w:r>
      <w:r w:rsidRPr="00EA3759">
        <w:rPr>
          <w:vertAlign w:val="superscript"/>
        </w:rPr>
        <w:t>—1</w:t>
      </w:r>
      <w:r>
        <w:t>. MS waiting acquisition</w:t>
      </w:r>
      <w:r>
        <w:t xml:space="preserve"> </w:t>
      </w:r>
      <w:r>
        <w:t>time: 480 s, m/z range: 45–600, Acquisition frequency: 200 Hz. Putative identification was based on the combination of the MS similarity with the NIST17 library (800/1000) with the confirmation using the experimental linear retention index (LRI) within a ±20 window.</w:t>
      </w:r>
    </w:p>
    <w:p w14:paraId="4D92B4B7" w14:textId="77777777" w:rsidR="003E78F0" w:rsidRPr="00F632B8" w:rsidRDefault="003E78F0" w:rsidP="00F632B8">
      <w:pPr>
        <w:jc w:val="both"/>
        <w:rPr>
          <w:lang w:val="de-DE"/>
        </w:rPr>
      </w:pPr>
    </w:p>
    <w:p w14:paraId="3261C061" w14:textId="0CBA4F29" w:rsidR="00C3361E" w:rsidRDefault="00F632B8" w:rsidP="00F632B8">
      <w:pPr>
        <w:pStyle w:val="Titre2"/>
        <w:jc w:val="both"/>
        <w:rPr>
          <w:lang w:val="de-DE"/>
        </w:rPr>
      </w:pPr>
      <w:r w:rsidRPr="00F632B8">
        <w:rPr>
          <w:lang w:val="de-DE"/>
        </w:rPr>
        <w:t>PTV-GC x GC-EI/PI-HRTOFMS IN</w:t>
      </w:r>
      <w:r>
        <w:rPr>
          <w:lang w:val="de-DE"/>
        </w:rPr>
        <w:t>STRUMENTATION</w:t>
      </w:r>
    </w:p>
    <w:p w14:paraId="3A75F7FA" w14:textId="77777777" w:rsidR="00F632B8" w:rsidRDefault="00F632B8" w:rsidP="00F632B8">
      <w:pPr>
        <w:jc w:val="both"/>
        <w:rPr>
          <w:lang w:val="de-DE"/>
        </w:rPr>
      </w:pPr>
    </w:p>
    <w:p w14:paraId="658D36FE" w14:textId="3D6FDA0F" w:rsidR="00C01B13" w:rsidRPr="00C01B13" w:rsidRDefault="00C01B13" w:rsidP="00C01B13">
      <w:pPr>
        <w:jc w:val="both"/>
        <w:rPr>
          <w:lang w:val="en-GB"/>
        </w:rPr>
      </w:pPr>
      <w:r>
        <w:rPr>
          <w:lang w:val="de-DE"/>
        </w:rPr>
        <w:tab/>
      </w:r>
      <w:r w:rsidRPr="00C01B13">
        <w:rPr>
          <w:lang w:val="en-GB"/>
        </w:rPr>
        <w:t xml:space="preserve">The molecular structure identification was conducted on a GC (7890B, Agilent Technologies, Wilmington, DE, U.S.A.) equipped with a </w:t>
      </w:r>
      <w:proofErr w:type="spellStart"/>
      <w:r w:rsidRPr="00C01B13">
        <w:rPr>
          <w:lang w:val="en-GB"/>
        </w:rPr>
        <w:t>Zoex</w:t>
      </w:r>
      <w:proofErr w:type="spellEnd"/>
      <w:r w:rsidRPr="00C01B13">
        <w:rPr>
          <w:lang w:val="en-GB"/>
        </w:rPr>
        <w:t xml:space="preserve"> II thermal modulator (</w:t>
      </w:r>
      <w:proofErr w:type="spellStart"/>
      <w:r w:rsidRPr="00C01B13">
        <w:rPr>
          <w:lang w:val="en-GB"/>
        </w:rPr>
        <w:t>Zoex</w:t>
      </w:r>
      <w:proofErr w:type="spellEnd"/>
      <w:r w:rsidRPr="00C01B13">
        <w:rPr>
          <w:lang w:val="en-GB"/>
        </w:rPr>
        <w:t xml:space="preserve"> Corp., Houston, U.S.A.) and an HRTOFMS with both EI and PI ion sources (JMS-T200GC “</w:t>
      </w:r>
      <w:proofErr w:type="spellStart"/>
      <w:r w:rsidRPr="00C01B13">
        <w:rPr>
          <w:lang w:val="en-GB"/>
        </w:rPr>
        <w:t>AccuTOF</w:t>
      </w:r>
      <w:proofErr w:type="spellEnd"/>
      <w:r w:rsidRPr="00C01B13">
        <w:rPr>
          <w:lang w:val="en-GB"/>
        </w:rPr>
        <w:t xml:space="preserve"> </w:t>
      </w:r>
      <w:proofErr w:type="spellStart"/>
      <w:r w:rsidRPr="00C01B13">
        <w:rPr>
          <w:lang w:val="en-GB"/>
        </w:rPr>
        <w:t>GCx</w:t>
      </w:r>
      <w:proofErr w:type="spellEnd"/>
      <w:r w:rsidRPr="00C01B13">
        <w:rPr>
          <w:lang w:val="en-GB"/>
        </w:rPr>
        <w:t>-plus”, JEOL Ltd., Tokyo, Japan). The column set installed in this</w:t>
      </w:r>
      <w:r>
        <w:rPr>
          <w:lang w:val="en-GB"/>
        </w:rPr>
        <w:t xml:space="preserve"> </w:t>
      </w:r>
      <w:r w:rsidRPr="00C01B13">
        <w:rPr>
          <w:lang w:val="en-GB"/>
        </w:rPr>
        <w:t>instrument was identical to the one used in the FM-GC × GC-</w:t>
      </w:r>
      <w:r w:rsidRPr="00C01B13">
        <w:rPr>
          <w:lang w:val="en-GB"/>
        </w:rPr>
        <w:lastRenderedPageBreak/>
        <w:t>LR-EI-TOFMS. This GC was equipped with a programmed temperature vaporizer (PTV) injector. The solvent vent mode of PTV injection was applied in this study. To optimize the PTV condition, an experimental design (DoE), specifically a three-variable (k = 3) inscribed rotatable central composite design (CCD), was employed to find the most suitable</w:t>
      </w:r>
      <w:r>
        <w:rPr>
          <w:lang w:val="en-GB"/>
        </w:rPr>
        <w:t xml:space="preserve"> </w:t>
      </w:r>
      <w:r w:rsidRPr="00C01B13">
        <w:rPr>
          <w:lang w:val="en-GB"/>
        </w:rPr>
        <w:t>vent pressure, vent flow, and vent time. There were 24 individual injections of the CCD (Table S1), including 8 conditions from fractional factorial design points, 6 conditions of axial points (extreme points), and 10 replicates of the central point. Based on some preliminary examinations of how the PTV conditions affect the peak intensities in the chromatograms, certain ranges of the three factors were set up for the CCD experiments. Vent pressure was tested between 52.39 kPa and</w:t>
      </w:r>
      <w:r>
        <w:rPr>
          <w:lang w:val="en-GB"/>
        </w:rPr>
        <w:t xml:space="preserve"> </w:t>
      </w:r>
      <w:r w:rsidRPr="00C01B13">
        <w:rPr>
          <w:lang w:val="en-GB"/>
        </w:rPr>
        <w:t xml:space="preserve">92.39 kPa, vent flow between 5.00 mL </w:t>
      </w:r>
      <w:r w:rsidR="00A35580">
        <w:t>min</w:t>
      </w:r>
      <w:r w:rsidR="00A35580" w:rsidRPr="00EA3759">
        <w:rPr>
          <w:vertAlign w:val="superscript"/>
        </w:rPr>
        <w:t>—1</w:t>
      </w:r>
      <w:r w:rsidRPr="00C01B13">
        <w:rPr>
          <w:lang w:val="en-GB"/>
        </w:rPr>
        <w:t xml:space="preserve"> and 45.00 mL </w:t>
      </w:r>
      <w:r w:rsidR="00A35580">
        <w:t>min</w:t>
      </w:r>
      <w:r w:rsidR="00A35580" w:rsidRPr="00EA3759">
        <w:rPr>
          <w:vertAlign w:val="superscript"/>
        </w:rPr>
        <w:t>—1</w:t>
      </w:r>
      <w:r w:rsidRPr="00C01B13">
        <w:rPr>
          <w:lang w:val="en-GB"/>
        </w:rPr>
        <w:t>, and</w:t>
      </w:r>
      <w:r>
        <w:rPr>
          <w:lang w:val="en-GB"/>
        </w:rPr>
        <w:t xml:space="preserve"> </w:t>
      </w:r>
      <w:r w:rsidRPr="00C01B13">
        <w:rPr>
          <w:lang w:val="en-GB"/>
        </w:rPr>
        <w:t xml:space="preserve">vent time between 0.01 min and 0.99 min. The central point condition was with a vent pressure of 72.39 kPa, a vent flow of 25.00 mL </w:t>
      </w:r>
      <w:r w:rsidR="00A35580">
        <w:t>min</w:t>
      </w:r>
      <w:r w:rsidR="00A35580" w:rsidRPr="00EA3759">
        <w:rPr>
          <w:vertAlign w:val="superscript"/>
        </w:rPr>
        <w:t>—1</w:t>
      </w:r>
      <w:r w:rsidRPr="00C01B13">
        <w:rPr>
          <w:lang w:val="en-GB"/>
        </w:rPr>
        <w:t>, and a vent time of 0.50 min. The optimal PTV condition was evaluated</w:t>
      </w:r>
      <w:r>
        <w:rPr>
          <w:lang w:val="en-GB"/>
        </w:rPr>
        <w:t xml:space="preserve"> </w:t>
      </w:r>
      <w:r w:rsidRPr="00C01B13">
        <w:rPr>
          <w:lang w:val="en-GB"/>
        </w:rPr>
        <w:t>using the response surface plot methodology on a mixture of alkanes from C9 to C39 and various chemical families in the C21 group. The</w:t>
      </w:r>
      <w:r>
        <w:rPr>
          <w:lang w:val="en-GB"/>
        </w:rPr>
        <w:t xml:space="preserve"> </w:t>
      </w:r>
      <w:r w:rsidRPr="00C01B13">
        <w:rPr>
          <w:lang w:val="en-GB"/>
        </w:rPr>
        <w:t>temperature program of the PTV injector was initially set at 50 ◦</w:t>
      </w:r>
      <w:proofErr w:type="gramStart"/>
      <w:r w:rsidRPr="00C01B13">
        <w:rPr>
          <w:lang w:val="en-GB"/>
        </w:rPr>
        <w:t>C, and</w:t>
      </w:r>
      <w:proofErr w:type="gramEnd"/>
      <w:r w:rsidRPr="00C01B13">
        <w:rPr>
          <w:lang w:val="en-GB"/>
        </w:rPr>
        <w:t xml:space="preserve"> increased to 200 ◦C (hold for 1 min) with a rate of 100 ◦C.</w:t>
      </w:r>
      <w:r w:rsidR="00432C08">
        <w:t>min</w:t>
      </w:r>
      <w:r w:rsidR="00432C08" w:rsidRPr="00EA3759">
        <w:rPr>
          <w:vertAlign w:val="superscript"/>
        </w:rPr>
        <w:t>—1</w:t>
      </w:r>
      <w:r w:rsidRPr="00C01B13">
        <w:rPr>
          <w:lang w:val="en-GB"/>
        </w:rPr>
        <w:t>, then increased to 325 ◦C with a rate of 200 ◦C.</w:t>
      </w:r>
      <w:r w:rsidR="00432C08">
        <w:t>min</w:t>
      </w:r>
      <w:r w:rsidR="00432C08" w:rsidRPr="00EA3759">
        <w:rPr>
          <w:vertAlign w:val="superscript"/>
        </w:rPr>
        <w:t>—1</w:t>
      </w:r>
      <w:r w:rsidRPr="00C01B13">
        <w:rPr>
          <w:lang w:val="en-GB"/>
        </w:rPr>
        <w:t xml:space="preserve">. The injection volume was 1 </w:t>
      </w:r>
      <w:r w:rsidRPr="00C01B13">
        <w:rPr>
          <w:lang w:val="de-DE"/>
        </w:rPr>
        <w:t>μ</w:t>
      </w:r>
      <w:r w:rsidRPr="00C01B13">
        <w:rPr>
          <w:lang w:val="en-GB"/>
        </w:rPr>
        <w:t>L. The GC oven was set at 50 ◦C initially and hold for 0.2 min, then the temperature increased to 325 ◦C (hold for 5 min) at a rate of 2 ◦C.</w:t>
      </w:r>
      <w:r w:rsidR="00432C08">
        <w:t>min</w:t>
      </w:r>
      <w:r w:rsidR="00432C08" w:rsidRPr="00EA3759">
        <w:rPr>
          <w:vertAlign w:val="superscript"/>
        </w:rPr>
        <w:t>—1</w:t>
      </w:r>
      <w:r w:rsidRPr="00C01B13">
        <w:rPr>
          <w:lang w:val="en-GB"/>
        </w:rPr>
        <w:t xml:space="preserve">. The carrier gas flow was constantly 0.8 mL </w:t>
      </w:r>
      <w:r w:rsidR="00A35580">
        <w:t>min</w:t>
      </w:r>
      <w:r w:rsidR="00A35580" w:rsidRPr="00EA3759">
        <w:rPr>
          <w:vertAlign w:val="superscript"/>
        </w:rPr>
        <w:t>—1</w:t>
      </w:r>
      <w:r w:rsidRPr="00C01B13">
        <w:rPr>
          <w:lang w:val="en-GB"/>
        </w:rPr>
        <w:t>. The EI</w:t>
      </w:r>
      <w:r>
        <w:rPr>
          <w:lang w:val="en-GB"/>
        </w:rPr>
        <w:t xml:space="preserve"> </w:t>
      </w:r>
      <w:r w:rsidRPr="00C01B13">
        <w:rPr>
          <w:lang w:val="en-GB"/>
        </w:rPr>
        <w:t xml:space="preserve">ionizing voltage was 70 </w:t>
      </w:r>
      <w:proofErr w:type="gramStart"/>
      <w:r w:rsidRPr="00C01B13">
        <w:rPr>
          <w:lang w:val="en-GB"/>
        </w:rPr>
        <w:t>eV</w:t>
      </w:r>
      <w:proofErr w:type="gramEnd"/>
      <w:r w:rsidRPr="00C01B13">
        <w:rPr>
          <w:lang w:val="en-GB"/>
        </w:rPr>
        <w:t xml:space="preserve"> and the detector voltage was 2300 V. No ionizing voltage was applied in PI mode. The detector voltage of PI was 2700 V. The ion chamber and interface temperatures were 200 ◦C and</w:t>
      </w:r>
    </w:p>
    <w:p w14:paraId="37A98DB6" w14:textId="64938847" w:rsidR="00F632B8" w:rsidRPr="00C01B13" w:rsidRDefault="00C01B13" w:rsidP="00C01B13">
      <w:pPr>
        <w:jc w:val="both"/>
        <w:rPr>
          <w:lang w:val="en-GB"/>
        </w:rPr>
      </w:pPr>
      <w:r w:rsidRPr="00C01B13">
        <w:rPr>
          <w:lang w:val="en-GB"/>
        </w:rPr>
        <w:t>300 ◦C, respectively, in both EI and PI mode. The PM was set at 6 s with a</w:t>
      </w:r>
      <w:r>
        <w:rPr>
          <w:lang w:val="en-GB"/>
        </w:rPr>
        <w:t xml:space="preserve"> </w:t>
      </w:r>
      <w:r w:rsidRPr="00C01B13">
        <w:rPr>
          <w:lang w:val="en-GB"/>
        </w:rPr>
        <w:t xml:space="preserve">hot jet period of 450 </w:t>
      </w:r>
      <w:proofErr w:type="spellStart"/>
      <w:r w:rsidRPr="00C01B13">
        <w:rPr>
          <w:lang w:val="en-GB"/>
        </w:rPr>
        <w:t>ms</w:t>
      </w:r>
      <w:proofErr w:type="spellEnd"/>
      <w:r w:rsidRPr="00C01B13">
        <w:rPr>
          <w:lang w:val="en-GB"/>
        </w:rPr>
        <w:t xml:space="preserve"> and a constant cold gas flow of 13 L </w:t>
      </w:r>
      <w:r w:rsidR="00A35580">
        <w:t>min</w:t>
      </w:r>
      <w:r w:rsidR="00A35580" w:rsidRPr="00EA3759">
        <w:rPr>
          <w:vertAlign w:val="superscript"/>
        </w:rPr>
        <w:t>—1</w:t>
      </w:r>
      <w:r w:rsidRPr="00C01B13">
        <w:rPr>
          <w:lang w:val="en-GB"/>
        </w:rPr>
        <w:t>. Detailed information on the optimized condition is shown in Table S2.</w:t>
      </w:r>
    </w:p>
    <w:p w14:paraId="7F2A9C9B" w14:textId="77777777" w:rsidR="00F632B8" w:rsidRPr="00C01B13" w:rsidRDefault="00F632B8" w:rsidP="00F632B8">
      <w:pPr>
        <w:jc w:val="both"/>
        <w:rPr>
          <w:lang w:val="en-GB"/>
        </w:rPr>
      </w:pPr>
    </w:p>
    <w:p w14:paraId="0AA57468" w14:textId="7A2326A8" w:rsidR="00F632B8" w:rsidRPr="00F632B8" w:rsidRDefault="00F632B8" w:rsidP="00F632B8">
      <w:pPr>
        <w:pStyle w:val="Titre2"/>
        <w:jc w:val="both"/>
        <w:rPr>
          <w:lang w:val="de-DE"/>
        </w:rPr>
      </w:pPr>
      <w:r>
        <w:rPr>
          <w:lang w:val="de-DE"/>
        </w:rPr>
        <w:t>SOFTWARE</w:t>
      </w:r>
    </w:p>
    <w:p w14:paraId="7D880FB2" w14:textId="77777777" w:rsidR="000F4F69" w:rsidRDefault="000F4F69" w:rsidP="00F632B8">
      <w:pPr>
        <w:jc w:val="both"/>
        <w:rPr>
          <w:lang w:val="de-DE"/>
        </w:rPr>
      </w:pPr>
    </w:p>
    <w:p w14:paraId="6A7275F7" w14:textId="0EA8FA7C" w:rsidR="00255413" w:rsidRPr="00255413" w:rsidRDefault="00255413" w:rsidP="00255413">
      <w:pPr>
        <w:jc w:val="both"/>
        <w:rPr>
          <w:lang w:val="en-GB"/>
        </w:rPr>
      </w:pPr>
      <w:r>
        <w:rPr>
          <w:lang w:val="de-DE"/>
        </w:rPr>
        <w:tab/>
      </w:r>
      <w:proofErr w:type="spellStart"/>
      <w:r w:rsidRPr="00255413">
        <w:rPr>
          <w:lang w:val="en-GB"/>
        </w:rPr>
        <w:t>ChromaTOF</w:t>
      </w:r>
      <w:proofErr w:type="spellEnd"/>
      <w:r w:rsidRPr="00255413">
        <w:rPr>
          <w:lang w:val="en-GB"/>
        </w:rPr>
        <w:t xml:space="preserve"> software (LECO Corporation, version 5.51) was employed for the FM-GC × GC-LRTOFMS analyses and data elaboration and visualization. The CCD for PTV optimization parameters was performed using R v4.1.0 (R Foundation for Statistical Computing, Vienna, Austria) and RStudio (version 1.4), while GC-Image software (version 2.5 HRMS) was employed for GC × GC-HRTOFMS analyses and data</w:t>
      </w:r>
      <w:r w:rsidRPr="00255413">
        <w:rPr>
          <w:lang w:val="en-GB"/>
        </w:rPr>
        <w:t xml:space="preserve"> </w:t>
      </w:r>
      <w:r w:rsidRPr="00255413">
        <w:rPr>
          <w:lang w:val="en-GB"/>
        </w:rPr>
        <w:t>elaboration and visualization.</w:t>
      </w:r>
    </w:p>
    <w:p w14:paraId="0CCA7EA5" w14:textId="77777777" w:rsidR="000F4F69" w:rsidRPr="00255413" w:rsidRDefault="000F4F69" w:rsidP="00C81D4D">
      <w:pPr>
        <w:jc w:val="both"/>
        <w:rPr>
          <w:lang w:val="en-GB"/>
        </w:rPr>
      </w:pPr>
    </w:p>
    <w:p w14:paraId="4F69378A" w14:textId="77777777" w:rsidR="000F4F69" w:rsidRPr="00F74DD5" w:rsidRDefault="000F4F69" w:rsidP="00C81D4D">
      <w:pPr>
        <w:pStyle w:val="Titre1"/>
        <w:ind w:left="0"/>
        <w:jc w:val="both"/>
      </w:pPr>
      <w:r w:rsidRPr="00F74DD5">
        <w:t>Results and discussion</w:t>
      </w:r>
    </w:p>
    <w:p w14:paraId="12847A6F" w14:textId="77777777" w:rsidR="000F4F69" w:rsidRPr="00763248" w:rsidRDefault="000F4F69" w:rsidP="00C81D4D">
      <w:pPr>
        <w:pStyle w:val="Corpsdetexte"/>
        <w:spacing w:before="50"/>
        <w:ind w:left="0"/>
        <w:rPr>
          <w:rFonts w:asciiTheme="minorHAnsi" w:hAnsiTheme="minorHAnsi" w:cstheme="minorHAnsi"/>
          <w:b/>
          <w:sz w:val="22"/>
          <w:szCs w:val="22"/>
        </w:rPr>
      </w:pPr>
    </w:p>
    <w:p w14:paraId="2DFD0FD8" w14:textId="6AFC5375" w:rsidR="000F4F69" w:rsidRDefault="002F15E4" w:rsidP="002F15E4">
      <w:pPr>
        <w:pStyle w:val="Titre2"/>
        <w:jc w:val="both"/>
      </w:pPr>
      <w:bookmarkStart w:id="10" w:name="3.1_Optimization_of_extraction_procedure"/>
      <w:bookmarkEnd w:id="10"/>
      <w:r>
        <w:t>CLASS IDENTIFICATION BY FM-GC x GC-EI-LRTOFMS</w:t>
      </w:r>
      <w:r w:rsidR="000F4F69">
        <w:t xml:space="preserve"> </w:t>
      </w:r>
    </w:p>
    <w:p w14:paraId="32D68FE2" w14:textId="77777777" w:rsidR="002F15E4" w:rsidRDefault="002F15E4" w:rsidP="002F15E4"/>
    <w:p w14:paraId="7120596A" w14:textId="05AFE59B" w:rsidR="00160DB4" w:rsidRDefault="002F15E4" w:rsidP="00160DB4">
      <w:pPr>
        <w:jc w:val="both"/>
      </w:pPr>
      <w:r>
        <w:tab/>
      </w:r>
      <w:r w:rsidRPr="002F15E4">
        <w:t>A non-polar × medium-polar column set of high thermal stability</w:t>
      </w:r>
      <w:r>
        <w:t xml:space="preserve"> </w:t>
      </w:r>
      <w:r>
        <w:t>was chosen considering the high boiling points of many constituents present in plastic pyrolysis oil [11]. Before the real-world sample GC analysis, an alkanes mix (C6–C33) was injected into the FM-GC ×</w:t>
      </w:r>
      <w:r>
        <w:t xml:space="preserve"> </w:t>
      </w:r>
      <w:r>
        <w:t>GC-LR-EI-TOFMS system to calculate the experimental LRI. Fig. 1A</w:t>
      </w:r>
      <w:r>
        <w:t xml:space="preserve"> </w:t>
      </w:r>
      <w:r>
        <w:t>shows the GC × GC-TOFMS plot of the plastic pyrolysis oil sample, presenting a carbon atom range between C7 and C39. A 10 min delay in the TOFMS acquisition was applied to preserve the integrity of the MS</w:t>
      </w:r>
      <w:r>
        <w:t xml:space="preserve"> </w:t>
      </w:r>
      <w:r>
        <w:t>filament from the solvent, thus low boiling compounds (&lt;C7) were not considered. Fig. 1B and C are a zoom of the red-dotted line in Fig. 1A in</w:t>
      </w:r>
      <w:r>
        <w:t xml:space="preserve"> </w:t>
      </w:r>
      <w:r>
        <w:t>the range of C14 -C28. Fig. 1B shows the distribution of linear not-branched hydrocarbons, namely n-alkanes (first trend-line from the bottom), alkenes (DBE = 1, second trend-line), and di-</w:t>
      </w:r>
      <w:r>
        <w:lastRenderedPageBreak/>
        <w:t>alkenes (DBE = 2,</w:t>
      </w:r>
      <w:r>
        <w:t xml:space="preserve"> </w:t>
      </w:r>
      <w:r>
        <w:t>third trend-line). In Fig. 1C (same zoom as Fig. 1B), further below the</w:t>
      </w:r>
      <w:r>
        <w:t xml:space="preserve"> </w:t>
      </w:r>
      <w:r>
        <w:t>n-</w:t>
      </w:r>
      <w:r>
        <w:t>A</w:t>
      </w:r>
      <w:r>
        <w:t>lkanes, three pairs of peak groups are observed which are the oligomers of polypropylene [23]. Polypropylene oligomers can have a highly branched structure due to the methyl moiety added with each propylene unit [24]. In general, with this type of column configuration</w:t>
      </w:r>
      <w:r>
        <w:t xml:space="preserve"> </w:t>
      </w:r>
      <w:r>
        <w:t>(non-polar × medium-polar) the branched paraffins are eluted below the</w:t>
      </w:r>
      <w:r>
        <w:t xml:space="preserve"> </w:t>
      </w:r>
      <w:r>
        <w:t>n-alkanes row. The first group is represented by the polyolefin saturated hydrocarbon (POSH, first trend-line from the bottom). The second group (second trend-line from the bottom) is represented by the PO mono-unsaturated hydrocarbons (POMH), while the third group by PO di</w:t>
      </w:r>
      <w:r w:rsidR="00160DB4">
        <w:t>-</w:t>
      </w:r>
      <w:r>
        <w:t xml:space="preserve">unsaturated hydrocarbon (PODH) (third trend-line from the bottom), as confirmed by their reduced masses. The branching of the hydrocarbons significantly reduces the retention in both </w:t>
      </w:r>
      <w:proofErr w:type="gramStart"/>
      <w:r>
        <w:t>columns</w:t>
      </w:r>
      <w:proofErr w:type="gramEnd"/>
      <w:r>
        <w:t xml:space="preserve"> and this effect is more evident in increasing the carbon number (CN). Indeed, branched-low boiling point compounds (about C7–C11) show almost the same retention as the linear ones, while at the increase of CN, the branched degree reduces the retention. In the first-dimension column (horizontal axis), several C24-25 POHs eluted between nC18-nC20. (see section 3.3). It is important to highlight that, with this column set, in the medium-polar D2 column, POSHs have separated from n-alkanes due at the increment of degree of </w:t>
      </w:r>
      <w:proofErr w:type="spellStart"/>
      <w:r>
        <w:t>branche</w:t>
      </w:r>
      <w:proofErr w:type="spellEnd"/>
      <w:r>
        <w:t>(s), while the POMH and PODH can overlap with the linear not-branched hydrocarbons zone in the low-mid CN range (Fig. 1C) due to the effect of the unsaturation(s) with the</w:t>
      </w:r>
      <w:r w:rsidR="00160DB4" w:rsidRPr="00160DB4">
        <w:t xml:space="preserve"> </w:t>
      </w:r>
      <w:r w:rsidR="00160DB4">
        <w:t xml:space="preserve">mid-polar column. As expected, cyclic hydrocarbons, such as the </w:t>
      </w:r>
      <w:proofErr w:type="spellStart"/>
      <w:r w:rsidR="00160DB4">
        <w:t>naphthenes</w:t>
      </w:r>
      <w:proofErr w:type="spellEnd"/>
      <w:r w:rsidR="00160DB4">
        <w:t xml:space="preserve"> and aromatics, are positioned above the row of the n-alkanes. Fig. 1D shows C21–C23 group separation (zoom of the black-dotted line in Fig. 1A), where, above the linear hydrocarbon rows, n-alkyl-cyclo-pentanes/pentenes, and n-alkyl-cyclo-hexanes/hexenes are well separated. Above the </w:t>
      </w:r>
      <w:proofErr w:type="spellStart"/>
      <w:r w:rsidR="00160DB4">
        <w:t>naphthenes</w:t>
      </w:r>
      <w:proofErr w:type="spellEnd"/>
      <w:r w:rsidR="00160DB4">
        <w:t xml:space="preserve">, there </w:t>
      </w:r>
      <w:proofErr w:type="gramStart"/>
      <w:r w:rsidR="00160DB4">
        <w:t>is</w:t>
      </w:r>
      <w:proofErr w:type="gramEnd"/>
      <w:r w:rsidR="00160DB4">
        <w:t xml:space="preserve"> the n-alkyl-benzenes raw. This scheme reported in Fig. 1D for the C21–C23 groups is also common for the other C groups.</w:t>
      </w:r>
    </w:p>
    <w:p w14:paraId="0AD946E9" w14:textId="77777777" w:rsidR="0025522B" w:rsidRDefault="0025522B" w:rsidP="00160DB4">
      <w:pPr>
        <w:jc w:val="both"/>
      </w:pPr>
    </w:p>
    <w:p w14:paraId="35768328" w14:textId="1E926AE0" w:rsidR="0025522B" w:rsidRDefault="0025522B" w:rsidP="0025522B">
      <w:pPr>
        <w:jc w:val="center"/>
      </w:pPr>
      <w:r>
        <w:rPr>
          <w:noProof/>
          <w:sz w:val="20"/>
        </w:rPr>
        <w:drawing>
          <wp:inline distT="0" distB="0" distL="0" distR="0" wp14:anchorId="721AE8F1" wp14:editId="1E69A835">
            <wp:extent cx="5761990" cy="2940302"/>
            <wp:effectExtent l="0" t="0" r="0" b="0"/>
            <wp:docPr id="18" name="Image 18" descr="Une image contenant texte, capture d’écran, affichage, Parallè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affichage, Parallèle&#10;&#10;Le contenu généré par l’IA peut être incorrect."/>
                    <pic:cNvPicPr/>
                  </pic:nvPicPr>
                  <pic:blipFill>
                    <a:blip r:embed="rId9" cstate="print"/>
                    <a:stretch>
                      <a:fillRect/>
                    </a:stretch>
                  </pic:blipFill>
                  <pic:spPr>
                    <a:xfrm>
                      <a:off x="0" y="0"/>
                      <a:ext cx="5761990" cy="2940302"/>
                    </a:xfrm>
                    <a:prstGeom prst="rect">
                      <a:avLst/>
                    </a:prstGeom>
                  </pic:spPr>
                </pic:pic>
              </a:graphicData>
            </a:graphic>
          </wp:inline>
        </w:drawing>
      </w:r>
    </w:p>
    <w:p w14:paraId="3D49DF5D" w14:textId="2C7F071A" w:rsidR="0025522B" w:rsidRPr="00EF269E" w:rsidRDefault="0025522B" w:rsidP="00EF269E">
      <w:pPr>
        <w:spacing w:line="213" w:lineRule="auto"/>
        <w:ind w:left="43" w:hanging="1"/>
        <w:jc w:val="both"/>
        <w:rPr>
          <w:rFonts w:cstheme="minorHAnsi"/>
          <w:sz w:val="20"/>
          <w:szCs w:val="20"/>
        </w:rPr>
      </w:pPr>
      <w:r w:rsidRPr="0025522B">
        <w:rPr>
          <w:rFonts w:cstheme="minorHAnsi"/>
          <w:b/>
          <w:w w:val="110"/>
          <w:sz w:val="20"/>
          <w:szCs w:val="20"/>
        </w:rPr>
        <w:t>Fig. 1.</w:t>
      </w:r>
      <w:r w:rsidRPr="0025522B">
        <w:rPr>
          <w:rFonts w:cstheme="minorHAnsi"/>
          <w:b/>
          <w:spacing w:val="23"/>
          <w:w w:val="110"/>
          <w:sz w:val="20"/>
          <w:szCs w:val="20"/>
        </w:rPr>
        <w:t xml:space="preserve"> </w:t>
      </w:r>
      <w:r w:rsidRPr="0025522B">
        <w:rPr>
          <w:rFonts w:cstheme="minorHAnsi"/>
          <w:w w:val="110"/>
          <w:sz w:val="20"/>
          <w:szCs w:val="20"/>
        </w:rPr>
        <w:t>A: FM-GC ×</w:t>
      </w:r>
      <w:r w:rsidRPr="0025522B">
        <w:rPr>
          <w:rFonts w:cstheme="minorHAnsi"/>
          <w:spacing w:val="-10"/>
          <w:w w:val="110"/>
          <w:sz w:val="20"/>
          <w:szCs w:val="20"/>
        </w:rPr>
        <w:t xml:space="preserve"> </w:t>
      </w:r>
      <w:r w:rsidRPr="0025522B">
        <w:rPr>
          <w:rFonts w:cstheme="minorHAnsi"/>
          <w:w w:val="110"/>
          <w:sz w:val="20"/>
          <w:szCs w:val="20"/>
        </w:rPr>
        <w:t xml:space="preserve">GC-LR-EI-TOFMS chromatogram of plastic pyrolysis oil; B–C: expansion of the red-dotted line in </w:t>
      </w:r>
      <w:hyperlink w:anchor="_bookmark8" w:history="1">
        <w:r w:rsidRPr="0025522B">
          <w:rPr>
            <w:rFonts w:cstheme="minorHAnsi"/>
            <w:color w:val="2196D1"/>
            <w:w w:val="110"/>
            <w:sz w:val="20"/>
            <w:szCs w:val="20"/>
          </w:rPr>
          <w:t>Fig. 1</w:t>
        </w:r>
      </w:hyperlink>
      <w:r w:rsidRPr="0025522B">
        <w:rPr>
          <w:rFonts w:cstheme="minorHAnsi"/>
          <w:w w:val="110"/>
          <w:sz w:val="20"/>
          <w:szCs w:val="20"/>
        </w:rPr>
        <w:t>A in the range of C</w:t>
      </w:r>
      <w:r w:rsidRPr="0025522B">
        <w:rPr>
          <w:rFonts w:cstheme="minorHAnsi"/>
          <w:w w:val="110"/>
          <w:sz w:val="20"/>
          <w:szCs w:val="20"/>
          <w:vertAlign w:val="subscript"/>
        </w:rPr>
        <w:t>14</w:t>
      </w:r>
      <w:r w:rsidRPr="0025522B">
        <w:rPr>
          <w:rFonts w:cstheme="minorHAnsi"/>
          <w:w w:val="110"/>
          <w:sz w:val="20"/>
          <w:szCs w:val="20"/>
        </w:rPr>
        <w:t xml:space="preserve"> -C</w:t>
      </w:r>
      <w:r w:rsidRPr="0025522B">
        <w:rPr>
          <w:rFonts w:cstheme="minorHAnsi"/>
          <w:w w:val="110"/>
          <w:sz w:val="20"/>
          <w:szCs w:val="20"/>
          <w:vertAlign w:val="subscript"/>
        </w:rPr>
        <w:t>28</w:t>
      </w:r>
      <w:r w:rsidRPr="0025522B">
        <w:rPr>
          <w:rFonts w:cstheme="minorHAnsi"/>
          <w:w w:val="110"/>
          <w:sz w:val="20"/>
          <w:szCs w:val="20"/>
        </w:rPr>
        <w:t>; B: GC ×</w:t>
      </w:r>
      <w:r w:rsidRPr="0025522B">
        <w:rPr>
          <w:rFonts w:cstheme="minorHAnsi"/>
          <w:spacing w:val="-10"/>
          <w:w w:val="110"/>
          <w:sz w:val="20"/>
          <w:szCs w:val="20"/>
        </w:rPr>
        <w:t xml:space="preserve"> </w:t>
      </w:r>
      <w:r w:rsidRPr="0025522B">
        <w:rPr>
          <w:rFonts w:cstheme="minorHAnsi"/>
          <w:w w:val="110"/>
          <w:sz w:val="20"/>
          <w:szCs w:val="20"/>
        </w:rPr>
        <w:t>GC</w:t>
      </w:r>
      <w:r w:rsidRPr="0025522B">
        <w:rPr>
          <w:rFonts w:cstheme="minorHAnsi"/>
          <w:spacing w:val="40"/>
          <w:w w:val="110"/>
          <w:sz w:val="20"/>
          <w:szCs w:val="20"/>
        </w:rPr>
        <w:t xml:space="preserve"> </w:t>
      </w:r>
      <w:r w:rsidRPr="0025522B">
        <w:rPr>
          <w:rFonts w:cstheme="minorHAnsi"/>
          <w:w w:val="110"/>
          <w:sz w:val="20"/>
          <w:szCs w:val="20"/>
        </w:rPr>
        <w:t>distribution</w:t>
      </w:r>
      <w:r w:rsidRPr="0025522B">
        <w:rPr>
          <w:rFonts w:cstheme="minorHAnsi"/>
          <w:spacing w:val="15"/>
          <w:w w:val="110"/>
          <w:sz w:val="20"/>
          <w:szCs w:val="20"/>
        </w:rPr>
        <w:t xml:space="preserve"> </w:t>
      </w:r>
      <w:r w:rsidRPr="0025522B">
        <w:rPr>
          <w:rFonts w:cstheme="minorHAnsi"/>
          <w:w w:val="110"/>
          <w:sz w:val="20"/>
          <w:szCs w:val="20"/>
        </w:rPr>
        <w:t>of</w:t>
      </w:r>
      <w:r w:rsidRPr="0025522B">
        <w:rPr>
          <w:rFonts w:cstheme="minorHAnsi"/>
          <w:spacing w:val="15"/>
          <w:w w:val="110"/>
          <w:sz w:val="20"/>
          <w:szCs w:val="20"/>
        </w:rPr>
        <w:t xml:space="preserve"> </w:t>
      </w:r>
      <w:r w:rsidRPr="0025522B">
        <w:rPr>
          <w:rFonts w:cstheme="minorHAnsi"/>
          <w:w w:val="110"/>
          <w:sz w:val="20"/>
          <w:szCs w:val="20"/>
        </w:rPr>
        <w:t>linear</w:t>
      </w:r>
      <w:r w:rsidRPr="0025522B">
        <w:rPr>
          <w:rFonts w:cstheme="minorHAnsi"/>
          <w:spacing w:val="16"/>
          <w:w w:val="110"/>
          <w:sz w:val="20"/>
          <w:szCs w:val="20"/>
        </w:rPr>
        <w:t xml:space="preserve"> </w:t>
      </w:r>
      <w:r w:rsidRPr="0025522B">
        <w:rPr>
          <w:rFonts w:cstheme="minorHAnsi"/>
          <w:w w:val="110"/>
          <w:sz w:val="20"/>
          <w:szCs w:val="20"/>
        </w:rPr>
        <w:t>hydrocarbons</w:t>
      </w:r>
      <w:r w:rsidRPr="0025522B">
        <w:rPr>
          <w:rFonts w:cstheme="minorHAnsi"/>
          <w:spacing w:val="14"/>
          <w:w w:val="110"/>
          <w:sz w:val="20"/>
          <w:szCs w:val="20"/>
        </w:rPr>
        <w:t xml:space="preserve"> </w:t>
      </w:r>
      <w:r w:rsidRPr="0025522B">
        <w:rPr>
          <w:rFonts w:cstheme="minorHAnsi"/>
          <w:w w:val="110"/>
          <w:sz w:val="20"/>
          <w:szCs w:val="20"/>
        </w:rPr>
        <w:t>(saturated,</w:t>
      </w:r>
      <w:r w:rsidRPr="0025522B">
        <w:rPr>
          <w:rFonts w:cstheme="minorHAnsi"/>
          <w:spacing w:val="15"/>
          <w:w w:val="110"/>
          <w:sz w:val="20"/>
          <w:szCs w:val="20"/>
        </w:rPr>
        <w:t xml:space="preserve"> </w:t>
      </w:r>
      <w:r w:rsidRPr="0025522B">
        <w:rPr>
          <w:rFonts w:cstheme="minorHAnsi"/>
          <w:w w:val="110"/>
          <w:sz w:val="20"/>
          <w:szCs w:val="20"/>
        </w:rPr>
        <w:t>mono-,</w:t>
      </w:r>
      <w:r w:rsidRPr="0025522B">
        <w:rPr>
          <w:rFonts w:cstheme="minorHAnsi"/>
          <w:spacing w:val="14"/>
          <w:w w:val="110"/>
          <w:sz w:val="20"/>
          <w:szCs w:val="20"/>
        </w:rPr>
        <w:t xml:space="preserve"> </w:t>
      </w:r>
      <w:r w:rsidRPr="0025522B">
        <w:rPr>
          <w:rFonts w:cstheme="minorHAnsi"/>
          <w:w w:val="110"/>
          <w:sz w:val="20"/>
          <w:szCs w:val="20"/>
        </w:rPr>
        <w:t>and</w:t>
      </w:r>
      <w:r w:rsidRPr="0025522B">
        <w:rPr>
          <w:rFonts w:cstheme="minorHAnsi"/>
          <w:spacing w:val="16"/>
          <w:w w:val="110"/>
          <w:sz w:val="20"/>
          <w:szCs w:val="20"/>
        </w:rPr>
        <w:t xml:space="preserve"> </w:t>
      </w:r>
      <w:r w:rsidRPr="0025522B">
        <w:rPr>
          <w:rFonts w:cstheme="minorHAnsi"/>
          <w:w w:val="110"/>
          <w:sz w:val="20"/>
          <w:szCs w:val="20"/>
        </w:rPr>
        <w:t>di-unsaturated);</w:t>
      </w:r>
      <w:r w:rsidRPr="0025522B">
        <w:rPr>
          <w:rFonts w:cstheme="minorHAnsi"/>
          <w:spacing w:val="15"/>
          <w:w w:val="110"/>
          <w:sz w:val="20"/>
          <w:szCs w:val="20"/>
        </w:rPr>
        <w:t xml:space="preserve"> </w:t>
      </w:r>
      <w:r w:rsidRPr="0025522B">
        <w:rPr>
          <w:rFonts w:cstheme="minorHAnsi"/>
          <w:w w:val="110"/>
          <w:sz w:val="20"/>
          <w:szCs w:val="20"/>
        </w:rPr>
        <w:t>C:</w:t>
      </w:r>
      <w:r w:rsidRPr="0025522B">
        <w:rPr>
          <w:rFonts w:cstheme="minorHAnsi"/>
          <w:spacing w:val="14"/>
          <w:w w:val="110"/>
          <w:sz w:val="20"/>
          <w:szCs w:val="20"/>
        </w:rPr>
        <w:t xml:space="preserve"> </w:t>
      </w:r>
      <w:r w:rsidRPr="0025522B">
        <w:rPr>
          <w:rFonts w:cstheme="minorHAnsi"/>
          <w:w w:val="110"/>
          <w:sz w:val="20"/>
          <w:szCs w:val="20"/>
        </w:rPr>
        <w:t>GC</w:t>
      </w:r>
      <w:r w:rsidRPr="0025522B">
        <w:rPr>
          <w:rFonts w:cstheme="minorHAnsi"/>
          <w:spacing w:val="16"/>
          <w:w w:val="110"/>
          <w:sz w:val="20"/>
          <w:szCs w:val="20"/>
        </w:rPr>
        <w:t xml:space="preserve"> </w:t>
      </w:r>
      <w:r w:rsidRPr="0025522B">
        <w:rPr>
          <w:rFonts w:cstheme="minorHAnsi"/>
          <w:w w:val="110"/>
          <w:sz w:val="20"/>
          <w:szCs w:val="20"/>
        </w:rPr>
        <w:t>×</w:t>
      </w:r>
      <w:r w:rsidRPr="0025522B">
        <w:rPr>
          <w:rFonts w:cstheme="minorHAnsi"/>
          <w:spacing w:val="4"/>
          <w:w w:val="110"/>
          <w:sz w:val="20"/>
          <w:szCs w:val="20"/>
        </w:rPr>
        <w:t xml:space="preserve"> </w:t>
      </w:r>
      <w:r w:rsidRPr="0025522B">
        <w:rPr>
          <w:rFonts w:cstheme="minorHAnsi"/>
          <w:w w:val="110"/>
          <w:sz w:val="20"/>
          <w:szCs w:val="20"/>
        </w:rPr>
        <w:t>GC</w:t>
      </w:r>
      <w:r w:rsidRPr="0025522B">
        <w:rPr>
          <w:rFonts w:cstheme="minorHAnsi"/>
          <w:spacing w:val="14"/>
          <w:w w:val="110"/>
          <w:sz w:val="20"/>
          <w:szCs w:val="20"/>
        </w:rPr>
        <w:t xml:space="preserve"> </w:t>
      </w:r>
      <w:r w:rsidRPr="0025522B">
        <w:rPr>
          <w:rFonts w:cstheme="minorHAnsi"/>
          <w:w w:val="110"/>
          <w:sz w:val="20"/>
          <w:szCs w:val="20"/>
        </w:rPr>
        <w:t>distribution</w:t>
      </w:r>
      <w:r w:rsidRPr="0025522B">
        <w:rPr>
          <w:rFonts w:cstheme="minorHAnsi"/>
          <w:spacing w:val="16"/>
          <w:w w:val="110"/>
          <w:sz w:val="20"/>
          <w:szCs w:val="20"/>
        </w:rPr>
        <w:t xml:space="preserve"> </w:t>
      </w:r>
      <w:r w:rsidRPr="0025522B">
        <w:rPr>
          <w:rFonts w:cstheme="minorHAnsi"/>
          <w:w w:val="110"/>
          <w:sz w:val="20"/>
          <w:szCs w:val="20"/>
        </w:rPr>
        <w:t>of</w:t>
      </w:r>
      <w:r w:rsidRPr="0025522B">
        <w:rPr>
          <w:rFonts w:cstheme="minorHAnsi"/>
          <w:spacing w:val="15"/>
          <w:w w:val="110"/>
          <w:sz w:val="20"/>
          <w:szCs w:val="20"/>
        </w:rPr>
        <w:t xml:space="preserve"> </w:t>
      </w:r>
      <w:r w:rsidRPr="0025522B">
        <w:rPr>
          <w:rFonts w:cstheme="minorHAnsi"/>
          <w:w w:val="110"/>
          <w:sz w:val="20"/>
          <w:szCs w:val="20"/>
        </w:rPr>
        <w:t>polyolefins</w:t>
      </w:r>
      <w:r w:rsidRPr="0025522B">
        <w:rPr>
          <w:rFonts w:cstheme="minorHAnsi"/>
          <w:spacing w:val="14"/>
          <w:w w:val="110"/>
          <w:sz w:val="20"/>
          <w:szCs w:val="20"/>
        </w:rPr>
        <w:t xml:space="preserve"> </w:t>
      </w:r>
      <w:r w:rsidRPr="0025522B">
        <w:rPr>
          <w:rFonts w:cstheme="minorHAnsi"/>
          <w:w w:val="110"/>
          <w:sz w:val="20"/>
          <w:szCs w:val="20"/>
        </w:rPr>
        <w:t>hydrocarbons</w:t>
      </w:r>
      <w:r w:rsidRPr="0025522B">
        <w:rPr>
          <w:rFonts w:cstheme="minorHAnsi"/>
          <w:spacing w:val="16"/>
          <w:w w:val="110"/>
          <w:sz w:val="20"/>
          <w:szCs w:val="20"/>
        </w:rPr>
        <w:t xml:space="preserve"> </w:t>
      </w:r>
      <w:r w:rsidRPr="0025522B">
        <w:rPr>
          <w:rFonts w:cstheme="minorHAnsi"/>
          <w:w w:val="110"/>
          <w:sz w:val="20"/>
          <w:szCs w:val="20"/>
        </w:rPr>
        <w:t>(POH):</w:t>
      </w:r>
      <w:r w:rsidRPr="0025522B">
        <w:rPr>
          <w:rFonts w:cstheme="minorHAnsi"/>
          <w:spacing w:val="15"/>
          <w:w w:val="110"/>
          <w:sz w:val="20"/>
          <w:szCs w:val="20"/>
        </w:rPr>
        <w:t xml:space="preserve"> </w:t>
      </w:r>
      <w:r w:rsidRPr="0025522B">
        <w:rPr>
          <w:rFonts w:cstheme="minorHAnsi"/>
          <w:w w:val="110"/>
          <w:sz w:val="20"/>
          <w:szCs w:val="20"/>
        </w:rPr>
        <w:t>saturated</w:t>
      </w:r>
      <w:r w:rsidRPr="0025522B">
        <w:rPr>
          <w:rFonts w:cstheme="minorHAnsi"/>
          <w:spacing w:val="14"/>
          <w:w w:val="110"/>
          <w:sz w:val="20"/>
          <w:szCs w:val="20"/>
        </w:rPr>
        <w:t xml:space="preserve"> </w:t>
      </w:r>
      <w:r w:rsidRPr="0025522B">
        <w:rPr>
          <w:rFonts w:cstheme="minorHAnsi"/>
          <w:w w:val="110"/>
          <w:sz w:val="20"/>
          <w:szCs w:val="20"/>
        </w:rPr>
        <w:t>(POSH),</w:t>
      </w:r>
      <w:r w:rsidRPr="0025522B">
        <w:rPr>
          <w:rFonts w:cstheme="minorHAnsi"/>
          <w:spacing w:val="16"/>
          <w:w w:val="110"/>
          <w:sz w:val="20"/>
          <w:szCs w:val="20"/>
        </w:rPr>
        <w:t xml:space="preserve"> </w:t>
      </w:r>
      <w:r w:rsidRPr="0025522B">
        <w:rPr>
          <w:rFonts w:cstheme="minorHAnsi"/>
          <w:spacing w:val="-4"/>
          <w:w w:val="110"/>
          <w:sz w:val="20"/>
          <w:szCs w:val="20"/>
        </w:rPr>
        <w:t>mono-</w:t>
      </w:r>
      <w:r w:rsidRPr="0025522B">
        <w:rPr>
          <w:rFonts w:cstheme="minorHAnsi"/>
          <w:w w:val="115"/>
          <w:sz w:val="20"/>
          <w:szCs w:val="20"/>
        </w:rPr>
        <w:t>(POMH) and di-unsaturated</w:t>
      </w:r>
      <w:r w:rsidRPr="0025522B">
        <w:rPr>
          <w:rFonts w:cstheme="minorHAnsi"/>
          <w:spacing w:val="-1"/>
          <w:w w:val="115"/>
          <w:sz w:val="20"/>
          <w:szCs w:val="20"/>
        </w:rPr>
        <w:t xml:space="preserve"> </w:t>
      </w:r>
      <w:r w:rsidRPr="0025522B">
        <w:rPr>
          <w:rFonts w:cstheme="minorHAnsi"/>
          <w:w w:val="115"/>
          <w:sz w:val="20"/>
          <w:szCs w:val="20"/>
        </w:rPr>
        <w:t>(PODH). D:</w:t>
      </w:r>
      <w:r w:rsidRPr="0025522B">
        <w:rPr>
          <w:rFonts w:cstheme="minorHAnsi"/>
          <w:spacing w:val="-1"/>
          <w:w w:val="115"/>
          <w:sz w:val="20"/>
          <w:szCs w:val="20"/>
        </w:rPr>
        <w:t xml:space="preserve"> </w:t>
      </w:r>
      <w:r w:rsidRPr="0025522B">
        <w:rPr>
          <w:rFonts w:cstheme="minorHAnsi"/>
          <w:w w:val="115"/>
          <w:sz w:val="20"/>
          <w:szCs w:val="20"/>
        </w:rPr>
        <w:t>expansion of</w:t>
      </w:r>
      <w:r w:rsidRPr="0025522B">
        <w:rPr>
          <w:rFonts w:cstheme="minorHAnsi"/>
          <w:spacing w:val="-1"/>
          <w:w w:val="115"/>
          <w:sz w:val="20"/>
          <w:szCs w:val="20"/>
        </w:rPr>
        <w:t xml:space="preserve"> </w:t>
      </w:r>
      <w:r w:rsidRPr="0025522B">
        <w:rPr>
          <w:rFonts w:cstheme="minorHAnsi"/>
          <w:w w:val="115"/>
          <w:sz w:val="20"/>
          <w:szCs w:val="20"/>
        </w:rPr>
        <w:t>the</w:t>
      </w:r>
      <w:r w:rsidRPr="0025522B">
        <w:rPr>
          <w:rFonts w:cstheme="minorHAnsi"/>
          <w:spacing w:val="-1"/>
          <w:w w:val="115"/>
          <w:sz w:val="20"/>
          <w:szCs w:val="20"/>
        </w:rPr>
        <w:t xml:space="preserve"> </w:t>
      </w:r>
      <w:r w:rsidRPr="0025522B">
        <w:rPr>
          <w:rFonts w:cstheme="minorHAnsi"/>
          <w:w w:val="115"/>
          <w:sz w:val="20"/>
          <w:szCs w:val="20"/>
        </w:rPr>
        <w:t>black-dotted line</w:t>
      </w:r>
      <w:r w:rsidRPr="0025522B">
        <w:rPr>
          <w:rFonts w:cstheme="minorHAnsi"/>
          <w:spacing w:val="-1"/>
          <w:w w:val="115"/>
          <w:sz w:val="20"/>
          <w:szCs w:val="20"/>
        </w:rPr>
        <w:t xml:space="preserve"> </w:t>
      </w:r>
      <w:r w:rsidRPr="0025522B">
        <w:rPr>
          <w:rFonts w:cstheme="minorHAnsi"/>
          <w:w w:val="115"/>
          <w:sz w:val="20"/>
          <w:szCs w:val="20"/>
        </w:rPr>
        <w:t>in</w:t>
      </w:r>
      <w:r w:rsidRPr="0025522B">
        <w:rPr>
          <w:rFonts w:cstheme="minorHAnsi"/>
          <w:spacing w:val="-1"/>
          <w:w w:val="115"/>
          <w:sz w:val="20"/>
          <w:szCs w:val="20"/>
        </w:rPr>
        <w:t xml:space="preserve"> </w:t>
      </w:r>
      <w:hyperlink w:anchor="_bookmark8" w:history="1">
        <w:r w:rsidRPr="0025522B">
          <w:rPr>
            <w:rFonts w:cstheme="minorHAnsi"/>
            <w:color w:val="2196D1"/>
            <w:w w:val="115"/>
            <w:sz w:val="20"/>
            <w:szCs w:val="20"/>
          </w:rPr>
          <w:t>Fig. 1</w:t>
        </w:r>
      </w:hyperlink>
      <w:r w:rsidRPr="0025522B">
        <w:rPr>
          <w:rFonts w:cstheme="minorHAnsi"/>
          <w:w w:val="115"/>
          <w:sz w:val="20"/>
          <w:szCs w:val="20"/>
        </w:rPr>
        <w:t>A</w:t>
      </w:r>
      <w:r w:rsidRPr="0025522B">
        <w:rPr>
          <w:rFonts w:cstheme="minorHAnsi"/>
          <w:spacing w:val="-1"/>
          <w:w w:val="115"/>
          <w:sz w:val="20"/>
          <w:szCs w:val="20"/>
        </w:rPr>
        <w:t xml:space="preserve"> </w:t>
      </w:r>
      <w:r w:rsidRPr="0025522B">
        <w:rPr>
          <w:rFonts w:cstheme="minorHAnsi"/>
          <w:w w:val="115"/>
          <w:sz w:val="20"/>
          <w:szCs w:val="20"/>
        </w:rPr>
        <w:t>in</w:t>
      </w:r>
      <w:r w:rsidRPr="0025522B">
        <w:rPr>
          <w:rFonts w:cstheme="minorHAnsi"/>
          <w:spacing w:val="-1"/>
          <w:w w:val="115"/>
          <w:sz w:val="20"/>
          <w:szCs w:val="20"/>
        </w:rPr>
        <w:t xml:space="preserve"> </w:t>
      </w:r>
      <w:r w:rsidRPr="0025522B">
        <w:rPr>
          <w:rFonts w:cstheme="minorHAnsi"/>
          <w:w w:val="115"/>
          <w:sz w:val="20"/>
          <w:szCs w:val="20"/>
        </w:rPr>
        <w:t>the range</w:t>
      </w:r>
      <w:r w:rsidRPr="0025522B">
        <w:rPr>
          <w:rFonts w:cstheme="minorHAnsi"/>
          <w:spacing w:val="-1"/>
          <w:w w:val="115"/>
          <w:sz w:val="20"/>
          <w:szCs w:val="20"/>
        </w:rPr>
        <w:t xml:space="preserve"> </w:t>
      </w:r>
      <w:r w:rsidRPr="0025522B">
        <w:rPr>
          <w:rFonts w:cstheme="minorHAnsi"/>
          <w:w w:val="115"/>
          <w:sz w:val="20"/>
          <w:szCs w:val="20"/>
        </w:rPr>
        <w:t>of</w:t>
      </w:r>
      <w:r w:rsidRPr="0025522B">
        <w:rPr>
          <w:rFonts w:cstheme="minorHAnsi"/>
          <w:spacing w:val="-1"/>
          <w:w w:val="115"/>
          <w:sz w:val="20"/>
          <w:szCs w:val="20"/>
        </w:rPr>
        <w:t xml:space="preserve"> </w:t>
      </w:r>
      <w:r w:rsidRPr="0025522B">
        <w:rPr>
          <w:rFonts w:cstheme="minorHAnsi"/>
          <w:w w:val="115"/>
          <w:sz w:val="20"/>
          <w:szCs w:val="20"/>
        </w:rPr>
        <w:t>C</w:t>
      </w:r>
      <w:r w:rsidRPr="0025522B">
        <w:rPr>
          <w:rFonts w:cstheme="minorHAnsi"/>
          <w:w w:val="115"/>
          <w:sz w:val="20"/>
          <w:szCs w:val="20"/>
          <w:vertAlign w:val="subscript"/>
        </w:rPr>
        <w:t>21</w:t>
      </w:r>
      <w:r w:rsidRPr="0025522B">
        <w:rPr>
          <w:rFonts w:cstheme="minorHAnsi"/>
          <w:w w:val="115"/>
          <w:sz w:val="20"/>
          <w:szCs w:val="20"/>
        </w:rPr>
        <w:t xml:space="preserve"> -C</w:t>
      </w:r>
      <w:r w:rsidRPr="0025522B">
        <w:rPr>
          <w:rFonts w:cstheme="minorHAnsi"/>
          <w:w w:val="115"/>
          <w:sz w:val="20"/>
          <w:szCs w:val="20"/>
          <w:vertAlign w:val="subscript"/>
        </w:rPr>
        <w:t>23</w:t>
      </w:r>
      <w:r w:rsidRPr="0025522B">
        <w:rPr>
          <w:rFonts w:cstheme="minorHAnsi"/>
          <w:w w:val="115"/>
          <w:sz w:val="20"/>
          <w:szCs w:val="20"/>
        </w:rPr>
        <w:t>;</w:t>
      </w:r>
      <w:r w:rsidRPr="0025522B">
        <w:rPr>
          <w:rFonts w:cstheme="minorHAnsi"/>
          <w:spacing w:val="-1"/>
          <w:w w:val="115"/>
          <w:sz w:val="20"/>
          <w:szCs w:val="20"/>
        </w:rPr>
        <w:t xml:space="preserve"> </w:t>
      </w:r>
      <w:r w:rsidRPr="0025522B">
        <w:rPr>
          <w:rFonts w:cstheme="minorHAnsi"/>
          <w:w w:val="115"/>
          <w:sz w:val="20"/>
          <w:szCs w:val="20"/>
        </w:rPr>
        <w:t>chemical class</w:t>
      </w:r>
      <w:r w:rsidRPr="0025522B">
        <w:rPr>
          <w:rFonts w:cstheme="minorHAnsi"/>
          <w:spacing w:val="-1"/>
          <w:w w:val="115"/>
          <w:sz w:val="20"/>
          <w:szCs w:val="20"/>
        </w:rPr>
        <w:t xml:space="preserve"> </w:t>
      </w:r>
      <w:r w:rsidRPr="0025522B">
        <w:rPr>
          <w:rFonts w:cstheme="minorHAnsi"/>
          <w:w w:val="115"/>
          <w:sz w:val="20"/>
          <w:szCs w:val="20"/>
        </w:rPr>
        <w:t>separation</w:t>
      </w:r>
      <w:r w:rsidRPr="0025522B">
        <w:rPr>
          <w:rFonts w:cstheme="minorHAnsi"/>
          <w:spacing w:val="-1"/>
          <w:w w:val="115"/>
          <w:sz w:val="20"/>
          <w:szCs w:val="20"/>
        </w:rPr>
        <w:t xml:space="preserve"> </w:t>
      </w:r>
      <w:r w:rsidRPr="0025522B">
        <w:rPr>
          <w:rFonts w:cstheme="minorHAnsi"/>
          <w:w w:val="115"/>
          <w:sz w:val="20"/>
          <w:szCs w:val="20"/>
        </w:rPr>
        <w:t>according to</w:t>
      </w:r>
      <w:r w:rsidRPr="0025522B">
        <w:rPr>
          <w:rFonts w:cstheme="minorHAnsi"/>
          <w:spacing w:val="-1"/>
          <w:w w:val="115"/>
          <w:sz w:val="20"/>
          <w:szCs w:val="20"/>
        </w:rPr>
        <w:t xml:space="preserve"> </w:t>
      </w:r>
      <w:r w:rsidRPr="0025522B">
        <w:rPr>
          <w:rFonts w:cstheme="minorHAnsi"/>
          <w:w w:val="115"/>
          <w:sz w:val="20"/>
          <w:szCs w:val="20"/>
        </w:rPr>
        <w:t xml:space="preserve">the carbon group. (For interpretation of the references to color in </w:t>
      </w:r>
      <w:proofErr w:type="gramStart"/>
      <w:r w:rsidRPr="0025522B">
        <w:rPr>
          <w:rFonts w:cstheme="minorHAnsi"/>
          <w:w w:val="115"/>
          <w:sz w:val="20"/>
          <w:szCs w:val="20"/>
        </w:rPr>
        <w:t>this figure</w:t>
      </w:r>
      <w:proofErr w:type="gramEnd"/>
      <w:r w:rsidRPr="0025522B">
        <w:rPr>
          <w:rFonts w:cstheme="minorHAnsi"/>
          <w:w w:val="115"/>
          <w:sz w:val="20"/>
          <w:szCs w:val="20"/>
        </w:rPr>
        <w:t xml:space="preserve"> legend, the reader is referred to the Web version of this article.)</w:t>
      </w:r>
    </w:p>
    <w:p w14:paraId="757C3299" w14:textId="19A50420" w:rsidR="00160DB4" w:rsidRDefault="00160DB4" w:rsidP="00160DB4">
      <w:pPr>
        <w:ind w:firstLine="720"/>
        <w:jc w:val="both"/>
      </w:pPr>
      <w:r>
        <w:lastRenderedPageBreak/>
        <w:t>The identification of the observed chemical species is highly challenging. The hydrocarbons present very similar MS fragmentation patterns with EI, even if lower kinetic energies than 70 eV is applied, making their identification a difficult task [25–27]. Of course, the use of LRI as an additional identification filter can help to rule in/out com- pound identities during the identification process, but not always this information is available, nor when a most common non-polar column is</w:t>
      </w:r>
      <w:r>
        <w:t xml:space="preserve"> </w:t>
      </w:r>
      <w:r>
        <w:t>used as a 1D column. The tentative identification by GC × GC-LR-EI-TOFMS was based on different criteria:</w:t>
      </w:r>
    </w:p>
    <w:p w14:paraId="38AE1FF4" w14:textId="77777777" w:rsidR="00160DB4" w:rsidRDefault="00160DB4" w:rsidP="00160DB4">
      <w:pPr>
        <w:jc w:val="both"/>
      </w:pPr>
    </w:p>
    <w:p w14:paraId="6921B515" w14:textId="29BDB636" w:rsidR="00160DB4" w:rsidRPr="00F15996" w:rsidRDefault="00160DB4" w:rsidP="00160DB4">
      <w:pPr>
        <w:pStyle w:val="Paragraphedeliste"/>
        <w:numPr>
          <w:ilvl w:val="0"/>
          <w:numId w:val="5"/>
        </w:numPr>
        <w:jc w:val="both"/>
        <w:rPr>
          <w:rFonts w:asciiTheme="minorHAnsi" w:hAnsiTheme="minorHAnsi" w:cstheme="minorHAnsi"/>
        </w:rPr>
      </w:pPr>
      <w:r w:rsidRPr="00F15996">
        <w:rPr>
          <w:rFonts w:asciiTheme="minorHAnsi" w:hAnsiTheme="minorHAnsi" w:cstheme="minorHAnsi"/>
        </w:rPr>
        <w:t>mass spectral EI database matching at 70 eV (≥800/1000), and MS database and spectrum interpretation when MS% &lt; 800/ 1000</w:t>
      </w:r>
      <w:r w:rsidR="00F073D4" w:rsidRPr="00F15996">
        <w:rPr>
          <w:rFonts w:asciiTheme="minorHAnsi" w:hAnsiTheme="minorHAnsi" w:cstheme="minorHAnsi"/>
        </w:rPr>
        <w:t>)</w:t>
      </w:r>
      <w:r w:rsidR="00F073D4">
        <w:rPr>
          <w:rFonts w:asciiTheme="minorHAnsi" w:hAnsiTheme="minorHAnsi" w:cstheme="minorHAnsi"/>
        </w:rPr>
        <w:t>;</w:t>
      </w:r>
    </w:p>
    <w:p w14:paraId="7E06B4C5" w14:textId="5304144F" w:rsidR="00160DB4" w:rsidRPr="00F15996" w:rsidRDefault="00160DB4" w:rsidP="00160DB4">
      <w:pPr>
        <w:pStyle w:val="Paragraphedeliste"/>
        <w:numPr>
          <w:ilvl w:val="0"/>
          <w:numId w:val="5"/>
        </w:numPr>
        <w:jc w:val="both"/>
        <w:rPr>
          <w:rFonts w:asciiTheme="minorHAnsi" w:hAnsiTheme="minorHAnsi" w:cstheme="minorHAnsi"/>
        </w:rPr>
      </w:pPr>
      <w:r w:rsidRPr="00F15996">
        <w:rPr>
          <w:rFonts w:asciiTheme="minorHAnsi" w:hAnsiTheme="minorHAnsi" w:cstheme="minorHAnsi"/>
        </w:rPr>
        <w:t xml:space="preserve">LRI window in the ±20 range, based on the 1D LRI information reported in the NIST </w:t>
      </w:r>
      <w:r w:rsidR="00F073D4" w:rsidRPr="00F15996">
        <w:rPr>
          <w:rFonts w:asciiTheme="minorHAnsi" w:hAnsiTheme="minorHAnsi" w:cstheme="minorHAnsi"/>
        </w:rPr>
        <w:t>database</w:t>
      </w:r>
      <w:r w:rsidR="00F073D4">
        <w:rPr>
          <w:rFonts w:asciiTheme="minorHAnsi" w:hAnsiTheme="minorHAnsi" w:cstheme="minorHAnsi"/>
        </w:rPr>
        <w:t>;</w:t>
      </w:r>
    </w:p>
    <w:p w14:paraId="49B263D3" w14:textId="77777777" w:rsidR="00160DB4" w:rsidRDefault="00160DB4" w:rsidP="00160DB4">
      <w:pPr>
        <w:pStyle w:val="Paragraphedeliste"/>
        <w:ind w:left="1440" w:firstLine="0"/>
        <w:jc w:val="both"/>
      </w:pPr>
    </w:p>
    <w:p w14:paraId="6B34CA0D" w14:textId="6251E0A0" w:rsidR="002F15E4" w:rsidRPr="002F15E4" w:rsidRDefault="00160DB4" w:rsidP="00160DB4">
      <w:pPr>
        <w:jc w:val="both"/>
      </w:pPr>
      <w:r>
        <w:t xml:space="preserve">Moreover, chemical class 2D-GC plane locations can also support the identification capability at the molecular </w:t>
      </w:r>
      <w:proofErr w:type="gramStart"/>
      <w:r>
        <w:t>lever</w:t>
      </w:r>
      <w:proofErr w:type="gramEnd"/>
      <w:r>
        <w:t>, providing structural information regarding the different chemical classes based on their location in the 2D chromatographic space.</w:t>
      </w:r>
    </w:p>
    <w:p w14:paraId="60559B6C" w14:textId="77777777" w:rsidR="000F4F69" w:rsidRPr="00763248" w:rsidRDefault="000F4F69" w:rsidP="00057886"/>
    <w:p w14:paraId="4132B015" w14:textId="074C7912" w:rsidR="000F4F69" w:rsidRDefault="002F15E4" w:rsidP="00036B2F">
      <w:pPr>
        <w:pStyle w:val="Titre2"/>
        <w:ind w:firstLine="43"/>
        <w:jc w:val="both"/>
      </w:pPr>
      <w:r>
        <w:t>OPTIMISATION OF PTV CONDITIONS</w:t>
      </w:r>
      <w:r w:rsidR="000F4F69">
        <w:t xml:space="preserve"> </w:t>
      </w:r>
    </w:p>
    <w:p w14:paraId="3245E1D0" w14:textId="77777777" w:rsidR="00036B2F" w:rsidRDefault="00036B2F" w:rsidP="00057886"/>
    <w:p w14:paraId="2BE8018B" w14:textId="77777777" w:rsidR="00036B2F" w:rsidRDefault="00036B2F" w:rsidP="00036B2F">
      <w:pPr>
        <w:jc w:val="both"/>
      </w:pPr>
      <w:r>
        <w:tab/>
      </w:r>
      <w:r>
        <w:t xml:space="preserve">The split injection condition of FM-GC × GC-LR-EI-TOFMS was applied on the PTV injector operating with the hot split mode. However, </w:t>
      </w:r>
      <w:r>
        <w:t xml:space="preserve">significant discrimination </w:t>
      </w:r>
      <w:r>
        <w:t>of high-boiling-point</w:t>
      </w:r>
      <w:r>
        <w:t xml:space="preserve"> compounds was </w:t>
      </w:r>
      <w:r>
        <w:t>observed. The discrimination could not be significantly eliminated by injecting using pulsed split mode. Finally, the solvent vent mode was</w:t>
      </w:r>
      <w:r>
        <w:t xml:space="preserve"> </w:t>
      </w:r>
      <w:r>
        <w:t>selected to mitigate the discrimination caused by the PTV injector, since it was reported to be capable to analyze a wide range of carbon numbers with high-boiling-point compounds [28]. Moreover, the solvent vent mode, which is a large volume injection, ensured a proper response while using the relatively lower sensitivity PI as the ion source. MS also has a discrimination effect on the responses of hydrocarbons. However, mitigating the discrimination caused by MS is not the purpose of this study.</w:t>
      </w:r>
    </w:p>
    <w:p w14:paraId="13761200" w14:textId="15E16C53" w:rsidR="00036B2F" w:rsidRDefault="00036B2F" w:rsidP="00036B2F">
      <w:pPr>
        <w:ind w:firstLine="720"/>
        <w:jc w:val="both"/>
      </w:pPr>
      <w:r>
        <w:t xml:space="preserve">In solvent vent mode, the inlet is in split mode with a low initial temperature and a low inlet pressure. When a sample is injected, the analytes are accumulated on the liner wall while the solvent is evaporated. Then the inlet switches to </w:t>
      </w:r>
      <w:proofErr w:type="spellStart"/>
      <w:r>
        <w:t>splitless</w:t>
      </w:r>
      <w:proofErr w:type="spellEnd"/>
      <w:r>
        <w:t xml:space="preserve"> mode and heats up to transfer the analytes to the column. GC oven is also under an appropriate initial temperature so that the solvent can refocus the analytes on the column. As reported by Piparo and coworkers, the initial temperature of the oven</w:t>
      </w:r>
      <w:r>
        <w:t xml:space="preserve"> </w:t>
      </w:r>
      <w:r>
        <w:t xml:space="preserve">and the injector significantly </w:t>
      </w:r>
      <w:proofErr w:type="gramStart"/>
      <w:r>
        <w:t>affects</w:t>
      </w:r>
      <w:proofErr w:type="gramEnd"/>
      <w:r>
        <w:t xml:space="preserve"> the recovery of low-boiling-point compounds [28]. Setting both the oven and the injector at 30 ◦C produced the highest recovery of nonane [30]. Due to the lack of a cooling module on the employed PTV injector in this study, we selected 50 ◦C as a good compromise between low temperature and fast pre-run time. As</w:t>
      </w:r>
      <w:r>
        <w:t xml:space="preserve"> </w:t>
      </w:r>
      <w:r>
        <w:t>the results presented by Piparo and coworkers, the best initial temperature of the oven was 50 ◦C while the injector temperature was 50 ◦C [28]. Therefore, the initial oven and injector temperature were set at 50 ◦C accordingly. The temperature program of the PTV injector applied in this study was also referred to as the method applied in the above</w:t>
      </w:r>
      <w:r>
        <w:t xml:space="preserve"> </w:t>
      </w:r>
      <w:r>
        <w:t xml:space="preserve">research. Besides the temperatures, the vent pressure, vent flow, and vent time are three crucial parameters of the solvent vent mode. To be specific, the vent pressure is the initial inlet pressure when venting starts. The vent time is the </w:t>
      </w:r>
      <w:proofErr w:type="gramStart"/>
      <w:r>
        <w:t>time period</w:t>
      </w:r>
      <w:proofErr w:type="gramEnd"/>
      <w:r>
        <w:t xml:space="preserve"> that the inlet keeps in </w:t>
      </w:r>
      <w:proofErr w:type="gramStart"/>
      <w:r>
        <w:t>the split</w:t>
      </w:r>
      <w:proofErr w:type="gramEnd"/>
      <w:r>
        <w:t xml:space="preserve"> mode. The vent flow is also conducted when the inlet is in split mode. To optimize the above three factors, an experimental design was conducted. As it is a three-factor design, CCD is more efficient than a three-factor-three-level factorial design since fewer experimental points are required. Moreover, a </w:t>
      </w:r>
      <w:r>
        <w:lastRenderedPageBreak/>
        <w:t>rotatable CCD applied in this study provides constant prediction variance at the points that are at an equal distance from the central point [29].</w:t>
      </w:r>
    </w:p>
    <w:p w14:paraId="2B175369" w14:textId="59CE3EF9" w:rsidR="00036B2F" w:rsidRDefault="00036B2F" w:rsidP="00036B2F">
      <w:pPr>
        <w:ind w:firstLine="720"/>
        <w:jc w:val="both"/>
      </w:pPr>
      <w:r>
        <w:t xml:space="preserve">The pyrolysis oil was used in the CCD experiments. The peak volumes of alkanes (C9-39) were used to calculate the response surfaces to evaluate the best condition for a full range of alkanes. Excluding some alkanes which are stationary points of the response surface falling out of the box or near the stationary ridge, the 3D response surface plots of 21 alkanes are presented in Fig. S1. The maximum point of the response surface indicated the best combination of representative parameters. As can be seen from the response surfaces of vent pressure versus vent time, the maximum points were around the central point for C9, C10, C11, C19, C20, C21, C23, C25, C26, C27, C28, </w:t>
      </w:r>
      <w:proofErr w:type="gramStart"/>
      <w:r>
        <w:t>C29, C30</w:t>
      </w:r>
      <w:proofErr w:type="gramEnd"/>
      <w:r>
        <w:t xml:space="preserve">, C31, </w:t>
      </w:r>
      <w:proofErr w:type="gramStart"/>
      <w:r>
        <w:t>C32, C33</w:t>
      </w:r>
      <w:proofErr w:type="gramEnd"/>
      <w:r>
        <w:t>, C34, C35, C36, and</w:t>
      </w:r>
      <w:r>
        <w:t xml:space="preserve"> </w:t>
      </w:r>
      <w:r>
        <w:t>C37 alkanes. While C38 did not show regular dome shape response sur- faces. The vent pressure and the vent time had a significant impact on the response of alkanes, especially for C19-38. Under the same vent flow condition, if the vent time is too long, more analytes are vented out before being transferred to the column which leads to lower response. If the vent time is too short, there is discrimination of the high-boiling</w:t>
      </w:r>
      <w:r>
        <w:t xml:space="preserve"> </w:t>
      </w:r>
      <w:r>
        <w:t>point analytes in the GC liner [30]. If the vent pressure is too high, more solvent is loaded on the column before analytes are transferred, which would also cause a low response. The vent flow did not have much impact on the response of the relatively higher-boiling-point alkanes, namely C19-38. However, for low-boiling-point alkanes (C9-11), higher vent flow resulted in a lower response (Figure S1). This is because the higher vent flow removed part of the low-boiling-point alkanes together with the solvent. Most of the alkanes showed the calculated stationary points close to the central point (Table 1). In summary, the average of</w:t>
      </w:r>
      <w:r>
        <w:t xml:space="preserve"> </w:t>
      </w:r>
      <w:r>
        <w:t>the stationary points was a vent pressure of 72.38 kPa, a vent flow of</w:t>
      </w:r>
    </w:p>
    <w:p w14:paraId="70A208CC" w14:textId="38E7A1C9" w:rsidR="00036B2F" w:rsidRDefault="00036B2F" w:rsidP="00036B2F">
      <w:pPr>
        <w:jc w:val="both"/>
      </w:pPr>
      <w:r>
        <w:t>29.60 mL min</w:t>
      </w:r>
      <w:r w:rsidRPr="00036B2F">
        <w:rPr>
          <w:vertAlign w:val="superscript"/>
        </w:rPr>
        <w:t>—1</w:t>
      </w:r>
      <w:r>
        <w:t>, and a vent time of 0.45 min, which was close to the central point in the CCD (72.39 kPa, 25.00 mL min—1, 0.50 min). The repeatability of the central points of CCD (n = 10) was below 17% (coefficient variation) except for C36-39 which was above 22%.</w:t>
      </w:r>
    </w:p>
    <w:p w14:paraId="54B8486D" w14:textId="77777777" w:rsidR="00546FCC" w:rsidRDefault="00546FCC" w:rsidP="00036B2F">
      <w:pPr>
        <w:jc w:val="both"/>
      </w:pPr>
    </w:p>
    <w:p w14:paraId="3CBF6347" w14:textId="77777777" w:rsidR="00546FCC" w:rsidRPr="00546FCC" w:rsidRDefault="00546FCC" w:rsidP="00546FCC">
      <w:pPr>
        <w:spacing w:before="116"/>
        <w:ind w:left="43"/>
        <w:rPr>
          <w:b/>
          <w:sz w:val="20"/>
          <w:szCs w:val="20"/>
        </w:rPr>
      </w:pPr>
      <w:r w:rsidRPr="00546FCC">
        <w:rPr>
          <w:b/>
          <w:w w:val="110"/>
          <w:sz w:val="20"/>
          <w:szCs w:val="20"/>
        </w:rPr>
        <w:t>Table</w:t>
      </w:r>
      <w:r w:rsidRPr="00546FCC">
        <w:rPr>
          <w:b/>
          <w:spacing w:val="1"/>
          <w:w w:val="110"/>
          <w:sz w:val="20"/>
          <w:szCs w:val="20"/>
        </w:rPr>
        <w:t xml:space="preserve"> </w:t>
      </w:r>
      <w:r w:rsidRPr="00546FCC">
        <w:rPr>
          <w:b/>
          <w:spacing w:val="-10"/>
          <w:w w:val="110"/>
          <w:sz w:val="20"/>
          <w:szCs w:val="20"/>
        </w:rPr>
        <w:t>1</w:t>
      </w:r>
    </w:p>
    <w:p w14:paraId="64CC7600" w14:textId="12D7B991" w:rsidR="00546FCC" w:rsidRDefault="00546FCC" w:rsidP="00546FCC">
      <w:pPr>
        <w:spacing w:before="30"/>
        <w:ind w:left="43"/>
        <w:rPr>
          <w:spacing w:val="-2"/>
          <w:w w:val="110"/>
          <w:sz w:val="20"/>
          <w:szCs w:val="20"/>
        </w:rPr>
      </w:pPr>
      <w:r w:rsidRPr="00546FCC">
        <w:rPr>
          <w:w w:val="110"/>
          <w:sz w:val="20"/>
          <w:szCs w:val="20"/>
        </w:rPr>
        <w:t>The</w:t>
      </w:r>
      <w:r w:rsidRPr="00546FCC">
        <w:rPr>
          <w:spacing w:val="10"/>
          <w:w w:val="110"/>
          <w:sz w:val="20"/>
          <w:szCs w:val="20"/>
        </w:rPr>
        <w:t xml:space="preserve"> </w:t>
      </w:r>
      <w:r w:rsidRPr="00546FCC">
        <w:rPr>
          <w:w w:val="110"/>
          <w:sz w:val="20"/>
          <w:szCs w:val="20"/>
        </w:rPr>
        <w:t>stationary</w:t>
      </w:r>
      <w:r w:rsidRPr="00546FCC">
        <w:rPr>
          <w:spacing w:val="9"/>
          <w:w w:val="110"/>
          <w:sz w:val="20"/>
          <w:szCs w:val="20"/>
        </w:rPr>
        <w:t xml:space="preserve"> </w:t>
      </w:r>
      <w:r w:rsidRPr="00546FCC">
        <w:rPr>
          <w:w w:val="110"/>
          <w:sz w:val="20"/>
          <w:szCs w:val="20"/>
        </w:rPr>
        <w:t>points</w:t>
      </w:r>
      <w:r w:rsidRPr="00546FCC">
        <w:rPr>
          <w:spacing w:val="11"/>
          <w:w w:val="110"/>
          <w:sz w:val="20"/>
          <w:szCs w:val="20"/>
        </w:rPr>
        <w:t xml:space="preserve"> </w:t>
      </w:r>
      <w:r w:rsidRPr="00546FCC">
        <w:rPr>
          <w:w w:val="110"/>
          <w:sz w:val="20"/>
          <w:szCs w:val="20"/>
        </w:rPr>
        <w:t>of</w:t>
      </w:r>
      <w:r w:rsidRPr="00546FCC">
        <w:rPr>
          <w:spacing w:val="11"/>
          <w:w w:val="110"/>
          <w:sz w:val="20"/>
          <w:szCs w:val="20"/>
        </w:rPr>
        <w:t xml:space="preserve"> </w:t>
      </w:r>
      <w:r w:rsidRPr="00546FCC">
        <w:rPr>
          <w:w w:val="110"/>
          <w:sz w:val="20"/>
          <w:szCs w:val="20"/>
        </w:rPr>
        <w:t>the</w:t>
      </w:r>
      <w:r w:rsidRPr="00546FCC">
        <w:rPr>
          <w:spacing w:val="10"/>
          <w:w w:val="110"/>
          <w:sz w:val="20"/>
          <w:szCs w:val="20"/>
        </w:rPr>
        <w:t xml:space="preserve"> </w:t>
      </w:r>
      <w:r w:rsidRPr="00546FCC">
        <w:rPr>
          <w:w w:val="110"/>
          <w:sz w:val="20"/>
          <w:szCs w:val="20"/>
        </w:rPr>
        <w:t>response</w:t>
      </w:r>
      <w:r w:rsidRPr="00546FCC">
        <w:rPr>
          <w:spacing w:val="10"/>
          <w:w w:val="110"/>
          <w:sz w:val="20"/>
          <w:szCs w:val="20"/>
        </w:rPr>
        <w:t xml:space="preserve"> </w:t>
      </w:r>
      <w:r w:rsidRPr="00546FCC">
        <w:rPr>
          <w:w w:val="110"/>
          <w:sz w:val="20"/>
          <w:szCs w:val="20"/>
        </w:rPr>
        <w:t>surfaces</w:t>
      </w:r>
      <w:r w:rsidRPr="00546FCC">
        <w:rPr>
          <w:spacing w:val="10"/>
          <w:w w:val="110"/>
          <w:sz w:val="20"/>
          <w:szCs w:val="20"/>
        </w:rPr>
        <w:t xml:space="preserve"> </w:t>
      </w:r>
      <w:r w:rsidRPr="00546FCC">
        <w:rPr>
          <w:w w:val="110"/>
          <w:sz w:val="20"/>
          <w:szCs w:val="20"/>
        </w:rPr>
        <w:t>of</w:t>
      </w:r>
      <w:r w:rsidRPr="00546FCC">
        <w:rPr>
          <w:spacing w:val="11"/>
          <w:w w:val="110"/>
          <w:sz w:val="20"/>
          <w:szCs w:val="20"/>
        </w:rPr>
        <w:t xml:space="preserve"> </w:t>
      </w:r>
      <w:r w:rsidRPr="00546FCC">
        <w:rPr>
          <w:spacing w:val="-2"/>
          <w:w w:val="110"/>
          <w:sz w:val="20"/>
          <w:szCs w:val="20"/>
        </w:rPr>
        <w:t>alkanes.</w:t>
      </w:r>
    </w:p>
    <w:p w14:paraId="0D681570" w14:textId="77777777" w:rsidR="00666349" w:rsidRPr="00666349" w:rsidRDefault="00666349" w:rsidP="00546FCC">
      <w:pPr>
        <w:spacing w:before="30"/>
        <w:ind w:left="43"/>
        <w:rPr>
          <w:spacing w:val="-2"/>
          <w:w w:val="110"/>
          <w:sz w:val="10"/>
          <w:szCs w:val="10"/>
        </w:rPr>
      </w:pPr>
    </w:p>
    <w:tbl>
      <w:tblPr>
        <w:tblStyle w:val="TableNormal"/>
        <w:tblW w:w="0" w:type="auto"/>
        <w:jc w:val="center"/>
        <w:tblLayout w:type="fixed"/>
        <w:tblLook w:val="01E0" w:firstRow="1" w:lastRow="1" w:firstColumn="1" w:lastColumn="1" w:noHBand="0" w:noVBand="0"/>
      </w:tblPr>
      <w:tblGrid>
        <w:gridCol w:w="997"/>
        <w:gridCol w:w="1368"/>
        <w:gridCol w:w="1501"/>
        <w:gridCol w:w="1154"/>
      </w:tblGrid>
      <w:tr w:rsidR="00546FCC" w:rsidRPr="00546FCC" w14:paraId="28D6F98D" w14:textId="77777777" w:rsidTr="00546FCC">
        <w:trPr>
          <w:trHeight w:val="253"/>
          <w:jc w:val="center"/>
        </w:trPr>
        <w:tc>
          <w:tcPr>
            <w:tcW w:w="997" w:type="dxa"/>
            <w:tcBorders>
              <w:top w:val="single" w:sz="4" w:space="0" w:color="000000"/>
              <w:bottom w:val="single" w:sz="4" w:space="0" w:color="000000"/>
            </w:tcBorders>
          </w:tcPr>
          <w:p w14:paraId="671F2C11" w14:textId="77777777" w:rsidR="00546FCC" w:rsidRPr="00546FCC" w:rsidRDefault="00546FCC" w:rsidP="00546FCC">
            <w:pPr>
              <w:jc w:val="both"/>
              <w:rPr>
                <w:rFonts w:cstheme="minorHAnsi"/>
                <w:sz w:val="16"/>
                <w:szCs w:val="16"/>
              </w:rPr>
            </w:pPr>
            <w:r w:rsidRPr="00546FCC">
              <w:rPr>
                <w:rFonts w:cstheme="minorHAnsi"/>
                <w:sz w:val="16"/>
                <w:szCs w:val="16"/>
              </w:rPr>
              <w:t>Alkane</w:t>
            </w:r>
          </w:p>
        </w:tc>
        <w:tc>
          <w:tcPr>
            <w:tcW w:w="1368" w:type="dxa"/>
            <w:tcBorders>
              <w:top w:val="single" w:sz="4" w:space="0" w:color="000000"/>
              <w:bottom w:val="single" w:sz="4" w:space="0" w:color="000000"/>
            </w:tcBorders>
          </w:tcPr>
          <w:p w14:paraId="31EA695C" w14:textId="77777777" w:rsidR="00546FCC" w:rsidRPr="00546FCC" w:rsidRDefault="00546FCC" w:rsidP="00546FCC">
            <w:pPr>
              <w:jc w:val="both"/>
              <w:rPr>
                <w:rFonts w:cstheme="minorHAnsi"/>
                <w:sz w:val="16"/>
                <w:szCs w:val="16"/>
              </w:rPr>
            </w:pPr>
            <w:r w:rsidRPr="00546FCC">
              <w:rPr>
                <w:rFonts w:cstheme="minorHAnsi"/>
                <w:sz w:val="16"/>
                <w:szCs w:val="16"/>
              </w:rPr>
              <w:t>Vent pressure (kPa)</w:t>
            </w:r>
          </w:p>
        </w:tc>
        <w:tc>
          <w:tcPr>
            <w:tcW w:w="1501" w:type="dxa"/>
            <w:tcBorders>
              <w:top w:val="single" w:sz="4" w:space="0" w:color="000000"/>
              <w:bottom w:val="single" w:sz="4" w:space="0" w:color="000000"/>
            </w:tcBorders>
          </w:tcPr>
          <w:p w14:paraId="08D8B874" w14:textId="77777777" w:rsidR="00546FCC" w:rsidRPr="00546FCC" w:rsidRDefault="00546FCC" w:rsidP="00546FCC">
            <w:pPr>
              <w:jc w:val="both"/>
              <w:rPr>
                <w:rFonts w:cstheme="minorHAnsi"/>
                <w:sz w:val="16"/>
                <w:szCs w:val="16"/>
              </w:rPr>
            </w:pPr>
            <w:r w:rsidRPr="00546FCC">
              <w:rPr>
                <w:rFonts w:cstheme="minorHAnsi"/>
                <w:sz w:val="16"/>
                <w:szCs w:val="16"/>
              </w:rPr>
              <w:t>Vent flow (mL min</w:t>
            </w:r>
            <w:r w:rsidRPr="00546FCC">
              <w:rPr>
                <w:rFonts w:cstheme="minorHAnsi"/>
                <w:sz w:val="16"/>
                <w:szCs w:val="16"/>
                <w:vertAlign w:val="superscript"/>
              </w:rPr>
              <w:t>—1</w:t>
            </w:r>
            <w:r w:rsidRPr="00546FCC">
              <w:rPr>
                <w:rFonts w:cstheme="minorHAnsi"/>
                <w:sz w:val="16"/>
                <w:szCs w:val="16"/>
              </w:rPr>
              <w:t>)</w:t>
            </w:r>
          </w:p>
        </w:tc>
        <w:tc>
          <w:tcPr>
            <w:tcW w:w="1154" w:type="dxa"/>
            <w:tcBorders>
              <w:top w:val="single" w:sz="4" w:space="0" w:color="000000"/>
              <w:bottom w:val="single" w:sz="4" w:space="0" w:color="000000"/>
            </w:tcBorders>
          </w:tcPr>
          <w:p w14:paraId="7D28FF4C" w14:textId="77777777" w:rsidR="00546FCC" w:rsidRPr="00546FCC" w:rsidRDefault="00546FCC" w:rsidP="00546FCC">
            <w:pPr>
              <w:jc w:val="both"/>
              <w:rPr>
                <w:rFonts w:cstheme="minorHAnsi"/>
                <w:sz w:val="16"/>
                <w:szCs w:val="16"/>
              </w:rPr>
            </w:pPr>
            <w:r w:rsidRPr="00546FCC">
              <w:rPr>
                <w:rFonts w:cstheme="minorHAnsi"/>
                <w:sz w:val="16"/>
                <w:szCs w:val="16"/>
              </w:rPr>
              <w:t>Vent time (min)</w:t>
            </w:r>
          </w:p>
        </w:tc>
      </w:tr>
      <w:tr w:rsidR="00546FCC" w:rsidRPr="00546FCC" w14:paraId="055B6FDE" w14:textId="77777777" w:rsidTr="00546FCC">
        <w:trPr>
          <w:trHeight w:val="217"/>
          <w:jc w:val="center"/>
        </w:trPr>
        <w:tc>
          <w:tcPr>
            <w:tcW w:w="997" w:type="dxa"/>
            <w:tcBorders>
              <w:top w:val="single" w:sz="4" w:space="0" w:color="000000"/>
            </w:tcBorders>
          </w:tcPr>
          <w:p w14:paraId="5A306246" w14:textId="77777777" w:rsidR="00546FCC" w:rsidRPr="00546FCC" w:rsidRDefault="00546FCC" w:rsidP="00546FCC">
            <w:pPr>
              <w:jc w:val="both"/>
              <w:rPr>
                <w:rFonts w:cstheme="minorHAnsi"/>
                <w:sz w:val="16"/>
                <w:szCs w:val="16"/>
              </w:rPr>
            </w:pPr>
            <w:r w:rsidRPr="00546FCC">
              <w:rPr>
                <w:rFonts w:cstheme="minorHAnsi"/>
                <w:sz w:val="16"/>
                <w:szCs w:val="16"/>
              </w:rPr>
              <w:t>C9</w:t>
            </w:r>
          </w:p>
        </w:tc>
        <w:tc>
          <w:tcPr>
            <w:tcW w:w="1368" w:type="dxa"/>
            <w:tcBorders>
              <w:top w:val="single" w:sz="4" w:space="0" w:color="000000"/>
            </w:tcBorders>
          </w:tcPr>
          <w:p w14:paraId="0D36FF49" w14:textId="77777777" w:rsidR="00546FCC" w:rsidRPr="00546FCC" w:rsidRDefault="00546FCC" w:rsidP="00546FCC">
            <w:pPr>
              <w:jc w:val="both"/>
              <w:rPr>
                <w:rFonts w:cstheme="minorHAnsi"/>
                <w:sz w:val="16"/>
                <w:szCs w:val="16"/>
              </w:rPr>
            </w:pPr>
            <w:r w:rsidRPr="00546FCC">
              <w:rPr>
                <w:rFonts w:cstheme="minorHAnsi"/>
                <w:sz w:val="16"/>
                <w:szCs w:val="16"/>
              </w:rPr>
              <w:t>74.08</w:t>
            </w:r>
          </w:p>
        </w:tc>
        <w:tc>
          <w:tcPr>
            <w:tcW w:w="1501" w:type="dxa"/>
            <w:tcBorders>
              <w:top w:val="single" w:sz="4" w:space="0" w:color="000000"/>
            </w:tcBorders>
          </w:tcPr>
          <w:p w14:paraId="11EC3D8F" w14:textId="77777777" w:rsidR="00546FCC" w:rsidRPr="00546FCC" w:rsidRDefault="00546FCC" w:rsidP="00546FCC">
            <w:pPr>
              <w:jc w:val="both"/>
              <w:rPr>
                <w:rFonts w:cstheme="minorHAnsi"/>
                <w:sz w:val="16"/>
                <w:szCs w:val="16"/>
              </w:rPr>
            </w:pPr>
            <w:r w:rsidRPr="00546FCC">
              <w:rPr>
                <w:rFonts w:cstheme="minorHAnsi"/>
                <w:sz w:val="16"/>
                <w:szCs w:val="16"/>
              </w:rPr>
              <w:t>33.61</w:t>
            </w:r>
          </w:p>
        </w:tc>
        <w:tc>
          <w:tcPr>
            <w:tcW w:w="1154" w:type="dxa"/>
            <w:tcBorders>
              <w:top w:val="single" w:sz="4" w:space="0" w:color="000000"/>
            </w:tcBorders>
          </w:tcPr>
          <w:p w14:paraId="2F02469B" w14:textId="77777777" w:rsidR="00546FCC" w:rsidRPr="00546FCC" w:rsidRDefault="00546FCC" w:rsidP="00546FCC">
            <w:pPr>
              <w:jc w:val="both"/>
              <w:rPr>
                <w:rFonts w:cstheme="minorHAnsi"/>
                <w:sz w:val="16"/>
                <w:szCs w:val="16"/>
              </w:rPr>
            </w:pPr>
            <w:r w:rsidRPr="00546FCC">
              <w:rPr>
                <w:rFonts w:cstheme="minorHAnsi"/>
                <w:sz w:val="16"/>
                <w:szCs w:val="16"/>
              </w:rPr>
              <w:t>0.30</w:t>
            </w:r>
          </w:p>
        </w:tc>
      </w:tr>
      <w:tr w:rsidR="00546FCC" w:rsidRPr="00546FCC" w14:paraId="21039504" w14:textId="77777777" w:rsidTr="00546FCC">
        <w:trPr>
          <w:trHeight w:val="171"/>
          <w:jc w:val="center"/>
        </w:trPr>
        <w:tc>
          <w:tcPr>
            <w:tcW w:w="997" w:type="dxa"/>
          </w:tcPr>
          <w:p w14:paraId="1FDF5D09" w14:textId="77777777" w:rsidR="00546FCC" w:rsidRPr="00546FCC" w:rsidRDefault="00546FCC" w:rsidP="00546FCC">
            <w:pPr>
              <w:jc w:val="both"/>
              <w:rPr>
                <w:rFonts w:cstheme="minorHAnsi"/>
                <w:sz w:val="16"/>
                <w:szCs w:val="16"/>
              </w:rPr>
            </w:pPr>
            <w:r w:rsidRPr="00546FCC">
              <w:rPr>
                <w:rFonts w:cstheme="minorHAnsi"/>
                <w:sz w:val="16"/>
                <w:szCs w:val="16"/>
              </w:rPr>
              <w:t>C10</w:t>
            </w:r>
          </w:p>
        </w:tc>
        <w:tc>
          <w:tcPr>
            <w:tcW w:w="1368" w:type="dxa"/>
          </w:tcPr>
          <w:p w14:paraId="5700DD63" w14:textId="77777777" w:rsidR="00546FCC" w:rsidRPr="00546FCC" w:rsidRDefault="00546FCC" w:rsidP="00546FCC">
            <w:pPr>
              <w:jc w:val="both"/>
              <w:rPr>
                <w:rFonts w:cstheme="minorHAnsi"/>
                <w:sz w:val="16"/>
                <w:szCs w:val="16"/>
              </w:rPr>
            </w:pPr>
            <w:r w:rsidRPr="00546FCC">
              <w:rPr>
                <w:rFonts w:cstheme="minorHAnsi"/>
                <w:sz w:val="16"/>
                <w:szCs w:val="16"/>
              </w:rPr>
              <w:t>73.94</w:t>
            </w:r>
          </w:p>
        </w:tc>
        <w:tc>
          <w:tcPr>
            <w:tcW w:w="1501" w:type="dxa"/>
          </w:tcPr>
          <w:p w14:paraId="573A04DE" w14:textId="77777777" w:rsidR="00546FCC" w:rsidRPr="00546FCC" w:rsidRDefault="00546FCC" w:rsidP="00546FCC">
            <w:pPr>
              <w:jc w:val="both"/>
              <w:rPr>
                <w:rFonts w:cstheme="minorHAnsi"/>
                <w:sz w:val="16"/>
                <w:szCs w:val="16"/>
              </w:rPr>
            </w:pPr>
            <w:r w:rsidRPr="00546FCC">
              <w:rPr>
                <w:rFonts w:cstheme="minorHAnsi"/>
                <w:sz w:val="16"/>
                <w:szCs w:val="16"/>
              </w:rPr>
              <w:t>32.65</w:t>
            </w:r>
          </w:p>
        </w:tc>
        <w:tc>
          <w:tcPr>
            <w:tcW w:w="1154" w:type="dxa"/>
          </w:tcPr>
          <w:p w14:paraId="67D993AF" w14:textId="77777777" w:rsidR="00546FCC" w:rsidRPr="00546FCC" w:rsidRDefault="00546FCC" w:rsidP="00546FCC">
            <w:pPr>
              <w:jc w:val="both"/>
              <w:rPr>
                <w:rFonts w:cstheme="minorHAnsi"/>
                <w:sz w:val="16"/>
                <w:szCs w:val="16"/>
              </w:rPr>
            </w:pPr>
            <w:r w:rsidRPr="00546FCC">
              <w:rPr>
                <w:rFonts w:cstheme="minorHAnsi"/>
                <w:sz w:val="16"/>
                <w:szCs w:val="16"/>
              </w:rPr>
              <w:t>0.49</w:t>
            </w:r>
          </w:p>
        </w:tc>
      </w:tr>
      <w:tr w:rsidR="00546FCC" w:rsidRPr="00546FCC" w14:paraId="7F54E8EC" w14:textId="77777777" w:rsidTr="00546FCC">
        <w:trPr>
          <w:trHeight w:val="171"/>
          <w:jc w:val="center"/>
        </w:trPr>
        <w:tc>
          <w:tcPr>
            <w:tcW w:w="997" w:type="dxa"/>
          </w:tcPr>
          <w:p w14:paraId="21787845" w14:textId="77777777" w:rsidR="00546FCC" w:rsidRPr="00546FCC" w:rsidRDefault="00546FCC" w:rsidP="00546FCC">
            <w:pPr>
              <w:jc w:val="both"/>
              <w:rPr>
                <w:rFonts w:cstheme="minorHAnsi"/>
                <w:sz w:val="16"/>
                <w:szCs w:val="16"/>
              </w:rPr>
            </w:pPr>
            <w:r w:rsidRPr="00546FCC">
              <w:rPr>
                <w:rFonts w:cstheme="minorHAnsi"/>
                <w:sz w:val="16"/>
                <w:szCs w:val="16"/>
              </w:rPr>
              <w:t>C11</w:t>
            </w:r>
          </w:p>
        </w:tc>
        <w:tc>
          <w:tcPr>
            <w:tcW w:w="1368" w:type="dxa"/>
          </w:tcPr>
          <w:p w14:paraId="25AAC34A" w14:textId="77777777" w:rsidR="00546FCC" w:rsidRPr="00546FCC" w:rsidRDefault="00546FCC" w:rsidP="00546FCC">
            <w:pPr>
              <w:jc w:val="both"/>
              <w:rPr>
                <w:rFonts w:cstheme="minorHAnsi"/>
                <w:sz w:val="16"/>
                <w:szCs w:val="16"/>
              </w:rPr>
            </w:pPr>
            <w:r w:rsidRPr="00546FCC">
              <w:rPr>
                <w:rFonts w:cstheme="minorHAnsi"/>
                <w:sz w:val="16"/>
                <w:szCs w:val="16"/>
              </w:rPr>
              <w:t>71.96</w:t>
            </w:r>
          </w:p>
        </w:tc>
        <w:tc>
          <w:tcPr>
            <w:tcW w:w="1501" w:type="dxa"/>
          </w:tcPr>
          <w:p w14:paraId="2312A7A8" w14:textId="77777777" w:rsidR="00546FCC" w:rsidRPr="00546FCC" w:rsidRDefault="00546FCC" w:rsidP="00546FCC">
            <w:pPr>
              <w:jc w:val="both"/>
              <w:rPr>
                <w:rFonts w:cstheme="minorHAnsi"/>
                <w:sz w:val="16"/>
                <w:szCs w:val="16"/>
              </w:rPr>
            </w:pPr>
            <w:r w:rsidRPr="00546FCC">
              <w:rPr>
                <w:rFonts w:cstheme="minorHAnsi"/>
                <w:sz w:val="16"/>
                <w:szCs w:val="16"/>
              </w:rPr>
              <w:t>33.20</w:t>
            </w:r>
          </w:p>
        </w:tc>
        <w:tc>
          <w:tcPr>
            <w:tcW w:w="1154" w:type="dxa"/>
          </w:tcPr>
          <w:p w14:paraId="1DB68D3C" w14:textId="77777777" w:rsidR="00546FCC" w:rsidRPr="00546FCC" w:rsidRDefault="00546FCC" w:rsidP="00546FCC">
            <w:pPr>
              <w:jc w:val="both"/>
              <w:rPr>
                <w:rFonts w:cstheme="minorHAnsi"/>
                <w:sz w:val="16"/>
                <w:szCs w:val="16"/>
              </w:rPr>
            </w:pPr>
            <w:r w:rsidRPr="00546FCC">
              <w:rPr>
                <w:rFonts w:cstheme="minorHAnsi"/>
                <w:sz w:val="16"/>
                <w:szCs w:val="16"/>
              </w:rPr>
              <w:t>0.43</w:t>
            </w:r>
          </w:p>
        </w:tc>
      </w:tr>
      <w:tr w:rsidR="00546FCC" w:rsidRPr="00546FCC" w14:paraId="73ADF562" w14:textId="77777777" w:rsidTr="00546FCC">
        <w:trPr>
          <w:trHeight w:val="171"/>
          <w:jc w:val="center"/>
        </w:trPr>
        <w:tc>
          <w:tcPr>
            <w:tcW w:w="997" w:type="dxa"/>
          </w:tcPr>
          <w:p w14:paraId="7778936D" w14:textId="77777777" w:rsidR="00546FCC" w:rsidRPr="00546FCC" w:rsidRDefault="00546FCC" w:rsidP="00546FCC">
            <w:pPr>
              <w:jc w:val="both"/>
              <w:rPr>
                <w:rFonts w:cstheme="minorHAnsi"/>
                <w:sz w:val="16"/>
                <w:szCs w:val="16"/>
              </w:rPr>
            </w:pPr>
            <w:r w:rsidRPr="00546FCC">
              <w:rPr>
                <w:rFonts w:cstheme="minorHAnsi"/>
                <w:sz w:val="16"/>
                <w:szCs w:val="16"/>
              </w:rPr>
              <w:t>C19</w:t>
            </w:r>
          </w:p>
        </w:tc>
        <w:tc>
          <w:tcPr>
            <w:tcW w:w="1368" w:type="dxa"/>
          </w:tcPr>
          <w:p w14:paraId="67BCB9CD" w14:textId="77777777" w:rsidR="00546FCC" w:rsidRPr="00546FCC" w:rsidRDefault="00546FCC" w:rsidP="00546FCC">
            <w:pPr>
              <w:jc w:val="both"/>
              <w:rPr>
                <w:rFonts w:cstheme="minorHAnsi"/>
                <w:sz w:val="16"/>
                <w:szCs w:val="16"/>
              </w:rPr>
            </w:pPr>
            <w:r w:rsidRPr="00546FCC">
              <w:rPr>
                <w:rFonts w:cstheme="minorHAnsi"/>
                <w:sz w:val="16"/>
                <w:szCs w:val="16"/>
              </w:rPr>
              <w:t>70.79</w:t>
            </w:r>
          </w:p>
        </w:tc>
        <w:tc>
          <w:tcPr>
            <w:tcW w:w="1501" w:type="dxa"/>
          </w:tcPr>
          <w:p w14:paraId="4E30DB64" w14:textId="77777777" w:rsidR="00546FCC" w:rsidRPr="00546FCC" w:rsidRDefault="00546FCC" w:rsidP="00546FCC">
            <w:pPr>
              <w:jc w:val="both"/>
              <w:rPr>
                <w:rFonts w:cstheme="minorHAnsi"/>
                <w:sz w:val="16"/>
                <w:szCs w:val="16"/>
              </w:rPr>
            </w:pPr>
            <w:r w:rsidRPr="00546FCC">
              <w:rPr>
                <w:rFonts w:cstheme="minorHAnsi"/>
                <w:sz w:val="16"/>
                <w:szCs w:val="16"/>
              </w:rPr>
              <w:t>32.04</w:t>
            </w:r>
          </w:p>
        </w:tc>
        <w:tc>
          <w:tcPr>
            <w:tcW w:w="1154" w:type="dxa"/>
          </w:tcPr>
          <w:p w14:paraId="435D7713" w14:textId="77777777" w:rsidR="00546FCC" w:rsidRPr="00546FCC" w:rsidRDefault="00546FCC" w:rsidP="00546FCC">
            <w:pPr>
              <w:jc w:val="both"/>
              <w:rPr>
                <w:rFonts w:cstheme="minorHAnsi"/>
                <w:sz w:val="16"/>
                <w:szCs w:val="16"/>
              </w:rPr>
            </w:pPr>
            <w:r w:rsidRPr="00546FCC">
              <w:rPr>
                <w:rFonts w:cstheme="minorHAnsi"/>
                <w:sz w:val="16"/>
                <w:szCs w:val="16"/>
              </w:rPr>
              <w:t>0.42</w:t>
            </w:r>
          </w:p>
        </w:tc>
      </w:tr>
      <w:tr w:rsidR="00546FCC" w:rsidRPr="00546FCC" w14:paraId="4C21A840" w14:textId="77777777" w:rsidTr="00546FCC">
        <w:trPr>
          <w:trHeight w:val="171"/>
          <w:jc w:val="center"/>
        </w:trPr>
        <w:tc>
          <w:tcPr>
            <w:tcW w:w="997" w:type="dxa"/>
          </w:tcPr>
          <w:p w14:paraId="73AB9680" w14:textId="77777777" w:rsidR="00546FCC" w:rsidRPr="00546FCC" w:rsidRDefault="00546FCC" w:rsidP="00546FCC">
            <w:pPr>
              <w:jc w:val="both"/>
              <w:rPr>
                <w:rFonts w:cstheme="minorHAnsi"/>
                <w:sz w:val="16"/>
                <w:szCs w:val="16"/>
              </w:rPr>
            </w:pPr>
            <w:r w:rsidRPr="00546FCC">
              <w:rPr>
                <w:rFonts w:cstheme="minorHAnsi"/>
                <w:sz w:val="16"/>
                <w:szCs w:val="16"/>
              </w:rPr>
              <w:t>C20</w:t>
            </w:r>
          </w:p>
        </w:tc>
        <w:tc>
          <w:tcPr>
            <w:tcW w:w="1368" w:type="dxa"/>
          </w:tcPr>
          <w:p w14:paraId="18B9ADE7" w14:textId="77777777" w:rsidR="00546FCC" w:rsidRPr="00546FCC" w:rsidRDefault="00546FCC" w:rsidP="00546FCC">
            <w:pPr>
              <w:jc w:val="both"/>
              <w:rPr>
                <w:rFonts w:cstheme="minorHAnsi"/>
                <w:sz w:val="16"/>
                <w:szCs w:val="16"/>
              </w:rPr>
            </w:pPr>
            <w:r w:rsidRPr="00546FCC">
              <w:rPr>
                <w:rFonts w:cstheme="minorHAnsi"/>
                <w:sz w:val="16"/>
                <w:szCs w:val="16"/>
              </w:rPr>
              <w:t>71.58</w:t>
            </w:r>
          </w:p>
        </w:tc>
        <w:tc>
          <w:tcPr>
            <w:tcW w:w="1501" w:type="dxa"/>
          </w:tcPr>
          <w:p w14:paraId="26514512" w14:textId="77777777" w:rsidR="00546FCC" w:rsidRPr="00546FCC" w:rsidRDefault="00546FCC" w:rsidP="00546FCC">
            <w:pPr>
              <w:jc w:val="both"/>
              <w:rPr>
                <w:rFonts w:cstheme="minorHAnsi"/>
                <w:sz w:val="16"/>
                <w:szCs w:val="16"/>
              </w:rPr>
            </w:pPr>
            <w:r w:rsidRPr="00546FCC">
              <w:rPr>
                <w:rFonts w:cstheme="minorHAnsi"/>
                <w:sz w:val="16"/>
                <w:szCs w:val="16"/>
              </w:rPr>
              <w:t>28.05</w:t>
            </w:r>
          </w:p>
        </w:tc>
        <w:tc>
          <w:tcPr>
            <w:tcW w:w="1154" w:type="dxa"/>
          </w:tcPr>
          <w:p w14:paraId="16D38853" w14:textId="77777777" w:rsidR="00546FCC" w:rsidRPr="00546FCC" w:rsidRDefault="00546FCC" w:rsidP="00546FCC">
            <w:pPr>
              <w:jc w:val="both"/>
              <w:rPr>
                <w:rFonts w:cstheme="minorHAnsi"/>
                <w:sz w:val="16"/>
                <w:szCs w:val="16"/>
              </w:rPr>
            </w:pPr>
            <w:r w:rsidRPr="00546FCC">
              <w:rPr>
                <w:rFonts w:cstheme="minorHAnsi"/>
                <w:sz w:val="16"/>
                <w:szCs w:val="16"/>
              </w:rPr>
              <w:t>0.44</w:t>
            </w:r>
          </w:p>
        </w:tc>
      </w:tr>
      <w:tr w:rsidR="00546FCC" w:rsidRPr="00546FCC" w14:paraId="4BFA4B51" w14:textId="77777777" w:rsidTr="00546FCC">
        <w:trPr>
          <w:trHeight w:val="171"/>
          <w:jc w:val="center"/>
        </w:trPr>
        <w:tc>
          <w:tcPr>
            <w:tcW w:w="997" w:type="dxa"/>
          </w:tcPr>
          <w:p w14:paraId="42407FC2" w14:textId="77777777" w:rsidR="00546FCC" w:rsidRPr="00546FCC" w:rsidRDefault="00546FCC" w:rsidP="00546FCC">
            <w:pPr>
              <w:jc w:val="both"/>
              <w:rPr>
                <w:rFonts w:cstheme="minorHAnsi"/>
                <w:sz w:val="16"/>
                <w:szCs w:val="16"/>
              </w:rPr>
            </w:pPr>
            <w:r w:rsidRPr="00546FCC">
              <w:rPr>
                <w:rFonts w:cstheme="minorHAnsi"/>
                <w:sz w:val="16"/>
                <w:szCs w:val="16"/>
              </w:rPr>
              <w:t>C21</w:t>
            </w:r>
          </w:p>
        </w:tc>
        <w:tc>
          <w:tcPr>
            <w:tcW w:w="1368" w:type="dxa"/>
          </w:tcPr>
          <w:p w14:paraId="3F720D85" w14:textId="77777777" w:rsidR="00546FCC" w:rsidRPr="00546FCC" w:rsidRDefault="00546FCC" w:rsidP="00546FCC">
            <w:pPr>
              <w:jc w:val="both"/>
              <w:rPr>
                <w:rFonts w:cstheme="minorHAnsi"/>
                <w:sz w:val="16"/>
                <w:szCs w:val="16"/>
              </w:rPr>
            </w:pPr>
            <w:r w:rsidRPr="00546FCC">
              <w:rPr>
                <w:rFonts w:cstheme="minorHAnsi"/>
                <w:sz w:val="16"/>
                <w:szCs w:val="16"/>
              </w:rPr>
              <w:t>72.19</w:t>
            </w:r>
          </w:p>
        </w:tc>
        <w:tc>
          <w:tcPr>
            <w:tcW w:w="1501" w:type="dxa"/>
          </w:tcPr>
          <w:p w14:paraId="157D6B34" w14:textId="77777777" w:rsidR="00546FCC" w:rsidRPr="00546FCC" w:rsidRDefault="00546FCC" w:rsidP="00546FCC">
            <w:pPr>
              <w:jc w:val="both"/>
              <w:rPr>
                <w:rFonts w:cstheme="minorHAnsi"/>
                <w:sz w:val="16"/>
                <w:szCs w:val="16"/>
              </w:rPr>
            </w:pPr>
            <w:r w:rsidRPr="00546FCC">
              <w:rPr>
                <w:rFonts w:cstheme="minorHAnsi"/>
                <w:sz w:val="16"/>
                <w:szCs w:val="16"/>
              </w:rPr>
              <w:t>28.58</w:t>
            </w:r>
          </w:p>
        </w:tc>
        <w:tc>
          <w:tcPr>
            <w:tcW w:w="1154" w:type="dxa"/>
          </w:tcPr>
          <w:p w14:paraId="07867319" w14:textId="77777777" w:rsidR="00546FCC" w:rsidRPr="00546FCC" w:rsidRDefault="00546FCC" w:rsidP="00546FCC">
            <w:pPr>
              <w:jc w:val="both"/>
              <w:rPr>
                <w:rFonts w:cstheme="minorHAnsi"/>
                <w:sz w:val="16"/>
                <w:szCs w:val="16"/>
              </w:rPr>
            </w:pPr>
            <w:r w:rsidRPr="00546FCC">
              <w:rPr>
                <w:rFonts w:cstheme="minorHAnsi"/>
                <w:sz w:val="16"/>
                <w:szCs w:val="16"/>
              </w:rPr>
              <w:t>0.46</w:t>
            </w:r>
          </w:p>
        </w:tc>
      </w:tr>
      <w:tr w:rsidR="00546FCC" w:rsidRPr="00546FCC" w14:paraId="6B263337" w14:textId="77777777" w:rsidTr="00546FCC">
        <w:trPr>
          <w:trHeight w:val="171"/>
          <w:jc w:val="center"/>
        </w:trPr>
        <w:tc>
          <w:tcPr>
            <w:tcW w:w="997" w:type="dxa"/>
          </w:tcPr>
          <w:p w14:paraId="5C2835F8" w14:textId="77777777" w:rsidR="00546FCC" w:rsidRPr="00546FCC" w:rsidRDefault="00546FCC" w:rsidP="00546FCC">
            <w:pPr>
              <w:jc w:val="both"/>
              <w:rPr>
                <w:rFonts w:cstheme="minorHAnsi"/>
                <w:sz w:val="16"/>
                <w:szCs w:val="16"/>
              </w:rPr>
            </w:pPr>
            <w:r w:rsidRPr="00546FCC">
              <w:rPr>
                <w:rFonts w:cstheme="minorHAnsi"/>
                <w:sz w:val="16"/>
                <w:szCs w:val="16"/>
              </w:rPr>
              <w:t>C23</w:t>
            </w:r>
          </w:p>
        </w:tc>
        <w:tc>
          <w:tcPr>
            <w:tcW w:w="1368" w:type="dxa"/>
          </w:tcPr>
          <w:p w14:paraId="0DAB593E" w14:textId="77777777" w:rsidR="00546FCC" w:rsidRPr="00546FCC" w:rsidRDefault="00546FCC" w:rsidP="00546FCC">
            <w:pPr>
              <w:jc w:val="both"/>
              <w:rPr>
                <w:rFonts w:cstheme="minorHAnsi"/>
                <w:sz w:val="16"/>
                <w:szCs w:val="16"/>
              </w:rPr>
            </w:pPr>
            <w:r w:rsidRPr="00546FCC">
              <w:rPr>
                <w:rFonts w:cstheme="minorHAnsi"/>
                <w:sz w:val="16"/>
                <w:szCs w:val="16"/>
              </w:rPr>
              <w:t>72.71</w:t>
            </w:r>
          </w:p>
        </w:tc>
        <w:tc>
          <w:tcPr>
            <w:tcW w:w="1501" w:type="dxa"/>
          </w:tcPr>
          <w:p w14:paraId="018B5374" w14:textId="77777777" w:rsidR="00546FCC" w:rsidRPr="00546FCC" w:rsidRDefault="00546FCC" w:rsidP="00546FCC">
            <w:pPr>
              <w:jc w:val="both"/>
              <w:rPr>
                <w:rFonts w:cstheme="minorHAnsi"/>
                <w:sz w:val="16"/>
                <w:szCs w:val="16"/>
              </w:rPr>
            </w:pPr>
            <w:r w:rsidRPr="00546FCC">
              <w:rPr>
                <w:rFonts w:cstheme="minorHAnsi"/>
                <w:sz w:val="16"/>
                <w:szCs w:val="16"/>
              </w:rPr>
              <w:t>31.12</w:t>
            </w:r>
          </w:p>
        </w:tc>
        <w:tc>
          <w:tcPr>
            <w:tcW w:w="1154" w:type="dxa"/>
          </w:tcPr>
          <w:p w14:paraId="590D37E5" w14:textId="77777777" w:rsidR="00546FCC" w:rsidRPr="00546FCC" w:rsidRDefault="00546FCC" w:rsidP="00546FCC">
            <w:pPr>
              <w:jc w:val="both"/>
              <w:rPr>
                <w:rFonts w:cstheme="minorHAnsi"/>
                <w:sz w:val="16"/>
                <w:szCs w:val="16"/>
              </w:rPr>
            </w:pPr>
            <w:r w:rsidRPr="00546FCC">
              <w:rPr>
                <w:rFonts w:cstheme="minorHAnsi"/>
                <w:sz w:val="16"/>
                <w:szCs w:val="16"/>
              </w:rPr>
              <w:t>0.47</w:t>
            </w:r>
          </w:p>
        </w:tc>
      </w:tr>
      <w:tr w:rsidR="00546FCC" w:rsidRPr="00546FCC" w14:paraId="34CBD159" w14:textId="77777777" w:rsidTr="00546FCC">
        <w:trPr>
          <w:trHeight w:val="171"/>
          <w:jc w:val="center"/>
        </w:trPr>
        <w:tc>
          <w:tcPr>
            <w:tcW w:w="997" w:type="dxa"/>
          </w:tcPr>
          <w:p w14:paraId="3387C748" w14:textId="77777777" w:rsidR="00546FCC" w:rsidRPr="00546FCC" w:rsidRDefault="00546FCC" w:rsidP="00546FCC">
            <w:pPr>
              <w:jc w:val="both"/>
              <w:rPr>
                <w:rFonts w:cstheme="minorHAnsi"/>
                <w:sz w:val="16"/>
                <w:szCs w:val="16"/>
              </w:rPr>
            </w:pPr>
            <w:r w:rsidRPr="00546FCC">
              <w:rPr>
                <w:rFonts w:cstheme="minorHAnsi"/>
                <w:sz w:val="16"/>
                <w:szCs w:val="16"/>
              </w:rPr>
              <w:t>C25</w:t>
            </w:r>
          </w:p>
        </w:tc>
        <w:tc>
          <w:tcPr>
            <w:tcW w:w="1368" w:type="dxa"/>
          </w:tcPr>
          <w:p w14:paraId="7AF4EA32" w14:textId="77777777" w:rsidR="00546FCC" w:rsidRPr="00546FCC" w:rsidRDefault="00546FCC" w:rsidP="00546FCC">
            <w:pPr>
              <w:jc w:val="both"/>
              <w:rPr>
                <w:rFonts w:cstheme="minorHAnsi"/>
                <w:sz w:val="16"/>
                <w:szCs w:val="16"/>
              </w:rPr>
            </w:pPr>
            <w:r w:rsidRPr="00546FCC">
              <w:rPr>
                <w:rFonts w:cstheme="minorHAnsi"/>
                <w:sz w:val="16"/>
                <w:szCs w:val="16"/>
              </w:rPr>
              <w:t>72.74</w:t>
            </w:r>
          </w:p>
        </w:tc>
        <w:tc>
          <w:tcPr>
            <w:tcW w:w="1501" w:type="dxa"/>
          </w:tcPr>
          <w:p w14:paraId="20C98696" w14:textId="77777777" w:rsidR="00546FCC" w:rsidRPr="00546FCC" w:rsidRDefault="00546FCC" w:rsidP="00546FCC">
            <w:pPr>
              <w:jc w:val="both"/>
              <w:rPr>
                <w:rFonts w:cstheme="minorHAnsi"/>
                <w:sz w:val="16"/>
                <w:szCs w:val="16"/>
              </w:rPr>
            </w:pPr>
            <w:r w:rsidRPr="00546FCC">
              <w:rPr>
                <w:rFonts w:cstheme="minorHAnsi"/>
                <w:sz w:val="16"/>
                <w:szCs w:val="16"/>
              </w:rPr>
              <w:t>29.23</w:t>
            </w:r>
          </w:p>
        </w:tc>
        <w:tc>
          <w:tcPr>
            <w:tcW w:w="1154" w:type="dxa"/>
          </w:tcPr>
          <w:p w14:paraId="6E3CFD3C" w14:textId="77777777" w:rsidR="00546FCC" w:rsidRPr="00546FCC" w:rsidRDefault="00546FCC" w:rsidP="00546FCC">
            <w:pPr>
              <w:jc w:val="both"/>
              <w:rPr>
                <w:rFonts w:cstheme="minorHAnsi"/>
                <w:sz w:val="16"/>
                <w:szCs w:val="16"/>
              </w:rPr>
            </w:pPr>
            <w:r w:rsidRPr="00546FCC">
              <w:rPr>
                <w:rFonts w:cstheme="minorHAnsi"/>
                <w:sz w:val="16"/>
                <w:szCs w:val="16"/>
              </w:rPr>
              <w:t>0.48</w:t>
            </w:r>
          </w:p>
        </w:tc>
      </w:tr>
      <w:tr w:rsidR="00546FCC" w:rsidRPr="00546FCC" w14:paraId="4F94F6C8" w14:textId="77777777" w:rsidTr="00546FCC">
        <w:trPr>
          <w:trHeight w:val="171"/>
          <w:jc w:val="center"/>
        </w:trPr>
        <w:tc>
          <w:tcPr>
            <w:tcW w:w="997" w:type="dxa"/>
          </w:tcPr>
          <w:p w14:paraId="0A2B0233" w14:textId="77777777" w:rsidR="00546FCC" w:rsidRPr="00546FCC" w:rsidRDefault="00546FCC" w:rsidP="00546FCC">
            <w:pPr>
              <w:jc w:val="both"/>
              <w:rPr>
                <w:rFonts w:cstheme="minorHAnsi"/>
                <w:sz w:val="16"/>
                <w:szCs w:val="16"/>
              </w:rPr>
            </w:pPr>
            <w:r w:rsidRPr="00546FCC">
              <w:rPr>
                <w:rFonts w:cstheme="minorHAnsi"/>
                <w:sz w:val="16"/>
                <w:szCs w:val="16"/>
              </w:rPr>
              <w:t>C26</w:t>
            </w:r>
          </w:p>
        </w:tc>
        <w:tc>
          <w:tcPr>
            <w:tcW w:w="1368" w:type="dxa"/>
          </w:tcPr>
          <w:p w14:paraId="2F002137" w14:textId="77777777" w:rsidR="00546FCC" w:rsidRPr="00546FCC" w:rsidRDefault="00546FCC" w:rsidP="00546FCC">
            <w:pPr>
              <w:jc w:val="both"/>
              <w:rPr>
                <w:rFonts w:cstheme="minorHAnsi"/>
                <w:sz w:val="16"/>
                <w:szCs w:val="16"/>
              </w:rPr>
            </w:pPr>
            <w:r w:rsidRPr="00546FCC">
              <w:rPr>
                <w:rFonts w:cstheme="minorHAnsi"/>
                <w:sz w:val="16"/>
                <w:szCs w:val="16"/>
              </w:rPr>
              <w:t>72.57</w:t>
            </w:r>
          </w:p>
        </w:tc>
        <w:tc>
          <w:tcPr>
            <w:tcW w:w="1501" w:type="dxa"/>
          </w:tcPr>
          <w:p w14:paraId="330707C8" w14:textId="77777777" w:rsidR="00546FCC" w:rsidRPr="00546FCC" w:rsidRDefault="00546FCC" w:rsidP="00546FCC">
            <w:pPr>
              <w:jc w:val="both"/>
              <w:rPr>
                <w:rFonts w:cstheme="minorHAnsi"/>
                <w:sz w:val="16"/>
                <w:szCs w:val="16"/>
              </w:rPr>
            </w:pPr>
            <w:r w:rsidRPr="00546FCC">
              <w:rPr>
                <w:rFonts w:cstheme="minorHAnsi"/>
                <w:sz w:val="16"/>
                <w:szCs w:val="16"/>
              </w:rPr>
              <w:t>29.38</w:t>
            </w:r>
          </w:p>
        </w:tc>
        <w:tc>
          <w:tcPr>
            <w:tcW w:w="1154" w:type="dxa"/>
          </w:tcPr>
          <w:p w14:paraId="2FC26477" w14:textId="77777777" w:rsidR="00546FCC" w:rsidRPr="00546FCC" w:rsidRDefault="00546FCC" w:rsidP="00546FCC">
            <w:pPr>
              <w:jc w:val="both"/>
              <w:rPr>
                <w:rFonts w:cstheme="minorHAnsi"/>
                <w:sz w:val="16"/>
                <w:szCs w:val="16"/>
              </w:rPr>
            </w:pPr>
            <w:r w:rsidRPr="00546FCC">
              <w:rPr>
                <w:rFonts w:cstheme="minorHAnsi"/>
                <w:sz w:val="16"/>
                <w:szCs w:val="16"/>
              </w:rPr>
              <w:t>0.50</w:t>
            </w:r>
          </w:p>
        </w:tc>
      </w:tr>
      <w:tr w:rsidR="00546FCC" w:rsidRPr="00546FCC" w14:paraId="3F4A2803" w14:textId="77777777" w:rsidTr="00546FCC">
        <w:trPr>
          <w:trHeight w:val="171"/>
          <w:jc w:val="center"/>
        </w:trPr>
        <w:tc>
          <w:tcPr>
            <w:tcW w:w="997" w:type="dxa"/>
          </w:tcPr>
          <w:p w14:paraId="20CC306C" w14:textId="77777777" w:rsidR="00546FCC" w:rsidRPr="00546FCC" w:rsidRDefault="00546FCC" w:rsidP="00546FCC">
            <w:pPr>
              <w:jc w:val="both"/>
              <w:rPr>
                <w:rFonts w:cstheme="minorHAnsi"/>
                <w:sz w:val="16"/>
                <w:szCs w:val="16"/>
              </w:rPr>
            </w:pPr>
            <w:r w:rsidRPr="00546FCC">
              <w:rPr>
                <w:rFonts w:cstheme="minorHAnsi"/>
                <w:sz w:val="16"/>
                <w:szCs w:val="16"/>
              </w:rPr>
              <w:t>C27</w:t>
            </w:r>
          </w:p>
        </w:tc>
        <w:tc>
          <w:tcPr>
            <w:tcW w:w="1368" w:type="dxa"/>
          </w:tcPr>
          <w:p w14:paraId="546A69F0" w14:textId="77777777" w:rsidR="00546FCC" w:rsidRPr="00546FCC" w:rsidRDefault="00546FCC" w:rsidP="00546FCC">
            <w:pPr>
              <w:jc w:val="both"/>
              <w:rPr>
                <w:rFonts w:cstheme="minorHAnsi"/>
                <w:sz w:val="16"/>
                <w:szCs w:val="16"/>
              </w:rPr>
            </w:pPr>
            <w:r w:rsidRPr="00546FCC">
              <w:rPr>
                <w:rFonts w:cstheme="minorHAnsi"/>
                <w:sz w:val="16"/>
                <w:szCs w:val="16"/>
              </w:rPr>
              <w:t>72.67</w:t>
            </w:r>
          </w:p>
        </w:tc>
        <w:tc>
          <w:tcPr>
            <w:tcW w:w="1501" w:type="dxa"/>
          </w:tcPr>
          <w:p w14:paraId="116EF9B4" w14:textId="77777777" w:rsidR="00546FCC" w:rsidRPr="00546FCC" w:rsidRDefault="00546FCC" w:rsidP="00546FCC">
            <w:pPr>
              <w:jc w:val="both"/>
              <w:rPr>
                <w:rFonts w:cstheme="minorHAnsi"/>
                <w:sz w:val="16"/>
                <w:szCs w:val="16"/>
              </w:rPr>
            </w:pPr>
            <w:r w:rsidRPr="00546FCC">
              <w:rPr>
                <w:rFonts w:cstheme="minorHAnsi"/>
                <w:sz w:val="16"/>
                <w:szCs w:val="16"/>
              </w:rPr>
              <w:t>31.43</w:t>
            </w:r>
          </w:p>
        </w:tc>
        <w:tc>
          <w:tcPr>
            <w:tcW w:w="1154" w:type="dxa"/>
          </w:tcPr>
          <w:p w14:paraId="696E15E0" w14:textId="77777777" w:rsidR="00546FCC" w:rsidRPr="00546FCC" w:rsidRDefault="00546FCC" w:rsidP="00546FCC">
            <w:pPr>
              <w:jc w:val="both"/>
              <w:rPr>
                <w:rFonts w:cstheme="minorHAnsi"/>
                <w:sz w:val="16"/>
                <w:szCs w:val="16"/>
              </w:rPr>
            </w:pPr>
            <w:r w:rsidRPr="00546FCC">
              <w:rPr>
                <w:rFonts w:cstheme="minorHAnsi"/>
                <w:sz w:val="16"/>
                <w:szCs w:val="16"/>
              </w:rPr>
              <w:t>0.48</w:t>
            </w:r>
          </w:p>
        </w:tc>
      </w:tr>
      <w:tr w:rsidR="00546FCC" w:rsidRPr="00546FCC" w14:paraId="06769E37" w14:textId="77777777" w:rsidTr="00546FCC">
        <w:trPr>
          <w:trHeight w:val="171"/>
          <w:jc w:val="center"/>
        </w:trPr>
        <w:tc>
          <w:tcPr>
            <w:tcW w:w="997" w:type="dxa"/>
          </w:tcPr>
          <w:p w14:paraId="1AEDDBAD" w14:textId="77777777" w:rsidR="00546FCC" w:rsidRPr="00546FCC" w:rsidRDefault="00546FCC" w:rsidP="00546FCC">
            <w:pPr>
              <w:jc w:val="both"/>
              <w:rPr>
                <w:rFonts w:cstheme="minorHAnsi"/>
                <w:sz w:val="16"/>
                <w:szCs w:val="16"/>
              </w:rPr>
            </w:pPr>
            <w:r w:rsidRPr="00546FCC">
              <w:rPr>
                <w:rFonts w:cstheme="minorHAnsi"/>
                <w:sz w:val="16"/>
                <w:szCs w:val="16"/>
              </w:rPr>
              <w:t>C28</w:t>
            </w:r>
          </w:p>
        </w:tc>
        <w:tc>
          <w:tcPr>
            <w:tcW w:w="1368" w:type="dxa"/>
          </w:tcPr>
          <w:p w14:paraId="3211347F" w14:textId="77777777" w:rsidR="00546FCC" w:rsidRPr="00546FCC" w:rsidRDefault="00546FCC" w:rsidP="00546FCC">
            <w:pPr>
              <w:jc w:val="both"/>
              <w:rPr>
                <w:rFonts w:cstheme="minorHAnsi"/>
                <w:sz w:val="16"/>
                <w:szCs w:val="16"/>
              </w:rPr>
            </w:pPr>
            <w:r w:rsidRPr="00546FCC">
              <w:rPr>
                <w:rFonts w:cstheme="minorHAnsi"/>
                <w:sz w:val="16"/>
                <w:szCs w:val="16"/>
              </w:rPr>
              <w:t>72.24</w:t>
            </w:r>
          </w:p>
        </w:tc>
        <w:tc>
          <w:tcPr>
            <w:tcW w:w="1501" w:type="dxa"/>
          </w:tcPr>
          <w:p w14:paraId="5917ABE6" w14:textId="77777777" w:rsidR="00546FCC" w:rsidRPr="00546FCC" w:rsidRDefault="00546FCC" w:rsidP="00546FCC">
            <w:pPr>
              <w:jc w:val="both"/>
              <w:rPr>
                <w:rFonts w:cstheme="minorHAnsi"/>
                <w:sz w:val="16"/>
                <w:szCs w:val="16"/>
              </w:rPr>
            </w:pPr>
            <w:r w:rsidRPr="00546FCC">
              <w:rPr>
                <w:rFonts w:cstheme="minorHAnsi"/>
                <w:sz w:val="16"/>
                <w:szCs w:val="16"/>
              </w:rPr>
              <w:t>29.60</w:t>
            </w:r>
          </w:p>
        </w:tc>
        <w:tc>
          <w:tcPr>
            <w:tcW w:w="1154" w:type="dxa"/>
          </w:tcPr>
          <w:p w14:paraId="7C2A867F" w14:textId="77777777" w:rsidR="00546FCC" w:rsidRPr="00546FCC" w:rsidRDefault="00546FCC" w:rsidP="00546FCC">
            <w:pPr>
              <w:jc w:val="both"/>
              <w:rPr>
                <w:rFonts w:cstheme="minorHAnsi"/>
                <w:sz w:val="16"/>
                <w:szCs w:val="16"/>
              </w:rPr>
            </w:pPr>
            <w:r w:rsidRPr="00546FCC">
              <w:rPr>
                <w:rFonts w:cstheme="minorHAnsi"/>
                <w:sz w:val="16"/>
                <w:szCs w:val="16"/>
              </w:rPr>
              <w:t>0.48</w:t>
            </w:r>
          </w:p>
        </w:tc>
      </w:tr>
      <w:tr w:rsidR="00546FCC" w:rsidRPr="00546FCC" w14:paraId="034D570C" w14:textId="77777777" w:rsidTr="00546FCC">
        <w:trPr>
          <w:trHeight w:val="171"/>
          <w:jc w:val="center"/>
        </w:trPr>
        <w:tc>
          <w:tcPr>
            <w:tcW w:w="997" w:type="dxa"/>
          </w:tcPr>
          <w:p w14:paraId="0FA06300" w14:textId="77777777" w:rsidR="00546FCC" w:rsidRPr="00546FCC" w:rsidRDefault="00546FCC" w:rsidP="00546FCC">
            <w:pPr>
              <w:jc w:val="both"/>
              <w:rPr>
                <w:rFonts w:cstheme="minorHAnsi"/>
                <w:sz w:val="16"/>
                <w:szCs w:val="16"/>
              </w:rPr>
            </w:pPr>
            <w:r w:rsidRPr="00546FCC">
              <w:rPr>
                <w:rFonts w:cstheme="minorHAnsi"/>
                <w:sz w:val="16"/>
                <w:szCs w:val="16"/>
              </w:rPr>
              <w:t>C29</w:t>
            </w:r>
          </w:p>
        </w:tc>
        <w:tc>
          <w:tcPr>
            <w:tcW w:w="1368" w:type="dxa"/>
          </w:tcPr>
          <w:p w14:paraId="1702A143" w14:textId="77777777" w:rsidR="00546FCC" w:rsidRPr="00546FCC" w:rsidRDefault="00546FCC" w:rsidP="00546FCC">
            <w:pPr>
              <w:jc w:val="both"/>
              <w:rPr>
                <w:rFonts w:cstheme="minorHAnsi"/>
                <w:sz w:val="16"/>
                <w:szCs w:val="16"/>
              </w:rPr>
            </w:pPr>
            <w:r w:rsidRPr="00546FCC">
              <w:rPr>
                <w:rFonts w:cstheme="minorHAnsi"/>
                <w:sz w:val="16"/>
                <w:szCs w:val="16"/>
              </w:rPr>
              <w:t>72.60</w:t>
            </w:r>
          </w:p>
        </w:tc>
        <w:tc>
          <w:tcPr>
            <w:tcW w:w="1501" w:type="dxa"/>
          </w:tcPr>
          <w:p w14:paraId="5AF14BE6" w14:textId="77777777" w:rsidR="00546FCC" w:rsidRPr="00546FCC" w:rsidRDefault="00546FCC" w:rsidP="00546FCC">
            <w:pPr>
              <w:jc w:val="both"/>
              <w:rPr>
                <w:rFonts w:cstheme="minorHAnsi"/>
                <w:sz w:val="16"/>
                <w:szCs w:val="16"/>
              </w:rPr>
            </w:pPr>
            <w:r w:rsidRPr="00546FCC">
              <w:rPr>
                <w:rFonts w:cstheme="minorHAnsi"/>
                <w:sz w:val="16"/>
                <w:szCs w:val="16"/>
              </w:rPr>
              <w:t>29.75</w:t>
            </w:r>
          </w:p>
        </w:tc>
        <w:tc>
          <w:tcPr>
            <w:tcW w:w="1154" w:type="dxa"/>
          </w:tcPr>
          <w:p w14:paraId="75F9981C" w14:textId="77777777" w:rsidR="00546FCC" w:rsidRPr="00546FCC" w:rsidRDefault="00546FCC" w:rsidP="00546FCC">
            <w:pPr>
              <w:jc w:val="both"/>
              <w:rPr>
                <w:rFonts w:cstheme="minorHAnsi"/>
                <w:sz w:val="16"/>
                <w:szCs w:val="16"/>
              </w:rPr>
            </w:pPr>
            <w:r w:rsidRPr="00546FCC">
              <w:rPr>
                <w:rFonts w:cstheme="minorHAnsi"/>
                <w:sz w:val="16"/>
                <w:szCs w:val="16"/>
              </w:rPr>
              <w:t>0.47</w:t>
            </w:r>
          </w:p>
        </w:tc>
      </w:tr>
      <w:tr w:rsidR="00546FCC" w:rsidRPr="00546FCC" w14:paraId="416855D2" w14:textId="77777777" w:rsidTr="00546FCC">
        <w:trPr>
          <w:trHeight w:val="171"/>
          <w:jc w:val="center"/>
        </w:trPr>
        <w:tc>
          <w:tcPr>
            <w:tcW w:w="997" w:type="dxa"/>
          </w:tcPr>
          <w:p w14:paraId="491117FD" w14:textId="77777777" w:rsidR="00546FCC" w:rsidRPr="00546FCC" w:rsidRDefault="00546FCC" w:rsidP="00546FCC">
            <w:pPr>
              <w:jc w:val="both"/>
              <w:rPr>
                <w:rFonts w:cstheme="minorHAnsi"/>
                <w:sz w:val="16"/>
                <w:szCs w:val="16"/>
              </w:rPr>
            </w:pPr>
            <w:r w:rsidRPr="00546FCC">
              <w:rPr>
                <w:rFonts w:cstheme="minorHAnsi"/>
                <w:sz w:val="16"/>
                <w:szCs w:val="16"/>
              </w:rPr>
              <w:t>C30</w:t>
            </w:r>
          </w:p>
        </w:tc>
        <w:tc>
          <w:tcPr>
            <w:tcW w:w="1368" w:type="dxa"/>
          </w:tcPr>
          <w:p w14:paraId="2FD21A55" w14:textId="77777777" w:rsidR="00546FCC" w:rsidRPr="00546FCC" w:rsidRDefault="00546FCC" w:rsidP="00546FCC">
            <w:pPr>
              <w:jc w:val="both"/>
              <w:rPr>
                <w:rFonts w:cstheme="minorHAnsi"/>
                <w:sz w:val="16"/>
                <w:szCs w:val="16"/>
              </w:rPr>
            </w:pPr>
            <w:r w:rsidRPr="00546FCC">
              <w:rPr>
                <w:rFonts w:cstheme="minorHAnsi"/>
                <w:sz w:val="16"/>
                <w:szCs w:val="16"/>
              </w:rPr>
              <w:t>72.73</w:t>
            </w:r>
          </w:p>
        </w:tc>
        <w:tc>
          <w:tcPr>
            <w:tcW w:w="1501" w:type="dxa"/>
          </w:tcPr>
          <w:p w14:paraId="2A48FC0F" w14:textId="77777777" w:rsidR="00546FCC" w:rsidRPr="00546FCC" w:rsidRDefault="00546FCC" w:rsidP="00546FCC">
            <w:pPr>
              <w:jc w:val="both"/>
              <w:rPr>
                <w:rFonts w:cstheme="minorHAnsi"/>
                <w:sz w:val="16"/>
                <w:szCs w:val="16"/>
              </w:rPr>
            </w:pPr>
            <w:r w:rsidRPr="00546FCC">
              <w:rPr>
                <w:rFonts w:cstheme="minorHAnsi"/>
                <w:sz w:val="16"/>
                <w:szCs w:val="16"/>
              </w:rPr>
              <w:t>29.19</w:t>
            </w:r>
          </w:p>
        </w:tc>
        <w:tc>
          <w:tcPr>
            <w:tcW w:w="1154" w:type="dxa"/>
          </w:tcPr>
          <w:p w14:paraId="4CFA825F" w14:textId="77777777" w:rsidR="00546FCC" w:rsidRPr="00546FCC" w:rsidRDefault="00546FCC" w:rsidP="00546FCC">
            <w:pPr>
              <w:jc w:val="both"/>
              <w:rPr>
                <w:rFonts w:cstheme="minorHAnsi"/>
                <w:sz w:val="16"/>
                <w:szCs w:val="16"/>
              </w:rPr>
            </w:pPr>
            <w:r w:rsidRPr="00546FCC">
              <w:rPr>
                <w:rFonts w:cstheme="minorHAnsi"/>
                <w:sz w:val="16"/>
                <w:szCs w:val="16"/>
              </w:rPr>
              <w:t>0.47</w:t>
            </w:r>
          </w:p>
        </w:tc>
      </w:tr>
      <w:tr w:rsidR="00546FCC" w:rsidRPr="00546FCC" w14:paraId="2245847F" w14:textId="77777777" w:rsidTr="00546FCC">
        <w:trPr>
          <w:trHeight w:val="171"/>
          <w:jc w:val="center"/>
        </w:trPr>
        <w:tc>
          <w:tcPr>
            <w:tcW w:w="997" w:type="dxa"/>
          </w:tcPr>
          <w:p w14:paraId="5AB134ED" w14:textId="77777777" w:rsidR="00546FCC" w:rsidRPr="00546FCC" w:rsidRDefault="00546FCC" w:rsidP="00546FCC">
            <w:pPr>
              <w:jc w:val="both"/>
              <w:rPr>
                <w:rFonts w:cstheme="minorHAnsi"/>
                <w:sz w:val="16"/>
                <w:szCs w:val="16"/>
              </w:rPr>
            </w:pPr>
            <w:r w:rsidRPr="00546FCC">
              <w:rPr>
                <w:rFonts w:cstheme="minorHAnsi"/>
                <w:sz w:val="16"/>
                <w:szCs w:val="16"/>
              </w:rPr>
              <w:t>C31</w:t>
            </w:r>
          </w:p>
        </w:tc>
        <w:tc>
          <w:tcPr>
            <w:tcW w:w="1368" w:type="dxa"/>
          </w:tcPr>
          <w:p w14:paraId="5B48478E" w14:textId="77777777" w:rsidR="00546FCC" w:rsidRPr="00546FCC" w:rsidRDefault="00546FCC" w:rsidP="00546FCC">
            <w:pPr>
              <w:jc w:val="both"/>
              <w:rPr>
                <w:rFonts w:cstheme="minorHAnsi"/>
                <w:sz w:val="16"/>
                <w:szCs w:val="16"/>
              </w:rPr>
            </w:pPr>
            <w:r w:rsidRPr="00546FCC">
              <w:rPr>
                <w:rFonts w:cstheme="minorHAnsi"/>
                <w:sz w:val="16"/>
                <w:szCs w:val="16"/>
              </w:rPr>
              <w:t>72.82</w:t>
            </w:r>
          </w:p>
        </w:tc>
        <w:tc>
          <w:tcPr>
            <w:tcW w:w="1501" w:type="dxa"/>
          </w:tcPr>
          <w:p w14:paraId="7EEDFC28" w14:textId="77777777" w:rsidR="00546FCC" w:rsidRPr="00546FCC" w:rsidRDefault="00546FCC" w:rsidP="00546FCC">
            <w:pPr>
              <w:jc w:val="both"/>
              <w:rPr>
                <w:rFonts w:cstheme="minorHAnsi"/>
                <w:sz w:val="16"/>
                <w:szCs w:val="16"/>
              </w:rPr>
            </w:pPr>
            <w:r w:rsidRPr="00546FCC">
              <w:rPr>
                <w:rFonts w:cstheme="minorHAnsi"/>
                <w:sz w:val="16"/>
                <w:szCs w:val="16"/>
              </w:rPr>
              <w:t>28.72</w:t>
            </w:r>
          </w:p>
        </w:tc>
        <w:tc>
          <w:tcPr>
            <w:tcW w:w="1154" w:type="dxa"/>
          </w:tcPr>
          <w:p w14:paraId="0AEF881D" w14:textId="77777777" w:rsidR="00546FCC" w:rsidRPr="00546FCC" w:rsidRDefault="00546FCC" w:rsidP="00546FCC">
            <w:pPr>
              <w:jc w:val="both"/>
              <w:rPr>
                <w:rFonts w:cstheme="minorHAnsi"/>
                <w:sz w:val="16"/>
                <w:szCs w:val="16"/>
              </w:rPr>
            </w:pPr>
            <w:r w:rsidRPr="00546FCC">
              <w:rPr>
                <w:rFonts w:cstheme="minorHAnsi"/>
                <w:sz w:val="16"/>
                <w:szCs w:val="16"/>
              </w:rPr>
              <w:t>0.47</w:t>
            </w:r>
          </w:p>
        </w:tc>
      </w:tr>
      <w:tr w:rsidR="00546FCC" w:rsidRPr="00546FCC" w14:paraId="6DC60F32" w14:textId="77777777" w:rsidTr="00546FCC">
        <w:trPr>
          <w:trHeight w:val="171"/>
          <w:jc w:val="center"/>
        </w:trPr>
        <w:tc>
          <w:tcPr>
            <w:tcW w:w="997" w:type="dxa"/>
          </w:tcPr>
          <w:p w14:paraId="5FF8CC4F" w14:textId="77777777" w:rsidR="00546FCC" w:rsidRPr="00546FCC" w:rsidRDefault="00546FCC" w:rsidP="00546FCC">
            <w:pPr>
              <w:jc w:val="both"/>
              <w:rPr>
                <w:rFonts w:cstheme="minorHAnsi"/>
                <w:sz w:val="16"/>
                <w:szCs w:val="16"/>
              </w:rPr>
            </w:pPr>
            <w:r w:rsidRPr="00546FCC">
              <w:rPr>
                <w:rFonts w:cstheme="minorHAnsi"/>
                <w:sz w:val="16"/>
                <w:szCs w:val="16"/>
              </w:rPr>
              <w:t>C32</w:t>
            </w:r>
          </w:p>
        </w:tc>
        <w:tc>
          <w:tcPr>
            <w:tcW w:w="1368" w:type="dxa"/>
          </w:tcPr>
          <w:p w14:paraId="66C2DA2C" w14:textId="77777777" w:rsidR="00546FCC" w:rsidRPr="00546FCC" w:rsidRDefault="00546FCC" w:rsidP="00546FCC">
            <w:pPr>
              <w:jc w:val="both"/>
              <w:rPr>
                <w:rFonts w:cstheme="minorHAnsi"/>
                <w:sz w:val="16"/>
                <w:szCs w:val="16"/>
              </w:rPr>
            </w:pPr>
            <w:r w:rsidRPr="00546FCC">
              <w:rPr>
                <w:rFonts w:cstheme="minorHAnsi"/>
                <w:sz w:val="16"/>
                <w:szCs w:val="16"/>
              </w:rPr>
              <w:t>73.02</w:t>
            </w:r>
          </w:p>
        </w:tc>
        <w:tc>
          <w:tcPr>
            <w:tcW w:w="1501" w:type="dxa"/>
          </w:tcPr>
          <w:p w14:paraId="5C38C444" w14:textId="77777777" w:rsidR="00546FCC" w:rsidRPr="00546FCC" w:rsidRDefault="00546FCC" w:rsidP="00546FCC">
            <w:pPr>
              <w:jc w:val="both"/>
              <w:rPr>
                <w:rFonts w:cstheme="minorHAnsi"/>
                <w:sz w:val="16"/>
                <w:szCs w:val="16"/>
              </w:rPr>
            </w:pPr>
            <w:r w:rsidRPr="00546FCC">
              <w:rPr>
                <w:rFonts w:cstheme="minorHAnsi"/>
                <w:sz w:val="16"/>
                <w:szCs w:val="16"/>
              </w:rPr>
              <w:t>28.64</w:t>
            </w:r>
          </w:p>
        </w:tc>
        <w:tc>
          <w:tcPr>
            <w:tcW w:w="1154" w:type="dxa"/>
          </w:tcPr>
          <w:p w14:paraId="08CE4F54" w14:textId="77777777" w:rsidR="00546FCC" w:rsidRPr="00546FCC" w:rsidRDefault="00546FCC" w:rsidP="00546FCC">
            <w:pPr>
              <w:jc w:val="both"/>
              <w:rPr>
                <w:rFonts w:cstheme="minorHAnsi"/>
                <w:sz w:val="16"/>
                <w:szCs w:val="16"/>
              </w:rPr>
            </w:pPr>
            <w:r w:rsidRPr="00546FCC">
              <w:rPr>
                <w:rFonts w:cstheme="minorHAnsi"/>
                <w:sz w:val="16"/>
                <w:szCs w:val="16"/>
              </w:rPr>
              <w:t>0.47</w:t>
            </w:r>
          </w:p>
        </w:tc>
      </w:tr>
      <w:tr w:rsidR="00546FCC" w:rsidRPr="00546FCC" w14:paraId="127386A0" w14:textId="77777777" w:rsidTr="00546FCC">
        <w:trPr>
          <w:trHeight w:val="171"/>
          <w:jc w:val="center"/>
        </w:trPr>
        <w:tc>
          <w:tcPr>
            <w:tcW w:w="997" w:type="dxa"/>
          </w:tcPr>
          <w:p w14:paraId="6241EE84" w14:textId="77777777" w:rsidR="00546FCC" w:rsidRPr="00546FCC" w:rsidRDefault="00546FCC" w:rsidP="00546FCC">
            <w:pPr>
              <w:jc w:val="both"/>
              <w:rPr>
                <w:rFonts w:cstheme="minorHAnsi"/>
                <w:sz w:val="16"/>
                <w:szCs w:val="16"/>
              </w:rPr>
            </w:pPr>
            <w:r w:rsidRPr="00546FCC">
              <w:rPr>
                <w:rFonts w:cstheme="minorHAnsi"/>
                <w:sz w:val="16"/>
                <w:szCs w:val="16"/>
              </w:rPr>
              <w:t>C33</w:t>
            </w:r>
          </w:p>
        </w:tc>
        <w:tc>
          <w:tcPr>
            <w:tcW w:w="1368" w:type="dxa"/>
          </w:tcPr>
          <w:p w14:paraId="166839D0" w14:textId="77777777" w:rsidR="00546FCC" w:rsidRPr="00546FCC" w:rsidRDefault="00546FCC" w:rsidP="00546FCC">
            <w:pPr>
              <w:jc w:val="both"/>
              <w:rPr>
                <w:rFonts w:cstheme="minorHAnsi"/>
                <w:sz w:val="16"/>
                <w:szCs w:val="16"/>
              </w:rPr>
            </w:pPr>
            <w:r w:rsidRPr="00546FCC">
              <w:rPr>
                <w:rFonts w:cstheme="minorHAnsi"/>
                <w:sz w:val="16"/>
                <w:szCs w:val="16"/>
              </w:rPr>
              <w:t>72.98</w:t>
            </w:r>
          </w:p>
        </w:tc>
        <w:tc>
          <w:tcPr>
            <w:tcW w:w="1501" w:type="dxa"/>
          </w:tcPr>
          <w:p w14:paraId="377E9DB4" w14:textId="77777777" w:rsidR="00546FCC" w:rsidRPr="00546FCC" w:rsidRDefault="00546FCC" w:rsidP="00546FCC">
            <w:pPr>
              <w:jc w:val="both"/>
              <w:rPr>
                <w:rFonts w:cstheme="minorHAnsi"/>
                <w:sz w:val="16"/>
                <w:szCs w:val="16"/>
              </w:rPr>
            </w:pPr>
            <w:r w:rsidRPr="00546FCC">
              <w:rPr>
                <w:rFonts w:cstheme="minorHAnsi"/>
                <w:sz w:val="16"/>
                <w:szCs w:val="16"/>
              </w:rPr>
              <w:t>28.89</w:t>
            </w:r>
          </w:p>
        </w:tc>
        <w:tc>
          <w:tcPr>
            <w:tcW w:w="1154" w:type="dxa"/>
          </w:tcPr>
          <w:p w14:paraId="0F74E4A0" w14:textId="77777777" w:rsidR="00546FCC" w:rsidRPr="00546FCC" w:rsidRDefault="00546FCC" w:rsidP="00546FCC">
            <w:pPr>
              <w:jc w:val="both"/>
              <w:rPr>
                <w:rFonts w:cstheme="minorHAnsi"/>
                <w:sz w:val="16"/>
                <w:szCs w:val="16"/>
              </w:rPr>
            </w:pPr>
            <w:r w:rsidRPr="00546FCC">
              <w:rPr>
                <w:rFonts w:cstheme="minorHAnsi"/>
                <w:sz w:val="16"/>
                <w:szCs w:val="16"/>
              </w:rPr>
              <w:t>0.46</w:t>
            </w:r>
          </w:p>
        </w:tc>
      </w:tr>
      <w:tr w:rsidR="00546FCC" w:rsidRPr="00546FCC" w14:paraId="68E78B4E" w14:textId="77777777" w:rsidTr="00546FCC">
        <w:trPr>
          <w:trHeight w:val="171"/>
          <w:jc w:val="center"/>
        </w:trPr>
        <w:tc>
          <w:tcPr>
            <w:tcW w:w="997" w:type="dxa"/>
          </w:tcPr>
          <w:p w14:paraId="750059F3" w14:textId="77777777" w:rsidR="00546FCC" w:rsidRPr="00546FCC" w:rsidRDefault="00546FCC" w:rsidP="00546FCC">
            <w:pPr>
              <w:jc w:val="both"/>
              <w:rPr>
                <w:rFonts w:cstheme="minorHAnsi"/>
                <w:sz w:val="16"/>
                <w:szCs w:val="16"/>
              </w:rPr>
            </w:pPr>
            <w:r w:rsidRPr="00546FCC">
              <w:rPr>
                <w:rFonts w:cstheme="minorHAnsi"/>
                <w:sz w:val="16"/>
                <w:szCs w:val="16"/>
              </w:rPr>
              <w:t>C34</w:t>
            </w:r>
          </w:p>
        </w:tc>
        <w:tc>
          <w:tcPr>
            <w:tcW w:w="1368" w:type="dxa"/>
          </w:tcPr>
          <w:p w14:paraId="2987B777" w14:textId="77777777" w:rsidR="00546FCC" w:rsidRPr="00546FCC" w:rsidRDefault="00546FCC" w:rsidP="00546FCC">
            <w:pPr>
              <w:jc w:val="both"/>
              <w:rPr>
                <w:rFonts w:cstheme="minorHAnsi"/>
                <w:sz w:val="16"/>
                <w:szCs w:val="16"/>
              </w:rPr>
            </w:pPr>
            <w:r w:rsidRPr="00546FCC">
              <w:rPr>
                <w:rFonts w:cstheme="minorHAnsi"/>
                <w:sz w:val="16"/>
                <w:szCs w:val="16"/>
              </w:rPr>
              <w:t>72.97</w:t>
            </w:r>
          </w:p>
        </w:tc>
        <w:tc>
          <w:tcPr>
            <w:tcW w:w="1501" w:type="dxa"/>
          </w:tcPr>
          <w:p w14:paraId="56961131" w14:textId="77777777" w:rsidR="00546FCC" w:rsidRPr="00546FCC" w:rsidRDefault="00546FCC" w:rsidP="00546FCC">
            <w:pPr>
              <w:jc w:val="both"/>
              <w:rPr>
                <w:rFonts w:cstheme="minorHAnsi"/>
                <w:sz w:val="16"/>
                <w:szCs w:val="16"/>
              </w:rPr>
            </w:pPr>
            <w:r w:rsidRPr="00546FCC">
              <w:rPr>
                <w:rFonts w:cstheme="minorHAnsi"/>
                <w:sz w:val="16"/>
                <w:szCs w:val="16"/>
              </w:rPr>
              <w:t>27.85</w:t>
            </w:r>
          </w:p>
        </w:tc>
        <w:tc>
          <w:tcPr>
            <w:tcW w:w="1154" w:type="dxa"/>
          </w:tcPr>
          <w:p w14:paraId="561E7125" w14:textId="77777777" w:rsidR="00546FCC" w:rsidRPr="00546FCC" w:rsidRDefault="00546FCC" w:rsidP="00546FCC">
            <w:pPr>
              <w:jc w:val="both"/>
              <w:rPr>
                <w:rFonts w:cstheme="minorHAnsi"/>
                <w:sz w:val="16"/>
                <w:szCs w:val="16"/>
              </w:rPr>
            </w:pPr>
            <w:r w:rsidRPr="00546FCC">
              <w:rPr>
                <w:rFonts w:cstheme="minorHAnsi"/>
                <w:sz w:val="16"/>
                <w:szCs w:val="16"/>
              </w:rPr>
              <w:t>0.45</w:t>
            </w:r>
          </w:p>
        </w:tc>
      </w:tr>
      <w:tr w:rsidR="00546FCC" w:rsidRPr="00546FCC" w14:paraId="5DE8EC69" w14:textId="77777777" w:rsidTr="00546FCC">
        <w:trPr>
          <w:trHeight w:val="171"/>
          <w:jc w:val="center"/>
        </w:trPr>
        <w:tc>
          <w:tcPr>
            <w:tcW w:w="997" w:type="dxa"/>
          </w:tcPr>
          <w:p w14:paraId="15D81AA3" w14:textId="77777777" w:rsidR="00546FCC" w:rsidRPr="00546FCC" w:rsidRDefault="00546FCC" w:rsidP="00546FCC">
            <w:pPr>
              <w:jc w:val="both"/>
              <w:rPr>
                <w:rFonts w:cstheme="minorHAnsi"/>
                <w:sz w:val="16"/>
                <w:szCs w:val="16"/>
              </w:rPr>
            </w:pPr>
            <w:r w:rsidRPr="00546FCC">
              <w:rPr>
                <w:rFonts w:cstheme="minorHAnsi"/>
                <w:sz w:val="16"/>
                <w:szCs w:val="16"/>
              </w:rPr>
              <w:t>C35</w:t>
            </w:r>
          </w:p>
        </w:tc>
        <w:tc>
          <w:tcPr>
            <w:tcW w:w="1368" w:type="dxa"/>
          </w:tcPr>
          <w:p w14:paraId="1E8296E4" w14:textId="77777777" w:rsidR="00546FCC" w:rsidRPr="00546FCC" w:rsidRDefault="00546FCC" w:rsidP="00546FCC">
            <w:pPr>
              <w:jc w:val="both"/>
              <w:rPr>
                <w:rFonts w:cstheme="minorHAnsi"/>
                <w:sz w:val="16"/>
                <w:szCs w:val="16"/>
              </w:rPr>
            </w:pPr>
            <w:r w:rsidRPr="00546FCC">
              <w:rPr>
                <w:rFonts w:cstheme="minorHAnsi"/>
                <w:sz w:val="16"/>
                <w:szCs w:val="16"/>
              </w:rPr>
              <w:t>72.96</w:t>
            </w:r>
          </w:p>
        </w:tc>
        <w:tc>
          <w:tcPr>
            <w:tcW w:w="1501" w:type="dxa"/>
          </w:tcPr>
          <w:p w14:paraId="12E35ABC" w14:textId="77777777" w:rsidR="00546FCC" w:rsidRPr="00546FCC" w:rsidRDefault="00546FCC" w:rsidP="00546FCC">
            <w:pPr>
              <w:jc w:val="both"/>
              <w:rPr>
                <w:rFonts w:cstheme="minorHAnsi"/>
                <w:sz w:val="16"/>
                <w:szCs w:val="16"/>
              </w:rPr>
            </w:pPr>
            <w:r w:rsidRPr="00546FCC">
              <w:rPr>
                <w:rFonts w:cstheme="minorHAnsi"/>
                <w:sz w:val="16"/>
                <w:szCs w:val="16"/>
              </w:rPr>
              <w:t>27.71</w:t>
            </w:r>
          </w:p>
        </w:tc>
        <w:tc>
          <w:tcPr>
            <w:tcW w:w="1154" w:type="dxa"/>
          </w:tcPr>
          <w:p w14:paraId="371C90B9" w14:textId="77777777" w:rsidR="00546FCC" w:rsidRPr="00546FCC" w:rsidRDefault="00546FCC" w:rsidP="00546FCC">
            <w:pPr>
              <w:jc w:val="both"/>
              <w:rPr>
                <w:rFonts w:cstheme="minorHAnsi"/>
                <w:sz w:val="16"/>
                <w:szCs w:val="16"/>
              </w:rPr>
            </w:pPr>
            <w:r w:rsidRPr="00546FCC">
              <w:rPr>
                <w:rFonts w:cstheme="minorHAnsi"/>
                <w:sz w:val="16"/>
                <w:szCs w:val="16"/>
              </w:rPr>
              <w:t>0.45</w:t>
            </w:r>
          </w:p>
        </w:tc>
      </w:tr>
      <w:tr w:rsidR="00546FCC" w:rsidRPr="00546FCC" w14:paraId="0CCC825E" w14:textId="77777777" w:rsidTr="00546FCC">
        <w:trPr>
          <w:trHeight w:val="171"/>
          <w:jc w:val="center"/>
        </w:trPr>
        <w:tc>
          <w:tcPr>
            <w:tcW w:w="997" w:type="dxa"/>
          </w:tcPr>
          <w:p w14:paraId="4BC264DD" w14:textId="77777777" w:rsidR="00546FCC" w:rsidRPr="00546FCC" w:rsidRDefault="00546FCC" w:rsidP="00546FCC">
            <w:pPr>
              <w:jc w:val="both"/>
              <w:rPr>
                <w:rFonts w:cstheme="minorHAnsi"/>
                <w:sz w:val="16"/>
                <w:szCs w:val="16"/>
              </w:rPr>
            </w:pPr>
            <w:r w:rsidRPr="00546FCC">
              <w:rPr>
                <w:rFonts w:cstheme="minorHAnsi"/>
                <w:sz w:val="16"/>
                <w:szCs w:val="16"/>
              </w:rPr>
              <w:t>C36</w:t>
            </w:r>
          </w:p>
        </w:tc>
        <w:tc>
          <w:tcPr>
            <w:tcW w:w="1368" w:type="dxa"/>
          </w:tcPr>
          <w:p w14:paraId="7BA461A0" w14:textId="77777777" w:rsidR="00546FCC" w:rsidRPr="00546FCC" w:rsidRDefault="00546FCC" w:rsidP="00546FCC">
            <w:pPr>
              <w:jc w:val="both"/>
              <w:rPr>
                <w:rFonts w:cstheme="minorHAnsi"/>
                <w:sz w:val="16"/>
                <w:szCs w:val="16"/>
              </w:rPr>
            </w:pPr>
            <w:r w:rsidRPr="00546FCC">
              <w:rPr>
                <w:rFonts w:cstheme="minorHAnsi"/>
                <w:sz w:val="16"/>
                <w:szCs w:val="16"/>
              </w:rPr>
              <w:t>72.64</w:t>
            </w:r>
          </w:p>
        </w:tc>
        <w:tc>
          <w:tcPr>
            <w:tcW w:w="1501" w:type="dxa"/>
          </w:tcPr>
          <w:p w14:paraId="6C42342E" w14:textId="77777777" w:rsidR="00546FCC" w:rsidRPr="00546FCC" w:rsidRDefault="00546FCC" w:rsidP="00546FCC">
            <w:pPr>
              <w:jc w:val="both"/>
              <w:rPr>
                <w:rFonts w:cstheme="minorHAnsi"/>
                <w:sz w:val="16"/>
                <w:szCs w:val="16"/>
              </w:rPr>
            </w:pPr>
            <w:r w:rsidRPr="00546FCC">
              <w:rPr>
                <w:rFonts w:cstheme="minorHAnsi"/>
                <w:sz w:val="16"/>
                <w:szCs w:val="16"/>
              </w:rPr>
              <w:t>27.33</w:t>
            </w:r>
          </w:p>
        </w:tc>
        <w:tc>
          <w:tcPr>
            <w:tcW w:w="1154" w:type="dxa"/>
          </w:tcPr>
          <w:p w14:paraId="42D8A8B2" w14:textId="77777777" w:rsidR="00546FCC" w:rsidRPr="00546FCC" w:rsidRDefault="00546FCC" w:rsidP="00546FCC">
            <w:pPr>
              <w:jc w:val="both"/>
              <w:rPr>
                <w:rFonts w:cstheme="minorHAnsi"/>
                <w:sz w:val="16"/>
                <w:szCs w:val="16"/>
              </w:rPr>
            </w:pPr>
            <w:r w:rsidRPr="00546FCC">
              <w:rPr>
                <w:rFonts w:cstheme="minorHAnsi"/>
                <w:sz w:val="16"/>
                <w:szCs w:val="16"/>
              </w:rPr>
              <w:t>0.43</w:t>
            </w:r>
          </w:p>
        </w:tc>
      </w:tr>
      <w:tr w:rsidR="00546FCC" w:rsidRPr="00546FCC" w14:paraId="3B600754" w14:textId="77777777" w:rsidTr="00546FCC">
        <w:trPr>
          <w:trHeight w:val="171"/>
          <w:jc w:val="center"/>
        </w:trPr>
        <w:tc>
          <w:tcPr>
            <w:tcW w:w="997" w:type="dxa"/>
          </w:tcPr>
          <w:p w14:paraId="1CB2117D" w14:textId="77777777" w:rsidR="00546FCC" w:rsidRPr="00546FCC" w:rsidRDefault="00546FCC" w:rsidP="00546FCC">
            <w:pPr>
              <w:jc w:val="both"/>
              <w:rPr>
                <w:rFonts w:cstheme="minorHAnsi"/>
                <w:sz w:val="16"/>
                <w:szCs w:val="16"/>
              </w:rPr>
            </w:pPr>
            <w:r w:rsidRPr="00546FCC">
              <w:rPr>
                <w:rFonts w:cstheme="minorHAnsi"/>
                <w:sz w:val="16"/>
                <w:szCs w:val="16"/>
              </w:rPr>
              <w:t>C37</w:t>
            </w:r>
          </w:p>
        </w:tc>
        <w:tc>
          <w:tcPr>
            <w:tcW w:w="1368" w:type="dxa"/>
          </w:tcPr>
          <w:p w14:paraId="7655AADE" w14:textId="77777777" w:rsidR="00546FCC" w:rsidRPr="00546FCC" w:rsidRDefault="00546FCC" w:rsidP="00546FCC">
            <w:pPr>
              <w:jc w:val="both"/>
              <w:rPr>
                <w:rFonts w:cstheme="minorHAnsi"/>
                <w:sz w:val="16"/>
                <w:szCs w:val="16"/>
              </w:rPr>
            </w:pPr>
            <w:r w:rsidRPr="00546FCC">
              <w:rPr>
                <w:rFonts w:cstheme="minorHAnsi"/>
                <w:sz w:val="16"/>
                <w:szCs w:val="16"/>
              </w:rPr>
              <w:t>71.61</w:t>
            </w:r>
          </w:p>
        </w:tc>
        <w:tc>
          <w:tcPr>
            <w:tcW w:w="1501" w:type="dxa"/>
          </w:tcPr>
          <w:p w14:paraId="4F890B45" w14:textId="77777777" w:rsidR="00546FCC" w:rsidRPr="00546FCC" w:rsidRDefault="00546FCC" w:rsidP="00546FCC">
            <w:pPr>
              <w:jc w:val="both"/>
              <w:rPr>
                <w:rFonts w:cstheme="minorHAnsi"/>
                <w:sz w:val="16"/>
                <w:szCs w:val="16"/>
              </w:rPr>
            </w:pPr>
            <w:r w:rsidRPr="00546FCC">
              <w:rPr>
                <w:rFonts w:cstheme="minorHAnsi"/>
                <w:sz w:val="16"/>
                <w:szCs w:val="16"/>
              </w:rPr>
              <w:t>27.40</w:t>
            </w:r>
          </w:p>
        </w:tc>
        <w:tc>
          <w:tcPr>
            <w:tcW w:w="1154" w:type="dxa"/>
          </w:tcPr>
          <w:p w14:paraId="57824363" w14:textId="77777777" w:rsidR="00546FCC" w:rsidRPr="00546FCC" w:rsidRDefault="00546FCC" w:rsidP="00546FCC">
            <w:pPr>
              <w:jc w:val="both"/>
              <w:rPr>
                <w:rFonts w:cstheme="minorHAnsi"/>
                <w:sz w:val="16"/>
                <w:szCs w:val="16"/>
              </w:rPr>
            </w:pPr>
            <w:r w:rsidRPr="00546FCC">
              <w:rPr>
                <w:rFonts w:cstheme="minorHAnsi"/>
                <w:sz w:val="16"/>
                <w:szCs w:val="16"/>
              </w:rPr>
              <w:t>0.41</w:t>
            </w:r>
          </w:p>
        </w:tc>
      </w:tr>
      <w:tr w:rsidR="00546FCC" w:rsidRPr="00546FCC" w14:paraId="43143DEE" w14:textId="77777777" w:rsidTr="00546FCC">
        <w:trPr>
          <w:trHeight w:val="171"/>
          <w:jc w:val="center"/>
        </w:trPr>
        <w:tc>
          <w:tcPr>
            <w:tcW w:w="997" w:type="dxa"/>
          </w:tcPr>
          <w:p w14:paraId="6E05FD9A" w14:textId="77777777" w:rsidR="00546FCC" w:rsidRPr="00546FCC" w:rsidRDefault="00546FCC" w:rsidP="00546FCC">
            <w:pPr>
              <w:jc w:val="both"/>
              <w:rPr>
                <w:rFonts w:cstheme="minorHAnsi"/>
                <w:sz w:val="16"/>
                <w:szCs w:val="16"/>
              </w:rPr>
            </w:pPr>
            <w:r w:rsidRPr="00546FCC">
              <w:rPr>
                <w:rFonts w:cstheme="minorHAnsi"/>
                <w:sz w:val="16"/>
                <w:szCs w:val="16"/>
              </w:rPr>
              <w:t>C38</w:t>
            </w:r>
          </w:p>
        </w:tc>
        <w:tc>
          <w:tcPr>
            <w:tcW w:w="1368" w:type="dxa"/>
          </w:tcPr>
          <w:p w14:paraId="76DEDFD9" w14:textId="77777777" w:rsidR="00546FCC" w:rsidRPr="00546FCC" w:rsidRDefault="00546FCC" w:rsidP="00546FCC">
            <w:pPr>
              <w:jc w:val="both"/>
              <w:rPr>
                <w:rFonts w:cstheme="minorHAnsi"/>
                <w:sz w:val="16"/>
                <w:szCs w:val="16"/>
              </w:rPr>
            </w:pPr>
            <w:r w:rsidRPr="00546FCC">
              <w:rPr>
                <w:rFonts w:cstheme="minorHAnsi"/>
                <w:sz w:val="16"/>
                <w:szCs w:val="16"/>
              </w:rPr>
              <w:t>68.12</w:t>
            </w:r>
          </w:p>
        </w:tc>
        <w:tc>
          <w:tcPr>
            <w:tcW w:w="1501" w:type="dxa"/>
          </w:tcPr>
          <w:p w14:paraId="5F3E7F0B" w14:textId="77777777" w:rsidR="00546FCC" w:rsidRPr="00546FCC" w:rsidRDefault="00546FCC" w:rsidP="00546FCC">
            <w:pPr>
              <w:jc w:val="both"/>
              <w:rPr>
                <w:rFonts w:cstheme="minorHAnsi"/>
                <w:sz w:val="16"/>
                <w:szCs w:val="16"/>
              </w:rPr>
            </w:pPr>
            <w:r w:rsidRPr="00546FCC">
              <w:rPr>
                <w:rFonts w:cstheme="minorHAnsi"/>
                <w:sz w:val="16"/>
                <w:szCs w:val="16"/>
              </w:rPr>
              <w:t>27.25</w:t>
            </w:r>
          </w:p>
        </w:tc>
        <w:tc>
          <w:tcPr>
            <w:tcW w:w="1154" w:type="dxa"/>
          </w:tcPr>
          <w:p w14:paraId="7B9CA288" w14:textId="77777777" w:rsidR="00546FCC" w:rsidRPr="00546FCC" w:rsidRDefault="00546FCC" w:rsidP="00546FCC">
            <w:pPr>
              <w:jc w:val="both"/>
              <w:rPr>
                <w:rFonts w:cstheme="minorHAnsi"/>
                <w:sz w:val="16"/>
                <w:szCs w:val="16"/>
              </w:rPr>
            </w:pPr>
            <w:r w:rsidRPr="00546FCC">
              <w:rPr>
                <w:rFonts w:cstheme="minorHAnsi"/>
                <w:sz w:val="16"/>
                <w:szCs w:val="16"/>
              </w:rPr>
              <w:t>0.32</w:t>
            </w:r>
          </w:p>
        </w:tc>
      </w:tr>
      <w:tr w:rsidR="00546FCC" w:rsidRPr="00546FCC" w14:paraId="2116510C" w14:textId="77777777" w:rsidTr="00546FCC">
        <w:trPr>
          <w:trHeight w:val="207"/>
          <w:jc w:val="center"/>
        </w:trPr>
        <w:tc>
          <w:tcPr>
            <w:tcW w:w="997" w:type="dxa"/>
            <w:tcBorders>
              <w:bottom w:val="single" w:sz="4" w:space="0" w:color="000000"/>
            </w:tcBorders>
          </w:tcPr>
          <w:p w14:paraId="7A98BD7B" w14:textId="77777777" w:rsidR="00546FCC" w:rsidRPr="00546FCC" w:rsidRDefault="00546FCC" w:rsidP="00546FCC">
            <w:pPr>
              <w:jc w:val="both"/>
              <w:rPr>
                <w:rFonts w:cstheme="minorHAnsi"/>
                <w:sz w:val="16"/>
                <w:szCs w:val="16"/>
              </w:rPr>
            </w:pPr>
            <w:r w:rsidRPr="00546FCC">
              <w:rPr>
                <w:rFonts w:cstheme="minorHAnsi"/>
                <w:sz w:val="16"/>
                <w:szCs w:val="16"/>
              </w:rPr>
              <w:t>Average (SD)</w:t>
            </w:r>
          </w:p>
        </w:tc>
        <w:tc>
          <w:tcPr>
            <w:tcW w:w="1368" w:type="dxa"/>
            <w:tcBorders>
              <w:bottom w:val="single" w:sz="4" w:space="0" w:color="000000"/>
            </w:tcBorders>
          </w:tcPr>
          <w:p w14:paraId="50AA18B6" w14:textId="77777777" w:rsidR="00546FCC" w:rsidRPr="00546FCC" w:rsidRDefault="00546FCC" w:rsidP="00546FCC">
            <w:pPr>
              <w:jc w:val="both"/>
              <w:rPr>
                <w:rFonts w:cstheme="minorHAnsi"/>
                <w:sz w:val="16"/>
                <w:szCs w:val="16"/>
              </w:rPr>
            </w:pPr>
            <w:r w:rsidRPr="00546FCC">
              <w:rPr>
                <w:rFonts w:cstheme="minorHAnsi"/>
                <w:sz w:val="16"/>
                <w:szCs w:val="16"/>
              </w:rPr>
              <w:t>72.38 (±1.19)</w:t>
            </w:r>
          </w:p>
        </w:tc>
        <w:tc>
          <w:tcPr>
            <w:tcW w:w="1501" w:type="dxa"/>
            <w:tcBorders>
              <w:bottom w:val="single" w:sz="4" w:space="0" w:color="000000"/>
            </w:tcBorders>
          </w:tcPr>
          <w:p w14:paraId="2882CFDE" w14:textId="77777777" w:rsidR="00546FCC" w:rsidRPr="00546FCC" w:rsidRDefault="00546FCC" w:rsidP="00546FCC">
            <w:pPr>
              <w:jc w:val="both"/>
              <w:rPr>
                <w:rFonts w:cstheme="minorHAnsi"/>
                <w:sz w:val="16"/>
                <w:szCs w:val="16"/>
              </w:rPr>
            </w:pPr>
            <w:r w:rsidRPr="00546FCC">
              <w:rPr>
                <w:rFonts w:cstheme="minorHAnsi"/>
                <w:sz w:val="16"/>
                <w:szCs w:val="16"/>
              </w:rPr>
              <w:t>29.60 (±1.93)</w:t>
            </w:r>
          </w:p>
        </w:tc>
        <w:tc>
          <w:tcPr>
            <w:tcW w:w="1154" w:type="dxa"/>
            <w:tcBorders>
              <w:bottom w:val="single" w:sz="4" w:space="0" w:color="000000"/>
            </w:tcBorders>
          </w:tcPr>
          <w:p w14:paraId="3D6D31A5" w14:textId="77777777" w:rsidR="00546FCC" w:rsidRPr="00546FCC" w:rsidRDefault="00546FCC" w:rsidP="00546FCC">
            <w:pPr>
              <w:jc w:val="both"/>
              <w:rPr>
                <w:rFonts w:cstheme="minorHAnsi"/>
                <w:sz w:val="16"/>
                <w:szCs w:val="16"/>
              </w:rPr>
            </w:pPr>
            <w:r w:rsidRPr="00546FCC">
              <w:rPr>
                <w:rFonts w:cstheme="minorHAnsi"/>
                <w:sz w:val="16"/>
                <w:szCs w:val="16"/>
              </w:rPr>
              <w:t>0.45 (±0.05)</w:t>
            </w:r>
          </w:p>
        </w:tc>
      </w:tr>
    </w:tbl>
    <w:p w14:paraId="797DA9B0" w14:textId="77777777" w:rsidR="008B5995" w:rsidRDefault="008B5995" w:rsidP="00036B2F">
      <w:pPr>
        <w:jc w:val="both"/>
      </w:pPr>
    </w:p>
    <w:p w14:paraId="767EAE13" w14:textId="493B0D65" w:rsidR="00036B2F" w:rsidRDefault="00036B2F" w:rsidP="00036B2F">
      <w:pPr>
        <w:jc w:val="both"/>
      </w:pPr>
      <w:r>
        <w:lastRenderedPageBreak/>
        <w:tab/>
      </w:r>
      <w:r>
        <w:t xml:space="preserve">Besides alkanes, various chemical families were present in the sample (Section 3.1). Taking the C21 group as the “middle point” in the C7–C39 2D-GC chromatogram (Fig. 1), the peak volumes of the representative chemical families present in this group were used to select the best condition for the PTV injection. Ten representative compounds included 3 mono-olefins, 3 di-olefins, and 4 cyclic and aromatic com- pounds (Fig. 2). All the response surfaces of vent pressure versus vent time showed the maximum point </w:t>
      </w:r>
      <w:proofErr w:type="gramStart"/>
      <w:r>
        <w:t>closed</w:t>
      </w:r>
      <w:proofErr w:type="gramEnd"/>
      <w:r>
        <w:t xml:space="preserve"> to the central point of CCD. However, vent flow did not show much impact on the response. The</w:t>
      </w:r>
      <w:r>
        <w:t xml:space="preserve"> </w:t>
      </w:r>
      <w:r>
        <w:t>average of the stationary points of 10 representative compounds was with a vent pressure of 72.31 kPa, a vent flow of 30.71 mL min</w:t>
      </w:r>
      <w:r w:rsidRPr="008C6F7C">
        <w:rPr>
          <w:vertAlign w:val="superscript"/>
        </w:rPr>
        <w:t>—1</w:t>
      </w:r>
      <w:r>
        <w:t>, and a vent time of 0.45 min (Table 2). The repeatability of the central points of CCD (n = 10) was below 28% (coefficient variation) except for peak 9 of 43%. Finally, the central point condition was thereby selected as the best</w:t>
      </w:r>
      <w:r>
        <w:t xml:space="preserve"> </w:t>
      </w:r>
      <w:r>
        <w:t>compromise for both alkanes and other chemical families. This condition was applied for the following analysis.</w:t>
      </w:r>
    </w:p>
    <w:p w14:paraId="75214A31" w14:textId="77777777" w:rsidR="00036B2F" w:rsidRPr="00036B2F" w:rsidRDefault="00036B2F" w:rsidP="00036B2F"/>
    <w:p w14:paraId="5099E128" w14:textId="52292AD7" w:rsidR="000F4F69" w:rsidRDefault="002F15E4" w:rsidP="002F15E4">
      <w:pPr>
        <w:pStyle w:val="Titre2"/>
        <w:jc w:val="both"/>
        <w:rPr>
          <w:spacing w:val="-2"/>
        </w:rPr>
      </w:pPr>
      <w:r>
        <w:t>CHEMICAL STRUCTURE PREDICTION BY PTV-GC x GC-EI/PI-HRTOFMS</w:t>
      </w:r>
    </w:p>
    <w:p w14:paraId="3A5F98F8" w14:textId="77777777" w:rsidR="000F4F69" w:rsidRDefault="000F4F69" w:rsidP="002F15E4">
      <w:pPr>
        <w:jc w:val="both"/>
      </w:pPr>
    </w:p>
    <w:p w14:paraId="283FC2B6" w14:textId="36C65420" w:rsidR="00884BC2" w:rsidRDefault="00884BC2" w:rsidP="00884BC2">
      <w:pPr>
        <w:jc w:val="both"/>
      </w:pPr>
      <w:r>
        <w:tab/>
      </w:r>
      <w:r>
        <w:t>The 2D chromatographic space location generated by FW-GC × GC- EI-LRTOFMS was useful in the assignment of chemical classes to the</w:t>
      </w:r>
      <w:r>
        <w:t xml:space="preserve"> </w:t>
      </w:r>
      <w:r>
        <w:t xml:space="preserve">analytes present in the sample. However, the identification and their MS interpretation of individual isomers which have the same molecular weight became difficult </w:t>
      </w:r>
      <w:proofErr w:type="gramStart"/>
      <w:r>
        <w:t>task</w:t>
      </w:r>
      <w:proofErr w:type="gramEnd"/>
      <w:r>
        <w:t xml:space="preserve"> using the above instrumentation. With the increasing number of carbons, the number of isomers grows exponentially. The EI mass spectrum, even coupled to the </w:t>
      </w:r>
      <w:proofErr w:type="gramStart"/>
      <w:r>
        <w:t>LRIs</w:t>
      </w:r>
      <w:proofErr w:type="gramEnd"/>
      <w:r>
        <w:t xml:space="preserve"> cannot provide enough information to identify the isomer with certainty. Therefore, </w:t>
      </w:r>
      <w:proofErr w:type="gramStart"/>
      <w:r>
        <w:t>an HRTOFMS</w:t>
      </w:r>
      <w:proofErr w:type="gramEnd"/>
      <w:r>
        <w:t xml:space="preserve"> coupled with EI/PI was applied to identify/predict the isomer structures. Applying PI, a soft ionization, a significant enhancement of the intensity of molecular ions compared to EI can be obtained. PI together with HRTOFMS can further provide accurate molecular mass, which was then used to predict the compound formula with an assessment of the mass accuracy (MA). Moreover, PI can also provide an informative fragmentation pattern in the mass spectra, which was used to predict the isomer structure, such as the double bond location and branching [14].</w:t>
      </w:r>
    </w:p>
    <w:p w14:paraId="6A363571" w14:textId="64AEFBF8" w:rsidR="005C5755" w:rsidRDefault="00884BC2" w:rsidP="005C5755">
      <w:pPr>
        <w:ind w:firstLine="720"/>
        <w:jc w:val="both"/>
      </w:pPr>
      <w:r>
        <w:t>In this section, the C12 group was investigated in detail as an example. There were 13 peaks selected, which were aliphatic alkanes and olefins (Fig. 3). The molecular ions of all peaks were extracted from PI mass spectra to predict the chemical class (Table S3). 12 out of 13 compounds showed MA below 5 ppm. Comparing to the library LRIs, 5 out of 13 compounds were identified with a ΔLRI lower than 2.85. They</w:t>
      </w:r>
      <w:r w:rsidRPr="00884BC2">
        <w:t xml:space="preserve"> </w:t>
      </w:r>
      <w:r>
        <w:t xml:space="preserve">were 1-dodecene, (Z)-3-dodecene, dodecane, (E)-2-dodecene, and (Z)-2- </w:t>
      </w:r>
      <w:proofErr w:type="spellStart"/>
      <w:r>
        <w:t>dodecene</w:t>
      </w:r>
      <w:proofErr w:type="spellEnd"/>
      <w:r>
        <w:t xml:space="preserve">, respectively. The remaining 8 compounds were olefins. The LRIs were used to predict whether they were linear or branched olefins. As reported in a previous study, the branched </w:t>
      </w:r>
      <w:proofErr w:type="spellStart"/>
      <w:r>
        <w:t>dodecenes</w:t>
      </w:r>
      <w:proofErr w:type="spellEnd"/>
      <w:r>
        <w:t xml:space="preserve"> eluted before the linear </w:t>
      </w:r>
      <w:proofErr w:type="spellStart"/>
      <w:r>
        <w:t>dodecenes</w:t>
      </w:r>
      <w:proofErr w:type="spellEnd"/>
      <w:r>
        <w:t xml:space="preserve"> in a normal phase column set [14]. As said, the higher the branching, the earlier the isomers elute. The LRIs of linear </w:t>
      </w:r>
      <w:proofErr w:type="spellStart"/>
      <w:r>
        <w:t>dodecenes</w:t>
      </w:r>
      <w:proofErr w:type="spellEnd"/>
      <w:r>
        <w:t xml:space="preserve"> are 1186–1211. The LRIs between 1154 and 1186 are mono-branched </w:t>
      </w:r>
      <w:proofErr w:type="spellStart"/>
      <w:r>
        <w:t>dodecene</w:t>
      </w:r>
      <w:proofErr w:type="spellEnd"/>
      <w:r>
        <w:t xml:space="preserve"> isomers [14]. Therefore, peaks 2 and 5 with LRIs higher than 1154 and lower than 1186 were predicted as mono-branched </w:t>
      </w:r>
      <w:proofErr w:type="spellStart"/>
      <w:r>
        <w:t>dodecenes</w:t>
      </w:r>
      <w:proofErr w:type="spellEnd"/>
      <w:r>
        <w:t xml:space="preserve">. The prediction of the structure of dodeca- diene isomers by LRIs is much more difficult because the LRIs of only 4 </w:t>
      </w:r>
      <w:proofErr w:type="spellStart"/>
      <w:r>
        <w:t>dodecadiene</w:t>
      </w:r>
      <w:proofErr w:type="spellEnd"/>
      <w:r>
        <w:t xml:space="preserve"> isomers is reported in the NIST Chemistry </w:t>
      </w:r>
      <w:proofErr w:type="spellStart"/>
      <w:r>
        <w:t>WebBook</w:t>
      </w:r>
      <w:proofErr w:type="spellEnd"/>
      <w:r>
        <w:t xml:space="preserve">. The LRI of 1,11-dodecadiene is 1169, which is lower than dodecane (1200). The LRIs of </w:t>
      </w:r>
      <w:proofErr w:type="gramStart"/>
      <w:r>
        <w:t>E,E</w:t>
      </w:r>
      <w:proofErr w:type="gramEnd"/>
      <w:r>
        <w:t xml:space="preserve">,2,10-dodecadiene and </w:t>
      </w:r>
      <w:proofErr w:type="gramStart"/>
      <w:r>
        <w:t>Z,Z</w:t>
      </w:r>
      <w:proofErr w:type="gramEnd"/>
      <w:r>
        <w:t xml:space="preserve">,2,10-dodecadiene are 1203 and 1215, respectively, which are higher than dodecane. 3, 8-dimethyl-1,9-decadiene has a much lower LRI of 1093 compared to its linear isomers (Table S4). To understand better how the distance between two double bonds of linear di-olefins affects the LRIs, hexadiene was used as an example since the isomers are less complex and more LRI information can </w:t>
      </w:r>
    </w:p>
    <w:p w14:paraId="5A26EA89" w14:textId="62F495F6" w:rsidR="005C5755" w:rsidRDefault="005C5755" w:rsidP="005C5755">
      <w:pPr>
        <w:jc w:val="center"/>
      </w:pPr>
      <w:r>
        <w:rPr>
          <w:noProof/>
          <w:sz w:val="20"/>
        </w:rPr>
        <w:lastRenderedPageBreak/>
        <w:drawing>
          <wp:inline distT="0" distB="0" distL="0" distR="0" wp14:anchorId="5C29E2B2" wp14:editId="4B8560E5">
            <wp:extent cx="5693134" cy="6790414"/>
            <wp:effectExtent l="0" t="0" r="3175" b="0"/>
            <wp:docPr id="19" name="Image 19" descr="Image of Fi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Image of Fig. 2"/>
                    <pic:cNvPicPr/>
                  </pic:nvPicPr>
                  <pic:blipFill>
                    <a:blip r:embed="rId10" cstate="print"/>
                    <a:stretch>
                      <a:fillRect/>
                    </a:stretch>
                  </pic:blipFill>
                  <pic:spPr>
                    <a:xfrm>
                      <a:off x="0" y="0"/>
                      <a:ext cx="5780438" cy="6894544"/>
                    </a:xfrm>
                    <a:prstGeom prst="rect">
                      <a:avLst/>
                    </a:prstGeom>
                  </pic:spPr>
                </pic:pic>
              </a:graphicData>
            </a:graphic>
          </wp:inline>
        </w:drawing>
      </w:r>
    </w:p>
    <w:p w14:paraId="00FD92B6" w14:textId="3CBBA45C" w:rsidR="005C5755" w:rsidRDefault="005C5755" w:rsidP="005C5755">
      <w:pPr>
        <w:jc w:val="both"/>
      </w:pPr>
      <w:r w:rsidRPr="005C5755">
        <w:rPr>
          <w:b/>
          <w:bCs/>
        </w:rPr>
        <w:t>Fig. 2.</w:t>
      </w:r>
      <w:r>
        <w:t xml:space="preserve"> </w:t>
      </w:r>
      <w:r w:rsidRPr="005C5755">
        <w:rPr>
          <w:sz w:val="20"/>
          <w:szCs w:val="20"/>
        </w:rPr>
        <w:t xml:space="preserve">On the top: GC × GC-PI-HRTOFMS chromatogram of the expansion of C21 group. Each number corresponds to a molecule belonging to a specific chemical class (on the top left of the 2D-GC plot zoom). On the bottom: Response surface of C21 analytes (n = 10) to vent pressure versus vent time (central), vent pressure versus vent flow (left), and vent time versus vent flow (right). Vent pressure versus vent time showed the maximum point </w:t>
      </w:r>
      <w:proofErr w:type="gramStart"/>
      <w:r w:rsidRPr="005C5755">
        <w:rPr>
          <w:sz w:val="20"/>
          <w:szCs w:val="20"/>
        </w:rPr>
        <w:t>closed</w:t>
      </w:r>
      <w:proofErr w:type="gramEnd"/>
      <w:r w:rsidRPr="005C5755">
        <w:rPr>
          <w:sz w:val="20"/>
          <w:szCs w:val="20"/>
        </w:rPr>
        <w:t xml:space="preserve"> to the central point of CCD, while</w:t>
      </w:r>
      <w:r w:rsidRPr="005C5755">
        <w:rPr>
          <w:sz w:val="20"/>
          <w:szCs w:val="20"/>
        </w:rPr>
        <w:t xml:space="preserve"> </w:t>
      </w:r>
      <w:r w:rsidRPr="005C5755">
        <w:rPr>
          <w:sz w:val="20"/>
          <w:szCs w:val="20"/>
        </w:rPr>
        <w:t>vent flow did not show much impact on the response.</w:t>
      </w:r>
    </w:p>
    <w:p w14:paraId="5371F984" w14:textId="567E31CE" w:rsidR="005C5755" w:rsidRDefault="005C5755" w:rsidP="005C5755">
      <w:pPr>
        <w:jc w:val="both"/>
      </w:pPr>
      <w:r>
        <w:lastRenderedPageBreak/>
        <w:t>be obtained from the NIST Chemistry Web- Book (Table S4). The trends of hexadiene isomers are: (</w:t>
      </w:r>
      <w:proofErr w:type="spellStart"/>
      <w:r>
        <w:t>i</w:t>
      </w:r>
      <w:proofErr w:type="spellEnd"/>
      <w:r>
        <w:t xml:space="preserve">) The further the distance is between two double bonds, the smaller the LRI is on the non-polar column (e.g. the LRI of 1,5-hexadiene is smaller than that of 2, 4-hexadiene); (ii) With the same distance between two double bonds, the further the double bond is from the terminal carbon, the higher the LRI is on non-polar column (e.g. the LRI of 2,4-hexadiene is higher than that of 1,3-hexadiene); (iii) The LRI of hexane (600) falls in the range of hexadiene isomers (568–672). Assuming the above trends can apply to </w:t>
      </w:r>
      <w:proofErr w:type="spellStart"/>
      <w:r>
        <w:t>dodecadienes</w:t>
      </w:r>
      <w:proofErr w:type="spellEnd"/>
      <w:r>
        <w:t xml:space="preserve">, the peaks 10, 12, and 13 were predicted as linear </w:t>
      </w:r>
      <w:proofErr w:type="spellStart"/>
      <w:r>
        <w:t>dodecadienes</w:t>
      </w:r>
      <w:proofErr w:type="spellEnd"/>
      <w:r>
        <w:t>. Peak 1 was a branched isomer, while peaks 3 and 4 might be either linear or branched isomers (Table S3).</w:t>
      </w:r>
    </w:p>
    <w:p w14:paraId="33FC9BBF" w14:textId="77777777" w:rsidR="009B2D8B" w:rsidRDefault="009B2D8B" w:rsidP="005C5755">
      <w:pPr>
        <w:jc w:val="both"/>
      </w:pPr>
    </w:p>
    <w:p w14:paraId="2541B828" w14:textId="77777777" w:rsidR="009B2D8B" w:rsidRPr="009B2D8B" w:rsidRDefault="009B2D8B" w:rsidP="009B2D8B">
      <w:pPr>
        <w:jc w:val="both"/>
        <w:rPr>
          <w:b/>
          <w:bCs/>
        </w:rPr>
      </w:pPr>
      <w:r w:rsidRPr="009B2D8B">
        <w:rPr>
          <w:b/>
          <w:bCs/>
        </w:rPr>
        <w:t>Table 2</w:t>
      </w:r>
    </w:p>
    <w:p w14:paraId="168DA2FC" w14:textId="6542A534" w:rsidR="009B2D8B" w:rsidRDefault="009B2D8B" w:rsidP="009B2D8B">
      <w:pPr>
        <w:jc w:val="both"/>
        <w:rPr>
          <w:sz w:val="20"/>
          <w:szCs w:val="20"/>
        </w:rPr>
      </w:pPr>
      <w:r w:rsidRPr="009B2D8B">
        <w:rPr>
          <w:sz w:val="20"/>
          <w:szCs w:val="20"/>
        </w:rPr>
        <w:t xml:space="preserve">The stationary points of the response surfaces of representative chemical fam- </w:t>
      </w:r>
      <w:proofErr w:type="spellStart"/>
      <w:r w:rsidRPr="009B2D8B">
        <w:rPr>
          <w:sz w:val="20"/>
          <w:szCs w:val="20"/>
        </w:rPr>
        <w:t>ilies</w:t>
      </w:r>
      <w:proofErr w:type="spellEnd"/>
      <w:r w:rsidRPr="009B2D8B">
        <w:rPr>
          <w:sz w:val="20"/>
          <w:szCs w:val="20"/>
        </w:rPr>
        <w:t xml:space="preserve"> in C21 group.</w:t>
      </w:r>
    </w:p>
    <w:p w14:paraId="3889CC80" w14:textId="77777777" w:rsidR="009B2D8B" w:rsidRDefault="009B2D8B" w:rsidP="009B2D8B">
      <w:pPr>
        <w:jc w:val="both"/>
      </w:pPr>
    </w:p>
    <w:tbl>
      <w:tblPr>
        <w:tblStyle w:val="TableNormal"/>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13"/>
        <w:gridCol w:w="885"/>
        <w:gridCol w:w="1559"/>
        <w:gridCol w:w="1418"/>
        <w:gridCol w:w="1559"/>
      </w:tblGrid>
      <w:tr w:rsidR="00402D7F" w:rsidRPr="00402D7F" w14:paraId="34B17614" w14:textId="77777777" w:rsidTr="00B30D67">
        <w:trPr>
          <w:trHeight w:val="217"/>
          <w:jc w:val="center"/>
        </w:trPr>
        <w:tc>
          <w:tcPr>
            <w:tcW w:w="1613" w:type="dxa"/>
            <w:tcBorders>
              <w:top w:val="single" w:sz="4" w:space="0" w:color="auto"/>
              <w:bottom w:val="single" w:sz="4" w:space="0" w:color="auto"/>
            </w:tcBorders>
            <w:vAlign w:val="center"/>
          </w:tcPr>
          <w:p w14:paraId="10907EA4" w14:textId="77777777" w:rsidR="00402D7F" w:rsidRPr="00402D7F" w:rsidRDefault="00402D7F" w:rsidP="00B30D67">
            <w:pPr>
              <w:jc w:val="center"/>
            </w:pPr>
            <w:r w:rsidRPr="00402D7F">
              <w:t>Family</w:t>
            </w:r>
          </w:p>
        </w:tc>
        <w:tc>
          <w:tcPr>
            <w:tcW w:w="885" w:type="dxa"/>
            <w:tcBorders>
              <w:top w:val="single" w:sz="4" w:space="0" w:color="auto"/>
              <w:bottom w:val="single" w:sz="4" w:space="0" w:color="auto"/>
            </w:tcBorders>
            <w:vAlign w:val="center"/>
          </w:tcPr>
          <w:p w14:paraId="1257075D" w14:textId="77777777" w:rsidR="00402D7F" w:rsidRPr="00402D7F" w:rsidRDefault="00402D7F" w:rsidP="00B30D67">
            <w:pPr>
              <w:jc w:val="center"/>
            </w:pPr>
            <w:r w:rsidRPr="00402D7F">
              <w:t>Peak No.</w:t>
            </w:r>
          </w:p>
        </w:tc>
        <w:tc>
          <w:tcPr>
            <w:tcW w:w="1559" w:type="dxa"/>
            <w:tcBorders>
              <w:top w:val="single" w:sz="4" w:space="0" w:color="auto"/>
              <w:bottom w:val="single" w:sz="4" w:space="0" w:color="auto"/>
            </w:tcBorders>
            <w:vAlign w:val="center"/>
          </w:tcPr>
          <w:p w14:paraId="2FC22D96" w14:textId="77777777" w:rsidR="00402D7F" w:rsidRPr="00402D7F" w:rsidRDefault="00402D7F" w:rsidP="00B30D67">
            <w:pPr>
              <w:jc w:val="center"/>
            </w:pPr>
            <w:r w:rsidRPr="00402D7F">
              <w:t>Vent pressure</w:t>
            </w:r>
          </w:p>
          <w:p w14:paraId="475BB32D" w14:textId="77777777" w:rsidR="00402D7F" w:rsidRPr="00402D7F" w:rsidRDefault="00402D7F" w:rsidP="00B30D67">
            <w:pPr>
              <w:jc w:val="center"/>
            </w:pPr>
            <w:r w:rsidRPr="00402D7F">
              <w:t>(kPa)</w:t>
            </w:r>
          </w:p>
        </w:tc>
        <w:tc>
          <w:tcPr>
            <w:tcW w:w="1418" w:type="dxa"/>
            <w:tcBorders>
              <w:top w:val="single" w:sz="4" w:space="0" w:color="auto"/>
              <w:bottom w:val="single" w:sz="4" w:space="0" w:color="auto"/>
            </w:tcBorders>
            <w:vAlign w:val="center"/>
          </w:tcPr>
          <w:p w14:paraId="23F59D77" w14:textId="77777777" w:rsidR="00402D7F" w:rsidRPr="00402D7F" w:rsidRDefault="00402D7F" w:rsidP="00B30D67">
            <w:pPr>
              <w:jc w:val="center"/>
            </w:pPr>
            <w:r w:rsidRPr="00402D7F">
              <w:t>Vent flow (mL.min-1)</w:t>
            </w:r>
          </w:p>
        </w:tc>
        <w:tc>
          <w:tcPr>
            <w:tcW w:w="1559" w:type="dxa"/>
            <w:tcBorders>
              <w:top w:val="single" w:sz="4" w:space="0" w:color="auto"/>
              <w:bottom w:val="single" w:sz="4" w:space="0" w:color="auto"/>
            </w:tcBorders>
            <w:vAlign w:val="center"/>
          </w:tcPr>
          <w:p w14:paraId="20A6A916" w14:textId="77777777" w:rsidR="00402D7F" w:rsidRPr="00402D7F" w:rsidRDefault="00402D7F" w:rsidP="00B30D67">
            <w:pPr>
              <w:jc w:val="center"/>
            </w:pPr>
            <w:r w:rsidRPr="00402D7F">
              <w:t>Vent time (min)</w:t>
            </w:r>
          </w:p>
        </w:tc>
      </w:tr>
      <w:tr w:rsidR="00B30D67" w:rsidRPr="00402D7F" w14:paraId="412BBC43" w14:textId="77777777" w:rsidTr="00B30D67">
        <w:trPr>
          <w:trHeight w:val="217"/>
          <w:jc w:val="center"/>
        </w:trPr>
        <w:tc>
          <w:tcPr>
            <w:tcW w:w="1613" w:type="dxa"/>
            <w:tcBorders>
              <w:top w:val="single" w:sz="4" w:space="0" w:color="auto"/>
            </w:tcBorders>
            <w:vAlign w:val="center"/>
          </w:tcPr>
          <w:p w14:paraId="170BA2E0" w14:textId="77777777" w:rsidR="00402D7F" w:rsidRPr="00402D7F" w:rsidRDefault="00402D7F" w:rsidP="00B30D67">
            <w:pPr>
              <w:jc w:val="center"/>
            </w:pPr>
            <w:r w:rsidRPr="00402D7F">
              <w:t>Mono-olefin</w:t>
            </w:r>
          </w:p>
        </w:tc>
        <w:tc>
          <w:tcPr>
            <w:tcW w:w="885" w:type="dxa"/>
            <w:tcBorders>
              <w:top w:val="single" w:sz="4" w:space="0" w:color="auto"/>
            </w:tcBorders>
            <w:vAlign w:val="center"/>
          </w:tcPr>
          <w:p w14:paraId="34743B66" w14:textId="77777777" w:rsidR="00402D7F" w:rsidRPr="00402D7F" w:rsidRDefault="00402D7F" w:rsidP="00B30D67">
            <w:pPr>
              <w:jc w:val="center"/>
            </w:pPr>
            <w:r w:rsidRPr="00402D7F">
              <w:t>1</w:t>
            </w:r>
          </w:p>
        </w:tc>
        <w:tc>
          <w:tcPr>
            <w:tcW w:w="1559" w:type="dxa"/>
            <w:tcBorders>
              <w:top w:val="single" w:sz="4" w:space="0" w:color="auto"/>
            </w:tcBorders>
            <w:vAlign w:val="center"/>
          </w:tcPr>
          <w:p w14:paraId="6A179197" w14:textId="77777777" w:rsidR="00402D7F" w:rsidRPr="00402D7F" w:rsidRDefault="00402D7F" w:rsidP="00B30D67">
            <w:pPr>
              <w:jc w:val="center"/>
            </w:pPr>
            <w:r w:rsidRPr="00402D7F">
              <w:t>71.66</w:t>
            </w:r>
          </w:p>
        </w:tc>
        <w:tc>
          <w:tcPr>
            <w:tcW w:w="1418" w:type="dxa"/>
            <w:tcBorders>
              <w:top w:val="single" w:sz="4" w:space="0" w:color="auto"/>
            </w:tcBorders>
            <w:vAlign w:val="center"/>
          </w:tcPr>
          <w:p w14:paraId="25395062" w14:textId="77777777" w:rsidR="00402D7F" w:rsidRPr="00402D7F" w:rsidRDefault="00402D7F" w:rsidP="00B30D67">
            <w:pPr>
              <w:jc w:val="center"/>
            </w:pPr>
            <w:r w:rsidRPr="00402D7F">
              <w:t>28.27</w:t>
            </w:r>
          </w:p>
        </w:tc>
        <w:tc>
          <w:tcPr>
            <w:tcW w:w="1559" w:type="dxa"/>
            <w:tcBorders>
              <w:top w:val="single" w:sz="4" w:space="0" w:color="auto"/>
            </w:tcBorders>
            <w:vAlign w:val="center"/>
          </w:tcPr>
          <w:p w14:paraId="22CD831D" w14:textId="77777777" w:rsidR="00402D7F" w:rsidRPr="00402D7F" w:rsidRDefault="00402D7F" w:rsidP="00B30D67">
            <w:pPr>
              <w:jc w:val="center"/>
            </w:pPr>
            <w:r w:rsidRPr="00402D7F">
              <w:t>0.47</w:t>
            </w:r>
          </w:p>
        </w:tc>
      </w:tr>
      <w:tr w:rsidR="00B30D67" w:rsidRPr="00402D7F" w14:paraId="18685798" w14:textId="77777777" w:rsidTr="00B30D67">
        <w:trPr>
          <w:trHeight w:val="171"/>
          <w:jc w:val="center"/>
        </w:trPr>
        <w:tc>
          <w:tcPr>
            <w:tcW w:w="1613" w:type="dxa"/>
            <w:vAlign w:val="center"/>
          </w:tcPr>
          <w:p w14:paraId="45E2302E" w14:textId="77777777" w:rsidR="00402D7F" w:rsidRPr="00402D7F" w:rsidRDefault="00402D7F" w:rsidP="00B30D67">
            <w:pPr>
              <w:jc w:val="center"/>
            </w:pPr>
          </w:p>
        </w:tc>
        <w:tc>
          <w:tcPr>
            <w:tcW w:w="885" w:type="dxa"/>
            <w:vAlign w:val="center"/>
          </w:tcPr>
          <w:p w14:paraId="115F2663" w14:textId="77777777" w:rsidR="00402D7F" w:rsidRPr="00402D7F" w:rsidRDefault="00402D7F" w:rsidP="00B30D67">
            <w:pPr>
              <w:jc w:val="center"/>
            </w:pPr>
            <w:r w:rsidRPr="00402D7F">
              <w:t>4</w:t>
            </w:r>
          </w:p>
        </w:tc>
        <w:tc>
          <w:tcPr>
            <w:tcW w:w="1559" w:type="dxa"/>
            <w:vAlign w:val="center"/>
          </w:tcPr>
          <w:p w14:paraId="0A5056FF" w14:textId="77777777" w:rsidR="00402D7F" w:rsidRPr="00402D7F" w:rsidRDefault="00402D7F" w:rsidP="00B30D67">
            <w:pPr>
              <w:jc w:val="center"/>
            </w:pPr>
            <w:r w:rsidRPr="00402D7F">
              <w:t>72.23</w:t>
            </w:r>
          </w:p>
        </w:tc>
        <w:tc>
          <w:tcPr>
            <w:tcW w:w="1418" w:type="dxa"/>
            <w:vAlign w:val="center"/>
          </w:tcPr>
          <w:p w14:paraId="47261C80" w14:textId="77777777" w:rsidR="00402D7F" w:rsidRPr="00402D7F" w:rsidRDefault="00402D7F" w:rsidP="00B30D67">
            <w:pPr>
              <w:jc w:val="center"/>
            </w:pPr>
            <w:r w:rsidRPr="00402D7F">
              <w:t>37.94</w:t>
            </w:r>
          </w:p>
        </w:tc>
        <w:tc>
          <w:tcPr>
            <w:tcW w:w="1559" w:type="dxa"/>
            <w:vAlign w:val="center"/>
          </w:tcPr>
          <w:p w14:paraId="1C202641" w14:textId="77777777" w:rsidR="00402D7F" w:rsidRPr="00402D7F" w:rsidRDefault="00402D7F" w:rsidP="00B30D67">
            <w:pPr>
              <w:jc w:val="center"/>
            </w:pPr>
            <w:r w:rsidRPr="00402D7F">
              <w:t>0.47</w:t>
            </w:r>
          </w:p>
        </w:tc>
      </w:tr>
      <w:tr w:rsidR="00B30D67" w:rsidRPr="00402D7F" w14:paraId="13B85401" w14:textId="77777777" w:rsidTr="00B30D67">
        <w:trPr>
          <w:trHeight w:val="267"/>
          <w:jc w:val="center"/>
        </w:trPr>
        <w:tc>
          <w:tcPr>
            <w:tcW w:w="1613" w:type="dxa"/>
            <w:vAlign w:val="center"/>
          </w:tcPr>
          <w:p w14:paraId="75F51CBC" w14:textId="77777777" w:rsidR="00402D7F" w:rsidRPr="00402D7F" w:rsidRDefault="00402D7F" w:rsidP="00B30D67">
            <w:pPr>
              <w:jc w:val="center"/>
            </w:pPr>
          </w:p>
        </w:tc>
        <w:tc>
          <w:tcPr>
            <w:tcW w:w="885" w:type="dxa"/>
            <w:vAlign w:val="center"/>
          </w:tcPr>
          <w:p w14:paraId="575C532E" w14:textId="77777777" w:rsidR="00402D7F" w:rsidRPr="00402D7F" w:rsidRDefault="00402D7F" w:rsidP="00B30D67">
            <w:pPr>
              <w:jc w:val="center"/>
            </w:pPr>
            <w:r w:rsidRPr="00402D7F">
              <w:t>8</w:t>
            </w:r>
          </w:p>
        </w:tc>
        <w:tc>
          <w:tcPr>
            <w:tcW w:w="1559" w:type="dxa"/>
            <w:vAlign w:val="center"/>
          </w:tcPr>
          <w:p w14:paraId="0BEFE15C" w14:textId="77777777" w:rsidR="00402D7F" w:rsidRPr="00402D7F" w:rsidRDefault="00402D7F" w:rsidP="00B30D67">
            <w:pPr>
              <w:jc w:val="center"/>
            </w:pPr>
            <w:r w:rsidRPr="00402D7F">
              <w:t>71.98</w:t>
            </w:r>
          </w:p>
        </w:tc>
        <w:tc>
          <w:tcPr>
            <w:tcW w:w="1418" w:type="dxa"/>
            <w:vAlign w:val="center"/>
          </w:tcPr>
          <w:p w14:paraId="0CA52B24" w14:textId="77777777" w:rsidR="00402D7F" w:rsidRPr="00402D7F" w:rsidRDefault="00402D7F" w:rsidP="00B30D67">
            <w:pPr>
              <w:jc w:val="center"/>
            </w:pPr>
            <w:r w:rsidRPr="00402D7F">
              <w:t>32.13</w:t>
            </w:r>
          </w:p>
        </w:tc>
        <w:tc>
          <w:tcPr>
            <w:tcW w:w="1559" w:type="dxa"/>
            <w:vAlign w:val="center"/>
          </w:tcPr>
          <w:p w14:paraId="3774B7B4" w14:textId="77777777" w:rsidR="00402D7F" w:rsidRPr="00402D7F" w:rsidRDefault="00402D7F" w:rsidP="00B30D67">
            <w:pPr>
              <w:jc w:val="center"/>
            </w:pPr>
            <w:r w:rsidRPr="00402D7F">
              <w:t>0.47</w:t>
            </w:r>
          </w:p>
        </w:tc>
      </w:tr>
      <w:tr w:rsidR="00B30D67" w:rsidRPr="00402D7F" w14:paraId="064767E8" w14:textId="77777777" w:rsidTr="00B30D67">
        <w:trPr>
          <w:trHeight w:val="271"/>
          <w:jc w:val="center"/>
        </w:trPr>
        <w:tc>
          <w:tcPr>
            <w:tcW w:w="1613" w:type="dxa"/>
            <w:vAlign w:val="center"/>
          </w:tcPr>
          <w:p w14:paraId="217B5526" w14:textId="77777777" w:rsidR="00402D7F" w:rsidRPr="00402D7F" w:rsidRDefault="00402D7F" w:rsidP="00B30D67">
            <w:pPr>
              <w:jc w:val="center"/>
            </w:pPr>
            <w:r w:rsidRPr="00402D7F">
              <w:t>Di-olefin</w:t>
            </w:r>
          </w:p>
        </w:tc>
        <w:tc>
          <w:tcPr>
            <w:tcW w:w="885" w:type="dxa"/>
            <w:vAlign w:val="center"/>
          </w:tcPr>
          <w:p w14:paraId="137E61C8" w14:textId="77777777" w:rsidR="00402D7F" w:rsidRPr="00402D7F" w:rsidRDefault="00402D7F" w:rsidP="00B30D67">
            <w:pPr>
              <w:jc w:val="center"/>
            </w:pPr>
            <w:r w:rsidRPr="00402D7F">
              <w:t>2</w:t>
            </w:r>
          </w:p>
        </w:tc>
        <w:tc>
          <w:tcPr>
            <w:tcW w:w="1559" w:type="dxa"/>
            <w:vAlign w:val="center"/>
          </w:tcPr>
          <w:p w14:paraId="7279FA5D" w14:textId="77777777" w:rsidR="00402D7F" w:rsidRPr="00402D7F" w:rsidRDefault="00402D7F" w:rsidP="00B30D67">
            <w:pPr>
              <w:jc w:val="center"/>
            </w:pPr>
            <w:r w:rsidRPr="00402D7F">
              <w:t>73.38</w:t>
            </w:r>
          </w:p>
        </w:tc>
        <w:tc>
          <w:tcPr>
            <w:tcW w:w="1418" w:type="dxa"/>
            <w:vAlign w:val="center"/>
          </w:tcPr>
          <w:p w14:paraId="4C86B147" w14:textId="77777777" w:rsidR="00402D7F" w:rsidRPr="00402D7F" w:rsidRDefault="00402D7F" w:rsidP="00B30D67">
            <w:pPr>
              <w:jc w:val="center"/>
            </w:pPr>
            <w:r w:rsidRPr="00402D7F">
              <w:t>45.18</w:t>
            </w:r>
          </w:p>
        </w:tc>
        <w:tc>
          <w:tcPr>
            <w:tcW w:w="1559" w:type="dxa"/>
            <w:vAlign w:val="center"/>
          </w:tcPr>
          <w:p w14:paraId="664BD56B" w14:textId="77777777" w:rsidR="00402D7F" w:rsidRPr="00402D7F" w:rsidRDefault="00402D7F" w:rsidP="00B30D67">
            <w:pPr>
              <w:jc w:val="center"/>
            </w:pPr>
            <w:r w:rsidRPr="00402D7F">
              <w:t>0.37</w:t>
            </w:r>
          </w:p>
        </w:tc>
      </w:tr>
      <w:tr w:rsidR="00B30D67" w:rsidRPr="00402D7F" w14:paraId="20F387EC" w14:textId="77777777" w:rsidTr="00B30D67">
        <w:trPr>
          <w:trHeight w:val="289"/>
          <w:jc w:val="center"/>
        </w:trPr>
        <w:tc>
          <w:tcPr>
            <w:tcW w:w="1613" w:type="dxa"/>
            <w:vAlign w:val="center"/>
          </w:tcPr>
          <w:p w14:paraId="7C69D052" w14:textId="77777777" w:rsidR="00402D7F" w:rsidRPr="00402D7F" w:rsidRDefault="00402D7F" w:rsidP="00B30D67">
            <w:pPr>
              <w:jc w:val="center"/>
            </w:pPr>
          </w:p>
        </w:tc>
        <w:tc>
          <w:tcPr>
            <w:tcW w:w="885" w:type="dxa"/>
            <w:vAlign w:val="center"/>
          </w:tcPr>
          <w:p w14:paraId="0269DDF7" w14:textId="77777777" w:rsidR="00402D7F" w:rsidRPr="00402D7F" w:rsidRDefault="00402D7F" w:rsidP="00B30D67">
            <w:pPr>
              <w:jc w:val="center"/>
            </w:pPr>
            <w:r w:rsidRPr="00402D7F">
              <w:t>3</w:t>
            </w:r>
          </w:p>
        </w:tc>
        <w:tc>
          <w:tcPr>
            <w:tcW w:w="1559" w:type="dxa"/>
            <w:vAlign w:val="center"/>
          </w:tcPr>
          <w:p w14:paraId="32751018" w14:textId="77777777" w:rsidR="00402D7F" w:rsidRPr="00402D7F" w:rsidRDefault="00402D7F" w:rsidP="00B30D67">
            <w:pPr>
              <w:jc w:val="center"/>
            </w:pPr>
            <w:r w:rsidRPr="00402D7F">
              <w:t>72.86</w:t>
            </w:r>
          </w:p>
        </w:tc>
        <w:tc>
          <w:tcPr>
            <w:tcW w:w="1418" w:type="dxa"/>
            <w:vAlign w:val="center"/>
          </w:tcPr>
          <w:p w14:paraId="4FF72783" w14:textId="77777777" w:rsidR="00402D7F" w:rsidRPr="00402D7F" w:rsidRDefault="00402D7F" w:rsidP="00B30D67">
            <w:pPr>
              <w:jc w:val="center"/>
            </w:pPr>
            <w:r w:rsidRPr="00402D7F">
              <w:t>28.01</w:t>
            </w:r>
          </w:p>
        </w:tc>
        <w:tc>
          <w:tcPr>
            <w:tcW w:w="1559" w:type="dxa"/>
            <w:vAlign w:val="center"/>
          </w:tcPr>
          <w:p w14:paraId="57B39F4F" w14:textId="77777777" w:rsidR="00402D7F" w:rsidRPr="00402D7F" w:rsidRDefault="00402D7F" w:rsidP="00B30D67">
            <w:pPr>
              <w:jc w:val="center"/>
            </w:pPr>
            <w:r w:rsidRPr="00402D7F">
              <w:t>0.42</w:t>
            </w:r>
          </w:p>
        </w:tc>
      </w:tr>
      <w:tr w:rsidR="00402D7F" w:rsidRPr="00402D7F" w14:paraId="0CA8F53F" w14:textId="77777777" w:rsidTr="00B30D67">
        <w:tblPrEx>
          <w:tblLook w:val="01E0" w:firstRow="1" w:lastRow="1" w:firstColumn="1" w:lastColumn="1" w:noHBand="0" w:noVBand="0"/>
        </w:tblPrEx>
        <w:trPr>
          <w:trHeight w:val="161"/>
          <w:jc w:val="center"/>
        </w:trPr>
        <w:tc>
          <w:tcPr>
            <w:tcW w:w="1613" w:type="dxa"/>
            <w:vAlign w:val="center"/>
          </w:tcPr>
          <w:p w14:paraId="39B223A1" w14:textId="77777777" w:rsidR="00402D7F" w:rsidRPr="00402D7F" w:rsidRDefault="00402D7F" w:rsidP="00B30D67">
            <w:pPr>
              <w:jc w:val="center"/>
            </w:pPr>
          </w:p>
        </w:tc>
        <w:tc>
          <w:tcPr>
            <w:tcW w:w="885" w:type="dxa"/>
            <w:vAlign w:val="center"/>
          </w:tcPr>
          <w:p w14:paraId="61058472" w14:textId="77777777" w:rsidR="00402D7F" w:rsidRPr="00402D7F" w:rsidRDefault="00402D7F" w:rsidP="00B30D67">
            <w:pPr>
              <w:jc w:val="center"/>
            </w:pPr>
            <w:r w:rsidRPr="00402D7F">
              <w:t>7</w:t>
            </w:r>
          </w:p>
        </w:tc>
        <w:tc>
          <w:tcPr>
            <w:tcW w:w="1559" w:type="dxa"/>
            <w:vAlign w:val="center"/>
          </w:tcPr>
          <w:p w14:paraId="2BB6FCBC" w14:textId="77777777" w:rsidR="00402D7F" w:rsidRPr="00402D7F" w:rsidRDefault="00402D7F" w:rsidP="00B30D67">
            <w:pPr>
              <w:jc w:val="center"/>
            </w:pPr>
            <w:r w:rsidRPr="00402D7F">
              <w:t>72.01</w:t>
            </w:r>
          </w:p>
        </w:tc>
        <w:tc>
          <w:tcPr>
            <w:tcW w:w="1418" w:type="dxa"/>
            <w:vAlign w:val="center"/>
          </w:tcPr>
          <w:p w14:paraId="260A7152" w14:textId="77777777" w:rsidR="00402D7F" w:rsidRPr="00402D7F" w:rsidRDefault="00402D7F" w:rsidP="00B30D67">
            <w:pPr>
              <w:jc w:val="center"/>
            </w:pPr>
            <w:r w:rsidRPr="00402D7F">
              <w:t>29.94</w:t>
            </w:r>
          </w:p>
        </w:tc>
        <w:tc>
          <w:tcPr>
            <w:tcW w:w="1559" w:type="dxa"/>
            <w:vAlign w:val="center"/>
          </w:tcPr>
          <w:p w14:paraId="79AA1307" w14:textId="77777777" w:rsidR="00402D7F" w:rsidRPr="00402D7F" w:rsidRDefault="00402D7F" w:rsidP="00B30D67">
            <w:pPr>
              <w:jc w:val="center"/>
            </w:pPr>
            <w:r w:rsidRPr="00402D7F">
              <w:t>0.47</w:t>
            </w:r>
          </w:p>
        </w:tc>
      </w:tr>
      <w:tr w:rsidR="00402D7F" w:rsidRPr="00402D7F" w14:paraId="6A9E4BE4" w14:textId="77777777" w:rsidTr="00B30D67">
        <w:tblPrEx>
          <w:tblLook w:val="01E0" w:firstRow="1" w:lastRow="1" w:firstColumn="1" w:lastColumn="1" w:noHBand="0" w:noVBand="0"/>
        </w:tblPrEx>
        <w:trPr>
          <w:trHeight w:val="255"/>
          <w:jc w:val="center"/>
        </w:trPr>
        <w:tc>
          <w:tcPr>
            <w:tcW w:w="1613" w:type="dxa"/>
            <w:vAlign w:val="center"/>
          </w:tcPr>
          <w:p w14:paraId="48D5358C" w14:textId="77777777" w:rsidR="00402D7F" w:rsidRPr="00402D7F" w:rsidRDefault="00402D7F" w:rsidP="00B30D67">
            <w:pPr>
              <w:jc w:val="center"/>
            </w:pPr>
            <w:r w:rsidRPr="00402D7F">
              <w:t>Cyclic</w:t>
            </w:r>
          </w:p>
        </w:tc>
        <w:tc>
          <w:tcPr>
            <w:tcW w:w="885" w:type="dxa"/>
            <w:vAlign w:val="center"/>
          </w:tcPr>
          <w:p w14:paraId="36741686" w14:textId="77777777" w:rsidR="00402D7F" w:rsidRPr="00402D7F" w:rsidRDefault="00402D7F" w:rsidP="00B30D67">
            <w:pPr>
              <w:jc w:val="center"/>
            </w:pPr>
            <w:r w:rsidRPr="00402D7F">
              <w:t>5</w:t>
            </w:r>
          </w:p>
        </w:tc>
        <w:tc>
          <w:tcPr>
            <w:tcW w:w="1559" w:type="dxa"/>
            <w:vAlign w:val="center"/>
          </w:tcPr>
          <w:p w14:paraId="1E90E447" w14:textId="77777777" w:rsidR="00402D7F" w:rsidRPr="00402D7F" w:rsidRDefault="00402D7F" w:rsidP="00B30D67">
            <w:pPr>
              <w:jc w:val="center"/>
            </w:pPr>
            <w:r w:rsidRPr="00402D7F">
              <w:t>71.77</w:t>
            </w:r>
          </w:p>
        </w:tc>
        <w:tc>
          <w:tcPr>
            <w:tcW w:w="1418" w:type="dxa"/>
            <w:vAlign w:val="center"/>
          </w:tcPr>
          <w:p w14:paraId="37924A37" w14:textId="77777777" w:rsidR="00402D7F" w:rsidRPr="00402D7F" w:rsidRDefault="00402D7F" w:rsidP="00B30D67">
            <w:pPr>
              <w:jc w:val="center"/>
            </w:pPr>
            <w:r w:rsidRPr="00402D7F">
              <w:t>44.73</w:t>
            </w:r>
          </w:p>
        </w:tc>
        <w:tc>
          <w:tcPr>
            <w:tcW w:w="1559" w:type="dxa"/>
            <w:vAlign w:val="center"/>
          </w:tcPr>
          <w:p w14:paraId="0235F255" w14:textId="77777777" w:rsidR="00402D7F" w:rsidRPr="00402D7F" w:rsidRDefault="00402D7F" w:rsidP="00B30D67">
            <w:pPr>
              <w:jc w:val="center"/>
            </w:pPr>
            <w:r w:rsidRPr="00402D7F">
              <w:t>0.47</w:t>
            </w:r>
          </w:p>
        </w:tc>
      </w:tr>
      <w:tr w:rsidR="00B30D67" w:rsidRPr="00402D7F" w14:paraId="5FAAABE6" w14:textId="77777777" w:rsidTr="00B30D67">
        <w:trPr>
          <w:trHeight w:val="273"/>
          <w:jc w:val="center"/>
        </w:trPr>
        <w:tc>
          <w:tcPr>
            <w:tcW w:w="1613" w:type="dxa"/>
            <w:vAlign w:val="center"/>
          </w:tcPr>
          <w:p w14:paraId="55D25FB1" w14:textId="77777777" w:rsidR="00402D7F" w:rsidRPr="00402D7F" w:rsidRDefault="00402D7F" w:rsidP="00B30D67">
            <w:pPr>
              <w:jc w:val="center"/>
            </w:pPr>
            <w:r w:rsidRPr="00402D7F">
              <w:t>alkane</w:t>
            </w:r>
          </w:p>
        </w:tc>
        <w:tc>
          <w:tcPr>
            <w:tcW w:w="885" w:type="dxa"/>
            <w:vAlign w:val="center"/>
          </w:tcPr>
          <w:p w14:paraId="02ADEF6F" w14:textId="77777777" w:rsidR="00402D7F" w:rsidRPr="00402D7F" w:rsidRDefault="00402D7F" w:rsidP="00B30D67">
            <w:pPr>
              <w:jc w:val="center"/>
            </w:pPr>
            <w:r w:rsidRPr="00402D7F">
              <w:t>6</w:t>
            </w:r>
          </w:p>
        </w:tc>
        <w:tc>
          <w:tcPr>
            <w:tcW w:w="1559" w:type="dxa"/>
            <w:vAlign w:val="center"/>
          </w:tcPr>
          <w:p w14:paraId="65C7188A" w14:textId="77777777" w:rsidR="00402D7F" w:rsidRPr="00402D7F" w:rsidRDefault="00402D7F" w:rsidP="00B30D67">
            <w:pPr>
              <w:jc w:val="center"/>
            </w:pPr>
            <w:r w:rsidRPr="00402D7F">
              <w:t>72.25</w:t>
            </w:r>
          </w:p>
        </w:tc>
        <w:tc>
          <w:tcPr>
            <w:tcW w:w="1418" w:type="dxa"/>
            <w:vAlign w:val="center"/>
          </w:tcPr>
          <w:p w14:paraId="22054E36" w14:textId="77777777" w:rsidR="00402D7F" w:rsidRPr="00402D7F" w:rsidRDefault="00402D7F" w:rsidP="00B30D67">
            <w:pPr>
              <w:jc w:val="center"/>
            </w:pPr>
            <w:r w:rsidRPr="00402D7F">
              <w:t>35.33</w:t>
            </w:r>
          </w:p>
        </w:tc>
        <w:tc>
          <w:tcPr>
            <w:tcW w:w="1559" w:type="dxa"/>
            <w:vAlign w:val="center"/>
          </w:tcPr>
          <w:p w14:paraId="4096438F" w14:textId="77777777" w:rsidR="00402D7F" w:rsidRPr="00402D7F" w:rsidRDefault="00402D7F" w:rsidP="00B30D67">
            <w:pPr>
              <w:jc w:val="center"/>
            </w:pPr>
            <w:r w:rsidRPr="00402D7F">
              <w:t>0.47</w:t>
            </w:r>
          </w:p>
        </w:tc>
      </w:tr>
      <w:tr w:rsidR="00B30D67" w:rsidRPr="00402D7F" w14:paraId="3EA20501" w14:textId="77777777" w:rsidTr="00B30D67">
        <w:trPr>
          <w:trHeight w:val="277"/>
          <w:jc w:val="center"/>
        </w:trPr>
        <w:tc>
          <w:tcPr>
            <w:tcW w:w="1613" w:type="dxa"/>
            <w:vAlign w:val="center"/>
          </w:tcPr>
          <w:p w14:paraId="3191866D" w14:textId="77777777" w:rsidR="00402D7F" w:rsidRPr="00402D7F" w:rsidRDefault="00402D7F" w:rsidP="00B30D67">
            <w:pPr>
              <w:jc w:val="center"/>
            </w:pPr>
          </w:p>
        </w:tc>
        <w:tc>
          <w:tcPr>
            <w:tcW w:w="885" w:type="dxa"/>
            <w:vAlign w:val="center"/>
          </w:tcPr>
          <w:p w14:paraId="36DEBE58" w14:textId="77777777" w:rsidR="00402D7F" w:rsidRPr="00402D7F" w:rsidRDefault="00402D7F" w:rsidP="00B30D67">
            <w:pPr>
              <w:jc w:val="center"/>
            </w:pPr>
            <w:r w:rsidRPr="00402D7F">
              <w:t>9</w:t>
            </w:r>
          </w:p>
        </w:tc>
        <w:tc>
          <w:tcPr>
            <w:tcW w:w="1559" w:type="dxa"/>
            <w:vAlign w:val="center"/>
          </w:tcPr>
          <w:p w14:paraId="1A38F908" w14:textId="77777777" w:rsidR="00402D7F" w:rsidRPr="00402D7F" w:rsidRDefault="00402D7F" w:rsidP="00B30D67">
            <w:pPr>
              <w:jc w:val="center"/>
            </w:pPr>
            <w:r w:rsidRPr="00402D7F">
              <w:t>71.81</w:t>
            </w:r>
          </w:p>
        </w:tc>
        <w:tc>
          <w:tcPr>
            <w:tcW w:w="1418" w:type="dxa"/>
            <w:vAlign w:val="center"/>
          </w:tcPr>
          <w:p w14:paraId="16B67130" w14:textId="77777777" w:rsidR="00402D7F" w:rsidRPr="00402D7F" w:rsidRDefault="00402D7F" w:rsidP="00B30D67">
            <w:pPr>
              <w:jc w:val="center"/>
            </w:pPr>
            <w:r w:rsidRPr="00402D7F">
              <w:t>25.73</w:t>
            </w:r>
          </w:p>
        </w:tc>
        <w:tc>
          <w:tcPr>
            <w:tcW w:w="1559" w:type="dxa"/>
            <w:vAlign w:val="center"/>
          </w:tcPr>
          <w:p w14:paraId="70210AA3" w14:textId="77777777" w:rsidR="00402D7F" w:rsidRPr="00402D7F" w:rsidRDefault="00402D7F" w:rsidP="00B30D67">
            <w:pPr>
              <w:jc w:val="center"/>
            </w:pPr>
            <w:r w:rsidRPr="00402D7F">
              <w:t>0.43</w:t>
            </w:r>
          </w:p>
        </w:tc>
      </w:tr>
      <w:tr w:rsidR="00B30D67" w:rsidRPr="00402D7F" w14:paraId="68802439" w14:textId="77777777" w:rsidTr="00B30D67">
        <w:trPr>
          <w:trHeight w:val="267"/>
          <w:jc w:val="center"/>
        </w:trPr>
        <w:tc>
          <w:tcPr>
            <w:tcW w:w="1613" w:type="dxa"/>
            <w:vAlign w:val="center"/>
          </w:tcPr>
          <w:p w14:paraId="68A6BF84" w14:textId="77777777" w:rsidR="00402D7F" w:rsidRPr="00402D7F" w:rsidRDefault="00402D7F" w:rsidP="00B30D67">
            <w:pPr>
              <w:jc w:val="center"/>
            </w:pPr>
            <w:r w:rsidRPr="00402D7F">
              <w:t>Aromatic</w:t>
            </w:r>
          </w:p>
        </w:tc>
        <w:tc>
          <w:tcPr>
            <w:tcW w:w="885" w:type="dxa"/>
            <w:vAlign w:val="center"/>
          </w:tcPr>
          <w:p w14:paraId="600E2815" w14:textId="77777777" w:rsidR="00402D7F" w:rsidRPr="00402D7F" w:rsidRDefault="00402D7F" w:rsidP="00B30D67">
            <w:pPr>
              <w:jc w:val="center"/>
            </w:pPr>
            <w:r w:rsidRPr="00402D7F">
              <w:t>10</w:t>
            </w:r>
          </w:p>
        </w:tc>
        <w:tc>
          <w:tcPr>
            <w:tcW w:w="1559" w:type="dxa"/>
            <w:vAlign w:val="center"/>
          </w:tcPr>
          <w:p w14:paraId="1A249482" w14:textId="77777777" w:rsidR="00402D7F" w:rsidRPr="00402D7F" w:rsidRDefault="00402D7F" w:rsidP="00B30D67">
            <w:pPr>
              <w:jc w:val="center"/>
            </w:pPr>
            <w:r w:rsidRPr="00402D7F">
              <w:t>73.16</w:t>
            </w:r>
          </w:p>
        </w:tc>
        <w:tc>
          <w:tcPr>
            <w:tcW w:w="1418" w:type="dxa"/>
            <w:vAlign w:val="center"/>
          </w:tcPr>
          <w:p w14:paraId="086201C4" w14:textId="77777777" w:rsidR="00402D7F" w:rsidRPr="00402D7F" w:rsidRDefault="00402D7F" w:rsidP="00B30D67">
            <w:pPr>
              <w:jc w:val="center"/>
            </w:pPr>
            <w:r w:rsidRPr="00402D7F">
              <w:t>—0.12</w:t>
            </w:r>
          </w:p>
        </w:tc>
        <w:tc>
          <w:tcPr>
            <w:tcW w:w="1559" w:type="dxa"/>
            <w:vAlign w:val="center"/>
          </w:tcPr>
          <w:p w14:paraId="32EA7B12" w14:textId="77777777" w:rsidR="00402D7F" w:rsidRPr="00402D7F" w:rsidRDefault="00402D7F" w:rsidP="00B30D67">
            <w:pPr>
              <w:jc w:val="center"/>
            </w:pPr>
            <w:r w:rsidRPr="00402D7F">
              <w:t>0.47</w:t>
            </w:r>
          </w:p>
        </w:tc>
      </w:tr>
      <w:tr w:rsidR="00B30D67" w:rsidRPr="00402D7F" w14:paraId="25F0B4FE" w14:textId="77777777" w:rsidTr="00B30D67">
        <w:trPr>
          <w:trHeight w:val="123"/>
          <w:jc w:val="center"/>
        </w:trPr>
        <w:tc>
          <w:tcPr>
            <w:tcW w:w="1613" w:type="dxa"/>
            <w:tcBorders>
              <w:bottom w:val="single" w:sz="4" w:space="0" w:color="auto"/>
            </w:tcBorders>
            <w:vAlign w:val="center"/>
          </w:tcPr>
          <w:p w14:paraId="16FA91E0" w14:textId="77777777" w:rsidR="00402D7F" w:rsidRPr="00402D7F" w:rsidRDefault="00402D7F" w:rsidP="00B30D67">
            <w:pPr>
              <w:jc w:val="center"/>
            </w:pPr>
            <w:r w:rsidRPr="00402D7F">
              <w:t>Average</w:t>
            </w:r>
          </w:p>
        </w:tc>
        <w:tc>
          <w:tcPr>
            <w:tcW w:w="885" w:type="dxa"/>
            <w:tcBorders>
              <w:bottom w:val="single" w:sz="4" w:space="0" w:color="auto"/>
            </w:tcBorders>
            <w:vAlign w:val="center"/>
          </w:tcPr>
          <w:p w14:paraId="25BAF8D2" w14:textId="77777777" w:rsidR="00402D7F" w:rsidRPr="00402D7F" w:rsidRDefault="00402D7F" w:rsidP="00B30D67">
            <w:pPr>
              <w:jc w:val="center"/>
            </w:pPr>
          </w:p>
        </w:tc>
        <w:tc>
          <w:tcPr>
            <w:tcW w:w="1559" w:type="dxa"/>
            <w:tcBorders>
              <w:bottom w:val="single" w:sz="4" w:space="0" w:color="auto"/>
            </w:tcBorders>
            <w:vAlign w:val="center"/>
          </w:tcPr>
          <w:p w14:paraId="10E85DD8" w14:textId="77777777" w:rsidR="00402D7F" w:rsidRPr="00402D7F" w:rsidRDefault="00402D7F" w:rsidP="00B30D67">
            <w:pPr>
              <w:jc w:val="center"/>
            </w:pPr>
            <w:r w:rsidRPr="00402D7F">
              <w:t>72.31</w:t>
            </w:r>
          </w:p>
        </w:tc>
        <w:tc>
          <w:tcPr>
            <w:tcW w:w="1418" w:type="dxa"/>
            <w:tcBorders>
              <w:bottom w:val="single" w:sz="4" w:space="0" w:color="auto"/>
            </w:tcBorders>
            <w:vAlign w:val="center"/>
          </w:tcPr>
          <w:p w14:paraId="3D64DADF" w14:textId="77777777" w:rsidR="00402D7F" w:rsidRPr="00402D7F" w:rsidRDefault="00402D7F" w:rsidP="00B30D67">
            <w:pPr>
              <w:jc w:val="center"/>
            </w:pPr>
            <w:r w:rsidRPr="00402D7F">
              <w:t>30.71</w:t>
            </w:r>
          </w:p>
        </w:tc>
        <w:tc>
          <w:tcPr>
            <w:tcW w:w="1559" w:type="dxa"/>
            <w:tcBorders>
              <w:bottom w:val="single" w:sz="4" w:space="0" w:color="auto"/>
            </w:tcBorders>
            <w:vAlign w:val="center"/>
          </w:tcPr>
          <w:p w14:paraId="612D67B7" w14:textId="77777777" w:rsidR="00402D7F" w:rsidRPr="00402D7F" w:rsidRDefault="00402D7F" w:rsidP="00B30D67">
            <w:pPr>
              <w:jc w:val="center"/>
            </w:pPr>
            <w:r w:rsidRPr="00402D7F">
              <w:t>0.45</w:t>
            </w:r>
          </w:p>
        </w:tc>
      </w:tr>
    </w:tbl>
    <w:p w14:paraId="210000A4" w14:textId="77777777" w:rsidR="009B2D8B" w:rsidRDefault="009B2D8B" w:rsidP="005C5755">
      <w:pPr>
        <w:jc w:val="both"/>
      </w:pPr>
    </w:p>
    <w:p w14:paraId="7388F827" w14:textId="77777777" w:rsidR="00906DF6" w:rsidRDefault="00906DF6" w:rsidP="005C5755">
      <w:pPr>
        <w:jc w:val="both"/>
      </w:pPr>
    </w:p>
    <w:p w14:paraId="7276140D" w14:textId="5255548B" w:rsidR="00884BC2" w:rsidRDefault="00884BC2" w:rsidP="00884BC2">
      <w:pPr>
        <w:ind w:firstLine="720"/>
        <w:jc w:val="both"/>
      </w:pPr>
      <w:r>
        <w:t xml:space="preserve">The PI mass spectra </w:t>
      </w:r>
      <w:proofErr w:type="gramStart"/>
      <w:r>
        <w:t>were</w:t>
      </w:r>
      <w:proofErr w:type="gramEnd"/>
      <w:r>
        <w:t xml:space="preserve"> used to understand the structure of individual </w:t>
      </w:r>
      <w:proofErr w:type="spellStart"/>
      <w:r>
        <w:t>dodecene</w:t>
      </w:r>
      <w:proofErr w:type="spellEnd"/>
      <w:r>
        <w:t xml:space="preserve"> and </w:t>
      </w:r>
      <w:proofErr w:type="spellStart"/>
      <w:r>
        <w:t>dodecadiene</w:t>
      </w:r>
      <w:proofErr w:type="spellEnd"/>
      <w:r>
        <w:t xml:space="preserve"> isomers. In the photoionization process of olefins, the cleavage at β C–C bond (regarding the location of the double bond) requires less energy than the cleavage at other bonds [30]. Therefore, the fragment ions in PI mass spectra with relatively higher intensity are a result of β-cleavage, which can be used to predict the double bond location. In this study, two </w:t>
      </w:r>
      <w:proofErr w:type="spellStart"/>
      <w:r>
        <w:t>dodecene</w:t>
      </w:r>
      <w:proofErr w:type="spellEnd"/>
      <w:r>
        <w:t xml:space="preserve"> isomers, peaks 2 and 5, were predicted as 7-methyl-5-undecene and 4-ethyl-4-decene, respectively. In peak 2, the fragment ions m/z 125.1310 and m/z 110.1070 were the products of β-cleavage. Moreover, the fragment ion m/z 96.0936 was produced from the secondary β-cleavage of the fragment m/z 110.1070. The fragment ion m/z 70.0795 was from the secondary β-cleavage of either m/z 110.1070 or m/z 125.1310 (Fig. 3). In the predicted structure of peak 5, there were 3 β-bonds. The β-cleavages produced fragment ions of m/z 153.1636, m/z 139.1480, and m/z 112.1231. The fragment m/z 70.0772 was the product when all the 3 β-bonds were cleaved (Fig. 3).</w:t>
      </w:r>
    </w:p>
    <w:p w14:paraId="0A1EEDB0" w14:textId="77777777" w:rsidR="00B5559D" w:rsidRDefault="00884BC2" w:rsidP="00BA293B">
      <w:pPr>
        <w:ind w:firstLine="720"/>
        <w:jc w:val="both"/>
      </w:pPr>
      <w:r>
        <w:t xml:space="preserve">According to the fragmentation pattern, the linear </w:t>
      </w:r>
      <w:proofErr w:type="spellStart"/>
      <w:r>
        <w:t>dodecadienes</w:t>
      </w:r>
      <w:proofErr w:type="spellEnd"/>
      <w:r>
        <w:t>, peaks 10, 12, and 13, were predicted as 1,9-dodecadiene, 3,9-</w:t>
      </w:r>
      <w:r w:rsidRPr="00884BC2">
        <w:t>dodecadiene, and 2,9-dodecadiene, respectively. In peak 12, the in- tensity of the fragment ion m/z 96.0936 was much higher than the rest of the fragments, which indicated that it was produced by β-cleavage.</w:t>
      </w:r>
      <w:r w:rsidRPr="00884BC2">
        <w:t xml:space="preserve"> </w:t>
      </w:r>
      <w:r w:rsidRPr="00884BC2">
        <w:t xml:space="preserve">Moreover, two double bonds located at C3–C4 and C9–C10 can produce the same β-cleavage fragments, which was m/z 96.0936 (Fig. 3). It was reported </w:t>
      </w:r>
    </w:p>
    <w:p w14:paraId="52E3D309" w14:textId="14B19E1C" w:rsidR="00B5559D" w:rsidRDefault="00B5559D" w:rsidP="00B5559D">
      <w:pPr>
        <w:jc w:val="center"/>
      </w:pPr>
      <w:r>
        <w:rPr>
          <w:noProof/>
          <w:sz w:val="14"/>
        </w:rPr>
        <w:lastRenderedPageBreak/>
        <w:drawing>
          <wp:inline distT="0" distB="0" distL="0" distR="0" wp14:anchorId="7D0B5469" wp14:editId="0E98E72F">
            <wp:extent cx="4603541" cy="6750657"/>
            <wp:effectExtent l="0" t="0" r="6985" b="0"/>
            <wp:docPr id="22" name="Image 22" descr="Image of Fi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Image of Fi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4139" cy="6766198"/>
                    </a:xfrm>
                    <a:prstGeom prst="rect">
                      <a:avLst/>
                    </a:prstGeom>
                  </pic:spPr>
                </pic:pic>
              </a:graphicData>
            </a:graphic>
          </wp:inline>
        </w:drawing>
      </w:r>
    </w:p>
    <w:p w14:paraId="1682EF0B" w14:textId="77777777" w:rsidR="00205E1A" w:rsidRDefault="00B5559D" w:rsidP="00B5559D">
      <w:pPr>
        <w:jc w:val="both"/>
        <w:rPr>
          <w:sz w:val="20"/>
          <w:szCs w:val="20"/>
        </w:rPr>
      </w:pPr>
      <w:r w:rsidRPr="00B5559D">
        <w:rPr>
          <w:b/>
          <w:bCs/>
        </w:rPr>
        <w:t>Fig. 3.</w:t>
      </w:r>
      <w:r>
        <w:t xml:space="preserve"> </w:t>
      </w:r>
      <w:r w:rsidRPr="00B5559D">
        <w:rPr>
          <w:sz w:val="20"/>
          <w:szCs w:val="20"/>
        </w:rPr>
        <w:t>GC × GC-PI-HRTOFMS investigation of C12 group. On the top left: zoom of the C12</w:t>
      </w:r>
      <w:r w:rsidR="0059006E">
        <w:rPr>
          <w:sz w:val="20"/>
          <w:szCs w:val="20"/>
        </w:rPr>
        <w:t xml:space="preserve"> </w:t>
      </w:r>
      <w:r w:rsidRPr="00B5559D">
        <w:rPr>
          <w:sz w:val="20"/>
          <w:szCs w:val="20"/>
        </w:rPr>
        <w:t xml:space="preserve">group, where each color number </w:t>
      </w:r>
      <w:proofErr w:type="spellStart"/>
      <w:r w:rsidRPr="00B5559D">
        <w:rPr>
          <w:sz w:val="20"/>
          <w:szCs w:val="20"/>
        </w:rPr>
        <w:t>corre</w:t>
      </w:r>
      <w:proofErr w:type="spellEnd"/>
      <w:r w:rsidRPr="00B5559D">
        <w:rPr>
          <w:sz w:val="20"/>
          <w:szCs w:val="20"/>
        </w:rPr>
        <w:t xml:space="preserve">- </w:t>
      </w:r>
      <w:proofErr w:type="spellStart"/>
      <w:r w:rsidRPr="00B5559D">
        <w:rPr>
          <w:sz w:val="20"/>
          <w:szCs w:val="20"/>
        </w:rPr>
        <w:t>sponds</w:t>
      </w:r>
      <w:proofErr w:type="spellEnd"/>
      <w:r w:rsidRPr="00B5559D">
        <w:rPr>
          <w:sz w:val="20"/>
          <w:szCs w:val="20"/>
        </w:rPr>
        <w:t xml:space="preserve"> to saturated (yellow), mono- unsaturated (blue), or </w:t>
      </w:r>
      <w:proofErr w:type="spellStart"/>
      <w:r w:rsidRPr="00B5559D">
        <w:rPr>
          <w:sz w:val="20"/>
          <w:szCs w:val="20"/>
        </w:rPr>
        <w:t>diunsaturated</w:t>
      </w:r>
      <w:proofErr w:type="spellEnd"/>
      <w:r w:rsidRPr="00B5559D">
        <w:rPr>
          <w:sz w:val="20"/>
          <w:szCs w:val="20"/>
        </w:rPr>
        <w:t xml:space="preserve"> (red) hydrocarbons. On the top central-right: same chemical classes for the C12 group in the carbon range of C12–C18. Peak 1–13 (black/bold): PI-MS spectra and pattern fragmentations of the analytes numbered in the C12 group (top-left). The accurate </w:t>
      </w:r>
      <w:proofErr w:type="spellStart"/>
      <w:r w:rsidRPr="00B5559D">
        <w:rPr>
          <w:sz w:val="20"/>
          <w:szCs w:val="20"/>
        </w:rPr>
        <w:t>mo</w:t>
      </w:r>
      <w:proofErr w:type="spellEnd"/>
      <w:r w:rsidRPr="00B5559D">
        <w:rPr>
          <w:sz w:val="20"/>
          <w:szCs w:val="20"/>
        </w:rPr>
        <w:t xml:space="preserve">- </w:t>
      </w:r>
      <w:proofErr w:type="spellStart"/>
      <w:r w:rsidRPr="00B5559D">
        <w:rPr>
          <w:sz w:val="20"/>
          <w:szCs w:val="20"/>
        </w:rPr>
        <w:t>lecular</w:t>
      </w:r>
      <w:proofErr w:type="spellEnd"/>
      <w:r w:rsidRPr="00B5559D">
        <w:rPr>
          <w:sz w:val="20"/>
          <w:szCs w:val="20"/>
        </w:rPr>
        <w:t xml:space="preserve"> ions of all peaks as well as the </w:t>
      </w:r>
      <w:proofErr w:type="spellStart"/>
      <w:r w:rsidRPr="00B5559D">
        <w:rPr>
          <w:sz w:val="20"/>
          <w:szCs w:val="20"/>
        </w:rPr>
        <w:t>pu</w:t>
      </w:r>
      <w:proofErr w:type="spellEnd"/>
      <w:r w:rsidRPr="00B5559D">
        <w:rPr>
          <w:sz w:val="20"/>
          <w:szCs w:val="20"/>
        </w:rPr>
        <w:t xml:space="preserve">- </w:t>
      </w:r>
      <w:proofErr w:type="spellStart"/>
      <w:r w:rsidRPr="00B5559D">
        <w:rPr>
          <w:sz w:val="20"/>
          <w:szCs w:val="20"/>
        </w:rPr>
        <w:t>tative</w:t>
      </w:r>
      <w:proofErr w:type="spellEnd"/>
      <w:r w:rsidRPr="00B5559D">
        <w:rPr>
          <w:sz w:val="20"/>
          <w:szCs w:val="20"/>
        </w:rPr>
        <w:t xml:space="preserve"> identification are reported in Table S3. (For interpretation of the refer- </w:t>
      </w:r>
      <w:proofErr w:type="spellStart"/>
      <w:r w:rsidRPr="00B5559D">
        <w:rPr>
          <w:sz w:val="20"/>
          <w:szCs w:val="20"/>
        </w:rPr>
        <w:t>ences</w:t>
      </w:r>
      <w:proofErr w:type="spellEnd"/>
      <w:r w:rsidRPr="00B5559D">
        <w:rPr>
          <w:sz w:val="20"/>
          <w:szCs w:val="20"/>
        </w:rPr>
        <w:t xml:space="preserve"> to color in </w:t>
      </w:r>
      <w:proofErr w:type="gramStart"/>
      <w:r w:rsidRPr="00B5559D">
        <w:rPr>
          <w:sz w:val="20"/>
          <w:szCs w:val="20"/>
        </w:rPr>
        <w:t>this figure</w:t>
      </w:r>
      <w:proofErr w:type="gramEnd"/>
      <w:r w:rsidRPr="00B5559D">
        <w:rPr>
          <w:sz w:val="20"/>
          <w:szCs w:val="20"/>
        </w:rPr>
        <w:t xml:space="preserve"> legend, the reader is referred to the Web version of this article.)</w:t>
      </w:r>
    </w:p>
    <w:p w14:paraId="6FC63128" w14:textId="26A802DF" w:rsidR="00884BC2" w:rsidRPr="00205E1A" w:rsidRDefault="00884BC2" w:rsidP="00B5559D">
      <w:pPr>
        <w:jc w:val="both"/>
        <w:rPr>
          <w:sz w:val="20"/>
          <w:szCs w:val="20"/>
        </w:rPr>
      </w:pPr>
      <w:proofErr w:type="gramStart"/>
      <w:r w:rsidRPr="00884BC2">
        <w:lastRenderedPageBreak/>
        <w:t>that besides β-</w:t>
      </w:r>
      <w:proofErr w:type="gramEnd"/>
      <w:r w:rsidRPr="00884BC2">
        <w:t>cleavage, olefins can also undergo α-cleavage and γ-cleavage. However, the intensities of such fragments are much lower than β-cleavage [30]. The fragments m/z 139.1512 and m/z 110.1098 were contributed by α-cleavage. The fragment m/z 82.0779</w:t>
      </w:r>
      <w:r>
        <w:t xml:space="preserve"> </w:t>
      </w:r>
      <w:r>
        <w:t>was produced by γ-cleavage. The m/z 123.1161 could be from a combination of α-cleavage and β-cleavage. In peak 13, the fragments m/z</w:t>
      </w:r>
      <w:r w:rsidR="00BA293B">
        <w:t xml:space="preserve"> </w:t>
      </w:r>
      <w:r w:rsidRPr="00884BC2">
        <w:t>96.0905 and 110.1087 were more abundant than the rest. They were from the β-cleavage. α-cleavage caused the production of m/z 135.1137 and 123.1194. The m/z 82.0774 might be produced from γ-cleavage (Fig. 3). In peak 10, β-cleavage produced m/z 124.1233, m/z 96.0940, and m/z 68.0616. α-cleavage produced m/z 138.1294. The fragment m/z 110.1096 could be from either α-cleavage or γ-cleavage (Fig. 3).</w:t>
      </w:r>
    </w:p>
    <w:p w14:paraId="0DEAEADB" w14:textId="2727169D" w:rsidR="00BA293B" w:rsidRDefault="00BA293B" w:rsidP="00BA293B">
      <w:pPr>
        <w:ind w:firstLine="720"/>
        <w:jc w:val="both"/>
      </w:pPr>
      <w:r>
        <w:t xml:space="preserve">The branched </w:t>
      </w:r>
      <w:proofErr w:type="spellStart"/>
      <w:r>
        <w:t>dodecadienes</w:t>
      </w:r>
      <w:proofErr w:type="spellEnd"/>
      <w:r>
        <w:t xml:space="preserve">, peaks 1, 3, and 4, were predicted as 2- methyl-3,8-undecadien, 3-ethyl-1,5-decadiene, and 4,5-dimethyl-2,7- decadiene, respectively. The fragment ion m/z 152.1560 in peak 1 was the most abundant because there was β-cleavage at 3 bonds that can produce the same fragments. β-cleavage also produced m/z 96.0950 (Fig. 3). In peak 3, the top 3 abundant fragments, m/z 96.0933, 124.1234, and 137.1316, were β-cleavage products. While α-cleavage produced m/z 110.1109 and 82.0760 with relatively lower intensities (Fig. 3). In peak 4, m/z 96.0931 and 82.0780 were produced by the first β-cleavage and secondary β-cleavage. The rest of the fragments were α-cleavage products (Fig. 3). Even </w:t>
      </w:r>
      <w:proofErr w:type="gramStart"/>
      <w:r>
        <w:t>in</w:t>
      </w:r>
      <w:r>
        <w:t xml:space="preserve"> </w:t>
      </w:r>
      <w:r>
        <w:t>the case</w:t>
      </w:r>
      <w:proofErr w:type="gramEnd"/>
      <w:r>
        <w:t xml:space="preserve"> </w:t>
      </w:r>
      <w:proofErr w:type="gramStart"/>
      <w:r>
        <w:t>where</w:t>
      </w:r>
      <w:proofErr w:type="gramEnd"/>
      <w:r>
        <w:t xml:space="preserve"> was not possible to tentatively predict the chemical structures of the analytes due to the complexity of the chemical structures, the use of the PI-HRMS </w:t>
      </w:r>
      <w:proofErr w:type="gramStart"/>
      <w:r>
        <w:t>allowed</w:t>
      </w:r>
      <w:proofErr w:type="gramEnd"/>
      <w:r>
        <w:t xml:space="preserve"> to assign at least the CN/DBN ratio of the analytes. As observed before, at the increase of the CN and the branching degree into the POHs, </w:t>
      </w:r>
      <w:proofErr w:type="gramStart"/>
      <w:r>
        <w:t>in particular in</w:t>
      </w:r>
      <w:proofErr w:type="gramEnd"/>
      <w:r>
        <w:t xml:space="preserve"> the unsaturated ones, there is a decrease in the retention. The example reported in Fig. 4 shows how C24–C25 POHs can elute be- tween the 1D retention time window of the C18–C20 linear hydrocarbon groups.</w:t>
      </w:r>
    </w:p>
    <w:p w14:paraId="3317BDFC" w14:textId="77777777" w:rsidR="00360A24" w:rsidRDefault="00360A24" w:rsidP="00BA293B">
      <w:pPr>
        <w:ind w:firstLine="720"/>
        <w:jc w:val="both"/>
      </w:pPr>
    </w:p>
    <w:p w14:paraId="2383BD79" w14:textId="101C7CE0" w:rsidR="00360A24" w:rsidRDefault="00360A24" w:rsidP="00360A24">
      <w:pPr>
        <w:jc w:val="center"/>
      </w:pPr>
      <w:r>
        <w:rPr>
          <w:noProof/>
          <w:sz w:val="20"/>
        </w:rPr>
        <w:drawing>
          <wp:inline distT="0" distB="0" distL="0" distR="0" wp14:anchorId="2FEF5379" wp14:editId="6DA49CC5">
            <wp:extent cx="5601248" cy="2673096"/>
            <wp:effectExtent l="0" t="0" r="0" b="0"/>
            <wp:docPr id="23" name="Image 23" descr="Une image contenant texte, capture d’écran, Bleu électrique, Bleu Majorel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Bleu électrique, Bleu Majorelle&#10;&#10;Le contenu généré par l’IA peut être incorrect."/>
                    <pic:cNvPicPr/>
                  </pic:nvPicPr>
                  <pic:blipFill>
                    <a:blip r:embed="rId12" cstate="print"/>
                    <a:stretch>
                      <a:fillRect/>
                    </a:stretch>
                  </pic:blipFill>
                  <pic:spPr>
                    <a:xfrm>
                      <a:off x="0" y="0"/>
                      <a:ext cx="5601248" cy="2673096"/>
                    </a:xfrm>
                    <a:prstGeom prst="rect">
                      <a:avLst/>
                    </a:prstGeom>
                  </pic:spPr>
                </pic:pic>
              </a:graphicData>
            </a:graphic>
          </wp:inline>
        </w:drawing>
      </w:r>
    </w:p>
    <w:p w14:paraId="31547515" w14:textId="01846E2D" w:rsidR="00360A24" w:rsidRDefault="00360A24" w:rsidP="00360A24">
      <w:pPr>
        <w:jc w:val="both"/>
      </w:pPr>
      <w:r w:rsidRPr="00360A24">
        <w:rPr>
          <w:b/>
          <w:bCs/>
        </w:rPr>
        <w:t>Fig. 4.</w:t>
      </w:r>
      <w:r w:rsidRPr="00360A24">
        <w:t xml:space="preserve"> </w:t>
      </w:r>
      <w:r w:rsidRPr="00360A24">
        <w:rPr>
          <w:sz w:val="20"/>
          <w:szCs w:val="20"/>
        </w:rPr>
        <w:t>GC × GC-PI-HRTOFMS of C24–C25 POHs eluted between the C18–C20 linear hydrocarbon groups.</w:t>
      </w:r>
    </w:p>
    <w:p w14:paraId="499FF181" w14:textId="77777777" w:rsidR="00360A24" w:rsidRDefault="00360A24" w:rsidP="00BA293B">
      <w:pPr>
        <w:ind w:firstLine="720"/>
        <w:jc w:val="both"/>
      </w:pPr>
    </w:p>
    <w:p w14:paraId="158F4F6C" w14:textId="5C18B3A6" w:rsidR="00BA293B" w:rsidRPr="00F97BAF" w:rsidRDefault="00BA293B" w:rsidP="00BA293B">
      <w:pPr>
        <w:ind w:firstLine="720"/>
        <w:jc w:val="both"/>
      </w:pPr>
      <w:r>
        <w:t xml:space="preserve">It is worth mentioning at the end of this section that the olefin structures were predicted but not accurately identified. The prediction was based on the relative intensity of the fragment ions under the presented analytical condition, although the fragment ion intensities can be affected by the parameters and conditions of the instrument. However, investigating the repeatability of the </w:t>
      </w:r>
      <w:r>
        <w:lastRenderedPageBreak/>
        <w:t>fragment ion intensities under different analytical conditions is not the purpose of this study. This section means to show the potential of PI in understanding the isomer structures. Since there is a lack of information on the LRIs and reference mass spectrum, the only approach to make sure of the isomer structures is to synthesize mono-standards which is also challenging.</w:t>
      </w:r>
    </w:p>
    <w:p w14:paraId="007C28FB" w14:textId="77777777" w:rsidR="000F4F69" w:rsidRDefault="000F4F69" w:rsidP="002F15E4">
      <w:pPr>
        <w:pStyle w:val="Corpsdetexte"/>
        <w:spacing w:before="8" w:line="232" w:lineRule="auto"/>
        <w:ind w:firstLine="239"/>
        <w:rPr>
          <w:rFonts w:asciiTheme="minorHAnsi" w:hAnsiTheme="minorHAnsi" w:cstheme="minorHAnsi"/>
          <w:sz w:val="22"/>
          <w:szCs w:val="22"/>
        </w:rPr>
      </w:pPr>
    </w:p>
    <w:p w14:paraId="363CD237" w14:textId="77777777" w:rsidR="000F4F69" w:rsidRPr="005A517B" w:rsidRDefault="000F4F69" w:rsidP="00C81D4D">
      <w:pPr>
        <w:pStyle w:val="Titre1"/>
        <w:jc w:val="both"/>
      </w:pPr>
      <w:r w:rsidRPr="005A517B">
        <w:t>Conclusion</w:t>
      </w:r>
    </w:p>
    <w:p w14:paraId="56596830" w14:textId="77777777" w:rsidR="000F4F69" w:rsidRPr="00763248" w:rsidRDefault="000F4F69" w:rsidP="002634B1"/>
    <w:p w14:paraId="6DC15762" w14:textId="77777777" w:rsidR="007131A7" w:rsidRPr="007131A7" w:rsidRDefault="007131A7" w:rsidP="007131A7">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7131A7">
        <w:rPr>
          <w:rFonts w:asciiTheme="minorHAnsi" w:hAnsiTheme="minorHAnsi" w:cstheme="minorHAnsi"/>
          <w:sz w:val="22"/>
          <w:szCs w:val="22"/>
        </w:rPr>
        <w:t xml:space="preserve">To limit plastic pollution promoting the circular economy, scientists have been spending significant effort looking at more effective plastic waste management techniques based on thermochemical routes like pyrolysis. Indeed, plastic pyrolysis oil represents a source to obtain monomers, fuel, and chemicals. Although the initial promise of plastic pyrolysis, several bottlenecks still limit </w:t>
      </w:r>
      <w:proofErr w:type="gramStart"/>
      <w:r w:rsidRPr="007131A7">
        <w:rPr>
          <w:rFonts w:asciiTheme="minorHAnsi" w:hAnsiTheme="minorHAnsi" w:cstheme="minorHAnsi"/>
          <w:sz w:val="22"/>
          <w:szCs w:val="22"/>
        </w:rPr>
        <w:t>its</w:t>
      </w:r>
      <w:proofErr w:type="gramEnd"/>
      <w:r w:rsidRPr="007131A7">
        <w:rPr>
          <w:rFonts w:asciiTheme="minorHAnsi" w:hAnsiTheme="minorHAnsi" w:cstheme="minorHAnsi"/>
          <w:sz w:val="22"/>
          <w:szCs w:val="22"/>
        </w:rPr>
        <w:t xml:space="preserve"> industrial applications [31]. Thus, to improve conversion and valorization processes, an advanced molecular description is essential.</w:t>
      </w:r>
    </w:p>
    <w:p w14:paraId="3EFEE76F" w14:textId="7BC75282" w:rsidR="000F4F69" w:rsidRDefault="007131A7" w:rsidP="007131A7">
      <w:pPr>
        <w:pStyle w:val="Corpsdetexte"/>
        <w:spacing w:before="8" w:line="232" w:lineRule="auto"/>
        <w:ind w:firstLine="677"/>
        <w:rPr>
          <w:rFonts w:asciiTheme="minorHAnsi" w:hAnsiTheme="minorHAnsi" w:cstheme="minorHAnsi"/>
          <w:sz w:val="22"/>
          <w:szCs w:val="22"/>
        </w:rPr>
      </w:pPr>
      <w:r w:rsidRPr="007131A7">
        <w:rPr>
          <w:rFonts w:asciiTheme="minorHAnsi" w:hAnsiTheme="minorHAnsi" w:cstheme="minorHAnsi"/>
          <w:sz w:val="22"/>
          <w:szCs w:val="22"/>
        </w:rPr>
        <w:t>In this context, GC × GC coupled with both LR and HRTOFMS was</w:t>
      </w:r>
      <w:r>
        <w:rPr>
          <w:rFonts w:asciiTheme="minorHAnsi" w:hAnsiTheme="minorHAnsi" w:cstheme="minorHAnsi"/>
          <w:sz w:val="22"/>
          <w:szCs w:val="22"/>
        </w:rPr>
        <w:t xml:space="preserve"> </w:t>
      </w:r>
      <w:r w:rsidRPr="007131A7">
        <w:rPr>
          <w:rFonts w:asciiTheme="minorHAnsi" w:hAnsiTheme="minorHAnsi" w:cstheme="minorHAnsi"/>
          <w:sz w:val="22"/>
          <w:szCs w:val="22"/>
        </w:rPr>
        <w:t>employed for a deeper investigation among and within different chemical classes present in bio-plastic oil. The identification of the main chemical classes was performed by GC × GC-EI-TOFMS, but the presence of several isomeric species as well as homologs series did not allow</w:t>
      </w:r>
      <w:r>
        <w:rPr>
          <w:rFonts w:asciiTheme="minorHAnsi" w:hAnsiTheme="minorHAnsi" w:cstheme="minorHAnsi"/>
          <w:sz w:val="22"/>
          <w:szCs w:val="22"/>
        </w:rPr>
        <w:t xml:space="preserve"> </w:t>
      </w:r>
      <w:r w:rsidRPr="007131A7">
        <w:rPr>
          <w:rFonts w:asciiTheme="minorHAnsi" w:hAnsiTheme="minorHAnsi" w:cstheme="minorHAnsi"/>
          <w:sz w:val="22"/>
          <w:szCs w:val="22"/>
        </w:rPr>
        <w:t>a reliable molecular identification, except for a few compounds that showed both MS% &gt; 800 and LRI ±20. The identification of several isomers was conducted by the interpretation of PI mass spectra from GC</w:t>
      </w:r>
      <w:r>
        <w:rPr>
          <w:rFonts w:asciiTheme="minorHAnsi" w:hAnsiTheme="minorHAnsi" w:cstheme="minorHAnsi"/>
          <w:sz w:val="22"/>
          <w:szCs w:val="22"/>
        </w:rPr>
        <w:t xml:space="preserve"> </w:t>
      </w:r>
      <w:r w:rsidRPr="007131A7">
        <w:rPr>
          <w:rFonts w:asciiTheme="minorHAnsi" w:hAnsiTheme="minorHAnsi" w:cstheme="minorHAnsi"/>
          <w:sz w:val="22"/>
          <w:szCs w:val="22"/>
        </w:rPr>
        <w:t>× GC-HRTOFMS, leading to a putative identification of molecules not previously identified using the most common EI-MS approach. The GC</w:t>
      </w:r>
      <w:r>
        <w:rPr>
          <w:rFonts w:asciiTheme="minorHAnsi" w:hAnsiTheme="minorHAnsi" w:cstheme="minorHAnsi"/>
          <w:sz w:val="22"/>
          <w:szCs w:val="22"/>
        </w:rPr>
        <w:t xml:space="preserve"> </w:t>
      </w:r>
      <w:r w:rsidRPr="007131A7">
        <w:rPr>
          <w:rFonts w:asciiTheme="minorHAnsi" w:hAnsiTheme="minorHAnsi" w:cstheme="minorHAnsi"/>
          <w:sz w:val="22"/>
          <w:szCs w:val="22"/>
        </w:rPr>
        <w:t xml:space="preserve">injection method by PTV solvent vent mode was also optimized using CCD to successfully introduce a wide range of CN compounds without discrimination </w:t>
      </w:r>
      <w:proofErr w:type="gramStart"/>
      <w:r w:rsidRPr="007131A7">
        <w:rPr>
          <w:rFonts w:asciiTheme="minorHAnsi" w:hAnsiTheme="minorHAnsi" w:cstheme="minorHAnsi"/>
          <w:sz w:val="22"/>
          <w:szCs w:val="22"/>
        </w:rPr>
        <w:t>of</w:t>
      </w:r>
      <w:proofErr w:type="gramEnd"/>
      <w:r w:rsidRPr="007131A7">
        <w:rPr>
          <w:rFonts w:asciiTheme="minorHAnsi" w:hAnsiTheme="minorHAnsi" w:cstheme="minorHAnsi"/>
          <w:sz w:val="22"/>
          <w:szCs w:val="22"/>
        </w:rPr>
        <w:t xml:space="preserve"> low/high boiling points. In addition, in both multidimensional approaches, the characteristic 2D-GC plot location provided a sort of chemical fingerprint composed of different chemical classes from which different levels of information can be extrapolated.</w:t>
      </w:r>
    </w:p>
    <w:p w14:paraId="540159AD" w14:textId="77777777" w:rsidR="000F4F69" w:rsidRDefault="000F4F69" w:rsidP="00C81D4D">
      <w:pPr>
        <w:pStyle w:val="Corpsdetexte"/>
        <w:spacing w:before="8" w:line="232" w:lineRule="auto"/>
        <w:ind w:firstLine="239"/>
        <w:rPr>
          <w:rFonts w:asciiTheme="minorHAnsi" w:hAnsiTheme="minorHAnsi" w:cstheme="minorHAnsi"/>
          <w:sz w:val="22"/>
          <w:szCs w:val="22"/>
        </w:rPr>
      </w:pPr>
    </w:p>
    <w:p w14:paraId="52DA1F35" w14:textId="77777777" w:rsidR="000F4F69" w:rsidRPr="004B561E" w:rsidRDefault="000F4F69" w:rsidP="00C81D4D">
      <w:pPr>
        <w:pStyle w:val="Titre1"/>
        <w:jc w:val="both"/>
      </w:pPr>
      <w:proofErr w:type="spellStart"/>
      <w:r w:rsidRPr="004B561E">
        <w:t>CRediT</w:t>
      </w:r>
      <w:proofErr w:type="spellEnd"/>
      <w:r w:rsidRPr="004B561E">
        <w:t xml:space="preserve"> authorship contribution statement</w:t>
      </w:r>
    </w:p>
    <w:p w14:paraId="14EC1A89" w14:textId="77777777" w:rsidR="000F4F69" w:rsidRPr="00603E91" w:rsidRDefault="000F4F69" w:rsidP="00C81D4D">
      <w:pPr>
        <w:spacing w:before="65"/>
        <w:ind w:left="43"/>
        <w:jc w:val="both"/>
        <w:rPr>
          <w:rFonts w:cstheme="minorHAnsi"/>
        </w:rPr>
        <w:sectPr w:rsidR="000F4F69" w:rsidRPr="00603E91" w:rsidSect="000F4F69">
          <w:type w:val="continuous"/>
          <w:pgSz w:w="11910" w:h="15880"/>
          <w:pgMar w:top="1418" w:right="1418" w:bottom="1418" w:left="1418" w:header="655" w:footer="544" w:gutter="0"/>
          <w:cols w:space="720"/>
        </w:sectPr>
      </w:pPr>
    </w:p>
    <w:p w14:paraId="40C2AAEC" w14:textId="77777777" w:rsidR="000F4F69" w:rsidRDefault="000F4F69" w:rsidP="00C81D4D">
      <w:pPr>
        <w:pStyle w:val="Corpsdetexte"/>
        <w:spacing w:before="8" w:line="232" w:lineRule="auto"/>
        <w:ind w:left="0"/>
        <w:rPr>
          <w:rFonts w:asciiTheme="minorHAnsi" w:hAnsiTheme="minorHAnsi" w:cstheme="minorHAnsi"/>
          <w:sz w:val="22"/>
          <w:szCs w:val="22"/>
        </w:rPr>
      </w:pPr>
    </w:p>
    <w:p w14:paraId="228F6A97" w14:textId="1A9FF29F" w:rsidR="00EA3CBA" w:rsidRDefault="00EA3CBA" w:rsidP="00C81D4D">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r w:rsidRPr="00EA3CBA">
        <w:rPr>
          <w:rFonts w:asciiTheme="minorHAnsi" w:hAnsiTheme="minorHAnsi" w:cstheme="minorHAnsi"/>
          <w:b/>
          <w:bCs/>
          <w:sz w:val="22"/>
          <w:szCs w:val="22"/>
        </w:rPr>
        <w:t>Marco Beccaria</w:t>
      </w:r>
      <w:r w:rsidRPr="00EA3CBA">
        <w:rPr>
          <w:rFonts w:asciiTheme="minorHAnsi" w:hAnsiTheme="minorHAnsi" w:cstheme="minorHAnsi"/>
          <w:sz w:val="22"/>
          <w:szCs w:val="22"/>
        </w:rPr>
        <w:t xml:space="preserve">: Conceptualization, Methodology, Formal analysis, Investigation, Data Curation, Writing - Original Draft, Writing - Review &amp; Editing, Visualization, Supervision, </w:t>
      </w:r>
      <w:r w:rsidRPr="00EA3CBA">
        <w:rPr>
          <w:rFonts w:asciiTheme="minorHAnsi" w:hAnsiTheme="minorHAnsi" w:cstheme="minorHAnsi"/>
          <w:b/>
          <w:bCs/>
          <w:sz w:val="22"/>
          <w:szCs w:val="22"/>
        </w:rPr>
        <w:t>Marco Piparo</w:t>
      </w:r>
      <w:r w:rsidRPr="00EA3CBA">
        <w:rPr>
          <w:rFonts w:asciiTheme="minorHAnsi" w:hAnsiTheme="minorHAnsi" w:cstheme="minorHAnsi"/>
          <w:sz w:val="22"/>
          <w:szCs w:val="22"/>
        </w:rPr>
        <w:t xml:space="preserve">: Resources, Supervision, Writing - Review &amp; Editing, </w:t>
      </w:r>
      <w:r w:rsidRPr="00EA3CBA">
        <w:rPr>
          <w:rFonts w:asciiTheme="minorHAnsi" w:hAnsiTheme="minorHAnsi" w:cstheme="minorHAnsi"/>
          <w:b/>
          <w:bCs/>
          <w:sz w:val="22"/>
          <w:szCs w:val="22"/>
        </w:rPr>
        <w:t>Yun Zou</w:t>
      </w:r>
      <w:r w:rsidRPr="00EA3CBA">
        <w:rPr>
          <w:rFonts w:asciiTheme="minorHAnsi" w:hAnsiTheme="minorHAnsi" w:cstheme="minorHAnsi"/>
          <w:sz w:val="22"/>
          <w:szCs w:val="22"/>
        </w:rPr>
        <w:t xml:space="preserve">: Conceptualization, Methodology, Formal analysis, Investigation, Data Curation, Writing – Original Draft, Writing - Review &amp; Editing, </w:t>
      </w:r>
      <w:r w:rsidRPr="00EA3CBA">
        <w:rPr>
          <w:rFonts w:asciiTheme="minorHAnsi" w:hAnsiTheme="minorHAnsi" w:cstheme="minorHAnsi"/>
          <w:b/>
          <w:bCs/>
          <w:sz w:val="22"/>
          <w:szCs w:val="22"/>
        </w:rPr>
        <w:t>Pierre-Hugues Stefanuto</w:t>
      </w:r>
      <w:r w:rsidRPr="00EA3CBA">
        <w:rPr>
          <w:rFonts w:asciiTheme="minorHAnsi" w:hAnsiTheme="minorHAnsi" w:cstheme="minorHAnsi"/>
          <w:sz w:val="22"/>
          <w:szCs w:val="22"/>
        </w:rPr>
        <w:t xml:space="preserve">: Resources, Writing - Review &amp; Editing, </w:t>
      </w:r>
      <w:r w:rsidRPr="00EA3CBA">
        <w:rPr>
          <w:rFonts w:asciiTheme="minorHAnsi" w:hAnsiTheme="minorHAnsi" w:cstheme="minorHAnsi"/>
          <w:b/>
          <w:bCs/>
          <w:sz w:val="22"/>
          <w:szCs w:val="22"/>
        </w:rPr>
        <w:t>Giorgia Purcaro</w:t>
      </w:r>
      <w:r w:rsidRPr="00EA3CBA">
        <w:rPr>
          <w:rFonts w:asciiTheme="minorHAnsi" w:hAnsiTheme="minorHAnsi" w:cstheme="minorHAnsi"/>
          <w:sz w:val="22"/>
          <w:szCs w:val="22"/>
        </w:rPr>
        <w:t xml:space="preserve">: Resources, Data Curation, Writing - Review &amp; Editing, </w:t>
      </w:r>
      <w:r w:rsidRPr="00EA3CBA">
        <w:rPr>
          <w:rFonts w:asciiTheme="minorHAnsi" w:hAnsiTheme="minorHAnsi" w:cstheme="minorHAnsi"/>
          <w:b/>
          <w:bCs/>
          <w:sz w:val="22"/>
          <w:szCs w:val="22"/>
        </w:rPr>
        <w:t>Anna Luiza Mendes Siqueira</w:t>
      </w:r>
      <w:r w:rsidRPr="00EA3CBA">
        <w:rPr>
          <w:rFonts w:asciiTheme="minorHAnsi" w:hAnsiTheme="minorHAnsi" w:cstheme="minorHAnsi"/>
          <w:sz w:val="22"/>
          <w:szCs w:val="22"/>
        </w:rPr>
        <w:t xml:space="preserve">: Resources, Supervision, Writing - Review &amp; Editing, </w:t>
      </w:r>
      <w:r w:rsidRPr="00EA3CBA">
        <w:rPr>
          <w:rFonts w:asciiTheme="minorHAnsi" w:hAnsiTheme="minorHAnsi" w:cstheme="minorHAnsi"/>
          <w:b/>
          <w:bCs/>
          <w:sz w:val="22"/>
          <w:szCs w:val="22"/>
        </w:rPr>
        <w:t>Adrien Maniquet</w:t>
      </w:r>
      <w:r w:rsidRPr="00EA3CBA">
        <w:rPr>
          <w:rFonts w:asciiTheme="minorHAnsi" w:hAnsiTheme="minorHAnsi" w:cstheme="minorHAnsi"/>
          <w:sz w:val="22"/>
          <w:szCs w:val="22"/>
        </w:rPr>
        <w:t xml:space="preserve">: Resources, Supervision, Writing - Review &amp; Editing, </w:t>
      </w:r>
      <w:r w:rsidRPr="00EA3CBA">
        <w:rPr>
          <w:rFonts w:asciiTheme="minorHAnsi" w:hAnsiTheme="minorHAnsi" w:cstheme="minorHAnsi"/>
          <w:b/>
          <w:bCs/>
          <w:sz w:val="22"/>
          <w:szCs w:val="22"/>
        </w:rPr>
        <w:t>Pierre Giusti</w:t>
      </w:r>
      <w:r w:rsidRPr="00EA3CBA">
        <w:rPr>
          <w:rFonts w:asciiTheme="minorHAnsi" w:hAnsiTheme="minorHAnsi" w:cstheme="minorHAnsi"/>
          <w:sz w:val="22"/>
          <w:szCs w:val="22"/>
        </w:rPr>
        <w:t xml:space="preserve">: Resources, Supervision, Writing - Review &amp; Editing; </w:t>
      </w:r>
      <w:r w:rsidRPr="00EA3CBA">
        <w:rPr>
          <w:rFonts w:asciiTheme="minorHAnsi" w:hAnsiTheme="minorHAnsi" w:cstheme="minorHAnsi"/>
          <w:b/>
          <w:bCs/>
          <w:sz w:val="22"/>
          <w:szCs w:val="22"/>
        </w:rPr>
        <w:t>Jean- François Focant</w:t>
      </w:r>
      <w:r w:rsidRPr="00EA3CBA">
        <w:rPr>
          <w:rFonts w:asciiTheme="minorHAnsi" w:hAnsiTheme="minorHAnsi" w:cstheme="minorHAnsi"/>
          <w:sz w:val="22"/>
          <w:szCs w:val="22"/>
        </w:rPr>
        <w:t>: Resources, Supervision, Writing - Review &amp; Editing, Project administration, Funding acquisition.</w:t>
      </w:r>
    </w:p>
    <w:p w14:paraId="51D86ECE" w14:textId="77777777" w:rsidR="00EA3CBA" w:rsidRDefault="00EA3CBA" w:rsidP="00C81D4D">
      <w:pPr>
        <w:pStyle w:val="Corpsdetexte"/>
        <w:spacing w:before="8" w:line="232" w:lineRule="auto"/>
        <w:ind w:left="0"/>
        <w:rPr>
          <w:rFonts w:asciiTheme="minorHAnsi" w:hAnsiTheme="minorHAnsi" w:cstheme="minorHAnsi"/>
          <w:sz w:val="22"/>
          <w:szCs w:val="22"/>
        </w:rPr>
      </w:pPr>
    </w:p>
    <w:p w14:paraId="0723FF92" w14:textId="77777777" w:rsidR="000F4F69" w:rsidRPr="00A91B58" w:rsidRDefault="000F4F69" w:rsidP="00C81D4D">
      <w:pPr>
        <w:pStyle w:val="Titre1"/>
        <w:jc w:val="both"/>
      </w:pPr>
      <w:r w:rsidRPr="00A91B58">
        <w:t>Declaration of Competing Interest</w:t>
      </w:r>
    </w:p>
    <w:p w14:paraId="0B1043BB" w14:textId="77777777" w:rsidR="000F4F69" w:rsidRDefault="000F4F69" w:rsidP="00C81D4D">
      <w:pPr>
        <w:pStyle w:val="Corpsdetexte"/>
        <w:spacing w:before="23"/>
        <w:ind w:left="0"/>
        <w:rPr>
          <w:rFonts w:asciiTheme="minorHAnsi" w:hAnsiTheme="minorHAnsi" w:cstheme="minorHAnsi"/>
          <w:sz w:val="22"/>
          <w:szCs w:val="22"/>
        </w:rPr>
      </w:pPr>
    </w:p>
    <w:p w14:paraId="0A031F8C" w14:textId="77F30A6E" w:rsidR="000F4F69" w:rsidRDefault="00EA3CBA" w:rsidP="00EA3CBA">
      <w:pPr>
        <w:pStyle w:val="Corpsdetexte"/>
        <w:spacing w:before="23"/>
        <w:ind w:left="0"/>
        <w:rPr>
          <w:rFonts w:asciiTheme="minorHAnsi" w:hAnsiTheme="minorHAnsi" w:cstheme="minorHAnsi"/>
          <w:sz w:val="22"/>
          <w:szCs w:val="22"/>
        </w:rPr>
      </w:pPr>
      <w:r>
        <w:rPr>
          <w:rFonts w:asciiTheme="minorHAnsi" w:hAnsiTheme="minorHAnsi" w:cstheme="minorHAnsi"/>
          <w:sz w:val="22"/>
          <w:szCs w:val="22"/>
        </w:rPr>
        <w:tab/>
      </w:r>
      <w:r w:rsidRPr="00EA3CBA">
        <w:rPr>
          <w:rFonts w:asciiTheme="minorHAnsi" w:hAnsiTheme="minorHAnsi" w:cstheme="minorHAnsi"/>
          <w:sz w:val="22"/>
          <w:szCs w:val="22"/>
        </w:rPr>
        <w:t>The authors declare that they have no known competing financial interests or personal relationships that could have appeared to influence the work reported in this paper</w:t>
      </w:r>
      <w:r>
        <w:rPr>
          <w:rFonts w:asciiTheme="minorHAnsi" w:hAnsiTheme="minorHAnsi" w:cstheme="minorHAnsi"/>
          <w:sz w:val="22"/>
          <w:szCs w:val="22"/>
        </w:rPr>
        <w:t>.</w:t>
      </w:r>
      <w:bookmarkStart w:id="11" w:name="Acknowledgments"/>
      <w:bookmarkEnd w:id="11"/>
    </w:p>
    <w:p w14:paraId="42DFA530" w14:textId="77777777" w:rsidR="00057886" w:rsidRPr="00EA3CBA" w:rsidRDefault="00057886" w:rsidP="00EA3CBA">
      <w:pPr>
        <w:pStyle w:val="Corpsdetexte"/>
        <w:spacing w:before="23"/>
        <w:ind w:left="0"/>
        <w:rPr>
          <w:rFonts w:asciiTheme="minorHAnsi" w:hAnsiTheme="minorHAnsi" w:cstheme="minorHAnsi"/>
          <w:sz w:val="22"/>
          <w:szCs w:val="22"/>
        </w:rPr>
      </w:pPr>
    </w:p>
    <w:p w14:paraId="34DE03B2" w14:textId="77777777" w:rsidR="000F4F69" w:rsidRPr="00763248" w:rsidRDefault="000F4F69" w:rsidP="00C81D4D">
      <w:pPr>
        <w:pStyle w:val="Corpsdetexte"/>
        <w:spacing w:before="27"/>
        <w:ind w:left="0"/>
        <w:rPr>
          <w:rFonts w:asciiTheme="minorHAnsi" w:hAnsiTheme="minorHAnsi" w:cstheme="minorHAnsi"/>
          <w:sz w:val="22"/>
          <w:szCs w:val="22"/>
        </w:rPr>
      </w:pPr>
    </w:p>
    <w:p w14:paraId="4440823B" w14:textId="5F0F693F" w:rsidR="000F4F69" w:rsidRPr="00A91B58" w:rsidRDefault="00EA3CBA" w:rsidP="00C81D4D">
      <w:pPr>
        <w:pStyle w:val="Titre1"/>
        <w:jc w:val="both"/>
      </w:pPr>
      <w:bookmarkStart w:id="12" w:name="Supplementary_materials"/>
      <w:bookmarkEnd w:id="12"/>
      <w:r>
        <w:lastRenderedPageBreak/>
        <w:t xml:space="preserve">Appendix A. </w:t>
      </w:r>
      <w:r w:rsidR="000F4F69" w:rsidRPr="00A91B58">
        <w:t xml:space="preserve">Supplementary </w:t>
      </w:r>
      <w:r>
        <w:t>data</w:t>
      </w:r>
    </w:p>
    <w:p w14:paraId="79D0DE9B" w14:textId="77777777" w:rsidR="000F4F69" w:rsidRDefault="000F4F69" w:rsidP="00C81D4D">
      <w:pPr>
        <w:pStyle w:val="Corpsdetexte"/>
        <w:spacing w:before="24"/>
        <w:ind w:left="0"/>
        <w:rPr>
          <w:rFonts w:asciiTheme="minorHAnsi" w:hAnsiTheme="minorHAnsi" w:cstheme="minorHAnsi"/>
          <w:sz w:val="22"/>
          <w:szCs w:val="22"/>
        </w:rPr>
      </w:pPr>
    </w:p>
    <w:p w14:paraId="6601930A" w14:textId="30B5988D" w:rsidR="00EA3CBA" w:rsidRDefault="00EA3CBA" w:rsidP="00C81D4D">
      <w:pPr>
        <w:pStyle w:val="Corpsdetexte"/>
        <w:spacing w:before="24"/>
        <w:ind w:left="0"/>
        <w:rPr>
          <w:rFonts w:asciiTheme="minorHAnsi" w:hAnsiTheme="minorHAnsi" w:cstheme="minorHAnsi"/>
          <w:sz w:val="22"/>
          <w:szCs w:val="22"/>
        </w:rPr>
      </w:pPr>
      <w:r>
        <w:rPr>
          <w:rFonts w:asciiTheme="minorHAnsi" w:hAnsiTheme="minorHAnsi" w:cstheme="minorHAnsi"/>
          <w:sz w:val="22"/>
          <w:szCs w:val="22"/>
        </w:rPr>
        <w:tab/>
      </w:r>
      <w:r w:rsidRPr="00EA3CBA">
        <w:rPr>
          <w:rFonts w:asciiTheme="minorHAnsi" w:hAnsiTheme="minorHAnsi" w:cstheme="minorHAnsi"/>
          <w:sz w:val="22"/>
          <w:szCs w:val="22"/>
        </w:rPr>
        <w:t>Supplementary data to this article can be found online at https://doi. org/10.1016/j.talanta.2022.12379</w:t>
      </w:r>
      <w:r>
        <w:rPr>
          <w:rFonts w:asciiTheme="minorHAnsi" w:hAnsiTheme="minorHAnsi" w:cstheme="minorHAnsi"/>
          <w:sz w:val="22"/>
          <w:szCs w:val="22"/>
        </w:rPr>
        <w:t xml:space="preserve">9. </w:t>
      </w:r>
    </w:p>
    <w:p w14:paraId="534E0D63" w14:textId="77777777" w:rsidR="000F4F69" w:rsidRPr="00763248" w:rsidRDefault="000F4F69" w:rsidP="00C81D4D">
      <w:pPr>
        <w:pStyle w:val="Corpsdetexte"/>
        <w:spacing w:before="50"/>
        <w:ind w:left="0"/>
        <w:rPr>
          <w:rFonts w:asciiTheme="minorHAnsi" w:hAnsiTheme="minorHAnsi" w:cstheme="minorHAnsi"/>
          <w:sz w:val="22"/>
          <w:szCs w:val="22"/>
        </w:rPr>
      </w:pPr>
    </w:p>
    <w:p w14:paraId="50DB8CD9" w14:textId="77777777" w:rsidR="000F4F69" w:rsidRDefault="000F4F69" w:rsidP="00C81D4D">
      <w:pPr>
        <w:pStyle w:val="Titre1"/>
        <w:jc w:val="both"/>
      </w:pPr>
      <w:bookmarkStart w:id="13" w:name="References"/>
      <w:bookmarkEnd w:id="13"/>
      <w:r w:rsidRPr="00A91B58">
        <w:t>Reference</w:t>
      </w:r>
      <w:r>
        <w:t>s</w:t>
      </w:r>
    </w:p>
    <w:p w14:paraId="2E9ABDAC" w14:textId="77777777" w:rsidR="00124D56" w:rsidRDefault="00124D56" w:rsidP="00124D56"/>
    <w:p w14:paraId="5EFDDB02" w14:textId="77777777" w:rsidR="00124D56" w:rsidRPr="00124D56" w:rsidRDefault="00124D56" w:rsidP="00D26A81">
      <w:pPr>
        <w:numPr>
          <w:ilvl w:val="0"/>
          <w:numId w:val="6"/>
        </w:numPr>
        <w:jc w:val="both"/>
        <w:rPr>
          <w:rFonts w:cstheme="minorHAnsi"/>
        </w:rPr>
      </w:pPr>
      <w:r w:rsidRPr="00124D56">
        <w:rPr>
          <w:rFonts w:cstheme="minorHAnsi"/>
        </w:rPr>
        <w:t xml:space="preserve">R. Palos, A. Gutie´rrez, F.J. Vela, M. Olazar, J.M. Arandes, J. Bilbao, Waste refinery: the valorization of waste plastics and end-of-life tires in refinery units, A Review, Energy and Fuels 35 (2021) 3529–3557, </w:t>
      </w:r>
      <w:hyperlink r:id="rId13">
        <w:r w:rsidRPr="00124D56">
          <w:rPr>
            <w:rStyle w:val="Lienhypertexte"/>
            <w:rFonts w:cstheme="minorHAnsi"/>
          </w:rPr>
          <w:t>https://doi.org/10.1021/acs.</w:t>
        </w:r>
      </w:hyperlink>
      <w:r w:rsidRPr="00124D56">
        <w:rPr>
          <w:rFonts w:cstheme="minorHAnsi"/>
        </w:rPr>
        <w:t xml:space="preserve"> </w:t>
      </w:r>
      <w:hyperlink r:id="rId14">
        <w:r w:rsidRPr="00124D56">
          <w:rPr>
            <w:rStyle w:val="Lienhypertexte"/>
            <w:rFonts w:cstheme="minorHAnsi"/>
          </w:rPr>
          <w:t>energyfuels.0c03918</w:t>
        </w:r>
      </w:hyperlink>
      <w:r w:rsidRPr="00124D56">
        <w:rPr>
          <w:rFonts w:cstheme="minorHAnsi"/>
        </w:rPr>
        <w:t>.</w:t>
      </w:r>
    </w:p>
    <w:p w14:paraId="3B696F99" w14:textId="090568C8" w:rsidR="00124D56" w:rsidRPr="00124D56" w:rsidRDefault="00124D56" w:rsidP="00D26A81">
      <w:pPr>
        <w:numPr>
          <w:ilvl w:val="0"/>
          <w:numId w:val="6"/>
        </w:numPr>
        <w:jc w:val="both"/>
        <w:rPr>
          <w:rFonts w:cstheme="minorHAnsi"/>
        </w:rPr>
      </w:pPr>
      <w:r w:rsidRPr="00124D56">
        <w:rPr>
          <w:rFonts w:cstheme="minorHAnsi"/>
        </w:rPr>
        <w:t xml:space="preserve">W.L. Filho, A.L. Salvia, A. </w:t>
      </w:r>
      <w:proofErr w:type="spellStart"/>
      <w:r w:rsidRPr="00124D56">
        <w:rPr>
          <w:rFonts w:cstheme="minorHAnsi"/>
        </w:rPr>
        <w:t>Bonoli</w:t>
      </w:r>
      <w:proofErr w:type="spellEnd"/>
      <w:r w:rsidRPr="00124D56">
        <w:rPr>
          <w:rFonts w:cstheme="minorHAnsi"/>
        </w:rPr>
        <w:t>, U.A. Saari, V. Voronova, M. Klo˜ga, S.S. Kumbhar,</w:t>
      </w:r>
      <w:r w:rsidRPr="00922CBE">
        <w:rPr>
          <w:rFonts w:cstheme="minorHAnsi"/>
        </w:rPr>
        <w:t xml:space="preserve"> </w:t>
      </w:r>
      <w:r w:rsidRPr="00124D56">
        <w:rPr>
          <w:rFonts w:cstheme="minorHAnsi"/>
        </w:rPr>
        <w:t>K. Olszewski, D.M. de Quevedo, J. Barbir, An assessment of attitudes towards</w:t>
      </w:r>
      <w:r w:rsidRPr="00922CBE">
        <w:rPr>
          <w:rFonts w:cstheme="minorHAnsi"/>
        </w:rPr>
        <w:t xml:space="preserve"> </w:t>
      </w:r>
      <w:r w:rsidRPr="00124D56">
        <w:rPr>
          <w:rFonts w:cstheme="minorHAnsi"/>
        </w:rPr>
        <w:t xml:space="preserve">plastics and bioplastics in Europe, Sci. Total Environ. </w:t>
      </w:r>
      <w:r w:rsidRPr="00124D56">
        <w:rPr>
          <w:rFonts w:cstheme="minorHAnsi"/>
          <w:lang w:val="fr-BE"/>
        </w:rPr>
        <w:t xml:space="preserve">(2021) 755, </w:t>
      </w:r>
      <w:hyperlink r:id="rId15">
        <w:r w:rsidRPr="00124D56">
          <w:rPr>
            <w:rStyle w:val="Lienhypertexte"/>
            <w:rFonts w:cstheme="minorHAnsi"/>
            <w:lang w:val="fr-BE"/>
          </w:rPr>
          <w:t>https://doi.org/</w:t>
        </w:r>
      </w:hyperlink>
      <w:r w:rsidRPr="00124D56">
        <w:rPr>
          <w:rFonts w:cstheme="minorHAnsi"/>
          <w:lang w:val="fr-BE"/>
        </w:rPr>
        <w:t xml:space="preserve"> </w:t>
      </w:r>
      <w:hyperlink r:id="rId16">
        <w:r w:rsidRPr="00124D56">
          <w:rPr>
            <w:rStyle w:val="Lienhypertexte"/>
            <w:rFonts w:cstheme="minorHAnsi"/>
            <w:lang w:val="fr-BE"/>
          </w:rPr>
          <w:t>10.1016/j.scitotenv.2020.142732</w:t>
        </w:r>
      </w:hyperlink>
      <w:r w:rsidRPr="00124D56">
        <w:rPr>
          <w:rFonts w:cstheme="minorHAnsi"/>
          <w:lang w:val="fr-BE"/>
        </w:rPr>
        <w:t>.</w:t>
      </w:r>
    </w:p>
    <w:p w14:paraId="0270E91E" w14:textId="7019D3DE" w:rsidR="00124D56" w:rsidRPr="00124D56" w:rsidRDefault="00124D56" w:rsidP="00D26A81">
      <w:pPr>
        <w:numPr>
          <w:ilvl w:val="0"/>
          <w:numId w:val="6"/>
        </w:numPr>
        <w:jc w:val="both"/>
        <w:rPr>
          <w:rFonts w:cstheme="minorHAnsi"/>
        </w:rPr>
      </w:pPr>
      <w:bookmarkStart w:id="14" w:name="_bookmark16"/>
      <w:bookmarkEnd w:id="14"/>
      <w:proofErr w:type="spellStart"/>
      <w:r w:rsidRPr="00124D56">
        <w:rPr>
          <w:rFonts w:cstheme="minorHAnsi"/>
        </w:rPr>
        <w:t>PlascticsEurope</w:t>
      </w:r>
      <w:proofErr w:type="spellEnd"/>
      <w:r w:rsidRPr="00124D56">
        <w:rPr>
          <w:rFonts w:cstheme="minorHAnsi"/>
        </w:rPr>
        <w:t>, Plastics-the Facts 2020 An analysis of European plastics production, demand and waste data, n.d. https://doi.org/https://plasticseurope. org/wp</w:t>
      </w:r>
      <w:r w:rsidRPr="00922CBE">
        <w:rPr>
          <w:rFonts w:cstheme="minorHAnsi"/>
        </w:rPr>
        <w:t xml:space="preserve"> </w:t>
      </w:r>
      <w:r w:rsidRPr="00124D56">
        <w:rPr>
          <w:rFonts w:cstheme="minorHAnsi"/>
        </w:rPr>
        <w:t>content/uploads/2021/09/Plastics_the_facts-WEB-2020_versionJun21_ final.pd</w:t>
      </w:r>
      <w:r w:rsidRPr="00922CBE">
        <w:rPr>
          <w:rFonts w:cstheme="minorHAnsi"/>
        </w:rPr>
        <w:t xml:space="preserve">f. </w:t>
      </w:r>
    </w:p>
    <w:p w14:paraId="13D7791E" w14:textId="77777777" w:rsidR="00124D56" w:rsidRPr="00124D56" w:rsidRDefault="00124D56" w:rsidP="00D26A81">
      <w:pPr>
        <w:numPr>
          <w:ilvl w:val="0"/>
          <w:numId w:val="6"/>
        </w:numPr>
        <w:jc w:val="both"/>
        <w:rPr>
          <w:rFonts w:cstheme="minorHAnsi"/>
        </w:rPr>
      </w:pPr>
      <w:bookmarkStart w:id="15" w:name="_bookmark17"/>
      <w:bookmarkEnd w:id="15"/>
      <w:r w:rsidRPr="00124D56">
        <w:rPr>
          <w:rFonts w:cstheme="minorHAnsi"/>
        </w:rPr>
        <w:t xml:space="preserve">N. Singh, D. Hui, R. Singh, I.P.S. Ahuja, L. Feo, F. </w:t>
      </w:r>
      <w:proofErr w:type="spellStart"/>
      <w:r w:rsidRPr="00124D56">
        <w:rPr>
          <w:rFonts w:cstheme="minorHAnsi"/>
        </w:rPr>
        <w:t>Fraternali</w:t>
      </w:r>
      <w:proofErr w:type="spellEnd"/>
      <w:r w:rsidRPr="00124D56">
        <w:rPr>
          <w:rFonts w:cstheme="minorHAnsi"/>
        </w:rPr>
        <w:t xml:space="preserve">, Recycling of plastic solid waste: a state of art review and future applications, Compos. B Eng. 115 (2017) 409–422, </w:t>
      </w:r>
      <w:hyperlink r:id="rId17">
        <w:r w:rsidRPr="00124D56">
          <w:rPr>
            <w:rStyle w:val="Lienhypertexte"/>
            <w:rFonts w:cstheme="minorHAnsi"/>
          </w:rPr>
          <w:t>https://doi.org/10.1016/j.compositesb.2016.09.013</w:t>
        </w:r>
      </w:hyperlink>
      <w:r w:rsidRPr="00124D56">
        <w:rPr>
          <w:rFonts w:cstheme="minorHAnsi"/>
        </w:rPr>
        <w:t>.</w:t>
      </w:r>
    </w:p>
    <w:p w14:paraId="4C4E2CEB" w14:textId="7A39C21D" w:rsidR="00124D56" w:rsidRPr="00124D56" w:rsidRDefault="00124D56" w:rsidP="00D26A81">
      <w:pPr>
        <w:numPr>
          <w:ilvl w:val="0"/>
          <w:numId w:val="6"/>
        </w:numPr>
        <w:jc w:val="both"/>
        <w:rPr>
          <w:rFonts w:cstheme="minorHAnsi"/>
        </w:rPr>
      </w:pPr>
      <w:bookmarkStart w:id="16" w:name="_bookmark18"/>
      <w:bookmarkEnd w:id="16"/>
      <w:r w:rsidRPr="00124D56">
        <w:rPr>
          <w:rFonts w:cstheme="minorHAnsi"/>
        </w:rPr>
        <w:t xml:space="preserve">M. Solis, S. Silveira, Technologies for chemical recycling of household plastics – a technical review and TRL assessment, Waste Manag. 105 (2020) 128–138, </w:t>
      </w:r>
      <w:hyperlink r:id="rId18">
        <w:r w:rsidRPr="00124D56">
          <w:rPr>
            <w:rStyle w:val="Lienhypertexte"/>
            <w:rFonts w:cstheme="minorHAnsi"/>
          </w:rPr>
          <w:t>https://</w:t>
        </w:r>
      </w:hyperlink>
      <w:hyperlink r:id="rId19">
        <w:r w:rsidRPr="00124D56">
          <w:rPr>
            <w:rStyle w:val="Lienhypertexte"/>
            <w:rFonts w:cstheme="minorHAnsi"/>
          </w:rPr>
          <w:t>doi.org/10.1016/j.wasman.2020.01.038</w:t>
        </w:r>
      </w:hyperlink>
      <w:r w:rsidRPr="00124D56">
        <w:rPr>
          <w:rFonts w:cstheme="minorHAnsi"/>
        </w:rPr>
        <w:t>.</w:t>
      </w:r>
    </w:p>
    <w:bookmarkStart w:id="17" w:name="_bookmark19"/>
    <w:bookmarkEnd w:id="17"/>
    <w:p w14:paraId="6E1E15F9" w14:textId="77777777" w:rsidR="00124D56" w:rsidRPr="00124D56" w:rsidRDefault="00124D56" w:rsidP="00D26A81">
      <w:pPr>
        <w:numPr>
          <w:ilvl w:val="0"/>
          <w:numId w:val="6"/>
        </w:numPr>
        <w:jc w:val="both"/>
        <w:rPr>
          <w:rFonts w:cstheme="minorHAnsi"/>
        </w:rPr>
      </w:pPr>
      <w:r w:rsidRPr="00124D56">
        <w:rPr>
          <w:rFonts w:cstheme="minorHAnsi"/>
        </w:rPr>
        <w:fldChar w:fldCharType="begin"/>
      </w:r>
      <w:r w:rsidRPr="00124D56">
        <w:rPr>
          <w:rFonts w:cstheme="minorHAnsi"/>
        </w:rPr>
        <w:instrText>HYPERLINK "http://refhub.elsevier.com/S0039-9140(22)00595-1/sref6" \h</w:instrText>
      </w:r>
      <w:r w:rsidRPr="00124D56">
        <w:rPr>
          <w:rFonts w:cstheme="minorHAnsi"/>
        </w:rPr>
      </w:r>
      <w:r w:rsidRPr="00124D56">
        <w:rPr>
          <w:rFonts w:cstheme="minorHAnsi"/>
        </w:rPr>
        <w:fldChar w:fldCharType="separate"/>
      </w:r>
      <w:r w:rsidRPr="00124D56">
        <w:rPr>
          <w:rStyle w:val="Lienhypertexte"/>
          <w:rFonts w:cstheme="minorHAnsi"/>
        </w:rPr>
        <w:t xml:space="preserve">R. Geyer, J.R. </w:t>
      </w:r>
      <w:proofErr w:type="spellStart"/>
      <w:r w:rsidRPr="00124D56">
        <w:rPr>
          <w:rStyle w:val="Lienhypertexte"/>
          <w:rFonts w:cstheme="minorHAnsi"/>
        </w:rPr>
        <w:t>Jambeck</w:t>
      </w:r>
      <w:proofErr w:type="spellEnd"/>
      <w:r w:rsidRPr="00124D56">
        <w:rPr>
          <w:rStyle w:val="Lienhypertexte"/>
          <w:rFonts w:cstheme="minorHAnsi"/>
        </w:rPr>
        <w:t>, K.L. Law, Production, Use, and Fate of All Plastics Ever</w:t>
      </w:r>
      <w:r w:rsidRPr="00124D56">
        <w:rPr>
          <w:rFonts w:cstheme="minorHAnsi"/>
        </w:rPr>
        <w:fldChar w:fldCharType="end"/>
      </w:r>
      <w:r w:rsidRPr="00124D56">
        <w:rPr>
          <w:rFonts w:cstheme="minorHAnsi"/>
        </w:rPr>
        <w:t xml:space="preserve"> </w:t>
      </w:r>
      <w:hyperlink r:id="rId20">
        <w:r w:rsidRPr="00124D56">
          <w:rPr>
            <w:rStyle w:val="Lienhypertexte"/>
            <w:rFonts w:cstheme="minorHAnsi"/>
          </w:rPr>
          <w:t>Made, 2017</w:t>
        </w:r>
      </w:hyperlink>
      <w:r w:rsidRPr="00124D56">
        <w:rPr>
          <w:rFonts w:cstheme="minorHAnsi"/>
        </w:rPr>
        <w:t>.</w:t>
      </w:r>
    </w:p>
    <w:p w14:paraId="4AA62F8E" w14:textId="4B48FF82" w:rsidR="00124D56" w:rsidRPr="00124D56" w:rsidRDefault="00124D56" w:rsidP="00D26A81">
      <w:pPr>
        <w:numPr>
          <w:ilvl w:val="0"/>
          <w:numId w:val="6"/>
        </w:numPr>
        <w:jc w:val="both"/>
        <w:rPr>
          <w:rFonts w:cstheme="minorHAnsi"/>
        </w:rPr>
      </w:pPr>
      <w:bookmarkStart w:id="18" w:name="_bookmark20"/>
      <w:bookmarkEnd w:id="18"/>
      <w:r w:rsidRPr="00124D56">
        <w:rPr>
          <w:rFonts w:cstheme="minorHAnsi"/>
        </w:rPr>
        <w:t xml:space="preserve">H.E. Toraman, T. </w:t>
      </w:r>
      <w:proofErr w:type="spellStart"/>
      <w:r w:rsidRPr="00124D56">
        <w:rPr>
          <w:rFonts w:cstheme="minorHAnsi"/>
        </w:rPr>
        <w:t>Dijkmans</w:t>
      </w:r>
      <w:proofErr w:type="spellEnd"/>
      <w:r w:rsidRPr="00124D56">
        <w:rPr>
          <w:rFonts w:cstheme="minorHAnsi"/>
        </w:rPr>
        <w:t xml:space="preserve">, M.R. Djokic, K.M. Van Geem, G.B. Marin, </w:t>
      </w:r>
      <w:proofErr w:type="gramStart"/>
      <w:r w:rsidRPr="00124D56">
        <w:rPr>
          <w:rFonts w:cstheme="minorHAnsi"/>
        </w:rPr>
        <w:t>Detailed</w:t>
      </w:r>
      <w:proofErr w:type="gramEnd"/>
      <w:r w:rsidRPr="00124D56">
        <w:rPr>
          <w:rFonts w:cstheme="minorHAnsi"/>
        </w:rPr>
        <w:t xml:space="preserve"> compositional characterization of plastic waste pyrolysis oil by comprehensive two-dimensional gas-chromatography coupled to multiple detectors,</w:t>
      </w:r>
      <w:r w:rsidRPr="00922CBE">
        <w:rPr>
          <w:rFonts w:cstheme="minorHAnsi"/>
        </w:rPr>
        <w:t xml:space="preserve"> </w:t>
      </w:r>
      <w:r w:rsidRPr="00124D56">
        <w:rPr>
          <w:rFonts w:cstheme="minorHAnsi"/>
        </w:rPr>
        <w:t xml:space="preserve">J. </w:t>
      </w:r>
      <w:proofErr w:type="spellStart"/>
      <w:r w:rsidRPr="00124D56">
        <w:rPr>
          <w:rFonts w:cstheme="minorHAnsi"/>
        </w:rPr>
        <w:t>Chromatogr</w:t>
      </w:r>
      <w:proofErr w:type="spellEnd"/>
      <w:r w:rsidRPr="00124D56">
        <w:rPr>
          <w:rFonts w:cstheme="minorHAnsi"/>
        </w:rPr>
        <w:t xml:space="preserve">. A 1359 (2014) 237–246, </w:t>
      </w:r>
      <w:hyperlink r:id="rId21">
        <w:r w:rsidRPr="00124D56">
          <w:rPr>
            <w:rStyle w:val="Lienhypertexte"/>
            <w:rFonts w:cstheme="minorHAnsi"/>
          </w:rPr>
          <w:t>https://doi.org/10.1016/j.</w:t>
        </w:r>
      </w:hyperlink>
      <w:r w:rsidRPr="00124D56">
        <w:rPr>
          <w:rFonts w:cstheme="minorHAnsi"/>
        </w:rPr>
        <w:t xml:space="preserve"> </w:t>
      </w:r>
      <w:hyperlink r:id="rId22">
        <w:r w:rsidRPr="00124D56">
          <w:rPr>
            <w:rStyle w:val="Lienhypertexte"/>
            <w:rFonts w:cstheme="minorHAnsi"/>
          </w:rPr>
          <w:t>chroma.2014.07.017</w:t>
        </w:r>
      </w:hyperlink>
      <w:r w:rsidRPr="00124D56">
        <w:rPr>
          <w:rFonts w:cstheme="minorHAnsi"/>
        </w:rPr>
        <w:t>.</w:t>
      </w:r>
    </w:p>
    <w:p w14:paraId="647B353F" w14:textId="77777777" w:rsidR="00124D56" w:rsidRPr="00124D56" w:rsidRDefault="00124D56" w:rsidP="00D26A81">
      <w:pPr>
        <w:numPr>
          <w:ilvl w:val="0"/>
          <w:numId w:val="6"/>
        </w:numPr>
        <w:jc w:val="both"/>
        <w:rPr>
          <w:rFonts w:cstheme="minorHAnsi"/>
        </w:rPr>
      </w:pPr>
      <w:bookmarkStart w:id="19" w:name="_bookmark21"/>
      <w:bookmarkEnd w:id="19"/>
      <w:r w:rsidRPr="00124D56">
        <w:rPr>
          <w:rFonts w:cstheme="minorHAnsi"/>
        </w:rPr>
        <w:t xml:space="preserve">H. Dao </w:t>
      </w:r>
      <w:proofErr w:type="spellStart"/>
      <w:r w:rsidRPr="00124D56">
        <w:rPr>
          <w:rFonts w:cstheme="minorHAnsi"/>
        </w:rPr>
        <w:t>Thi</w:t>
      </w:r>
      <w:proofErr w:type="spellEnd"/>
      <w:r w:rsidRPr="00124D56">
        <w:rPr>
          <w:rFonts w:cstheme="minorHAnsi"/>
        </w:rPr>
        <w:t xml:space="preserve">, M.R. Djokic, K.M. van Geem, Detailed group-type characterization of plastic-waste pyrolysis oils: by comprehensive two-dimensional gas chromatography including linear, branched, and di-olefins, Separations 8 (2021), </w:t>
      </w:r>
      <w:hyperlink r:id="rId23">
        <w:r w:rsidRPr="00124D56">
          <w:rPr>
            <w:rStyle w:val="Lienhypertexte"/>
            <w:rFonts w:cstheme="minorHAnsi"/>
          </w:rPr>
          <w:t>https://doi.org/10.3390/separations8070103</w:t>
        </w:r>
      </w:hyperlink>
      <w:r w:rsidRPr="00124D56">
        <w:rPr>
          <w:rFonts w:cstheme="minorHAnsi"/>
        </w:rPr>
        <w:t>.</w:t>
      </w:r>
    </w:p>
    <w:p w14:paraId="3C0B6C11" w14:textId="77777777" w:rsidR="00922CBE" w:rsidRDefault="00124D56" w:rsidP="00D26A81">
      <w:pPr>
        <w:numPr>
          <w:ilvl w:val="0"/>
          <w:numId w:val="6"/>
        </w:numPr>
        <w:jc w:val="both"/>
        <w:rPr>
          <w:rFonts w:cstheme="minorHAnsi"/>
        </w:rPr>
      </w:pPr>
      <w:bookmarkStart w:id="20" w:name="_bookmark22"/>
      <w:bookmarkEnd w:id="20"/>
      <w:r w:rsidRPr="00124D56">
        <w:rPr>
          <w:rFonts w:cstheme="minorHAnsi"/>
        </w:rPr>
        <w:t>L. Quesada, M. Calero, M.A. Martín-Lara, A. P´erez, G. Bl</w:t>
      </w:r>
      <w:r w:rsidRPr="00922CBE">
        <w:rPr>
          <w:rFonts w:cstheme="minorHAnsi"/>
        </w:rPr>
        <w:t>á</w:t>
      </w:r>
      <w:r w:rsidRPr="00124D56">
        <w:rPr>
          <w:rFonts w:cstheme="minorHAnsi"/>
        </w:rPr>
        <w:t xml:space="preserve">zquez, Characterization of fuel produced by pyrolysis of plastic film obtained of municipal solid waste, Energy 186 (2019), </w:t>
      </w:r>
      <w:hyperlink r:id="rId24">
        <w:r w:rsidRPr="00124D56">
          <w:rPr>
            <w:rStyle w:val="Lienhypertexte"/>
            <w:rFonts w:cstheme="minorHAnsi"/>
          </w:rPr>
          <w:t>https://doi.org/10.1016/j.energy.2019.115874</w:t>
        </w:r>
      </w:hyperlink>
      <w:r w:rsidRPr="00124D56">
        <w:rPr>
          <w:rFonts w:cstheme="minorHAnsi"/>
        </w:rPr>
        <w:t>.</w:t>
      </w:r>
    </w:p>
    <w:p w14:paraId="2B9EBC41" w14:textId="566A033F" w:rsidR="00124D56" w:rsidRPr="00124D56" w:rsidRDefault="00124D56" w:rsidP="00D26A81">
      <w:pPr>
        <w:numPr>
          <w:ilvl w:val="0"/>
          <w:numId w:val="6"/>
        </w:numPr>
        <w:jc w:val="both"/>
        <w:rPr>
          <w:rFonts w:cstheme="minorHAnsi"/>
        </w:rPr>
      </w:pPr>
      <w:r w:rsidRPr="00124D56">
        <w:rPr>
          <w:rFonts w:cstheme="minorHAnsi"/>
        </w:rPr>
        <w:t xml:space="preserve">W. Kaminsky, J.S. Kim, Pyrolysis of mixed plastics into aromatics, J. Anal. Appl. </w:t>
      </w:r>
      <w:proofErr w:type="spellStart"/>
      <w:r w:rsidRPr="00124D56">
        <w:rPr>
          <w:rFonts w:cstheme="minorHAnsi"/>
        </w:rPr>
        <w:t>Pyrol</w:t>
      </w:r>
      <w:proofErr w:type="spellEnd"/>
      <w:r w:rsidRPr="00124D56">
        <w:rPr>
          <w:rFonts w:cstheme="minorHAnsi"/>
        </w:rPr>
        <w:t xml:space="preserve">. 51 (1999) 127–134, </w:t>
      </w:r>
      <w:hyperlink r:id="rId25">
        <w:r w:rsidRPr="00124D56">
          <w:rPr>
            <w:rStyle w:val="Lienhypertexte"/>
            <w:rFonts w:cstheme="minorHAnsi"/>
          </w:rPr>
          <w:t>https://doi.org/10.1016/S0165-2370(99)00012-1</w:t>
        </w:r>
      </w:hyperlink>
      <w:r w:rsidRPr="00124D56">
        <w:rPr>
          <w:rFonts w:cstheme="minorHAnsi"/>
        </w:rPr>
        <w:t>.</w:t>
      </w:r>
    </w:p>
    <w:p w14:paraId="000B37C0" w14:textId="484F3872" w:rsidR="00124D56" w:rsidRPr="00124D56" w:rsidRDefault="00124D56" w:rsidP="00D26A81">
      <w:pPr>
        <w:numPr>
          <w:ilvl w:val="0"/>
          <w:numId w:val="6"/>
        </w:numPr>
        <w:jc w:val="both"/>
        <w:rPr>
          <w:rFonts w:cstheme="minorHAnsi"/>
        </w:rPr>
      </w:pPr>
      <w:bookmarkStart w:id="21" w:name="_bookmark23"/>
      <w:bookmarkEnd w:id="21"/>
      <w:r w:rsidRPr="00124D56">
        <w:rPr>
          <w:rFonts w:cstheme="minorHAnsi"/>
        </w:rPr>
        <w:t xml:space="preserve">M. Beccaria, A.L.M. Siqueira, A. </w:t>
      </w:r>
      <w:proofErr w:type="spellStart"/>
      <w:r w:rsidRPr="00124D56">
        <w:rPr>
          <w:rFonts w:cstheme="minorHAnsi"/>
        </w:rPr>
        <w:t>Maniquet</w:t>
      </w:r>
      <w:proofErr w:type="spellEnd"/>
      <w:r w:rsidRPr="00124D56">
        <w:rPr>
          <w:rFonts w:cstheme="minorHAnsi"/>
        </w:rPr>
        <w:t xml:space="preserve">, P. Giusti, M. Piparo, P.H. </w:t>
      </w:r>
      <w:proofErr w:type="spellStart"/>
      <w:r w:rsidRPr="00124D56">
        <w:rPr>
          <w:rFonts w:cstheme="minorHAnsi"/>
        </w:rPr>
        <w:t>Stefanuto</w:t>
      </w:r>
      <w:proofErr w:type="spellEnd"/>
      <w:r w:rsidRPr="00124D56">
        <w:rPr>
          <w:rFonts w:cstheme="minorHAnsi"/>
        </w:rPr>
        <w:t>, J.</w:t>
      </w:r>
      <w:r w:rsidRPr="00922CBE">
        <w:rPr>
          <w:rFonts w:cstheme="minorHAnsi"/>
        </w:rPr>
        <w:t xml:space="preserve"> </w:t>
      </w:r>
      <w:r w:rsidRPr="00124D56">
        <w:rPr>
          <w:rFonts w:cstheme="minorHAnsi"/>
        </w:rPr>
        <w:t xml:space="preserve">F. </w:t>
      </w:r>
      <w:proofErr w:type="spellStart"/>
      <w:r w:rsidRPr="00124D56">
        <w:rPr>
          <w:rFonts w:cstheme="minorHAnsi"/>
        </w:rPr>
        <w:t>Focant</w:t>
      </w:r>
      <w:proofErr w:type="spellEnd"/>
      <w:r w:rsidRPr="00124D56">
        <w:rPr>
          <w:rFonts w:cstheme="minorHAnsi"/>
        </w:rPr>
        <w:t xml:space="preserve">, Advanced mono- and multi-dimensional gas chromatography–mass spectrometry techniques for oxygen-containing compound characterization in biomass and biofuel samples, J. </w:t>
      </w:r>
      <w:proofErr w:type="spellStart"/>
      <w:r w:rsidRPr="00124D56">
        <w:rPr>
          <w:rFonts w:cstheme="minorHAnsi"/>
        </w:rPr>
        <w:t>Separ</w:t>
      </w:r>
      <w:proofErr w:type="spellEnd"/>
      <w:r w:rsidRPr="00124D56">
        <w:rPr>
          <w:rFonts w:cstheme="minorHAnsi"/>
        </w:rPr>
        <w:t xml:space="preserve">. Sci. 44 (2021) 115–134, </w:t>
      </w:r>
      <w:hyperlink r:id="rId26">
        <w:r w:rsidRPr="00124D56">
          <w:rPr>
            <w:rStyle w:val="Lienhypertexte"/>
            <w:rFonts w:cstheme="minorHAnsi"/>
          </w:rPr>
          <w:t>https://doi.org/</w:t>
        </w:r>
      </w:hyperlink>
      <w:r w:rsidRPr="00124D56">
        <w:rPr>
          <w:rFonts w:cstheme="minorHAnsi"/>
        </w:rPr>
        <w:t xml:space="preserve"> </w:t>
      </w:r>
      <w:hyperlink r:id="rId27">
        <w:r w:rsidRPr="00124D56">
          <w:rPr>
            <w:rStyle w:val="Lienhypertexte"/>
            <w:rFonts w:cstheme="minorHAnsi"/>
          </w:rPr>
          <w:t>10.1002/jssc.202000907</w:t>
        </w:r>
      </w:hyperlink>
      <w:r w:rsidRPr="00124D56">
        <w:rPr>
          <w:rFonts w:cstheme="minorHAnsi"/>
        </w:rPr>
        <w:t>.</w:t>
      </w:r>
    </w:p>
    <w:p w14:paraId="78F8F896" w14:textId="6C39AE15" w:rsidR="00124D56" w:rsidRDefault="00124D56" w:rsidP="00D26A81">
      <w:pPr>
        <w:numPr>
          <w:ilvl w:val="0"/>
          <w:numId w:val="6"/>
        </w:numPr>
        <w:jc w:val="both"/>
        <w:rPr>
          <w:rFonts w:cstheme="minorHAnsi"/>
        </w:rPr>
      </w:pPr>
      <w:bookmarkStart w:id="22" w:name="_bookmark24"/>
      <w:bookmarkEnd w:id="22"/>
      <w:r w:rsidRPr="00124D56">
        <w:rPr>
          <w:rFonts w:cstheme="minorHAnsi"/>
        </w:rPr>
        <w:t xml:space="preserve">A. Giri, M. </w:t>
      </w:r>
      <w:proofErr w:type="spellStart"/>
      <w:r w:rsidRPr="00124D56">
        <w:rPr>
          <w:rFonts w:cstheme="minorHAnsi"/>
        </w:rPr>
        <w:t>Coutriade</w:t>
      </w:r>
      <w:proofErr w:type="spellEnd"/>
      <w:r w:rsidRPr="00124D56">
        <w:rPr>
          <w:rFonts w:cstheme="minorHAnsi"/>
        </w:rPr>
        <w:t xml:space="preserve">, A. </w:t>
      </w:r>
      <w:proofErr w:type="spellStart"/>
      <w:r w:rsidRPr="00124D56">
        <w:rPr>
          <w:rFonts w:cstheme="minorHAnsi"/>
        </w:rPr>
        <w:t>Racaud</w:t>
      </w:r>
      <w:proofErr w:type="spellEnd"/>
      <w:r w:rsidRPr="00124D56">
        <w:rPr>
          <w:rFonts w:cstheme="minorHAnsi"/>
        </w:rPr>
        <w:t xml:space="preserve">, K. Okuda, J. Dane, R.B. Cody, J.F. </w:t>
      </w:r>
      <w:proofErr w:type="spellStart"/>
      <w:r w:rsidRPr="00124D56">
        <w:rPr>
          <w:rFonts w:cstheme="minorHAnsi"/>
        </w:rPr>
        <w:t>Focant</w:t>
      </w:r>
      <w:proofErr w:type="spellEnd"/>
      <w:r w:rsidRPr="00124D56">
        <w:rPr>
          <w:rFonts w:cstheme="minorHAnsi"/>
        </w:rPr>
        <w:t xml:space="preserve">, Molecular characterization of volatiles and petrochemical base oils by photo- ionization GC×GC-TOF-MS, Anal. Chem. 89 (2017) 5395–5403, </w:t>
      </w:r>
      <w:hyperlink r:id="rId28">
        <w:r w:rsidRPr="00124D56">
          <w:rPr>
            <w:rStyle w:val="Lienhypertexte"/>
            <w:rFonts w:cstheme="minorHAnsi"/>
          </w:rPr>
          <w:t>https://doi.org/</w:t>
        </w:r>
      </w:hyperlink>
      <w:hyperlink r:id="rId29">
        <w:r w:rsidRPr="00124D56">
          <w:rPr>
            <w:rStyle w:val="Lienhypertexte"/>
            <w:rFonts w:cstheme="minorHAnsi"/>
          </w:rPr>
          <w:t>10.1021/acs.analchem.7b00124</w:t>
        </w:r>
      </w:hyperlink>
      <w:r w:rsidRPr="00124D56">
        <w:rPr>
          <w:rFonts w:cstheme="minorHAnsi"/>
        </w:rPr>
        <w:t>.</w:t>
      </w:r>
    </w:p>
    <w:p w14:paraId="3456437E" w14:textId="77777777" w:rsidR="00057886" w:rsidRDefault="00057886" w:rsidP="00057886">
      <w:pPr>
        <w:jc w:val="both"/>
        <w:rPr>
          <w:rFonts w:cstheme="minorHAnsi"/>
        </w:rPr>
      </w:pPr>
    </w:p>
    <w:p w14:paraId="6F964318" w14:textId="77777777" w:rsidR="00057886" w:rsidRPr="00124D56" w:rsidRDefault="00057886" w:rsidP="00057886">
      <w:pPr>
        <w:jc w:val="both"/>
        <w:rPr>
          <w:rFonts w:cstheme="minorHAnsi"/>
        </w:rPr>
      </w:pPr>
    </w:p>
    <w:p w14:paraId="0EB0BD4B" w14:textId="40B6CB2C" w:rsidR="00124D56" w:rsidRPr="00124D56" w:rsidRDefault="00124D56" w:rsidP="00D26A81">
      <w:pPr>
        <w:numPr>
          <w:ilvl w:val="0"/>
          <w:numId w:val="6"/>
        </w:numPr>
        <w:jc w:val="both"/>
        <w:rPr>
          <w:rFonts w:cstheme="minorHAnsi"/>
        </w:rPr>
      </w:pPr>
      <w:r w:rsidRPr="00124D56">
        <w:rPr>
          <w:rFonts w:cstheme="minorHAnsi"/>
        </w:rPr>
        <w:lastRenderedPageBreak/>
        <w:t xml:space="preserve">A. Giri, M. </w:t>
      </w:r>
      <w:proofErr w:type="spellStart"/>
      <w:r w:rsidRPr="00124D56">
        <w:rPr>
          <w:rFonts w:cstheme="minorHAnsi"/>
        </w:rPr>
        <w:t>Coutriade</w:t>
      </w:r>
      <w:proofErr w:type="spellEnd"/>
      <w:r w:rsidRPr="00124D56">
        <w:rPr>
          <w:rFonts w:cstheme="minorHAnsi"/>
        </w:rPr>
        <w:t xml:space="preserve">, A. </w:t>
      </w:r>
      <w:proofErr w:type="spellStart"/>
      <w:r w:rsidRPr="00124D56">
        <w:rPr>
          <w:rFonts w:cstheme="minorHAnsi"/>
        </w:rPr>
        <w:t>Racaud</w:t>
      </w:r>
      <w:proofErr w:type="spellEnd"/>
      <w:r w:rsidRPr="00124D56">
        <w:rPr>
          <w:rFonts w:cstheme="minorHAnsi"/>
        </w:rPr>
        <w:t xml:space="preserve">, P.H. Stefanuto, K. Okuda, J. Dane, R.B. Cody, </w:t>
      </w:r>
      <w:proofErr w:type="gramStart"/>
      <w:r w:rsidRPr="00124D56">
        <w:rPr>
          <w:rFonts w:cstheme="minorHAnsi"/>
        </w:rPr>
        <w:t>J.</w:t>
      </w:r>
      <w:r w:rsidRPr="00922CBE">
        <w:rPr>
          <w:rFonts w:cstheme="minorHAnsi"/>
        </w:rPr>
        <w:t xml:space="preserve"> </w:t>
      </w:r>
      <w:r w:rsidRPr="00124D56">
        <w:rPr>
          <w:rFonts w:cstheme="minorHAnsi"/>
        </w:rPr>
        <w:t>F</w:t>
      </w:r>
      <w:proofErr w:type="gramEnd"/>
      <w:r w:rsidRPr="00124D56">
        <w:rPr>
          <w:rFonts w:cstheme="minorHAnsi"/>
        </w:rPr>
        <w:t xml:space="preserve">. </w:t>
      </w:r>
      <w:proofErr w:type="spellStart"/>
      <w:r w:rsidRPr="00124D56">
        <w:rPr>
          <w:rFonts w:cstheme="minorHAnsi"/>
        </w:rPr>
        <w:t>Focant</w:t>
      </w:r>
      <w:proofErr w:type="spellEnd"/>
      <w:r w:rsidRPr="00124D56">
        <w:rPr>
          <w:rFonts w:cstheme="minorHAnsi"/>
        </w:rPr>
        <w:t>, Compositional elucidation of heavy petroleum base oil by GC × GC-EI/ PI/</w:t>
      </w:r>
      <w:proofErr w:type="gramStart"/>
      <w:r w:rsidRPr="00124D56">
        <w:rPr>
          <w:rFonts w:cstheme="minorHAnsi"/>
        </w:rPr>
        <w:t>CI/FI</w:t>
      </w:r>
      <w:proofErr w:type="gramEnd"/>
      <w:r w:rsidRPr="00124D56">
        <w:rPr>
          <w:rFonts w:cstheme="minorHAnsi"/>
        </w:rPr>
        <w:t xml:space="preserve">-TOFMS, J. Mass </w:t>
      </w:r>
      <w:proofErr w:type="spellStart"/>
      <w:r w:rsidRPr="00124D56">
        <w:rPr>
          <w:rFonts w:cstheme="minorHAnsi"/>
        </w:rPr>
        <w:t>Spectrom</w:t>
      </w:r>
      <w:proofErr w:type="spellEnd"/>
      <w:r w:rsidRPr="00124D56">
        <w:rPr>
          <w:rFonts w:cstheme="minorHAnsi"/>
        </w:rPr>
        <w:t xml:space="preserve">. 54 (2019) 148–157, </w:t>
      </w:r>
      <w:hyperlink r:id="rId30">
        <w:r w:rsidRPr="00124D56">
          <w:rPr>
            <w:rStyle w:val="Lienhypertexte"/>
            <w:rFonts w:cstheme="minorHAnsi"/>
          </w:rPr>
          <w:t>https://doi.org/10.1002/</w:t>
        </w:r>
      </w:hyperlink>
      <w:r w:rsidRPr="00124D56">
        <w:rPr>
          <w:rFonts w:cstheme="minorHAnsi"/>
        </w:rPr>
        <w:t xml:space="preserve"> </w:t>
      </w:r>
      <w:hyperlink r:id="rId31">
        <w:r w:rsidRPr="00124D56">
          <w:rPr>
            <w:rStyle w:val="Lienhypertexte"/>
            <w:rFonts w:cstheme="minorHAnsi"/>
          </w:rPr>
          <w:t>jms.4319</w:t>
        </w:r>
      </w:hyperlink>
      <w:r w:rsidRPr="00124D56">
        <w:rPr>
          <w:rFonts w:cstheme="minorHAnsi"/>
        </w:rPr>
        <w:t>.</w:t>
      </w:r>
    </w:p>
    <w:p w14:paraId="2D5A971A" w14:textId="77777777" w:rsidR="00124D56" w:rsidRPr="00124D56" w:rsidRDefault="00124D56" w:rsidP="00D26A81">
      <w:pPr>
        <w:numPr>
          <w:ilvl w:val="0"/>
          <w:numId w:val="6"/>
        </w:numPr>
        <w:jc w:val="both"/>
        <w:rPr>
          <w:rFonts w:cstheme="minorHAnsi"/>
        </w:rPr>
      </w:pPr>
      <w:bookmarkStart w:id="23" w:name="_bookmark25"/>
      <w:bookmarkEnd w:id="23"/>
      <w:r w:rsidRPr="00124D56">
        <w:rPr>
          <w:rFonts w:cstheme="minorHAnsi"/>
        </w:rPr>
        <w:t xml:space="preserve">Y. Zou, P. </w:t>
      </w:r>
      <w:proofErr w:type="spellStart"/>
      <w:r w:rsidRPr="00124D56">
        <w:rPr>
          <w:rFonts w:cstheme="minorHAnsi"/>
        </w:rPr>
        <w:t>Stefanuto</w:t>
      </w:r>
      <w:proofErr w:type="spellEnd"/>
      <w:r w:rsidRPr="00124D56">
        <w:rPr>
          <w:rFonts w:cstheme="minorHAnsi"/>
        </w:rPr>
        <w:t xml:space="preserve">, M. Maimone, M. Janssen, J.-F. </w:t>
      </w:r>
      <w:proofErr w:type="spellStart"/>
      <w:r w:rsidRPr="00124D56">
        <w:rPr>
          <w:rFonts w:cstheme="minorHAnsi"/>
        </w:rPr>
        <w:t>Focant</w:t>
      </w:r>
      <w:proofErr w:type="spellEnd"/>
      <w:r w:rsidRPr="00124D56">
        <w:rPr>
          <w:rFonts w:cstheme="minorHAnsi"/>
        </w:rPr>
        <w:t xml:space="preserve">, Unraveling the complex olefin isomer mixture using two-dimensional gas chromatography- photoionization-time of flight mass spectrometry, J. </w:t>
      </w:r>
      <w:proofErr w:type="spellStart"/>
      <w:r w:rsidRPr="00124D56">
        <w:rPr>
          <w:rFonts w:cstheme="minorHAnsi"/>
        </w:rPr>
        <w:t>Chromatogr</w:t>
      </w:r>
      <w:proofErr w:type="spellEnd"/>
      <w:r w:rsidRPr="00124D56">
        <w:rPr>
          <w:rFonts w:cstheme="minorHAnsi"/>
        </w:rPr>
        <w:t xml:space="preserve">. A 1645 (2021), 462103, </w:t>
      </w:r>
      <w:hyperlink r:id="rId32">
        <w:r w:rsidRPr="00124D56">
          <w:rPr>
            <w:rStyle w:val="Lienhypertexte"/>
            <w:rFonts w:cstheme="minorHAnsi"/>
          </w:rPr>
          <w:t>https://doi.org/10.1016/j.chroma.2021.462103</w:t>
        </w:r>
      </w:hyperlink>
      <w:r w:rsidRPr="00124D56">
        <w:rPr>
          <w:rFonts w:cstheme="minorHAnsi"/>
        </w:rPr>
        <w:t>.</w:t>
      </w:r>
    </w:p>
    <w:p w14:paraId="07639B69" w14:textId="77777777" w:rsidR="00124D56" w:rsidRPr="00124D56" w:rsidRDefault="00124D56" w:rsidP="00D26A81">
      <w:pPr>
        <w:numPr>
          <w:ilvl w:val="0"/>
          <w:numId w:val="6"/>
        </w:numPr>
        <w:jc w:val="both"/>
        <w:rPr>
          <w:rFonts w:cstheme="minorHAnsi"/>
        </w:rPr>
      </w:pPr>
      <w:r w:rsidRPr="00124D56">
        <w:rPr>
          <w:rFonts w:cstheme="minorHAnsi"/>
        </w:rPr>
        <w:t xml:space="preserve">G. Purcaro, L. </w:t>
      </w:r>
      <w:proofErr w:type="spellStart"/>
      <w:r w:rsidRPr="00124D56">
        <w:rPr>
          <w:rFonts w:cstheme="minorHAnsi"/>
        </w:rPr>
        <w:t>Barp</w:t>
      </w:r>
      <w:proofErr w:type="spellEnd"/>
      <w:r w:rsidRPr="00124D56">
        <w:rPr>
          <w:rFonts w:cstheme="minorHAnsi"/>
        </w:rPr>
        <w:t xml:space="preserve">, M. Beccaria, L.S. Conte, Fingerprinting of vegetable oil minor components by multidimensional comprehensive gas chromatography with dual detection, Anal. </w:t>
      </w:r>
      <w:proofErr w:type="spellStart"/>
      <w:r w:rsidRPr="00124D56">
        <w:rPr>
          <w:rFonts w:cstheme="minorHAnsi"/>
        </w:rPr>
        <w:t>Bioanal</w:t>
      </w:r>
      <w:proofErr w:type="spellEnd"/>
      <w:r w:rsidRPr="00124D56">
        <w:rPr>
          <w:rFonts w:cstheme="minorHAnsi"/>
        </w:rPr>
        <w:t xml:space="preserve">. Chem. 407 (2015) 309–319, </w:t>
      </w:r>
      <w:hyperlink r:id="rId33">
        <w:r w:rsidRPr="00124D56">
          <w:rPr>
            <w:rStyle w:val="Lienhypertexte"/>
            <w:rFonts w:cstheme="minorHAnsi"/>
          </w:rPr>
          <w:t>https://doi.org/10.1007/</w:t>
        </w:r>
      </w:hyperlink>
      <w:r w:rsidRPr="00124D56">
        <w:rPr>
          <w:rFonts w:cstheme="minorHAnsi"/>
        </w:rPr>
        <w:t xml:space="preserve"> </w:t>
      </w:r>
      <w:hyperlink r:id="rId34">
        <w:r w:rsidRPr="00124D56">
          <w:rPr>
            <w:rStyle w:val="Lienhypertexte"/>
            <w:rFonts w:cstheme="minorHAnsi"/>
          </w:rPr>
          <w:t>s00216-014-8140-x</w:t>
        </w:r>
      </w:hyperlink>
      <w:r w:rsidRPr="00124D56">
        <w:rPr>
          <w:rFonts w:cstheme="minorHAnsi"/>
        </w:rPr>
        <w:t>.</w:t>
      </w:r>
    </w:p>
    <w:p w14:paraId="3D5B39A9" w14:textId="77777777" w:rsidR="00922CBE" w:rsidRPr="00922CBE" w:rsidRDefault="00124D56" w:rsidP="00D26A81">
      <w:pPr>
        <w:numPr>
          <w:ilvl w:val="0"/>
          <w:numId w:val="6"/>
        </w:numPr>
        <w:jc w:val="both"/>
      </w:pPr>
      <w:r w:rsidRPr="00124D56">
        <w:rPr>
          <w:rFonts w:cstheme="minorHAnsi"/>
        </w:rPr>
        <w:t xml:space="preserve">S. </w:t>
      </w:r>
      <w:proofErr w:type="spellStart"/>
      <w:r w:rsidRPr="00124D56">
        <w:rPr>
          <w:rFonts w:cstheme="minorHAnsi"/>
        </w:rPr>
        <w:t>Salivo</w:t>
      </w:r>
      <w:proofErr w:type="spellEnd"/>
      <w:r w:rsidRPr="00124D56">
        <w:rPr>
          <w:rFonts w:cstheme="minorHAnsi"/>
        </w:rPr>
        <w:t xml:space="preserve">, M. Beccaria, G. </w:t>
      </w:r>
      <w:proofErr w:type="spellStart"/>
      <w:r w:rsidRPr="00124D56">
        <w:rPr>
          <w:rFonts w:cstheme="minorHAnsi"/>
        </w:rPr>
        <w:t>Sullini</w:t>
      </w:r>
      <w:proofErr w:type="spellEnd"/>
      <w:r w:rsidRPr="00124D56">
        <w:rPr>
          <w:rFonts w:cstheme="minorHAnsi"/>
        </w:rPr>
        <w:t>, P.Q. Tranchida, P. Dugo, L. Mondello, Analysis of human plasma lipids by using comprehensive two-dimensional gas chromatography with dual detection and</w:t>
      </w:r>
      <w:r w:rsidRPr="00922CBE">
        <w:rPr>
          <w:rFonts w:cstheme="minorHAnsi"/>
        </w:rPr>
        <w:t xml:space="preserve"> </w:t>
      </w:r>
      <w:r w:rsidRPr="00124D56">
        <w:rPr>
          <w:rFonts w:cstheme="minorHAnsi"/>
        </w:rPr>
        <w:t>with the support of high-resolution time- of-</w:t>
      </w:r>
      <w:proofErr w:type="gramStart"/>
      <w:r w:rsidRPr="00124D56">
        <w:rPr>
          <w:rFonts w:cstheme="minorHAnsi"/>
        </w:rPr>
        <w:t>flight mass</w:t>
      </w:r>
      <w:proofErr w:type="gramEnd"/>
      <w:r w:rsidRPr="00124D56">
        <w:rPr>
          <w:rFonts w:cstheme="minorHAnsi"/>
        </w:rPr>
        <w:t xml:space="preserve"> spectrometry for structural elucidation, J. </w:t>
      </w:r>
      <w:proofErr w:type="spellStart"/>
      <w:r w:rsidRPr="00124D56">
        <w:rPr>
          <w:rFonts w:cstheme="minorHAnsi"/>
        </w:rPr>
        <w:t>Separ</w:t>
      </w:r>
      <w:proofErr w:type="spellEnd"/>
      <w:r w:rsidRPr="00124D56">
        <w:rPr>
          <w:rFonts w:cstheme="minorHAnsi"/>
        </w:rPr>
        <w:t xml:space="preserve">. Sci. 38 (2) (2015) 267–275, </w:t>
      </w:r>
      <w:hyperlink r:id="rId35">
        <w:r w:rsidRPr="00124D56">
          <w:rPr>
            <w:rStyle w:val="Lienhypertexte"/>
            <w:rFonts w:cstheme="minorHAnsi"/>
          </w:rPr>
          <w:t>https://doi.org/10.1002/jssc.201400844</w:t>
        </w:r>
      </w:hyperlink>
      <w:bookmarkStart w:id="24" w:name="_bookmark26"/>
      <w:bookmarkEnd w:id="24"/>
      <w:r w:rsidR="00922CBE">
        <w:rPr>
          <w:rFonts w:cstheme="minorHAnsi"/>
        </w:rPr>
        <w:t xml:space="preserve">. </w:t>
      </w:r>
    </w:p>
    <w:p w14:paraId="241886A3" w14:textId="2AD0E4E3" w:rsidR="00922CBE" w:rsidRDefault="00922CBE" w:rsidP="00D26A81">
      <w:pPr>
        <w:numPr>
          <w:ilvl w:val="0"/>
          <w:numId w:val="6"/>
        </w:numPr>
        <w:jc w:val="both"/>
      </w:pPr>
      <w:r>
        <w:t xml:space="preserve">M. Beccaria, Y. Zou, P.H. </w:t>
      </w:r>
      <w:proofErr w:type="spellStart"/>
      <w:r>
        <w:t>Stefanuto</w:t>
      </w:r>
      <w:proofErr w:type="spellEnd"/>
      <w:r>
        <w:t xml:space="preserve">, A.L.M. Siqueira, A. </w:t>
      </w:r>
      <w:proofErr w:type="spellStart"/>
      <w:r>
        <w:t>Maniquet</w:t>
      </w:r>
      <w:proofErr w:type="spellEnd"/>
      <w:r>
        <w:t xml:space="preserve">, M. Piparo, P. Giusti, G. Purcaro, J.F. </w:t>
      </w:r>
      <w:proofErr w:type="spellStart"/>
      <w:r>
        <w:t>Focant</w:t>
      </w:r>
      <w:proofErr w:type="spellEnd"/>
      <w:r>
        <w:t xml:space="preserve">, Deeper investigation of oxygen-containing compounds in oleaginous feedstock (animal fat) by preparative column chromatography and comprehensive two-dimensional gas chromatography coupled with high-resolution time-of-flight mass spectrometry, </w:t>
      </w:r>
      <w:proofErr w:type="spellStart"/>
      <w:r>
        <w:t>Talanta</w:t>
      </w:r>
      <w:proofErr w:type="spellEnd"/>
      <w:r>
        <w:t xml:space="preserve"> 238 (2022), </w:t>
      </w:r>
      <w:hyperlink r:id="rId36" w:history="1">
        <w:r w:rsidR="00362277" w:rsidRPr="00A36B48">
          <w:rPr>
            <w:rStyle w:val="Lienhypertexte"/>
          </w:rPr>
          <w:t>https://doi.org/10.1016/j.talanta.2021.12301</w:t>
        </w:r>
        <w:r w:rsidR="00362277" w:rsidRPr="00A36B48">
          <w:rPr>
            <w:rStyle w:val="Lienhypertexte"/>
          </w:rPr>
          <w:t>9</w:t>
        </w:r>
      </w:hyperlink>
      <w:r>
        <w:t>.</w:t>
      </w:r>
      <w:r w:rsidR="00362277">
        <w:t xml:space="preserve"> </w:t>
      </w:r>
    </w:p>
    <w:p w14:paraId="5BF1E804" w14:textId="1D471B05" w:rsidR="00922CBE" w:rsidRDefault="00922CBE" w:rsidP="00D26A81">
      <w:pPr>
        <w:numPr>
          <w:ilvl w:val="0"/>
          <w:numId w:val="6"/>
        </w:numPr>
        <w:jc w:val="both"/>
      </w:pPr>
      <w:r>
        <w:t xml:space="preserve">R.L. Ware, S.M. Rowland, R.P. Rodgers, A.G. Marshall, Advanced chemical characterization of pyrolysis oils from landfill waste, recycled plastics, and forestry residue, Energy Fuel. 31 (2017) 8210–8216, https://doi.org/10.1021/acs. </w:t>
      </w:r>
      <w:proofErr w:type="gramStart"/>
      <w:r>
        <w:t>energyfuels</w:t>
      </w:r>
      <w:proofErr w:type="gramEnd"/>
      <w:r>
        <w:t>.7b0086</w:t>
      </w:r>
      <w:r w:rsidR="00362277">
        <w:t xml:space="preserve">5. </w:t>
      </w:r>
    </w:p>
    <w:p w14:paraId="6A5EC242" w14:textId="7A23CFEB" w:rsidR="00922CBE" w:rsidRDefault="00922CBE" w:rsidP="00D26A81">
      <w:pPr>
        <w:numPr>
          <w:ilvl w:val="0"/>
          <w:numId w:val="6"/>
        </w:numPr>
        <w:jc w:val="both"/>
      </w:pPr>
      <w:r>
        <w:t xml:space="preserve">V.O. Nunes, R.V.S. Silva, G.A. Romeiro, D.A. Azevedo, The speciation of the organic compounds of slow pyrolysis bio-oils from Brazilian tropical seed cake fruits using high-resolution techniques: GC × GC-TOFMS and </w:t>
      </w:r>
      <w:proofErr w:type="gramStart"/>
      <w:r>
        <w:t>ESI(</w:t>
      </w:r>
      <w:proofErr w:type="gramEnd"/>
      <w:r>
        <w:t xml:space="preserve">±)-Orbitrap HRMS, </w:t>
      </w:r>
      <w:proofErr w:type="spellStart"/>
      <w:r>
        <w:t>Microchem</w:t>
      </w:r>
      <w:proofErr w:type="spellEnd"/>
      <w:r>
        <w:t xml:space="preserve">. J. 153 (2020), 104514, </w:t>
      </w:r>
      <w:hyperlink r:id="rId37" w:history="1">
        <w:r w:rsidR="00362277" w:rsidRPr="00A36B48">
          <w:rPr>
            <w:rStyle w:val="Lienhypertexte"/>
          </w:rPr>
          <w:t>https://doi.org/10.1016/j.microc.2019.10451</w:t>
        </w:r>
        <w:r w:rsidR="00362277" w:rsidRPr="00A36B48">
          <w:rPr>
            <w:rStyle w:val="Lienhypertexte"/>
          </w:rPr>
          <w:t>4</w:t>
        </w:r>
      </w:hyperlink>
      <w:r w:rsidR="00362277">
        <w:t xml:space="preserve">. </w:t>
      </w:r>
    </w:p>
    <w:p w14:paraId="0E057198" w14:textId="6E44FDC2" w:rsidR="00922CBE" w:rsidRDefault="00922CBE" w:rsidP="00D26A81">
      <w:pPr>
        <w:numPr>
          <w:ilvl w:val="0"/>
          <w:numId w:val="6"/>
        </w:numPr>
        <w:jc w:val="both"/>
      </w:pPr>
      <w:r>
        <w:t xml:space="preserve">N.S. </w:t>
      </w:r>
      <w:proofErr w:type="spellStart"/>
      <w:r>
        <w:t>Tessarolo</w:t>
      </w:r>
      <w:proofErr w:type="spellEnd"/>
      <w:r>
        <w:t>, R.C. Silva, G. Vanini, A. Pinho, W. Rom</w:t>
      </w:r>
      <w:r w:rsidR="00D26A81">
        <w:rPr>
          <w:rFonts w:cstheme="minorHAnsi"/>
        </w:rPr>
        <w:t>ã</w:t>
      </w:r>
      <w:r>
        <w:t>o, E.V.R. de Castro, D.</w:t>
      </w:r>
      <w:r>
        <w:t xml:space="preserve"> </w:t>
      </w:r>
      <w:r>
        <w:t xml:space="preserve">A. Azevedo, Assessing the chemical composition of bio-oils using FT-ICR mass spectrometry and comprehensive two-dimensional gas chromatography with time- of-flight mass spectrometry, </w:t>
      </w:r>
      <w:proofErr w:type="spellStart"/>
      <w:r>
        <w:t>Microchem</w:t>
      </w:r>
      <w:proofErr w:type="spellEnd"/>
      <w:r>
        <w:t>. J. 117 (2014) 68–76, https://doi.org/ 10.1016/j.microc.2014.06.00</w:t>
      </w:r>
      <w:r w:rsidR="00362277">
        <w:t xml:space="preserve">6. </w:t>
      </w:r>
    </w:p>
    <w:p w14:paraId="01E39EED" w14:textId="7AB65D8E" w:rsidR="00922CBE" w:rsidRDefault="00922CBE" w:rsidP="00D26A81">
      <w:pPr>
        <w:numPr>
          <w:ilvl w:val="0"/>
          <w:numId w:val="6"/>
        </w:numPr>
        <w:jc w:val="both"/>
      </w:pPr>
      <w:r>
        <w:t xml:space="preserve">M. Staš, M. Auersvald, P. </w:t>
      </w:r>
      <w:proofErr w:type="spellStart"/>
      <w:r>
        <w:t>Vozka</w:t>
      </w:r>
      <w:proofErr w:type="spellEnd"/>
      <w:r>
        <w:t xml:space="preserve">, Two-dimensional gas chromatography characterization of pyrolysis bio-oils: a review, Energy Fuel. 35 (10,) (2021) 8541–8557, </w:t>
      </w:r>
      <w:hyperlink r:id="rId38" w:history="1">
        <w:r w:rsidR="00362277" w:rsidRPr="00A36B48">
          <w:rPr>
            <w:rStyle w:val="Lienhypertexte"/>
          </w:rPr>
          <w:t>https://doi.org/10.1021/acs.energyfuels.1c0055</w:t>
        </w:r>
        <w:r w:rsidR="00362277" w:rsidRPr="00A36B48">
          <w:rPr>
            <w:rStyle w:val="Lienhypertexte"/>
          </w:rPr>
          <w:t>3</w:t>
        </w:r>
      </w:hyperlink>
      <w:r w:rsidR="00362277">
        <w:t xml:space="preserve">. </w:t>
      </w:r>
    </w:p>
    <w:p w14:paraId="0DBABBBE" w14:textId="48A0F61E" w:rsidR="00922CBE" w:rsidRDefault="00922CBE" w:rsidP="00D26A81">
      <w:pPr>
        <w:numPr>
          <w:ilvl w:val="0"/>
          <w:numId w:val="6"/>
        </w:numPr>
        <w:jc w:val="both"/>
      </w:pPr>
      <w:r>
        <w:t xml:space="preserve">C. Mase, J.F. Maillard, B. Paupy, M. </w:t>
      </w:r>
      <w:proofErr w:type="spellStart"/>
      <w:r>
        <w:t>Farenc</w:t>
      </w:r>
      <w:proofErr w:type="spellEnd"/>
      <w:r>
        <w:t>, C. Adam, M. Hubert-Roux, C. Afonso,</w:t>
      </w:r>
      <w:r>
        <w:t xml:space="preserve"> </w:t>
      </w:r>
      <w:r>
        <w:t xml:space="preserve">P. Giusti, Molecular characterization of a mixed plastic pyrolysis oil from municipal wastes by direct infusion </w:t>
      </w:r>
      <w:proofErr w:type="spellStart"/>
      <w:r>
        <w:t>fourier</w:t>
      </w:r>
      <w:proofErr w:type="spellEnd"/>
      <w:r>
        <w:t xml:space="preserve"> transform ion cyclotron resonance mass spectrometry, Energy Fuel. 35 (2021) 14828–14837, https://doi.org/10.1021/acs. </w:t>
      </w:r>
      <w:proofErr w:type="gramStart"/>
      <w:r>
        <w:t>energyfuels</w:t>
      </w:r>
      <w:proofErr w:type="gramEnd"/>
      <w:r>
        <w:t>.1c0167</w:t>
      </w:r>
      <w:r w:rsidR="00362277">
        <w:t xml:space="preserve">8. </w:t>
      </w:r>
    </w:p>
    <w:p w14:paraId="4FC127F0" w14:textId="5659353D" w:rsidR="00922CBE" w:rsidRDefault="00922CBE" w:rsidP="00D26A81">
      <w:pPr>
        <w:numPr>
          <w:ilvl w:val="0"/>
          <w:numId w:val="6"/>
        </w:numPr>
        <w:jc w:val="both"/>
      </w:pPr>
      <w:r>
        <w:t xml:space="preserve">M. Biedermann, K. Grob, Comprehensive two-dimensional gas chromatography for characterizing mineral oils in foods and distinguishing them from synthetic hydrocarbons, J. </w:t>
      </w:r>
      <w:proofErr w:type="spellStart"/>
      <w:r>
        <w:t>Chromatogr</w:t>
      </w:r>
      <w:proofErr w:type="spellEnd"/>
      <w:r>
        <w:t>. A 1375 (2015) 146–153, https://doi.org/10.1016/j. chroma.2014.11.06</w:t>
      </w:r>
      <w:r w:rsidR="00362277">
        <w:t xml:space="preserve">4. </w:t>
      </w:r>
    </w:p>
    <w:p w14:paraId="4025F9B4" w14:textId="43629A20" w:rsidR="00922CBE" w:rsidRDefault="00922CBE" w:rsidP="00D26A81">
      <w:pPr>
        <w:numPr>
          <w:ilvl w:val="0"/>
          <w:numId w:val="6"/>
        </w:numPr>
        <w:jc w:val="both"/>
      </w:pPr>
      <w:r>
        <w:t xml:space="preserve">S. Biedermann-Brem, N. Kasprick, T. </w:t>
      </w:r>
      <w:proofErr w:type="spellStart"/>
      <w:r>
        <w:t>Simat</w:t>
      </w:r>
      <w:proofErr w:type="spellEnd"/>
      <w:r>
        <w:t xml:space="preserve">, K. Grob, Migration of polyolefin oligomeric saturated hydrocarbons (POSH) into food, Food Additives and Contaminants - Part A Chemistry, Analysis, Control, Exposure and Risk Assessment 29 (2012) 449–460, </w:t>
      </w:r>
      <w:hyperlink r:id="rId39" w:history="1">
        <w:r w:rsidR="00362277" w:rsidRPr="00A36B48">
          <w:rPr>
            <w:rStyle w:val="Lienhypertexte"/>
          </w:rPr>
          <w:t>https://doi.org/10.1080/19440049.2011.64116</w:t>
        </w:r>
        <w:r w:rsidR="00362277" w:rsidRPr="00A36B48">
          <w:rPr>
            <w:rStyle w:val="Lienhypertexte"/>
          </w:rPr>
          <w:t>4</w:t>
        </w:r>
      </w:hyperlink>
      <w:r w:rsidR="00362277">
        <w:t xml:space="preserve">. </w:t>
      </w:r>
    </w:p>
    <w:p w14:paraId="66EEDB73" w14:textId="77777777" w:rsidR="00055ECB" w:rsidRDefault="00055ECB" w:rsidP="00055ECB">
      <w:pPr>
        <w:jc w:val="both"/>
      </w:pPr>
    </w:p>
    <w:p w14:paraId="7B186B2E" w14:textId="77777777" w:rsidR="00055ECB" w:rsidRDefault="00055ECB" w:rsidP="00055ECB">
      <w:pPr>
        <w:jc w:val="both"/>
      </w:pPr>
    </w:p>
    <w:p w14:paraId="0BE94E3A" w14:textId="7D6B1296" w:rsidR="00922CBE" w:rsidRDefault="00922CBE" w:rsidP="00922CBE">
      <w:pPr>
        <w:numPr>
          <w:ilvl w:val="0"/>
          <w:numId w:val="6"/>
        </w:numPr>
        <w:jc w:val="both"/>
      </w:pPr>
      <w:r>
        <w:lastRenderedPageBreak/>
        <w:t xml:space="preserve">P.Q. Tranchida, I. Aloisi, B. </w:t>
      </w:r>
      <w:proofErr w:type="spellStart"/>
      <w:r>
        <w:t>Giocastro</w:t>
      </w:r>
      <w:proofErr w:type="spellEnd"/>
      <w:r>
        <w:t xml:space="preserve">, L. Mondello, Current state of comprehensive two-dimensional gas chromatography-mass spectrometry with focus on processes of ionization, </w:t>
      </w:r>
      <w:proofErr w:type="spellStart"/>
      <w:r>
        <w:t>TrAC</w:t>
      </w:r>
      <w:proofErr w:type="spellEnd"/>
      <w:r>
        <w:t>, Trends Anal. Chem. 105 (2018) 360–366, https://doi.org/ 10.1016/j.trac.2018.05.01</w:t>
      </w:r>
      <w:r w:rsidR="00362277">
        <w:t xml:space="preserve">6. </w:t>
      </w:r>
    </w:p>
    <w:p w14:paraId="106AC6C3" w14:textId="517DF7BB" w:rsidR="00922CBE" w:rsidRDefault="00922CBE" w:rsidP="00922CBE">
      <w:pPr>
        <w:numPr>
          <w:ilvl w:val="0"/>
          <w:numId w:val="6"/>
        </w:numPr>
        <w:jc w:val="both"/>
      </w:pPr>
      <w:r>
        <w:t xml:space="preserve">M. Beccaria, F.A. Franchina, M. Nasir, T. Mellors, J.E. Hill, G. Purcaro, Investigation of mycobacteria fatty acid profile using different ionization energies in GC–MS, Anal. </w:t>
      </w:r>
      <w:proofErr w:type="spellStart"/>
      <w:r>
        <w:t>Bioanal</w:t>
      </w:r>
      <w:proofErr w:type="spellEnd"/>
      <w:r>
        <w:t>. Chem. 410 (2018) 7987–7996, https://doi.org/10.1007/ s00216-018-1421-</w:t>
      </w:r>
      <w:r w:rsidR="00362277">
        <w:t xml:space="preserve">z. </w:t>
      </w:r>
    </w:p>
    <w:p w14:paraId="6B57E973" w14:textId="61BB85B2" w:rsidR="00922CBE" w:rsidRDefault="00922CBE" w:rsidP="00922CBE">
      <w:pPr>
        <w:numPr>
          <w:ilvl w:val="0"/>
          <w:numId w:val="6"/>
        </w:numPr>
        <w:jc w:val="both"/>
      </w:pPr>
      <w:r>
        <w:t xml:space="preserve">A. </w:t>
      </w:r>
      <w:proofErr w:type="spellStart"/>
      <w:r>
        <w:t>Glineur</w:t>
      </w:r>
      <w:proofErr w:type="spellEnd"/>
      <w:r>
        <w:t xml:space="preserve">, M. Beccaria, G. Purcaro, Exploring 20 eV electron impact ionization in gas chromatography-tandem mass spectrometry for the determination of estrogenic compounds, J. </w:t>
      </w:r>
      <w:proofErr w:type="spellStart"/>
      <w:r>
        <w:t>Chromatogr</w:t>
      </w:r>
      <w:proofErr w:type="spellEnd"/>
      <w:r>
        <w:t>. A 1652 (2021), 462359, https://doi.org/ 10.1016/j.chroma.2021.46235</w:t>
      </w:r>
      <w:r w:rsidR="00362277">
        <w:t xml:space="preserve">9. </w:t>
      </w:r>
    </w:p>
    <w:p w14:paraId="26A3CCFA" w14:textId="5522B08F" w:rsidR="00922CBE" w:rsidRDefault="00922CBE" w:rsidP="00922CBE">
      <w:pPr>
        <w:numPr>
          <w:ilvl w:val="0"/>
          <w:numId w:val="6"/>
        </w:numPr>
        <w:jc w:val="both"/>
      </w:pPr>
      <w:r>
        <w:t xml:space="preserve">M. Piparo, L. Flamant, G. </w:t>
      </w:r>
      <w:proofErr w:type="spellStart"/>
      <w:r>
        <w:t>Jousset</w:t>
      </w:r>
      <w:proofErr w:type="spellEnd"/>
      <w:r>
        <w:t xml:space="preserve">, P. </w:t>
      </w:r>
      <w:proofErr w:type="spellStart"/>
      <w:r>
        <w:t>Cardinael</w:t>
      </w:r>
      <w:proofErr w:type="spellEnd"/>
      <w:r>
        <w:t>, P. Giusti, Careful investigations of PTV injection parameters for the analysis of vacuum gas oil by high-temperature comprehensive GC × GC, Energy Fuel. 34 (2020), 12010, https://doi.org/10.1021/acs.energyfuels.0c01314, 1201</w:t>
      </w:r>
      <w:r w:rsidR="00362277">
        <w:t xml:space="preserve">7. </w:t>
      </w:r>
    </w:p>
    <w:p w14:paraId="686E1024" w14:textId="50BBBF5E" w:rsidR="00922CBE" w:rsidRDefault="00922CBE" w:rsidP="00922CBE">
      <w:pPr>
        <w:numPr>
          <w:ilvl w:val="0"/>
          <w:numId w:val="6"/>
        </w:numPr>
        <w:jc w:val="both"/>
      </w:pPr>
      <w:r>
        <w:t>G. Purcaro, P.H. Stefanuto, F.A. Franchina, M. Beccaria, W.F. Wieland-Alter, P.</w:t>
      </w:r>
      <w:r>
        <w:t xml:space="preserve"> </w:t>
      </w:r>
      <w:r>
        <w:t xml:space="preserve">F. Wright, J.E. Hill, SPME-GC×GC-TOF MS fingerprint of </w:t>
      </w:r>
      <w:proofErr w:type="gramStart"/>
      <w:r>
        <w:t>virally-infected</w:t>
      </w:r>
      <w:proofErr w:type="gramEnd"/>
      <w:r>
        <w:t xml:space="preserve"> cell culture: sample preparation optimization and data processing evaluation, Anal. Chim. Acta 1027 (2018) 158–167, </w:t>
      </w:r>
      <w:hyperlink r:id="rId40" w:history="1">
        <w:r w:rsidR="00362277" w:rsidRPr="00A36B48">
          <w:rPr>
            <w:rStyle w:val="Lienhypertexte"/>
          </w:rPr>
          <w:t>https://doi.org/10.1016/j.aca.2018.03.03</w:t>
        </w:r>
        <w:r w:rsidR="00362277" w:rsidRPr="00A36B48">
          <w:rPr>
            <w:rStyle w:val="Lienhypertexte"/>
          </w:rPr>
          <w:t>7</w:t>
        </w:r>
      </w:hyperlink>
      <w:r w:rsidR="00362277">
        <w:t xml:space="preserve">. </w:t>
      </w:r>
    </w:p>
    <w:p w14:paraId="616E1283" w14:textId="01751BA3" w:rsidR="00922CBE" w:rsidRDefault="00922CBE" w:rsidP="00922CBE">
      <w:pPr>
        <w:numPr>
          <w:ilvl w:val="0"/>
          <w:numId w:val="6"/>
        </w:numPr>
        <w:jc w:val="both"/>
      </w:pPr>
      <w:r>
        <w:t xml:space="preserve">S.E. Van Bramer, P.L. Ross, M. V Johnston, Unimolecular photochemistry of n- alkenes studied by photodissociation-photoionization mass spectrometry, J. Am. Soc. Mass </w:t>
      </w:r>
      <w:proofErr w:type="spellStart"/>
      <w:r>
        <w:t>Spectrom</w:t>
      </w:r>
      <w:proofErr w:type="spellEnd"/>
      <w:r>
        <w:t>. 4 (1993) 65–7</w:t>
      </w:r>
      <w:r w:rsidR="00362277">
        <w:t xml:space="preserve">2. </w:t>
      </w:r>
    </w:p>
    <w:p w14:paraId="7BCA9D22" w14:textId="7E42C74C" w:rsidR="00922CBE" w:rsidRDefault="00922CBE" w:rsidP="00922CBE">
      <w:pPr>
        <w:numPr>
          <w:ilvl w:val="0"/>
          <w:numId w:val="6"/>
        </w:numPr>
        <w:jc w:val="both"/>
      </w:pPr>
      <w:r>
        <w:t xml:space="preserve">S. </w:t>
      </w:r>
      <w:proofErr w:type="spellStart"/>
      <w:r>
        <w:t>Armenise</w:t>
      </w:r>
      <w:proofErr w:type="spellEnd"/>
      <w:r>
        <w:t xml:space="preserve">, W. </w:t>
      </w:r>
      <w:proofErr w:type="spellStart"/>
      <w:r>
        <w:t>SyieLuing</w:t>
      </w:r>
      <w:proofErr w:type="spellEnd"/>
      <w:r>
        <w:t>, J.M. Ramírez-Vela´squez, F. Launay, D. Wuebben,</w:t>
      </w:r>
      <w:r>
        <w:t xml:space="preserve"> </w:t>
      </w:r>
      <w:r>
        <w:t xml:space="preserve">N. Ngadi, J. Rams, M. </w:t>
      </w:r>
      <w:proofErr w:type="spellStart"/>
      <w:r>
        <w:t>Mun</w:t>
      </w:r>
      <w:r w:rsidR="00D26A81">
        <w:rPr>
          <w:rFonts w:cstheme="minorHAnsi"/>
        </w:rPr>
        <w:t>õ</w:t>
      </w:r>
      <w:r>
        <w:t>z</w:t>
      </w:r>
      <w:proofErr w:type="spellEnd"/>
      <w:r>
        <w:t xml:space="preserve">, Plastic waste recycling via pyrolysis: a bibliometric survey and literature review, J. Anal. Appl. </w:t>
      </w:r>
      <w:proofErr w:type="spellStart"/>
      <w:r>
        <w:t>Pyrol</w:t>
      </w:r>
      <w:proofErr w:type="spellEnd"/>
      <w:r>
        <w:t>. 158 (2021), https://doi.org/ 10.1016/j.jaap.2021.10526</w:t>
      </w:r>
      <w:r w:rsidR="00362277">
        <w:t xml:space="preserve">5. </w:t>
      </w:r>
    </w:p>
    <w:p w14:paraId="5F578E72" w14:textId="62DA674B" w:rsidR="00922CBE" w:rsidRPr="000F4F69" w:rsidRDefault="00922CBE" w:rsidP="00362277">
      <w:pPr>
        <w:jc w:val="both"/>
        <w:sectPr w:rsidR="00922CBE" w:rsidRPr="000F4F69" w:rsidSect="000504DE">
          <w:footerReference w:type="default" r:id="rId41"/>
          <w:type w:val="continuous"/>
          <w:pgSz w:w="11910" w:h="15880"/>
          <w:pgMar w:top="1418" w:right="1418" w:bottom="1418" w:left="1418" w:header="655" w:footer="544" w:gutter="0"/>
          <w:cols w:space="720"/>
        </w:sectPr>
      </w:pPr>
    </w:p>
    <w:p w14:paraId="5B85B7EF" w14:textId="77777777" w:rsidR="005A1512" w:rsidRPr="00763248" w:rsidRDefault="005A1512" w:rsidP="004F52B0">
      <w:pPr>
        <w:pStyle w:val="Corpsdetexte"/>
        <w:ind w:left="0"/>
        <w:rPr>
          <w:rFonts w:asciiTheme="minorHAnsi" w:hAnsiTheme="minorHAnsi" w:cstheme="minorHAnsi"/>
          <w:sz w:val="22"/>
          <w:szCs w:val="22"/>
        </w:rPr>
        <w:sectPr w:rsidR="005A1512" w:rsidRPr="00763248" w:rsidSect="000504DE">
          <w:pgSz w:w="11910" w:h="15880"/>
          <w:pgMar w:top="1418" w:right="1418" w:bottom="1418" w:left="1418" w:header="655" w:footer="544" w:gutter="0"/>
          <w:cols w:space="720"/>
        </w:sectPr>
      </w:pPr>
    </w:p>
    <w:p w14:paraId="55064D1E" w14:textId="5170005C" w:rsidR="00965108" w:rsidRPr="000F4F69" w:rsidRDefault="00965108" w:rsidP="000F4F69">
      <w:pPr>
        <w:tabs>
          <w:tab w:val="left" w:pos="372"/>
          <w:tab w:val="left" w:pos="374"/>
        </w:tabs>
        <w:spacing w:line="278" w:lineRule="auto"/>
        <w:ind w:right="81"/>
        <w:rPr>
          <w:rFonts w:cstheme="minorHAnsi"/>
        </w:rPr>
        <w:sectPr w:rsidR="00965108" w:rsidRPr="000F4F69" w:rsidSect="00A91B58">
          <w:pgSz w:w="11910" w:h="15880"/>
          <w:pgMar w:top="1418" w:right="1418" w:bottom="1418" w:left="1418" w:header="655" w:footer="544" w:gutter="0"/>
          <w:cols w:space="720"/>
        </w:sectPr>
      </w:pPr>
      <w:bookmarkStart w:id="25" w:name="2.2.3_Microwave-assisted_extraction"/>
      <w:bookmarkStart w:id="26" w:name="2.2.4_Solid-phase_extraction"/>
      <w:bookmarkStart w:id="27" w:name="2.3_HPLC-PDA_instrumentation_and_method"/>
      <w:bookmarkStart w:id="28" w:name="2.4_Extraction_method_validation"/>
      <w:bookmarkStart w:id="29" w:name="_bookmark6"/>
      <w:bookmarkStart w:id="30" w:name="3_Results_and_discussion"/>
      <w:bookmarkStart w:id="31" w:name="_bookmark14"/>
      <w:bookmarkEnd w:id="25"/>
      <w:bookmarkEnd w:id="26"/>
      <w:bookmarkEnd w:id="27"/>
      <w:bookmarkEnd w:id="28"/>
      <w:bookmarkEnd w:id="29"/>
      <w:bookmarkEnd w:id="30"/>
      <w:bookmarkEnd w:id="31"/>
    </w:p>
    <w:p w14:paraId="5DF0013D" w14:textId="77777777" w:rsidR="00A91B58" w:rsidRPr="00763248" w:rsidRDefault="00A91B58" w:rsidP="00F25512">
      <w:pPr>
        <w:pStyle w:val="Corpsdetexte"/>
        <w:ind w:left="0"/>
        <w:rPr>
          <w:rFonts w:asciiTheme="minorHAnsi" w:hAnsiTheme="minorHAnsi" w:cstheme="minorHAnsi"/>
          <w:sz w:val="22"/>
          <w:szCs w:val="22"/>
        </w:rPr>
        <w:sectPr w:rsidR="00A91B58" w:rsidRPr="00763248" w:rsidSect="00A91B58">
          <w:pgSz w:w="11910" w:h="15880"/>
          <w:pgMar w:top="1418" w:right="1418" w:bottom="1418" w:left="1418" w:header="655" w:footer="544" w:gutter="0"/>
          <w:cols w:space="720"/>
        </w:sectPr>
      </w:pPr>
    </w:p>
    <w:p w14:paraId="74115082" w14:textId="658737CC" w:rsidR="00A91B58" w:rsidRPr="00F97BAF" w:rsidRDefault="00A91B58" w:rsidP="00A91B58">
      <w:pPr>
        <w:pStyle w:val="Corpsdetexte"/>
        <w:spacing w:before="8" w:line="232" w:lineRule="auto"/>
        <w:ind w:left="0"/>
        <w:rPr>
          <w:rFonts w:asciiTheme="minorHAnsi" w:hAnsiTheme="minorHAnsi" w:cstheme="minorHAnsi"/>
          <w:sz w:val="22"/>
          <w:szCs w:val="22"/>
        </w:rPr>
        <w:sectPr w:rsidR="00A91B58" w:rsidRPr="00F97BAF" w:rsidSect="000504DE">
          <w:pgSz w:w="11910" w:h="15880"/>
          <w:pgMar w:top="1418" w:right="1418" w:bottom="1418" w:left="1418" w:header="655" w:footer="544" w:gutter="0"/>
          <w:cols w:space="720"/>
        </w:sectPr>
      </w:pPr>
    </w:p>
    <w:p w14:paraId="3CF93E24" w14:textId="63227A8B" w:rsidR="005A1512" w:rsidRPr="00763248" w:rsidRDefault="005A1512" w:rsidP="00EE0910">
      <w:pPr>
        <w:pStyle w:val="TableParagraph"/>
        <w:spacing w:line="240" w:lineRule="auto"/>
        <w:ind w:left="0"/>
        <w:jc w:val="both"/>
        <w:rPr>
          <w:rFonts w:asciiTheme="minorHAnsi" w:hAnsiTheme="minorHAnsi" w:cstheme="minorHAnsi"/>
        </w:rPr>
        <w:sectPr w:rsidR="005A1512" w:rsidRPr="00763248" w:rsidSect="000504DE">
          <w:pgSz w:w="11910" w:h="15880"/>
          <w:pgMar w:top="1418" w:right="1418" w:bottom="1418" w:left="1418" w:header="655" w:footer="544" w:gutter="0"/>
          <w:cols w:space="720"/>
        </w:sectPr>
      </w:pPr>
      <w:bookmarkStart w:id="32" w:name="_bookmark10"/>
      <w:bookmarkStart w:id="33" w:name="_bookmark11"/>
      <w:bookmarkEnd w:id="32"/>
      <w:bookmarkEnd w:id="33"/>
    </w:p>
    <w:p w14:paraId="1236D613" w14:textId="753379F1" w:rsidR="005A1512" w:rsidRPr="00763248" w:rsidRDefault="005A1512" w:rsidP="00A91B58">
      <w:pPr>
        <w:spacing w:before="7"/>
        <w:jc w:val="both"/>
        <w:rPr>
          <w:rFonts w:cstheme="minorHAnsi"/>
        </w:rPr>
        <w:sectPr w:rsidR="005A1512" w:rsidRPr="00763248" w:rsidSect="000504DE">
          <w:type w:val="continuous"/>
          <w:pgSz w:w="11910" w:h="15880"/>
          <w:pgMar w:top="1418" w:right="1418" w:bottom="1418" w:left="1418" w:header="655" w:footer="544" w:gutter="0"/>
          <w:cols w:space="720"/>
        </w:sectPr>
      </w:pPr>
      <w:bookmarkStart w:id="34" w:name="3.3_Quantification_of_oxygen_heterocycli"/>
      <w:bookmarkStart w:id="35" w:name="4_Conclusion"/>
      <w:bookmarkStart w:id="36" w:name="CRediT_authorship_contribution_statement"/>
      <w:bookmarkStart w:id="37" w:name="_bookmark12"/>
      <w:bookmarkEnd w:id="34"/>
      <w:bookmarkEnd w:id="35"/>
      <w:bookmarkEnd w:id="36"/>
      <w:bookmarkEnd w:id="37"/>
    </w:p>
    <w:p w14:paraId="6A38F45F" w14:textId="77777777" w:rsidR="005A1512" w:rsidRPr="00763248" w:rsidRDefault="005A1512" w:rsidP="00A91B58">
      <w:pPr>
        <w:pStyle w:val="Corpsdetexte"/>
        <w:ind w:left="0"/>
        <w:rPr>
          <w:rFonts w:asciiTheme="minorHAnsi" w:hAnsiTheme="minorHAnsi" w:cstheme="minorHAnsi"/>
          <w:sz w:val="22"/>
          <w:szCs w:val="22"/>
        </w:rPr>
        <w:sectPr w:rsidR="005A1512" w:rsidRPr="00763248" w:rsidSect="000504DE">
          <w:pgSz w:w="11910" w:h="15880"/>
          <w:pgMar w:top="1418" w:right="1418" w:bottom="1418" w:left="1418" w:header="655" w:footer="544" w:gutter="0"/>
          <w:cols w:space="720"/>
        </w:sectPr>
      </w:pPr>
      <w:bookmarkStart w:id="38" w:name="Data_availability"/>
      <w:bookmarkStart w:id="39" w:name="_bookmark13"/>
      <w:bookmarkEnd w:id="38"/>
      <w:bookmarkEnd w:id="39"/>
    </w:p>
    <w:p w14:paraId="0C6F6B79" w14:textId="299D8849" w:rsidR="005A1512" w:rsidRPr="00A91B58" w:rsidRDefault="005A1512" w:rsidP="00A91B58">
      <w:pPr>
        <w:tabs>
          <w:tab w:val="left" w:pos="372"/>
          <w:tab w:val="left" w:pos="374"/>
        </w:tabs>
        <w:spacing w:line="276" w:lineRule="auto"/>
        <w:ind w:right="81"/>
        <w:jc w:val="both"/>
        <w:rPr>
          <w:sz w:val="12"/>
        </w:rPr>
      </w:pPr>
      <w:bookmarkStart w:id="40" w:name="Declaration_of_competing_interest"/>
      <w:bookmarkEnd w:id="40"/>
    </w:p>
    <w:sectPr w:rsidR="005A1512" w:rsidRPr="00A91B58" w:rsidSect="000504DE">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07E8" w14:textId="77777777" w:rsidR="00AD62BD" w:rsidRDefault="00AD62BD">
      <w:r>
        <w:separator/>
      </w:r>
    </w:p>
  </w:endnote>
  <w:endnote w:type="continuationSeparator" w:id="0">
    <w:p w14:paraId="5B756C7C" w14:textId="77777777" w:rsidR="00AD62BD" w:rsidRDefault="00AD6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3872"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F16AF" w14:textId="77777777" w:rsidR="00AD62BD" w:rsidRDefault="00AD62BD">
      <w:r>
        <w:separator/>
      </w:r>
    </w:p>
  </w:footnote>
  <w:footnote w:type="continuationSeparator" w:id="0">
    <w:p w14:paraId="0CBB7241" w14:textId="77777777" w:rsidR="00AD62BD" w:rsidRDefault="00AD6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Ind w:w="-34" w:type="dxa"/>
      <w:tblLook w:val="04A0" w:firstRow="1" w:lastRow="0" w:firstColumn="1" w:lastColumn="0" w:noHBand="0" w:noVBand="1"/>
    </w:tblPr>
    <w:tblGrid>
      <w:gridCol w:w="6065"/>
      <w:gridCol w:w="3008"/>
    </w:tblGrid>
    <w:tr w:rsidR="00763248" w14:paraId="6AB6FB6D" w14:textId="67EF6068" w:rsidTr="00763248">
      <w:trPr>
        <w:trHeight w:val="1135"/>
      </w:trPr>
      <w:tc>
        <w:tcPr>
          <w:tcW w:w="6065" w:type="dxa"/>
        </w:tcPr>
        <w:p w14:paraId="22BA13DB" w14:textId="333C834D" w:rsidR="00763248" w:rsidRDefault="00763248" w:rsidP="00BF3FAC">
          <w:pPr>
            <w:pStyle w:val="En-tte"/>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proofErr w:type="spellStart"/>
          <w:r w:rsidR="00FD2A37" w:rsidRPr="00FD2A37">
            <w:rPr>
              <w:i/>
              <w:sz w:val="18"/>
              <w:szCs w:val="18"/>
            </w:rPr>
            <w:t>Talanta</w:t>
          </w:r>
          <w:proofErr w:type="spellEnd"/>
          <w:r w:rsidR="00FD2A37" w:rsidRPr="00FD2A37">
            <w:rPr>
              <w:i/>
              <w:sz w:val="18"/>
              <w:szCs w:val="18"/>
            </w:rPr>
            <w:t xml:space="preserve"> 252 (2023) 123799</w:t>
          </w:r>
        </w:p>
        <w:p w14:paraId="57988DE7" w14:textId="6F6AB2FA" w:rsidR="00763248" w:rsidRPr="00A44770" w:rsidRDefault="00763248" w:rsidP="00BF3FAC">
          <w:pPr>
            <w:pStyle w:val="En-tte"/>
            <w:rPr>
              <w:i/>
              <w:sz w:val="18"/>
              <w:szCs w:val="18"/>
            </w:rPr>
          </w:pPr>
          <w:proofErr w:type="gramStart"/>
          <w:r w:rsidRPr="00A44770">
            <w:rPr>
              <w:i/>
              <w:sz w:val="18"/>
              <w:szCs w:val="18"/>
            </w:rPr>
            <w:t>DO</w:t>
          </w:r>
          <w:r>
            <w:rPr>
              <w:i/>
              <w:sz w:val="18"/>
              <w:szCs w:val="18"/>
            </w:rPr>
            <w:t xml:space="preserve">I </w:t>
          </w:r>
          <w:r w:rsidRPr="00A44770">
            <w:rPr>
              <w:i/>
              <w:sz w:val="18"/>
              <w:szCs w:val="18"/>
            </w:rPr>
            <w:t>:</w:t>
          </w:r>
          <w:proofErr w:type="gramEnd"/>
          <w:r w:rsidRPr="00737CFB">
            <w:rPr>
              <w:i/>
              <w:sz w:val="18"/>
              <w:szCs w:val="18"/>
            </w:rPr>
            <w:t xml:space="preserve"> </w:t>
          </w:r>
          <w:r w:rsidR="00FD2A37" w:rsidRPr="00FD2A37">
            <w:rPr>
              <w:i/>
              <w:sz w:val="18"/>
              <w:szCs w:val="18"/>
            </w:rPr>
            <w:t>10.1016/j.talanta.2022.123799</w:t>
          </w:r>
        </w:p>
        <w:p w14:paraId="1288AC7D" w14:textId="785114F6" w:rsidR="00763248" w:rsidRPr="00A44770" w:rsidRDefault="00763248" w:rsidP="00BF3FAC">
          <w:pPr>
            <w:pStyle w:val="En-tte"/>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w:t>
          </w:r>
        </w:p>
      </w:tc>
      <w:tc>
        <w:tcPr>
          <w:tcW w:w="3008" w:type="dxa"/>
        </w:tcPr>
        <w:p w14:paraId="204DFB86" w14:textId="427DBF91" w:rsidR="00763248" w:rsidRDefault="00763248" w:rsidP="00BF3FAC">
          <w:pPr>
            <w:pStyle w:val="En-tte"/>
            <w:jc w:val="right"/>
          </w:pPr>
          <w:r>
            <w:t xml:space="preserve">        </w:t>
          </w:r>
        </w:p>
      </w:tc>
    </w:tr>
  </w:tbl>
  <w:p w14:paraId="28A25B06" w14:textId="6D2B01B4" w:rsidR="00BF3FAC" w:rsidRPr="00BF3FAC" w:rsidRDefault="00763248">
    <w:pPr>
      <w:pStyle w:val="En-tte"/>
      <w:rPr>
        <w:lang w:val="fr-BE"/>
      </w:rPr>
    </w:pPr>
    <w:r>
      <w:rPr>
        <w:noProof/>
      </w:rPr>
      <w:drawing>
        <wp:anchor distT="0" distB="0" distL="114300" distR="114300" simplePos="0" relativeHeight="251651584" behindDoc="1" locked="0" layoutInCell="1" allowOverlap="1" wp14:anchorId="6CC075B1" wp14:editId="39B30E38">
          <wp:simplePos x="0" y="0"/>
          <wp:positionH relativeFrom="column">
            <wp:posOffset>4490085</wp:posOffset>
          </wp:positionH>
          <wp:positionV relativeFrom="paragraph">
            <wp:posOffset>-733425</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234162638" name="Image 1234162638"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2753" name="Image 995692753"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1"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2" w15:restartNumberingAfterBreak="0">
    <w:nsid w:val="52233FF1"/>
    <w:multiLevelType w:val="hybridMultilevel"/>
    <w:tmpl w:val="A5AC1F58"/>
    <w:lvl w:ilvl="0" w:tplc="B6160630">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D3841AF4">
      <w:numFmt w:val="bullet"/>
      <w:lvlText w:val="•"/>
      <w:lvlJc w:val="left"/>
      <w:pPr>
        <w:ind w:left="848" w:hanging="260"/>
      </w:pPr>
      <w:rPr>
        <w:rFonts w:hint="default"/>
        <w:lang w:val="en-US" w:eastAsia="en-US" w:bidi="ar-SA"/>
      </w:rPr>
    </w:lvl>
    <w:lvl w:ilvl="2" w:tplc="56A673D4">
      <w:numFmt w:val="bullet"/>
      <w:lvlText w:val="•"/>
      <w:lvlJc w:val="left"/>
      <w:pPr>
        <w:ind w:left="1317" w:hanging="260"/>
      </w:pPr>
      <w:rPr>
        <w:rFonts w:hint="default"/>
        <w:lang w:val="en-US" w:eastAsia="en-US" w:bidi="ar-SA"/>
      </w:rPr>
    </w:lvl>
    <w:lvl w:ilvl="3" w:tplc="08C495E2">
      <w:numFmt w:val="bullet"/>
      <w:lvlText w:val="•"/>
      <w:lvlJc w:val="left"/>
      <w:pPr>
        <w:ind w:left="1785" w:hanging="260"/>
      </w:pPr>
      <w:rPr>
        <w:rFonts w:hint="default"/>
        <w:lang w:val="en-US" w:eastAsia="en-US" w:bidi="ar-SA"/>
      </w:rPr>
    </w:lvl>
    <w:lvl w:ilvl="4" w:tplc="6F7203E2">
      <w:numFmt w:val="bullet"/>
      <w:lvlText w:val="•"/>
      <w:lvlJc w:val="left"/>
      <w:pPr>
        <w:ind w:left="2254" w:hanging="260"/>
      </w:pPr>
      <w:rPr>
        <w:rFonts w:hint="default"/>
        <w:lang w:val="en-US" w:eastAsia="en-US" w:bidi="ar-SA"/>
      </w:rPr>
    </w:lvl>
    <w:lvl w:ilvl="5" w:tplc="5E06634C">
      <w:numFmt w:val="bullet"/>
      <w:lvlText w:val="•"/>
      <w:lvlJc w:val="left"/>
      <w:pPr>
        <w:ind w:left="2723" w:hanging="260"/>
      </w:pPr>
      <w:rPr>
        <w:rFonts w:hint="default"/>
        <w:lang w:val="en-US" w:eastAsia="en-US" w:bidi="ar-SA"/>
      </w:rPr>
    </w:lvl>
    <w:lvl w:ilvl="6" w:tplc="C23CFD18">
      <w:numFmt w:val="bullet"/>
      <w:lvlText w:val="•"/>
      <w:lvlJc w:val="left"/>
      <w:pPr>
        <w:ind w:left="3191" w:hanging="260"/>
      </w:pPr>
      <w:rPr>
        <w:rFonts w:hint="default"/>
        <w:lang w:val="en-US" w:eastAsia="en-US" w:bidi="ar-SA"/>
      </w:rPr>
    </w:lvl>
    <w:lvl w:ilvl="7" w:tplc="2AA8F114">
      <w:numFmt w:val="bullet"/>
      <w:lvlText w:val="•"/>
      <w:lvlJc w:val="left"/>
      <w:pPr>
        <w:ind w:left="3660" w:hanging="260"/>
      </w:pPr>
      <w:rPr>
        <w:rFonts w:hint="default"/>
        <w:lang w:val="en-US" w:eastAsia="en-US" w:bidi="ar-SA"/>
      </w:rPr>
    </w:lvl>
    <w:lvl w:ilvl="8" w:tplc="0F0C9ADA">
      <w:numFmt w:val="bullet"/>
      <w:lvlText w:val="•"/>
      <w:lvlJc w:val="left"/>
      <w:pPr>
        <w:ind w:left="4128" w:hanging="260"/>
      </w:pPr>
      <w:rPr>
        <w:rFonts w:hint="default"/>
        <w:lang w:val="en-US" w:eastAsia="en-US" w:bidi="ar-SA"/>
      </w:rPr>
    </w:lvl>
  </w:abstractNum>
  <w:abstractNum w:abstractNumId="3"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abstractNum w:abstractNumId="5" w15:restartNumberingAfterBreak="0">
    <w:nsid w:val="7A932013"/>
    <w:multiLevelType w:val="hybridMultilevel"/>
    <w:tmpl w:val="F022C89E"/>
    <w:lvl w:ilvl="0" w:tplc="F8187256">
      <w:start w:val="1"/>
      <w:numFmt w:val="lowerRoman"/>
      <w:lvlText w:val="(%1)"/>
      <w:lvlJc w:val="left"/>
      <w:pPr>
        <w:ind w:left="1440" w:hanging="72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16cid:durableId="1179462401">
    <w:abstractNumId w:val="1"/>
  </w:num>
  <w:num w:numId="2" w16cid:durableId="710307178">
    <w:abstractNumId w:val="4"/>
  </w:num>
  <w:num w:numId="3" w16cid:durableId="1140539169">
    <w:abstractNumId w:val="3"/>
  </w:num>
  <w:num w:numId="4" w16cid:durableId="235752367">
    <w:abstractNumId w:val="0"/>
  </w:num>
  <w:num w:numId="5" w16cid:durableId="338697510">
    <w:abstractNumId w:val="5"/>
  </w:num>
  <w:num w:numId="6" w16cid:durableId="7774082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26A38"/>
    <w:rsid w:val="00036B2F"/>
    <w:rsid w:val="000504DE"/>
    <w:rsid w:val="00055ECB"/>
    <w:rsid w:val="00057886"/>
    <w:rsid w:val="00061920"/>
    <w:rsid w:val="00080448"/>
    <w:rsid w:val="000E0DAA"/>
    <w:rsid w:val="000F4F69"/>
    <w:rsid w:val="00124D56"/>
    <w:rsid w:val="00132E31"/>
    <w:rsid w:val="00160DB4"/>
    <w:rsid w:val="001817ED"/>
    <w:rsid w:val="001866A2"/>
    <w:rsid w:val="001E34F2"/>
    <w:rsid w:val="00205E1A"/>
    <w:rsid w:val="0025522B"/>
    <w:rsid w:val="00255413"/>
    <w:rsid w:val="002634B1"/>
    <w:rsid w:val="002B285B"/>
    <w:rsid w:val="002C09BC"/>
    <w:rsid w:val="002F15E4"/>
    <w:rsid w:val="002F3C05"/>
    <w:rsid w:val="00302444"/>
    <w:rsid w:val="00320786"/>
    <w:rsid w:val="0032341C"/>
    <w:rsid w:val="00334AE4"/>
    <w:rsid w:val="00335744"/>
    <w:rsid w:val="00353ACE"/>
    <w:rsid w:val="00360A24"/>
    <w:rsid w:val="00362277"/>
    <w:rsid w:val="00371939"/>
    <w:rsid w:val="00381B72"/>
    <w:rsid w:val="003D72C8"/>
    <w:rsid w:val="003E78F0"/>
    <w:rsid w:val="00402D7F"/>
    <w:rsid w:val="004057B4"/>
    <w:rsid w:val="00406476"/>
    <w:rsid w:val="00432C08"/>
    <w:rsid w:val="00451073"/>
    <w:rsid w:val="004B561E"/>
    <w:rsid w:val="004C2B62"/>
    <w:rsid w:val="004D08D6"/>
    <w:rsid w:val="004D3CF6"/>
    <w:rsid w:val="004F52B0"/>
    <w:rsid w:val="00511E0A"/>
    <w:rsid w:val="00513669"/>
    <w:rsid w:val="00536BB9"/>
    <w:rsid w:val="00546FCC"/>
    <w:rsid w:val="00552603"/>
    <w:rsid w:val="0059006E"/>
    <w:rsid w:val="00591551"/>
    <w:rsid w:val="005A1512"/>
    <w:rsid w:val="005A517B"/>
    <w:rsid w:val="005C5755"/>
    <w:rsid w:val="005C6046"/>
    <w:rsid w:val="00603E91"/>
    <w:rsid w:val="00666349"/>
    <w:rsid w:val="0069257C"/>
    <w:rsid w:val="007131A7"/>
    <w:rsid w:val="007159A8"/>
    <w:rsid w:val="00763248"/>
    <w:rsid w:val="0077443D"/>
    <w:rsid w:val="007971D0"/>
    <w:rsid w:val="007A440C"/>
    <w:rsid w:val="00822E45"/>
    <w:rsid w:val="00831509"/>
    <w:rsid w:val="00831C73"/>
    <w:rsid w:val="008503D5"/>
    <w:rsid w:val="00873D39"/>
    <w:rsid w:val="00884BC2"/>
    <w:rsid w:val="00894BC5"/>
    <w:rsid w:val="008A20A3"/>
    <w:rsid w:val="008B5995"/>
    <w:rsid w:val="008C22C9"/>
    <w:rsid w:val="008C6F7C"/>
    <w:rsid w:val="008E340C"/>
    <w:rsid w:val="00906DF6"/>
    <w:rsid w:val="00922CBE"/>
    <w:rsid w:val="00965108"/>
    <w:rsid w:val="009B2D8B"/>
    <w:rsid w:val="009C1BCA"/>
    <w:rsid w:val="00A256EA"/>
    <w:rsid w:val="00A35580"/>
    <w:rsid w:val="00A5150C"/>
    <w:rsid w:val="00A51D3D"/>
    <w:rsid w:val="00A63C86"/>
    <w:rsid w:val="00A76B5D"/>
    <w:rsid w:val="00A91B58"/>
    <w:rsid w:val="00AD62BD"/>
    <w:rsid w:val="00AE4947"/>
    <w:rsid w:val="00B06307"/>
    <w:rsid w:val="00B16A5F"/>
    <w:rsid w:val="00B23F31"/>
    <w:rsid w:val="00B30D67"/>
    <w:rsid w:val="00B3411E"/>
    <w:rsid w:val="00B5559D"/>
    <w:rsid w:val="00B74C72"/>
    <w:rsid w:val="00BA293B"/>
    <w:rsid w:val="00BA42A1"/>
    <w:rsid w:val="00BF3FAC"/>
    <w:rsid w:val="00BF5588"/>
    <w:rsid w:val="00C01B13"/>
    <w:rsid w:val="00C3361E"/>
    <w:rsid w:val="00C81D4D"/>
    <w:rsid w:val="00C873B2"/>
    <w:rsid w:val="00CB5884"/>
    <w:rsid w:val="00CF3BD6"/>
    <w:rsid w:val="00D03755"/>
    <w:rsid w:val="00D04D71"/>
    <w:rsid w:val="00D26A81"/>
    <w:rsid w:val="00D5064B"/>
    <w:rsid w:val="00DF4871"/>
    <w:rsid w:val="00E03882"/>
    <w:rsid w:val="00E076BF"/>
    <w:rsid w:val="00E14B3D"/>
    <w:rsid w:val="00E16F8D"/>
    <w:rsid w:val="00E424F3"/>
    <w:rsid w:val="00E57F18"/>
    <w:rsid w:val="00E818BB"/>
    <w:rsid w:val="00E83BDE"/>
    <w:rsid w:val="00EA3759"/>
    <w:rsid w:val="00EA37D4"/>
    <w:rsid w:val="00EA3CBA"/>
    <w:rsid w:val="00EB649A"/>
    <w:rsid w:val="00EC0467"/>
    <w:rsid w:val="00EC1E17"/>
    <w:rsid w:val="00EE0910"/>
    <w:rsid w:val="00EF269E"/>
    <w:rsid w:val="00F073D4"/>
    <w:rsid w:val="00F1349A"/>
    <w:rsid w:val="00F15996"/>
    <w:rsid w:val="00F25512"/>
    <w:rsid w:val="00F27067"/>
    <w:rsid w:val="00F37946"/>
    <w:rsid w:val="00F440B0"/>
    <w:rsid w:val="00F447B3"/>
    <w:rsid w:val="00F632B8"/>
    <w:rsid w:val="00F74DD5"/>
    <w:rsid w:val="00F8268B"/>
    <w:rsid w:val="00F97BAF"/>
    <w:rsid w:val="00FA32E5"/>
    <w:rsid w:val="00FD2A37"/>
    <w:rsid w:val="00FD7E8D"/>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21/acs.energyfuels.0c03918" TargetMode="External"/><Relationship Id="rId18" Type="http://schemas.openxmlformats.org/officeDocument/2006/relationships/hyperlink" Target="https://doi.org/10.1016/j.wasman.2020.01.038" TargetMode="External"/><Relationship Id="rId26" Type="http://schemas.openxmlformats.org/officeDocument/2006/relationships/hyperlink" Target="https://doi.org/10.1002/jssc.202000907" TargetMode="External"/><Relationship Id="rId39" Type="http://schemas.openxmlformats.org/officeDocument/2006/relationships/hyperlink" Target="https://doi.org/10.1080/19440049.2011.641164" TargetMode="External"/><Relationship Id="rId3" Type="http://schemas.openxmlformats.org/officeDocument/2006/relationships/styles" Target="styles.xml"/><Relationship Id="rId21" Type="http://schemas.openxmlformats.org/officeDocument/2006/relationships/hyperlink" Target="https://doi.org/10.1016/j.chroma.2014.07.017" TargetMode="External"/><Relationship Id="rId34" Type="http://schemas.openxmlformats.org/officeDocument/2006/relationships/hyperlink" Target="https://doi.org/10.1007/s00216-014-8140-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compositesb.2016.09.013" TargetMode="External"/><Relationship Id="rId25" Type="http://schemas.openxmlformats.org/officeDocument/2006/relationships/hyperlink" Target="https://doi.org/10.1016/S0165-2370(99)00012-1" TargetMode="External"/><Relationship Id="rId33" Type="http://schemas.openxmlformats.org/officeDocument/2006/relationships/hyperlink" Target="https://doi.org/10.1007/s00216-014-8140-x" TargetMode="External"/><Relationship Id="rId38" Type="http://schemas.openxmlformats.org/officeDocument/2006/relationships/hyperlink" Target="https://doi.org/10.1021/acs.energyfuels.1c00553" TargetMode="External"/><Relationship Id="rId2" Type="http://schemas.openxmlformats.org/officeDocument/2006/relationships/numbering" Target="numbering.xml"/><Relationship Id="rId16" Type="http://schemas.openxmlformats.org/officeDocument/2006/relationships/hyperlink" Target="https://doi.org/10.1016/j.scitotenv.2020.142732" TargetMode="External"/><Relationship Id="rId20" Type="http://schemas.openxmlformats.org/officeDocument/2006/relationships/hyperlink" Target="http://refhub.elsevier.com/S0039-9140(22)00595-1/sref6" TargetMode="External"/><Relationship Id="rId29" Type="http://schemas.openxmlformats.org/officeDocument/2006/relationships/hyperlink" Target="https://doi.org/10.1021/acs.analchem.7b0012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energy.2019.115874" TargetMode="External"/><Relationship Id="rId32" Type="http://schemas.openxmlformats.org/officeDocument/2006/relationships/hyperlink" Target="https://doi.org/10.1016/j.chroma.2021.462103" TargetMode="External"/><Relationship Id="rId37" Type="http://schemas.openxmlformats.org/officeDocument/2006/relationships/hyperlink" Target="https://doi.org/10.1016/j.microc.2019.104514" TargetMode="External"/><Relationship Id="rId40" Type="http://schemas.openxmlformats.org/officeDocument/2006/relationships/hyperlink" Target="https://doi.org/10.1016/j.aca.2018.03.037" TargetMode="External"/><Relationship Id="rId5" Type="http://schemas.openxmlformats.org/officeDocument/2006/relationships/webSettings" Target="webSettings.xml"/><Relationship Id="rId15" Type="http://schemas.openxmlformats.org/officeDocument/2006/relationships/hyperlink" Target="https://doi.org/10.1016/j.scitotenv.2020.142732" TargetMode="External"/><Relationship Id="rId23" Type="http://schemas.openxmlformats.org/officeDocument/2006/relationships/hyperlink" Target="https://doi.org/10.3390/separations8070103" TargetMode="External"/><Relationship Id="rId28" Type="http://schemas.openxmlformats.org/officeDocument/2006/relationships/hyperlink" Target="https://doi.org/10.1021/acs.analchem.7b00124" TargetMode="External"/><Relationship Id="rId36" Type="http://schemas.openxmlformats.org/officeDocument/2006/relationships/hyperlink" Target="https://doi.org/10.1016/j.talanta.2021.123019" TargetMode="External"/><Relationship Id="rId10" Type="http://schemas.openxmlformats.org/officeDocument/2006/relationships/image" Target="media/image3.jpeg"/><Relationship Id="rId19" Type="http://schemas.openxmlformats.org/officeDocument/2006/relationships/hyperlink" Target="https://doi.org/10.1016/j.wasman.2020.01.038" TargetMode="External"/><Relationship Id="rId31" Type="http://schemas.openxmlformats.org/officeDocument/2006/relationships/hyperlink" Target="https://doi.org/10.1002/jms.43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21/acs.energyfuels.0c03918" TargetMode="External"/><Relationship Id="rId22" Type="http://schemas.openxmlformats.org/officeDocument/2006/relationships/hyperlink" Target="https://doi.org/10.1016/j.chroma.2014.07.017" TargetMode="External"/><Relationship Id="rId27" Type="http://schemas.openxmlformats.org/officeDocument/2006/relationships/hyperlink" Target="https://doi.org/10.1002/jssc.202000907" TargetMode="External"/><Relationship Id="rId30" Type="http://schemas.openxmlformats.org/officeDocument/2006/relationships/hyperlink" Target="https://doi.org/10.1002/jms.4319" TargetMode="External"/><Relationship Id="rId35" Type="http://schemas.openxmlformats.org/officeDocument/2006/relationships/hyperlink" Target="https://doi.org/10.1002/jssc.201400844"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22</Pages>
  <Words>7199</Words>
  <Characters>39598</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46704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129</cp:revision>
  <cp:lastPrinted>2025-07-29T11:01:00Z</cp:lastPrinted>
  <dcterms:created xsi:type="dcterms:W3CDTF">2025-07-29T08:19:00Z</dcterms:created>
  <dcterms:modified xsi:type="dcterms:W3CDTF">2025-08-12T12:56:00Z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