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94FF" w14:textId="1440904D" w:rsidR="00A23054" w:rsidRPr="00156E20" w:rsidRDefault="00624D01" w:rsidP="00156E20">
      <w:pPr>
        <w:spacing w:after="0" w:line="360" w:lineRule="auto"/>
        <w:jc w:val="center"/>
        <w:rPr>
          <w:b/>
          <w:bCs/>
          <w:sz w:val="24"/>
          <w:szCs w:val="24"/>
          <w:lang w:val="fr-BE"/>
        </w:rPr>
      </w:pPr>
      <w:r w:rsidRPr="00156E20">
        <w:rPr>
          <w:b/>
          <w:bCs/>
          <w:sz w:val="24"/>
          <w:szCs w:val="24"/>
          <w:lang w:val="fr-BE"/>
        </w:rPr>
        <w:t>Du sous-développement urbain à la durabilité rurale</w:t>
      </w:r>
      <w:r w:rsidR="00233F94" w:rsidRPr="00156E20">
        <w:rPr>
          <w:b/>
          <w:bCs/>
          <w:sz w:val="24"/>
          <w:szCs w:val="24"/>
          <w:lang w:val="fr-BE"/>
        </w:rPr>
        <w:t> :</w:t>
      </w:r>
      <w:r w:rsidR="00B93B12" w:rsidRPr="00156E20">
        <w:rPr>
          <w:b/>
          <w:bCs/>
          <w:sz w:val="24"/>
          <w:szCs w:val="24"/>
          <w:lang w:val="fr-BE"/>
        </w:rPr>
        <w:t xml:space="preserve"> </w:t>
      </w:r>
    </w:p>
    <w:p w14:paraId="0C849799" w14:textId="075F5E10" w:rsidR="00011937" w:rsidRPr="00156E20" w:rsidRDefault="00B030D0" w:rsidP="00156E20">
      <w:pPr>
        <w:spacing w:after="0" w:line="360" w:lineRule="auto"/>
        <w:jc w:val="center"/>
        <w:rPr>
          <w:b/>
          <w:bCs/>
          <w:sz w:val="24"/>
          <w:szCs w:val="24"/>
          <w:lang w:val="fr-BE"/>
        </w:rPr>
      </w:pPr>
      <w:r w:rsidRPr="00156E20">
        <w:rPr>
          <w:b/>
          <w:bCs/>
          <w:sz w:val="24"/>
          <w:szCs w:val="24"/>
          <w:lang w:val="fr-BE"/>
        </w:rPr>
        <w:t>Une</w:t>
      </w:r>
      <w:r w:rsidR="00233F94" w:rsidRPr="00156E20">
        <w:rPr>
          <w:b/>
          <w:bCs/>
          <w:sz w:val="24"/>
          <w:szCs w:val="24"/>
          <w:lang w:val="fr-BE"/>
        </w:rPr>
        <w:t xml:space="preserve"> piste </w:t>
      </w:r>
      <w:r w:rsidR="00EA55BB" w:rsidRPr="00156E20">
        <w:rPr>
          <w:b/>
          <w:bCs/>
          <w:sz w:val="24"/>
          <w:szCs w:val="24"/>
          <w:lang w:val="fr-BE"/>
        </w:rPr>
        <w:t>pour</w:t>
      </w:r>
      <w:r w:rsidR="00B50C3B" w:rsidRPr="00156E20">
        <w:rPr>
          <w:b/>
          <w:bCs/>
          <w:sz w:val="24"/>
          <w:szCs w:val="24"/>
          <w:lang w:val="fr-BE"/>
        </w:rPr>
        <w:t xml:space="preserve"> des</w:t>
      </w:r>
      <w:r w:rsidR="00B93B12" w:rsidRPr="00156E20">
        <w:rPr>
          <w:b/>
          <w:bCs/>
          <w:sz w:val="24"/>
          <w:szCs w:val="24"/>
          <w:lang w:val="fr-BE"/>
        </w:rPr>
        <w:t xml:space="preserve"> anciens</w:t>
      </w:r>
      <w:r w:rsidR="00A23054" w:rsidRPr="00156E20">
        <w:rPr>
          <w:b/>
          <w:bCs/>
          <w:sz w:val="24"/>
          <w:szCs w:val="24"/>
          <w:lang w:val="fr-BE"/>
        </w:rPr>
        <w:t xml:space="preserve"> bassins miniers européens</w:t>
      </w:r>
      <w:r w:rsidR="00EA55BB" w:rsidRPr="00156E20">
        <w:rPr>
          <w:b/>
          <w:bCs/>
          <w:sz w:val="24"/>
          <w:szCs w:val="24"/>
          <w:lang w:val="fr-BE"/>
        </w:rPr>
        <w:t> ?</w:t>
      </w:r>
    </w:p>
    <w:p w14:paraId="1DF338EC" w14:textId="77777777" w:rsidR="000E5C9A" w:rsidRPr="00156E20" w:rsidRDefault="000E5C9A" w:rsidP="00156E20">
      <w:pPr>
        <w:spacing w:after="0" w:line="360" w:lineRule="auto"/>
        <w:jc w:val="center"/>
        <w:rPr>
          <w:b/>
          <w:bCs/>
          <w:sz w:val="24"/>
          <w:szCs w:val="24"/>
          <w:lang w:val="fr-BE"/>
        </w:rPr>
      </w:pPr>
    </w:p>
    <w:p w14:paraId="2744F735" w14:textId="7C4E4B07" w:rsidR="00B506AD" w:rsidRPr="00156E20" w:rsidRDefault="000E5C9A" w:rsidP="00156E20">
      <w:pPr>
        <w:spacing w:line="360" w:lineRule="auto"/>
        <w:jc w:val="center"/>
        <w:rPr>
          <w:b/>
          <w:sz w:val="24"/>
          <w:szCs w:val="24"/>
          <w:lang w:val="fr-FR"/>
        </w:rPr>
      </w:pPr>
      <w:r w:rsidRPr="00156E20">
        <w:rPr>
          <w:b/>
          <w:sz w:val="24"/>
          <w:szCs w:val="24"/>
          <w:lang w:val="fr-FR"/>
        </w:rPr>
        <w:t>Sanda Nicola</w:t>
      </w:r>
      <w:r w:rsidR="00B506AD" w:rsidRPr="00156E20">
        <w:rPr>
          <w:b/>
          <w:sz w:val="24"/>
          <w:szCs w:val="24"/>
          <w:lang w:val="fr-FR"/>
        </w:rPr>
        <w:t>* et Serge SCHMITZ**</w:t>
      </w:r>
    </w:p>
    <w:p w14:paraId="62A15170" w14:textId="77777777" w:rsidR="009F2BA8" w:rsidRPr="00156E20" w:rsidRDefault="009F2BA8" w:rsidP="00156E20">
      <w:pPr>
        <w:spacing w:line="360" w:lineRule="auto"/>
        <w:jc w:val="center"/>
        <w:rPr>
          <w:b/>
          <w:sz w:val="24"/>
          <w:szCs w:val="24"/>
          <w:lang w:val="fr-FR"/>
        </w:rPr>
      </w:pPr>
    </w:p>
    <w:p w14:paraId="3F6803B3" w14:textId="2B04BA34" w:rsidR="00B506AD" w:rsidRPr="00156E20" w:rsidRDefault="000E5C9A" w:rsidP="00156E20">
      <w:pPr>
        <w:spacing w:line="360" w:lineRule="auto"/>
        <w:jc w:val="both"/>
        <w:rPr>
          <w:color w:val="595959" w:themeColor="text1" w:themeTint="A6"/>
          <w:sz w:val="24"/>
          <w:szCs w:val="24"/>
          <w:lang w:val="fr-BE"/>
        </w:rPr>
      </w:pPr>
      <w:r w:rsidRPr="00156E20">
        <w:rPr>
          <w:color w:val="595959" w:themeColor="text1" w:themeTint="A6"/>
          <w:sz w:val="24"/>
          <w:szCs w:val="24"/>
          <w:lang w:val="fr-BE"/>
        </w:rPr>
        <w:t>*</w:t>
      </w:r>
      <w:r w:rsidR="00B506AD" w:rsidRPr="00156E20">
        <w:rPr>
          <w:color w:val="595959" w:themeColor="text1" w:themeTint="A6"/>
          <w:sz w:val="24"/>
          <w:szCs w:val="24"/>
          <w:lang w:val="fr-FR"/>
        </w:rPr>
        <w:t>D</w:t>
      </w:r>
      <w:r w:rsidR="00B506AD" w:rsidRPr="00156E20">
        <w:rPr>
          <w:color w:val="595959" w:themeColor="text1" w:themeTint="A6"/>
          <w:sz w:val="24"/>
          <w:szCs w:val="24"/>
          <w:lang w:val="fr-BE"/>
        </w:rPr>
        <w:t>octorante en Sciences – Département de Géographie de l'Université de Liège, Laboratoire pour l'analyse des lieux, paysages et campagnes européens (Laplec, UR Sphères), senicola@uliege.be</w:t>
      </w:r>
    </w:p>
    <w:p w14:paraId="2BBD6CD1" w14:textId="56285393" w:rsidR="00624D01" w:rsidRPr="00156E20" w:rsidRDefault="00B506AD" w:rsidP="00156E20">
      <w:pPr>
        <w:spacing w:line="360" w:lineRule="auto"/>
        <w:rPr>
          <w:color w:val="595959" w:themeColor="text1" w:themeTint="A6"/>
          <w:sz w:val="24"/>
          <w:szCs w:val="24"/>
          <w:lang w:val="fr-BE"/>
        </w:rPr>
      </w:pPr>
      <w:r w:rsidRPr="00156E20">
        <w:rPr>
          <w:color w:val="595959" w:themeColor="text1" w:themeTint="A6"/>
          <w:sz w:val="24"/>
          <w:szCs w:val="24"/>
          <w:lang w:val="fr-BE"/>
        </w:rPr>
        <w:t>**Professeur, docteur en Sciences (1999) – Département de Géographie de l'Un</w:t>
      </w:r>
      <w:r w:rsidR="000E5C9A" w:rsidRPr="00156E20">
        <w:rPr>
          <w:color w:val="595959" w:themeColor="text1" w:themeTint="A6"/>
          <w:sz w:val="24"/>
          <w:szCs w:val="24"/>
          <w:lang w:val="fr-BE"/>
        </w:rPr>
        <w:t xml:space="preserve">iversité de Liège, </w:t>
      </w:r>
      <w:r w:rsidRPr="00156E20">
        <w:rPr>
          <w:color w:val="595959" w:themeColor="text1" w:themeTint="A6"/>
          <w:sz w:val="24"/>
          <w:szCs w:val="24"/>
          <w:lang w:val="fr-BE"/>
        </w:rPr>
        <w:t>Laboratoire pour l'analyse des lieux, paysages et campagnes européens (Laplec, UR Sphères)</w:t>
      </w:r>
      <w:r w:rsidR="000E5C9A" w:rsidRPr="00156E20">
        <w:rPr>
          <w:color w:val="595959" w:themeColor="text1" w:themeTint="A6"/>
          <w:sz w:val="24"/>
          <w:szCs w:val="24"/>
          <w:lang w:val="fr-BE"/>
        </w:rPr>
        <w:t>,</w:t>
      </w:r>
      <w:r w:rsidRPr="00156E20">
        <w:rPr>
          <w:color w:val="595959" w:themeColor="text1" w:themeTint="A6"/>
          <w:sz w:val="24"/>
          <w:szCs w:val="24"/>
          <w:lang w:val="fr-BE"/>
        </w:rPr>
        <w:t xml:space="preserve"> </w:t>
      </w:r>
      <w:hyperlink r:id="rId7" w:history="1">
        <w:r w:rsidRPr="00156E20">
          <w:rPr>
            <w:color w:val="595959" w:themeColor="text1" w:themeTint="A6"/>
            <w:sz w:val="24"/>
            <w:szCs w:val="24"/>
            <w:lang w:val="fr-BE"/>
          </w:rPr>
          <w:t>s.schmitz@uliege.be</w:t>
        </w:r>
      </w:hyperlink>
      <w:r w:rsidRPr="00156E20">
        <w:rPr>
          <w:color w:val="595959" w:themeColor="text1" w:themeTint="A6"/>
          <w:sz w:val="24"/>
          <w:szCs w:val="24"/>
          <w:lang w:val="fr-BE"/>
        </w:rPr>
        <w:t xml:space="preserve"> </w:t>
      </w:r>
    </w:p>
    <w:p w14:paraId="641B1102" w14:textId="77777777" w:rsidR="009F2BA8" w:rsidRPr="00156E20" w:rsidRDefault="009F2BA8" w:rsidP="00156E20">
      <w:pPr>
        <w:spacing w:line="360" w:lineRule="auto"/>
        <w:rPr>
          <w:sz w:val="24"/>
          <w:szCs w:val="24"/>
          <w:lang w:val="fr-BE"/>
        </w:rPr>
      </w:pPr>
    </w:p>
    <w:p w14:paraId="475638BF" w14:textId="08B3813C" w:rsidR="005A55A4" w:rsidRPr="00156E20" w:rsidRDefault="005A55A4" w:rsidP="00156E20">
      <w:pPr>
        <w:spacing w:line="360" w:lineRule="auto"/>
        <w:jc w:val="center"/>
        <w:rPr>
          <w:b/>
          <w:bCs/>
          <w:sz w:val="24"/>
          <w:szCs w:val="24"/>
          <w:lang w:val="fr-FR"/>
        </w:rPr>
      </w:pPr>
      <w:r w:rsidRPr="00156E20">
        <w:rPr>
          <w:b/>
          <w:bCs/>
          <w:sz w:val="24"/>
          <w:szCs w:val="24"/>
          <w:lang w:val="fr-BE"/>
        </w:rPr>
        <w:t>Abstract</w:t>
      </w:r>
    </w:p>
    <w:p w14:paraId="4119177F" w14:textId="2421766F" w:rsidR="00625546" w:rsidRPr="00156E20" w:rsidRDefault="007108A7" w:rsidP="00156E20">
      <w:pPr>
        <w:spacing w:line="360" w:lineRule="auto"/>
        <w:jc w:val="both"/>
        <w:rPr>
          <w:sz w:val="24"/>
          <w:szCs w:val="24"/>
          <w:lang w:val="fr-BE"/>
        </w:rPr>
      </w:pPr>
      <w:r w:rsidRPr="00156E20">
        <w:rPr>
          <w:sz w:val="24"/>
          <w:szCs w:val="24"/>
          <w:lang w:val="fr-BE"/>
        </w:rPr>
        <w:t>De nombreux espaces ruraux à travers l’Europe ont connu un bouleversement suite au développement d’une activité minière qui les a transformés le temps de l’exploitation en région minière</w:t>
      </w:r>
      <w:r w:rsidR="00EA55BB" w:rsidRPr="00156E20">
        <w:rPr>
          <w:sz w:val="24"/>
          <w:szCs w:val="24"/>
          <w:lang w:val="fr-BE"/>
        </w:rPr>
        <w:t>. Cette transformation a</w:t>
      </w:r>
      <w:r w:rsidRPr="00156E20">
        <w:rPr>
          <w:sz w:val="24"/>
          <w:szCs w:val="24"/>
          <w:lang w:val="fr-BE"/>
        </w:rPr>
        <w:t xml:space="preserve"> souvent </w:t>
      </w:r>
      <w:r w:rsidR="00EA55BB" w:rsidRPr="00156E20">
        <w:rPr>
          <w:sz w:val="24"/>
          <w:szCs w:val="24"/>
          <w:lang w:val="fr-BE"/>
        </w:rPr>
        <w:t xml:space="preserve">été </w:t>
      </w:r>
      <w:r w:rsidRPr="00156E20">
        <w:rPr>
          <w:sz w:val="24"/>
          <w:szCs w:val="24"/>
          <w:lang w:val="fr-BE"/>
        </w:rPr>
        <w:t>accompagné</w:t>
      </w:r>
      <w:r w:rsidR="00A23054" w:rsidRPr="00156E20">
        <w:rPr>
          <w:sz w:val="24"/>
          <w:szCs w:val="24"/>
          <w:lang w:val="fr-BE"/>
        </w:rPr>
        <w:t>e</w:t>
      </w:r>
      <w:r w:rsidRPr="00156E20">
        <w:rPr>
          <w:sz w:val="24"/>
          <w:szCs w:val="24"/>
          <w:lang w:val="fr-BE"/>
        </w:rPr>
        <w:t xml:space="preserve"> d’un développement industriel et urbain. </w:t>
      </w:r>
      <w:r w:rsidR="004A4AEA" w:rsidRPr="00156E20">
        <w:rPr>
          <w:sz w:val="24"/>
          <w:szCs w:val="24"/>
          <w:lang w:val="fr-BE"/>
        </w:rPr>
        <w:t xml:space="preserve">Des communautés </w:t>
      </w:r>
      <w:r w:rsidRPr="00156E20">
        <w:rPr>
          <w:sz w:val="24"/>
          <w:szCs w:val="24"/>
          <w:lang w:val="fr-BE"/>
        </w:rPr>
        <w:t xml:space="preserve">minières </w:t>
      </w:r>
      <w:r w:rsidR="004A4AEA" w:rsidRPr="00156E20">
        <w:rPr>
          <w:sz w:val="24"/>
          <w:szCs w:val="24"/>
          <w:lang w:val="fr-BE"/>
        </w:rPr>
        <w:t xml:space="preserve">se sont formées autour de l'industrie extractive </w:t>
      </w:r>
      <w:r w:rsidR="00EA55BB" w:rsidRPr="00156E20">
        <w:rPr>
          <w:sz w:val="24"/>
          <w:szCs w:val="24"/>
          <w:lang w:val="fr-BE"/>
        </w:rPr>
        <w:t xml:space="preserve">car </w:t>
      </w:r>
      <w:r w:rsidR="004A5A45" w:rsidRPr="00156E20">
        <w:rPr>
          <w:sz w:val="24"/>
          <w:szCs w:val="24"/>
          <w:lang w:val="fr-BE"/>
        </w:rPr>
        <w:t>l’activité</w:t>
      </w:r>
      <w:r w:rsidR="004A4AEA" w:rsidRPr="00156E20">
        <w:rPr>
          <w:sz w:val="24"/>
          <w:szCs w:val="24"/>
          <w:lang w:val="fr-BE"/>
        </w:rPr>
        <w:t xml:space="preserve"> ne pouvait pas être accélérée sans </w:t>
      </w:r>
      <w:r w:rsidR="004A5A45" w:rsidRPr="00156E20">
        <w:rPr>
          <w:sz w:val="24"/>
          <w:szCs w:val="24"/>
          <w:lang w:val="fr-BE"/>
        </w:rPr>
        <w:t xml:space="preserve">développer de nouveaux </w:t>
      </w:r>
      <w:r w:rsidR="00233F94" w:rsidRPr="00156E20">
        <w:rPr>
          <w:sz w:val="24"/>
          <w:szCs w:val="24"/>
          <w:lang w:val="fr-BE"/>
        </w:rPr>
        <w:t>quartiers afin</w:t>
      </w:r>
      <w:r w:rsidR="004A4AEA" w:rsidRPr="00156E20">
        <w:rPr>
          <w:sz w:val="24"/>
          <w:szCs w:val="24"/>
          <w:lang w:val="fr-BE"/>
        </w:rPr>
        <w:t xml:space="preserve"> </w:t>
      </w:r>
      <w:r w:rsidR="00EA55BB" w:rsidRPr="00156E20">
        <w:rPr>
          <w:sz w:val="24"/>
          <w:szCs w:val="24"/>
          <w:lang w:val="fr-BE"/>
        </w:rPr>
        <w:t>d’</w:t>
      </w:r>
      <w:r w:rsidR="004A4AEA" w:rsidRPr="00156E20">
        <w:rPr>
          <w:sz w:val="24"/>
          <w:szCs w:val="24"/>
          <w:lang w:val="fr-BE"/>
        </w:rPr>
        <w:t xml:space="preserve">accueillir la main-d'œuvre immigrée attirée par </w:t>
      </w:r>
      <w:r w:rsidR="00EA55BB" w:rsidRPr="00156E20">
        <w:rPr>
          <w:sz w:val="24"/>
          <w:szCs w:val="24"/>
          <w:lang w:val="fr-BE"/>
        </w:rPr>
        <w:t>c</w:t>
      </w:r>
      <w:r w:rsidR="004A4AEA" w:rsidRPr="00156E20">
        <w:rPr>
          <w:sz w:val="24"/>
          <w:szCs w:val="24"/>
          <w:lang w:val="fr-BE"/>
        </w:rPr>
        <w:t>es nouvelles opportunités.</w:t>
      </w:r>
      <w:r w:rsidR="00422E96" w:rsidRPr="00156E20">
        <w:rPr>
          <w:sz w:val="24"/>
          <w:szCs w:val="24"/>
          <w:lang w:val="fr-BE"/>
        </w:rPr>
        <w:t xml:space="preserve"> </w:t>
      </w:r>
      <w:r w:rsidR="001B3910" w:rsidRPr="00156E20">
        <w:rPr>
          <w:sz w:val="24"/>
          <w:szCs w:val="24"/>
          <w:lang w:val="fr-BE"/>
        </w:rPr>
        <w:t>Cependant, beaucoup</w:t>
      </w:r>
      <w:r w:rsidR="00422E96" w:rsidRPr="00156E20">
        <w:rPr>
          <w:sz w:val="24"/>
          <w:szCs w:val="24"/>
          <w:lang w:val="fr-BE"/>
        </w:rPr>
        <w:t xml:space="preserve"> de ces territoires</w:t>
      </w:r>
      <w:r w:rsidR="00763CA2" w:rsidRPr="00156E20">
        <w:rPr>
          <w:sz w:val="24"/>
          <w:szCs w:val="24"/>
          <w:lang w:val="fr-BE"/>
        </w:rPr>
        <w:t xml:space="preserve"> </w:t>
      </w:r>
      <w:r w:rsidR="00422E96" w:rsidRPr="00156E20">
        <w:rPr>
          <w:sz w:val="24"/>
          <w:szCs w:val="24"/>
          <w:lang w:val="fr-BE"/>
        </w:rPr>
        <w:t xml:space="preserve">ne sont des unités administratives urbaines </w:t>
      </w:r>
      <w:r w:rsidR="00EA55BB" w:rsidRPr="00156E20">
        <w:rPr>
          <w:sz w:val="24"/>
          <w:szCs w:val="24"/>
          <w:lang w:val="fr-BE"/>
        </w:rPr>
        <w:t>qu’en apparence</w:t>
      </w:r>
      <w:r w:rsidR="00422E96" w:rsidRPr="00156E20">
        <w:rPr>
          <w:sz w:val="24"/>
          <w:szCs w:val="24"/>
          <w:lang w:val="fr-BE"/>
        </w:rPr>
        <w:t xml:space="preserve">, </w:t>
      </w:r>
      <w:r w:rsidR="001B3910" w:rsidRPr="00156E20">
        <w:rPr>
          <w:sz w:val="24"/>
          <w:szCs w:val="24"/>
          <w:lang w:val="fr-BE"/>
        </w:rPr>
        <w:t>car</w:t>
      </w:r>
      <w:r w:rsidR="00422E96" w:rsidRPr="00156E20">
        <w:rPr>
          <w:sz w:val="24"/>
          <w:szCs w:val="24"/>
          <w:lang w:val="fr-BE"/>
        </w:rPr>
        <w:t xml:space="preserve"> les </w:t>
      </w:r>
      <w:r w:rsidR="001B3910" w:rsidRPr="00156E20">
        <w:rPr>
          <w:sz w:val="24"/>
          <w:szCs w:val="24"/>
          <w:lang w:val="fr-BE"/>
        </w:rPr>
        <w:t>équipements</w:t>
      </w:r>
      <w:r w:rsidR="00EA55BB" w:rsidRPr="00156E20">
        <w:rPr>
          <w:sz w:val="24"/>
          <w:szCs w:val="24"/>
          <w:lang w:val="fr-BE"/>
        </w:rPr>
        <w:t xml:space="preserve"> </w:t>
      </w:r>
      <w:r w:rsidR="001B3910" w:rsidRPr="00156E20">
        <w:rPr>
          <w:sz w:val="24"/>
          <w:szCs w:val="24"/>
          <w:lang w:val="fr-BE"/>
        </w:rPr>
        <w:t>propremen</w:t>
      </w:r>
      <w:r w:rsidR="00EA55BB" w:rsidRPr="00156E20">
        <w:rPr>
          <w:sz w:val="24"/>
          <w:szCs w:val="24"/>
          <w:lang w:val="fr-BE"/>
        </w:rPr>
        <w:t xml:space="preserve">t </w:t>
      </w:r>
      <w:r w:rsidR="001B3910" w:rsidRPr="00156E20">
        <w:rPr>
          <w:sz w:val="24"/>
          <w:szCs w:val="24"/>
          <w:lang w:val="fr-BE"/>
        </w:rPr>
        <w:t xml:space="preserve">urbains sont peu développés et </w:t>
      </w:r>
      <w:r w:rsidR="00702457" w:rsidRPr="00156E20">
        <w:rPr>
          <w:sz w:val="24"/>
          <w:szCs w:val="24"/>
          <w:lang w:val="fr-BE"/>
        </w:rPr>
        <w:t>les espaces environnants</w:t>
      </w:r>
      <w:r w:rsidR="004A5A45" w:rsidRPr="00156E20">
        <w:rPr>
          <w:sz w:val="24"/>
          <w:szCs w:val="24"/>
          <w:lang w:val="fr-BE"/>
        </w:rPr>
        <w:t xml:space="preserve"> </w:t>
      </w:r>
      <w:r w:rsidR="00EA55BB" w:rsidRPr="00156E20">
        <w:rPr>
          <w:sz w:val="24"/>
          <w:szCs w:val="24"/>
          <w:lang w:val="fr-BE"/>
        </w:rPr>
        <w:t>conserv</w:t>
      </w:r>
      <w:r w:rsidR="004A5A45" w:rsidRPr="00156E20">
        <w:rPr>
          <w:sz w:val="24"/>
          <w:szCs w:val="24"/>
          <w:lang w:val="fr-BE"/>
        </w:rPr>
        <w:t>ent</w:t>
      </w:r>
      <w:r w:rsidR="001B3910" w:rsidRPr="00156E20">
        <w:rPr>
          <w:sz w:val="24"/>
          <w:szCs w:val="24"/>
          <w:lang w:val="fr-BE"/>
        </w:rPr>
        <w:t xml:space="preserve"> </w:t>
      </w:r>
      <w:r w:rsidR="00EA55BB" w:rsidRPr="00156E20">
        <w:rPr>
          <w:sz w:val="24"/>
          <w:szCs w:val="24"/>
          <w:lang w:val="fr-BE"/>
        </w:rPr>
        <w:t>d</w:t>
      </w:r>
      <w:r w:rsidR="00A23054" w:rsidRPr="00156E20">
        <w:rPr>
          <w:sz w:val="24"/>
          <w:szCs w:val="24"/>
          <w:lang w:val="fr-BE"/>
        </w:rPr>
        <w:t xml:space="preserve">es caractéristiques </w:t>
      </w:r>
      <w:r w:rsidR="001B3910" w:rsidRPr="00156E20">
        <w:rPr>
          <w:sz w:val="24"/>
          <w:szCs w:val="24"/>
          <w:lang w:val="fr-BE"/>
        </w:rPr>
        <w:t>des paysages ruraux.</w:t>
      </w:r>
      <w:r w:rsidR="00AF1346" w:rsidRPr="00156E20">
        <w:rPr>
          <w:sz w:val="24"/>
          <w:szCs w:val="24"/>
          <w:lang w:val="fr-BE"/>
        </w:rPr>
        <w:t xml:space="preserve"> Dès lors quand les mines ferment, ces régions sont dans un entre-deux où la vocation urbaine est souvent privilégiée par les acteurs plutôt que le redéploiement d’activités rurales</w:t>
      </w:r>
      <w:r w:rsidR="000D2011" w:rsidRPr="00156E20">
        <w:rPr>
          <w:sz w:val="24"/>
          <w:szCs w:val="24"/>
          <w:lang w:val="fr-BE"/>
        </w:rPr>
        <w:t xml:space="preserve"> </w:t>
      </w:r>
      <w:r w:rsidR="000D2011" w:rsidRPr="00156E20">
        <w:rPr>
          <w:sz w:val="24"/>
          <w:szCs w:val="24"/>
          <w:lang w:val="fr-BE"/>
        </w:rPr>
        <w:fldChar w:fldCharType="begin"/>
      </w:r>
      <w:r w:rsidR="000D2011" w:rsidRPr="00156E20">
        <w:rPr>
          <w:sz w:val="24"/>
          <w:szCs w:val="24"/>
          <w:lang w:val="fr-BE"/>
        </w:rPr>
        <w:instrText xml:space="preserve"> ADDIN ZOTERO_ITEM CSL_CITATION {"citationID":"M8uvX2gy","properties":{"formattedCitation":"(Dumitru et al., 2020; Jonas, 2012; Pontarollo &amp; Serpieri, 2020)","plainCitation":"(Dumitru et al., 2020; Jonas, 2012; Pontarollo &amp; Serpieri, 2020)","noteIndex":0},"citationItems":[{"id":886,"uris":["http://zotero.org/users/7795961/items/L2B55XIJ"],"itemData":{"id":886,"type":"article-journal","abstract":"Cities all over the world are confronting intertwined environmental, social and economic problems and aim to become resilient to climate change and promote wellbeing for all their citizens. Nature-based solutions have been proposed as a promising policy approach to addressing urban problems for the potential they have to deliver multiple benefits and foster wellbeing for individuals and communities. However, the evidence for their multiple benefits is rather scarce and highly fragmented, and more robust frameworks for the monitoring and assessment of their impacts are needed to guide urban policy-making. This paper focuses on the current state of impact assessment of nature-based solutions in Europe and through a systematic review of the literature identifies four conceptual problems and three empirical gaps that impede the accumulation of solid evidence regarding of the impacts of different types of nature-based solutions for different social groups; as well as of the contextual conditions that contribute to their performance and delivery of multiple outcomes. Based on the identified mis-conceptualizations and gaps, we derive a series of principles that should guide the development of robust impact assessment frameworks for nature-based solutions. We discuss the policy implications of these gaps and principles. We conclude by making a series of recommendations that should inform the design of impact monitoring and evaluation frameworks in cities, in order to develop the comparative evidence base on the effectiveness of nature-based solutions. This, in turn, can inform urban decision-making on the appropriate design, implementation, and long-term regeneration of nature-based solutions, to ensure long-term delivery of important ecosystem services for different social groups.","container-title":"Environmental Science &amp; Policy","DOI":"10.1016/j.envsci.2020.05.024","ISSN":"1462-9011","journalAbbreviation":"Environmental Science &amp; Policy","language":"en","page":"107-116","source":"ScienceDirect","title":"Identifying principles for the design of robust impact evaluation frameworks for nature-based solutions in cities","volume":"112","author":[{"family":"Dumitru","given":"Adina"},{"family":"Frantzeskaki","given":"Niki"},{"family":"Collier","given":"Marcus"}],"issued":{"date-parts":[["2020",10,1]]}}},{"id":891,"uris":["http://zotero.org/users/7795961/items/33V6EWTU"],"itemData":{"id":891,"type":"article-journal","abstract":"Territorial notions of place and region are being challenged by the relational viewpoint. Yet relational thinking often neglects to address questions of territory and territorial politics. This progress report examines some commonalities and differences between relational and territorial approaches to regions and regionalism. It considers the treatment of the state and territorial politics in the various literatures developing around the New Regionalism. The received distinction drawn between territorial and relational approaches could be rendered obsolete if critical attention were to be paid to matters of territory and territorial politics.","container-title":"Progress in Human Geography","DOI":"10.1177/0309132510394118","ISSN":"0309-1325","issue":"2","journalAbbreviation":"Progress in Human Geography","language":"en","note":"publisher: SAGE Publications Ltd","page":"263-272","source":"SAGE Journals","title":"Region and place: Regionalism in question","title-short":"Region and place","volume":"36","author":[{"family":"Jonas","given":"Andrew E.G."}],"issued":{"date-parts":[["2012",4,1]]}}},{"id":889,"uris":["http://zotero.org/users/7795961/items/RJXQWHRY"],"itemData":{"id":889,"type":"article-journal","abstract":"The 2007–2008 global recession and consequent slow recovery have revealed considerable heterogeneity in economic performance across countries and regions. This study contributes innovatively to existing resilience literature by identifying a life cycle resilience framework and computing a “handy” composite Regional Economic Resilience Indicator. We analyse economic resilience by means of a cluster and exploratory spatial data analysis, revealing well-defined spatial patterns in the EU. National resilience trends dominate in the EU-15, while a more heterogeneous spatial pattern is present in the EU-13. Our findings can support the monitoring of economic resilience at regional level and facilitate a common understanding of this complex and dynamic process for policy purposes.","container-title":"Socio-Economic Planning Sciences","DOI":"10.1016/j.seps.2018.11.006","ISSN":"0038-0121","journalAbbreviation":"Socio-Economic Planning Sciences","language":"en","page":"100669","source":"ScienceDirect","title":"A composite policy tool to measure territorial resilience capacity","volume":"70","author":[{"family":"Pontarollo","given":"Nicola"},{"family":"Serpieri","given":"Carolina"}],"issued":{"date-parts":[["2020",6,1]]}}}],"schema":"https://github.com/citation-style-language/schema/raw/master/csl-citation.json"} </w:instrText>
      </w:r>
      <w:r w:rsidR="000D2011" w:rsidRPr="00156E20">
        <w:rPr>
          <w:sz w:val="24"/>
          <w:szCs w:val="24"/>
          <w:lang w:val="fr-BE"/>
        </w:rPr>
        <w:fldChar w:fldCharType="separate"/>
      </w:r>
      <w:r w:rsidR="000D2011" w:rsidRPr="00156E20">
        <w:rPr>
          <w:rFonts w:ascii="Calibri" w:hAnsi="Calibri" w:cs="Calibri"/>
          <w:sz w:val="24"/>
          <w:szCs w:val="24"/>
          <w:lang w:val="fr-BE"/>
        </w:rPr>
        <w:t>(Dumitru et al., 2020; Jonas, 2012; Pontarollo &amp; Serpieri, 2020)</w:t>
      </w:r>
      <w:r w:rsidR="000D2011" w:rsidRPr="00156E20">
        <w:rPr>
          <w:sz w:val="24"/>
          <w:szCs w:val="24"/>
          <w:lang w:val="fr-BE"/>
        </w:rPr>
        <w:fldChar w:fldCharType="end"/>
      </w:r>
      <w:r w:rsidR="00AF1346" w:rsidRPr="00156E20">
        <w:rPr>
          <w:sz w:val="24"/>
          <w:szCs w:val="24"/>
          <w:lang w:val="fr-BE"/>
        </w:rPr>
        <w:t>.</w:t>
      </w:r>
    </w:p>
    <w:p w14:paraId="1AC8787B" w14:textId="55D59AD9" w:rsidR="00AF1346" w:rsidRPr="00156E20" w:rsidRDefault="00EA55BB" w:rsidP="00156E20">
      <w:pPr>
        <w:spacing w:line="360" w:lineRule="auto"/>
        <w:jc w:val="both"/>
        <w:rPr>
          <w:sz w:val="24"/>
          <w:szCs w:val="24"/>
          <w:lang w:val="fr-BE"/>
        </w:rPr>
      </w:pPr>
      <w:r w:rsidRPr="00156E20">
        <w:rPr>
          <w:sz w:val="24"/>
          <w:szCs w:val="24"/>
          <w:lang w:val="fr-BE"/>
        </w:rPr>
        <w:t>Aujourd’hui, d</w:t>
      </w:r>
      <w:r w:rsidR="001D5F13" w:rsidRPr="00156E20">
        <w:rPr>
          <w:sz w:val="24"/>
          <w:szCs w:val="24"/>
          <w:lang w:val="fr-BE"/>
        </w:rPr>
        <w:t>ans le c</w:t>
      </w:r>
      <w:r w:rsidR="00E55554" w:rsidRPr="00156E20">
        <w:rPr>
          <w:sz w:val="24"/>
          <w:szCs w:val="24"/>
          <w:lang w:val="fr-BE"/>
        </w:rPr>
        <w:t>ontexte</w:t>
      </w:r>
      <w:r w:rsidR="001D5F13" w:rsidRPr="00156E20">
        <w:rPr>
          <w:sz w:val="24"/>
          <w:szCs w:val="24"/>
          <w:lang w:val="fr-BE"/>
        </w:rPr>
        <w:t xml:space="preserve"> de la transition vers l'économie verte et </w:t>
      </w:r>
      <w:r w:rsidR="004A5A45" w:rsidRPr="00156E20">
        <w:rPr>
          <w:sz w:val="24"/>
          <w:szCs w:val="24"/>
          <w:lang w:val="fr-BE"/>
        </w:rPr>
        <w:t xml:space="preserve">de la </w:t>
      </w:r>
      <w:r w:rsidR="001D5F13" w:rsidRPr="00156E20">
        <w:rPr>
          <w:sz w:val="24"/>
          <w:szCs w:val="24"/>
          <w:lang w:val="fr-BE"/>
        </w:rPr>
        <w:t xml:space="preserve">« transition </w:t>
      </w:r>
      <w:r w:rsidR="00D17A7C" w:rsidRPr="00156E20">
        <w:rPr>
          <w:sz w:val="24"/>
          <w:szCs w:val="24"/>
          <w:lang w:val="fr-BE"/>
        </w:rPr>
        <w:t xml:space="preserve">juste </w:t>
      </w:r>
      <w:r w:rsidR="001D5F13" w:rsidRPr="00156E20">
        <w:rPr>
          <w:sz w:val="24"/>
          <w:szCs w:val="24"/>
          <w:lang w:val="fr-BE"/>
        </w:rPr>
        <w:t>» établi au niveau de la Commission européenne et soutenu</w:t>
      </w:r>
      <w:r w:rsidR="00AF1346" w:rsidRPr="00156E20">
        <w:rPr>
          <w:sz w:val="24"/>
          <w:szCs w:val="24"/>
          <w:lang w:val="fr-BE"/>
        </w:rPr>
        <w:t>e</w:t>
      </w:r>
      <w:r w:rsidR="001D5F13" w:rsidRPr="00156E20">
        <w:rPr>
          <w:sz w:val="24"/>
          <w:szCs w:val="24"/>
          <w:lang w:val="fr-BE"/>
        </w:rPr>
        <w:t xml:space="preserve"> par plusieurs instruments financiers, des solutions de développement durable sont </w:t>
      </w:r>
      <w:r w:rsidR="00AF1346" w:rsidRPr="00156E20">
        <w:rPr>
          <w:sz w:val="24"/>
          <w:szCs w:val="24"/>
          <w:lang w:val="fr-BE"/>
        </w:rPr>
        <w:t xml:space="preserve">prônées et </w:t>
      </w:r>
      <w:r w:rsidR="001D5F13" w:rsidRPr="00156E20">
        <w:rPr>
          <w:sz w:val="24"/>
          <w:szCs w:val="24"/>
          <w:lang w:val="fr-BE"/>
        </w:rPr>
        <w:t xml:space="preserve">recherchées pour ces </w:t>
      </w:r>
      <w:r w:rsidR="001D5F13" w:rsidRPr="00156E20">
        <w:rPr>
          <w:sz w:val="24"/>
          <w:szCs w:val="24"/>
          <w:lang w:val="fr-BE"/>
        </w:rPr>
        <w:lastRenderedPageBreak/>
        <w:t>régions postindustrielles</w:t>
      </w:r>
      <w:r w:rsidR="000D2011" w:rsidRPr="00156E20">
        <w:rPr>
          <w:sz w:val="24"/>
          <w:szCs w:val="24"/>
          <w:lang w:val="fr-BE"/>
        </w:rPr>
        <w:t xml:space="preserve"> </w:t>
      </w:r>
      <w:r w:rsidR="000D2011" w:rsidRPr="00156E20">
        <w:rPr>
          <w:sz w:val="24"/>
          <w:szCs w:val="24"/>
          <w:lang w:val="fr-BE"/>
        </w:rPr>
        <w:fldChar w:fldCharType="begin"/>
      </w:r>
      <w:r w:rsidR="000D2011" w:rsidRPr="00156E20">
        <w:rPr>
          <w:sz w:val="24"/>
          <w:szCs w:val="24"/>
          <w:lang w:val="fr-BE"/>
        </w:rPr>
        <w:instrText xml:space="preserve"> ADDIN ZOTERO_ITEM CSL_CITATION {"citationID":"epwWzmia","properties":{"formattedCitation":"(Alves Dias et al., 2018)","plainCitation":"(Alves Dias et al., 2018)","noteIndex":0},"citationItems":[{"id":29,"uris":["http://zotero.org/users/7795961/items/BWYJ5ZXI"],"itemData":{"id":29,"type":"book","ISBN":"978-92-79-89884-6","language":"English","note":"OCLC: 1048427435","source":"Open WorldCat","title":"EU coal regions opportunities and challenges ahead","URL":"https://doi.org/10.2760/064809","author":[{"family":"Alves Dias","given":"P"},{"family":"Kanellopoulos","given":"K"},{"family":"Medarac","given":"H"},{"family":"Kapetaki","given":"Z"},{"family":"Miranda-Barbosa","given":"E"},{"family":"Shortall","given":"R"},{"family":"Czako","given":"V"},{"family":"Telsnig","given":"T"},{"family":"Vazquez-Hernandez","given":"C"},{"family":"Lacal Arántegui","given":"R"},{"family":"Nijs","given":"W"},{"family":"Gonzalez Aparicio","given":"I"},{"family":"Trombetti","given":"M"},{"family":"Mandras","given":"G"},{"family":"Peteves","given":"E"},{"family":"Tzimas","given":"E"},{"literal":"Europäische Kommission"},{"literal":"Joint Research Centre"}],"accessed":{"date-parts":[["2021",5,20]]},"issued":{"date-parts":[["2018"]]}}}],"schema":"https://github.com/citation-style-language/schema/raw/master/csl-citation.json"} </w:instrText>
      </w:r>
      <w:r w:rsidR="000D2011" w:rsidRPr="00156E20">
        <w:rPr>
          <w:sz w:val="24"/>
          <w:szCs w:val="24"/>
          <w:lang w:val="fr-BE"/>
        </w:rPr>
        <w:fldChar w:fldCharType="separate"/>
      </w:r>
      <w:r w:rsidR="000D2011" w:rsidRPr="00156E20">
        <w:rPr>
          <w:sz w:val="24"/>
          <w:szCs w:val="24"/>
          <w:lang w:val="fr-BE"/>
        </w:rPr>
        <w:t>(Alves Dias et al., 2018)</w:t>
      </w:r>
      <w:r w:rsidR="000D2011" w:rsidRPr="00156E20">
        <w:rPr>
          <w:sz w:val="24"/>
          <w:szCs w:val="24"/>
          <w:lang w:val="fr-BE"/>
        </w:rPr>
        <w:fldChar w:fldCharType="end"/>
      </w:r>
      <w:r w:rsidR="00AF1346" w:rsidRPr="00156E20">
        <w:rPr>
          <w:sz w:val="24"/>
          <w:szCs w:val="24"/>
          <w:lang w:val="fr-BE"/>
        </w:rPr>
        <w:t xml:space="preserve">. </w:t>
      </w:r>
      <w:r w:rsidRPr="00156E20">
        <w:rPr>
          <w:sz w:val="24"/>
          <w:szCs w:val="24"/>
          <w:lang w:val="fr-BE"/>
        </w:rPr>
        <w:t xml:space="preserve"> </w:t>
      </w:r>
      <w:r w:rsidR="00AF1346" w:rsidRPr="00156E20">
        <w:rPr>
          <w:sz w:val="24"/>
          <w:szCs w:val="24"/>
          <w:lang w:val="fr-BE"/>
        </w:rPr>
        <w:t>Elles doiv</w:t>
      </w:r>
      <w:r w:rsidRPr="00156E20">
        <w:rPr>
          <w:sz w:val="24"/>
          <w:szCs w:val="24"/>
          <w:lang w:val="fr-BE"/>
        </w:rPr>
        <w:t xml:space="preserve">ent </w:t>
      </w:r>
      <w:r w:rsidR="00B50C3B" w:rsidRPr="00156E20">
        <w:rPr>
          <w:sz w:val="24"/>
          <w:szCs w:val="24"/>
          <w:lang w:val="fr-BE"/>
        </w:rPr>
        <w:t xml:space="preserve">notamment </w:t>
      </w:r>
      <w:r w:rsidRPr="00156E20">
        <w:rPr>
          <w:sz w:val="24"/>
          <w:szCs w:val="24"/>
          <w:lang w:val="fr-BE"/>
        </w:rPr>
        <w:t>s’appuyer sur la</w:t>
      </w:r>
      <w:r w:rsidR="001D5F13" w:rsidRPr="00156E20">
        <w:rPr>
          <w:sz w:val="24"/>
          <w:szCs w:val="24"/>
          <w:lang w:val="fr-BE"/>
        </w:rPr>
        <w:t xml:space="preserve"> consultat</w:t>
      </w:r>
      <w:r w:rsidRPr="00156E20">
        <w:rPr>
          <w:sz w:val="24"/>
          <w:szCs w:val="24"/>
          <w:lang w:val="fr-BE"/>
        </w:rPr>
        <w:t>ion de</w:t>
      </w:r>
      <w:r w:rsidR="001D5F13" w:rsidRPr="00156E20">
        <w:rPr>
          <w:sz w:val="24"/>
          <w:szCs w:val="24"/>
          <w:lang w:val="fr-BE"/>
        </w:rPr>
        <w:t xml:space="preserve"> toutes les parties prenantes</w:t>
      </w:r>
      <w:r w:rsidR="00C940E9" w:rsidRPr="00156E20">
        <w:rPr>
          <w:sz w:val="24"/>
          <w:szCs w:val="24"/>
          <w:lang w:val="fr-BE"/>
        </w:rPr>
        <w:t xml:space="preserve"> </w:t>
      </w:r>
      <w:r w:rsidR="000D2011" w:rsidRPr="00156E20">
        <w:rPr>
          <w:sz w:val="24"/>
          <w:szCs w:val="24"/>
          <w:lang w:val="fr-BE"/>
        </w:rPr>
        <w:fldChar w:fldCharType="begin"/>
      </w:r>
      <w:r w:rsidR="000D2011" w:rsidRPr="00156E20">
        <w:rPr>
          <w:sz w:val="24"/>
          <w:szCs w:val="24"/>
          <w:lang w:val="fr-BE"/>
        </w:rPr>
        <w:instrText xml:space="preserve"> ADDIN ZOTERO_ITEM CSL_CITATION {"citationID":"WlFfXP1C","properties":{"formattedCitation":"(Caldecott et al., 2017; Kelemen, 2020)","plainCitation":"(Caldecott et al., 2017; Kelemen, 2020)","noteIndex":0},"citationItems":[{"id":33,"uris":["http://zotero.org/users/7795961/items/XN69CRUU"],"itemData":{"id":33,"type":"report","language":"en","title":"Lessons from previous ‘COAL TRANSITIONS’","title-short":"High-level summary for decision makers","author":[{"family":"Caldecott","given":"Ben"},{"family":"Sartor","given":"Oliver"},{"family":"Spencer","given":"Thomas"},{"family":"IDDRI","given":""},{"family":"Climate Strategies","given":""}],"issued":{"date-parts":[["2017"]]}}},{"id":10,"uris":["http://zotero.org/users/7795961/items/9J68787L"],"itemData":{"id":10,"type":"report","abstract":"This document has been prepared for the European Commission however it reflects the views only of the authors, and the European Commission is not liable for any consequence stemming from the reuse of this publication.","language":"en","publisher":"Directorate-General for Regional and Urban Policy","title":"Supporting sustainability transitions under the European Green Deal with cohesion policy","title-short":"Report on a toolkit for national and regional decision-makers","URL":"https://ec.europa.eu/regional_policy/sources/docgener/studies/pdf/report_sust_transit_en.pdf","author":[{"family":"Kelemen","given":"Agnes"}],"issued":{"date-parts":[["2020"]]}}}],"schema":"https://github.com/citation-style-language/schema/raw/master/csl-citation.json"} </w:instrText>
      </w:r>
      <w:r w:rsidR="000D2011" w:rsidRPr="00156E20">
        <w:rPr>
          <w:sz w:val="24"/>
          <w:szCs w:val="24"/>
          <w:lang w:val="fr-BE"/>
        </w:rPr>
        <w:fldChar w:fldCharType="separate"/>
      </w:r>
      <w:r w:rsidR="000D2011" w:rsidRPr="00156E20">
        <w:rPr>
          <w:rFonts w:ascii="Calibri" w:hAnsi="Calibri" w:cs="Calibri"/>
          <w:sz w:val="24"/>
          <w:szCs w:val="24"/>
          <w:lang w:val="fr-BE"/>
        </w:rPr>
        <w:t>(Caldecott et al., 2017; Kelemen, 2020)</w:t>
      </w:r>
      <w:r w:rsidR="000D2011" w:rsidRPr="00156E20">
        <w:rPr>
          <w:sz w:val="24"/>
          <w:szCs w:val="24"/>
          <w:lang w:val="fr-BE"/>
        </w:rPr>
        <w:fldChar w:fldCharType="end"/>
      </w:r>
      <w:r w:rsidR="000D2011" w:rsidRPr="00156E20">
        <w:rPr>
          <w:sz w:val="24"/>
          <w:szCs w:val="24"/>
          <w:lang w:val="fr-BE"/>
        </w:rPr>
        <w:t>.</w:t>
      </w:r>
    </w:p>
    <w:p w14:paraId="501EB33B" w14:textId="5BF054F8" w:rsidR="009F2BA8" w:rsidRDefault="008600AE" w:rsidP="00156E20">
      <w:pPr>
        <w:spacing w:line="360" w:lineRule="auto"/>
        <w:jc w:val="both"/>
        <w:rPr>
          <w:sz w:val="24"/>
          <w:szCs w:val="24"/>
          <w:lang w:val="fr-BE"/>
        </w:rPr>
      </w:pPr>
      <w:r w:rsidRPr="00156E20">
        <w:rPr>
          <w:sz w:val="24"/>
          <w:szCs w:val="24"/>
          <w:lang w:val="fr-BE"/>
        </w:rPr>
        <w:t xml:space="preserve">Cette communication présente les résultats de recherches-actions </w:t>
      </w:r>
      <w:r w:rsidR="00AF1346" w:rsidRPr="00156E20">
        <w:rPr>
          <w:sz w:val="24"/>
          <w:szCs w:val="24"/>
          <w:lang w:val="fr-BE"/>
        </w:rPr>
        <w:t>menée</w:t>
      </w:r>
      <w:r w:rsidR="00B50C3B" w:rsidRPr="00156E20">
        <w:rPr>
          <w:sz w:val="24"/>
          <w:szCs w:val="24"/>
          <w:lang w:val="fr-BE"/>
        </w:rPr>
        <w:t>s</w:t>
      </w:r>
      <w:r w:rsidR="00AF1346" w:rsidRPr="00156E20">
        <w:rPr>
          <w:sz w:val="24"/>
          <w:szCs w:val="24"/>
          <w:lang w:val="fr-BE"/>
        </w:rPr>
        <w:t xml:space="preserve"> </w:t>
      </w:r>
      <w:r w:rsidRPr="00156E20">
        <w:rPr>
          <w:sz w:val="24"/>
          <w:szCs w:val="24"/>
          <w:lang w:val="fr-BE"/>
        </w:rPr>
        <w:t xml:space="preserve">dans deux bassins miniers européens, la Vallée du Jiu en Roumanie et </w:t>
      </w:r>
      <w:r w:rsidR="00B50C3B" w:rsidRPr="00156E20">
        <w:rPr>
          <w:sz w:val="24"/>
          <w:szCs w:val="24"/>
          <w:lang w:val="fr-BE"/>
        </w:rPr>
        <w:t>l</w:t>
      </w:r>
      <w:r w:rsidRPr="00156E20">
        <w:rPr>
          <w:sz w:val="24"/>
          <w:szCs w:val="24"/>
          <w:lang w:val="fr-BE"/>
        </w:rPr>
        <w:t xml:space="preserve">a </w:t>
      </w:r>
      <w:r w:rsidR="00B50C3B" w:rsidRPr="00156E20">
        <w:rPr>
          <w:sz w:val="24"/>
          <w:szCs w:val="24"/>
          <w:lang w:val="fr-BE"/>
        </w:rPr>
        <w:t>R</w:t>
      </w:r>
      <w:r w:rsidR="00A23054" w:rsidRPr="00156E20">
        <w:rPr>
          <w:sz w:val="24"/>
          <w:szCs w:val="24"/>
          <w:lang w:val="fr-BE"/>
        </w:rPr>
        <w:t>égion du Centre</w:t>
      </w:r>
      <w:r w:rsidRPr="00156E20">
        <w:rPr>
          <w:sz w:val="24"/>
          <w:szCs w:val="24"/>
          <w:lang w:val="fr-BE"/>
        </w:rPr>
        <w:t xml:space="preserve"> en Belgique, mettant en lumière les difficultés rencontrées par les acteurs locaux pour imaginer l'avenir </w:t>
      </w:r>
      <w:r w:rsidR="00B50C3B" w:rsidRPr="00156E20">
        <w:rPr>
          <w:sz w:val="24"/>
          <w:szCs w:val="24"/>
          <w:lang w:val="fr-BE"/>
        </w:rPr>
        <w:t>« </w:t>
      </w:r>
      <w:r w:rsidRPr="00156E20">
        <w:rPr>
          <w:sz w:val="24"/>
          <w:szCs w:val="24"/>
          <w:lang w:val="fr-BE"/>
        </w:rPr>
        <w:t>vert</w:t>
      </w:r>
      <w:r w:rsidR="00B50C3B" w:rsidRPr="00156E20">
        <w:rPr>
          <w:sz w:val="24"/>
          <w:szCs w:val="24"/>
          <w:lang w:val="fr-BE"/>
        </w:rPr>
        <w:t> »</w:t>
      </w:r>
      <w:r w:rsidRPr="00156E20">
        <w:rPr>
          <w:sz w:val="24"/>
          <w:szCs w:val="24"/>
          <w:lang w:val="fr-BE"/>
        </w:rPr>
        <w:t xml:space="preserve"> du territoire</w:t>
      </w:r>
      <w:r w:rsidR="00D17A7C" w:rsidRPr="00156E20">
        <w:rPr>
          <w:sz w:val="24"/>
          <w:szCs w:val="24"/>
          <w:lang w:val="fr-BE"/>
        </w:rPr>
        <w:t>. Car</w:t>
      </w:r>
      <w:r w:rsidR="00AF1346" w:rsidRPr="00156E20">
        <w:rPr>
          <w:sz w:val="24"/>
          <w:szCs w:val="24"/>
          <w:lang w:val="fr-BE"/>
        </w:rPr>
        <w:t>,</w:t>
      </w:r>
      <w:r w:rsidR="00D17A7C" w:rsidRPr="00156E20">
        <w:rPr>
          <w:sz w:val="24"/>
          <w:szCs w:val="24"/>
          <w:lang w:val="fr-BE"/>
        </w:rPr>
        <w:t xml:space="preserve"> au-delà des poncifs liés au développement du tourisme et du souhait d’accueillir des entreprises internationales</w:t>
      </w:r>
      <w:r w:rsidR="00AF1346" w:rsidRPr="00156E20">
        <w:rPr>
          <w:sz w:val="24"/>
          <w:szCs w:val="24"/>
          <w:lang w:val="fr-BE"/>
        </w:rPr>
        <w:t>,</w:t>
      </w:r>
      <w:r w:rsidR="00D17A7C" w:rsidRPr="00156E20">
        <w:rPr>
          <w:sz w:val="24"/>
          <w:szCs w:val="24"/>
          <w:lang w:val="fr-BE"/>
        </w:rPr>
        <w:t xml:space="preserve"> </w:t>
      </w:r>
      <w:r w:rsidR="00B93B12" w:rsidRPr="00156E20">
        <w:rPr>
          <w:sz w:val="24"/>
          <w:szCs w:val="24"/>
          <w:lang w:val="fr-BE"/>
        </w:rPr>
        <w:t>l’exploration des ressources territoriales en vue de leur m</w:t>
      </w:r>
      <w:r w:rsidR="00AF1346" w:rsidRPr="00156E20">
        <w:rPr>
          <w:sz w:val="24"/>
          <w:szCs w:val="24"/>
          <w:lang w:val="fr-BE"/>
        </w:rPr>
        <w:t>ise</w:t>
      </w:r>
      <w:r w:rsidR="00B50C3B" w:rsidRPr="00156E20">
        <w:rPr>
          <w:sz w:val="24"/>
          <w:szCs w:val="24"/>
          <w:lang w:val="fr-BE"/>
        </w:rPr>
        <w:t xml:space="preserve"> en valeur est</w:t>
      </w:r>
      <w:r w:rsidR="00AF1346" w:rsidRPr="00156E20">
        <w:rPr>
          <w:sz w:val="24"/>
          <w:szCs w:val="24"/>
          <w:lang w:val="fr-BE"/>
        </w:rPr>
        <w:t xml:space="preserve"> biaisée </w:t>
      </w:r>
      <w:r w:rsidRPr="00156E20">
        <w:rPr>
          <w:sz w:val="24"/>
          <w:szCs w:val="24"/>
          <w:lang w:val="fr-BE"/>
        </w:rPr>
        <w:t xml:space="preserve">en raison d'une perception </w:t>
      </w:r>
      <w:r w:rsidR="00AF1346" w:rsidRPr="00156E20">
        <w:rPr>
          <w:sz w:val="24"/>
          <w:szCs w:val="24"/>
          <w:lang w:val="fr-BE"/>
        </w:rPr>
        <w:t>erronée</w:t>
      </w:r>
      <w:r w:rsidRPr="00156E20">
        <w:rPr>
          <w:sz w:val="24"/>
          <w:szCs w:val="24"/>
          <w:lang w:val="fr-BE"/>
        </w:rPr>
        <w:t xml:space="preserve"> </w:t>
      </w:r>
      <w:r w:rsidR="00B93B12" w:rsidRPr="00156E20">
        <w:rPr>
          <w:sz w:val="24"/>
          <w:szCs w:val="24"/>
          <w:lang w:val="fr-BE"/>
        </w:rPr>
        <w:t xml:space="preserve">tant </w:t>
      </w:r>
      <w:r w:rsidRPr="00156E20">
        <w:rPr>
          <w:sz w:val="24"/>
          <w:szCs w:val="24"/>
          <w:lang w:val="fr-BE"/>
        </w:rPr>
        <w:t>d</w:t>
      </w:r>
      <w:r w:rsidR="00B93B12" w:rsidRPr="00156E20">
        <w:rPr>
          <w:sz w:val="24"/>
          <w:szCs w:val="24"/>
          <w:lang w:val="fr-BE"/>
        </w:rPr>
        <w:t>e leur</w:t>
      </w:r>
      <w:r w:rsidRPr="00156E20">
        <w:rPr>
          <w:sz w:val="24"/>
          <w:szCs w:val="24"/>
          <w:lang w:val="fr-BE"/>
        </w:rPr>
        <w:t xml:space="preserve"> paysag</w:t>
      </w:r>
      <w:r w:rsidR="00355A4A" w:rsidRPr="00156E20">
        <w:rPr>
          <w:sz w:val="24"/>
          <w:szCs w:val="24"/>
          <w:lang w:val="fr-BE"/>
        </w:rPr>
        <w:t>e</w:t>
      </w:r>
      <w:r w:rsidR="00B93B12" w:rsidRPr="00156E20">
        <w:rPr>
          <w:sz w:val="24"/>
          <w:szCs w:val="24"/>
          <w:lang w:val="fr-BE"/>
        </w:rPr>
        <w:t xml:space="preserve"> que de leur territoire</w:t>
      </w:r>
      <w:r w:rsidR="000D2011" w:rsidRPr="00156E20">
        <w:rPr>
          <w:sz w:val="24"/>
          <w:szCs w:val="24"/>
          <w:lang w:val="fr-BE"/>
        </w:rPr>
        <w:t xml:space="preserve"> </w:t>
      </w:r>
      <w:r w:rsidR="000D2011" w:rsidRPr="00156E20">
        <w:rPr>
          <w:sz w:val="24"/>
          <w:szCs w:val="24"/>
          <w:lang w:val="fr-BE"/>
        </w:rPr>
        <w:fldChar w:fldCharType="begin"/>
      </w:r>
      <w:r w:rsidR="000D2011" w:rsidRPr="00156E20">
        <w:rPr>
          <w:sz w:val="24"/>
          <w:szCs w:val="24"/>
          <w:lang w:val="fr-BE"/>
        </w:rPr>
        <w:instrText xml:space="preserve"> ADDIN ZOTERO_ITEM CSL_CITATION {"citationID":"pXTU6zTf","properties":{"formattedCitation":"(Schmitz &amp; Vanderheyden, 2016)","plainCitation":"(Schmitz &amp; Vanderheyden, 2016)","noteIndex":0},"citationItems":[{"id":942,"uris":["http://zotero.org/users/7795961/items/89463WL2"],"itemData":{"id":942,"type":"article-journal","abstract":"Though most landscape ecologists have integrated scaling issues in their works, these issues are often disregarded in landscape perception and preference studies. Researchers base their studies on a predefined single scale to assess the landscape, and they pay little attention to the scale specificity of their analysis and recommendations. We reconsidered three landscape assessment studies from our research unit in light of scaling issues. In addition to the scale of the assessed landscape, researchers should address the scale of the landscape surrogate that is submitted for assessment, including the spatial references of the people surveyed and the target level of application of the results. Indeed, many of the landscape assessment methods mix different landscape notions and scales. Therefore, we recommend the cautious use of these assessments, the integration of qualitative insights in addition tithe scoring and paying attention to the perception scale, as defined by Fairclough (2006).","collection-title":"Addressing the social landscape dimensions: the need for reconciling cross scale assessments for capturing Cultural Ecosystem Services (CES)","container-title":"Land Use Policy","DOI":"10.1016/j.landusepol.2015.07.020","ISSN":"0264-8377","journalAbbreviation":"Land Use Policy","language":"en","page":"3-7","source":"ScienceDirect","title":"Reflexive loops on scaling issues in landscape quality assessment","volume":"53","author":[{"family":"Schmitz","given":"Serge"},{"family":"Vanderheyden","given":"Vincent"}],"issued":{"date-parts":[["2016",5,1]]}}}],"schema":"https://github.com/citation-style-language/schema/raw/master/csl-citation.json"} </w:instrText>
      </w:r>
      <w:r w:rsidR="000D2011" w:rsidRPr="00156E20">
        <w:rPr>
          <w:sz w:val="24"/>
          <w:szCs w:val="24"/>
          <w:lang w:val="fr-BE"/>
        </w:rPr>
        <w:fldChar w:fldCharType="separate"/>
      </w:r>
      <w:r w:rsidR="000D2011" w:rsidRPr="00156E20">
        <w:rPr>
          <w:rFonts w:ascii="Calibri" w:hAnsi="Calibri" w:cs="Calibri"/>
          <w:sz w:val="24"/>
          <w:szCs w:val="24"/>
          <w:lang w:val="fr-BE"/>
        </w:rPr>
        <w:t>(Schmitz &amp; Vanderheyden, 2016)</w:t>
      </w:r>
      <w:r w:rsidR="000D2011" w:rsidRPr="00156E20">
        <w:rPr>
          <w:sz w:val="24"/>
          <w:szCs w:val="24"/>
          <w:lang w:val="fr-BE"/>
        </w:rPr>
        <w:fldChar w:fldCharType="end"/>
      </w:r>
      <w:r w:rsidRPr="00156E20">
        <w:rPr>
          <w:sz w:val="24"/>
          <w:szCs w:val="24"/>
          <w:lang w:val="fr-BE"/>
        </w:rPr>
        <w:t>.</w:t>
      </w:r>
      <w:r w:rsidR="00B93B12" w:rsidRPr="00156E20">
        <w:rPr>
          <w:sz w:val="24"/>
          <w:szCs w:val="24"/>
          <w:lang w:val="fr-BE"/>
        </w:rPr>
        <w:t xml:space="preserve"> Ancrés dans l'aspiration à vivre en ville, de nombreux acteurs ne sont pas conscients du potentiel de croissance économique à travers les solutions de développement rural. Ainsi, notre </w:t>
      </w:r>
      <w:r w:rsidR="00AF1346" w:rsidRPr="00156E20">
        <w:rPr>
          <w:sz w:val="24"/>
          <w:szCs w:val="24"/>
          <w:lang w:val="fr-BE"/>
        </w:rPr>
        <w:t>démarche</w:t>
      </w:r>
      <w:r w:rsidR="00B93B12" w:rsidRPr="00156E20">
        <w:rPr>
          <w:sz w:val="24"/>
          <w:szCs w:val="24"/>
          <w:lang w:val="fr-BE"/>
        </w:rPr>
        <w:t xml:space="preserve"> </w:t>
      </w:r>
      <w:r w:rsidR="00AF1346" w:rsidRPr="00156E20">
        <w:rPr>
          <w:sz w:val="24"/>
          <w:szCs w:val="24"/>
          <w:lang w:val="fr-BE"/>
        </w:rPr>
        <w:t>utilise</w:t>
      </w:r>
      <w:r w:rsidR="00B93B12" w:rsidRPr="00156E20">
        <w:rPr>
          <w:sz w:val="24"/>
          <w:szCs w:val="24"/>
          <w:lang w:val="fr-BE"/>
        </w:rPr>
        <w:t xml:space="preserve"> le paysage comme vecteur d'aménagement du territoire et </w:t>
      </w:r>
      <w:r w:rsidR="00B50C3B" w:rsidRPr="00156E20">
        <w:rPr>
          <w:sz w:val="24"/>
          <w:szCs w:val="24"/>
          <w:lang w:val="fr-BE"/>
        </w:rPr>
        <w:t>pose l’hypothèse</w:t>
      </w:r>
      <w:r w:rsidR="00B93B12" w:rsidRPr="00156E20">
        <w:rPr>
          <w:sz w:val="24"/>
          <w:szCs w:val="24"/>
          <w:lang w:val="fr-BE"/>
        </w:rPr>
        <w:t xml:space="preserve"> qu'une approche paysagère de la reconversion des territoires miniers est préférable à d'autres solutions car elle capitaliserait sur les caractéristiques durables des paysages, plutôt que de concevoir un paysage selon </w:t>
      </w:r>
      <w:r w:rsidR="00B50C3B" w:rsidRPr="00156E20">
        <w:rPr>
          <w:sz w:val="24"/>
          <w:szCs w:val="24"/>
          <w:lang w:val="fr-BE"/>
        </w:rPr>
        <w:t>les</w:t>
      </w:r>
      <w:r w:rsidR="00B93B12" w:rsidRPr="00156E20">
        <w:rPr>
          <w:sz w:val="24"/>
          <w:szCs w:val="24"/>
          <w:lang w:val="fr-BE"/>
        </w:rPr>
        <w:t xml:space="preserve"> ambitions économiques de ses utilisateurs actuels </w:t>
      </w:r>
      <w:r w:rsidR="00A46BF4" w:rsidRPr="00156E20">
        <w:rPr>
          <w:sz w:val="24"/>
          <w:szCs w:val="24"/>
          <w:lang w:val="fr-BE"/>
        </w:rPr>
        <w:fldChar w:fldCharType="begin"/>
      </w:r>
      <w:r w:rsidR="00A46BF4" w:rsidRPr="00156E20">
        <w:rPr>
          <w:sz w:val="24"/>
          <w:szCs w:val="24"/>
          <w:lang w:val="fr-BE"/>
        </w:rPr>
        <w:instrText xml:space="preserve"> ADDIN ZOTERO_ITEM CSL_CITATION {"citationID":"0ESPQdOH","properties":{"formattedCitation":"(van Rooij et al., 2021)","plainCitation":"(van Rooij et al., 2021)","noteIndex":0},"citationItems":[{"id":953,"uris":["http://zotero.org/users/7795961/items/GEHVSBJT"],"itemData":{"id":953,"type":"article-journal","abstract":"In a context of a rapidly changing livability of towns and countryside, climate change and biodiversity decrease, this paper introduces a landscape-based planning approach to regional spatial policy challenges allowing a regime shift towards a future land system resilient to external pressures. The concept of nature-based solutions and transition theory are combined in this approach, in which co-created normative future visions serve as boundary concepts. Rather than as an object in itself, the landscape is considered as a comprehensive principle, to which all spatial processes are inherently related. We illustrate this approach with three projects in the Netherlands in which landscape-based visions were used to guide the land transition, going beyond the traditional nature-based solutions. The projects studied show that a shared long-term future landscape vision is a powerful boundary concept and a crucial source of inspiration for a coherent design approach to solve today’s spatial planning problems. Further, they show that cherishing abiotic differences in the landscape enhances sustainable and resilient landscapes, that co-creation in the social network is a prerequisite for shared solutions, and that a landscape-based approach enhances future-proof land-use transitions to adaptive, circular, and biodiverse landscapes.","container-title":"Land","DOI":"10.3390/land10010016","ISSN":"2073-445X","issue":"1","language":"en","note":"number: 1\npublisher: Multidisciplinary Digital Publishing Institute","page":"16","source":"www.mdpi.com","title":"Landscape-Based Visions as Powerful Boundary Objects in Spatial Planning: Lessons from Three Dutch Projects","title-short":"Landscape-Based Visions as Powerful Boundary Objects in Spatial Planning","volume":"10","author":[{"family":"Rooij","given":"Sabine","non-dropping-particle":"van"},{"family":"Timmermans","given":"Wim"},{"family":"Roosenschoon","given":"Onno"},{"family":"Keesstra","given":"Saskia"},{"family":"Sterk","given":"Marjolein"},{"family":"Pedroli","given":"Bas"}],"issued":{"date-parts":[["2021",1]]}}}],"schema":"https://github.com/citation-style-language/schema/raw/master/csl-citation.json"} </w:instrText>
      </w:r>
      <w:r w:rsidR="00A46BF4" w:rsidRPr="00156E20">
        <w:rPr>
          <w:sz w:val="24"/>
          <w:szCs w:val="24"/>
          <w:lang w:val="fr-BE"/>
        </w:rPr>
        <w:fldChar w:fldCharType="separate"/>
      </w:r>
      <w:r w:rsidR="00A46BF4" w:rsidRPr="00156E20">
        <w:rPr>
          <w:rFonts w:ascii="Calibri" w:hAnsi="Calibri" w:cs="Calibri"/>
          <w:sz w:val="24"/>
          <w:szCs w:val="24"/>
          <w:lang w:val="fr-BE"/>
        </w:rPr>
        <w:t>(van Rooij et al., 2021)</w:t>
      </w:r>
      <w:r w:rsidR="00A46BF4" w:rsidRPr="00156E20">
        <w:rPr>
          <w:sz w:val="24"/>
          <w:szCs w:val="24"/>
          <w:lang w:val="fr-BE"/>
        </w:rPr>
        <w:fldChar w:fldCharType="end"/>
      </w:r>
      <w:r w:rsidR="00A46BF4" w:rsidRPr="00156E20">
        <w:rPr>
          <w:sz w:val="24"/>
          <w:szCs w:val="24"/>
          <w:lang w:val="fr-BE"/>
        </w:rPr>
        <w:t>.</w:t>
      </w:r>
    </w:p>
    <w:p w14:paraId="4114E3B4" w14:textId="77777777" w:rsidR="00733E42" w:rsidRPr="00156E20" w:rsidRDefault="00733E42" w:rsidP="00156E20">
      <w:pPr>
        <w:spacing w:line="360" w:lineRule="auto"/>
        <w:jc w:val="both"/>
        <w:rPr>
          <w:sz w:val="24"/>
          <w:szCs w:val="24"/>
          <w:lang w:val="fr-BE"/>
        </w:rPr>
      </w:pPr>
    </w:p>
    <w:p w14:paraId="38FF293B" w14:textId="44CECF93" w:rsidR="009F2BA8" w:rsidRPr="00156E20" w:rsidRDefault="00A46BF4" w:rsidP="00156E20">
      <w:pPr>
        <w:spacing w:line="360" w:lineRule="auto"/>
        <w:jc w:val="center"/>
        <w:rPr>
          <w:b/>
          <w:bCs/>
          <w:sz w:val="24"/>
          <w:szCs w:val="24"/>
          <w:lang w:val="fr-BE"/>
        </w:rPr>
      </w:pPr>
      <w:r w:rsidRPr="00156E20">
        <w:rPr>
          <w:b/>
          <w:bCs/>
          <w:sz w:val="24"/>
          <w:szCs w:val="24"/>
          <w:lang w:val="fr-BE"/>
        </w:rPr>
        <w:t>Références :</w:t>
      </w:r>
    </w:p>
    <w:p w14:paraId="62A2D0BF" w14:textId="77777777" w:rsidR="00A46BF4" w:rsidRPr="00156E20" w:rsidRDefault="00A46BF4" w:rsidP="00156E20">
      <w:pPr>
        <w:pStyle w:val="Bibliography"/>
        <w:spacing w:line="360" w:lineRule="auto"/>
        <w:rPr>
          <w:rFonts w:ascii="Calibri" w:hAnsi="Calibri" w:cs="Calibri"/>
          <w:sz w:val="24"/>
          <w:szCs w:val="24"/>
        </w:rPr>
      </w:pPr>
      <w:r w:rsidRPr="00156E20">
        <w:rPr>
          <w:sz w:val="24"/>
          <w:szCs w:val="24"/>
          <w:lang w:val="fr-BE"/>
        </w:rPr>
        <w:fldChar w:fldCharType="begin"/>
      </w:r>
      <w:r w:rsidRPr="00156E20">
        <w:rPr>
          <w:sz w:val="24"/>
          <w:szCs w:val="24"/>
          <w:lang w:val="fr-BE"/>
        </w:rPr>
        <w:instrText xml:space="preserve"> ADDIN ZOTERO_BIBL {"uncited":[],"omitted":[],"custom":[]} CSL_BIBLIOGRAPHY </w:instrText>
      </w:r>
      <w:r w:rsidRPr="00156E20">
        <w:rPr>
          <w:sz w:val="24"/>
          <w:szCs w:val="24"/>
          <w:lang w:val="fr-BE"/>
        </w:rPr>
        <w:fldChar w:fldCharType="separate"/>
      </w:r>
      <w:r w:rsidRPr="00156E20">
        <w:rPr>
          <w:rFonts w:ascii="Calibri" w:hAnsi="Calibri" w:cs="Calibri"/>
          <w:sz w:val="24"/>
          <w:szCs w:val="24"/>
          <w:lang w:val="fr-BE"/>
        </w:rPr>
        <w:t xml:space="preserve">Alves Dias, P., Kanellopoulos, K., Medarac, H., Kapetaki, Z., Miranda-Barbosa, E., Shortall, R., Czako, V., Telsnig, T., Vazquez-Hernandez, C., Lacal Arántegui, R., Nijs, W., Gonzalez Aparicio, I., Trombetti, M., Mandras, G., Peteves, E., Tzimas, E., Europäische Kommission, &amp; Joint Research Centre. </w:t>
      </w:r>
      <w:r w:rsidRPr="00156E20">
        <w:rPr>
          <w:rFonts w:ascii="Calibri" w:hAnsi="Calibri" w:cs="Calibri"/>
          <w:sz w:val="24"/>
          <w:szCs w:val="24"/>
        </w:rPr>
        <w:t xml:space="preserve">(2018). </w:t>
      </w:r>
      <w:r w:rsidRPr="00156E20">
        <w:rPr>
          <w:rFonts w:ascii="Calibri" w:hAnsi="Calibri" w:cs="Calibri"/>
          <w:i/>
          <w:iCs/>
          <w:sz w:val="24"/>
          <w:szCs w:val="24"/>
        </w:rPr>
        <w:t>EU coal regions opportunities and challenges ahead</w:t>
      </w:r>
      <w:r w:rsidRPr="00156E20">
        <w:rPr>
          <w:rFonts w:ascii="Calibri" w:hAnsi="Calibri" w:cs="Calibri"/>
          <w:sz w:val="24"/>
          <w:szCs w:val="24"/>
        </w:rPr>
        <w:t>. https://doi.org/10.2760/064809</w:t>
      </w:r>
    </w:p>
    <w:p w14:paraId="1B2F2062"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Caldecott, B., Sartor, O., Spencer, T., IDDRI, &amp; Climate Strategies. (2017). </w:t>
      </w:r>
      <w:r w:rsidRPr="00156E20">
        <w:rPr>
          <w:rFonts w:ascii="Calibri" w:hAnsi="Calibri" w:cs="Calibri"/>
          <w:i/>
          <w:iCs/>
          <w:sz w:val="24"/>
          <w:szCs w:val="24"/>
        </w:rPr>
        <w:t>Lessons from previous ‘COAL TRANSITIONS.’</w:t>
      </w:r>
    </w:p>
    <w:p w14:paraId="79F9FFC7"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Dumitru, A., Frantzeskaki, N., &amp; Collier, M. (2020). Identifying principles for the design of robust impact evaluation frameworks for nature-based solutions in cities. </w:t>
      </w:r>
      <w:r w:rsidRPr="00156E20">
        <w:rPr>
          <w:rFonts w:ascii="Calibri" w:hAnsi="Calibri" w:cs="Calibri"/>
          <w:i/>
          <w:iCs/>
          <w:sz w:val="24"/>
          <w:szCs w:val="24"/>
        </w:rPr>
        <w:t>Environmental Science &amp; Policy</w:t>
      </w:r>
      <w:r w:rsidRPr="00156E20">
        <w:rPr>
          <w:rFonts w:ascii="Calibri" w:hAnsi="Calibri" w:cs="Calibri"/>
          <w:sz w:val="24"/>
          <w:szCs w:val="24"/>
        </w:rPr>
        <w:t xml:space="preserve">, </w:t>
      </w:r>
      <w:r w:rsidRPr="00156E20">
        <w:rPr>
          <w:rFonts w:ascii="Calibri" w:hAnsi="Calibri" w:cs="Calibri"/>
          <w:i/>
          <w:iCs/>
          <w:sz w:val="24"/>
          <w:szCs w:val="24"/>
        </w:rPr>
        <w:t>112</w:t>
      </w:r>
      <w:r w:rsidRPr="00156E20">
        <w:rPr>
          <w:rFonts w:ascii="Calibri" w:hAnsi="Calibri" w:cs="Calibri"/>
          <w:sz w:val="24"/>
          <w:szCs w:val="24"/>
        </w:rPr>
        <w:t>, 107–116. https://doi.org/10.1016/j.envsci.2020.05.024</w:t>
      </w:r>
    </w:p>
    <w:p w14:paraId="06D66DA2"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Jonas, A. E. G. (2012). Region and place: Regionalism in question. </w:t>
      </w:r>
      <w:r w:rsidRPr="00156E20">
        <w:rPr>
          <w:rFonts w:ascii="Calibri" w:hAnsi="Calibri" w:cs="Calibri"/>
          <w:i/>
          <w:iCs/>
          <w:sz w:val="24"/>
          <w:szCs w:val="24"/>
        </w:rPr>
        <w:t>Progress in Human Geography</w:t>
      </w:r>
      <w:r w:rsidRPr="00156E20">
        <w:rPr>
          <w:rFonts w:ascii="Calibri" w:hAnsi="Calibri" w:cs="Calibri"/>
          <w:sz w:val="24"/>
          <w:szCs w:val="24"/>
        </w:rPr>
        <w:t xml:space="preserve">, </w:t>
      </w:r>
      <w:r w:rsidRPr="00156E20">
        <w:rPr>
          <w:rFonts w:ascii="Calibri" w:hAnsi="Calibri" w:cs="Calibri"/>
          <w:i/>
          <w:iCs/>
          <w:sz w:val="24"/>
          <w:szCs w:val="24"/>
        </w:rPr>
        <w:t>36</w:t>
      </w:r>
      <w:r w:rsidRPr="00156E20">
        <w:rPr>
          <w:rFonts w:ascii="Calibri" w:hAnsi="Calibri" w:cs="Calibri"/>
          <w:sz w:val="24"/>
          <w:szCs w:val="24"/>
        </w:rPr>
        <w:t>(2), 263–272. https://doi.org/10.1177/0309132510394118</w:t>
      </w:r>
    </w:p>
    <w:p w14:paraId="6B388889"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lastRenderedPageBreak/>
        <w:t xml:space="preserve">Kelemen, A. (2020). </w:t>
      </w:r>
      <w:r w:rsidRPr="00156E20">
        <w:rPr>
          <w:rFonts w:ascii="Calibri" w:hAnsi="Calibri" w:cs="Calibri"/>
          <w:i/>
          <w:iCs/>
          <w:sz w:val="24"/>
          <w:szCs w:val="24"/>
        </w:rPr>
        <w:t>Supporting sustainability transitions under the European Green Deal with cohesion policy</w:t>
      </w:r>
      <w:r w:rsidRPr="00156E20">
        <w:rPr>
          <w:rFonts w:ascii="Calibri" w:hAnsi="Calibri" w:cs="Calibri"/>
          <w:sz w:val="24"/>
          <w:szCs w:val="24"/>
        </w:rPr>
        <w:t>. Directorate-General for Regional and Urban Policy. https://ec.europa.eu/regional_policy/sources/docgener/studies/pdf/report_sust_transit_en.pdf</w:t>
      </w:r>
    </w:p>
    <w:p w14:paraId="72DAE1CF"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Pontarollo, N., &amp; Serpieri, C. (2020). A composite policy tool to measure territorial resilience capacity. </w:t>
      </w:r>
      <w:r w:rsidRPr="00156E20">
        <w:rPr>
          <w:rFonts w:ascii="Calibri" w:hAnsi="Calibri" w:cs="Calibri"/>
          <w:i/>
          <w:iCs/>
          <w:sz w:val="24"/>
          <w:szCs w:val="24"/>
        </w:rPr>
        <w:t>Socio-Economic Planning Sciences</w:t>
      </w:r>
      <w:r w:rsidRPr="00156E20">
        <w:rPr>
          <w:rFonts w:ascii="Calibri" w:hAnsi="Calibri" w:cs="Calibri"/>
          <w:sz w:val="24"/>
          <w:szCs w:val="24"/>
        </w:rPr>
        <w:t xml:space="preserve">, </w:t>
      </w:r>
      <w:r w:rsidRPr="00156E20">
        <w:rPr>
          <w:rFonts w:ascii="Calibri" w:hAnsi="Calibri" w:cs="Calibri"/>
          <w:i/>
          <w:iCs/>
          <w:sz w:val="24"/>
          <w:szCs w:val="24"/>
        </w:rPr>
        <w:t>70</w:t>
      </w:r>
      <w:r w:rsidRPr="00156E20">
        <w:rPr>
          <w:rFonts w:ascii="Calibri" w:hAnsi="Calibri" w:cs="Calibri"/>
          <w:sz w:val="24"/>
          <w:szCs w:val="24"/>
        </w:rPr>
        <w:t>, 100669. https://doi.org/10.1016/j.seps.2018.11.006</w:t>
      </w:r>
    </w:p>
    <w:p w14:paraId="5215ADB8"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Schmitz, S., &amp; Vanderheyden, V. (2016). Reflexive loops on scaling issues in landscape quality assessment. </w:t>
      </w:r>
      <w:r w:rsidRPr="00156E20">
        <w:rPr>
          <w:rFonts w:ascii="Calibri" w:hAnsi="Calibri" w:cs="Calibri"/>
          <w:i/>
          <w:iCs/>
          <w:sz w:val="24"/>
          <w:szCs w:val="24"/>
        </w:rPr>
        <w:t>Land Use Policy</w:t>
      </w:r>
      <w:r w:rsidRPr="00156E20">
        <w:rPr>
          <w:rFonts w:ascii="Calibri" w:hAnsi="Calibri" w:cs="Calibri"/>
          <w:sz w:val="24"/>
          <w:szCs w:val="24"/>
        </w:rPr>
        <w:t xml:space="preserve">, </w:t>
      </w:r>
      <w:r w:rsidRPr="00156E20">
        <w:rPr>
          <w:rFonts w:ascii="Calibri" w:hAnsi="Calibri" w:cs="Calibri"/>
          <w:i/>
          <w:iCs/>
          <w:sz w:val="24"/>
          <w:szCs w:val="24"/>
        </w:rPr>
        <w:t>53</w:t>
      </w:r>
      <w:r w:rsidRPr="00156E20">
        <w:rPr>
          <w:rFonts w:ascii="Calibri" w:hAnsi="Calibri" w:cs="Calibri"/>
          <w:sz w:val="24"/>
          <w:szCs w:val="24"/>
        </w:rPr>
        <w:t>, 3–7. https://doi.org/10.1016/j.landusepol.2015.07.020</w:t>
      </w:r>
    </w:p>
    <w:p w14:paraId="24B65EDC" w14:textId="77777777" w:rsidR="00A46BF4" w:rsidRPr="00156E20" w:rsidRDefault="00A46BF4" w:rsidP="00156E20">
      <w:pPr>
        <w:pStyle w:val="Bibliography"/>
        <w:spacing w:line="360" w:lineRule="auto"/>
        <w:rPr>
          <w:rFonts w:ascii="Calibri" w:hAnsi="Calibri" w:cs="Calibri"/>
          <w:sz w:val="24"/>
          <w:szCs w:val="24"/>
        </w:rPr>
      </w:pPr>
      <w:r w:rsidRPr="00156E20">
        <w:rPr>
          <w:rFonts w:ascii="Calibri" w:hAnsi="Calibri" w:cs="Calibri"/>
          <w:sz w:val="24"/>
          <w:szCs w:val="24"/>
        </w:rPr>
        <w:t xml:space="preserve">van Rooij, S., Timmermans, W., Roosenschoon, O., Keesstra, S., Sterk, M., &amp; Pedroli, B. (2021). Landscape-Based Visions as Powerful Boundary Objects in Spatial Planning: Lessons from Three Dutch Projects. </w:t>
      </w:r>
      <w:r w:rsidRPr="00156E20">
        <w:rPr>
          <w:rFonts w:ascii="Calibri" w:hAnsi="Calibri" w:cs="Calibri"/>
          <w:i/>
          <w:iCs/>
          <w:sz w:val="24"/>
          <w:szCs w:val="24"/>
        </w:rPr>
        <w:t>Land</w:t>
      </w:r>
      <w:r w:rsidRPr="00156E20">
        <w:rPr>
          <w:rFonts w:ascii="Calibri" w:hAnsi="Calibri" w:cs="Calibri"/>
          <w:sz w:val="24"/>
          <w:szCs w:val="24"/>
        </w:rPr>
        <w:t xml:space="preserve">, </w:t>
      </w:r>
      <w:r w:rsidRPr="00156E20">
        <w:rPr>
          <w:rFonts w:ascii="Calibri" w:hAnsi="Calibri" w:cs="Calibri"/>
          <w:i/>
          <w:iCs/>
          <w:sz w:val="24"/>
          <w:szCs w:val="24"/>
        </w:rPr>
        <w:t>10</w:t>
      </w:r>
      <w:r w:rsidRPr="00156E20">
        <w:rPr>
          <w:rFonts w:ascii="Calibri" w:hAnsi="Calibri" w:cs="Calibri"/>
          <w:sz w:val="24"/>
          <w:szCs w:val="24"/>
        </w:rPr>
        <w:t>(1), 16. https://doi.org/10.3390/land10010016</w:t>
      </w:r>
    </w:p>
    <w:p w14:paraId="5A4EE2C9" w14:textId="6971A280" w:rsidR="00B828CA" w:rsidRPr="00156E20" w:rsidRDefault="00A46BF4" w:rsidP="00156E20">
      <w:pPr>
        <w:spacing w:line="360" w:lineRule="auto"/>
        <w:jc w:val="both"/>
        <w:rPr>
          <w:sz w:val="24"/>
          <w:szCs w:val="24"/>
          <w:lang w:val="fr-BE"/>
        </w:rPr>
      </w:pPr>
      <w:r w:rsidRPr="00156E20">
        <w:rPr>
          <w:sz w:val="24"/>
          <w:szCs w:val="24"/>
          <w:lang w:val="fr-BE"/>
        </w:rPr>
        <w:fldChar w:fldCharType="end"/>
      </w:r>
    </w:p>
    <w:sectPr w:rsidR="00B828CA" w:rsidRPr="00156E20" w:rsidSect="001808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DEB9" w14:textId="77777777" w:rsidR="00180872" w:rsidRDefault="00180872" w:rsidP="00B030D0">
      <w:pPr>
        <w:spacing w:after="0" w:line="240" w:lineRule="auto"/>
      </w:pPr>
      <w:r>
        <w:separator/>
      </w:r>
    </w:p>
  </w:endnote>
  <w:endnote w:type="continuationSeparator" w:id="0">
    <w:p w14:paraId="1332064E" w14:textId="77777777" w:rsidR="00180872" w:rsidRDefault="00180872" w:rsidP="00B0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201813"/>
      <w:docPartObj>
        <w:docPartGallery w:val="Page Numbers (Bottom of Page)"/>
        <w:docPartUnique/>
      </w:docPartObj>
    </w:sdtPr>
    <w:sdtEndPr>
      <w:rPr>
        <w:noProof/>
      </w:rPr>
    </w:sdtEndPr>
    <w:sdtContent>
      <w:p w14:paraId="06CAF81D" w14:textId="42EE5147" w:rsidR="00B030D0" w:rsidRDefault="00B030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59373" w14:textId="77777777" w:rsidR="00B030D0" w:rsidRDefault="00B03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B2DC" w14:textId="77777777" w:rsidR="00180872" w:rsidRDefault="00180872" w:rsidP="00B030D0">
      <w:pPr>
        <w:spacing w:after="0" w:line="240" w:lineRule="auto"/>
      </w:pPr>
      <w:r>
        <w:separator/>
      </w:r>
    </w:p>
  </w:footnote>
  <w:footnote w:type="continuationSeparator" w:id="0">
    <w:p w14:paraId="07B20C57" w14:textId="77777777" w:rsidR="00180872" w:rsidRDefault="00180872" w:rsidP="00B03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67456"/>
    <w:multiLevelType w:val="hybridMultilevel"/>
    <w:tmpl w:val="C6CE69A8"/>
    <w:lvl w:ilvl="0" w:tplc="B712D096">
      <w:numFmt w:val="bullet"/>
      <w:lvlText w:val=""/>
      <w:lvlJc w:val="left"/>
      <w:pPr>
        <w:ind w:left="720" w:hanging="360"/>
      </w:pPr>
      <w:rPr>
        <w:rFonts w:ascii="Symbol" w:eastAsiaTheme="minorHAnsi" w:hAnsi="Symbol" w:cstheme="minorBid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4FC3A2E"/>
    <w:multiLevelType w:val="hybridMultilevel"/>
    <w:tmpl w:val="07D25404"/>
    <w:lvl w:ilvl="0" w:tplc="A85C3DD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18210560">
    <w:abstractNumId w:val="0"/>
  </w:num>
  <w:num w:numId="2" w16cid:durableId="184696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BE"/>
    <w:rsid w:val="000077D9"/>
    <w:rsid w:val="00011937"/>
    <w:rsid w:val="00037B2D"/>
    <w:rsid w:val="000A67DF"/>
    <w:rsid w:val="000D0886"/>
    <w:rsid w:val="000D2011"/>
    <w:rsid w:val="000E5C9A"/>
    <w:rsid w:val="00156E20"/>
    <w:rsid w:val="00180872"/>
    <w:rsid w:val="001B3910"/>
    <w:rsid w:val="001C39F6"/>
    <w:rsid w:val="001D5F13"/>
    <w:rsid w:val="00233F94"/>
    <w:rsid w:val="0023633B"/>
    <w:rsid w:val="00271E47"/>
    <w:rsid w:val="002B77FF"/>
    <w:rsid w:val="002F6AD6"/>
    <w:rsid w:val="003228DC"/>
    <w:rsid w:val="00333169"/>
    <w:rsid w:val="00351953"/>
    <w:rsid w:val="003544EA"/>
    <w:rsid w:val="00355A4A"/>
    <w:rsid w:val="0040761C"/>
    <w:rsid w:val="0041606B"/>
    <w:rsid w:val="00422E96"/>
    <w:rsid w:val="00433DE7"/>
    <w:rsid w:val="004368B4"/>
    <w:rsid w:val="00450F64"/>
    <w:rsid w:val="0045333C"/>
    <w:rsid w:val="004A4AEA"/>
    <w:rsid w:val="004A5A45"/>
    <w:rsid w:val="004E351C"/>
    <w:rsid w:val="004F7FBB"/>
    <w:rsid w:val="00501F2A"/>
    <w:rsid w:val="00543A73"/>
    <w:rsid w:val="0057368F"/>
    <w:rsid w:val="00582377"/>
    <w:rsid w:val="005A55A4"/>
    <w:rsid w:val="005D3BF8"/>
    <w:rsid w:val="005F20BE"/>
    <w:rsid w:val="005F7ADB"/>
    <w:rsid w:val="00624D01"/>
    <w:rsid w:val="00625546"/>
    <w:rsid w:val="006C1424"/>
    <w:rsid w:val="006F4F92"/>
    <w:rsid w:val="00702457"/>
    <w:rsid w:val="0070260F"/>
    <w:rsid w:val="007108A7"/>
    <w:rsid w:val="00733E42"/>
    <w:rsid w:val="00763CA2"/>
    <w:rsid w:val="00827427"/>
    <w:rsid w:val="00840149"/>
    <w:rsid w:val="00840F7F"/>
    <w:rsid w:val="00844026"/>
    <w:rsid w:val="00855014"/>
    <w:rsid w:val="008600AE"/>
    <w:rsid w:val="00875EAD"/>
    <w:rsid w:val="008D3AD1"/>
    <w:rsid w:val="008E6189"/>
    <w:rsid w:val="00926346"/>
    <w:rsid w:val="009363A5"/>
    <w:rsid w:val="009576D0"/>
    <w:rsid w:val="009702A3"/>
    <w:rsid w:val="009C4955"/>
    <w:rsid w:val="009F2BA8"/>
    <w:rsid w:val="009F7C86"/>
    <w:rsid w:val="00A23054"/>
    <w:rsid w:val="00A256DE"/>
    <w:rsid w:val="00A46BF4"/>
    <w:rsid w:val="00A64D2C"/>
    <w:rsid w:val="00A77491"/>
    <w:rsid w:val="00AC3BC4"/>
    <w:rsid w:val="00AF1346"/>
    <w:rsid w:val="00B030D0"/>
    <w:rsid w:val="00B506AD"/>
    <w:rsid w:val="00B50C3B"/>
    <w:rsid w:val="00B828CA"/>
    <w:rsid w:val="00B938AD"/>
    <w:rsid w:val="00B93B12"/>
    <w:rsid w:val="00B956D0"/>
    <w:rsid w:val="00B969BA"/>
    <w:rsid w:val="00BC3602"/>
    <w:rsid w:val="00BE0805"/>
    <w:rsid w:val="00C1434F"/>
    <w:rsid w:val="00C26258"/>
    <w:rsid w:val="00C64FFB"/>
    <w:rsid w:val="00C87231"/>
    <w:rsid w:val="00C940E9"/>
    <w:rsid w:val="00CA6FF1"/>
    <w:rsid w:val="00CD4B91"/>
    <w:rsid w:val="00D17A7C"/>
    <w:rsid w:val="00D72C79"/>
    <w:rsid w:val="00DB58F7"/>
    <w:rsid w:val="00DB6B62"/>
    <w:rsid w:val="00DC512A"/>
    <w:rsid w:val="00E55554"/>
    <w:rsid w:val="00E72AC0"/>
    <w:rsid w:val="00EA466A"/>
    <w:rsid w:val="00EA55BB"/>
    <w:rsid w:val="00F07B06"/>
    <w:rsid w:val="00F13F99"/>
    <w:rsid w:val="00FC2ED4"/>
    <w:rsid w:val="00FD461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3066"/>
  <w15:chartTrackingRefBased/>
  <w15:docId w15:val="{613236D8-82A0-4486-A44C-E1417254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82377"/>
    <w:pPr>
      <w:spacing w:after="0" w:line="240" w:lineRule="auto"/>
    </w:pPr>
  </w:style>
  <w:style w:type="paragraph" w:styleId="BalloonText">
    <w:name w:val="Balloon Text"/>
    <w:basedOn w:val="Normal"/>
    <w:link w:val="BalloonTextChar"/>
    <w:uiPriority w:val="99"/>
    <w:semiHidden/>
    <w:unhideWhenUsed/>
    <w:rsid w:val="00B93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12"/>
    <w:rPr>
      <w:rFonts w:ascii="Segoe UI" w:hAnsi="Segoe UI" w:cs="Segoe UI"/>
      <w:sz w:val="18"/>
      <w:szCs w:val="18"/>
    </w:rPr>
  </w:style>
  <w:style w:type="character" w:styleId="Hyperlink">
    <w:name w:val="Hyperlink"/>
    <w:basedOn w:val="DefaultParagraphFont"/>
    <w:uiPriority w:val="99"/>
    <w:semiHidden/>
    <w:unhideWhenUsed/>
    <w:rsid w:val="00B506AD"/>
    <w:rPr>
      <w:color w:val="0563C1" w:themeColor="hyperlink"/>
      <w:u w:val="single"/>
    </w:rPr>
  </w:style>
  <w:style w:type="paragraph" w:styleId="ListParagraph">
    <w:name w:val="List Paragraph"/>
    <w:basedOn w:val="Normal"/>
    <w:uiPriority w:val="34"/>
    <w:qFormat/>
    <w:rsid w:val="000E5C9A"/>
    <w:pPr>
      <w:ind w:left="720"/>
      <w:contextualSpacing/>
    </w:pPr>
  </w:style>
  <w:style w:type="paragraph" w:styleId="Bibliography">
    <w:name w:val="Bibliography"/>
    <w:basedOn w:val="Normal"/>
    <w:next w:val="Normal"/>
    <w:uiPriority w:val="37"/>
    <w:unhideWhenUsed/>
    <w:rsid w:val="00A46BF4"/>
    <w:pPr>
      <w:spacing w:after="0" w:line="480" w:lineRule="auto"/>
      <w:ind w:left="720" w:hanging="720"/>
    </w:pPr>
  </w:style>
  <w:style w:type="paragraph" w:styleId="Header">
    <w:name w:val="header"/>
    <w:basedOn w:val="Normal"/>
    <w:link w:val="HeaderChar"/>
    <w:uiPriority w:val="99"/>
    <w:unhideWhenUsed/>
    <w:rsid w:val="00B0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0D0"/>
  </w:style>
  <w:style w:type="paragraph" w:styleId="Footer">
    <w:name w:val="footer"/>
    <w:basedOn w:val="Normal"/>
    <w:link w:val="FooterChar"/>
    <w:uiPriority w:val="99"/>
    <w:unhideWhenUsed/>
    <w:rsid w:val="00B0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757898">
      <w:bodyDiv w:val="1"/>
      <w:marLeft w:val="0"/>
      <w:marRight w:val="0"/>
      <w:marTop w:val="0"/>
      <w:marBottom w:val="0"/>
      <w:divBdr>
        <w:top w:val="none" w:sz="0" w:space="0" w:color="auto"/>
        <w:left w:val="none" w:sz="0" w:space="0" w:color="auto"/>
        <w:bottom w:val="none" w:sz="0" w:space="0" w:color="auto"/>
        <w:right w:val="none" w:sz="0" w:space="0" w:color="auto"/>
      </w:divBdr>
    </w:div>
    <w:div w:id="1460143623">
      <w:bodyDiv w:val="1"/>
      <w:marLeft w:val="0"/>
      <w:marRight w:val="0"/>
      <w:marTop w:val="0"/>
      <w:marBottom w:val="0"/>
      <w:divBdr>
        <w:top w:val="none" w:sz="0" w:space="0" w:color="auto"/>
        <w:left w:val="none" w:sz="0" w:space="0" w:color="auto"/>
        <w:bottom w:val="none" w:sz="0" w:space="0" w:color="auto"/>
        <w:right w:val="none" w:sz="0" w:space="0" w:color="auto"/>
      </w:divBdr>
    </w:div>
    <w:div w:id="17867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schmitz@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2677</Words>
  <Characters>15263</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Nicola</dc:creator>
  <cp:keywords/>
  <dc:description/>
  <cp:lastModifiedBy>Sanda Nicola</cp:lastModifiedBy>
  <cp:revision>15</cp:revision>
  <cp:lastPrinted>2022-07-02T11:31:00Z</cp:lastPrinted>
  <dcterms:created xsi:type="dcterms:W3CDTF">2022-07-01T07:22:00Z</dcterms:created>
  <dcterms:modified xsi:type="dcterms:W3CDTF">2024-01-17T22:26:00Z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id="N832qTmb"/&gt;&lt;style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