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6B4" w:rsidRPr="00913909" w:rsidRDefault="00E02667" w:rsidP="00E02667">
      <w:pPr>
        <w:pStyle w:val="Titre"/>
        <w:rPr>
          <w:rFonts w:ascii="Cambria" w:hAnsi="Cambria" w:cs="Times New Roman"/>
          <w:b/>
          <w:lang w:val="fr-BE"/>
        </w:rPr>
      </w:pPr>
      <w:r w:rsidRPr="00913909">
        <w:rPr>
          <w:rFonts w:ascii="Cambria" w:hAnsi="Cambria" w:cs="Times New Roman"/>
          <w:b/>
          <w:lang w:val="fr-BE"/>
        </w:rPr>
        <w:t>Dans quelle mesure les outils numériques permettent-ils de développer l’autonomie des élèves</w:t>
      </w:r>
      <w:r w:rsidR="00EE5ECB" w:rsidRPr="00913909">
        <w:rPr>
          <w:rFonts w:ascii="Cambria" w:hAnsi="Cambria" w:cs="Times New Roman"/>
          <w:b/>
          <w:lang w:val="fr-BE"/>
        </w:rPr>
        <w:t> </w:t>
      </w:r>
      <w:r w:rsidRPr="00913909">
        <w:rPr>
          <w:rFonts w:ascii="Cambria" w:hAnsi="Cambria" w:cs="Times New Roman"/>
          <w:b/>
          <w:lang w:val="fr-BE"/>
        </w:rPr>
        <w:t xml:space="preserve">? </w:t>
      </w:r>
    </w:p>
    <w:p w:rsidR="00E02667" w:rsidRPr="00913909" w:rsidRDefault="00AB0691" w:rsidP="00E02667">
      <w:pPr>
        <w:pStyle w:val="Titre"/>
        <w:rPr>
          <w:rFonts w:ascii="Cambria" w:hAnsi="Cambria" w:cs="Times New Roman"/>
          <w:sz w:val="40"/>
          <w:szCs w:val="40"/>
          <w:lang w:val="fr-BE"/>
        </w:rPr>
      </w:pPr>
      <w:r w:rsidRPr="00913909">
        <w:rPr>
          <w:rFonts w:ascii="Cambria" w:hAnsi="Cambria" w:cs="Times New Roman"/>
          <w:sz w:val="40"/>
          <w:szCs w:val="40"/>
          <w:lang w:val="fr-BE"/>
        </w:rPr>
        <w:t>Un aperçu depuis la</w:t>
      </w:r>
      <w:r w:rsidR="00681A58" w:rsidRPr="00913909">
        <w:rPr>
          <w:rFonts w:ascii="Cambria" w:hAnsi="Cambria" w:cs="Times New Roman"/>
          <w:sz w:val="40"/>
          <w:szCs w:val="40"/>
          <w:lang w:val="fr-BE"/>
        </w:rPr>
        <w:t xml:space="preserve"> didactique de l’information et de la communication</w:t>
      </w:r>
    </w:p>
    <w:p w:rsidR="00E02667" w:rsidRPr="00913909" w:rsidRDefault="00E02667" w:rsidP="009819BD">
      <w:pPr>
        <w:spacing w:line="360" w:lineRule="auto"/>
        <w:rPr>
          <w:rFonts w:cs="Times New Roman"/>
          <w:lang w:val="fr-BE"/>
        </w:rPr>
      </w:pPr>
      <w:r w:rsidRPr="00913909">
        <w:rPr>
          <w:rFonts w:cs="Times New Roman"/>
          <w:lang w:val="fr-BE"/>
        </w:rPr>
        <w:t>I</w:t>
      </w:r>
      <w:r w:rsidR="00B22B5C">
        <w:rPr>
          <w:rFonts w:cs="Times New Roman"/>
          <w:lang w:val="fr-BE"/>
        </w:rPr>
        <w:t>ngrid</w:t>
      </w:r>
      <w:r w:rsidRPr="00913909">
        <w:rPr>
          <w:rFonts w:cs="Times New Roman"/>
          <w:lang w:val="fr-BE"/>
        </w:rPr>
        <w:t xml:space="preserve"> </w:t>
      </w:r>
      <w:r w:rsidRPr="00913909">
        <w:rPr>
          <w:rFonts w:cs="Times New Roman"/>
          <w:smallCaps/>
          <w:lang w:val="fr-BE"/>
        </w:rPr>
        <w:t>Mayeur</w:t>
      </w:r>
      <w:r w:rsidRPr="00913909">
        <w:rPr>
          <w:rFonts w:cs="Times New Roman"/>
          <w:lang w:val="fr-BE"/>
        </w:rPr>
        <w:t xml:space="preserve"> (</w:t>
      </w:r>
      <w:r w:rsidRPr="00913909">
        <w:rPr>
          <w:rFonts w:cs="Times New Roman"/>
          <w:i/>
          <w:lang w:val="fr-BE"/>
        </w:rPr>
        <w:t xml:space="preserve">ULiège, </w:t>
      </w:r>
      <w:proofErr w:type="spellStart"/>
      <w:r w:rsidRPr="00913909">
        <w:rPr>
          <w:rFonts w:cs="Times New Roman"/>
          <w:i/>
          <w:lang w:val="fr-BE"/>
        </w:rPr>
        <w:t>dpt</w:t>
      </w:r>
      <w:proofErr w:type="spellEnd"/>
      <w:r w:rsidR="00B76F24" w:rsidRPr="00913909">
        <w:rPr>
          <w:rFonts w:cs="Times New Roman"/>
          <w:i/>
          <w:lang w:val="fr-BE"/>
        </w:rPr>
        <w:t xml:space="preserve"> Médias, Culture, Communication</w:t>
      </w:r>
      <w:r w:rsidR="00D034DB">
        <w:rPr>
          <w:rFonts w:cs="Times New Roman"/>
          <w:i/>
          <w:lang w:val="fr-BE"/>
        </w:rPr>
        <w:t xml:space="preserve"> — UR Traverses et </w:t>
      </w:r>
      <w:proofErr w:type="spellStart"/>
      <w:r w:rsidR="00D034DB">
        <w:rPr>
          <w:rFonts w:cs="Times New Roman"/>
          <w:i/>
          <w:lang w:val="fr-BE"/>
        </w:rPr>
        <w:t>Didactifen</w:t>
      </w:r>
      <w:proofErr w:type="spellEnd"/>
      <w:r w:rsidR="001C6746" w:rsidRPr="00913909">
        <w:rPr>
          <w:rFonts w:cs="Times New Roman"/>
          <w:lang w:val="fr-BE"/>
        </w:rPr>
        <w:t>)</w:t>
      </w:r>
    </w:p>
    <w:p w:rsidR="00936735" w:rsidRPr="00913909" w:rsidRDefault="00936735" w:rsidP="00D823FB">
      <w:pPr>
        <w:pStyle w:val="Titre1"/>
      </w:pPr>
      <w:r w:rsidRPr="00913909">
        <w:t>Intro</w:t>
      </w:r>
      <w:r w:rsidR="009819BD" w:rsidRPr="00913909">
        <w:t>duction</w:t>
      </w:r>
      <w:r w:rsidR="00D646BA" w:rsidRPr="00913909">
        <w:t xml:space="preserve"> : d’où </w:t>
      </w:r>
      <w:r w:rsidR="00D646BA" w:rsidRPr="00D823FB">
        <w:t>parlons</w:t>
      </w:r>
      <w:r w:rsidR="00D646BA" w:rsidRPr="00913909">
        <w:t>-nous ?</w:t>
      </w:r>
    </w:p>
    <w:p w:rsidR="00B13921" w:rsidRPr="00913909" w:rsidRDefault="000A3A66" w:rsidP="009819BD">
      <w:pPr>
        <w:spacing w:line="360" w:lineRule="auto"/>
        <w:rPr>
          <w:rFonts w:cs="Times New Roman"/>
          <w:lang w:val="fr-BE"/>
        </w:rPr>
      </w:pPr>
      <w:r w:rsidRPr="00913909">
        <w:rPr>
          <w:rFonts w:cs="Times New Roman"/>
          <w:lang w:val="fr-BE"/>
        </w:rPr>
        <w:t>La didactique de l’information et de la communication</w:t>
      </w:r>
      <w:r w:rsidR="00EC62F5" w:rsidRPr="00913909">
        <w:rPr>
          <w:rFonts w:cs="Times New Roman"/>
          <w:lang w:val="fr-BE"/>
        </w:rPr>
        <w:t>, parfois rapprochée de l’éducation aux médias,</w:t>
      </w:r>
      <w:r w:rsidR="007A52FF" w:rsidRPr="00913909">
        <w:rPr>
          <w:rFonts w:cs="Times New Roman"/>
          <w:lang w:val="fr-BE"/>
        </w:rPr>
        <w:t xml:space="preserve"> </w:t>
      </w:r>
      <w:r w:rsidRPr="00913909">
        <w:rPr>
          <w:rFonts w:cs="Times New Roman"/>
          <w:lang w:val="fr-BE"/>
        </w:rPr>
        <w:t>se situe au croisement des sciences de l’information et de la communication et des sciences de l’éducation</w:t>
      </w:r>
      <w:r w:rsidR="00493657" w:rsidRPr="00913909">
        <w:rPr>
          <w:rFonts w:cs="Times New Roman"/>
          <w:lang w:val="fr-BE"/>
        </w:rPr>
        <w:t>. E</w:t>
      </w:r>
      <w:r w:rsidR="006E1B8E" w:rsidRPr="00913909">
        <w:rPr>
          <w:rFonts w:cs="Times New Roman"/>
          <w:lang w:val="fr-BE"/>
        </w:rPr>
        <w:t>lle</w:t>
      </w:r>
      <w:r w:rsidRPr="00913909">
        <w:rPr>
          <w:rFonts w:cs="Times New Roman"/>
          <w:lang w:val="fr-BE"/>
        </w:rPr>
        <w:t xml:space="preserve"> s’intéresse </w:t>
      </w:r>
      <w:r w:rsidR="00991594" w:rsidRPr="00913909">
        <w:rPr>
          <w:rFonts w:cs="Times New Roman"/>
          <w:lang w:val="fr-BE"/>
        </w:rPr>
        <w:t>ainsi</w:t>
      </w:r>
      <w:r w:rsidR="006E1B8E" w:rsidRPr="00913909">
        <w:rPr>
          <w:rFonts w:cs="Times New Roman"/>
          <w:lang w:val="fr-BE"/>
        </w:rPr>
        <w:t xml:space="preserve"> </w:t>
      </w:r>
      <w:r w:rsidRPr="00913909">
        <w:rPr>
          <w:rFonts w:cs="Times New Roman"/>
          <w:lang w:val="fr-BE"/>
        </w:rPr>
        <w:t>à la manière dont les savoirs en information et communication peuvent être</w:t>
      </w:r>
      <w:r w:rsidR="00B11610" w:rsidRPr="00913909">
        <w:rPr>
          <w:rFonts w:cs="Times New Roman"/>
          <w:lang w:val="fr-BE"/>
        </w:rPr>
        <w:t xml:space="preserve"> transposés,</w:t>
      </w:r>
      <w:r w:rsidR="00584D98" w:rsidRPr="00913909">
        <w:rPr>
          <w:rFonts w:cs="Times New Roman"/>
          <w:lang w:val="fr-BE"/>
        </w:rPr>
        <w:t xml:space="preserve"> traduits en objectifs d’apprentissage,</w:t>
      </w:r>
      <w:r w:rsidRPr="00913909">
        <w:rPr>
          <w:rFonts w:cs="Times New Roman"/>
          <w:lang w:val="fr-BE"/>
        </w:rPr>
        <w:t xml:space="preserve"> enseignés</w:t>
      </w:r>
      <w:r w:rsidR="0076422B" w:rsidRPr="00913909">
        <w:rPr>
          <w:rFonts w:cs="Times New Roman"/>
          <w:lang w:val="fr-BE"/>
        </w:rPr>
        <w:t>,</w:t>
      </w:r>
      <w:r w:rsidR="00903625" w:rsidRPr="00913909">
        <w:rPr>
          <w:rFonts w:cs="Times New Roman"/>
          <w:lang w:val="fr-BE"/>
        </w:rPr>
        <w:t xml:space="preserve"> et </w:t>
      </w:r>
      <w:r w:rsidR="00D95329" w:rsidRPr="00913909">
        <w:rPr>
          <w:rFonts w:cs="Times New Roman"/>
          <w:lang w:val="fr-BE"/>
        </w:rPr>
        <w:t xml:space="preserve">leur maîtrise </w:t>
      </w:r>
      <w:r w:rsidR="00584D98" w:rsidRPr="00913909">
        <w:rPr>
          <w:rFonts w:cs="Times New Roman"/>
          <w:lang w:val="fr-BE"/>
        </w:rPr>
        <w:t>évalué</w:t>
      </w:r>
      <w:r w:rsidR="00D95329" w:rsidRPr="00913909">
        <w:rPr>
          <w:rFonts w:cs="Times New Roman"/>
          <w:lang w:val="fr-BE"/>
        </w:rPr>
        <w:t>e</w:t>
      </w:r>
      <w:r w:rsidR="006E1B8E" w:rsidRPr="00913909">
        <w:rPr>
          <w:rFonts w:cs="Times New Roman"/>
          <w:lang w:val="fr-BE"/>
        </w:rPr>
        <w:t xml:space="preserve"> —</w:t>
      </w:r>
      <w:r w:rsidR="006659BE" w:rsidRPr="00913909">
        <w:rPr>
          <w:rFonts w:cs="Times New Roman"/>
          <w:lang w:val="fr-BE"/>
        </w:rPr>
        <w:t xml:space="preserve"> avec ceci de particulier que les sciences de l’information et de la communication</w:t>
      </w:r>
      <w:r w:rsidR="00AD7957" w:rsidRPr="00913909">
        <w:rPr>
          <w:rFonts w:cs="Times New Roman"/>
          <w:lang w:val="fr-BE"/>
        </w:rPr>
        <w:t xml:space="preserve"> ont</w:t>
      </w:r>
      <w:r w:rsidR="00663C94" w:rsidRPr="00913909">
        <w:rPr>
          <w:rFonts w:cs="Times New Roman"/>
          <w:lang w:val="fr-BE"/>
        </w:rPr>
        <w:t xml:space="preserve"> </w:t>
      </w:r>
      <w:r w:rsidR="00AD7957" w:rsidRPr="00913909">
        <w:rPr>
          <w:rFonts w:cs="Times New Roman"/>
          <w:lang w:val="fr-BE"/>
        </w:rPr>
        <w:t xml:space="preserve">fait </w:t>
      </w:r>
      <w:r w:rsidR="00B22A3C" w:rsidRPr="00913909">
        <w:rPr>
          <w:rFonts w:cs="Times New Roman"/>
          <w:lang w:val="fr-BE"/>
        </w:rPr>
        <w:t>des</w:t>
      </w:r>
      <w:r w:rsidR="006659BE" w:rsidRPr="00913909">
        <w:rPr>
          <w:rFonts w:cs="Times New Roman"/>
          <w:lang w:val="fr-BE"/>
        </w:rPr>
        <w:t xml:space="preserve"> processus de médiation des savoirs</w:t>
      </w:r>
      <w:r w:rsidR="00AD7957" w:rsidRPr="00913909">
        <w:rPr>
          <w:rFonts w:cs="Times New Roman"/>
          <w:lang w:val="fr-BE"/>
        </w:rPr>
        <w:t xml:space="preserve"> l’un de </w:t>
      </w:r>
      <w:r w:rsidR="00B22A3C" w:rsidRPr="00913909">
        <w:rPr>
          <w:rFonts w:cs="Times New Roman"/>
          <w:lang w:val="fr-BE"/>
        </w:rPr>
        <w:t>leurs objets</w:t>
      </w:r>
      <w:r w:rsidR="00886905" w:rsidRPr="00913909">
        <w:rPr>
          <w:rFonts w:cs="Times New Roman"/>
          <w:lang w:val="fr-BE"/>
        </w:rPr>
        <w:t xml:space="preserve"> d’étude</w:t>
      </w:r>
      <w:r w:rsidR="00AD7957" w:rsidRPr="00913909">
        <w:rPr>
          <w:rFonts w:cs="Times New Roman"/>
          <w:lang w:val="fr-BE"/>
        </w:rPr>
        <w:t xml:space="preserve"> privilégié</w:t>
      </w:r>
      <w:r w:rsidR="00B22A3C" w:rsidRPr="00913909">
        <w:rPr>
          <w:rFonts w:cs="Times New Roman"/>
          <w:lang w:val="fr-BE"/>
        </w:rPr>
        <w:t>s</w:t>
      </w:r>
      <w:r w:rsidR="00464140" w:rsidRPr="00913909">
        <w:rPr>
          <w:rFonts w:cs="Times New Roman"/>
          <w:lang w:val="fr-BE"/>
        </w:rPr>
        <w:t>.</w:t>
      </w:r>
      <w:r w:rsidR="00EC62F5" w:rsidRPr="00913909">
        <w:rPr>
          <w:rFonts w:cs="Times New Roman"/>
          <w:lang w:val="fr-BE"/>
        </w:rPr>
        <w:t xml:space="preserve"> Hors du champ didactique au sens strict, les sciences de l’information et de la communication se sont attachées de longue date à étudier les médias et les médiation</w:t>
      </w:r>
      <w:r w:rsidR="00EB2793" w:rsidRPr="00913909">
        <w:rPr>
          <w:rFonts w:cs="Times New Roman"/>
          <w:lang w:val="fr-BE"/>
        </w:rPr>
        <w:t>s</w:t>
      </w:r>
      <w:r w:rsidR="00EC62F5" w:rsidRPr="00913909">
        <w:rPr>
          <w:rFonts w:cs="Times New Roman"/>
          <w:lang w:val="fr-BE"/>
        </w:rPr>
        <w:t xml:space="preserve"> — des œuvres culturelles, des informations</w:t>
      </w:r>
      <w:r w:rsidR="000E70D2" w:rsidRPr="00913909">
        <w:rPr>
          <w:rFonts w:cs="Times New Roman"/>
          <w:lang w:val="fr-BE"/>
        </w:rPr>
        <w:t xml:space="preserve"> d’actualité</w:t>
      </w:r>
      <w:r w:rsidR="00EC62F5" w:rsidRPr="00913909">
        <w:rPr>
          <w:rFonts w:cs="Times New Roman"/>
          <w:lang w:val="fr-BE"/>
        </w:rPr>
        <w:t xml:space="preserve"> ou des savoirs comme ensemble socialement structuré et reconnu d’informations dans un domaine donné : savoirs savants pouvant être vulgarisés ou transposés, savoirs scolaires dont la transmission est médiée par </w:t>
      </w:r>
      <w:r w:rsidR="00F234CD" w:rsidRPr="00913909">
        <w:rPr>
          <w:rFonts w:cs="Times New Roman"/>
          <w:lang w:val="fr-BE"/>
        </w:rPr>
        <w:t xml:space="preserve">un dispositif de classe, ou encore, ce qui nous intéressera davantage ici, </w:t>
      </w:r>
      <w:r w:rsidR="00ED36B5" w:rsidRPr="00913909">
        <w:rPr>
          <w:rFonts w:cs="Times New Roman"/>
          <w:lang w:val="fr-BE"/>
        </w:rPr>
        <w:t xml:space="preserve">par </w:t>
      </w:r>
      <w:r w:rsidR="00EC62F5" w:rsidRPr="00913909">
        <w:rPr>
          <w:rFonts w:cs="Times New Roman"/>
          <w:lang w:val="fr-BE"/>
        </w:rPr>
        <w:t xml:space="preserve">des interfaces numériques </w:t>
      </w:r>
      <w:r w:rsidR="00EC62F5" w:rsidRPr="00913909">
        <w:rPr>
          <w:rFonts w:cs="Times New Roman"/>
          <w:lang w:val="fr-BE"/>
        </w:rPr>
        <w:fldChar w:fldCharType="begin"/>
      </w:r>
      <w:r w:rsidR="002B4EBB" w:rsidRPr="00913909">
        <w:rPr>
          <w:rFonts w:cs="Times New Roman"/>
          <w:lang w:val="fr-BE"/>
        </w:rPr>
        <w:instrText xml:space="preserve"> ADDIN ZOTERO_ITEM CSL_CITATION {"citationID":"zs0mpfMY","properties":{"formattedCitation":"(voir p. ex., \\uc0\\u224{} ce sujet, Cordier 2020)","plainCitation":"(voir p. ex., à ce sujet, Cordier 2020)","noteIndex":0},"citationItems":[{"id":"JcUNgNRC/TEOwWBqm","uris":["http://zotero.org/users/917725/items/N65G8MUX"],"uri":["http://zotero.org/users/917725/items/N65G8MUX"],"itemData":{"id":8630,"type":"article-journal","abstract":"Contribution à la réflexion sur la médiation de la recherche d’une chercheuse engagée dans le domaine des cultures de l’information, et plus spécifiquement qui détient une expérience personnelle en matière de médiatisation de la recherche dudit numérique en éducation. Un domaine particulièrement sensible dans le rapport entre connaissances/discours scientifiques et croyances/attentes sociétales et médiatiques. Un domaine crucial investi par la discipline des Sciences de l’Information et de la Communication (SIC) mais peu visible voire peu lisible par les médias eux-mêmes, et partant par la société.","container-title":"Revue française des sciences de l’information et de la communication","DOI":"10.4000/rfsic.9478","ISSN":"2263-0856","issue":"20","language":"fr","note":"number: 20\npublisher: Société Française de Sciences de l’Information et de la Communication","source":"journals.openedition.org","title":"Médiatiser la recherche en SIC sur « le numérique en éducation »","URL":"http://journals.openedition.org/rfsic/9478","author":[{"family":"Cordier","given":"Anne"}],"accessed":{"date-parts":[["2021",5,27]]},"issued":{"date-parts":[["2020",9,1]]}},"prefix":"voir p. ex., à ce sujet,"}],"schema":"https://github.com/citation-style-language/schema/raw/master/csl-citation.json"} </w:instrText>
      </w:r>
      <w:r w:rsidR="00EC62F5" w:rsidRPr="00913909">
        <w:rPr>
          <w:rFonts w:cs="Times New Roman"/>
          <w:lang w:val="fr-BE"/>
        </w:rPr>
        <w:fldChar w:fldCharType="separate"/>
      </w:r>
      <w:r w:rsidR="002B4EBB" w:rsidRPr="00913909">
        <w:rPr>
          <w:rFonts w:cs="Times New Roman"/>
          <w:szCs w:val="24"/>
          <w:lang w:val="fr-BE"/>
        </w:rPr>
        <w:t>(voir p. ex., à ce sujet, Cordier 2020)</w:t>
      </w:r>
      <w:r w:rsidR="00EC62F5" w:rsidRPr="00913909">
        <w:rPr>
          <w:rFonts w:cs="Times New Roman"/>
          <w:lang w:val="fr-BE"/>
        </w:rPr>
        <w:fldChar w:fldCharType="end"/>
      </w:r>
      <w:r w:rsidR="00EC62F5" w:rsidRPr="00913909">
        <w:rPr>
          <w:rFonts w:cs="Times New Roman"/>
          <w:lang w:val="fr-BE"/>
        </w:rPr>
        <w:t>.</w:t>
      </w:r>
      <w:r w:rsidR="005571DF" w:rsidRPr="00913909">
        <w:rPr>
          <w:rFonts w:cs="Times New Roman"/>
          <w:lang w:val="fr-BE"/>
        </w:rPr>
        <w:t xml:space="preserve"> </w:t>
      </w:r>
      <w:r w:rsidR="007C1B79" w:rsidRPr="00913909">
        <w:rPr>
          <w:rFonts w:cs="Times New Roman"/>
          <w:lang w:val="fr-BE"/>
        </w:rPr>
        <w:t>O</w:t>
      </w:r>
      <w:r w:rsidR="00D93AD1" w:rsidRPr="00913909">
        <w:rPr>
          <w:rFonts w:cs="Times New Roman"/>
          <w:lang w:val="fr-BE"/>
        </w:rPr>
        <w:t xml:space="preserve">n comprendra </w:t>
      </w:r>
      <w:r w:rsidR="007C1B79" w:rsidRPr="00913909">
        <w:rPr>
          <w:rFonts w:cs="Times New Roman"/>
          <w:lang w:val="fr-BE"/>
        </w:rPr>
        <w:t xml:space="preserve">donc </w:t>
      </w:r>
      <w:r w:rsidR="00D93AD1" w:rsidRPr="00913909">
        <w:rPr>
          <w:rFonts w:cs="Times New Roman"/>
          <w:lang w:val="fr-BE"/>
        </w:rPr>
        <w:t xml:space="preserve">que </w:t>
      </w:r>
      <w:r w:rsidR="00A457BD" w:rsidRPr="00913909">
        <w:rPr>
          <w:rFonts w:cs="Times New Roman"/>
          <w:lang w:val="fr-BE"/>
        </w:rPr>
        <w:t xml:space="preserve">les outils </w:t>
      </w:r>
      <w:r w:rsidR="005571DF" w:rsidRPr="00913909">
        <w:rPr>
          <w:rFonts w:cs="Times New Roman"/>
          <w:lang w:val="fr-BE"/>
        </w:rPr>
        <w:t>du numérique éducatif,</w:t>
      </w:r>
      <w:r w:rsidR="00A457BD" w:rsidRPr="00913909">
        <w:rPr>
          <w:rFonts w:cs="Times New Roman"/>
          <w:lang w:val="fr-BE"/>
        </w:rPr>
        <w:t xml:space="preserve"> tels qu’ils se sont déployés massivement </w:t>
      </w:r>
      <w:r w:rsidR="00173C07" w:rsidRPr="00913909">
        <w:rPr>
          <w:rFonts w:cs="Times New Roman"/>
          <w:lang w:val="fr-BE"/>
        </w:rPr>
        <w:t>durant la crise</w:t>
      </w:r>
      <w:r w:rsidR="005B629C" w:rsidRPr="00913909">
        <w:rPr>
          <w:rFonts w:cs="Times New Roman"/>
          <w:lang w:val="fr-BE"/>
        </w:rPr>
        <w:t xml:space="preserve"> sanitaire</w:t>
      </w:r>
      <w:r w:rsidR="00173C07" w:rsidRPr="00913909">
        <w:rPr>
          <w:rFonts w:cs="Times New Roman"/>
          <w:lang w:val="fr-BE"/>
        </w:rPr>
        <w:t xml:space="preserve"> et qui, pour certains, se sont installés durablement dans le paysage </w:t>
      </w:r>
      <w:r w:rsidR="005571DF" w:rsidRPr="00913909">
        <w:rPr>
          <w:rFonts w:cs="Times New Roman"/>
          <w:lang w:val="fr-BE"/>
        </w:rPr>
        <w:t>de l’enseignement</w:t>
      </w:r>
      <w:r w:rsidR="00173C07" w:rsidRPr="00913909">
        <w:rPr>
          <w:rFonts w:cs="Times New Roman"/>
          <w:lang w:val="fr-BE"/>
        </w:rPr>
        <w:t>,</w:t>
      </w:r>
      <w:r w:rsidR="005B629C" w:rsidRPr="00913909">
        <w:rPr>
          <w:rFonts w:cs="Times New Roman"/>
          <w:lang w:val="fr-BE"/>
        </w:rPr>
        <w:t xml:space="preserve"> nous intéressent à </w:t>
      </w:r>
      <w:r w:rsidR="008700F1" w:rsidRPr="00913909">
        <w:rPr>
          <w:rFonts w:cs="Times New Roman"/>
          <w:lang w:val="fr-BE"/>
        </w:rPr>
        <w:t>plus d’un</w:t>
      </w:r>
      <w:r w:rsidR="005B629C" w:rsidRPr="00913909">
        <w:rPr>
          <w:rFonts w:cs="Times New Roman"/>
          <w:lang w:val="fr-BE"/>
        </w:rPr>
        <w:t xml:space="preserve"> titre</w:t>
      </w:r>
      <w:r w:rsidR="008700F1" w:rsidRPr="00913909">
        <w:rPr>
          <w:rFonts w:cs="Times New Roman"/>
          <w:lang w:val="fr-BE"/>
        </w:rPr>
        <w:t xml:space="preserve">, et peuvent être saisis sous des angles différents. </w:t>
      </w:r>
    </w:p>
    <w:p w:rsidR="00496652" w:rsidRPr="00913909" w:rsidRDefault="008700F1" w:rsidP="009819BD">
      <w:pPr>
        <w:spacing w:line="360" w:lineRule="auto"/>
        <w:rPr>
          <w:rFonts w:cs="Times New Roman"/>
          <w:lang w:val="fr-BE"/>
        </w:rPr>
      </w:pPr>
      <w:r w:rsidRPr="00913909">
        <w:rPr>
          <w:rFonts w:cs="Times New Roman"/>
          <w:lang w:val="fr-BE"/>
        </w:rPr>
        <w:t>Tout d’abord,</w:t>
      </w:r>
      <w:r w:rsidR="00B13921" w:rsidRPr="00913909">
        <w:rPr>
          <w:rFonts w:cs="Times New Roman"/>
          <w:lang w:val="fr-BE"/>
        </w:rPr>
        <w:t xml:space="preserve"> </w:t>
      </w:r>
      <w:r w:rsidR="00936735" w:rsidRPr="00913909">
        <w:rPr>
          <w:rFonts w:cs="Times New Roman"/>
          <w:lang w:val="fr-BE"/>
        </w:rPr>
        <w:t>notre champ disciplinaire</w:t>
      </w:r>
      <w:r w:rsidR="00F018D3" w:rsidRPr="00913909">
        <w:rPr>
          <w:rFonts w:cs="Times New Roman"/>
          <w:lang w:val="fr-BE"/>
        </w:rPr>
        <w:t xml:space="preserve"> étudie les médias informatisés </w:t>
      </w:r>
      <w:r w:rsidR="00F018D3" w:rsidRPr="00913909">
        <w:rPr>
          <w:rFonts w:cs="Times New Roman"/>
          <w:lang w:val="fr-BE"/>
        </w:rPr>
        <w:fldChar w:fldCharType="begin"/>
      </w:r>
      <w:r w:rsidR="00F018D3" w:rsidRPr="00913909">
        <w:rPr>
          <w:rFonts w:cs="Times New Roman"/>
          <w:lang w:val="fr-BE"/>
        </w:rPr>
        <w:instrText xml:space="preserve"> ADDIN ZOTERO_ITEM CSL_CITATION {"citationID":"4CG4s7Nh","properties":{"formattedCitation":"(Davallon et al. [2003] 2013)","plainCitation":"(Davallon et al. [2003] 2013)","noteIndex":0},"citationItems":[{"id":1880,"uris":["http://zotero.org/users/917725/items/F8TDHKIX"],"uri":["http://zotero.org/users/917725/items/F8TDHKIX"],"itemData":{"id":1880,"type":"book","abstract":"Quelles relations peut-il y avoir entre un ensemble de « sites Web » reliés à la Bibliothèque nationale de France, des messages électroniques échangés par un groupe d’étudiants, un corpus de « textes Web » sur les OGM (organismes génétiquement modifiés) ou bien encore les pratiques de travail dans une bibliothèque en cours de réaménagement ?  Ces différents « terrains d’analyse » ont en commun d’être des lieux privilégiés pour observer la circulation des formes écrites dans la société et la façon dont cette circulation participe de la médiation sociale des savoirs. Issu d’une série de questionnements sur les transformations contemporaines du rapport à l’écrit, le projet de ce livre se fonde sur un ensemble de recherches individuelles et collectives menées depuis plusieurs années autour de « l’écrit d’écran », des « écrits de réseaux » et de l’analyse des usages des nouvelles technologies liées aux institutions culturelles. Recherches mues par le même souci de cerner et de comprendre les interrelations tissées entre le technique, le sémiotique et les usages des médias informatisés.","collection-title":"Études et recherche","event-place":"Paris","ISBN":"978-2-84246-162-1","language":"fr","note":"original-date: 2003","number-of-pages":"350","publisher":"Éditions de la Bibliothèque publique d’information","publisher-place":"Paris","source":"OpenEdition Books","title":"Lire, écrire, récrire : Objets, signes et pratiques des médias informatisés","title-short":"Lire, écrire, récrire","URL":"http://books.openedition.org/bibpompidou/394","author":[{"family":"Davallon","given":"Jean"},{"family":"Després-Lonnet","given":"Marie"},{"family":"Jeanneret","given":"Yves"},{"family":"Le Marec","given":"Joëlle"},{"family":"Souchier","given":"Emmanuël"}],"accessed":{"date-parts":[["2016",1,19]]},"issued":{"date-parts":[["2013"]]}}}],"schema":"https://github.com/citation-style-language/schema/raw/master/csl-citation.json"} </w:instrText>
      </w:r>
      <w:r w:rsidR="00F018D3" w:rsidRPr="00913909">
        <w:rPr>
          <w:rFonts w:cs="Times New Roman"/>
          <w:lang w:val="fr-BE"/>
        </w:rPr>
        <w:fldChar w:fldCharType="separate"/>
      </w:r>
      <w:r w:rsidR="00F018D3" w:rsidRPr="00913909">
        <w:rPr>
          <w:rFonts w:cs="Times New Roman"/>
          <w:lang w:val="fr-BE"/>
        </w:rPr>
        <w:t>(Davallon et al. [2003] 2013)</w:t>
      </w:r>
      <w:r w:rsidR="00F018D3" w:rsidRPr="00913909">
        <w:rPr>
          <w:rFonts w:cs="Times New Roman"/>
          <w:lang w:val="fr-BE"/>
        </w:rPr>
        <w:fldChar w:fldCharType="end"/>
      </w:r>
      <w:r w:rsidR="00936735" w:rsidRPr="00913909">
        <w:rPr>
          <w:rFonts w:cs="Times New Roman"/>
          <w:lang w:val="fr-BE"/>
        </w:rPr>
        <w:t xml:space="preserve"> en tant qu’il</w:t>
      </w:r>
      <w:r w:rsidR="00DB2AC9" w:rsidRPr="00913909">
        <w:rPr>
          <w:rFonts w:cs="Times New Roman"/>
          <w:lang w:val="fr-BE"/>
        </w:rPr>
        <w:t>s</w:t>
      </w:r>
      <w:r w:rsidR="00936735" w:rsidRPr="00913909">
        <w:rPr>
          <w:rFonts w:cs="Times New Roman"/>
          <w:lang w:val="fr-BE"/>
        </w:rPr>
        <w:t xml:space="preserve"> conditionne</w:t>
      </w:r>
      <w:r w:rsidR="00DB2AC9" w:rsidRPr="00913909">
        <w:rPr>
          <w:rFonts w:cs="Times New Roman"/>
          <w:lang w:val="fr-BE"/>
        </w:rPr>
        <w:t>nt</w:t>
      </w:r>
      <w:r w:rsidR="00936735" w:rsidRPr="00913909">
        <w:rPr>
          <w:rFonts w:cs="Times New Roman"/>
          <w:lang w:val="fr-BE"/>
        </w:rPr>
        <w:t xml:space="preserve"> la circulation des savoirs</w:t>
      </w:r>
      <w:r w:rsidR="007C111F" w:rsidRPr="00913909">
        <w:rPr>
          <w:rFonts w:cs="Times New Roman"/>
          <w:lang w:val="fr-BE"/>
        </w:rPr>
        <w:t xml:space="preserve"> et suggèrent</w:t>
      </w:r>
      <w:r w:rsidR="00280F8D" w:rsidRPr="00913909">
        <w:rPr>
          <w:rFonts w:cs="Times New Roman"/>
          <w:lang w:val="fr-BE"/>
        </w:rPr>
        <w:t>/</w:t>
      </w:r>
      <w:r w:rsidR="00496652" w:rsidRPr="00913909">
        <w:rPr>
          <w:rFonts w:cs="Times New Roman"/>
          <w:lang w:val="fr-BE"/>
        </w:rPr>
        <w:t>entérinent</w:t>
      </w:r>
      <w:r w:rsidR="007C111F" w:rsidRPr="00913909">
        <w:rPr>
          <w:rFonts w:cs="Times New Roman"/>
          <w:lang w:val="fr-BE"/>
        </w:rPr>
        <w:t xml:space="preserve"> des </w:t>
      </w:r>
      <w:r w:rsidR="008A2FBB" w:rsidRPr="00913909">
        <w:rPr>
          <w:rFonts w:cs="Times New Roman"/>
          <w:lang w:val="fr-BE"/>
        </w:rPr>
        <w:t>usages textuels —</w:t>
      </w:r>
      <w:r w:rsidR="004F55AE" w:rsidRPr="00913909">
        <w:rPr>
          <w:rFonts w:cs="Times New Roman"/>
          <w:lang w:val="fr-BE"/>
        </w:rPr>
        <w:t>puisqu</w:t>
      </w:r>
      <w:r w:rsidR="00313C63" w:rsidRPr="00913909">
        <w:rPr>
          <w:rFonts w:cs="Times New Roman"/>
          <w:lang w:val="fr-BE"/>
        </w:rPr>
        <w:t>’au sein des</w:t>
      </w:r>
      <w:r w:rsidR="008A2FBB" w:rsidRPr="00913909">
        <w:rPr>
          <w:rFonts w:cs="Times New Roman"/>
          <w:lang w:val="fr-BE"/>
        </w:rPr>
        <w:t xml:space="preserve"> </w:t>
      </w:r>
      <w:r w:rsidR="008A2FBB" w:rsidRPr="00913909">
        <w:rPr>
          <w:rFonts w:cs="Times New Roman"/>
          <w:i/>
          <w:lang w:val="fr-BE"/>
        </w:rPr>
        <w:t>écrit d’écran</w:t>
      </w:r>
      <w:r w:rsidR="008A2FBB" w:rsidRPr="00913909">
        <w:rPr>
          <w:rFonts w:cs="Times New Roman"/>
          <w:lang w:val="fr-BE"/>
        </w:rPr>
        <w:t xml:space="preserve"> </w:t>
      </w:r>
      <w:r w:rsidR="008A2FBB" w:rsidRPr="00913909">
        <w:rPr>
          <w:rFonts w:cs="Times New Roman"/>
          <w:lang w:val="fr-BE"/>
        </w:rPr>
        <w:fldChar w:fldCharType="begin"/>
      </w:r>
      <w:r w:rsidR="008A2FBB" w:rsidRPr="00913909">
        <w:rPr>
          <w:rFonts w:cs="Times New Roman"/>
          <w:lang w:val="fr-BE"/>
        </w:rPr>
        <w:instrText xml:space="preserve"> ADDIN ZOTERO_ITEM CSL_CITATION {"citationID":"DaSZcbaL","properties":{"formattedCitation":"(Souchier et Jeanneret 1999)","plainCitation":"(Souchier et Jeanneret 1999)","noteIndex":0},"citationItems":[{"id":1788,"uris":["http://zotero.org/users/917725/items/FPKXDUDM"],"uri":["http://zotero.org/users/917725/items/FPKXDUDM"],"itemData":{"id":1788,"type":"article-journal","call-number":"ULB S.862.133","container-title":"Xoana","issue":"6/7","page":"97-107","title":"Pour une poétique de «l'écrit d'écran»","author":[{"family":"Souchier","given":"Emmanuël"},{"family":"Jeanneret","given":"Yves"}],"issued":{"date-parts":[["1999"]]}}}],"schema":"https://github.com/citation-style-language/schema/raw/master/csl-citation.json"} </w:instrText>
      </w:r>
      <w:r w:rsidR="008A2FBB" w:rsidRPr="00913909">
        <w:rPr>
          <w:rFonts w:cs="Times New Roman"/>
          <w:lang w:val="fr-BE"/>
        </w:rPr>
        <w:fldChar w:fldCharType="separate"/>
      </w:r>
      <w:r w:rsidR="008A2FBB" w:rsidRPr="00913909">
        <w:rPr>
          <w:rFonts w:cs="Times New Roman"/>
          <w:lang w:val="fr-BE"/>
        </w:rPr>
        <w:t>(Souchier et Jeanneret 1999)</w:t>
      </w:r>
      <w:r w:rsidR="008A2FBB" w:rsidRPr="00913909">
        <w:rPr>
          <w:rFonts w:cs="Times New Roman"/>
          <w:lang w:val="fr-BE"/>
        </w:rPr>
        <w:fldChar w:fldCharType="end"/>
      </w:r>
      <w:r w:rsidR="008A2FBB" w:rsidRPr="00913909">
        <w:rPr>
          <w:rFonts w:cs="Times New Roman"/>
          <w:lang w:val="fr-BE"/>
        </w:rPr>
        <w:t xml:space="preserve">, </w:t>
      </w:r>
      <w:r w:rsidR="00936735" w:rsidRPr="00913909">
        <w:rPr>
          <w:rFonts w:cs="Times New Roman"/>
          <w:lang w:val="fr-BE"/>
        </w:rPr>
        <w:t xml:space="preserve">l’énonciataire agit </w:t>
      </w:r>
      <w:r w:rsidR="00313C63" w:rsidRPr="00913909">
        <w:rPr>
          <w:rFonts w:cs="Times New Roman"/>
          <w:lang w:val="fr-BE"/>
        </w:rPr>
        <w:t xml:space="preserve">concrètement </w:t>
      </w:r>
      <w:r w:rsidR="00936735" w:rsidRPr="00913909">
        <w:rPr>
          <w:rFonts w:cs="Times New Roman"/>
          <w:lang w:val="fr-BE"/>
        </w:rPr>
        <w:t xml:space="preserve">sur le texte qui lui est donné à lire, le manipule, </w:t>
      </w:r>
      <w:r w:rsidR="00C91665" w:rsidRPr="00913909">
        <w:rPr>
          <w:rFonts w:cs="Times New Roman"/>
          <w:lang w:val="fr-BE"/>
        </w:rPr>
        <w:t>active les voies de</w:t>
      </w:r>
      <w:r w:rsidR="00936735" w:rsidRPr="00913909">
        <w:rPr>
          <w:rFonts w:cs="Times New Roman"/>
          <w:lang w:val="fr-BE"/>
        </w:rPr>
        <w:t xml:space="preserve"> circulations </w:t>
      </w:r>
      <w:r w:rsidR="00915A0B" w:rsidRPr="00913909">
        <w:rPr>
          <w:rFonts w:cs="Times New Roman"/>
          <w:lang w:val="fr-BE"/>
        </w:rPr>
        <w:t>qu’ouvrent les liens hypertextes</w:t>
      </w:r>
      <w:r w:rsidR="00936735" w:rsidRPr="00913909">
        <w:rPr>
          <w:rFonts w:cs="Times New Roman"/>
          <w:lang w:val="fr-BE"/>
        </w:rPr>
        <w:t>, etc</w:t>
      </w:r>
      <w:r w:rsidR="003306F5" w:rsidRPr="00913909">
        <w:rPr>
          <w:rFonts w:cs="Times New Roman"/>
          <w:lang w:val="fr-BE"/>
        </w:rPr>
        <w:t xml:space="preserve">. </w:t>
      </w:r>
      <w:r w:rsidR="00496652" w:rsidRPr="00913909">
        <w:rPr>
          <w:rFonts w:cs="Times New Roman"/>
          <w:lang w:val="fr-BE"/>
        </w:rPr>
        <w:t>D’une part, c</w:t>
      </w:r>
      <w:r w:rsidR="00A801F6" w:rsidRPr="00913909">
        <w:rPr>
          <w:rFonts w:cs="Times New Roman"/>
          <w:lang w:val="fr-BE"/>
        </w:rPr>
        <w:t xml:space="preserve">es usages </w:t>
      </w:r>
      <w:r w:rsidR="00C62B30" w:rsidRPr="00913909">
        <w:rPr>
          <w:rFonts w:cs="Times New Roman"/>
          <w:lang w:val="fr-BE"/>
        </w:rPr>
        <w:t xml:space="preserve">sont </w:t>
      </w:r>
      <w:r w:rsidR="00A801F6" w:rsidRPr="00913909">
        <w:rPr>
          <w:rFonts w:cs="Times New Roman"/>
          <w:lang w:val="fr-BE"/>
        </w:rPr>
        <w:t xml:space="preserve">orientés par </w:t>
      </w:r>
      <w:r w:rsidR="00593F50" w:rsidRPr="00913909">
        <w:rPr>
          <w:rFonts w:cs="Times New Roman"/>
          <w:lang w:val="fr-BE"/>
        </w:rPr>
        <w:t>d</w:t>
      </w:r>
      <w:r w:rsidR="00A801F6" w:rsidRPr="00913909">
        <w:rPr>
          <w:rFonts w:cs="Times New Roman"/>
          <w:lang w:val="fr-BE"/>
        </w:rPr>
        <w:t>es imaginaires et représentations associé</w:t>
      </w:r>
      <w:r w:rsidR="00C70F8B" w:rsidRPr="00913909">
        <w:rPr>
          <w:rFonts w:cs="Times New Roman"/>
          <w:lang w:val="fr-BE"/>
        </w:rPr>
        <w:t>es à ces dispositifs</w:t>
      </w:r>
      <w:r w:rsidR="00C62B30" w:rsidRPr="00913909">
        <w:rPr>
          <w:rFonts w:cs="Times New Roman"/>
          <w:lang w:val="fr-BE"/>
        </w:rPr>
        <w:t xml:space="preserve">, qui circulent socialement et se manifestent, entre autres, </w:t>
      </w:r>
      <w:r w:rsidR="00C62B30" w:rsidRPr="00913909">
        <w:rPr>
          <w:rFonts w:cs="Times New Roman"/>
          <w:lang w:val="fr-BE"/>
        </w:rPr>
        <w:lastRenderedPageBreak/>
        <w:t xml:space="preserve">dans les </w:t>
      </w:r>
      <w:r w:rsidR="00C62B30" w:rsidRPr="00913909">
        <w:rPr>
          <w:rFonts w:cs="Times New Roman"/>
          <w:i/>
          <w:lang w:val="fr-BE"/>
        </w:rPr>
        <w:t>discours d’accompagnement</w:t>
      </w:r>
      <w:r w:rsidR="00496652" w:rsidRPr="00913909">
        <w:rPr>
          <w:rFonts w:cs="Times New Roman"/>
          <w:lang w:val="fr-BE"/>
        </w:rPr>
        <w:t xml:space="preserve"> </w:t>
      </w:r>
      <w:r w:rsidR="00496652" w:rsidRPr="00913909">
        <w:rPr>
          <w:rFonts w:cs="Times New Roman"/>
          <w:lang w:val="fr-BE"/>
        </w:rPr>
        <w:fldChar w:fldCharType="begin"/>
      </w:r>
      <w:r w:rsidR="00496652" w:rsidRPr="00913909">
        <w:rPr>
          <w:rFonts w:cs="Times New Roman"/>
          <w:lang w:val="fr-BE"/>
        </w:rPr>
        <w:instrText xml:space="preserve"> ADDIN ZOTERO_ITEM CSL_CITATION {"citationID":"NfmVZhIb","properties":{"formattedCitation":"(Jeanneret 2000)","plainCitation":"(Jeanneret 2000)","noteIndex":0},"citationItems":[{"id":828,"uris":["http://zotero.org/users/917725/items/GW5G9DC4"],"uri":["http://zotero.org/users/917725/items/GW5G9DC4"],"itemData":{"id":828,"type":"article-journal","container-title":"Terminal","issue":"85","page":"97-107","title":"Autre chose qu'un discours, davantage qu'un accompagnement, mieux qu'une résistance","author":[{"family":"Jeanneret","given":"Yves"}],"issued":{"date-parts":[["2000"]]}}}],"schema":"https://github.com/citation-style-language/schema/raw/master/csl-citation.json"} </w:instrText>
      </w:r>
      <w:r w:rsidR="00496652" w:rsidRPr="00913909">
        <w:rPr>
          <w:rFonts w:cs="Times New Roman"/>
          <w:lang w:val="fr-BE"/>
        </w:rPr>
        <w:fldChar w:fldCharType="separate"/>
      </w:r>
      <w:r w:rsidR="00496652" w:rsidRPr="00913909">
        <w:rPr>
          <w:rFonts w:cs="Times New Roman"/>
          <w:lang w:val="fr-BE"/>
        </w:rPr>
        <w:t>(Jeanneret 2000)</w:t>
      </w:r>
      <w:r w:rsidR="00496652" w:rsidRPr="00913909">
        <w:rPr>
          <w:rFonts w:cs="Times New Roman"/>
          <w:lang w:val="fr-BE"/>
        </w:rPr>
        <w:fldChar w:fldCharType="end"/>
      </w:r>
      <w:r w:rsidR="00C62B30" w:rsidRPr="00913909">
        <w:rPr>
          <w:rFonts w:cs="Times New Roman"/>
          <w:lang w:val="fr-BE"/>
        </w:rPr>
        <w:t xml:space="preserve"> de</w:t>
      </w:r>
      <w:r w:rsidR="00496652" w:rsidRPr="00913909">
        <w:rPr>
          <w:rFonts w:cs="Times New Roman"/>
          <w:lang w:val="fr-BE"/>
        </w:rPr>
        <w:t xml:space="preserve"> ce</w:t>
      </w:r>
      <w:r w:rsidR="00C62B30" w:rsidRPr="00913909">
        <w:rPr>
          <w:rFonts w:cs="Times New Roman"/>
          <w:lang w:val="fr-BE"/>
        </w:rPr>
        <w:t>s outils</w:t>
      </w:r>
      <w:r w:rsidR="003E0145" w:rsidRPr="00913909">
        <w:rPr>
          <w:rFonts w:cs="Times New Roman"/>
          <w:lang w:val="fr-BE"/>
        </w:rPr>
        <w:t xml:space="preserve"> —</w:t>
      </w:r>
      <w:r w:rsidR="003B0E16" w:rsidRPr="00913909">
        <w:rPr>
          <w:rFonts w:cs="Times New Roman"/>
          <w:lang w:val="fr-BE"/>
        </w:rPr>
        <w:t xml:space="preserve"> au rang desquels </w:t>
      </w:r>
      <w:r w:rsidR="003E0145" w:rsidRPr="00913909">
        <w:rPr>
          <w:rFonts w:cs="Times New Roman"/>
          <w:lang w:val="fr-BE"/>
        </w:rPr>
        <w:t>se</w:t>
      </w:r>
      <w:r w:rsidR="003B0E16" w:rsidRPr="00913909">
        <w:rPr>
          <w:rFonts w:cs="Times New Roman"/>
          <w:lang w:val="fr-BE"/>
        </w:rPr>
        <w:t xml:space="preserve"> compte</w:t>
      </w:r>
      <w:r w:rsidR="003E0145" w:rsidRPr="00913909">
        <w:rPr>
          <w:rFonts w:cs="Times New Roman"/>
          <w:lang w:val="fr-BE"/>
        </w:rPr>
        <w:t>nt</w:t>
      </w:r>
      <w:r w:rsidR="003B0E16" w:rsidRPr="00913909">
        <w:rPr>
          <w:rFonts w:cs="Times New Roman"/>
          <w:lang w:val="fr-BE"/>
        </w:rPr>
        <w:t xml:space="preserve"> les textes institutionnels</w:t>
      </w:r>
      <w:r w:rsidR="00496652" w:rsidRPr="00913909">
        <w:rPr>
          <w:rStyle w:val="Appelnotedebasdep"/>
          <w:rFonts w:cs="Times New Roman"/>
          <w:lang w:val="fr-BE"/>
        </w:rPr>
        <w:footnoteReference w:id="1"/>
      </w:r>
      <w:r w:rsidR="00496652" w:rsidRPr="00913909">
        <w:rPr>
          <w:rFonts w:cs="Times New Roman"/>
          <w:lang w:val="fr-BE"/>
        </w:rPr>
        <w:t>.</w:t>
      </w:r>
      <w:r w:rsidR="003E0145" w:rsidRPr="00913909">
        <w:rPr>
          <w:rFonts w:cs="Times New Roman"/>
          <w:lang w:val="fr-BE"/>
        </w:rPr>
        <w:t xml:space="preserve"> S’agissant des outils, ressources et médias numériques, ces représentations sont</w:t>
      </w:r>
      <w:r w:rsidR="0061675C" w:rsidRPr="00913909">
        <w:rPr>
          <w:rFonts w:cs="Times New Roman"/>
          <w:lang w:val="fr-BE"/>
        </w:rPr>
        <w:t xml:space="preserve"> habituellement</w:t>
      </w:r>
      <w:r w:rsidR="003E0145" w:rsidRPr="00913909">
        <w:rPr>
          <w:rFonts w:cs="Times New Roman"/>
          <w:lang w:val="fr-BE"/>
        </w:rPr>
        <w:t xml:space="preserve"> </w:t>
      </w:r>
      <w:r w:rsidR="004D5AF8" w:rsidRPr="00913909">
        <w:rPr>
          <w:rFonts w:cs="Times New Roman"/>
          <w:lang w:val="fr-BE"/>
        </w:rPr>
        <w:t>associé</w:t>
      </w:r>
      <w:r w:rsidR="003E0145" w:rsidRPr="00913909">
        <w:rPr>
          <w:rFonts w:cs="Times New Roman"/>
          <w:lang w:val="fr-BE"/>
        </w:rPr>
        <w:t>es au caractère illimité des connaissances et des capacités d’archivage, à l’absence de matérialité ou de médiation, à l’interactivité</w:t>
      </w:r>
      <w:r w:rsidR="0090687F" w:rsidRPr="00913909">
        <w:rPr>
          <w:rFonts w:cs="Times New Roman"/>
          <w:lang w:val="fr-BE"/>
        </w:rPr>
        <w:t xml:space="preserve"> s</w:t>
      </w:r>
      <w:r w:rsidR="003E0145" w:rsidRPr="00913909">
        <w:rPr>
          <w:rFonts w:cs="Times New Roman"/>
          <w:lang w:val="fr-BE"/>
        </w:rPr>
        <w:t xml:space="preserve">ans limite — mais aussi, à l’autonomie de l’usager dans l’acquisition de savoirs, dont il sera question ici. </w:t>
      </w:r>
      <w:r w:rsidR="00496652" w:rsidRPr="00913909">
        <w:rPr>
          <w:rFonts w:cs="Times New Roman"/>
          <w:lang w:val="fr-BE"/>
        </w:rPr>
        <w:t xml:space="preserve">D’autre part, les pratiques étant inséparables des </w:t>
      </w:r>
      <w:r w:rsidR="00754AA7" w:rsidRPr="00913909">
        <w:rPr>
          <w:rFonts w:cs="Times New Roman"/>
          <w:lang w:val="fr-BE"/>
        </w:rPr>
        <w:t>objet</w:t>
      </w:r>
      <w:r w:rsidR="00280F8D" w:rsidRPr="00913909">
        <w:rPr>
          <w:rFonts w:cs="Times New Roman"/>
          <w:lang w:val="fr-BE"/>
        </w:rPr>
        <w:t>s sur lesquels elle</w:t>
      </w:r>
      <w:r w:rsidR="00496652" w:rsidRPr="00913909">
        <w:rPr>
          <w:rFonts w:cs="Times New Roman"/>
          <w:lang w:val="fr-BE"/>
        </w:rPr>
        <w:t xml:space="preserve">s s’exercent, les publics font eux-mêmes </w:t>
      </w:r>
      <w:r w:rsidR="003E0145" w:rsidRPr="00913909">
        <w:rPr>
          <w:rFonts w:cs="Times New Roman"/>
          <w:lang w:val="fr-BE"/>
        </w:rPr>
        <w:t xml:space="preserve">preuve d’initiative et certaines de ces pratiques sont </w:t>
      </w:r>
      <w:r w:rsidR="00496652" w:rsidRPr="00913909">
        <w:rPr>
          <w:rFonts w:cs="Times New Roman"/>
          <w:lang w:val="fr-BE"/>
        </w:rPr>
        <w:t>entériné</w:t>
      </w:r>
      <w:r w:rsidR="003E0145" w:rsidRPr="00913909">
        <w:rPr>
          <w:rFonts w:cs="Times New Roman"/>
          <w:lang w:val="fr-BE"/>
        </w:rPr>
        <w:t>e</w:t>
      </w:r>
      <w:r w:rsidR="00496652" w:rsidRPr="00913909">
        <w:rPr>
          <w:rFonts w:cs="Times New Roman"/>
          <w:lang w:val="fr-BE"/>
        </w:rPr>
        <w:t>s</w:t>
      </w:r>
      <w:r w:rsidR="003E0145" w:rsidRPr="00913909">
        <w:rPr>
          <w:rFonts w:cs="Times New Roman"/>
          <w:lang w:val="fr-BE"/>
        </w:rPr>
        <w:t>, à terme,</w:t>
      </w:r>
      <w:r w:rsidR="00496652" w:rsidRPr="00913909">
        <w:rPr>
          <w:rFonts w:cs="Times New Roman"/>
          <w:lang w:val="fr-BE"/>
        </w:rPr>
        <w:t xml:space="preserve"> par les dispositifs médiatiques</w:t>
      </w:r>
      <w:r w:rsidR="001E5F3D" w:rsidRPr="00913909">
        <w:rPr>
          <w:rFonts w:cs="Times New Roman"/>
          <w:lang w:val="fr-BE"/>
        </w:rPr>
        <w:t xml:space="preserve"> eux-mêmes</w:t>
      </w:r>
      <w:r w:rsidR="00496652" w:rsidRPr="00913909">
        <w:rPr>
          <w:rFonts w:cs="Times New Roman"/>
          <w:lang w:val="fr-BE"/>
        </w:rPr>
        <w:t>.</w:t>
      </w:r>
      <w:r w:rsidR="003E0145" w:rsidRPr="00913909">
        <w:rPr>
          <w:rFonts w:cs="Times New Roman"/>
          <w:lang w:val="fr-BE"/>
        </w:rPr>
        <w:t xml:space="preserve"> En bref, c’est ici le média informatisé </w:t>
      </w:r>
      <w:r w:rsidR="002663C8">
        <w:rPr>
          <w:rFonts w:cs="Times New Roman"/>
          <w:lang w:val="fr-BE"/>
        </w:rPr>
        <w:t>comme espace de contrainte et d</w:t>
      </w:r>
      <w:r w:rsidR="00CC09B8">
        <w:rPr>
          <w:rFonts w:cs="Times New Roman"/>
          <w:lang w:val="fr-BE"/>
        </w:rPr>
        <w:t>e liberté</w:t>
      </w:r>
      <w:r w:rsidR="003E0145" w:rsidRPr="00913909">
        <w:rPr>
          <w:rFonts w:cs="Times New Roman"/>
          <w:lang w:val="fr-BE"/>
        </w:rPr>
        <w:t xml:space="preserve"> que l’on peut saisir, avec le regard disciplinaire des SIC, </w:t>
      </w:r>
      <w:r w:rsidR="00833923" w:rsidRPr="00913909">
        <w:rPr>
          <w:rFonts w:cs="Times New Roman"/>
          <w:lang w:val="fr-BE"/>
        </w:rPr>
        <w:t>comme instance de mise en forme et d’</w:t>
      </w:r>
      <w:r w:rsidR="00534CC7" w:rsidRPr="00913909">
        <w:rPr>
          <w:rFonts w:cs="Times New Roman"/>
          <w:lang w:val="fr-BE"/>
        </w:rPr>
        <w:t>usages lié</w:t>
      </w:r>
      <w:r w:rsidR="00833923" w:rsidRPr="00913909">
        <w:rPr>
          <w:rFonts w:cs="Times New Roman"/>
          <w:lang w:val="fr-BE"/>
        </w:rPr>
        <w:t>s à l’appropriation des savoirs.</w:t>
      </w:r>
    </w:p>
    <w:p w:rsidR="003E0145" w:rsidRPr="00913909" w:rsidRDefault="00833923" w:rsidP="003E0145">
      <w:pPr>
        <w:spacing w:line="360" w:lineRule="auto"/>
        <w:rPr>
          <w:rFonts w:cs="Times New Roman"/>
          <w:lang w:val="fr-BE"/>
        </w:rPr>
      </w:pPr>
      <w:r w:rsidRPr="00913909">
        <w:rPr>
          <w:rFonts w:cs="Times New Roman"/>
          <w:lang w:val="fr-BE"/>
        </w:rPr>
        <w:t>Ensuite</w:t>
      </w:r>
      <w:r w:rsidR="003E0145" w:rsidRPr="00913909">
        <w:rPr>
          <w:rFonts w:cs="Times New Roman"/>
          <w:lang w:val="fr-BE"/>
        </w:rPr>
        <w:t xml:space="preserve">, en tant que didacticiens formant de futurs enseignants au sein du département « Médias, Culture et Communication » de l’Université de Liège, </w:t>
      </w:r>
      <w:r w:rsidRPr="00913909">
        <w:rPr>
          <w:rFonts w:cs="Times New Roman"/>
          <w:lang w:val="fr-BE"/>
        </w:rPr>
        <w:t xml:space="preserve">nous nous intéressons </w:t>
      </w:r>
      <w:r w:rsidR="0084337E" w:rsidRPr="00913909">
        <w:rPr>
          <w:rFonts w:cs="Times New Roman"/>
          <w:lang w:val="fr-BE"/>
        </w:rPr>
        <w:t xml:space="preserve">encore </w:t>
      </w:r>
      <w:r w:rsidR="003E0145" w:rsidRPr="00913909">
        <w:rPr>
          <w:rFonts w:cs="Times New Roman"/>
          <w:lang w:val="fr-BE"/>
        </w:rPr>
        <w:t>à ce que les dispositifs numériques</w:t>
      </w:r>
      <w:r w:rsidR="00237DAE">
        <w:rPr>
          <w:rFonts w:cs="Times New Roman"/>
          <w:lang w:val="fr-BE"/>
        </w:rPr>
        <w:t xml:space="preserve"> </w:t>
      </w:r>
      <w:r w:rsidR="003E0145" w:rsidRPr="00237DAE">
        <w:rPr>
          <w:rFonts w:cs="Times New Roman"/>
          <w:i/>
          <w:lang w:val="fr-BE"/>
        </w:rPr>
        <w:t>font</w:t>
      </w:r>
      <w:r w:rsidR="003E0145" w:rsidRPr="00913909">
        <w:rPr>
          <w:rFonts w:cs="Times New Roman"/>
          <w:lang w:val="fr-BE"/>
        </w:rPr>
        <w:t xml:space="preserve"> aux objets disciplinaires </w:t>
      </w:r>
      <w:r w:rsidR="00A60C02" w:rsidRPr="00913909">
        <w:rPr>
          <w:rFonts w:cs="Times New Roman"/>
          <w:lang w:val="fr-BE"/>
        </w:rPr>
        <w:t>à enseigner</w:t>
      </w:r>
      <w:r w:rsidR="00381523" w:rsidRPr="00913909">
        <w:rPr>
          <w:rFonts w:cs="Times New Roman"/>
          <w:lang w:val="fr-BE"/>
        </w:rPr>
        <w:t xml:space="preserve">, et, de là, à la manière dont </w:t>
      </w:r>
      <w:r w:rsidR="00314035" w:rsidRPr="00913909">
        <w:rPr>
          <w:rFonts w:cs="Times New Roman"/>
          <w:lang w:val="fr-BE"/>
        </w:rPr>
        <w:t>on pourra effectivement les enseigner</w:t>
      </w:r>
      <w:r w:rsidR="003F73C4" w:rsidRPr="00913909">
        <w:rPr>
          <w:rFonts w:cs="Times New Roman"/>
          <w:lang w:val="fr-BE"/>
        </w:rPr>
        <w:t xml:space="preserve"> —</w:t>
      </w:r>
      <w:r w:rsidR="00381523" w:rsidRPr="00913909">
        <w:rPr>
          <w:rFonts w:cs="Times New Roman"/>
          <w:lang w:val="fr-BE"/>
        </w:rPr>
        <w:t xml:space="preserve"> c’est-à-dire</w:t>
      </w:r>
      <w:r w:rsidR="00314035" w:rsidRPr="00913909">
        <w:rPr>
          <w:rFonts w:cs="Times New Roman"/>
          <w:lang w:val="fr-BE"/>
        </w:rPr>
        <w:t> :</w:t>
      </w:r>
      <w:r w:rsidR="00381523" w:rsidRPr="00913909">
        <w:rPr>
          <w:rFonts w:cs="Times New Roman"/>
          <w:lang w:val="fr-BE"/>
        </w:rPr>
        <w:t xml:space="preserve"> quelles sont les opportunités et limites des outils numériques en situation d’apprentissage</w:t>
      </w:r>
      <w:r w:rsidR="003F73C4" w:rsidRPr="00913909">
        <w:rPr>
          <w:rFonts w:cs="Times New Roman"/>
          <w:lang w:val="fr-BE"/>
        </w:rPr>
        <w:t xml:space="preserve">, dans quels cas permettent-ils, ou non, de faire </w:t>
      </w:r>
      <w:r w:rsidR="003F73C4" w:rsidRPr="00913909">
        <w:rPr>
          <w:rFonts w:cs="Times New Roman"/>
          <w:i/>
          <w:lang w:val="fr-BE"/>
        </w:rPr>
        <w:t>mieux apprendre</w:t>
      </w:r>
      <w:r w:rsidR="003F73C4" w:rsidRPr="00913909">
        <w:rPr>
          <w:rFonts w:cs="Times New Roman"/>
          <w:lang w:val="fr-BE"/>
        </w:rPr>
        <w:t xml:space="preserve"> les objets disciplinaires</w:t>
      </w:r>
      <w:r w:rsidR="00381523" w:rsidRPr="00913909">
        <w:rPr>
          <w:rFonts w:cs="Times New Roman"/>
          <w:lang w:val="fr-BE"/>
        </w:rPr>
        <w:t xml:space="preserve">. </w:t>
      </w:r>
      <w:r w:rsidR="00F56350" w:rsidRPr="00913909">
        <w:rPr>
          <w:rFonts w:cs="Times New Roman"/>
          <w:lang w:val="fr-BE"/>
        </w:rPr>
        <w:t>C</w:t>
      </w:r>
      <w:r w:rsidR="003E0145" w:rsidRPr="00913909">
        <w:rPr>
          <w:rFonts w:cs="Times New Roman"/>
          <w:lang w:val="fr-BE"/>
        </w:rPr>
        <w:t xml:space="preserve">es objets couvrent un spectre assez large qui intègre des textes issus des médias d’information, des blogs, des réseaux sociaux ; </w:t>
      </w:r>
      <w:r w:rsidR="00F56350" w:rsidRPr="00913909">
        <w:rPr>
          <w:rFonts w:cs="Times New Roman"/>
          <w:lang w:val="fr-BE"/>
        </w:rPr>
        <w:t xml:space="preserve">de la </w:t>
      </w:r>
      <w:r w:rsidR="0084337E" w:rsidRPr="00913909">
        <w:rPr>
          <w:rFonts w:cs="Times New Roman"/>
          <w:lang w:val="fr-BE"/>
        </w:rPr>
        <w:t>communication professionnelle</w:t>
      </w:r>
      <w:r w:rsidR="00F56350" w:rsidRPr="00913909">
        <w:rPr>
          <w:rFonts w:cs="Times New Roman"/>
          <w:lang w:val="fr-BE"/>
        </w:rPr>
        <w:t xml:space="preserve"> ; </w:t>
      </w:r>
      <w:r w:rsidR="003E0145" w:rsidRPr="00913909">
        <w:rPr>
          <w:rFonts w:cs="Times New Roman"/>
          <w:lang w:val="fr-BE"/>
        </w:rPr>
        <w:t>des productions théâtrales ou audiovisuelles</w:t>
      </w:r>
      <w:r w:rsidR="00F56350" w:rsidRPr="00913909">
        <w:rPr>
          <w:rFonts w:cs="Times New Roman"/>
          <w:lang w:val="fr-BE"/>
        </w:rPr>
        <w:t>, etc.</w:t>
      </w:r>
      <w:r w:rsidR="00983887" w:rsidRPr="00913909">
        <w:rPr>
          <w:rFonts w:cs="Times New Roman"/>
          <w:lang w:val="fr-BE"/>
        </w:rPr>
        <w:t xml:space="preserve"> </w:t>
      </w:r>
    </w:p>
    <w:p w:rsidR="003E0145" w:rsidRPr="00913909" w:rsidRDefault="00F350A1" w:rsidP="003E0145">
      <w:pPr>
        <w:spacing w:line="360" w:lineRule="auto"/>
        <w:rPr>
          <w:rFonts w:cs="Times New Roman"/>
          <w:lang w:val="fr-BE"/>
        </w:rPr>
      </w:pPr>
      <w:r w:rsidRPr="00913909">
        <w:rPr>
          <w:rFonts w:cs="Times New Roman"/>
          <w:lang w:val="fr-BE"/>
        </w:rPr>
        <w:t>La présente</w:t>
      </w:r>
      <w:r w:rsidR="003E0145" w:rsidRPr="00913909">
        <w:rPr>
          <w:rFonts w:cs="Times New Roman"/>
          <w:lang w:val="fr-BE"/>
        </w:rPr>
        <w:t xml:space="preserve"> </w:t>
      </w:r>
      <w:r w:rsidR="00B3470D" w:rsidRPr="00913909">
        <w:rPr>
          <w:rFonts w:cs="Times New Roman"/>
          <w:lang w:val="fr-BE"/>
        </w:rPr>
        <w:t>contribu</w:t>
      </w:r>
      <w:r w:rsidR="003E0145" w:rsidRPr="00913909">
        <w:rPr>
          <w:rFonts w:cs="Times New Roman"/>
          <w:lang w:val="fr-BE"/>
        </w:rPr>
        <w:t xml:space="preserve">tion est nourrie de ces préoccupations et </w:t>
      </w:r>
      <w:r w:rsidRPr="00913909">
        <w:rPr>
          <w:rFonts w:cs="Times New Roman"/>
          <w:lang w:val="fr-BE"/>
        </w:rPr>
        <w:t>peut être lue comme une première partie de cadrage introduisant l’étude d’un cas concret, dans une contribution ultérieure de cette livraison</w:t>
      </w:r>
      <w:r w:rsidR="003E0145" w:rsidRPr="00913909">
        <w:rPr>
          <w:rFonts w:cs="Times New Roman"/>
          <w:lang w:val="fr-BE"/>
        </w:rPr>
        <w:t xml:space="preserve">. </w:t>
      </w:r>
      <w:r w:rsidRPr="00913909">
        <w:rPr>
          <w:rFonts w:cs="Times New Roman"/>
          <w:lang w:val="fr-BE"/>
        </w:rPr>
        <w:t>N</w:t>
      </w:r>
      <w:r w:rsidR="003E0145" w:rsidRPr="00913909">
        <w:rPr>
          <w:rFonts w:cs="Times New Roman"/>
          <w:lang w:val="fr-BE"/>
        </w:rPr>
        <w:t xml:space="preserve">ous allons </w:t>
      </w:r>
      <w:r w:rsidRPr="00913909">
        <w:rPr>
          <w:rFonts w:cs="Times New Roman"/>
          <w:lang w:val="fr-BE"/>
        </w:rPr>
        <w:t xml:space="preserve">pour notre part </w:t>
      </w:r>
      <w:r w:rsidR="003E0145" w:rsidRPr="00913909">
        <w:rPr>
          <w:rFonts w:cs="Times New Roman"/>
          <w:lang w:val="fr-BE"/>
        </w:rPr>
        <w:t>examiner l’idée répandue d’une autonomie de l’apprenant qui serait favorisée par le recours aux dispositifs numériques</w:t>
      </w:r>
      <w:r w:rsidR="003E0145" w:rsidRPr="00913909">
        <w:rPr>
          <w:rStyle w:val="Appelnotedebasdep"/>
          <w:rFonts w:cs="Times New Roman"/>
          <w:lang w:val="fr-BE"/>
        </w:rPr>
        <w:footnoteReference w:id="2"/>
      </w:r>
      <w:r w:rsidRPr="00913909">
        <w:rPr>
          <w:rFonts w:cs="Times New Roman"/>
          <w:lang w:val="fr-BE"/>
        </w:rPr>
        <w:t xml:space="preserve">. L’intervention d’Emmanuel Chapeau, assistant du service didactique de l’information et de la communication et enseignant à l’Athénée Léonie de </w:t>
      </w:r>
      <w:proofErr w:type="spellStart"/>
      <w:r w:rsidRPr="00913909">
        <w:rPr>
          <w:rFonts w:cs="Times New Roman"/>
          <w:lang w:val="fr-BE"/>
        </w:rPr>
        <w:t>Waha</w:t>
      </w:r>
      <w:proofErr w:type="spellEnd"/>
      <w:r w:rsidR="00A23A17" w:rsidRPr="00913909">
        <w:rPr>
          <w:rFonts w:cs="Times New Roman"/>
          <w:lang w:val="fr-BE"/>
        </w:rPr>
        <w:t>, proposera dans les pages qui suivent</w:t>
      </w:r>
      <w:r w:rsidR="003E0145" w:rsidRPr="00913909">
        <w:rPr>
          <w:rFonts w:cs="Times New Roman"/>
          <w:lang w:val="fr-BE"/>
        </w:rPr>
        <w:t xml:space="preserve">, par la présentation de deux dispositifs d’enseignement des messages médiatiques mobilisant les outils numériques, une lecture </w:t>
      </w:r>
      <w:r w:rsidR="003E0145" w:rsidRPr="00913909">
        <w:rPr>
          <w:rFonts w:cs="Times New Roman"/>
          <w:lang w:val="fr-BE"/>
        </w:rPr>
        <w:lastRenderedPageBreak/>
        <w:t>réflexive de ces dispositifs montrant la nécessité d’une scénarisation pédagogique pour rendre effecti</w:t>
      </w:r>
      <w:r w:rsidR="00233D00" w:rsidRPr="00913909">
        <w:rPr>
          <w:rFonts w:cs="Times New Roman"/>
          <w:lang w:val="fr-BE"/>
        </w:rPr>
        <w:t>f</w:t>
      </w:r>
      <w:r w:rsidR="003E0145" w:rsidRPr="00913909">
        <w:rPr>
          <w:rFonts w:cs="Times New Roman"/>
          <w:lang w:val="fr-BE"/>
        </w:rPr>
        <w:t xml:space="preserve"> le processus d’autonomisation de l’apprenant et l’atteinte des objectifs d’apprentissage.</w:t>
      </w:r>
    </w:p>
    <w:p w:rsidR="001458DF" w:rsidRPr="00913909" w:rsidRDefault="00270EC4" w:rsidP="00D823FB">
      <w:pPr>
        <w:pStyle w:val="Titre1"/>
      </w:pPr>
      <w:r w:rsidRPr="00913909">
        <w:t xml:space="preserve">Outils numériques et autonomie </w:t>
      </w:r>
      <w:r w:rsidR="003B5E28" w:rsidRPr="00913909">
        <w:t>de l’apprenant</w:t>
      </w:r>
    </w:p>
    <w:p w:rsidR="00D67361" w:rsidRPr="00913909" w:rsidRDefault="00BB68DE" w:rsidP="00270EC4">
      <w:pPr>
        <w:spacing w:line="360" w:lineRule="auto"/>
        <w:rPr>
          <w:rFonts w:cs="Times New Roman"/>
          <w:lang w:val="fr-BE"/>
        </w:rPr>
      </w:pPr>
      <w:r w:rsidRPr="00913909">
        <w:rPr>
          <w:rFonts w:cs="Times New Roman"/>
          <w:lang w:val="fr-BE"/>
        </w:rPr>
        <w:t>Nous tenterons</w:t>
      </w:r>
      <w:r w:rsidR="000112A3" w:rsidRPr="00913909">
        <w:rPr>
          <w:rFonts w:cs="Times New Roman"/>
          <w:lang w:val="fr-BE"/>
        </w:rPr>
        <w:t xml:space="preserve"> ici</w:t>
      </w:r>
      <w:r w:rsidRPr="00913909">
        <w:rPr>
          <w:rFonts w:cs="Times New Roman"/>
          <w:lang w:val="fr-BE"/>
        </w:rPr>
        <w:t xml:space="preserve"> de</w:t>
      </w:r>
      <w:r w:rsidR="005B5C0B" w:rsidRPr="00913909">
        <w:rPr>
          <w:rFonts w:cs="Times New Roman"/>
          <w:lang w:val="fr-BE"/>
        </w:rPr>
        <w:t xml:space="preserve"> problématiser </w:t>
      </w:r>
      <w:r w:rsidR="0051722A" w:rsidRPr="00913909">
        <w:rPr>
          <w:rFonts w:cs="Times New Roman"/>
          <w:lang w:val="fr-BE"/>
        </w:rPr>
        <w:t>brièvement</w:t>
      </w:r>
      <w:r w:rsidR="00B06B55" w:rsidRPr="00913909">
        <w:rPr>
          <w:rFonts w:cs="Times New Roman"/>
          <w:lang w:val="fr-BE"/>
        </w:rPr>
        <w:t>, avec le regard de notre didactique,</w:t>
      </w:r>
      <w:r w:rsidR="0051722A" w:rsidRPr="00913909">
        <w:rPr>
          <w:rFonts w:cs="Times New Roman"/>
          <w:lang w:val="fr-BE"/>
        </w:rPr>
        <w:t xml:space="preserve"> </w:t>
      </w:r>
      <w:r w:rsidR="005B5C0B" w:rsidRPr="00913909">
        <w:rPr>
          <w:rFonts w:cs="Times New Roman"/>
          <w:lang w:val="fr-BE"/>
        </w:rPr>
        <w:t>ce lien établi entre outils numériques et autonomie de l’apprenant</w:t>
      </w:r>
      <w:r w:rsidR="002D553B" w:rsidRPr="00913909">
        <w:rPr>
          <w:rFonts w:cs="Times New Roman"/>
          <w:lang w:val="fr-BE"/>
        </w:rPr>
        <w:t>. Nous nous appuierons</w:t>
      </w:r>
      <w:r w:rsidR="009C7634" w:rsidRPr="00913909">
        <w:rPr>
          <w:rFonts w:cs="Times New Roman"/>
          <w:lang w:val="fr-BE"/>
        </w:rPr>
        <w:t xml:space="preserve"> en cela </w:t>
      </w:r>
      <w:r w:rsidR="00C917F3" w:rsidRPr="00913909">
        <w:rPr>
          <w:rFonts w:cs="Times New Roman"/>
          <w:lang w:val="fr-BE"/>
        </w:rPr>
        <w:t>sur deux sources</w:t>
      </w:r>
      <w:r w:rsidR="00BF123A" w:rsidRPr="00913909">
        <w:rPr>
          <w:rFonts w:cs="Times New Roman"/>
          <w:lang w:val="fr-BE"/>
        </w:rPr>
        <w:t xml:space="preserve"> qui intègrent elles-même</w:t>
      </w:r>
      <w:r w:rsidR="0018543F" w:rsidRPr="00913909">
        <w:rPr>
          <w:rFonts w:cs="Times New Roman"/>
          <w:lang w:val="fr-BE"/>
        </w:rPr>
        <w:t>s</w:t>
      </w:r>
      <w:r w:rsidR="00BF123A" w:rsidRPr="00913909">
        <w:rPr>
          <w:rFonts w:cs="Times New Roman"/>
          <w:lang w:val="fr-BE"/>
        </w:rPr>
        <w:t xml:space="preserve"> une revue de la littérature existante</w:t>
      </w:r>
      <w:r w:rsidR="009C7634" w:rsidRPr="00913909">
        <w:rPr>
          <w:rFonts w:cs="Times New Roman"/>
          <w:lang w:val="fr-BE"/>
        </w:rPr>
        <w:t> : d’une part, l’</w:t>
      </w:r>
      <w:r w:rsidR="000B24C4" w:rsidRPr="00913909">
        <w:rPr>
          <w:rFonts w:cs="Times New Roman"/>
          <w:lang w:val="fr-BE"/>
        </w:rPr>
        <w:t xml:space="preserve">ouvrage d’André </w:t>
      </w:r>
      <w:r w:rsidR="009C7634" w:rsidRPr="00913909">
        <w:rPr>
          <w:rFonts w:cs="Times New Roman"/>
          <w:lang w:val="fr-BE"/>
        </w:rPr>
        <w:t xml:space="preserve">Tricot et </w:t>
      </w:r>
      <w:r w:rsidR="000B24C4" w:rsidRPr="00913909">
        <w:rPr>
          <w:rFonts w:cs="Times New Roman"/>
          <w:lang w:val="fr-BE"/>
        </w:rPr>
        <w:t xml:space="preserve">de Franck </w:t>
      </w:r>
      <w:proofErr w:type="spellStart"/>
      <w:r w:rsidR="009C7634" w:rsidRPr="00913909">
        <w:rPr>
          <w:rFonts w:cs="Times New Roman"/>
          <w:lang w:val="fr-BE"/>
        </w:rPr>
        <w:t>Amadieu</w:t>
      </w:r>
      <w:proofErr w:type="spellEnd"/>
      <w:r w:rsidR="000B24C4" w:rsidRPr="00913909">
        <w:rPr>
          <w:rFonts w:cs="Times New Roman"/>
          <w:lang w:val="fr-BE"/>
        </w:rPr>
        <w:t xml:space="preserve">, </w:t>
      </w:r>
      <w:r w:rsidR="000B24C4" w:rsidRPr="00913909">
        <w:rPr>
          <w:rFonts w:cs="Times New Roman"/>
          <w:i/>
          <w:lang w:val="fr-BE"/>
        </w:rPr>
        <w:t>Apprendre avec le numérique</w:t>
      </w:r>
      <w:r w:rsidR="000B24C4" w:rsidRPr="00913909">
        <w:rPr>
          <w:rFonts w:cs="Times New Roman"/>
          <w:lang w:val="fr-BE"/>
        </w:rPr>
        <w:t xml:space="preserve">, et l’article de Julie </w:t>
      </w:r>
      <w:proofErr w:type="spellStart"/>
      <w:r w:rsidR="000B24C4" w:rsidRPr="00913909">
        <w:rPr>
          <w:rFonts w:cs="Times New Roman"/>
          <w:lang w:val="fr-BE"/>
        </w:rPr>
        <w:t>Denouël</w:t>
      </w:r>
      <w:proofErr w:type="spellEnd"/>
      <w:r w:rsidR="000B24C4" w:rsidRPr="00913909">
        <w:rPr>
          <w:rFonts w:cs="Times New Roman"/>
          <w:lang w:val="fr-BE"/>
        </w:rPr>
        <w:t xml:space="preserve">, « L’école, le numérique et l’autonomie des élèves » paru dans la revue </w:t>
      </w:r>
      <w:r w:rsidR="000B24C4" w:rsidRPr="00913909">
        <w:rPr>
          <w:rFonts w:cs="Times New Roman"/>
          <w:i/>
          <w:lang w:val="fr-BE"/>
        </w:rPr>
        <w:t>Hermès</w:t>
      </w:r>
      <w:r w:rsidR="000B24C4" w:rsidRPr="00913909">
        <w:rPr>
          <w:rFonts w:cs="Times New Roman"/>
          <w:lang w:val="fr-BE"/>
        </w:rPr>
        <w:t xml:space="preserve">, qui récapitule certains éléments du premier mais ouvre sur d’autres considérations utiles, comme </w:t>
      </w:r>
      <w:r w:rsidR="003A4D3B" w:rsidRPr="00913909">
        <w:rPr>
          <w:rFonts w:cs="Times New Roman"/>
          <w:lang w:val="fr-BE"/>
        </w:rPr>
        <w:t>une</w:t>
      </w:r>
      <w:r w:rsidR="00B175F6" w:rsidRPr="00913909">
        <w:rPr>
          <w:rFonts w:cs="Times New Roman"/>
          <w:lang w:val="fr-BE"/>
        </w:rPr>
        <w:t xml:space="preserve"> analyse</w:t>
      </w:r>
      <w:r w:rsidR="003A4D3B" w:rsidRPr="00913909">
        <w:rPr>
          <w:rFonts w:cs="Times New Roman"/>
          <w:lang w:val="fr-BE"/>
        </w:rPr>
        <w:t xml:space="preserve"> d</w:t>
      </w:r>
      <w:r w:rsidR="000B24C4" w:rsidRPr="00913909">
        <w:rPr>
          <w:rFonts w:cs="Times New Roman"/>
          <w:lang w:val="fr-BE"/>
        </w:rPr>
        <w:t xml:space="preserve">es représentations et injonctions contenues dans les textes institutionnels </w:t>
      </w:r>
      <w:r w:rsidR="00C917F3" w:rsidRPr="00913909">
        <w:rPr>
          <w:rFonts w:cs="Times New Roman"/>
          <w:lang w:val="fr-BE"/>
        </w:rPr>
        <w:fldChar w:fldCharType="begin"/>
      </w:r>
      <w:r w:rsidR="00C917F3" w:rsidRPr="00913909">
        <w:rPr>
          <w:rFonts w:cs="Times New Roman"/>
          <w:lang w:val="fr-BE"/>
        </w:rPr>
        <w:instrText xml:space="preserve"> ADDIN ZOTERO_ITEM CSL_CITATION {"citationID":"yTR41Lpz","properties":{"formattedCitation":"(Denou\\uc0\\u235{}l 2017; Amadieu et Tricot [2014] 2020)","plainCitation":"(Denouël 2017; Amadieu et Tricot [2014] 2020)","noteIndex":0},"citationItems":[{"id":8623,"uris":["http://zotero.org/users/917725/items/TZFM6934"],"uri":["http://zotero.org/users/917725/items/TZFM6934"],"itemData":{"id":8623,"type":"article-journal","abstract":"Nombreux sont les travaux en sciences humaines et sociales à avoir montré que la diffusion de technologies s’accompagne de façon systématique d’imaginaires et d’utopies technicistes, supposant que les innovations techniques sont le nécessaire moteur du progrès social, individuel et collectif. Opératoire dans le domaine de la communication ordinaire, cette perspective se révèle également très féconde dès lors qu’on s’intéresse aux discours d’accompagnement du numérique dans le champ éducatif. Parmi les nombreuses promesses formulées sur les vertus des technologies pour l’éducation, celle relative au développement de l’autonomie figure depuis longtemps en très bonne place. Se tenant à distance des nombreuses idéologies technicistes qui prévalent aujourd’hui, le présent article aura pour objectif de proposer un examen critique de cette promesse selon laquelle le numérique favorise nécessairement l’autonomisation des élèves.","container-title":"Hermes, La Revue","ISSN":"0767-9513","issue":"2","language":"fr","note":"publisher: C.N.R.S. Editions","page":"80-86","source":"www.cairn.info","title":"L’école, le numérique et l’autonomie des élèves","volume":"n° 78","author":[{"family":"Denouël","given":"Julie"}],"issued":{"date-parts":[["2017",9,27]]}}},{"id":8547,"uris":["http://zotero.org/users/917725/items/JJE8QUZA"],"uri":["http://zotero.org/users/917725/items/JJE8QUZA"],"itemData":{"id":8547,"type":"book","abstract":"Le premier ouvrage qui examine les attentes et les croyances associées à l'usage des nouvelles technologies en classe. \" On est plus motivé quand on apprend avec le numérique \", \" Les vidéos et informations dynamiques favorisent l'apprentissage \", \" Le numérique permet d'adapter les enseignements aux élèves \"... Autant d'affirmations que l'on entend régulièrement. Mais s'appuient-elles sur des résultats d'études sérieuses ?  L'ouvrage est organisé en onze chapitres traitant chacun d'une attente, ou d'un mythe, autour des technologies de l'information et de la communication pour l'enseignement.  Chaque chapitre : présente le mythe : développement des attentes et des arguments généralement avancés justifiant ces attentes ;dresse un rapide bilan des travaux scientifiques examinant ce mythe ou permettant d'évaluer la validité des attentes : présentation des derniers travaux et revues de questions dans la littérature scientifique ;décrit concrètement plusieurs études pertinentes illustrant la réalité des TICE en lien avec le mythe, pour aider à la compréhension des apports et des limites du numérique ;présente une conclusion sous forme de réponse au mythe et de propositions pour la mise en œuvre dans la classe.","event-place":"s.l.","language":"Français","note":"original-date: 2014","publisher":"Retz","publisher-place":"s.l.","title":"Apprendre avec le numérique","author":[{"family":"Amadieu","given":"Franck"},{"family":"Tricot","given":"André"}],"issued":{"date-parts":[["2020"]]}}}],"schema":"https://github.com/citation-style-language/schema/raw/master/csl-citation.json"} </w:instrText>
      </w:r>
      <w:r w:rsidR="00C917F3" w:rsidRPr="00913909">
        <w:rPr>
          <w:rFonts w:cs="Times New Roman"/>
          <w:lang w:val="fr-BE"/>
        </w:rPr>
        <w:fldChar w:fldCharType="separate"/>
      </w:r>
      <w:r w:rsidR="00C917F3" w:rsidRPr="00913909">
        <w:rPr>
          <w:rFonts w:cs="Times New Roman"/>
          <w:szCs w:val="24"/>
          <w:lang w:val="fr-BE"/>
        </w:rPr>
        <w:t>(</w:t>
      </w:r>
      <w:proofErr w:type="spellStart"/>
      <w:r w:rsidR="00C917F3" w:rsidRPr="00913909">
        <w:rPr>
          <w:rFonts w:cs="Times New Roman"/>
          <w:szCs w:val="24"/>
          <w:lang w:val="fr-BE"/>
        </w:rPr>
        <w:t>Denouël</w:t>
      </w:r>
      <w:proofErr w:type="spellEnd"/>
      <w:r w:rsidR="00C917F3" w:rsidRPr="00913909">
        <w:rPr>
          <w:rFonts w:cs="Times New Roman"/>
          <w:szCs w:val="24"/>
          <w:lang w:val="fr-BE"/>
        </w:rPr>
        <w:t xml:space="preserve"> 2017; Amadieu et Tricot [2014] 2020)</w:t>
      </w:r>
      <w:r w:rsidR="00C917F3" w:rsidRPr="00913909">
        <w:rPr>
          <w:rFonts w:cs="Times New Roman"/>
          <w:lang w:val="fr-BE"/>
        </w:rPr>
        <w:fldChar w:fldCharType="end"/>
      </w:r>
      <w:r w:rsidR="0050025F" w:rsidRPr="00913909">
        <w:rPr>
          <w:rFonts w:cs="Times New Roman"/>
          <w:lang w:val="fr-BE"/>
        </w:rPr>
        <w:t>.</w:t>
      </w:r>
    </w:p>
    <w:p w:rsidR="00EB539F" w:rsidRPr="00913909" w:rsidRDefault="00566C90" w:rsidP="00EB539F">
      <w:pPr>
        <w:spacing w:line="360" w:lineRule="auto"/>
        <w:rPr>
          <w:rFonts w:cs="Times New Roman"/>
          <w:lang w:val="fr-BE"/>
        </w:rPr>
      </w:pPr>
      <w:r w:rsidRPr="00913909">
        <w:rPr>
          <w:rFonts w:cs="Times New Roman"/>
          <w:lang w:val="fr-BE"/>
        </w:rPr>
        <w:t>Le point de départ des deux études peut se résumer comme suit : d</w:t>
      </w:r>
      <w:r w:rsidR="00A433F2" w:rsidRPr="00913909">
        <w:rPr>
          <w:rFonts w:cs="Times New Roman"/>
          <w:lang w:val="fr-BE"/>
        </w:rPr>
        <w:t>ans</w:t>
      </w:r>
      <w:r w:rsidR="00270EC4" w:rsidRPr="00913909">
        <w:rPr>
          <w:rFonts w:cs="Times New Roman"/>
          <w:lang w:val="fr-BE"/>
        </w:rPr>
        <w:t xml:space="preserve"> les représentations </w:t>
      </w:r>
      <w:r w:rsidRPr="00913909">
        <w:rPr>
          <w:rFonts w:cs="Times New Roman"/>
          <w:lang w:val="fr-BE"/>
        </w:rPr>
        <w:t>spontanées</w:t>
      </w:r>
      <w:r w:rsidR="00270EC4" w:rsidRPr="00913909">
        <w:rPr>
          <w:rFonts w:cs="Times New Roman"/>
          <w:lang w:val="fr-BE"/>
        </w:rPr>
        <w:t xml:space="preserve">, l’autonomie de l’élève </w:t>
      </w:r>
      <w:r w:rsidR="002F6354" w:rsidRPr="00913909">
        <w:rPr>
          <w:rFonts w:cs="Times New Roman"/>
          <w:lang w:val="fr-BE"/>
        </w:rPr>
        <w:t>serait</w:t>
      </w:r>
      <w:r w:rsidR="00270EC4" w:rsidRPr="00913909">
        <w:rPr>
          <w:rFonts w:cs="Times New Roman"/>
          <w:lang w:val="fr-BE"/>
        </w:rPr>
        <w:t xml:space="preserve"> favorisée par l’usage des outils numériques </w:t>
      </w:r>
      <w:r w:rsidR="0044268E" w:rsidRPr="00913909">
        <w:rPr>
          <w:rFonts w:cs="Times New Roman"/>
          <w:lang w:val="fr-BE"/>
        </w:rPr>
        <w:t>en situation d’apprentissage</w:t>
      </w:r>
      <w:r w:rsidR="00DE3733" w:rsidRPr="00913909">
        <w:rPr>
          <w:rFonts w:cs="Times New Roman"/>
          <w:lang w:val="fr-BE"/>
        </w:rPr>
        <w:t>.</w:t>
      </w:r>
      <w:r w:rsidR="009B214A" w:rsidRPr="00913909">
        <w:rPr>
          <w:rFonts w:cs="Times New Roman"/>
          <w:lang w:val="fr-BE"/>
        </w:rPr>
        <w:t xml:space="preserve"> Or, </w:t>
      </w:r>
      <w:r w:rsidR="00DE3733" w:rsidRPr="00913909">
        <w:rPr>
          <w:rFonts w:cs="Times New Roman"/>
          <w:lang w:val="fr-BE"/>
        </w:rPr>
        <w:t>l</w:t>
      </w:r>
      <w:r w:rsidR="00270EC4" w:rsidRPr="00913909">
        <w:rPr>
          <w:rFonts w:cs="Times New Roman"/>
          <w:lang w:val="fr-BE"/>
        </w:rPr>
        <w:t>a littérature scientifique tend</w:t>
      </w:r>
      <w:r w:rsidR="00DE3733" w:rsidRPr="00913909">
        <w:rPr>
          <w:rFonts w:cs="Times New Roman"/>
          <w:lang w:val="fr-BE"/>
        </w:rPr>
        <w:t xml:space="preserve">rait </w:t>
      </w:r>
      <w:r w:rsidR="00511530" w:rsidRPr="00913909">
        <w:rPr>
          <w:rFonts w:cs="Times New Roman"/>
          <w:lang w:val="fr-BE"/>
        </w:rPr>
        <w:t xml:space="preserve">plutôt </w:t>
      </w:r>
      <w:r w:rsidR="00270EC4" w:rsidRPr="00913909">
        <w:rPr>
          <w:rFonts w:cs="Times New Roman"/>
          <w:lang w:val="fr-BE"/>
        </w:rPr>
        <w:t xml:space="preserve">à montrer que </w:t>
      </w:r>
      <w:r w:rsidR="00187644" w:rsidRPr="00913909">
        <w:rPr>
          <w:rFonts w:cs="Times New Roman"/>
          <w:lang w:val="fr-BE"/>
        </w:rPr>
        <w:t xml:space="preserve">cette idée </w:t>
      </w:r>
      <w:r w:rsidR="005B5C0B" w:rsidRPr="00913909">
        <w:rPr>
          <w:rFonts w:cs="Times New Roman"/>
          <w:lang w:val="fr-BE"/>
        </w:rPr>
        <w:t>doit être fortement réévaluée</w:t>
      </w:r>
      <w:r w:rsidR="009809B4" w:rsidRPr="00913909">
        <w:rPr>
          <w:rFonts w:cs="Times New Roman"/>
          <w:lang w:val="fr-BE"/>
        </w:rPr>
        <w:t xml:space="preserve">, </w:t>
      </w:r>
      <w:r w:rsidR="0087252B" w:rsidRPr="00913909">
        <w:rPr>
          <w:rFonts w:cs="Times New Roman"/>
          <w:lang w:val="fr-BE"/>
        </w:rPr>
        <w:t xml:space="preserve">l’autonomie </w:t>
      </w:r>
      <w:r w:rsidR="00C22C7B" w:rsidRPr="00913909">
        <w:rPr>
          <w:rFonts w:cs="Times New Roman"/>
          <w:lang w:val="fr-BE"/>
        </w:rPr>
        <w:t>étant en réalité</w:t>
      </w:r>
      <w:r w:rsidR="0087252B" w:rsidRPr="00913909">
        <w:rPr>
          <w:rFonts w:cs="Times New Roman"/>
          <w:lang w:val="fr-BE"/>
        </w:rPr>
        <w:t xml:space="preserve"> </w:t>
      </w:r>
      <w:r w:rsidR="00270EC4" w:rsidRPr="00913909">
        <w:rPr>
          <w:rFonts w:cs="Times New Roman"/>
          <w:lang w:val="fr-BE"/>
        </w:rPr>
        <w:t>une condition préalable au bon déroulement d’une activité pédagogique mobilisant les outils numériques.</w:t>
      </w:r>
      <w:r w:rsidR="009156CC" w:rsidRPr="00913909">
        <w:rPr>
          <w:rFonts w:cs="Times New Roman"/>
          <w:lang w:val="fr-BE"/>
        </w:rPr>
        <w:t xml:space="preserve"> </w:t>
      </w:r>
      <w:r w:rsidR="0066137E" w:rsidRPr="00913909">
        <w:rPr>
          <w:rFonts w:cs="Times New Roman"/>
          <w:lang w:val="fr-BE"/>
        </w:rPr>
        <w:t xml:space="preserve">Tricot et </w:t>
      </w:r>
      <w:proofErr w:type="spellStart"/>
      <w:r w:rsidR="0066137E" w:rsidRPr="00913909">
        <w:rPr>
          <w:rFonts w:cs="Times New Roman"/>
          <w:lang w:val="fr-BE"/>
        </w:rPr>
        <w:t>Amadieu</w:t>
      </w:r>
      <w:proofErr w:type="spellEnd"/>
      <w:r w:rsidR="0066137E" w:rsidRPr="00913909">
        <w:rPr>
          <w:rFonts w:cs="Times New Roman"/>
          <w:lang w:val="fr-BE"/>
        </w:rPr>
        <w:t xml:space="preserve"> </w:t>
      </w:r>
      <w:r w:rsidR="009E4107" w:rsidRPr="00913909">
        <w:rPr>
          <w:rFonts w:cs="Times New Roman"/>
          <w:lang w:val="fr-BE"/>
        </w:rPr>
        <w:t xml:space="preserve">consacrent </w:t>
      </w:r>
      <w:r w:rsidR="005B71DF" w:rsidRPr="00913909">
        <w:rPr>
          <w:rFonts w:cs="Times New Roman"/>
          <w:lang w:val="fr-BE"/>
        </w:rPr>
        <w:t xml:space="preserve">à la question </w:t>
      </w:r>
      <w:r w:rsidR="00EB539F" w:rsidRPr="00913909">
        <w:rPr>
          <w:rFonts w:cs="Times New Roman"/>
          <w:lang w:val="fr-BE"/>
        </w:rPr>
        <w:t>le sixième chapitre de leur ouvrage</w:t>
      </w:r>
      <w:r w:rsidR="005B71DF" w:rsidRPr="00913909">
        <w:rPr>
          <w:rFonts w:cs="Times New Roman"/>
          <w:lang w:val="fr-BE"/>
        </w:rPr>
        <w:t>, qu’ils précisent en ces termes </w:t>
      </w:r>
      <w:r w:rsidR="00EB539F" w:rsidRPr="00913909">
        <w:rPr>
          <w:rFonts w:cs="Times New Roman"/>
          <w:lang w:val="fr-BE"/>
        </w:rPr>
        <w:t xml:space="preserve">: « est-ce que les environnements numériques offrant une liberté d’action, de gestion et de régulation de son propre apprentissage à l’apprenant contribuent à améliorer les compétences à être autonome dans son apprentissage ? » </w:t>
      </w:r>
      <w:r w:rsidR="00EB539F" w:rsidRPr="00913909">
        <w:rPr>
          <w:rFonts w:cs="Times New Roman"/>
          <w:lang w:val="fr-BE"/>
        </w:rPr>
        <w:fldChar w:fldCharType="begin"/>
      </w:r>
      <w:r w:rsidR="00EB539F" w:rsidRPr="00913909">
        <w:rPr>
          <w:rFonts w:cs="Times New Roman"/>
          <w:lang w:val="fr-BE"/>
        </w:rPr>
        <w:instrText xml:space="preserve"> ADDIN ZOTERO_ITEM CSL_CITATION {"citationID":"KKNSB22v","properties":{"formattedCitation":"(Amadieu et Tricot [2014] 2020, 58)","plainCitation":"(Amadieu et Tricot [2014] 2020, 58)","noteIndex":0},"citationItems":[{"id":8547,"uris":["http://zotero.org/users/917725/items/JJE8QUZA"],"uri":["http://zotero.org/users/917725/items/JJE8QUZA"],"itemData":{"id":8547,"type":"book","abstract":"Le premier ouvrage qui examine les attentes et les croyances associées à l'usage des nouvelles technologies en classe. \" On est plus motivé quand on apprend avec le numérique \", \" Les vidéos et informations dynamiques favorisent l'apprentissage \", \" Le numérique permet d'adapter les enseignements aux élèves \"... Autant d'affirmations que l'on entend régulièrement. Mais s'appuient-elles sur des résultats d'études sérieuses ?  L'ouvrage est organisé en onze chapitres traitant chacun d'une attente, ou d'un mythe, autour des technologies de l'information et de la communication pour l'enseignement.  Chaque chapitre : présente le mythe : développement des attentes et des arguments généralement avancés justifiant ces attentes ;dresse un rapide bilan des travaux scientifiques examinant ce mythe ou permettant d'évaluer la validité des attentes : présentation des derniers travaux et revues de questions dans la littérature scientifique ;décrit concrètement plusieurs études pertinentes illustrant la réalité des TICE en lien avec le mythe, pour aider à la compréhension des apports et des limites du numérique ;présente une conclusion sous forme de réponse au mythe et de propositions pour la mise en œuvre dans la classe.","event-place":"s.l.","language":"Français","note":"original-date: 2014","publisher":"Retz","publisher-place":"s.l.","title":"Apprendre avec le numérique","author":[{"family":"Amadieu","given":"Franck"},{"family":"Tricot","given":"André"}],"issued":{"date-parts":[["2020"]]}},"locator":"58"}],"schema":"https://github.com/citation-style-language/schema/raw/master/csl-citation.json"} </w:instrText>
      </w:r>
      <w:r w:rsidR="00EB539F" w:rsidRPr="00913909">
        <w:rPr>
          <w:rFonts w:cs="Times New Roman"/>
          <w:lang w:val="fr-BE"/>
        </w:rPr>
        <w:fldChar w:fldCharType="separate"/>
      </w:r>
      <w:r w:rsidR="00EB539F" w:rsidRPr="00913909">
        <w:rPr>
          <w:rFonts w:cs="Times New Roman"/>
          <w:lang w:val="fr-BE"/>
        </w:rPr>
        <w:t>(Amadieu et Tricot [2014] 2020, 58)</w:t>
      </w:r>
      <w:r w:rsidR="00EB539F" w:rsidRPr="00913909">
        <w:rPr>
          <w:rFonts w:cs="Times New Roman"/>
          <w:lang w:val="fr-BE"/>
        </w:rPr>
        <w:fldChar w:fldCharType="end"/>
      </w:r>
      <w:r w:rsidR="00EB539F" w:rsidRPr="00913909">
        <w:rPr>
          <w:rFonts w:cs="Times New Roman"/>
          <w:lang w:val="fr-BE"/>
        </w:rPr>
        <w:t xml:space="preserve">. </w:t>
      </w:r>
    </w:p>
    <w:p w:rsidR="00EB539F" w:rsidRPr="00913909" w:rsidRDefault="00EB539F" w:rsidP="00EB539F">
      <w:pPr>
        <w:spacing w:line="360" w:lineRule="auto"/>
        <w:rPr>
          <w:rFonts w:cs="Times New Roman"/>
          <w:lang w:val="fr-BE"/>
        </w:rPr>
      </w:pPr>
      <w:r w:rsidRPr="00913909">
        <w:rPr>
          <w:rFonts w:cs="Times New Roman"/>
          <w:lang w:val="fr-BE"/>
        </w:rPr>
        <w:t xml:space="preserve">Les auteurs rappellent tout d’abord que la question de l’autonomie de l’apprenant est intrinsèquement liée à celle de l’autorégulation des apprentissages : être autonome suppose en effet d’être capable de réguler soi-même son parcours d’apprentissage, de s’adapter à un contexte donné et d’y ajuster les moyens mis en œuvre pour atteindre ses objectifs. L’apprenant doit à cette fin mobiliser diverses compétences et stratégies, ces dernières étant de trois ordres : les stratégies </w:t>
      </w:r>
      <w:r w:rsidRPr="0085165A">
        <w:rPr>
          <w:rFonts w:cs="Times New Roman"/>
          <w:i/>
          <w:lang w:val="fr-BE"/>
        </w:rPr>
        <w:t>motivationnelles</w:t>
      </w:r>
      <w:r w:rsidRPr="00913909">
        <w:rPr>
          <w:rFonts w:cs="Times New Roman"/>
          <w:lang w:val="fr-BE"/>
        </w:rPr>
        <w:t xml:space="preserve"> (accorder de la valeur à ce qui est étudié, volonté de maîtriser les apprentissages), </w:t>
      </w:r>
      <w:r w:rsidRPr="0085165A">
        <w:rPr>
          <w:rFonts w:cs="Times New Roman"/>
          <w:i/>
          <w:lang w:val="fr-BE"/>
        </w:rPr>
        <w:t>cognitives</w:t>
      </w:r>
      <w:r w:rsidRPr="00913909">
        <w:rPr>
          <w:rFonts w:cs="Times New Roman"/>
          <w:lang w:val="fr-BE"/>
        </w:rPr>
        <w:t xml:space="preserve"> (capacité à organiser et outiller le travail de mémorisation p. ex. avec des plans et résumés) et </w:t>
      </w:r>
      <w:r w:rsidRPr="0085165A">
        <w:rPr>
          <w:rFonts w:cs="Times New Roman"/>
          <w:i/>
          <w:lang w:val="fr-BE"/>
        </w:rPr>
        <w:t>métacognitives</w:t>
      </w:r>
      <w:r w:rsidRPr="00913909">
        <w:rPr>
          <w:rFonts w:cs="Times New Roman"/>
          <w:lang w:val="fr-BE"/>
        </w:rPr>
        <w:t xml:space="preserve"> (liées aux connaissances et compétences qu’ont les apprenants (i) sur les activités d’apprentissage et leurs propres compétences d’apprenant p. ex. être capable de </w:t>
      </w:r>
      <w:r w:rsidRPr="00913909">
        <w:rPr>
          <w:rFonts w:cs="Times New Roman"/>
          <w:lang w:val="fr-BE"/>
        </w:rPr>
        <w:lastRenderedPageBreak/>
        <w:t>planifier un temps de révision, de s’</w:t>
      </w:r>
      <w:proofErr w:type="spellStart"/>
      <w:r w:rsidRPr="00913909">
        <w:rPr>
          <w:rFonts w:cs="Times New Roman"/>
          <w:lang w:val="fr-BE"/>
        </w:rPr>
        <w:t>auto-évaluer</w:t>
      </w:r>
      <w:proofErr w:type="spellEnd"/>
      <w:r w:rsidRPr="00913909">
        <w:rPr>
          <w:rFonts w:cs="Times New Roman"/>
          <w:lang w:val="fr-BE"/>
        </w:rPr>
        <w:t xml:space="preserve">, de se fixer des objectifs intermédiaires, etc. ; (ii) sur un domaine </w:t>
      </w:r>
      <w:r w:rsidR="009650D9">
        <w:rPr>
          <w:rFonts w:cs="Times New Roman"/>
          <w:lang w:val="fr-BE"/>
        </w:rPr>
        <w:t>[</w:t>
      </w:r>
      <w:r w:rsidRPr="00913909">
        <w:rPr>
          <w:rFonts w:cs="Times New Roman"/>
          <w:lang w:val="fr-BE"/>
        </w:rPr>
        <w:t>ex. : capacité à rechercher d</w:t>
      </w:r>
      <w:r w:rsidR="009650D9">
        <w:rPr>
          <w:rFonts w:cs="Times New Roman"/>
          <w:lang w:val="fr-BE"/>
        </w:rPr>
        <w:t>e l’info à jour etc.])</w:t>
      </w:r>
      <w:r w:rsidRPr="00913909">
        <w:rPr>
          <w:rFonts w:cs="Times New Roman"/>
          <w:lang w:val="fr-BE"/>
        </w:rPr>
        <w:t xml:space="preserve">. </w:t>
      </w:r>
    </w:p>
    <w:p w:rsidR="00EB539F" w:rsidRPr="00913909" w:rsidRDefault="00EB539F" w:rsidP="00EB539F">
      <w:pPr>
        <w:spacing w:line="360" w:lineRule="auto"/>
        <w:rPr>
          <w:rFonts w:cs="Times New Roman"/>
          <w:lang w:val="fr-BE"/>
        </w:rPr>
      </w:pPr>
      <w:r w:rsidRPr="00913909">
        <w:rPr>
          <w:rFonts w:cs="Times New Roman"/>
          <w:lang w:val="fr-BE"/>
        </w:rPr>
        <w:t xml:space="preserve">En ce qui concerne ce que certains chercheurs appellent les </w:t>
      </w:r>
      <w:r w:rsidRPr="00913909">
        <w:rPr>
          <w:rFonts w:cs="Times New Roman"/>
          <w:i/>
          <w:lang w:val="fr-BE"/>
        </w:rPr>
        <w:t>hypermédias</w:t>
      </w:r>
      <w:r w:rsidRPr="00913909">
        <w:rPr>
          <w:rFonts w:cs="Times New Roman"/>
          <w:lang w:val="fr-BE"/>
        </w:rPr>
        <w:t xml:space="preserve"> (ou documents numériques par lesquels les apprenants construisent leur propre parcours, du type MOOC), la littérature scientifique </w:t>
      </w:r>
      <w:r w:rsidR="009D1799" w:rsidRPr="00913909">
        <w:rPr>
          <w:rFonts w:cs="Times New Roman"/>
          <w:lang w:val="fr-BE"/>
        </w:rPr>
        <w:t>atteste</w:t>
      </w:r>
      <w:r w:rsidRPr="00913909">
        <w:rPr>
          <w:rFonts w:cs="Times New Roman"/>
          <w:lang w:val="fr-BE"/>
        </w:rPr>
        <w:t xml:space="preserve">, d’après Tricot et </w:t>
      </w:r>
      <w:proofErr w:type="spellStart"/>
      <w:r w:rsidRPr="00913909">
        <w:rPr>
          <w:rFonts w:cs="Times New Roman"/>
          <w:lang w:val="fr-BE"/>
        </w:rPr>
        <w:t>Amadieu</w:t>
      </w:r>
      <w:proofErr w:type="spellEnd"/>
      <w:r w:rsidRPr="00913909">
        <w:rPr>
          <w:rFonts w:cs="Times New Roman"/>
          <w:lang w:val="fr-BE"/>
        </w:rPr>
        <w:t xml:space="preserve"> toujours, que ce sont les stratégies </w:t>
      </w:r>
      <w:r w:rsidRPr="00D13D9F">
        <w:rPr>
          <w:rFonts w:cs="Times New Roman"/>
          <w:i/>
          <w:lang w:val="fr-BE"/>
        </w:rPr>
        <w:t>métacognitives</w:t>
      </w:r>
      <w:r w:rsidRPr="00913909">
        <w:rPr>
          <w:rFonts w:cs="Times New Roman"/>
          <w:lang w:val="fr-BE"/>
        </w:rPr>
        <w:t xml:space="preserve"> (contrôle de la compréhension, planification des apprentissages, etc.) qui sont plus que tout autres nécessaires à l’atteinte des objectifs d’apprentissage, de même qu’une connaissance préalable du domaine étudié</w:t>
      </w:r>
      <w:r w:rsidRPr="00913909">
        <w:rPr>
          <w:rStyle w:val="Appelnotedebasdep"/>
          <w:rFonts w:cs="Times New Roman"/>
          <w:lang w:val="fr-BE"/>
        </w:rPr>
        <w:footnoteReference w:id="3"/>
      </w:r>
      <w:r w:rsidRPr="00913909">
        <w:rPr>
          <w:rFonts w:cs="Times New Roman"/>
          <w:lang w:val="fr-BE"/>
        </w:rPr>
        <w:t xml:space="preserve">. Or, tous les apprenants ne disposent pas de compétences et de connaissances leur garantissant une bonne autonomie. Les études tendent également à montrer que les apprenants performants dans les apprentissages en ligne le sont également dans les apprentissages autorégulés, et </w:t>
      </w:r>
      <w:r w:rsidRPr="00D746CD">
        <w:rPr>
          <w:rFonts w:cs="Times New Roman"/>
          <w:i/>
          <w:lang w:val="fr-BE"/>
        </w:rPr>
        <w:t>vice versa</w:t>
      </w:r>
      <w:r w:rsidRPr="00913909">
        <w:rPr>
          <w:rStyle w:val="Appelnotedebasdep"/>
          <w:rFonts w:cs="Times New Roman"/>
          <w:lang w:val="fr-BE"/>
        </w:rPr>
        <w:footnoteReference w:id="4"/>
      </w:r>
      <w:r w:rsidRPr="00913909">
        <w:rPr>
          <w:rFonts w:cs="Times New Roman"/>
          <w:lang w:val="fr-BE"/>
        </w:rPr>
        <w:t xml:space="preserve">, ce qui mène Tricot et </w:t>
      </w:r>
      <w:proofErr w:type="spellStart"/>
      <w:r w:rsidRPr="00913909">
        <w:rPr>
          <w:rFonts w:cs="Times New Roman"/>
          <w:lang w:val="fr-BE"/>
        </w:rPr>
        <w:t>Amadieu</w:t>
      </w:r>
      <w:proofErr w:type="spellEnd"/>
      <w:r w:rsidRPr="00913909">
        <w:rPr>
          <w:rFonts w:cs="Times New Roman"/>
          <w:lang w:val="fr-BE"/>
        </w:rPr>
        <w:t xml:space="preserve"> à la conclusion suivante : « Selon nous, l’autonomie n’est pas la résultante d’un apprentissage avec les technologies mais bien une compétence nécessaire à la conduite d’apprentissages autorégulés. En d’autres termes, les contextes d’apprentissage en ligne. » (</w:t>
      </w:r>
      <w:r w:rsidRPr="00913909">
        <w:rPr>
          <w:rFonts w:cs="Times New Roman"/>
          <w:i/>
          <w:lang w:val="fr-BE"/>
        </w:rPr>
        <w:t xml:space="preserve">Ibid. </w:t>
      </w:r>
      <w:r w:rsidRPr="00913909">
        <w:rPr>
          <w:rFonts w:cs="Times New Roman"/>
          <w:lang w:val="fr-BE"/>
        </w:rPr>
        <w:t>64). Dans ce cas, il est nécessaire, pour favoriser l’atteinte des objectifs d’apprentissage, de prévoir des dispositifs d’accompagnement et de guidage dans les environnements</w:t>
      </w:r>
      <w:r w:rsidR="004B1C27">
        <w:rPr>
          <w:rFonts w:cs="Times New Roman"/>
          <w:lang w:val="fr-BE"/>
        </w:rPr>
        <w:t xml:space="preserve"> du </w:t>
      </w:r>
      <w:r w:rsidRPr="00913909">
        <w:rPr>
          <w:rFonts w:cs="Times New Roman"/>
          <w:lang w:val="fr-BE"/>
        </w:rPr>
        <w:t xml:space="preserve"> numériques éducatifs. </w:t>
      </w:r>
    </w:p>
    <w:p w:rsidR="007F15BE" w:rsidRPr="00913909" w:rsidRDefault="00285429" w:rsidP="00270EC4">
      <w:pPr>
        <w:spacing w:line="360" w:lineRule="auto"/>
        <w:rPr>
          <w:rFonts w:cs="Times New Roman"/>
          <w:lang w:val="fr-BE"/>
        </w:rPr>
      </w:pPr>
      <w:r w:rsidRPr="00913909">
        <w:rPr>
          <w:rFonts w:cs="Times New Roman"/>
          <w:lang w:val="fr-BE"/>
        </w:rPr>
        <w:t>L</w:t>
      </w:r>
      <w:r w:rsidR="0026031B" w:rsidRPr="00913909">
        <w:rPr>
          <w:rFonts w:cs="Times New Roman"/>
          <w:lang w:val="fr-BE"/>
        </w:rPr>
        <w:t xml:space="preserve">es environnements du numérique éducatif s’apparentent </w:t>
      </w:r>
      <w:r w:rsidRPr="00913909">
        <w:rPr>
          <w:rFonts w:cs="Times New Roman"/>
          <w:lang w:val="fr-BE"/>
        </w:rPr>
        <w:t xml:space="preserve">ainsi </w:t>
      </w:r>
      <w:r w:rsidR="0026031B" w:rsidRPr="00913909">
        <w:rPr>
          <w:rFonts w:cs="Times New Roman"/>
          <w:lang w:val="fr-BE"/>
        </w:rPr>
        <w:t>à des lieux d’apprentissage autorégulé, où les compétences d’autonomie dont dispose déjà l’apprenant favoriserai</w:t>
      </w:r>
      <w:r w:rsidR="006934D4" w:rsidRPr="00913909">
        <w:rPr>
          <w:rFonts w:cs="Times New Roman"/>
          <w:lang w:val="fr-BE"/>
        </w:rPr>
        <w:t>en</w:t>
      </w:r>
      <w:r w:rsidR="0026031B" w:rsidRPr="00913909">
        <w:rPr>
          <w:rFonts w:cs="Times New Roman"/>
          <w:lang w:val="fr-BE"/>
        </w:rPr>
        <w:t xml:space="preserve">t la réussite dans les tâches proposées. </w:t>
      </w:r>
      <w:r w:rsidR="003D7DEC" w:rsidRPr="00913909">
        <w:rPr>
          <w:rFonts w:cs="Times New Roman"/>
          <w:lang w:val="fr-BE"/>
        </w:rPr>
        <w:t>L</w:t>
      </w:r>
      <w:r w:rsidR="00E13125" w:rsidRPr="00913909">
        <w:rPr>
          <w:rFonts w:cs="Times New Roman"/>
          <w:lang w:val="fr-BE"/>
        </w:rPr>
        <w:t xml:space="preserve">’idée </w:t>
      </w:r>
      <w:r w:rsidR="00504053" w:rsidRPr="00913909">
        <w:rPr>
          <w:rFonts w:cs="Times New Roman"/>
          <w:lang w:val="fr-BE"/>
        </w:rPr>
        <w:t>d’un processus d’autonomisation</w:t>
      </w:r>
      <w:r w:rsidR="003D7DEC" w:rsidRPr="00913909">
        <w:rPr>
          <w:rFonts w:cs="Times New Roman"/>
          <w:lang w:val="fr-BE"/>
        </w:rPr>
        <w:t xml:space="preserve"> d</w:t>
      </w:r>
      <w:r w:rsidR="00504053" w:rsidRPr="00913909">
        <w:rPr>
          <w:rFonts w:cs="Times New Roman"/>
          <w:lang w:val="fr-BE"/>
        </w:rPr>
        <w:t xml:space="preserve">es élèves </w:t>
      </w:r>
      <w:r w:rsidR="007504A9" w:rsidRPr="00913909">
        <w:rPr>
          <w:rFonts w:cs="Times New Roman"/>
          <w:lang w:val="fr-BE"/>
        </w:rPr>
        <w:t xml:space="preserve">dans </w:t>
      </w:r>
      <w:r w:rsidR="00F91482" w:rsidRPr="00913909">
        <w:rPr>
          <w:rFonts w:cs="Times New Roman"/>
          <w:lang w:val="fr-BE"/>
        </w:rPr>
        <w:t>l’acquisition des savoirs</w:t>
      </w:r>
      <w:r w:rsidR="007504A9" w:rsidRPr="00913909">
        <w:rPr>
          <w:rFonts w:cs="Times New Roman"/>
          <w:lang w:val="fr-BE"/>
        </w:rPr>
        <w:t xml:space="preserve"> </w:t>
      </w:r>
      <w:r w:rsidR="00E13125" w:rsidRPr="00913909">
        <w:rPr>
          <w:rFonts w:cs="Times New Roman"/>
          <w:lang w:val="fr-BE"/>
        </w:rPr>
        <w:t xml:space="preserve">qui découlerait naturellement de </w:t>
      </w:r>
      <w:r w:rsidR="003D7DEC" w:rsidRPr="00913909">
        <w:rPr>
          <w:rFonts w:cs="Times New Roman"/>
          <w:lang w:val="fr-BE"/>
        </w:rPr>
        <w:t xml:space="preserve">l’usage des dispositifs numériques rejoint alors d’autres </w:t>
      </w:r>
      <w:r w:rsidR="000E0B2F" w:rsidRPr="00913909">
        <w:rPr>
          <w:rFonts w:cs="Times New Roman"/>
          <w:lang w:val="fr-BE"/>
        </w:rPr>
        <w:t xml:space="preserve">idées </w:t>
      </w:r>
      <w:r w:rsidR="0014471F" w:rsidRPr="00913909">
        <w:rPr>
          <w:rFonts w:cs="Times New Roman"/>
          <w:lang w:val="fr-BE"/>
        </w:rPr>
        <w:t>courantes</w:t>
      </w:r>
      <w:r w:rsidR="000E0B2F" w:rsidRPr="00913909">
        <w:rPr>
          <w:rFonts w:cs="Times New Roman"/>
          <w:lang w:val="fr-BE"/>
        </w:rPr>
        <w:t xml:space="preserve"> comme celles</w:t>
      </w:r>
      <w:r w:rsidR="003D7DEC" w:rsidRPr="00913909">
        <w:rPr>
          <w:rFonts w:cs="Times New Roman"/>
          <w:lang w:val="fr-BE"/>
        </w:rPr>
        <w:t xml:space="preserve"> de</w:t>
      </w:r>
      <w:r w:rsidR="00D1168B" w:rsidRPr="00913909">
        <w:rPr>
          <w:rFonts w:cs="Times New Roman"/>
          <w:lang w:val="fr-BE"/>
        </w:rPr>
        <w:t>s</w:t>
      </w:r>
      <w:r w:rsidR="003D7DEC" w:rsidRPr="00913909">
        <w:rPr>
          <w:rFonts w:cs="Times New Roman"/>
          <w:lang w:val="fr-BE"/>
        </w:rPr>
        <w:t xml:space="preserve"> </w:t>
      </w:r>
      <w:r w:rsidR="0014471F" w:rsidRPr="00913909">
        <w:rPr>
          <w:rFonts w:cs="Times New Roman"/>
          <w:i/>
          <w:lang w:val="fr-BE"/>
        </w:rPr>
        <w:t>digital n</w:t>
      </w:r>
      <w:r w:rsidR="003D7DEC" w:rsidRPr="00913909">
        <w:rPr>
          <w:rFonts w:cs="Times New Roman"/>
          <w:i/>
          <w:lang w:val="fr-BE"/>
        </w:rPr>
        <w:t>ative</w:t>
      </w:r>
      <w:r w:rsidR="00D1168B" w:rsidRPr="00913909">
        <w:rPr>
          <w:rFonts w:cs="Times New Roman"/>
          <w:i/>
          <w:lang w:val="fr-BE"/>
        </w:rPr>
        <w:t>s</w:t>
      </w:r>
      <w:r w:rsidR="000E0B2F" w:rsidRPr="00913909">
        <w:rPr>
          <w:rFonts w:cs="Times New Roman"/>
          <w:i/>
          <w:lang w:val="fr-BE"/>
        </w:rPr>
        <w:t xml:space="preserve"> — </w:t>
      </w:r>
      <w:r w:rsidR="000E0B2F" w:rsidRPr="00913909">
        <w:rPr>
          <w:rFonts w:cs="Times New Roman"/>
          <w:lang w:val="fr-BE"/>
        </w:rPr>
        <w:t xml:space="preserve">soit, des générations d’élèves nés avec les outils numériques </w:t>
      </w:r>
      <w:r w:rsidR="004C4EE5" w:rsidRPr="00913909">
        <w:rPr>
          <w:rFonts w:cs="Times New Roman"/>
          <w:lang w:val="fr-BE"/>
        </w:rPr>
        <w:t>qui seraient</w:t>
      </w:r>
      <w:r w:rsidR="000E0B2F" w:rsidRPr="00913909">
        <w:rPr>
          <w:rFonts w:cs="Times New Roman"/>
          <w:lang w:val="fr-BE"/>
        </w:rPr>
        <w:t xml:space="preserve"> dès lors capables intuitivement de les utiliser. </w:t>
      </w:r>
      <w:r w:rsidR="00802CDD" w:rsidRPr="00913909">
        <w:rPr>
          <w:rFonts w:cs="Times New Roman"/>
          <w:lang w:val="fr-BE"/>
        </w:rPr>
        <w:t>Ce type d’idées reçues possède</w:t>
      </w:r>
      <w:r w:rsidR="00427B97" w:rsidRPr="00913909">
        <w:rPr>
          <w:rFonts w:cs="Times New Roman"/>
          <w:lang w:val="fr-BE"/>
        </w:rPr>
        <w:t xml:space="preserve"> néanmoins</w:t>
      </w:r>
      <w:r w:rsidR="00802CDD" w:rsidRPr="00913909">
        <w:rPr>
          <w:rFonts w:cs="Times New Roman"/>
          <w:lang w:val="fr-BE"/>
        </w:rPr>
        <w:t xml:space="preserve"> une v</w:t>
      </w:r>
      <w:r w:rsidR="003A2C6A" w:rsidRPr="00913909">
        <w:rPr>
          <w:rFonts w:cs="Times New Roman"/>
          <w:lang w:val="fr-BE"/>
        </w:rPr>
        <w:t xml:space="preserve">aleur doxique, c’est-à-dire qu’elles </w:t>
      </w:r>
      <w:r w:rsidR="00802CDD" w:rsidRPr="00913909">
        <w:rPr>
          <w:rFonts w:cs="Times New Roman"/>
          <w:lang w:val="fr-BE"/>
        </w:rPr>
        <w:t xml:space="preserve">sont liées à des représentations spontanées qui doivent être interrogées mais sont aussi le signe d’imaginaires communément partagés, </w:t>
      </w:r>
      <w:r w:rsidR="00026DFA" w:rsidRPr="00913909">
        <w:rPr>
          <w:rFonts w:cs="Times New Roman"/>
          <w:lang w:val="fr-BE"/>
        </w:rPr>
        <w:t xml:space="preserve">ce </w:t>
      </w:r>
      <w:r w:rsidR="00B53265" w:rsidRPr="00913909">
        <w:rPr>
          <w:rFonts w:cs="Times New Roman"/>
          <w:lang w:val="fr-BE"/>
        </w:rPr>
        <w:t xml:space="preserve">qui ne doit pas nécessairement être négligé. </w:t>
      </w:r>
      <w:r w:rsidR="00341889" w:rsidRPr="00913909">
        <w:rPr>
          <w:rFonts w:cs="Times New Roman"/>
          <w:lang w:val="fr-BE"/>
        </w:rPr>
        <w:t>C</w:t>
      </w:r>
      <w:r w:rsidR="00B53265" w:rsidRPr="00913909">
        <w:rPr>
          <w:rFonts w:cs="Times New Roman"/>
          <w:lang w:val="fr-BE"/>
        </w:rPr>
        <w:t xml:space="preserve">es représentations </w:t>
      </w:r>
      <w:r w:rsidR="003A2C6A" w:rsidRPr="00913909">
        <w:rPr>
          <w:rFonts w:cs="Times New Roman"/>
          <w:lang w:val="fr-BE"/>
        </w:rPr>
        <w:t>peuvent</w:t>
      </w:r>
      <w:r w:rsidR="00802CDD" w:rsidRPr="00913909">
        <w:rPr>
          <w:rFonts w:cs="Times New Roman"/>
          <w:lang w:val="fr-BE"/>
        </w:rPr>
        <w:t xml:space="preserve"> </w:t>
      </w:r>
      <w:r w:rsidR="00341889" w:rsidRPr="00913909">
        <w:rPr>
          <w:rFonts w:cs="Times New Roman"/>
          <w:lang w:val="fr-BE"/>
        </w:rPr>
        <w:t xml:space="preserve">en effet </w:t>
      </w:r>
      <w:r w:rsidR="00802CDD" w:rsidRPr="00913909">
        <w:rPr>
          <w:rFonts w:cs="Times New Roman"/>
          <w:lang w:val="fr-BE"/>
        </w:rPr>
        <w:t>être questionnées quant à ce qu’elles disent de notre rapport au savoir</w:t>
      </w:r>
      <w:r w:rsidR="009A2D50" w:rsidRPr="00913909">
        <w:rPr>
          <w:rFonts w:cs="Times New Roman"/>
          <w:lang w:val="fr-BE"/>
        </w:rPr>
        <w:t>, à l’éducation</w:t>
      </w:r>
      <w:r w:rsidR="00802CDD" w:rsidRPr="00913909">
        <w:rPr>
          <w:rFonts w:cs="Times New Roman"/>
          <w:lang w:val="fr-BE"/>
        </w:rPr>
        <w:t xml:space="preserve"> et aux dispositifs </w:t>
      </w:r>
      <w:r w:rsidR="00802CDD" w:rsidRPr="00913909">
        <w:rPr>
          <w:rFonts w:cs="Times New Roman"/>
          <w:lang w:val="fr-BE"/>
        </w:rPr>
        <w:lastRenderedPageBreak/>
        <w:t>numériques</w:t>
      </w:r>
      <w:r w:rsidR="007E599F" w:rsidRPr="00913909">
        <w:rPr>
          <w:rFonts w:cs="Times New Roman"/>
          <w:lang w:val="fr-BE"/>
        </w:rPr>
        <w:t>, ainsi que des</w:t>
      </w:r>
      <w:r w:rsidR="003A2C6A" w:rsidRPr="00913909">
        <w:rPr>
          <w:rFonts w:cs="Times New Roman"/>
          <w:lang w:val="fr-BE"/>
        </w:rPr>
        <w:t xml:space="preserve"> pratiques</w:t>
      </w:r>
      <w:r w:rsidR="009716CC" w:rsidRPr="00913909">
        <w:rPr>
          <w:rFonts w:cs="Times New Roman"/>
          <w:lang w:val="fr-BE"/>
        </w:rPr>
        <w:t xml:space="preserve"> d’enseignement</w:t>
      </w:r>
      <w:r w:rsidR="003A2C6A" w:rsidRPr="00913909">
        <w:rPr>
          <w:rFonts w:cs="Times New Roman"/>
          <w:lang w:val="fr-BE"/>
        </w:rPr>
        <w:t xml:space="preserve"> qu’elles suggèrent</w:t>
      </w:r>
      <w:r w:rsidR="00802CDD" w:rsidRPr="00913909">
        <w:rPr>
          <w:rFonts w:cs="Times New Roman"/>
          <w:lang w:val="fr-BE"/>
        </w:rPr>
        <w:t>.</w:t>
      </w:r>
      <w:r w:rsidR="009A15AE" w:rsidRPr="00913909">
        <w:rPr>
          <w:rFonts w:cs="Times New Roman"/>
          <w:lang w:val="fr-BE"/>
        </w:rPr>
        <w:t xml:space="preserve"> Par ailleurs, il serait vain de tenter de saisir les dispositifs médiatiques en les coupant des imaginaires desquels ils participent </w:t>
      </w:r>
      <w:r w:rsidR="009A15AE" w:rsidRPr="00913909">
        <w:rPr>
          <w:rFonts w:cs="Times New Roman"/>
          <w:lang w:val="fr-BE"/>
        </w:rPr>
        <w:fldChar w:fldCharType="begin"/>
      </w:r>
      <w:r w:rsidR="009A15AE" w:rsidRPr="00913909">
        <w:rPr>
          <w:rFonts w:cs="Times New Roman"/>
          <w:lang w:val="fr-BE"/>
        </w:rPr>
        <w:instrText xml:space="preserve"> ADDIN ZOTERO_ITEM CSL_CITATION {"citationID":"kCIimq1I","properties":{"formattedCitation":"(Davallon et al. [2003] 2013)","plainCitation":"(Davallon et al. [2003] 2013)","noteIndex":0},"citationItems":[{"id":1880,"uris":["http://zotero.org/users/917725/items/F8TDHKIX"],"uri":["http://zotero.org/users/917725/items/F8TDHKIX"],"itemData":{"id":1880,"type":"book","abstract":"Quelles relations peut-il y avoir entre un ensemble de « sites Web » reliés à la Bibliothèque nationale de France, des messages électroniques échangés par un groupe d’étudiants, un corpus de « textes Web » sur les OGM (organismes génétiquement modifiés) ou bien encore les pratiques de travail dans une bibliothèque en cours de réaménagement ?  Ces différents « terrains d’analyse » ont en commun d’être des lieux privilégiés pour observer la circulation des formes écrites dans la société et la façon dont cette circulation participe de la médiation sociale des savoirs. Issu d’une série de questionnements sur les transformations contemporaines du rapport à l’écrit, le projet de ce livre se fonde sur un ensemble de recherches individuelles et collectives menées depuis plusieurs années autour de « l’écrit d’écran », des « écrits de réseaux » et de l’analyse des usages des nouvelles technologies liées aux institutions culturelles. Recherches mues par le même souci de cerner et de comprendre les interrelations tissées entre le technique, le sémiotique et les usages des médias informatisés.","collection-title":"Études et recherche","event-place":"Paris","ISBN":"978-2-84246-162-1","language":"fr","note":"original-date: 2003","number-of-pages":"350","publisher":"Éditions de la Bibliothèque publique d’information","publisher-place":"Paris","source":"OpenEdition Books","title":"Lire, écrire, récrire : Objets, signes et pratiques des médias informatisés","title-short":"Lire, écrire, récrire","URL":"http://books.openedition.org/bibpompidou/394","author":[{"family":"Davallon","given":"Jean"},{"family":"Després-Lonnet","given":"Marie"},{"family":"Jeanneret","given":"Yves"},{"family":"Le Marec","given":"Joëlle"},{"family":"Souchier","given":"Emmanuël"}],"accessed":{"date-parts":[["2016",1,19]]},"issued":{"date-parts":[["2013"]]}}}],"schema":"https://github.com/citation-style-language/schema/raw/master/csl-citation.json"} </w:instrText>
      </w:r>
      <w:r w:rsidR="009A15AE" w:rsidRPr="00913909">
        <w:rPr>
          <w:rFonts w:cs="Times New Roman"/>
          <w:lang w:val="fr-BE"/>
        </w:rPr>
        <w:fldChar w:fldCharType="separate"/>
      </w:r>
      <w:r w:rsidR="009A15AE" w:rsidRPr="00913909">
        <w:rPr>
          <w:rFonts w:cs="Times New Roman"/>
          <w:lang w:val="fr-BE"/>
        </w:rPr>
        <w:t>(Davallon et al. [2003] 2013)</w:t>
      </w:r>
      <w:r w:rsidR="009A15AE" w:rsidRPr="00913909">
        <w:rPr>
          <w:rFonts w:cs="Times New Roman"/>
          <w:lang w:val="fr-BE"/>
        </w:rPr>
        <w:fldChar w:fldCharType="end"/>
      </w:r>
      <w:r w:rsidR="009A15AE" w:rsidRPr="00913909">
        <w:rPr>
          <w:rFonts w:cs="Times New Roman"/>
          <w:lang w:val="fr-BE"/>
        </w:rPr>
        <w:t>.</w:t>
      </w:r>
      <w:r w:rsidR="00DE00B3" w:rsidRPr="00913909">
        <w:rPr>
          <w:rFonts w:cs="Times New Roman"/>
          <w:lang w:val="fr-BE"/>
        </w:rPr>
        <w:t xml:space="preserve"> </w:t>
      </w:r>
      <w:r w:rsidR="009A10CE" w:rsidRPr="00913909">
        <w:rPr>
          <w:rFonts w:cs="Times New Roman"/>
          <w:lang w:val="fr-BE"/>
        </w:rPr>
        <w:t>Quelles seraient dès lors les raisons pour lesquelles l’idée d’une autonomisation de l’apprenant</w:t>
      </w:r>
      <w:r w:rsidR="00044A27" w:rsidRPr="00913909">
        <w:rPr>
          <w:rFonts w:cs="Times New Roman"/>
          <w:lang w:val="fr-BE"/>
        </w:rPr>
        <w:t xml:space="preserve"> dans les apprentissages,</w:t>
      </w:r>
      <w:r w:rsidR="009A10CE" w:rsidRPr="00913909">
        <w:rPr>
          <w:rFonts w:cs="Times New Roman"/>
          <w:lang w:val="fr-BE"/>
        </w:rPr>
        <w:t xml:space="preserve"> au simple contact des dispositifs numériques</w:t>
      </w:r>
      <w:r w:rsidR="00044A27" w:rsidRPr="00913909">
        <w:rPr>
          <w:rFonts w:cs="Times New Roman"/>
          <w:lang w:val="fr-BE"/>
        </w:rPr>
        <w:t>,</w:t>
      </w:r>
      <w:r w:rsidR="00A1284D" w:rsidRPr="00913909">
        <w:rPr>
          <w:rFonts w:cs="Times New Roman"/>
          <w:lang w:val="fr-BE"/>
        </w:rPr>
        <w:t xml:space="preserve"> se retrouve</w:t>
      </w:r>
      <w:r w:rsidR="009A10CE" w:rsidRPr="00913909">
        <w:rPr>
          <w:rFonts w:cs="Times New Roman"/>
          <w:lang w:val="fr-BE"/>
        </w:rPr>
        <w:t xml:space="preserve"> </w:t>
      </w:r>
      <w:r w:rsidR="00015C3F" w:rsidRPr="00913909">
        <w:rPr>
          <w:rFonts w:cs="Times New Roman"/>
          <w:lang w:val="fr-BE"/>
        </w:rPr>
        <w:t xml:space="preserve">à ce point ancrée dans </w:t>
      </w:r>
      <w:r w:rsidR="005847D8" w:rsidRPr="00913909">
        <w:rPr>
          <w:rFonts w:cs="Times New Roman"/>
          <w:lang w:val="fr-BE"/>
        </w:rPr>
        <w:t xml:space="preserve">le discours éducatif ? </w:t>
      </w:r>
      <w:r w:rsidR="001A0D19" w:rsidRPr="00913909">
        <w:rPr>
          <w:rFonts w:cs="Times New Roman"/>
          <w:lang w:val="fr-BE"/>
        </w:rPr>
        <w:t>T</w:t>
      </w:r>
      <w:r w:rsidR="006C7EE8" w:rsidRPr="00913909">
        <w:rPr>
          <w:rFonts w:cs="Times New Roman"/>
          <w:lang w:val="fr-BE"/>
        </w:rPr>
        <w:t>rois éléments sa</w:t>
      </w:r>
      <w:r w:rsidR="001A0D19" w:rsidRPr="00913909">
        <w:rPr>
          <w:rFonts w:cs="Times New Roman"/>
          <w:lang w:val="fr-BE"/>
        </w:rPr>
        <w:t>illants peuvent être identifiés à partir des études consultées.</w:t>
      </w:r>
    </w:p>
    <w:p w:rsidR="00BE3091" w:rsidRPr="00913909" w:rsidRDefault="006C7EE8" w:rsidP="008E4618">
      <w:pPr>
        <w:spacing w:line="360" w:lineRule="auto"/>
        <w:rPr>
          <w:rFonts w:cs="Times New Roman"/>
          <w:lang w:val="fr-BE"/>
        </w:rPr>
      </w:pPr>
      <w:r w:rsidRPr="00913909">
        <w:rPr>
          <w:rFonts w:cs="Times New Roman"/>
          <w:lang w:val="fr-BE"/>
        </w:rPr>
        <w:t>A</w:t>
      </w:r>
      <w:r w:rsidR="0081303A" w:rsidRPr="00913909">
        <w:rPr>
          <w:rFonts w:cs="Times New Roman"/>
          <w:lang w:val="fr-BE"/>
        </w:rPr>
        <w:t>u premier chef,</w:t>
      </w:r>
      <w:r w:rsidRPr="00913909">
        <w:rPr>
          <w:rFonts w:cs="Times New Roman"/>
          <w:lang w:val="fr-BE"/>
        </w:rPr>
        <w:t xml:space="preserve"> </w:t>
      </w:r>
      <w:r w:rsidR="0081303A" w:rsidRPr="00913909">
        <w:rPr>
          <w:rFonts w:cs="Times New Roman"/>
          <w:lang w:val="fr-BE"/>
        </w:rPr>
        <w:t>la m</w:t>
      </w:r>
      <w:r w:rsidR="005847D8" w:rsidRPr="00913909">
        <w:rPr>
          <w:rFonts w:cs="Times New Roman"/>
          <w:lang w:val="fr-BE"/>
        </w:rPr>
        <w:t xml:space="preserve">odification significative de la masse de savoir disponible et des </w:t>
      </w:r>
      <w:r w:rsidR="00462EB3" w:rsidRPr="00913909">
        <w:rPr>
          <w:rFonts w:cs="Times New Roman"/>
          <w:lang w:val="fr-BE"/>
        </w:rPr>
        <w:t>opportuni</w:t>
      </w:r>
      <w:r w:rsidR="005847D8" w:rsidRPr="00913909">
        <w:rPr>
          <w:rFonts w:cs="Times New Roman"/>
          <w:lang w:val="fr-BE"/>
        </w:rPr>
        <w:t>tés, pour l</w:t>
      </w:r>
      <w:r w:rsidR="00C60E39" w:rsidRPr="00913909">
        <w:rPr>
          <w:rFonts w:cs="Times New Roman"/>
          <w:lang w:val="fr-BE"/>
        </w:rPr>
        <w:t>’élève</w:t>
      </w:r>
      <w:r w:rsidR="005847D8" w:rsidRPr="00913909">
        <w:rPr>
          <w:rFonts w:cs="Times New Roman"/>
          <w:lang w:val="fr-BE"/>
        </w:rPr>
        <w:t>, d’y accéder</w:t>
      </w:r>
      <w:r w:rsidRPr="00913909">
        <w:rPr>
          <w:rFonts w:cs="Times New Roman"/>
          <w:lang w:val="fr-BE"/>
        </w:rPr>
        <w:t>, entretient une certaine confusion entre</w:t>
      </w:r>
      <w:r w:rsidR="00267DE8" w:rsidRPr="00913909">
        <w:rPr>
          <w:rFonts w:cs="Times New Roman"/>
          <w:lang w:val="fr-BE"/>
        </w:rPr>
        <w:t xml:space="preserve"> </w:t>
      </w:r>
      <w:r w:rsidR="0003720A" w:rsidRPr="00913909">
        <w:rPr>
          <w:rFonts w:cs="Times New Roman"/>
          <w:i/>
          <w:lang w:val="fr-BE"/>
        </w:rPr>
        <w:t>accéder</w:t>
      </w:r>
      <w:r w:rsidR="00511AA1" w:rsidRPr="00913909">
        <w:rPr>
          <w:rFonts w:cs="Times New Roman"/>
          <w:i/>
          <w:lang w:val="fr-BE"/>
        </w:rPr>
        <w:t xml:space="preserve"> </w:t>
      </w:r>
      <w:r w:rsidR="00511AA1" w:rsidRPr="00913909">
        <w:rPr>
          <w:rFonts w:cs="Times New Roman"/>
          <w:lang w:val="fr-BE"/>
        </w:rPr>
        <w:t>au savoir</w:t>
      </w:r>
      <w:r w:rsidR="008D5BAB" w:rsidRPr="00913909">
        <w:rPr>
          <w:rFonts w:cs="Times New Roman"/>
          <w:lang w:val="fr-BE"/>
        </w:rPr>
        <w:t xml:space="preserve">, </w:t>
      </w:r>
      <w:r w:rsidR="00511AA1" w:rsidRPr="00913909">
        <w:rPr>
          <w:rFonts w:cs="Times New Roman"/>
          <w:lang w:val="fr-BE"/>
        </w:rPr>
        <w:t>l’</w:t>
      </w:r>
      <w:r w:rsidR="0003720A" w:rsidRPr="00913909">
        <w:rPr>
          <w:rFonts w:cs="Times New Roman"/>
          <w:i/>
          <w:lang w:val="fr-BE"/>
        </w:rPr>
        <w:t>apprendre</w:t>
      </w:r>
      <w:r w:rsidR="008D5BAB" w:rsidRPr="00913909">
        <w:rPr>
          <w:rFonts w:cs="Times New Roman"/>
          <w:i/>
          <w:lang w:val="fr-BE"/>
        </w:rPr>
        <w:t xml:space="preserve"> </w:t>
      </w:r>
      <w:r w:rsidR="008D5BAB" w:rsidRPr="00913909">
        <w:rPr>
          <w:rFonts w:cs="Times New Roman"/>
          <w:lang w:val="fr-BE"/>
        </w:rPr>
        <w:t xml:space="preserve">et </w:t>
      </w:r>
      <w:r w:rsidR="00511AA1" w:rsidRPr="00913909">
        <w:rPr>
          <w:rFonts w:cs="Times New Roman"/>
          <w:lang w:val="fr-BE"/>
        </w:rPr>
        <w:t>l’</w:t>
      </w:r>
      <w:r w:rsidR="008D5BAB" w:rsidRPr="00913909">
        <w:rPr>
          <w:rFonts w:cs="Times New Roman"/>
          <w:i/>
          <w:lang w:val="fr-BE"/>
        </w:rPr>
        <w:t>enseigner</w:t>
      </w:r>
      <w:r w:rsidR="005847D8" w:rsidRPr="00913909">
        <w:rPr>
          <w:rFonts w:cs="Times New Roman"/>
          <w:lang w:val="fr-BE"/>
        </w:rPr>
        <w:t xml:space="preserve">. </w:t>
      </w:r>
      <w:r w:rsidR="008E4618" w:rsidRPr="00913909">
        <w:rPr>
          <w:rFonts w:cs="Times New Roman"/>
          <w:lang w:val="fr-BE"/>
        </w:rPr>
        <w:t xml:space="preserve">Tout d’abord, l’apprentissage n’est pas l’enseignement, qui va en quelque sorte amener l’élève à s’approprier un </w:t>
      </w:r>
      <w:r w:rsidR="008E4618" w:rsidRPr="003938CA">
        <w:rPr>
          <w:rFonts w:cs="Times New Roman"/>
          <w:i/>
          <w:lang w:val="fr-BE"/>
        </w:rPr>
        <w:t>curriculum</w:t>
      </w:r>
      <w:r w:rsidR="008E4618" w:rsidRPr="00913909">
        <w:rPr>
          <w:rFonts w:cs="Times New Roman"/>
          <w:lang w:val="fr-BE"/>
        </w:rPr>
        <w:t xml:space="preserve"> de savoirs et compétences qu’il n’apprendrait pas spontanément hors</w:t>
      </w:r>
      <w:r w:rsidR="00D030EA" w:rsidRPr="00913909">
        <w:rPr>
          <w:rFonts w:cs="Times New Roman"/>
          <w:lang w:val="fr-BE"/>
        </w:rPr>
        <w:t xml:space="preserve"> du</w:t>
      </w:r>
      <w:r w:rsidR="008E4618" w:rsidRPr="00913909">
        <w:rPr>
          <w:rFonts w:cs="Times New Roman"/>
          <w:lang w:val="fr-BE"/>
        </w:rPr>
        <w:t xml:space="preserve"> cadre institutionnel. Ainsi que le soulignent Tricot et </w:t>
      </w:r>
      <w:proofErr w:type="spellStart"/>
      <w:r w:rsidR="008E4618" w:rsidRPr="00913909">
        <w:rPr>
          <w:rFonts w:cs="Times New Roman"/>
          <w:lang w:val="fr-BE"/>
        </w:rPr>
        <w:t>Amadieu</w:t>
      </w:r>
      <w:proofErr w:type="spellEnd"/>
      <w:r w:rsidR="008E4618" w:rsidRPr="00913909">
        <w:rPr>
          <w:rFonts w:cs="Times New Roman"/>
          <w:lang w:val="fr-BE"/>
        </w:rPr>
        <w:t xml:space="preserve">, « Confondre l’apprentissage et l’enseignement est la source majeure de l’illusion selon laquelle des ressources pourront un jour remplacer les enseignants » </w:t>
      </w:r>
      <w:r w:rsidR="008E4618" w:rsidRPr="00913909">
        <w:rPr>
          <w:rFonts w:cs="Times New Roman"/>
          <w:lang w:val="fr-BE"/>
        </w:rPr>
        <w:fldChar w:fldCharType="begin"/>
      </w:r>
      <w:r w:rsidR="008E4618" w:rsidRPr="00913909">
        <w:rPr>
          <w:rFonts w:cs="Times New Roman"/>
          <w:lang w:val="fr-BE"/>
        </w:rPr>
        <w:instrText xml:space="preserve"> ADDIN ZOTERO_ITEM CSL_CITATION {"citationID":"B6Du8XRS","properties":{"formattedCitation":"(Amadieu et Tricot [2014] 2020, 135)","plainCitation":"(Amadieu et Tricot [2014] 2020, 135)","noteIndex":0},"citationItems":[{"id":8547,"uris":["http://zotero.org/users/917725/items/JJE8QUZA"],"uri":["http://zotero.org/users/917725/items/JJE8QUZA"],"itemData":{"id":8547,"type":"book","abstract":"Le premier ouvrage qui examine les attentes et les croyances associées à l'usage des nouvelles technologies en classe. \" On est plus motivé quand on apprend avec le numérique \", \" Les vidéos et informations dynamiques favorisent l'apprentissage \", \" Le numérique permet d'adapter les enseignements aux élèves \"... Autant d'affirmations que l'on entend régulièrement. Mais s'appuient-elles sur des résultats d'études sérieuses ?  L'ouvrage est organisé en onze chapitres traitant chacun d'une attente, ou d'un mythe, autour des technologies de l'information et de la communication pour l'enseignement.  Chaque chapitre : présente le mythe : développement des attentes et des arguments généralement avancés justifiant ces attentes ;dresse un rapide bilan des travaux scientifiques examinant ce mythe ou permettant d'évaluer la validité des attentes : présentation des derniers travaux et revues de questions dans la littérature scientifique ;décrit concrètement plusieurs études pertinentes illustrant la réalité des TICE en lien avec le mythe, pour aider à la compréhension des apports et des limites du numérique ;présente une conclusion sous forme de réponse au mythe et de propositions pour la mise en œuvre dans la classe.","event-place":"s.l.","language":"Français","note":"original-date: 2014","publisher":"Retz","publisher-place":"s.l.","title":"Apprendre avec le numérique","author":[{"family":"Amadieu","given":"Franck"},{"family":"Tricot","given":"André"}],"issued":{"date-parts":[["2020"]]}},"locator":"135"}],"schema":"https://github.com/citation-style-language/schema/raw/master/csl-citation.json"} </w:instrText>
      </w:r>
      <w:r w:rsidR="008E4618" w:rsidRPr="00913909">
        <w:rPr>
          <w:rFonts w:cs="Times New Roman"/>
          <w:lang w:val="fr-BE"/>
        </w:rPr>
        <w:fldChar w:fldCharType="separate"/>
      </w:r>
      <w:r w:rsidR="008E4618" w:rsidRPr="00913909">
        <w:rPr>
          <w:rFonts w:cs="Times New Roman"/>
          <w:lang w:val="fr-BE"/>
        </w:rPr>
        <w:t>(Amadieu et Tricot [2014] 2020, 135)</w:t>
      </w:r>
      <w:r w:rsidR="008E4618" w:rsidRPr="00913909">
        <w:rPr>
          <w:rFonts w:cs="Times New Roman"/>
          <w:lang w:val="fr-BE"/>
        </w:rPr>
        <w:fldChar w:fldCharType="end"/>
      </w:r>
      <w:r w:rsidR="008E4618" w:rsidRPr="00913909">
        <w:rPr>
          <w:rFonts w:cs="Times New Roman"/>
          <w:lang w:val="fr-BE"/>
        </w:rPr>
        <w:t>. Par ailleurs, p</w:t>
      </w:r>
      <w:r w:rsidR="005847D8" w:rsidRPr="00913909">
        <w:rPr>
          <w:rFonts w:cs="Times New Roman"/>
          <w:lang w:val="fr-BE"/>
        </w:rPr>
        <w:t>ouvoir accéder à un savoir ne présuppose pas nécessairement d’être capable de se l’</w:t>
      </w:r>
      <w:r w:rsidR="00CA0A69" w:rsidRPr="00913909">
        <w:rPr>
          <w:rFonts w:cs="Times New Roman"/>
          <w:lang w:val="fr-BE"/>
        </w:rPr>
        <w:t>approprie</w:t>
      </w:r>
      <w:r w:rsidR="004B320C" w:rsidRPr="00913909">
        <w:rPr>
          <w:rFonts w:cs="Times New Roman"/>
          <w:lang w:val="fr-BE"/>
        </w:rPr>
        <w:t xml:space="preserve">r ; Tricot et </w:t>
      </w:r>
      <w:proofErr w:type="spellStart"/>
      <w:r w:rsidR="004B320C" w:rsidRPr="00913909">
        <w:rPr>
          <w:rFonts w:cs="Times New Roman"/>
          <w:lang w:val="fr-BE"/>
        </w:rPr>
        <w:t>Amadieu</w:t>
      </w:r>
      <w:proofErr w:type="spellEnd"/>
      <w:r w:rsidR="004B320C" w:rsidRPr="00913909">
        <w:rPr>
          <w:rFonts w:cs="Times New Roman"/>
          <w:lang w:val="fr-BE"/>
        </w:rPr>
        <w:t xml:space="preserve"> </w:t>
      </w:r>
      <w:r w:rsidR="00ED6C45">
        <w:rPr>
          <w:rFonts w:cs="Times New Roman"/>
          <w:lang w:val="fr-BE"/>
        </w:rPr>
        <w:t>indiqu</w:t>
      </w:r>
      <w:r w:rsidR="004B320C" w:rsidRPr="00913909">
        <w:rPr>
          <w:rFonts w:cs="Times New Roman"/>
          <w:lang w:val="fr-BE"/>
        </w:rPr>
        <w:t>e</w:t>
      </w:r>
      <w:r w:rsidR="00422FCC" w:rsidRPr="00913909">
        <w:rPr>
          <w:rFonts w:cs="Times New Roman"/>
          <w:lang w:val="fr-BE"/>
        </w:rPr>
        <w:t>nt</w:t>
      </w:r>
      <w:r w:rsidR="004B320C" w:rsidRPr="00913909">
        <w:rPr>
          <w:rFonts w:cs="Times New Roman"/>
          <w:lang w:val="fr-BE"/>
        </w:rPr>
        <w:t xml:space="preserve"> à cet égard que le numérique permet surtout la création de ressources, les apprentissages </w:t>
      </w:r>
      <w:r w:rsidR="00422FCC" w:rsidRPr="00913909">
        <w:rPr>
          <w:rFonts w:cs="Times New Roman"/>
          <w:lang w:val="fr-BE"/>
        </w:rPr>
        <w:t>portant</w:t>
      </w:r>
      <w:r w:rsidR="001C7F87" w:rsidRPr="00913909">
        <w:rPr>
          <w:rFonts w:cs="Times New Roman"/>
          <w:lang w:val="fr-BE"/>
        </w:rPr>
        <w:t xml:space="preserve"> spécifiquement</w:t>
      </w:r>
      <w:r w:rsidR="00422FCC" w:rsidRPr="00913909">
        <w:rPr>
          <w:rFonts w:cs="Times New Roman"/>
          <w:lang w:val="fr-BE"/>
        </w:rPr>
        <w:t xml:space="preserve"> sur la manière d’</w:t>
      </w:r>
      <w:r w:rsidR="004B320C" w:rsidRPr="00913909">
        <w:rPr>
          <w:rFonts w:cs="Times New Roman"/>
          <w:lang w:val="fr-BE"/>
        </w:rPr>
        <w:t>utiliser ces ressources à bon escient pour l’acquisition des savoirs et compétences visés</w:t>
      </w:r>
      <w:r w:rsidR="008E4618" w:rsidRPr="00913909">
        <w:rPr>
          <w:rFonts w:cs="Times New Roman"/>
          <w:lang w:val="fr-BE"/>
        </w:rPr>
        <w:t>.</w:t>
      </w:r>
      <w:r w:rsidR="00BE3091" w:rsidRPr="00913909">
        <w:rPr>
          <w:rFonts w:cs="Times New Roman"/>
          <w:lang w:val="fr-BE"/>
        </w:rPr>
        <w:t xml:space="preserve"> On le voit, l’enseign</w:t>
      </w:r>
      <w:r w:rsidR="008E0C76" w:rsidRPr="00913909">
        <w:rPr>
          <w:rFonts w:cs="Times New Roman"/>
          <w:lang w:val="fr-BE"/>
        </w:rPr>
        <w:t>a</w:t>
      </w:r>
      <w:r w:rsidR="00BE3091" w:rsidRPr="00913909">
        <w:rPr>
          <w:rFonts w:cs="Times New Roman"/>
          <w:lang w:val="fr-BE"/>
        </w:rPr>
        <w:t xml:space="preserve">nt </w:t>
      </w:r>
      <w:r w:rsidR="005C215D">
        <w:rPr>
          <w:rFonts w:cs="Times New Roman"/>
          <w:lang w:val="fr-BE"/>
        </w:rPr>
        <w:t>reste</w:t>
      </w:r>
      <w:r w:rsidR="00BE3091" w:rsidRPr="00913909">
        <w:rPr>
          <w:rFonts w:cs="Times New Roman"/>
          <w:lang w:val="fr-BE"/>
        </w:rPr>
        <w:t xml:space="preserve"> </w:t>
      </w:r>
      <w:r w:rsidR="008E0C76" w:rsidRPr="00913909">
        <w:rPr>
          <w:rFonts w:cs="Times New Roman"/>
          <w:lang w:val="fr-BE"/>
        </w:rPr>
        <w:t xml:space="preserve">en charge </w:t>
      </w:r>
      <w:r w:rsidR="00BE3091" w:rsidRPr="00913909">
        <w:rPr>
          <w:rFonts w:cs="Times New Roman"/>
          <w:lang w:val="fr-BE"/>
        </w:rPr>
        <w:t xml:space="preserve">du développement de la </w:t>
      </w:r>
      <w:proofErr w:type="spellStart"/>
      <w:r w:rsidR="00BE3091" w:rsidRPr="00913909">
        <w:rPr>
          <w:rFonts w:cs="Times New Roman"/>
          <w:lang w:val="fr-BE"/>
        </w:rPr>
        <w:t>litéracie</w:t>
      </w:r>
      <w:proofErr w:type="spellEnd"/>
      <w:r w:rsidR="00BE3091" w:rsidRPr="00913909">
        <w:rPr>
          <w:rFonts w:cs="Times New Roman"/>
          <w:lang w:val="fr-BE"/>
        </w:rPr>
        <w:t xml:space="preserve"> médiatique des élèves, orientée ici vers la sélection et la mobilisation d’une information pertinente, qui seule permettra son autonomisation future.</w:t>
      </w:r>
    </w:p>
    <w:p w:rsidR="0081303A" w:rsidRPr="00913909" w:rsidRDefault="008E4618" w:rsidP="008E4618">
      <w:pPr>
        <w:spacing w:line="360" w:lineRule="auto"/>
        <w:rPr>
          <w:rFonts w:cs="Times New Roman"/>
          <w:lang w:val="fr-BE"/>
        </w:rPr>
      </w:pPr>
      <w:r w:rsidRPr="00913909">
        <w:rPr>
          <w:rFonts w:cs="Times New Roman"/>
          <w:lang w:val="fr-BE"/>
        </w:rPr>
        <w:t xml:space="preserve">Ensuite, </w:t>
      </w:r>
      <w:r w:rsidR="007871A3" w:rsidRPr="00913909">
        <w:rPr>
          <w:rFonts w:cs="Times New Roman"/>
          <w:lang w:val="fr-BE"/>
        </w:rPr>
        <w:t xml:space="preserve">la valeur d’autonomie est </w:t>
      </w:r>
      <w:r w:rsidR="00F93DCF" w:rsidRPr="00913909">
        <w:rPr>
          <w:rFonts w:cs="Times New Roman"/>
          <w:lang w:val="fr-BE"/>
        </w:rPr>
        <w:t xml:space="preserve">portée par les discours institutionnels comme un </w:t>
      </w:r>
      <w:r w:rsidR="00F93DCF" w:rsidRPr="00913909">
        <w:rPr>
          <w:rFonts w:cs="Times New Roman"/>
          <w:i/>
          <w:lang w:val="fr-BE"/>
        </w:rPr>
        <w:t>but scolaire</w:t>
      </w:r>
      <w:r w:rsidR="00F93DCF" w:rsidRPr="00913909">
        <w:rPr>
          <w:rFonts w:cs="Times New Roman"/>
          <w:lang w:val="fr-BE"/>
        </w:rPr>
        <w:t>, liée à des compétences à développer dans les apprentissages</w:t>
      </w:r>
      <w:r w:rsidR="00F7454A" w:rsidRPr="00913909">
        <w:rPr>
          <w:rFonts w:cs="Times New Roman"/>
          <w:lang w:val="fr-BE"/>
        </w:rPr>
        <w:t xml:space="preserve">. L’article de </w:t>
      </w:r>
      <w:proofErr w:type="spellStart"/>
      <w:r w:rsidR="00F7454A" w:rsidRPr="00913909">
        <w:rPr>
          <w:rFonts w:cs="Times New Roman"/>
          <w:lang w:val="fr-BE"/>
        </w:rPr>
        <w:t>Denouël</w:t>
      </w:r>
      <w:proofErr w:type="spellEnd"/>
      <w:r w:rsidR="00F7454A" w:rsidRPr="00913909">
        <w:rPr>
          <w:rFonts w:cs="Times New Roman"/>
          <w:lang w:val="fr-BE"/>
        </w:rPr>
        <w:t xml:space="preserve"> s’appuie à cet égard sur divers exemple</w:t>
      </w:r>
      <w:r w:rsidR="004F2611" w:rsidRPr="00913909">
        <w:rPr>
          <w:rFonts w:cs="Times New Roman"/>
          <w:lang w:val="fr-BE"/>
        </w:rPr>
        <w:t>s</w:t>
      </w:r>
      <w:r w:rsidR="00F7454A" w:rsidRPr="00913909">
        <w:rPr>
          <w:rFonts w:cs="Times New Roman"/>
          <w:lang w:val="fr-BE"/>
        </w:rPr>
        <w:t xml:space="preserve"> du cadre institutionnel français</w:t>
      </w:r>
      <w:r w:rsidR="00F7454A" w:rsidRPr="00913909">
        <w:rPr>
          <w:rStyle w:val="Appelnotedebasdep"/>
          <w:rFonts w:cs="Times New Roman"/>
          <w:lang w:val="fr-BE"/>
        </w:rPr>
        <w:footnoteReference w:id="5"/>
      </w:r>
      <w:r w:rsidR="00F7454A" w:rsidRPr="00913909">
        <w:rPr>
          <w:rFonts w:cs="Times New Roman"/>
          <w:lang w:val="fr-BE"/>
        </w:rPr>
        <w:t xml:space="preserve"> ; en Belgique, ce but est </w:t>
      </w:r>
      <w:r w:rsidR="00757A04" w:rsidRPr="00913909">
        <w:rPr>
          <w:rFonts w:cs="Times New Roman"/>
          <w:lang w:val="fr-BE"/>
        </w:rPr>
        <w:t xml:space="preserve">notamment </w:t>
      </w:r>
      <w:r w:rsidR="00F7454A" w:rsidRPr="00913909">
        <w:rPr>
          <w:rFonts w:cs="Times New Roman"/>
          <w:lang w:val="fr-BE"/>
        </w:rPr>
        <w:t xml:space="preserve">explicité dans le </w:t>
      </w:r>
      <w:r w:rsidR="00F93DCF" w:rsidRPr="00913909">
        <w:rPr>
          <w:rFonts w:cs="Times New Roman"/>
          <w:i/>
          <w:lang w:val="fr-BE"/>
        </w:rPr>
        <w:t>Décret Missions</w:t>
      </w:r>
      <w:r w:rsidR="00F7454A" w:rsidRPr="00913909">
        <w:rPr>
          <w:rFonts w:cs="Times New Roman"/>
          <w:i/>
          <w:lang w:val="fr-BE"/>
        </w:rPr>
        <w:t xml:space="preserve"> </w:t>
      </w:r>
      <w:r w:rsidR="00F7454A" w:rsidRPr="00913909">
        <w:rPr>
          <w:rFonts w:cs="Times New Roman"/>
          <w:lang w:val="fr-BE"/>
        </w:rPr>
        <w:t>du 24 juillet 1997, dès lors que l</w:t>
      </w:r>
      <w:r w:rsidR="00CF2229">
        <w:rPr>
          <w:rFonts w:cs="Times New Roman"/>
          <w:lang w:val="fr-BE"/>
        </w:rPr>
        <w:t xml:space="preserve">es </w:t>
      </w:r>
      <w:r w:rsidR="00F7454A" w:rsidRPr="00913909">
        <w:rPr>
          <w:rFonts w:cs="Times New Roman"/>
          <w:lang w:val="fr-BE"/>
        </w:rPr>
        <w:t>élève</w:t>
      </w:r>
      <w:r w:rsidR="00CF2229">
        <w:rPr>
          <w:rFonts w:cs="Times New Roman"/>
          <w:lang w:val="fr-BE"/>
        </w:rPr>
        <w:t>s</w:t>
      </w:r>
      <w:r w:rsidR="00F7454A" w:rsidRPr="00913909">
        <w:rPr>
          <w:rFonts w:cs="Times New Roman"/>
          <w:lang w:val="fr-BE"/>
        </w:rPr>
        <w:t xml:space="preserve"> doi</w:t>
      </w:r>
      <w:r w:rsidR="00CF2229">
        <w:rPr>
          <w:rFonts w:cs="Times New Roman"/>
          <w:lang w:val="fr-BE"/>
        </w:rPr>
        <w:t>ven</w:t>
      </w:r>
      <w:r w:rsidR="00F7454A" w:rsidRPr="00913909">
        <w:rPr>
          <w:rFonts w:cs="Times New Roman"/>
          <w:lang w:val="fr-BE"/>
        </w:rPr>
        <w:t>t, en milieu scolaire, « acquérir des compétences</w:t>
      </w:r>
      <w:r w:rsidR="00F404B0">
        <w:rPr>
          <w:rFonts w:cs="Times New Roman"/>
          <w:lang w:val="fr-BE"/>
        </w:rPr>
        <w:t xml:space="preserve"> </w:t>
      </w:r>
      <w:r w:rsidR="00F7454A" w:rsidRPr="00913909">
        <w:rPr>
          <w:rFonts w:cs="Times New Roman"/>
          <w:lang w:val="fr-BE"/>
        </w:rPr>
        <w:t>qui les rendent aptes à apprendre toute leur vie » (art. 6)</w:t>
      </w:r>
      <w:r w:rsidR="00FA5EDD" w:rsidRPr="00913909">
        <w:rPr>
          <w:rFonts w:cs="Times New Roman"/>
          <w:lang w:val="fr-BE"/>
        </w:rPr>
        <w:t>. Ces mêmes discours institutionnels valorisent fortement les outils numériques comme étant le</w:t>
      </w:r>
      <w:r w:rsidR="0013137A" w:rsidRPr="00913909">
        <w:rPr>
          <w:rFonts w:cs="Times New Roman"/>
          <w:lang w:val="fr-BE"/>
        </w:rPr>
        <w:t>s</w:t>
      </w:r>
      <w:r w:rsidR="00FA5EDD" w:rsidRPr="00913909">
        <w:rPr>
          <w:rFonts w:cs="Times New Roman"/>
          <w:lang w:val="fr-BE"/>
        </w:rPr>
        <w:t xml:space="preserve"> mieux à même d</w:t>
      </w:r>
      <w:r w:rsidR="00285024" w:rsidRPr="00913909">
        <w:rPr>
          <w:rFonts w:cs="Times New Roman"/>
          <w:lang w:val="fr-BE"/>
        </w:rPr>
        <w:t xml:space="preserve">e préparer le citoyen de demain ; </w:t>
      </w:r>
      <w:r w:rsidR="00FA5EDD" w:rsidRPr="00913909">
        <w:rPr>
          <w:rFonts w:cs="Times New Roman"/>
          <w:lang w:val="fr-BE"/>
        </w:rPr>
        <w:t xml:space="preserve">d’une manière générale, le numérique est régulièrement </w:t>
      </w:r>
      <w:r w:rsidR="00FA5EDD" w:rsidRPr="00913909">
        <w:rPr>
          <w:rFonts w:cs="Times New Roman"/>
          <w:lang w:val="fr-BE"/>
        </w:rPr>
        <w:lastRenderedPageBreak/>
        <w:t>présenté comme intrinsèquement motivant et vecteur d’innovations pédagogiques</w:t>
      </w:r>
      <w:r w:rsidR="000B1F8E" w:rsidRPr="00913909">
        <w:rPr>
          <w:rFonts w:cs="Times New Roman"/>
          <w:lang w:val="fr-BE"/>
        </w:rPr>
        <w:t xml:space="preserve"> (ce en quoi </w:t>
      </w:r>
      <w:r w:rsidR="00C0097D" w:rsidRPr="00913909">
        <w:rPr>
          <w:rFonts w:cs="Times New Roman"/>
          <w:lang w:val="fr-BE"/>
        </w:rPr>
        <w:t>les textes institutionnels</w:t>
      </w:r>
      <w:r w:rsidR="000B1F8E" w:rsidRPr="00913909">
        <w:rPr>
          <w:rFonts w:cs="Times New Roman"/>
          <w:lang w:val="fr-BE"/>
        </w:rPr>
        <w:t xml:space="preserve"> s’alignent</w:t>
      </w:r>
      <w:r w:rsidR="00520594" w:rsidRPr="00913909">
        <w:rPr>
          <w:rFonts w:cs="Times New Roman"/>
          <w:lang w:val="fr-BE"/>
        </w:rPr>
        <w:t xml:space="preserve"> absolument</w:t>
      </w:r>
      <w:r w:rsidR="000C3AB4" w:rsidRPr="00913909">
        <w:rPr>
          <w:rFonts w:cs="Times New Roman"/>
          <w:lang w:val="fr-BE"/>
        </w:rPr>
        <w:t xml:space="preserve"> </w:t>
      </w:r>
      <w:r w:rsidR="000B1F8E" w:rsidRPr="00913909">
        <w:rPr>
          <w:rFonts w:cs="Times New Roman"/>
          <w:lang w:val="fr-BE"/>
        </w:rPr>
        <w:t>sur les discours d’</w:t>
      </w:r>
      <w:r w:rsidR="001B0DE7" w:rsidRPr="00913909">
        <w:rPr>
          <w:rFonts w:cs="Times New Roman"/>
          <w:lang w:val="fr-BE"/>
        </w:rPr>
        <w:t>accompagnement</w:t>
      </w:r>
      <w:r w:rsidR="009F5F96">
        <w:rPr>
          <w:rFonts w:cs="Times New Roman"/>
          <w:lang w:val="fr-BE"/>
        </w:rPr>
        <w:t xml:space="preserve"> des produits d’entreprises comme</w:t>
      </w:r>
      <w:r w:rsidR="000B1F8E" w:rsidRPr="00913909">
        <w:rPr>
          <w:rFonts w:cs="Times New Roman"/>
          <w:lang w:val="fr-BE"/>
        </w:rPr>
        <w:t xml:space="preserve"> Google ou Microsoft</w:t>
      </w:r>
      <w:r w:rsidR="001A691C">
        <w:rPr>
          <w:rFonts w:cs="Times New Roman"/>
          <w:lang w:val="fr-BE"/>
        </w:rPr>
        <w:t>,</w:t>
      </w:r>
      <w:r w:rsidR="000B1F8E" w:rsidRPr="00913909">
        <w:rPr>
          <w:rFonts w:cs="Times New Roman"/>
          <w:lang w:val="fr-BE"/>
        </w:rPr>
        <w:t xml:space="preserve"> p. ex.).</w:t>
      </w:r>
      <w:r w:rsidR="007814C5" w:rsidRPr="00913909">
        <w:rPr>
          <w:rFonts w:cs="Times New Roman"/>
          <w:lang w:val="fr-BE"/>
        </w:rPr>
        <w:t xml:space="preserve"> Or, souligne </w:t>
      </w:r>
      <w:proofErr w:type="spellStart"/>
      <w:r w:rsidR="007814C5" w:rsidRPr="00913909">
        <w:rPr>
          <w:rFonts w:cs="Times New Roman"/>
          <w:lang w:val="fr-BE"/>
        </w:rPr>
        <w:t>Denouël</w:t>
      </w:r>
      <w:proofErr w:type="spellEnd"/>
      <w:r w:rsidR="007814C5" w:rsidRPr="00913909">
        <w:rPr>
          <w:rFonts w:cs="Times New Roman"/>
          <w:lang w:val="fr-BE"/>
        </w:rPr>
        <w:t>,</w:t>
      </w:r>
    </w:p>
    <w:p w:rsidR="009067F6" w:rsidRPr="00913909" w:rsidRDefault="009067F6" w:rsidP="00DE00B3">
      <w:pPr>
        <w:spacing w:line="240" w:lineRule="auto"/>
        <w:ind w:left="1440"/>
        <w:rPr>
          <w:rFonts w:cs="Times New Roman"/>
          <w:sz w:val="20"/>
          <w:szCs w:val="20"/>
          <w:lang w:val="fr-BE"/>
        </w:rPr>
      </w:pPr>
      <w:r w:rsidRPr="00913909">
        <w:rPr>
          <w:rFonts w:cs="Times New Roman"/>
          <w:sz w:val="20"/>
          <w:szCs w:val="20"/>
          <w:lang w:val="fr-BE"/>
        </w:rPr>
        <w:t>S’intéresser de manière rigoureuse à la façon dont « le numérique » est susceptible de soutenir l’autonomisation scolaire des élèves suppose d’emblée de s’extraire des idéologies technicistes qui, à l’évidence, structurent ces discours institutionnels. En effet, ces conceptions techno-déterministes laissent à croire que les technologies ont des « impacts » positifs sur les individus, et qu’au sein du champ éducatif, leur usage produit automatiquement sur les élèves le</w:t>
      </w:r>
      <w:r w:rsidR="003516C9" w:rsidRPr="00913909">
        <w:rPr>
          <w:rFonts w:cs="Times New Roman"/>
          <w:sz w:val="20"/>
          <w:szCs w:val="20"/>
          <w:lang w:val="fr-BE"/>
        </w:rPr>
        <w:t xml:space="preserve">s effets d’autonomie escomptés. </w:t>
      </w:r>
      <w:r w:rsidRPr="00913909">
        <w:rPr>
          <w:rFonts w:cs="Times New Roman"/>
          <w:sz w:val="20"/>
          <w:szCs w:val="20"/>
          <w:lang w:val="fr-BE"/>
        </w:rPr>
        <w:fldChar w:fldCharType="begin"/>
      </w:r>
      <w:r w:rsidRPr="00913909">
        <w:rPr>
          <w:rFonts w:cs="Times New Roman"/>
          <w:sz w:val="20"/>
          <w:szCs w:val="20"/>
          <w:lang w:val="fr-BE"/>
        </w:rPr>
        <w:instrText xml:space="preserve"> ADDIN ZOTERO_ITEM CSL_CITATION {"citationID":"y64udQhK","properties":{"formattedCitation":"(Denou\\uc0\\u235{}l 2017, paragr. 7)","plainCitation":"(Denouël 2017, paragr. 7)","noteIndex":0},"citationItems":[{"id":8623,"uris":["http://zotero.org/users/917725/items/TZFM6934"],"uri":["http://zotero.org/users/917725/items/TZFM6934"],"itemData":{"id":8623,"type":"article-journal","abstract":"Nombreux sont les travaux en sciences humaines et sociales à avoir montré que la diffusion de technologies s’accompagne de façon systématique d’imaginaires et d’utopies technicistes, supposant que les innovations techniques sont le nécessaire moteur du progrès social, individuel et collectif. Opératoire dans le domaine de la communication ordinaire, cette perspective se révèle également très féconde dès lors qu’on s’intéresse aux discours d’accompagnement du numérique dans le champ éducatif. Parmi les nombreuses promesses formulées sur les vertus des technologies pour l’éducation, celle relative au développement de l’autonomie figure depuis longtemps en très bonne place. Se tenant à distance des nombreuses idéologies technicistes qui prévalent aujourd’hui, le présent article aura pour objectif de proposer un examen critique de cette promesse selon laquelle le numérique favorise nécessairement l’autonomisation des élèves.","container-title":"Hermes, La Revue","ISSN":"0767-9513","issue":"2","language":"fr","note":"publisher: C.N.R.S. Editions","page":"80-86","source":"www.cairn.info","title":"L’école, le numérique et l’autonomie des élèves","volume":"n° 78","author":[{"family":"Denouël","given":"Julie"}],"issued":{"date-parts":[["2017",9,27]]}},"locator":"7","label":"paragraph"}],"schema":"https://github.com/citation-style-language/schema/raw/master/csl-citation.json"} </w:instrText>
      </w:r>
      <w:r w:rsidRPr="00913909">
        <w:rPr>
          <w:rFonts w:cs="Times New Roman"/>
          <w:sz w:val="20"/>
          <w:szCs w:val="20"/>
          <w:lang w:val="fr-BE"/>
        </w:rPr>
        <w:fldChar w:fldCharType="separate"/>
      </w:r>
      <w:r w:rsidRPr="00913909">
        <w:rPr>
          <w:rFonts w:cs="Times New Roman"/>
          <w:sz w:val="20"/>
          <w:szCs w:val="20"/>
          <w:lang w:val="fr-BE"/>
        </w:rPr>
        <w:t>(Denouël 2017, paragr. 7)</w:t>
      </w:r>
      <w:r w:rsidRPr="00913909">
        <w:rPr>
          <w:rFonts w:cs="Times New Roman"/>
          <w:sz w:val="20"/>
          <w:szCs w:val="20"/>
          <w:lang w:val="fr-BE"/>
        </w:rPr>
        <w:fldChar w:fldCharType="end"/>
      </w:r>
    </w:p>
    <w:p w:rsidR="009067F6" w:rsidRPr="00913909" w:rsidRDefault="00D24C53" w:rsidP="00AA7507">
      <w:pPr>
        <w:spacing w:line="360" w:lineRule="auto"/>
        <w:rPr>
          <w:rFonts w:cs="Times New Roman"/>
          <w:lang w:val="fr-BE"/>
        </w:rPr>
      </w:pPr>
      <w:r w:rsidRPr="00913909">
        <w:rPr>
          <w:rFonts w:cs="Times New Roman"/>
          <w:lang w:val="fr-BE"/>
        </w:rPr>
        <w:t>On le constate</w:t>
      </w:r>
      <w:r w:rsidR="0062334D" w:rsidRPr="00913909">
        <w:rPr>
          <w:rFonts w:cs="Times New Roman"/>
          <w:lang w:val="fr-BE"/>
        </w:rPr>
        <w:t>, et l’auteure le relève elle aussi</w:t>
      </w:r>
      <w:r w:rsidR="005C5F94" w:rsidRPr="00913909">
        <w:rPr>
          <w:rFonts w:cs="Times New Roman"/>
          <w:lang w:val="fr-BE"/>
        </w:rPr>
        <w:t xml:space="preserve"> (à partir du travail de</w:t>
      </w:r>
      <w:r w:rsidR="008D6E8B" w:rsidRPr="00913909">
        <w:rPr>
          <w:rFonts w:cs="Times New Roman"/>
          <w:lang w:val="fr-BE"/>
        </w:rPr>
        <w:t xml:space="preserve"> Tricot et </w:t>
      </w:r>
      <w:proofErr w:type="spellStart"/>
      <w:r w:rsidR="008D6E8B" w:rsidRPr="00913909">
        <w:rPr>
          <w:rFonts w:cs="Times New Roman"/>
          <w:lang w:val="fr-BE"/>
        </w:rPr>
        <w:t>Amadieu</w:t>
      </w:r>
      <w:proofErr w:type="spellEnd"/>
      <w:r w:rsidR="00AA7507" w:rsidRPr="00913909">
        <w:rPr>
          <w:rFonts w:cs="Times New Roman"/>
          <w:lang w:val="fr-BE"/>
        </w:rPr>
        <w:t>, entre autres</w:t>
      </w:r>
      <w:r w:rsidR="008D6E8B" w:rsidRPr="00913909">
        <w:rPr>
          <w:rFonts w:cs="Times New Roman"/>
          <w:lang w:val="fr-BE"/>
        </w:rPr>
        <w:t>)</w:t>
      </w:r>
      <w:r w:rsidR="00197A3A" w:rsidRPr="00913909">
        <w:rPr>
          <w:rFonts w:cs="Times New Roman"/>
          <w:lang w:val="fr-BE"/>
        </w:rPr>
        <w:t xml:space="preserve">, la littérature scientifique ne valide pas cette assertion techno-déterministe, mais tend plutôt à montrer </w:t>
      </w:r>
      <w:r w:rsidR="009B59F6" w:rsidRPr="00913909">
        <w:rPr>
          <w:rFonts w:cs="Times New Roman"/>
          <w:lang w:val="fr-BE"/>
        </w:rPr>
        <w:t>la nécessité d’</w:t>
      </w:r>
      <w:r w:rsidR="00400FF9" w:rsidRPr="00913909">
        <w:rPr>
          <w:rFonts w:cs="Times New Roman"/>
          <w:lang w:val="fr-BE"/>
        </w:rPr>
        <w:t xml:space="preserve">un accompagnement pédagogique </w:t>
      </w:r>
      <w:r w:rsidR="00E36D1E" w:rsidRPr="00913909">
        <w:rPr>
          <w:rFonts w:cs="Times New Roman"/>
          <w:lang w:val="fr-BE"/>
        </w:rPr>
        <w:t>approprié</w:t>
      </w:r>
      <w:r w:rsidR="00400FF9" w:rsidRPr="00913909">
        <w:rPr>
          <w:rFonts w:cs="Times New Roman"/>
          <w:lang w:val="fr-BE"/>
        </w:rPr>
        <w:t xml:space="preserve"> qui rendra possible cet </w:t>
      </w:r>
      <w:r w:rsidR="00482128" w:rsidRPr="00913909">
        <w:rPr>
          <w:rFonts w:cs="Times New Roman"/>
          <w:lang w:val="fr-BE"/>
        </w:rPr>
        <w:t>apprentissage</w:t>
      </w:r>
      <w:r w:rsidR="00400FF9" w:rsidRPr="00913909">
        <w:rPr>
          <w:rFonts w:cs="Times New Roman"/>
          <w:lang w:val="fr-BE"/>
        </w:rPr>
        <w:t xml:space="preserve"> en autonomie </w:t>
      </w:r>
      <w:r w:rsidR="00482128" w:rsidRPr="00913909">
        <w:rPr>
          <w:rFonts w:cs="Times New Roman"/>
          <w:lang w:val="fr-BE"/>
        </w:rPr>
        <w:t xml:space="preserve">dans les interfaces du numérique éducatif. En d’autres termes, il </w:t>
      </w:r>
      <w:r w:rsidR="00875D78" w:rsidRPr="00913909">
        <w:rPr>
          <w:rFonts w:cs="Times New Roman"/>
          <w:lang w:val="fr-BE"/>
        </w:rPr>
        <w:t>conviendra</w:t>
      </w:r>
      <w:r w:rsidR="00482128" w:rsidRPr="00913909">
        <w:rPr>
          <w:rFonts w:cs="Times New Roman"/>
          <w:lang w:val="fr-BE"/>
        </w:rPr>
        <w:t xml:space="preserve"> d’adopter une démarche </w:t>
      </w:r>
      <w:r w:rsidR="00482128" w:rsidRPr="00002778">
        <w:rPr>
          <w:rFonts w:cs="Times New Roman"/>
          <w:i/>
          <w:lang w:val="fr-BE"/>
        </w:rPr>
        <w:t>pédago-centrée</w:t>
      </w:r>
      <w:r w:rsidR="00482128" w:rsidRPr="00913909">
        <w:rPr>
          <w:rFonts w:cs="Times New Roman"/>
          <w:lang w:val="fr-BE"/>
        </w:rPr>
        <w:t xml:space="preserve"> et non </w:t>
      </w:r>
      <w:r w:rsidR="00482128" w:rsidRPr="00002778">
        <w:rPr>
          <w:rFonts w:cs="Times New Roman"/>
          <w:i/>
          <w:lang w:val="fr-BE"/>
        </w:rPr>
        <w:t>techno-centrée</w:t>
      </w:r>
      <w:r w:rsidR="00482128" w:rsidRPr="00913909">
        <w:rPr>
          <w:rFonts w:cs="Times New Roman"/>
          <w:lang w:val="fr-BE"/>
        </w:rPr>
        <w:t xml:space="preserve"> (</w:t>
      </w:r>
      <w:r w:rsidR="00482128" w:rsidRPr="00913909">
        <w:rPr>
          <w:rFonts w:cs="Times New Roman"/>
          <w:i/>
          <w:lang w:val="fr-BE"/>
        </w:rPr>
        <w:t>Ibid</w:t>
      </w:r>
      <w:r w:rsidR="00482128" w:rsidRPr="00913909">
        <w:rPr>
          <w:rFonts w:cs="Times New Roman"/>
          <w:lang w:val="fr-BE"/>
        </w:rPr>
        <w:t>., §9)</w:t>
      </w:r>
      <w:r w:rsidR="00F500F7" w:rsidRPr="00913909">
        <w:rPr>
          <w:rFonts w:cs="Times New Roman"/>
          <w:lang w:val="fr-BE"/>
        </w:rPr>
        <w:t xml:space="preserve"> lorsqu’est mobilisé ce type d’outil. </w:t>
      </w:r>
    </w:p>
    <w:p w:rsidR="007F15BE" w:rsidRPr="00913909" w:rsidRDefault="007F15BE" w:rsidP="00B864D3">
      <w:pPr>
        <w:spacing w:line="360" w:lineRule="auto"/>
        <w:rPr>
          <w:rFonts w:cs="Times New Roman"/>
          <w:lang w:val="fr-BE"/>
        </w:rPr>
      </w:pPr>
      <w:r w:rsidRPr="00913909">
        <w:rPr>
          <w:rFonts w:cs="Times New Roman"/>
          <w:lang w:val="fr-BE"/>
        </w:rPr>
        <w:t xml:space="preserve">Enfin, les outils </w:t>
      </w:r>
      <w:r w:rsidR="00C90F19" w:rsidRPr="00913909">
        <w:rPr>
          <w:rFonts w:cs="Times New Roman"/>
          <w:lang w:val="fr-BE"/>
        </w:rPr>
        <w:t>du numérique</w:t>
      </w:r>
      <w:r w:rsidRPr="00913909">
        <w:rPr>
          <w:rFonts w:cs="Times New Roman"/>
          <w:lang w:val="fr-BE"/>
        </w:rPr>
        <w:t xml:space="preserve"> éducatif offrent une large palette permettant des situations de travail en autonomie (variété des activités, </w:t>
      </w:r>
      <w:r w:rsidR="00BB5CE5">
        <w:rPr>
          <w:rFonts w:cs="Times New Roman"/>
          <w:lang w:val="fr-BE"/>
        </w:rPr>
        <w:t>personnalisation du parcours d’apprentissage et du</w:t>
      </w:r>
      <w:r w:rsidRPr="00913909">
        <w:rPr>
          <w:rFonts w:cs="Times New Roman"/>
          <w:lang w:val="fr-BE"/>
        </w:rPr>
        <w:t xml:space="preserve"> feedback, correction automatisée d’exercices, etc.). </w:t>
      </w:r>
      <w:r w:rsidR="000E56EB" w:rsidRPr="00913909">
        <w:rPr>
          <w:rFonts w:cs="Times New Roman"/>
          <w:lang w:val="fr-BE"/>
        </w:rPr>
        <w:t>Cependant,</w:t>
      </w:r>
      <w:r w:rsidRPr="00913909">
        <w:rPr>
          <w:rFonts w:cs="Times New Roman"/>
          <w:lang w:val="fr-BE"/>
        </w:rPr>
        <w:t xml:space="preserve"> l’autonomie po</w:t>
      </w:r>
      <w:r w:rsidR="00BB5CE5">
        <w:rPr>
          <w:rFonts w:cs="Times New Roman"/>
          <w:lang w:val="fr-BE"/>
        </w:rPr>
        <w:t>ssible</w:t>
      </w:r>
      <w:r w:rsidRPr="00913909">
        <w:rPr>
          <w:rFonts w:cs="Times New Roman"/>
          <w:lang w:val="fr-BE"/>
        </w:rPr>
        <w:t xml:space="preserve"> de l’apprenant n’équivaut pas </w:t>
      </w:r>
      <w:r w:rsidR="00111342" w:rsidRPr="00913909">
        <w:rPr>
          <w:rFonts w:cs="Times New Roman"/>
          <w:lang w:val="fr-BE"/>
        </w:rPr>
        <w:t>pour autant à</w:t>
      </w:r>
      <w:r w:rsidRPr="00913909">
        <w:rPr>
          <w:rFonts w:cs="Times New Roman"/>
          <w:lang w:val="fr-BE"/>
        </w:rPr>
        <w:t xml:space="preserve"> un apprentissage de l’autonomisation. </w:t>
      </w:r>
      <w:proofErr w:type="spellStart"/>
      <w:r w:rsidRPr="00913909">
        <w:rPr>
          <w:rFonts w:cs="Times New Roman"/>
          <w:lang w:val="fr-BE"/>
        </w:rPr>
        <w:t>Denouël</w:t>
      </w:r>
      <w:proofErr w:type="spellEnd"/>
      <w:r w:rsidRPr="00913909">
        <w:rPr>
          <w:rFonts w:cs="Times New Roman"/>
          <w:lang w:val="fr-BE"/>
        </w:rPr>
        <w:t xml:space="preserve"> note à cet égard que les outils numériques sélectionnés par l’institution scolaire le sont précisément en raison de leur </w:t>
      </w:r>
      <w:r w:rsidRPr="00913909">
        <w:rPr>
          <w:rFonts w:cs="Times New Roman"/>
          <w:i/>
          <w:lang w:val="fr-BE"/>
        </w:rPr>
        <w:t>affordance</w:t>
      </w:r>
      <w:r w:rsidRPr="00913909">
        <w:rPr>
          <w:rFonts w:cs="Times New Roman"/>
          <w:lang w:val="fr-BE"/>
        </w:rPr>
        <w:t xml:space="preserve"> (soit le type d’interactions qu’ils favorisent dans leur présentation à l’usager) avec l’injonction à l’autonomie portée par les textes institutionnels :</w:t>
      </w:r>
    </w:p>
    <w:p w:rsidR="007F15BE" w:rsidRPr="00913909" w:rsidRDefault="007F15BE" w:rsidP="00595FC0">
      <w:pPr>
        <w:pStyle w:val="para"/>
        <w:ind w:left="1440"/>
        <w:rPr>
          <w:sz w:val="20"/>
          <w:szCs w:val="20"/>
          <w:lang w:val="fr-BE"/>
        </w:rPr>
      </w:pPr>
      <w:r w:rsidRPr="00913909">
        <w:rPr>
          <w:sz w:val="20"/>
          <w:szCs w:val="20"/>
          <w:lang w:val="fr-BE"/>
        </w:rPr>
        <w:t>ces différentes TICE semblent pouvoir participer du développement de l’autonomie scolaire des élèves car leur usage favorise l’émergence de pratiques d’</w:t>
      </w:r>
      <w:proofErr w:type="spellStart"/>
      <w:r w:rsidRPr="00913909">
        <w:rPr>
          <w:sz w:val="20"/>
          <w:szCs w:val="20"/>
          <w:lang w:val="fr-BE"/>
        </w:rPr>
        <w:t>auto-correction</w:t>
      </w:r>
      <w:proofErr w:type="spellEnd"/>
      <w:r w:rsidRPr="00913909">
        <w:rPr>
          <w:sz w:val="20"/>
          <w:szCs w:val="20"/>
          <w:lang w:val="fr-BE"/>
        </w:rPr>
        <w:t>, d’auto-direction, d’autorégulation et d’</w:t>
      </w:r>
      <w:proofErr w:type="spellStart"/>
      <w:r w:rsidRPr="00913909">
        <w:rPr>
          <w:sz w:val="20"/>
          <w:szCs w:val="20"/>
          <w:lang w:val="fr-BE"/>
        </w:rPr>
        <w:t>auto-contrôle</w:t>
      </w:r>
      <w:proofErr w:type="spellEnd"/>
      <w:r w:rsidRPr="00913909">
        <w:rPr>
          <w:sz w:val="20"/>
          <w:szCs w:val="20"/>
          <w:lang w:val="fr-BE"/>
        </w:rPr>
        <w:t> ; pratiques d’auto-formation (</w:t>
      </w:r>
      <w:proofErr w:type="spellStart"/>
      <w:r w:rsidRPr="00913909">
        <w:rPr>
          <w:sz w:val="20"/>
          <w:szCs w:val="20"/>
          <w:lang w:val="fr-BE"/>
        </w:rPr>
        <w:t>Albero</w:t>
      </w:r>
      <w:proofErr w:type="spellEnd"/>
      <w:r w:rsidRPr="00913909">
        <w:rPr>
          <w:sz w:val="20"/>
          <w:szCs w:val="20"/>
          <w:lang w:val="fr-BE"/>
        </w:rPr>
        <w:t>, 2003) au sens large dont l’institution estime qu’elles peuvent contribuer à l’acquisition des savoirs, des savoir-faire et des savoir-être et des formes de gouvernement de soi attendues dans le cadre scolaire. Partant, nous observons qu’avec ces objectifs d’auto-direction, d’</w:t>
      </w:r>
      <w:proofErr w:type="spellStart"/>
      <w:r w:rsidRPr="00913909">
        <w:rPr>
          <w:sz w:val="20"/>
          <w:szCs w:val="20"/>
          <w:lang w:val="fr-BE"/>
        </w:rPr>
        <w:t>auto-régulation</w:t>
      </w:r>
      <w:proofErr w:type="spellEnd"/>
      <w:r w:rsidRPr="00913909">
        <w:rPr>
          <w:sz w:val="20"/>
          <w:szCs w:val="20"/>
          <w:lang w:val="fr-BE"/>
        </w:rPr>
        <w:t xml:space="preserve"> et d’</w:t>
      </w:r>
      <w:proofErr w:type="spellStart"/>
      <w:r w:rsidRPr="00913909">
        <w:rPr>
          <w:sz w:val="20"/>
          <w:szCs w:val="20"/>
          <w:lang w:val="fr-BE"/>
        </w:rPr>
        <w:t>auto-contrôle</w:t>
      </w:r>
      <w:proofErr w:type="spellEnd"/>
      <w:r w:rsidRPr="00913909">
        <w:rPr>
          <w:sz w:val="20"/>
          <w:szCs w:val="20"/>
          <w:lang w:val="fr-BE"/>
        </w:rPr>
        <w:t xml:space="preserve"> dans les apprentissages, la conception de l’autonomie scolaire qui est promue s’ordonne autour d’une figure idéale-typique de l’autodidacte : celui qui apprend seul et qui construit son désir d’apprendre sans aide ni accompagnement extérieur. (</w:t>
      </w:r>
      <w:proofErr w:type="spellStart"/>
      <w:r w:rsidRPr="00913909">
        <w:rPr>
          <w:sz w:val="20"/>
          <w:szCs w:val="20"/>
          <w:lang w:val="fr-BE"/>
        </w:rPr>
        <w:t>Bézille</w:t>
      </w:r>
      <w:proofErr w:type="spellEnd"/>
      <w:r w:rsidRPr="00913909">
        <w:rPr>
          <w:sz w:val="20"/>
          <w:szCs w:val="20"/>
          <w:lang w:val="fr-BE"/>
        </w:rPr>
        <w:t xml:space="preserve">, 2003). </w:t>
      </w:r>
      <w:r w:rsidRPr="00913909">
        <w:rPr>
          <w:sz w:val="20"/>
          <w:szCs w:val="20"/>
          <w:lang w:val="fr-BE"/>
        </w:rPr>
        <w:fldChar w:fldCharType="begin"/>
      </w:r>
      <w:r w:rsidRPr="00913909">
        <w:rPr>
          <w:sz w:val="20"/>
          <w:szCs w:val="20"/>
          <w:lang w:val="fr-BE"/>
        </w:rPr>
        <w:instrText xml:space="preserve"> ADDIN ZOTERO_ITEM CSL_CITATION {"citationID":"H02u7mwU","properties":{"formattedCitation":"(Denou\\uc0\\u235{}l 2017, paragr. 9\\uc0\\u8209{}10)","plainCitation":"(Denouël 2017, paragr. 9‑10)","noteIndex":0},"citationItems":[{"id":8623,"uris":["http://zotero.org/users/917725/items/TZFM6934"],"uri":["http://zotero.org/users/917725/items/TZFM6934"],"itemData":{"id":8623,"type":"article-journal","abstract":"Nombreux sont les travaux en sciences humaines et sociales à avoir montré que la diffusion de technologies s’accompagne de façon systématique d’imaginaires et d’utopies technicistes, supposant que les innovations techniques sont le nécessaire moteur du progrès social, individuel et collectif. Opératoire dans le domaine de la communication ordinaire, cette perspective se révèle également très féconde dès lors qu’on s’intéresse aux discours d’accompagnement du numérique dans le champ éducatif. Parmi les nombreuses promesses formulées sur les vertus des technologies pour l’éducation, celle relative au développement de l’autonomie figure depuis longtemps en très bonne place. Se tenant à distance des nombreuses idéologies technicistes qui prévalent aujourd’hui, le présent article aura pour objectif de proposer un examen critique de cette promesse selon laquelle le numérique favorise nécessairement l’autonomisation des élèves.","container-title":"Hermes, La Revue","ISSN":"0767-9513","issue":"2","language":"fr","note":"publisher: C.N.R.S. Editions","page":"80-86","source":"www.cairn.info","title":"L’école, le numérique et l’autonomie des élèves","volume":"n° 78","author":[{"family":"Denouël","given":"Julie"}],"issued":{"date-parts":[["2017",9,27]]}},"locator":"9-10","label":"paragraph"}],"schema":"https://github.com/citation-style-language/schema/raw/master/csl-citation.json"} </w:instrText>
      </w:r>
      <w:r w:rsidRPr="00913909">
        <w:rPr>
          <w:sz w:val="20"/>
          <w:szCs w:val="20"/>
          <w:lang w:val="fr-BE"/>
        </w:rPr>
        <w:fldChar w:fldCharType="separate"/>
      </w:r>
      <w:r w:rsidRPr="00913909">
        <w:rPr>
          <w:sz w:val="20"/>
          <w:szCs w:val="20"/>
          <w:lang w:val="fr-BE"/>
        </w:rPr>
        <w:t>(Denouël 2017, paragr. 9‑10)</w:t>
      </w:r>
      <w:r w:rsidRPr="00913909">
        <w:rPr>
          <w:sz w:val="20"/>
          <w:szCs w:val="20"/>
          <w:lang w:val="fr-BE"/>
        </w:rPr>
        <w:fldChar w:fldCharType="end"/>
      </w:r>
    </w:p>
    <w:p w:rsidR="007F15BE" w:rsidRPr="00913909" w:rsidRDefault="007F15BE" w:rsidP="001242B4">
      <w:pPr>
        <w:spacing w:line="360" w:lineRule="auto"/>
        <w:rPr>
          <w:rFonts w:cs="Times New Roman"/>
          <w:lang w:val="fr-BE"/>
        </w:rPr>
      </w:pPr>
      <w:r w:rsidRPr="00913909">
        <w:rPr>
          <w:rFonts w:cs="Times New Roman"/>
          <w:lang w:val="fr-BE"/>
        </w:rPr>
        <w:t xml:space="preserve">Une limite importante </w:t>
      </w:r>
      <w:r w:rsidR="00283CA7">
        <w:rPr>
          <w:rFonts w:cs="Times New Roman"/>
          <w:lang w:val="fr-BE"/>
        </w:rPr>
        <w:t xml:space="preserve">à cet égard </w:t>
      </w:r>
      <w:r w:rsidRPr="00913909">
        <w:rPr>
          <w:rFonts w:cs="Times New Roman"/>
          <w:lang w:val="fr-BE"/>
        </w:rPr>
        <w:t xml:space="preserve">est que les véritables autodidactes sont rares et ne peuvent donc être assimilés au profil de l’élève </w:t>
      </w:r>
      <w:r w:rsidRPr="00913909">
        <w:rPr>
          <w:rFonts w:cs="Times New Roman"/>
          <w:i/>
          <w:lang w:val="fr-BE"/>
        </w:rPr>
        <w:t>lambda</w:t>
      </w:r>
      <w:r w:rsidRPr="00913909">
        <w:rPr>
          <w:rFonts w:cs="Times New Roman"/>
          <w:lang w:val="fr-BE"/>
        </w:rPr>
        <w:t xml:space="preserve"> ; </w:t>
      </w:r>
      <w:r w:rsidR="00B967AE" w:rsidRPr="00913909">
        <w:rPr>
          <w:rFonts w:cs="Times New Roman"/>
          <w:lang w:val="fr-BE"/>
        </w:rPr>
        <w:t xml:space="preserve">et </w:t>
      </w:r>
      <w:proofErr w:type="spellStart"/>
      <w:r w:rsidRPr="00913909">
        <w:rPr>
          <w:rFonts w:cs="Times New Roman"/>
          <w:lang w:val="fr-BE"/>
        </w:rPr>
        <w:t>Denouël</w:t>
      </w:r>
      <w:proofErr w:type="spellEnd"/>
      <w:r w:rsidRPr="00913909">
        <w:rPr>
          <w:rFonts w:cs="Times New Roman"/>
          <w:lang w:val="fr-BE"/>
        </w:rPr>
        <w:t xml:space="preserve"> souligne </w:t>
      </w:r>
      <w:r w:rsidR="00B967AE" w:rsidRPr="00913909">
        <w:rPr>
          <w:rFonts w:cs="Times New Roman"/>
          <w:lang w:val="fr-BE"/>
        </w:rPr>
        <w:t>en outre</w:t>
      </w:r>
      <w:r w:rsidRPr="00913909">
        <w:rPr>
          <w:rFonts w:cs="Times New Roman"/>
          <w:lang w:val="fr-BE"/>
        </w:rPr>
        <w:t xml:space="preserve"> que cette injonction à l’autonomie est paradoxale car, pour être efficiente, elle nécessite des apprentissages en amont, donc que ces compétences d’autonomie soient déjà acquises par l’élève lorsqu’il arrive à l’école. </w:t>
      </w:r>
      <w:r w:rsidRPr="00913909">
        <w:rPr>
          <w:rFonts w:cs="Times New Roman"/>
          <w:lang w:val="fr-BE"/>
        </w:rPr>
        <w:lastRenderedPageBreak/>
        <w:t>Ce qui fait dépendre la réussite du contexte éducatif de l’élève hors école, soit son cadre de vie familial et ses déterminants socio-économico-culturels ; en effet, ces compétences seront plus facilement acquises dans un environnement familial au capital culturel fort, doté d’une culture numérique incitant aux pratiques similaires à celles encouragées par l’institution scolaire</w:t>
      </w:r>
      <w:r w:rsidR="001242B4" w:rsidRPr="00913909">
        <w:rPr>
          <w:rFonts w:cs="Times New Roman"/>
          <w:lang w:val="fr-BE"/>
        </w:rPr>
        <w:t xml:space="preserve"> </w:t>
      </w:r>
      <w:r w:rsidR="001242B4" w:rsidRPr="00913909">
        <w:rPr>
          <w:rFonts w:cs="Times New Roman"/>
          <w:lang w:val="fr-BE"/>
        </w:rPr>
        <w:fldChar w:fldCharType="begin"/>
      </w:r>
      <w:r w:rsidR="001242B4" w:rsidRPr="00913909">
        <w:rPr>
          <w:rFonts w:cs="Times New Roman"/>
          <w:lang w:val="fr-BE"/>
        </w:rPr>
        <w:instrText xml:space="preserve"> ADDIN ZOTERO_ITEM CSL_CITATION {"citationID":"LyRK2Yf5","properties":{"formattedCitation":"(Fluckiger 2008; cit\\uc0\\u233{} par Denou\\uc0\\u235{}l 2017)","plainCitation":"(Fluckiger 2008; cité par Denouël 2017)","noteIndex":0},"citationItems":[{"id":9698,"uris":["http://zotero.org/users/917725/items/FV8AG5CM"],"uri":["http://zotero.org/users/917725/items/FV8AG5CM"],"itemData":{"id":9698,"type":"article-journal","abstract":"Les rapports entre l’institution scolaire et la culture numérique des élèves sont ici examinés à la lumière d’une recherche qualitative centrée sur les collégiens d’un établissement scolaire. L’institution scolaire est confrontée aux pratiques personnelles des élèves, qui inscrivent l’usage des TIC dans le processus de construction de soi et d’autonomisation de leurs pratiques culturelles et de communication. Certaines difficultés de l’intégration scolaire des TIC sont dues au caractère limité et local des compétences techniques développées par les élèves, associé à une faible conceptualisation et verbalisation des pratiques ordinaires. Même dans l’utilisation d’outils logiciels communs aux deux univers, on peut repérer une structuration différente de l’activité qui fait obstacle au réinvestissement scolaire des compétences techniques.","container-title":"Revue française de pédagogie. Recherches en éducation","DOI":"10.4000/rfp.978","ISSN":"0556-7807","issue":"163","language":"fr","note":"ISBN: 9782734211235\nnumber: 163\npublisher: ENS Éditions","page":"51-61","source":"journals.openedition.org","title":"L’école à l’épreuve de la culture numérique des élèves","author":[{"family":"Fluckiger","given":"Cédric"}],"issued":{"date-parts":[["2008",6,1]]}}},{"id":8623,"uris":["http://zotero.org/users/917725/items/TZFM6934"],"uri":["http://zotero.org/users/917725/items/TZFM6934"],"itemData":{"id":8623,"type":"article-journal","abstract":"Nombreux sont les travaux en sciences humaines et sociales à avoir montré que la diffusion de technologies s’accompagne de façon systématique d’imaginaires et d’utopies technicistes, supposant que les innovations techniques sont le nécessaire moteur du progrès social, individuel et collectif. Opératoire dans le domaine de la communication ordinaire, cette perspective se révèle également très féconde dès lors qu’on s’intéresse aux discours d’accompagnement du numérique dans le champ éducatif. Parmi les nombreuses promesses formulées sur les vertus des technologies pour l’éducation, celle relative au développement de l’autonomie figure depuis longtemps en très bonne place. Se tenant à distance des nombreuses idéologies technicistes qui prévalent aujourd’hui, le présent article aura pour objectif de proposer un examen critique de cette promesse selon laquelle le numérique favorise nécessairement l’autonomisation des élèves.","container-title":"Hermes, La Revue","ISSN":"0767-9513","issue":"2","language":"fr","note":"publisher: C.N.R.S. Editions","page":"80-86","source":"www.cairn.info","title":"L’école, le numérique et l’autonomie des élèves","volume":"n° 78","author":[{"family":"Denouël","given":"Julie"}],"issued":{"date-parts":[["2017",9,27]]}},"prefix":"cité par"}],"schema":"https://github.com/citation-style-language/schema/raw/master/csl-citation.json"} </w:instrText>
      </w:r>
      <w:r w:rsidR="001242B4" w:rsidRPr="00913909">
        <w:rPr>
          <w:rFonts w:cs="Times New Roman"/>
          <w:lang w:val="fr-BE"/>
        </w:rPr>
        <w:fldChar w:fldCharType="separate"/>
      </w:r>
      <w:r w:rsidR="001242B4" w:rsidRPr="00913909">
        <w:rPr>
          <w:rFonts w:cs="Times New Roman"/>
          <w:szCs w:val="24"/>
          <w:lang w:val="fr-BE"/>
        </w:rPr>
        <w:t>(Fluckiger 2008; cité par Denouël 2017)</w:t>
      </w:r>
      <w:r w:rsidR="001242B4" w:rsidRPr="00913909">
        <w:rPr>
          <w:rFonts w:cs="Times New Roman"/>
          <w:lang w:val="fr-BE"/>
        </w:rPr>
        <w:fldChar w:fldCharType="end"/>
      </w:r>
      <w:r w:rsidRPr="00913909">
        <w:rPr>
          <w:rFonts w:cs="Times New Roman"/>
          <w:lang w:val="fr-BE"/>
        </w:rPr>
        <w:t>.</w:t>
      </w:r>
    </w:p>
    <w:p w:rsidR="00B966C5" w:rsidRPr="00913909" w:rsidRDefault="00520456" w:rsidP="00D823FB">
      <w:pPr>
        <w:pStyle w:val="Titre1"/>
      </w:pPr>
      <w:r w:rsidRPr="00913909">
        <w:t>Bilan</w:t>
      </w:r>
      <w:r w:rsidR="00B966C5" w:rsidRPr="00913909">
        <w:t xml:space="preserve"> provisoire : </w:t>
      </w:r>
      <w:r w:rsidR="00662D51" w:rsidRPr="00913909">
        <w:t>comment développer l’aptitude des apprenants à autonomiser leurs apprentissages avec les outils numériques</w:t>
      </w:r>
      <w:r w:rsidR="00D5757D" w:rsidRPr="00913909">
        <w:t> ?</w:t>
      </w:r>
    </w:p>
    <w:p w:rsidR="00FB1AA6" w:rsidRPr="00913909" w:rsidRDefault="00ED45A3" w:rsidP="00494F61">
      <w:pPr>
        <w:tabs>
          <w:tab w:val="center" w:pos="4703"/>
        </w:tabs>
        <w:spacing w:line="360" w:lineRule="auto"/>
        <w:rPr>
          <w:rFonts w:cs="Times New Roman"/>
          <w:lang w:val="fr-BE"/>
        </w:rPr>
      </w:pPr>
      <w:r w:rsidRPr="00913909">
        <w:rPr>
          <w:rFonts w:cs="Times New Roman"/>
          <w:lang w:val="fr-BE"/>
        </w:rPr>
        <w:t xml:space="preserve">Pour résumer : </w:t>
      </w:r>
      <w:r w:rsidR="00152671" w:rsidRPr="00913909">
        <w:rPr>
          <w:rFonts w:cs="Times New Roman"/>
          <w:lang w:val="fr-BE"/>
        </w:rPr>
        <w:t>s</w:t>
      </w:r>
      <w:r w:rsidR="00F21EC3" w:rsidRPr="00913909">
        <w:rPr>
          <w:rFonts w:cs="Times New Roman"/>
          <w:lang w:val="fr-BE"/>
        </w:rPr>
        <w:t xml:space="preserve">i l’autonomie dans la gestion des apprentissages est perçue </w:t>
      </w:r>
      <w:proofErr w:type="spellStart"/>
      <w:r w:rsidR="00F21EC3" w:rsidRPr="00913909">
        <w:rPr>
          <w:rFonts w:cs="Times New Roman"/>
          <w:lang w:val="fr-BE"/>
        </w:rPr>
        <w:t>doxiquement</w:t>
      </w:r>
      <w:proofErr w:type="spellEnd"/>
      <w:r w:rsidR="00F21EC3" w:rsidRPr="00913909">
        <w:rPr>
          <w:rFonts w:cs="Times New Roman"/>
          <w:lang w:val="fr-BE"/>
        </w:rPr>
        <w:t xml:space="preserve"> comme un bénéfice résultant de l’usage des outils numériques, il s’agirait davantage, on le voit</w:t>
      </w:r>
      <w:r w:rsidR="00010FA1" w:rsidRPr="00913909">
        <w:rPr>
          <w:rFonts w:cs="Times New Roman"/>
          <w:lang w:val="fr-BE"/>
        </w:rPr>
        <w:t xml:space="preserve"> à la lumière des études citées</w:t>
      </w:r>
      <w:r w:rsidR="00F21EC3" w:rsidRPr="00913909">
        <w:rPr>
          <w:rFonts w:cs="Times New Roman"/>
          <w:lang w:val="fr-BE"/>
        </w:rPr>
        <w:t>, d’une compétence préalable conditionnant l’atteinte des objectifs d’apprentissage lorsque les outils numériques sont mobilisés dans la scénarisation pédagogique. Or, l’autonomie est</w:t>
      </w:r>
      <w:r w:rsidR="00EF3F22" w:rsidRPr="00913909">
        <w:rPr>
          <w:rFonts w:cs="Times New Roman"/>
          <w:lang w:val="fr-BE"/>
        </w:rPr>
        <w:t xml:space="preserve"> souvent pensée comme </w:t>
      </w:r>
      <w:r w:rsidR="004D5626" w:rsidRPr="00913909">
        <w:rPr>
          <w:rFonts w:cs="Times New Roman"/>
          <w:lang w:val="fr-BE"/>
        </w:rPr>
        <w:t xml:space="preserve">un </w:t>
      </w:r>
      <w:r w:rsidR="00EF3F22" w:rsidRPr="00913909">
        <w:rPr>
          <w:rFonts w:cs="Times New Roman"/>
          <w:lang w:val="fr-BE"/>
        </w:rPr>
        <w:t>but éducatif et</w:t>
      </w:r>
      <w:r w:rsidR="00F21EC3" w:rsidRPr="00913909">
        <w:rPr>
          <w:rFonts w:cs="Times New Roman"/>
          <w:lang w:val="fr-BE"/>
        </w:rPr>
        <w:t xml:space="preserve"> rarement comme un </w:t>
      </w:r>
      <w:proofErr w:type="spellStart"/>
      <w:r w:rsidR="00F21EC3" w:rsidRPr="00913909">
        <w:rPr>
          <w:rFonts w:cs="Times New Roman"/>
          <w:lang w:val="fr-BE"/>
        </w:rPr>
        <w:t>pré-requis</w:t>
      </w:r>
      <w:proofErr w:type="spellEnd"/>
      <w:r w:rsidR="00F21EC3" w:rsidRPr="00913909">
        <w:rPr>
          <w:rFonts w:cs="Times New Roman"/>
          <w:lang w:val="fr-BE"/>
        </w:rPr>
        <w:t xml:space="preserve"> n</w:t>
      </w:r>
      <w:r w:rsidR="008F0665" w:rsidRPr="00913909">
        <w:rPr>
          <w:rFonts w:cs="Times New Roman"/>
          <w:lang w:val="fr-BE"/>
        </w:rPr>
        <w:t>écessaire aux apprentissages</w:t>
      </w:r>
      <w:r w:rsidR="008F0665" w:rsidRPr="00913909">
        <w:rPr>
          <w:rStyle w:val="Appelnotedebasdep"/>
          <w:rFonts w:cs="Times New Roman"/>
          <w:lang w:val="fr-BE"/>
        </w:rPr>
        <w:footnoteReference w:id="6"/>
      </w:r>
      <w:r w:rsidR="00494F61" w:rsidRPr="00913909">
        <w:rPr>
          <w:rFonts w:cs="Times New Roman"/>
          <w:lang w:val="fr-BE"/>
        </w:rPr>
        <w:t xml:space="preserve">. S’écarter de la vision techno-centrée consistera, </w:t>
      </w:r>
      <w:r w:rsidR="00B546AE" w:rsidRPr="00913909">
        <w:rPr>
          <w:rFonts w:cs="Times New Roman"/>
          <w:i/>
          <w:lang w:val="fr-BE"/>
        </w:rPr>
        <w:t>in fine</w:t>
      </w:r>
      <w:r w:rsidR="00B546AE" w:rsidRPr="00913909">
        <w:rPr>
          <w:rFonts w:cs="Times New Roman"/>
          <w:lang w:val="fr-BE"/>
        </w:rPr>
        <w:t>, à replacer l’enseignant au centre</w:t>
      </w:r>
      <w:r w:rsidR="00307A19">
        <w:rPr>
          <w:rFonts w:cs="Times New Roman"/>
          <w:lang w:val="fr-BE"/>
        </w:rPr>
        <w:t xml:space="preserve">. C’est bien </w:t>
      </w:r>
      <w:r w:rsidR="00FB1AA6" w:rsidRPr="00913909">
        <w:rPr>
          <w:rFonts w:cs="Times New Roman"/>
          <w:lang w:val="fr-BE"/>
        </w:rPr>
        <w:t xml:space="preserve">ce que concluent Tricot et </w:t>
      </w:r>
      <w:proofErr w:type="spellStart"/>
      <w:r w:rsidR="00FB1AA6" w:rsidRPr="00913909">
        <w:rPr>
          <w:rFonts w:cs="Times New Roman"/>
          <w:lang w:val="fr-BE"/>
        </w:rPr>
        <w:t>Amadieu</w:t>
      </w:r>
      <w:proofErr w:type="spellEnd"/>
      <w:r w:rsidR="00FB1AA6" w:rsidRPr="00913909">
        <w:rPr>
          <w:rFonts w:cs="Times New Roman"/>
          <w:lang w:val="fr-BE"/>
        </w:rPr>
        <w:t xml:space="preserve"> au te</w:t>
      </w:r>
      <w:r w:rsidR="002A446F" w:rsidRPr="00913909">
        <w:rPr>
          <w:rFonts w:cs="Times New Roman"/>
          <w:lang w:val="fr-BE"/>
        </w:rPr>
        <w:t>rme de leur ouvrage </w:t>
      </w:r>
      <w:r w:rsidR="00A417AF" w:rsidRPr="00913909">
        <w:rPr>
          <w:rFonts w:cs="Times New Roman"/>
          <w:lang w:val="fr-BE"/>
        </w:rPr>
        <w:t>:</w:t>
      </w:r>
    </w:p>
    <w:p w:rsidR="00FB1AA6" w:rsidRPr="00913909" w:rsidRDefault="00FB1AA6" w:rsidP="00FB1AA6">
      <w:pPr>
        <w:tabs>
          <w:tab w:val="center" w:pos="4703"/>
        </w:tabs>
        <w:spacing w:line="240" w:lineRule="auto"/>
        <w:ind w:left="720" w:hanging="11"/>
        <w:rPr>
          <w:rFonts w:cs="Times New Roman"/>
          <w:sz w:val="20"/>
          <w:szCs w:val="20"/>
          <w:lang w:val="fr-BE"/>
        </w:rPr>
      </w:pPr>
      <w:r w:rsidRPr="00913909">
        <w:rPr>
          <w:rFonts w:cs="Times New Roman"/>
          <w:sz w:val="20"/>
          <w:szCs w:val="20"/>
          <w:lang w:val="fr-BE"/>
        </w:rPr>
        <w:t xml:space="preserve">Les apprentissages scolaires sont d’abord fondés sur des </w:t>
      </w:r>
      <w:r w:rsidRPr="00913909">
        <w:rPr>
          <w:rFonts w:cs="Times New Roman"/>
          <w:i/>
          <w:iCs/>
          <w:sz w:val="20"/>
          <w:szCs w:val="20"/>
          <w:lang w:val="fr-BE"/>
        </w:rPr>
        <w:t>savoirs scolaires</w:t>
      </w:r>
      <w:r w:rsidRPr="00913909">
        <w:rPr>
          <w:rFonts w:cs="Times New Roman"/>
          <w:sz w:val="20"/>
          <w:szCs w:val="20"/>
          <w:lang w:val="fr-BE"/>
        </w:rPr>
        <w:t xml:space="preserve">, qui préparent le futur de nos enfants, et également sur des </w:t>
      </w:r>
      <w:r w:rsidRPr="00913909">
        <w:rPr>
          <w:rFonts w:cs="Times New Roman"/>
          <w:i/>
          <w:iCs/>
          <w:sz w:val="20"/>
          <w:szCs w:val="20"/>
          <w:lang w:val="fr-BE"/>
        </w:rPr>
        <w:t>enseignants</w:t>
      </w:r>
      <w:r w:rsidRPr="00913909">
        <w:rPr>
          <w:rFonts w:cs="Times New Roman"/>
          <w:sz w:val="20"/>
          <w:szCs w:val="20"/>
          <w:lang w:val="fr-BE"/>
        </w:rPr>
        <w:t xml:space="preserve">, qui conçoivent des </w:t>
      </w:r>
      <w:r w:rsidRPr="00913909">
        <w:rPr>
          <w:rFonts w:cs="Times New Roman"/>
          <w:i/>
          <w:iCs/>
          <w:sz w:val="20"/>
          <w:szCs w:val="20"/>
          <w:lang w:val="fr-BE"/>
        </w:rPr>
        <w:t xml:space="preserve">scénarios pédagogiques </w:t>
      </w:r>
      <w:r w:rsidRPr="00913909">
        <w:rPr>
          <w:rFonts w:cs="Times New Roman"/>
          <w:sz w:val="20"/>
          <w:szCs w:val="20"/>
          <w:lang w:val="fr-BE"/>
        </w:rPr>
        <w:t xml:space="preserve">et mettent en œuvre de façon professionnelle des relations de travail et de confiance au sein de leur classe. Les outils ne sont que des outils. Quand on leur assigne cette place, alors les outils numériques ont un potentiel formidable, que nous sommes en train de découvrir. </w:t>
      </w:r>
      <w:r w:rsidRPr="00913909">
        <w:rPr>
          <w:rFonts w:cs="Times New Roman"/>
          <w:sz w:val="20"/>
          <w:szCs w:val="20"/>
          <w:lang w:val="fr-BE"/>
        </w:rPr>
        <w:fldChar w:fldCharType="begin"/>
      </w:r>
      <w:r w:rsidRPr="00913909">
        <w:rPr>
          <w:rFonts w:cs="Times New Roman"/>
          <w:sz w:val="20"/>
          <w:szCs w:val="20"/>
          <w:lang w:val="fr-BE"/>
        </w:rPr>
        <w:instrText xml:space="preserve"> ADDIN ZOTERO_ITEM CSL_CITATION {"citationID":"fOTDCSJz","properties":{"formattedCitation":"(Amadieu et Tricot [2014] 2020, 141)","plainCitation":"(Amadieu et Tricot [2014] 2020, 141)","noteIndex":0},"citationItems":[{"id":8547,"uris":["http://zotero.org/users/917725/items/JJE8QUZA"],"uri":["http://zotero.org/users/917725/items/JJE8QUZA"],"itemData":{"id":8547,"type":"book","abstract":"Le premier ouvrage qui examine les attentes et les croyances associées à l'usage des nouvelles technologies en classe. \" On est plus motivé quand on apprend avec le numérique \", \" Les vidéos et informations dynamiques favorisent l'apprentissage \", \" Le numérique permet d'adapter les enseignements aux élèves \"... Autant d'affirmations que l'on entend régulièrement. Mais s'appuient-elles sur des résultats d'études sérieuses ?  L'ouvrage est organisé en onze chapitres traitant chacun d'une attente, ou d'un mythe, autour des technologies de l'information et de la communication pour l'enseignement.  Chaque chapitre : présente le mythe : développement des attentes et des arguments généralement avancés justifiant ces attentes ;dresse un rapide bilan des travaux scientifiques examinant ce mythe ou permettant d'évaluer la validité des attentes : présentation des derniers travaux et revues de questions dans la littérature scientifique ;décrit concrètement plusieurs études pertinentes illustrant la réalité des TICE en lien avec le mythe, pour aider à la compréhension des apports et des limites du numérique ;présente une conclusion sous forme de réponse au mythe et de propositions pour la mise en œuvre dans la classe.","event-place":"s.l.","language":"Français","note":"original-date: 2014","publisher":"Retz","publisher-place":"s.l.","title":"Apprendre avec le numérique","author":[{"family":"Amadieu","given":"Franck"},{"family":"Tricot","given":"André"}],"issued":{"date-parts":[["2020"]]}},"locator":"141"}],"schema":"https://github.com/citation-style-language/schema/raw/master/csl-citation.json"} </w:instrText>
      </w:r>
      <w:r w:rsidRPr="00913909">
        <w:rPr>
          <w:rFonts w:cs="Times New Roman"/>
          <w:sz w:val="20"/>
          <w:szCs w:val="20"/>
          <w:lang w:val="fr-BE"/>
        </w:rPr>
        <w:fldChar w:fldCharType="separate"/>
      </w:r>
      <w:r w:rsidRPr="00913909">
        <w:rPr>
          <w:rFonts w:cs="Times New Roman"/>
          <w:sz w:val="20"/>
          <w:szCs w:val="20"/>
          <w:lang w:val="fr-BE"/>
        </w:rPr>
        <w:t>(Amadieu et Tricot [2014] 2020, 141)</w:t>
      </w:r>
      <w:r w:rsidRPr="00913909">
        <w:rPr>
          <w:rFonts w:cs="Times New Roman"/>
          <w:sz w:val="20"/>
          <w:szCs w:val="20"/>
          <w:lang w:val="fr-BE"/>
        </w:rPr>
        <w:fldChar w:fldCharType="end"/>
      </w:r>
    </w:p>
    <w:p w:rsidR="00B82131" w:rsidRPr="00913909" w:rsidRDefault="002E37C4" w:rsidP="00D669F0">
      <w:pPr>
        <w:pStyle w:val="Textebrut"/>
        <w:spacing w:line="360" w:lineRule="auto"/>
        <w:rPr>
          <w:rFonts w:ascii="Times New Roman" w:hAnsi="Times New Roman" w:cs="Times New Roman"/>
          <w:lang w:val="fr-BE"/>
        </w:rPr>
      </w:pPr>
      <w:r w:rsidRPr="00913909">
        <w:rPr>
          <w:rFonts w:ascii="Times New Roman" w:hAnsi="Times New Roman" w:cs="Times New Roman"/>
          <w:lang w:val="fr-BE"/>
        </w:rPr>
        <w:t xml:space="preserve">Compte tenu de ce qui précède, </w:t>
      </w:r>
      <w:r w:rsidR="00E279A2" w:rsidRPr="00913909">
        <w:rPr>
          <w:rFonts w:ascii="Times New Roman" w:hAnsi="Times New Roman" w:cs="Times New Roman"/>
          <w:lang w:val="fr-BE"/>
        </w:rPr>
        <w:t>quels sont les é</w:t>
      </w:r>
      <w:r w:rsidR="009B4B61" w:rsidRPr="00913909">
        <w:rPr>
          <w:rFonts w:ascii="Times New Roman" w:hAnsi="Times New Roman" w:cs="Times New Roman"/>
          <w:lang w:val="fr-BE"/>
        </w:rPr>
        <w:t>léments que l’enseignant devra</w:t>
      </w:r>
      <w:r w:rsidR="00E279A2" w:rsidRPr="00913909">
        <w:rPr>
          <w:rFonts w:ascii="Times New Roman" w:hAnsi="Times New Roman" w:cs="Times New Roman"/>
          <w:lang w:val="fr-BE"/>
        </w:rPr>
        <w:t xml:space="preserve"> veiller à</w:t>
      </w:r>
      <w:r w:rsidRPr="00913909">
        <w:rPr>
          <w:rFonts w:ascii="Times New Roman" w:hAnsi="Times New Roman" w:cs="Times New Roman"/>
          <w:lang w:val="fr-BE"/>
        </w:rPr>
        <w:t xml:space="preserve"> mettre en place</w:t>
      </w:r>
      <w:r w:rsidR="00F652AF" w:rsidRPr="00913909">
        <w:rPr>
          <w:rFonts w:ascii="Times New Roman" w:hAnsi="Times New Roman" w:cs="Times New Roman"/>
          <w:lang w:val="fr-BE"/>
        </w:rPr>
        <w:t xml:space="preserve">, dans un scénario pédagogique </w:t>
      </w:r>
      <w:r w:rsidR="00D669F0" w:rsidRPr="00913909">
        <w:rPr>
          <w:rFonts w:ascii="Times New Roman" w:hAnsi="Times New Roman" w:cs="Times New Roman"/>
          <w:lang w:val="fr-BE"/>
        </w:rPr>
        <w:t>où interviennent les outils numériques</w:t>
      </w:r>
      <w:r w:rsidR="00F652AF" w:rsidRPr="00913909">
        <w:rPr>
          <w:rFonts w:ascii="Times New Roman" w:hAnsi="Times New Roman" w:cs="Times New Roman"/>
          <w:lang w:val="fr-BE"/>
        </w:rPr>
        <w:t>,</w:t>
      </w:r>
      <w:r w:rsidR="00576C33" w:rsidRPr="00913909">
        <w:rPr>
          <w:rFonts w:ascii="Times New Roman" w:hAnsi="Times New Roman" w:cs="Times New Roman"/>
          <w:lang w:val="fr-BE"/>
        </w:rPr>
        <w:t xml:space="preserve"> pour que l’élève puisse mobiliser</w:t>
      </w:r>
      <w:r w:rsidR="007E3420" w:rsidRPr="00913909">
        <w:rPr>
          <w:rFonts w:ascii="Times New Roman" w:hAnsi="Times New Roman" w:cs="Times New Roman"/>
          <w:lang w:val="fr-BE"/>
        </w:rPr>
        <w:t xml:space="preserve"> d</w:t>
      </w:r>
      <w:r w:rsidR="00576C33" w:rsidRPr="00913909">
        <w:rPr>
          <w:rFonts w:ascii="Times New Roman" w:hAnsi="Times New Roman" w:cs="Times New Roman"/>
          <w:lang w:val="fr-BE"/>
        </w:rPr>
        <w:t xml:space="preserve">es stratégies </w:t>
      </w:r>
      <w:r w:rsidR="00576C33" w:rsidRPr="00EC666B">
        <w:rPr>
          <w:rFonts w:ascii="Times New Roman" w:hAnsi="Times New Roman" w:cs="Times New Roman"/>
          <w:i/>
          <w:lang w:val="fr-BE"/>
        </w:rPr>
        <w:t>motivationnelles</w:t>
      </w:r>
      <w:r w:rsidR="00576C33" w:rsidRPr="00913909">
        <w:rPr>
          <w:rFonts w:ascii="Times New Roman" w:hAnsi="Times New Roman" w:cs="Times New Roman"/>
          <w:lang w:val="fr-BE"/>
        </w:rPr>
        <w:t xml:space="preserve">, </w:t>
      </w:r>
      <w:r w:rsidR="00576C33" w:rsidRPr="00EC666B">
        <w:rPr>
          <w:rFonts w:ascii="Times New Roman" w:hAnsi="Times New Roman" w:cs="Times New Roman"/>
          <w:i/>
          <w:lang w:val="fr-BE"/>
        </w:rPr>
        <w:t>cognitives</w:t>
      </w:r>
      <w:r w:rsidR="00576C33" w:rsidRPr="00913909">
        <w:rPr>
          <w:rFonts w:ascii="Times New Roman" w:hAnsi="Times New Roman" w:cs="Times New Roman"/>
          <w:lang w:val="fr-BE"/>
        </w:rPr>
        <w:t xml:space="preserve"> et, surtout, </w:t>
      </w:r>
      <w:r w:rsidR="00576C33" w:rsidRPr="00EC666B">
        <w:rPr>
          <w:rFonts w:ascii="Times New Roman" w:hAnsi="Times New Roman" w:cs="Times New Roman"/>
          <w:i/>
          <w:lang w:val="fr-BE"/>
        </w:rPr>
        <w:t>métacognitives</w:t>
      </w:r>
      <w:r w:rsidR="00576C33" w:rsidRPr="00913909">
        <w:rPr>
          <w:rFonts w:ascii="Times New Roman" w:hAnsi="Times New Roman" w:cs="Times New Roman"/>
          <w:lang w:val="fr-BE"/>
        </w:rPr>
        <w:t xml:space="preserve"> </w:t>
      </w:r>
      <w:r w:rsidR="007E3420" w:rsidRPr="00913909">
        <w:rPr>
          <w:rFonts w:ascii="Times New Roman" w:hAnsi="Times New Roman" w:cs="Times New Roman"/>
          <w:lang w:val="fr-BE"/>
        </w:rPr>
        <w:t>pour</w:t>
      </w:r>
      <w:r w:rsidR="00576C33" w:rsidRPr="00913909">
        <w:rPr>
          <w:rFonts w:ascii="Times New Roman" w:hAnsi="Times New Roman" w:cs="Times New Roman"/>
          <w:lang w:val="fr-BE"/>
        </w:rPr>
        <w:t xml:space="preserve"> s’autonomiser et d’atteindre les objectifs d’apprentissage visés ?</w:t>
      </w:r>
      <w:r w:rsidR="00BB2E00" w:rsidRPr="00913909">
        <w:rPr>
          <w:rFonts w:ascii="Times New Roman" w:hAnsi="Times New Roman" w:cs="Times New Roman"/>
          <w:lang w:val="fr-BE"/>
        </w:rPr>
        <w:t xml:space="preserve"> </w:t>
      </w:r>
    </w:p>
    <w:p w:rsidR="00B82131" w:rsidRPr="00913909" w:rsidRDefault="004D7B6B" w:rsidP="00D669F0">
      <w:pPr>
        <w:pStyle w:val="Textebrut"/>
        <w:spacing w:line="360" w:lineRule="auto"/>
        <w:rPr>
          <w:rFonts w:ascii="Times New Roman" w:hAnsi="Times New Roman" w:cs="Times New Roman"/>
          <w:lang w:val="fr-BE"/>
        </w:rPr>
      </w:pPr>
      <w:r w:rsidRPr="00913909">
        <w:rPr>
          <w:rFonts w:ascii="Times New Roman" w:hAnsi="Times New Roman" w:cs="Times New Roman"/>
          <w:lang w:val="fr-BE"/>
        </w:rPr>
        <w:t xml:space="preserve">Tout d’abord, un questionnement </w:t>
      </w:r>
      <w:r w:rsidR="00585F8A" w:rsidRPr="00913909">
        <w:rPr>
          <w:rFonts w:ascii="Times New Roman" w:hAnsi="Times New Roman" w:cs="Times New Roman"/>
          <w:lang w:val="fr-BE"/>
        </w:rPr>
        <w:t xml:space="preserve">réflexif </w:t>
      </w:r>
      <w:r w:rsidR="002D295F">
        <w:rPr>
          <w:rFonts w:ascii="Times New Roman" w:hAnsi="Times New Roman" w:cs="Times New Roman"/>
          <w:lang w:val="fr-BE"/>
        </w:rPr>
        <w:t xml:space="preserve">doit être mené </w:t>
      </w:r>
      <w:r w:rsidRPr="00913909">
        <w:rPr>
          <w:rFonts w:ascii="Times New Roman" w:hAnsi="Times New Roman" w:cs="Times New Roman"/>
          <w:lang w:val="fr-BE"/>
        </w:rPr>
        <w:t>sur l’adéquation des outils numériques avec l’objectif d’</w:t>
      </w:r>
      <w:r w:rsidR="00873CDC" w:rsidRPr="00913909">
        <w:rPr>
          <w:rFonts w:ascii="Times New Roman" w:hAnsi="Times New Roman" w:cs="Times New Roman"/>
          <w:lang w:val="fr-BE"/>
        </w:rPr>
        <w:t xml:space="preserve">apprentissage </w:t>
      </w:r>
      <w:r w:rsidRPr="00913909">
        <w:rPr>
          <w:rFonts w:ascii="Times New Roman" w:hAnsi="Times New Roman" w:cs="Times New Roman"/>
          <w:lang w:val="fr-BE"/>
        </w:rPr>
        <w:t>(</w:t>
      </w:r>
      <w:r w:rsidR="00D91FA7" w:rsidRPr="00913909">
        <w:rPr>
          <w:rFonts w:ascii="Times New Roman" w:hAnsi="Times New Roman" w:cs="Times New Roman"/>
          <w:lang w:val="fr-BE"/>
        </w:rPr>
        <w:t xml:space="preserve">soit, </w:t>
      </w:r>
      <w:r w:rsidRPr="00913909">
        <w:rPr>
          <w:rFonts w:ascii="Times New Roman" w:hAnsi="Times New Roman" w:cs="Times New Roman"/>
          <w:lang w:val="fr-BE"/>
        </w:rPr>
        <w:t>en quoi ce choix permet-il de faire mieux apprendre ?). En amont de toute conception d’activité, l’enseignant sera</w:t>
      </w:r>
      <w:r w:rsidR="00551ADB" w:rsidRPr="00913909">
        <w:rPr>
          <w:rFonts w:ascii="Times New Roman" w:hAnsi="Times New Roman" w:cs="Times New Roman"/>
          <w:lang w:val="fr-BE"/>
        </w:rPr>
        <w:t xml:space="preserve"> encore</w:t>
      </w:r>
      <w:r w:rsidRPr="00913909">
        <w:rPr>
          <w:rFonts w:ascii="Times New Roman" w:hAnsi="Times New Roman" w:cs="Times New Roman"/>
          <w:lang w:val="fr-BE"/>
        </w:rPr>
        <w:t xml:space="preserve"> amené à s’interroger sur le degré d’autonomie qu’il suppose de l’apprenant, et sur les compétences dont il</w:t>
      </w:r>
      <w:r w:rsidR="00F26A66">
        <w:rPr>
          <w:rFonts w:ascii="Times New Roman" w:hAnsi="Times New Roman" w:cs="Times New Roman"/>
          <w:lang w:val="fr-BE"/>
        </w:rPr>
        <w:t xml:space="preserve"> disposera</w:t>
      </w:r>
      <w:r w:rsidRPr="00913909">
        <w:rPr>
          <w:rFonts w:ascii="Times New Roman" w:hAnsi="Times New Roman" w:cs="Times New Roman"/>
          <w:lang w:val="fr-BE"/>
        </w:rPr>
        <w:t xml:space="preserve"> au moment de se confronter à la tâche.</w:t>
      </w:r>
      <w:r w:rsidR="005E7D8F" w:rsidRPr="00913909">
        <w:rPr>
          <w:rFonts w:ascii="Times New Roman" w:hAnsi="Times New Roman" w:cs="Times New Roman"/>
          <w:lang w:val="fr-BE"/>
        </w:rPr>
        <w:t xml:space="preserve"> Dans le dispositif numérique, </w:t>
      </w:r>
      <w:r w:rsidR="001E1E2F" w:rsidRPr="00913909">
        <w:rPr>
          <w:rFonts w:ascii="Times New Roman" w:hAnsi="Times New Roman" w:cs="Times New Roman"/>
          <w:lang w:val="fr-BE"/>
        </w:rPr>
        <w:t xml:space="preserve">on </w:t>
      </w:r>
      <w:r w:rsidR="005E7D8F" w:rsidRPr="00913909">
        <w:rPr>
          <w:rFonts w:ascii="Times New Roman" w:hAnsi="Times New Roman" w:cs="Times New Roman"/>
          <w:lang w:val="fr-BE"/>
        </w:rPr>
        <w:t>veiller</w:t>
      </w:r>
      <w:r w:rsidR="001E1E2F" w:rsidRPr="00913909">
        <w:rPr>
          <w:rFonts w:ascii="Times New Roman" w:hAnsi="Times New Roman" w:cs="Times New Roman"/>
          <w:lang w:val="fr-BE"/>
        </w:rPr>
        <w:t>a</w:t>
      </w:r>
      <w:r w:rsidR="005E7D8F" w:rsidRPr="00913909">
        <w:rPr>
          <w:rFonts w:ascii="Times New Roman" w:hAnsi="Times New Roman" w:cs="Times New Roman"/>
          <w:lang w:val="fr-BE"/>
        </w:rPr>
        <w:t xml:space="preserve"> </w:t>
      </w:r>
      <w:r w:rsidR="0035745A" w:rsidRPr="00913909">
        <w:rPr>
          <w:rFonts w:ascii="Times New Roman" w:hAnsi="Times New Roman" w:cs="Times New Roman"/>
          <w:lang w:val="fr-BE"/>
        </w:rPr>
        <w:t xml:space="preserve">également </w:t>
      </w:r>
      <w:r w:rsidR="005E7D8F" w:rsidRPr="00913909">
        <w:rPr>
          <w:rFonts w:ascii="Times New Roman" w:hAnsi="Times New Roman" w:cs="Times New Roman"/>
          <w:lang w:val="fr-BE"/>
        </w:rPr>
        <w:t>à poser les balises permettant l’autonomisation des a</w:t>
      </w:r>
      <w:r w:rsidR="00FA5717">
        <w:rPr>
          <w:rFonts w:ascii="Times New Roman" w:hAnsi="Times New Roman" w:cs="Times New Roman"/>
          <w:lang w:val="fr-BE"/>
        </w:rPr>
        <w:t>pprenants, p.</w:t>
      </w:r>
      <w:r w:rsidR="003C1AB9" w:rsidRPr="00913909">
        <w:rPr>
          <w:rFonts w:ascii="Times New Roman" w:hAnsi="Times New Roman" w:cs="Times New Roman"/>
          <w:lang w:val="fr-BE"/>
        </w:rPr>
        <w:t xml:space="preserve"> </w:t>
      </w:r>
      <w:r w:rsidR="00232305">
        <w:rPr>
          <w:rFonts w:ascii="Times New Roman" w:hAnsi="Times New Roman" w:cs="Times New Roman"/>
          <w:lang w:val="fr-BE"/>
        </w:rPr>
        <w:t>ex.</w:t>
      </w:r>
      <w:r w:rsidR="005E7D8F" w:rsidRPr="00913909">
        <w:rPr>
          <w:rFonts w:ascii="Times New Roman" w:hAnsi="Times New Roman" w:cs="Times New Roman"/>
          <w:lang w:val="fr-BE"/>
        </w:rPr>
        <w:t xml:space="preserve"> parcours guidé, tutoriel, buts intermédiaires, outils de feedback, visualisations des </w:t>
      </w:r>
      <w:r w:rsidR="00DE026D" w:rsidRPr="00913909">
        <w:rPr>
          <w:rFonts w:ascii="Times New Roman" w:hAnsi="Times New Roman" w:cs="Times New Roman"/>
          <w:lang w:val="fr-BE"/>
        </w:rPr>
        <w:t xml:space="preserve">résultats </w:t>
      </w:r>
      <w:r w:rsidR="005E7D8F" w:rsidRPr="00913909">
        <w:rPr>
          <w:rFonts w:ascii="Times New Roman" w:hAnsi="Times New Roman" w:cs="Times New Roman"/>
          <w:lang w:val="fr-BE"/>
        </w:rPr>
        <w:t>obtenu</w:t>
      </w:r>
      <w:r w:rsidR="001E1E2F" w:rsidRPr="00913909">
        <w:rPr>
          <w:rFonts w:ascii="Times New Roman" w:hAnsi="Times New Roman" w:cs="Times New Roman"/>
          <w:lang w:val="fr-BE"/>
        </w:rPr>
        <w:t xml:space="preserve">s, temps d’apprentissage. </w:t>
      </w:r>
      <w:r w:rsidR="007C780F" w:rsidRPr="00913909">
        <w:rPr>
          <w:rFonts w:ascii="Times New Roman" w:hAnsi="Times New Roman" w:cs="Times New Roman"/>
          <w:lang w:val="fr-BE"/>
        </w:rPr>
        <w:t xml:space="preserve">À l’entame de </w:t>
      </w:r>
      <w:r w:rsidR="007C780F" w:rsidRPr="00913909">
        <w:rPr>
          <w:rFonts w:ascii="Times New Roman" w:hAnsi="Times New Roman" w:cs="Times New Roman"/>
          <w:lang w:val="fr-BE"/>
        </w:rPr>
        <w:lastRenderedPageBreak/>
        <w:t>l’activité, l</w:t>
      </w:r>
      <w:r w:rsidR="001E1E2F" w:rsidRPr="00913909">
        <w:rPr>
          <w:rFonts w:ascii="Times New Roman" w:hAnsi="Times New Roman" w:cs="Times New Roman"/>
          <w:lang w:val="fr-BE"/>
        </w:rPr>
        <w:t xml:space="preserve">’enseignant </w:t>
      </w:r>
      <w:r w:rsidR="007C780F" w:rsidRPr="00913909">
        <w:rPr>
          <w:rFonts w:ascii="Times New Roman" w:hAnsi="Times New Roman" w:cs="Times New Roman"/>
          <w:lang w:val="fr-BE"/>
        </w:rPr>
        <w:t xml:space="preserve">soignera son </w:t>
      </w:r>
      <w:r w:rsidR="005E7D8F" w:rsidRPr="00913909">
        <w:rPr>
          <w:rFonts w:ascii="Times New Roman" w:hAnsi="Times New Roman" w:cs="Times New Roman"/>
          <w:lang w:val="fr-BE"/>
        </w:rPr>
        <w:t>cadrage</w:t>
      </w:r>
      <w:r w:rsidR="00C40041" w:rsidRPr="00913909">
        <w:rPr>
          <w:rFonts w:ascii="Times New Roman" w:hAnsi="Times New Roman" w:cs="Times New Roman"/>
          <w:lang w:val="fr-BE"/>
        </w:rPr>
        <w:t xml:space="preserve"> (consignes, annonce du parcours, etc.)</w:t>
      </w:r>
      <w:r w:rsidR="005E7D8F" w:rsidRPr="00913909">
        <w:rPr>
          <w:rFonts w:ascii="Times New Roman" w:hAnsi="Times New Roman" w:cs="Times New Roman"/>
          <w:lang w:val="fr-BE"/>
        </w:rPr>
        <w:t xml:space="preserve"> </w:t>
      </w:r>
      <w:r w:rsidR="001E1E2F" w:rsidRPr="00913909">
        <w:rPr>
          <w:rFonts w:ascii="Times New Roman" w:hAnsi="Times New Roman" w:cs="Times New Roman"/>
          <w:lang w:val="fr-BE"/>
        </w:rPr>
        <w:t>et la</w:t>
      </w:r>
      <w:r w:rsidR="005E7D8F" w:rsidRPr="00913909">
        <w:rPr>
          <w:rFonts w:ascii="Times New Roman" w:hAnsi="Times New Roman" w:cs="Times New Roman"/>
          <w:lang w:val="fr-BE"/>
        </w:rPr>
        <w:t xml:space="preserve"> familiarisation</w:t>
      </w:r>
      <w:r w:rsidR="001E1E2F" w:rsidRPr="00913909">
        <w:rPr>
          <w:rFonts w:ascii="Times New Roman" w:hAnsi="Times New Roman" w:cs="Times New Roman"/>
          <w:lang w:val="fr-BE"/>
        </w:rPr>
        <w:t xml:space="preserve"> des élèves avec le</w:t>
      </w:r>
      <w:r w:rsidR="007C780F" w:rsidRPr="00913909">
        <w:rPr>
          <w:rFonts w:ascii="Times New Roman" w:hAnsi="Times New Roman" w:cs="Times New Roman"/>
          <w:lang w:val="fr-BE"/>
        </w:rPr>
        <w:t xml:space="preserve">s thématiques abordées. </w:t>
      </w:r>
      <w:r w:rsidR="005E7D8F" w:rsidRPr="00913909">
        <w:rPr>
          <w:rFonts w:ascii="Times New Roman" w:hAnsi="Times New Roman" w:cs="Times New Roman"/>
          <w:lang w:val="fr-BE"/>
        </w:rPr>
        <w:t xml:space="preserve">Par ailleurs, </w:t>
      </w:r>
      <w:r w:rsidR="007C780F" w:rsidRPr="00913909">
        <w:rPr>
          <w:rFonts w:ascii="Times New Roman" w:hAnsi="Times New Roman" w:cs="Times New Roman"/>
          <w:lang w:val="fr-BE"/>
        </w:rPr>
        <w:t>il faudra</w:t>
      </w:r>
      <w:r w:rsidR="006710B9" w:rsidRPr="00913909">
        <w:rPr>
          <w:rFonts w:ascii="Times New Roman" w:hAnsi="Times New Roman" w:cs="Times New Roman"/>
          <w:lang w:val="fr-BE"/>
        </w:rPr>
        <w:t>it</w:t>
      </w:r>
      <w:r w:rsidR="007C780F" w:rsidRPr="00913909">
        <w:rPr>
          <w:rFonts w:ascii="Times New Roman" w:hAnsi="Times New Roman" w:cs="Times New Roman"/>
          <w:lang w:val="fr-BE"/>
        </w:rPr>
        <w:t xml:space="preserve"> encore se préoccuper </w:t>
      </w:r>
      <w:r w:rsidR="006710B9" w:rsidRPr="00913909">
        <w:rPr>
          <w:rFonts w:ascii="Times New Roman" w:hAnsi="Times New Roman" w:cs="Times New Roman"/>
          <w:lang w:val="fr-BE"/>
        </w:rPr>
        <w:t xml:space="preserve">plus largement </w:t>
      </w:r>
      <w:r w:rsidR="007C780F" w:rsidRPr="00913909">
        <w:rPr>
          <w:rFonts w:ascii="Times New Roman" w:hAnsi="Times New Roman" w:cs="Times New Roman"/>
          <w:lang w:val="fr-BE"/>
        </w:rPr>
        <w:t xml:space="preserve">de la manière dont les élèves sont préparés, au fil de leur </w:t>
      </w:r>
      <w:r w:rsidR="008E7C22" w:rsidRPr="00913909">
        <w:rPr>
          <w:rFonts w:ascii="Times New Roman" w:hAnsi="Times New Roman" w:cs="Times New Roman"/>
          <w:lang w:val="fr-BE"/>
        </w:rPr>
        <w:t>cursu</w:t>
      </w:r>
      <w:r w:rsidR="007C780F" w:rsidRPr="00913909">
        <w:rPr>
          <w:rFonts w:ascii="Times New Roman" w:hAnsi="Times New Roman" w:cs="Times New Roman"/>
          <w:lang w:val="fr-BE"/>
        </w:rPr>
        <w:t>s scolaire,</w:t>
      </w:r>
      <w:r w:rsidR="005E7D8F" w:rsidRPr="00913909">
        <w:rPr>
          <w:rFonts w:ascii="Times New Roman" w:hAnsi="Times New Roman" w:cs="Times New Roman"/>
          <w:lang w:val="fr-BE"/>
        </w:rPr>
        <w:t xml:space="preserve"> au développement de stratégies </w:t>
      </w:r>
      <w:r w:rsidR="005E7D8F" w:rsidRPr="00AD6553">
        <w:rPr>
          <w:rFonts w:ascii="Times New Roman" w:hAnsi="Times New Roman" w:cs="Times New Roman"/>
          <w:i/>
          <w:lang w:val="fr-BE"/>
        </w:rPr>
        <w:t>métacognitives</w:t>
      </w:r>
      <w:r w:rsidR="005E7D8F" w:rsidRPr="00913909">
        <w:rPr>
          <w:rFonts w:ascii="Times New Roman" w:hAnsi="Times New Roman" w:cs="Times New Roman"/>
          <w:lang w:val="fr-BE"/>
        </w:rPr>
        <w:t xml:space="preserve"> (</w:t>
      </w:r>
      <w:r w:rsidR="00B82131" w:rsidRPr="00913909">
        <w:rPr>
          <w:rFonts w:ascii="Times New Roman" w:hAnsi="Times New Roman" w:cs="Times New Roman"/>
          <w:lang w:val="fr-BE"/>
        </w:rPr>
        <w:t xml:space="preserve">capacité à se fixer des objectifs, à élaborer </w:t>
      </w:r>
      <w:r w:rsidR="007C780F" w:rsidRPr="00913909">
        <w:rPr>
          <w:rFonts w:ascii="Times New Roman" w:hAnsi="Times New Roman" w:cs="Times New Roman"/>
          <w:lang w:val="fr-BE"/>
        </w:rPr>
        <w:t>un plan de travail, à s’évaluer,</w:t>
      </w:r>
      <w:r w:rsidR="00B82131" w:rsidRPr="00913909">
        <w:rPr>
          <w:rFonts w:ascii="Times New Roman" w:hAnsi="Times New Roman" w:cs="Times New Roman"/>
          <w:lang w:val="fr-BE"/>
        </w:rPr>
        <w:t xml:space="preserve"> etc.</w:t>
      </w:r>
      <w:r w:rsidR="005E7D8F" w:rsidRPr="00913909">
        <w:rPr>
          <w:rFonts w:ascii="Times New Roman" w:hAnsi="Times New Roman" w:cs="Times New Roman"/>
          <w:lang w:val="fr-BE"/>
        </w:rPr>
        <w:t>)</w:t>
      </w:r>
      <w:r w:rsidR="00CE67D9" w:rsidRPr="00913909">
        <w:rPr>
          <w:rFonts w:ascii="Times New Roman" w:hAnsi="Times New Roman" w:cs="Times New Roman"/>
          <w:lang w:val="fr-BE"/>
        </w:rPr>
        <w:t>.</w:t>
      </w:r>
    </w:p>
    <w:p w:rsidR="002E37C4" w:rsidRPr="00913909" w:rsidRDefault="00BB2E00" w:rsidP="00D669F0">
      <w:pPr>
        <w:pStyle w:val="Textebrut"/>
        <w:spacing w:line="360" w:lineRule="auto"/>
        <w:rPr>
          <w:rFonts w:ascii="Times New Roman" w:hAnsi="Times New Roman" w:cs="Times New Roman"/>
          <w:lang w:val="fr-BE"/>
        </w:rPr>
      </w:pPr>
      <w:r w:rsidRPr="00913909">
        <w:rPr>
          <w:rFonts w:ascii="Times New Roman" w:hAnsi="Times New Roman" w:cs="Times New Roman"/>
          <w:lang w:val="fr-BE"/>
        </w:rPr>
        <w:t>Le retour d’expérience de deux dispositifs d’enseignement</w:t>
      </w:r>
      <w:r w:rsidR="00EF1175" w:rsidRPr="00913909">
        <w:rPr>
          <w:rFonts w:ascii="Times New Roman" w:hAnsi="Times New Roman" w:cs="Times New Roman"/>
          <w:lang w:val="fr-BE"/>
        </w:rPr>
        <w:t xml:space="preserve"> des messages médiatiques</w:t>
      </w:r>
      <w:r w:rsidR="00D26AFC" w:rsidRPr="00913909">
        <w:rPr>
          <w:rFonts w:ascii="Times New Roman" w:hAnsi="Times New Roman" w:cs="Times New Roman"/>
          <w:lang w:val="fr-BE"/>
        </w:rPr>
        <w:t xml:space="preserve"> dans le cadr</w:t>
      </w:r>
      <w:r w:rsidR="005E7D8F" w:rsidRPr="00913909">
        <w:rPr>
          <w:rFonts w:ascii="Times New Roman" w:hAnsi="Times New Roman" w:cs="Times New Roman"/>
          <w:lang w:val="fr-BE"/>
        </w:rPr>
        <w:t xml:space="preserve">e d’un cours de communication/expression, présenté dans les pages qui suivent, </w:t>
      </w:r>
      <w:r w:rsidR="00EF1175" w:rsidRPr="00913909">
        <w:rPr>
          <w:rFonts w:ascii="Times New Roman" w:hAnsi="Times New Roman" w:cs="Times New Roman"/>
          <w:lang w:val="fr-BE"/>
        </w:rPr>
        <w:t>mettra</w:t>
      </w:r>
      <w:r w:rsidR="005E7D8F" w:rsidRPr="00913909">
        <w:rPr>
          <w:rFonts w:ascii="Times New Roman" w:hAnsi="Times New Roman" w:cs="Times New Roman"/>
          <w:lang w:val="fr-BE"/>
        </w:rPr>
        <w:t xml:space="preserve"> précisément</w:t>
      </w:r>
      <w:r w:rsidR="00EF1175" w:rsidRPr="00913909">
        <w:rPr>
          <w:rFonts w:ascii="Times New Roman" w:hAnsi="Times New Roman" w:cs="Times New Roman"/>
          <w:lang w:val="fr-BE"/>
        </w:rPr>
        <w:t xml:space="preserve"> en évidence la nécessité d’une réflexion préalable sur le degré d’autonomie de l’apprenant </w:t>
      </w:r>
      <w:r w:rsidR="00F86862" w:rsidRPr="00913909">
        <w:rPr>
          <w:rFonts w:ascii="Times New Roman" w:hAnsi="Times New Roman" w:cs="Times New Roman"/>
          <w:lang w:val="fr-BE"/>
        </w:rPr>
        <w:t>qu’implique</w:t>
      </w:r>
      <w:r w:rsidR="00EF1175" w:rsidRPr="00913909">
        <w:rPr>
          <w:rFonts w:ascii="Times New Roman" w:hAnsi="Times New Roman" w:cs="Times New Roman"/>
          <w:lang w:val="fr-BE"/>
        </w:rPr>
        <w:t xml:space="preserve"> l’activité mais aussi </w:t>
      </w:r>
      <w:r w:rsidR="00C631D2" w:rsidRPr="00913909">
        <w:rPr>
          <w:rFonts w:ascii="Times New Roman" w:hAnsi="Times New Roman" w:cs="Times New Roman"/>
          <w:lang w:val="fr-BE"/>
        </w:rPr>
        <w:t>sur la manière dont le dispositif peut favoriser la mobilisation de stratégies permettant l’apprentissage en autonomie.</w:t>
      </w:r>
      <w:r w:rsidRPr="00913909">
        <w:rPr>
          <w:rFonts w:ascii="Times New Roman" w:hAnsi="Times New Roman" w:cs="Times New Roman"/>
          <w:lang w:val="fr-BE"/>
        </w:rPr>
        <w:t xml:space="preserve"> </w:t>
      </w:r>
    </w:p>
    <w:p w:rsidR="00D449DF" w:rsidRPr="00913909" w:rsidRDefault="00D449DF" w:rsidP="00D449DF">
      <w:pPr>
        <w:pStyle w:val="Textebrut"/>
        <w:spacing w:line="360" w:lineRule="auto"/>
        <w:rPr>
          <w:rFonts w:ascii="Times New Roman" w:hAnsi="Times New Roman" w:cs="Times New Roman"/>
          <w:lang w:val="fr-BE"/>
        </w:rPr>
      </w:pPr>
      <w:r w:rsidRPr="00913909">
        <w:rPr>
          <w:rFonts w:ascii="Times New Roman" w:hAnsi="Times New Roman" w:cs="Times New Roman"/>
          <w:lang w:val="fr-BE"/>
        </w:rPr>
        <w:t>Pour conclure, on ajoutera à cela, mobilisant n</w:t>
      </w:r>
      <w:r w:rsidR="00D801FC" w:rsidRPr="00913909">
        <w:rPr>
          <w:rFonts w:ascii="Times New Roman" w:hAnsi="Times New Roman" w:cs="Times New Roman"/>
          <w:lang w:val="fr-BE"/>
        </w:rPr>
        <w:t xml:space="preserve">otre perspective disciplinaire, l’intérêt d’accroître l’autonomie de l’apprenant en l’amenant à une saisie </w:t>
      </w:r>
      <w:r w:rsidR="00070F0F" w:rsidRPr="00913909">
        <w:rPr>
          <w:rFonts w:ascii="Times New Roman" w:hAnsi="Times New Roman" w:cs="Times New Roman"/>
          <w:lang w:val="fr-BE"/>
        </w:rPr>
        <w:t xml:space="preserve">d’ensemble </w:t>
      </w:r>
      <w:r w:rsidR="00D801FC" w:rsidRPr="00913909">
        <w:rPr>
          <w:rFonts w:ascii="Times New Roman" w:hAnsi="Times New Roman" w:cs="Times New Roman"/>
          <w:lang w:val="fr-BE"/>
        </w:rPr>
        <w:t>des outils du numérique éducatif</w:t>
      </w:r>
      <w:r w:rsidR="00F93DAA" w:rsidRPr="00913909">
        <w:rPr>
          <w:rFonts w:ascii="Times New Roman" w:hAnsi="Times New Roman" w:cs="Times New Roman"/>
          <w:lang w:val="fr-BE"/>
        </w:rPr>
        <w:t xml:space="preserve">, </w:t>
      </w:r>
      <w:r w:rsidR="000A4230" w:rsidRPr="00913909">
        <w:rPr>
          <w:rFonts w:ascii="Times New Roman" w:hAnsi="Times New Roman" w:cs="Times New Roman"/>
          <w:lang w:val="fr-BE"/>
        </w:rPr>
        <w:t>intégrant</w:t>
      </w:r>
      <w:r w:rsidR="00F93DAA" w:rsidRPr="00913909">
        <w:rPr>
          <w:rFonts w:ascii="Times New Roman" w:hAnsi="Times New Roman" w:cs="Times New Roman"/>
          <w:lang w:val="fr-BE"/>
        </w:rPr>
        <w:t xml:space="preserve"> les discours d’accompagnement des dispositifs</w:t>
      </w:r>
      <w:r w:rsidR="00D801FC" w:rsidRPr="00913909">
        <w:rPr>
          <w:rFonts w:ascii="Times New Roman" w:hAnsi="Times New Roman" w:cs="Times New Roman"/>
          <w:lang w:val="fr-BE"/>
        </w:rPr>
        <w:t xml:space="preserve"> ; soit, ainsi que le proposent Tiphaine Carton et Nolwenn </w:t>
      </w:r>
      <w:proofErr w:type="spellStart"/>
      <w:r w:rsidR="00D801FC" w:rsidRPr="00913909">
        <w:rPr>
          <w:rFonts w:ascii="Times New Roman" w:hAnsi="Times New Roman" w:cs="Times New Roman"/>
          <w:lang w:val="fr-BE"/>
        </w:rPr>
        <w:t>Tréhondart</w:t>
      </w:r>
      <w:proofErr w:type="spellEnd"/>
      <w:r w:rsidR="00D801FC" w:rsidRPr="00913909">
        <w:rPr>
          <w:rFonts w:ascii="Times New Roman" w:hAnsi="Times New Roman" w:cs="Times New Roman"/>
          <w:lang w:val="fr-BE"/>
        </w:rPr>
        <w:t xml:space="preserve"> dans un article consacré à la </w:t>
      </w:r>
      <w:proofErr w:type="spellStart"/>
      <w:r w:rsidR="00D801FC" w:rsidRPr="00913909">
        <w:rPr>
          <w:rFonts w:ascii="Times New Roman" w:hAnsi="Times New Roman" w:cs="Times New Roman"/>
          <w:i/>
          <w:lang w:val="fr-BE"/>
        </w:rPr>
        <w:t>plateformisation</w:t>
      </w:r>
      <w:proofErr w:type="spellEnd"/>
      <w:r w:rsidR="00D801FC" w:rsidRPr="00913909">
        <w:rPr>
          <w:rFonts w:ascii="Times New Roman" w:hAnsi="Times New Roman" w:cs="Times New Roman"/>
          <w:i/>
          <w:lang w:val="fr-BE"/>
        </w:rPr>
        <w:t xml:space="preserve"> de l’éducation aux médias</w:t>
      </w:r>
      <w:r w:rsidR="00D801FC" w:rsidRPr="00913909">
        <w:rPr>
          <w:rFonts w:ascii="Times New Roman" w:hAnsi="Times New Roman" w:cs="Times New Roman"/>
          <w:lang w:val="fr-BE"/>
        </w:rPr>
        <w:t xml:space="preserve">, de développer des activités « où l’enseignant et l’éducateur aux médias ne se contentent pas de former à des usages fonctionnels et acritiques, mais questionnent aussi les logiques politiques, économiques, idéologiques et éditoriales des artefacts avec lesquels ils travaillent. » </w:t>
      </w:r>
      <w:r w:rsidR="00D801FC" w:rsidRPr="00913909">
        <w:rPr>
          <w:rFonts w:ascii="Times New Roman" w:hAnsi="Times New Roman" w:cs="Times New Roman"/>
          <w:lang w:val="fr-BE"/>
        </w:rPr>
        <w:fldChar w:fldCharType="begin"/>
      </w:r>
      <w:r w:rsidR="00D801FC" w:rsidRPr="00913909">
        <w:rPr>
          <w:rFonts w:ascii="Times New Roman" w:hAnsi="Times New Roman" w:cs="Times New Roman"/>
          <w:lang w:val="fr-BE"/>
        </w:rPr>
        <w:instrText xml:space="preserve"> ADDIN ZOTERO_ITEM CSL_CITATION {"citationID":"sdsUagi2","properties":{"formattedCitation":"(Carton et Tr\\uc0\\u233{}hondart 2020, paragr. 7)","plainCitation":"(Carton et Tréhondart 2020, paragr. 7)","noteIndex":0},"citationItems":[{"id":8585,"uris":["http://zotero.org/users/917725/items/SHQATMSG"],"uri":["http://zotero.org/users/917725/items/SHQATMSG"],"itemData":{"id":8585,"type":"article-journal","abstract":"&amp;#192; partir d&amp;#8217;une analyse des strat&amp;#233;gies s&amp;#233;miotiques et discours d&amp;#8217;accompagnement, cet article interroge les mod&amp;#232;les de la citoyennet&amp;#233; sugg&amp;#233;r&amp;#233;s par deux plateformes num&amp;#233;riques se r&amp;#233;clamant d&amp;#8217;une mission d&amp;#8217;&amp;#233;ducation aux m&amp;#233;dias et &amp;#224; la citoyennet&amp;#233;&amp;#160;: la plateforme d&amp;#8217;&amp;#201;tat Pix et la plateforme 1jour1Actu de l&amp;#8217;&amp;#233;diteur Milan Presse. L&amp;#8217;article s&amp;#8217;appuie sur le postulat que le design des dispositifs sociotechniques n&amp;#8217;est pas neutre quant &amp;#224; l&amp;#8217;empowerment des &amp;#233;l&amp;#232;ves&amp;#160;et rev&amp;#234;t une dimension id&amp;#233;ologique dont la conscientisation semble n&amp;#233;cessaire en contexte p&amp;#233;dagogique.","container-title":"Spirale - Revue de recherches en education","ISSN":"0994-3722","issue":"3","language":"fr","note":"publisher: Association pour la Recherche en Éducation","page":"77-94","source":"www.cairn.info","title":"La plateformisation de l’éducation aux médias et à la citoyenneté","volume":"N° 66","author":[{"family":"Carton","given":"Tiphaine"},{"family":"Tréhondart","given":"Nolwenn"}],"issued":{"date-parts":[["2020",10,1]]}},"locator":"7","label":"paragraph"}],"schema":"https://github.com/citation-style-language/schema/raw/master/csl-citation.json"} </w:instrText>
      </w:r>
      <w:r w:rsidR="00D801FC" w:rsidRPr="00913909">
        <w:rPr>
          <w:rFonts w:ascii="Times New Roman" w:hAnsi="Times New Roman" w:cs="Times New Roman"/>
          <w:lang w:val="fr-BE"/>
        </w:rPr>
        <w:fldChar w:fldCharType="separate"/>
      </w:r>
      <w:r w:rsidR="00D801FC" w:rsidRPr="00913909">
        <w:rPr>
          <w:rFonts w:ascii="Times New Roman" w:hAnsi="Times New Roman" w:cs="Times New Roman"/>
          <w:szCs w:val="24"/>
          <w:lang w:val="fr-BE"/>
        </w:rPr>
        <w:t>(Carton et Tréhondart 2020, paragr. 7)</w:t>
      </w:r>
      <w:r w:rsidR="00D801FC" w:rsidRPr="00913909">
        <w:rPr>
          <w:rFonts w:ascii="Times New Roman" w:hAnsi="Times New Roman" w:cs="Times New Roman"/>
          <w:lang w:val="fr-BE"/>
        </w:rPr>
        <w:fldChar w:fldCharType="end"/>
      </w:r>
      <w:r w:rsidR="008F699A" w:rsidRPr="00913909">
        <w:rPr>
          <w:rFonts w:ascii="Times New Roman" w:hAnsi="Times New Roman" w:cs="Times New Roman"/>
          <w:lang w:val="fr-BE"/>
        </w:rPr>
        <w:t>. L’appréhension des</w:t>
      </w:r>
      <w:r w:rsidR="00F93DAA" w:rsidRPr="00913909">
        <w:rPr>
          <w:rFonts w:ascii="Times New Roman" w:hAnsi="Times New Roman" w:cs="Times New Roman"/>
          <w:lang w:val="fr-BE"/>
        </w:rPr>
        <w:t xml:space="preserve"> médias informatisés comme un complexe associant </w:t>
      </w:r>
      <w:r w:rsidR="00F93DAA" w:rsidRPr="00913909">
        <w:rPr>
          <w:rFonts w:ascii="Times New Roman" w:hAnsi="Times New Roman" w:cs="Times New Roman"/>
          <w:i/>
          <w:lang w:val="fr-BE"/>
        </w:rPr>
        <w:t>textes</w:t>
      </w:r>
      <w:r w:rsidR="00F93DAA" w:rsidRPr="00913909">
        <w:rPr>
          <w:rFonts w:ascii="Times New Roman" w:hAnsi="Times New Roman" w:cs="Times New Roman"/>
          <w:lang w:val="fr-BE"/>
        </w:rPr>
        <w:t xml:space="preserve">, </w:t>
      </w:r>
      <w:r w:rsidR="00DA4B12" w:rsidRPr="00913909">
        <w:rPr>
          <w:rFonts w:ascii="Times New Roman" w:hAnsi="Times New Roman" w:cs="Times New Roman"/>
          <w:i/>
          <w:lang w:val="fr-BE"/>
        </w:rPr>
        <w:t>techniques</w:t>
      </w:r>
      <w:r w:rsidR="00DA4B12" w:rsidRPr="00913909">
        <w:rPr>
          <w:rFonts w:ascii="Times New Roman" w:hAnsi="Times New Roman" w:cs="Times New Roman"/>
          <w:lang w:val="fr-BE"/>
        </w:rPr>
        <w:t xml:space="preserve"> et </w:t>
      </w:r>
      <w:r w:rsidR="00DA4B12" w:rsidRPr="00913909">
        <w:rPr>
          <w:rFonts w:ascii="Times New Roman" w:hAnsi="Times New Roman" w:cs="Times New Roman"/>
          <w:i/>
          <w:lang w:val="fr-BE"/>
        </w:rPr>
        <w:t>usages</w:t>
      </w:r>
      <w:r w:rsidR="00F93DAA" w:rsidRPr="00913909">
        <w:rPr>
          <w:rFonts w:ascii="Times New Roman" w:hAnsi="Times New Roman" w:cs="Times New Roman"/>
          <w:lang w:val="fr-BE"/>
        </w:rPr>
        <w:t xml:space="preserve"> </w:t>
      </w:r>
      <w:r w:rsidR="00F93DAA" w:rsidRPr="00913909">
        <w:rPr>
          <w:rFonts w:ascii="Times New Roman" w:hAnsi="Times New Roman" w:cs="Times New Roman"/>
          <w:lang w:val="fr-BE"/>
        </w:rPr>
        <w:fldChar w:fldCharType="begin"/>
      </w:r>
      <w:r w:rsidR="00F93DAA" w:rsidRPr="00913909">
        <w:rPr>
          <w:rFonts w:ascii="Times New Roman" w:hAnsi="Times New Roman" w:cs="Times New Roman"/>
          <w:lang w:val="fr-BE"/>
        </w:rPr>
        <w:instrText xml:space="preserve"> ADDIN ZOTERO_ITEM CSL_CITATION {"citationID":"VfnZgkyG","properties":{"formattedCitation":"(Davallon et al. [2003] 2013)","plainCitation":"(Davallon et al. [2003] 2013)","noteIndex":0},"citationItems":[{"id":1880,"uris":["http://zotero.org/users/917725/items/F8TDHKIX"],"uri":["http://zotero.org/users/917725/items/F8TDHKIX"],"itemData":{"id":1880,"type":"book","abstract":"Quelles relations peut-il y avoir entre un ensemble de « sites Web » reliés à la Bibliothèque nationale de France, des messages électroniques échangés par un groupe d’étudiants, un corpus de « textes Web » sur les OGM (organismes génétiquement modifiés) ou bien encore les pratiques de travail dans une bibliothèque en cours de réaménagement ?  Ces différents « terrains d’analyse » ont en commun d’être des lieux privilégiés pour observer la circulation des formes écrites dans la société et la façon dont cette circulation participe de la médiation sociale des savoirs. Issu d’une série de questionnements sur les transformations contemporaines du rapport à l’écrit, le projet de ce livre se fonde sur un ensemble de recherches individuelles et collectives menées depuis plusieurs années autour de « l’écrit d’écran », des « écrits de réseaux » et de l’analyse des usages des nouvelles technologies liées aux institutions culturelles. Recherches mues par le même souci de cerner et de comprendre les interrelations tissées entre le technique, le sémiotique et les usages des médias informatisés.","collection-title":"Études et recherche","event-place":"Paris","ISBN":"978-2-84246-162-1","language":"fr","note":"original-date: 2003","number-of-pages":"350","publisher":"Éditions de la Bibliothèque publique d’information","publisher-place":"Paris","source":"OpenEdition Books","title":"Lire, écrire, récrire : Objets, signes et pratiques des médias informatisés","title-short":"Lire, écrire, récrire","URL":"http://books.openedition.org/bibpompidou/394","author":[{"family":"Davallon","given":"Jean"},{"family":"Després-Lonnet","given":"Marie"},{"family":"Jeanneret","given":"Yves"},{"family":"Le Marec","given":"Joëlle"},{"family":"Souchier","given":"Emmanuël"}],"accessed":{"date-parts":[["2016",1,19]]},"issued":{"date-parts":[["2013"]]}}}],"schema":"https://github.com/citation-style-language/schema/raw/master/csl-citation.json"} </w:instrText>
      </w:r>
      <w:r w:rsidR="00F93DAA" w:rsidRPr="00913909">
        <w:rPr>
          <w:rFonts w:ascii="Times New Roman" w:hAnsi="Times New Roman" w:cs="Times New Roman"/>
          <w:lang w:val="fr-BE"/>
        </w:rPr>
        <w:fldChar w:fldCharType="separate"/>
      </w:r>
      <w:r w:rsidR="00F93DAA" w:rsidRPr="00913909">
        <w:rPr>
          <w:rFonts w:ascii="Times New Roman" w:hAnsi="Times New Roman" w:cs="Times New Roman"/>
          <w:lang w:val="fr-BE"/>
        </w:rPr>
        <w:t>(Davallon et al. [2003] 2013)</w:t>
      </w:r>
      <w:r w:rsidR="00F93DAA" w:rsidRPr="00913909">
        <w:rPr>
          <w:rFonts w:ascii="Times New Roman" w:hAnsi="Times New Roman" w:cs="Times New Roman"/>
          <w:lang w:val="fr-BE"/>
        </w:rPr>
        <w:fldChar w:fldCharType="end"/>
      </w:r>
      <w:r w:rsidR="008F699A" w:rsidRPr="00913909">
        <w:rPr>
          <w:rFonts w:ascii="Times New Roman" w:hAnsi="Times New Roman" w:cs="Times New Roman"/>
          <w:lang w:val="fr-BE"/>
        </w:rPr>
        <w:t>,</w:t>
      </w:r>
      <w:r w:rsidR="00C61292" w:rsidRPr="00913909">
        <w:rPr>
          <w:rFonts w:ascii="Times New Roman" w:hAnsi="Times New Roman" w:cs="Times New Roman"/>
          <w:lang w:val="fr-BE"/>
        </w:rPr>
        <w:t xml:space="preserve"> ouvrant la possibilité d’une interrogation</w:t>
      </w:r>
      <w:r w:rsidR="008F699A" w:rsidRPr="00913909">
        <w:rPr>
          <w:rFonts w:ascii="Times New Roman" w:hAnsi="Times New Roman" w:cs="Times New Roman"/>
          <w:lang w:val="fr-BE"/>
        </w:rPr>
        <w:t xml:space="preserve"> </w:t>
      </w:r>
      <w:r w:rsidR="0011373C">
        <w:rPr>
          <w:rFonts w:ascii="Times New Roman" w:hAnsi="Times New Roman" w:cs="Times New Roman"/>
          <w:lang w:val="fr-BE"/>
        </w:rPr>
        <w:t xml:space="preserve">critique </w:t>
      </w:r>
      <w:bookmarkStart w:id="0" w:name="_GoBack"/>
      <w:bookmarkEnd w:id="0"/>
      <w:r w:rsidR="008F699A" w:rsidRPr="00913909">
        <w:rPr>
          <w:rFonts w:ascii="Times New Roman" w:hAnsi="Times New Roman" w:cs="Times New Roman"/>
          <w:lang w:val="fr-BE"/>
        </w:rPr>
        <w:t xml:space="preserve">des </w:t>
      </w:r>
      <w:r w:rsidRPr="00913909">
        <w:rPr>
          <w:rFonts w:ascii="Times New Roman" w:hAnsi="Times New Roman" w:cs="Times New Roman"/>
          <w:lang w:val="fr-BE"/>
        </w:rPr>
        <w:t xml:space="preserve">représentations qu’ils </w:t>
      </w:r>
      <w:r w:rsidR="008F699A" w:rsidRPr="00913909">
        <w:rPr>
          <w:rFonts w:ascii="Times New Roman" w:hAnsi="Times New Roman" w:cs="Times New Roman"/>
          <w:lang w:val="fr-BE"/>
        </w:rPr>
        <w:t xml:space="preserve">véhiculent, </w:t>
      </w:r>
      <w:r w:rsidRPr="00913909">
        <w:rPr>
          <w:rFonts w:ascii="Times New Roman" w:hAnsi="Times New Roman" w:cs="Times New Roman"/>
          <w:lang w:val="fr-BE"/>
        </w:rPr>
        <w:t>de la manière dont ils suggèrent des usages</w:t>
      </w:r>
      <w:r w:rsidR="008F699A" w:rsidRPr="00913909">
        <w:rPr>
          <w:rFonts w:ascii="Times New Roman" w:hAnsi="Times New Roman" w:cs="Times New Roman"/>
          <w:lang w:val="fr-BE"/>
        </w:rPr>
        <w:t xml:space="preserve"> et, en situation d’enseignement, </w:t>
      </w:r>
      <w:r w:rsidR="00264867" w:rsidRPr="00913909">
        <w:rPr>
          <w:rFonts w:ascii="Times New Roman" w:hAnsi="Times New Roman" w:cs="Times New Roman"/>
          <w:lang w:val="fr-BE"/>
        </w:rPr>
        <w:t>orient</w:t>
      </w:r>
      <w:r w:rsidRPr="00913909">
        <w:rPr>
          <w:rFonts w:ascii="Times New Roman" w:hAnsi="Times New Roman" w:cs="Times New Roman"/>
          <w:lang w:val="fr-BE"/>
        </w:rPr>
        <w:t xml:space="preserve">ent </w:t>
      </w:r>
      <w:r w:rsidR="00264867" w:rsidRPr="00913909">
        <w:rPr>
          <w:rFonts w:ascii="Times New Roman" w:hAnsi="Times New Roman" w:cs="Times New Roman"/>
          <w:lang w:val="fr-BE"/>
        </w:rPr>
        <w:t>le rapport au savoir</w:t>
      </w:r>
      <w:r w:rsidR="00AF028F" w:rsidRPr="00913909">
        <w:rPr>
          <w:rFonts w:ascii="Times New Roman" w:hAnsi="Times New Roman" w:cs="Times New Roman"/>
          <w:lang w:val="fr-BE"/>
        </w:rPr>
        <w:t xml:space="preserve">, est en effet nécessaire au développement d’une réflexivité qui </w:t>
      </w:r>
      <w:r w:rsidR="00520402" w:rsidRPr="00913909">
        <w:rPr>
          <w:rFonts w:ascii="Times New Roman" w:hAnsi="Times New Roman" w:cs="Times New Roman"/>
          <w:lang w:val="fr-BE"/>
        </w:rPr>
        <w:t>apparaît comme l’une des clés déterminante</w:t>
      </w:r>
      <w:r w:rsidR="00F9498B" w:rsidRPr="00913909">
        <w:rPr>
          <w:rFonts w:ascii="Times New Roman" w:hAnsi="Times New Roman" w:cs="Times New Roman"/>
          <w:lang w:val="fr-BE"/>
        </w:rPr>
        <w:t>s</w:t>
      </w:r>
      <w:r w:rsidR="00520402" w:rsidRPr="00913909">
        <w:rPr>
          <w:rFonts w:ascii="Times New Roman" w:hAnsi="Times New Roman" w:cs="Times New Roman"/>
          <w:lang w:val="fr-BE"/>
        </w:rPr>
        <w:t xml:space="preserve"> de toute</w:t>
      </w:r>
      <w:r w:rsidR="00AF028F" w:rsidRPr="00913909">
        <w:rPr>
          <w:rFonts w:ascii="Times New Roman" w:hAnsi="Times New Roman" w:cs="Times New Roman"/>
          <w:lang w:val="fr-BE"/>
        </w:rPr>
        <w:t xml:space="preserve"> autonomisation </w:t>
      </w:r>
      <w:r w:rsidR="005F35EA" w:rsidRPr="00913909">
        <w:rPr>
          <w:rFonts w:ascii="Times New Roman" w:hAnsi="Times New Roman" w:cs="Times New Roman"/>
          <w:lang w:val="fr-BE"/>
        </w:rPr>
        <w:t>future</w:t>
      </w:r>
      <w:r w:rsidR="00AF028F" w:rsidRPr="00913909">
        <w:rPr>
          <w:rFonts w:ascii="Times New Roman" w:hAnsi="Times New Roman" w:cs="Times New Roman"/>
          <w:lang w:val="fr-BE"/>
        </w:rPr>
        <w:t>.</w:t>
      </w:r>
    </w:p>
    <w:p w:rsidR="00170A55" w:rsidRPr="00913909" w:rsidRDefault="00170A55" w:rsidP="00D823FB">
      <w:pPr>
        <w:pStyle w:val="Titre1"/>
      </w:pPr>
      <w:r w:rsidRPr="00913909">
        <w:t>Bibliographie</w:t>
      </w:r>
    </w:p>
    <w:p w:rsidR="00F93DAA" w:rsidRPr="00913909" w:rsidRDefault="00170A55" w:rsidP="00F93DAA">
      <w:pPr>
        <w:pStyle w:val="Bibliographie"/>
        <w:rPr>
          <w:rFonts w:cs="Times New Roman"/>
          <w:lang w:val="fr-BE"/>
        </w:rPr>
      </w:pPr>
      <w:r w:rsidRPr="00913909">
        <w:rPr>
          <w:rFonts w:cs="Times New Roman"/>
          <w:lang w:val="fr-BE"/>
        </w:rPr>
        <w:fldChar w:fldCharType="begin"/>
      </w:r>
      <w:r w:rsidRPr="00913909">
        <w:rPr>
          <w:rFonts w:cs="Times New Roman"/>
          <w:lang w:val="fr-BE"/>
        </w:rPr>
        <w:instrText xml:space="preserve"> ADDIN ZOTERO_BIBL {"uncited":[],"omitted":[],"custom":[]} CSL_BIBLIOGRAPHY </w:instrText>
      </w:r>
      <w:r w:rsidRPr="00913909">
        <w:rPr>
          <w:rFonts w:cs="Times New Roman"/>
          <w:lang w:val="fr-BE"/>
        </w:rPr>
        <w:fldChar w:fldCharType="separate"/>
      </w:r>
      <w:r w:rsidR="00F93DAA" w:rsidRPr="00913909">
        <w:rPr>
          <w:rFonts w:cs="Times New Roman"/>
          <w:lang w:val="fr-BE"/>
        </w:rPr>
        <w:t xml:space="preserve">Amadieu, Franck, et André Tricot. (2014) 2020. </w:t>
      </w:r>
      <w:r w:rsidR="00F93DAA" w:rsidRPr="00913909">
        <w:rPr>
          <w:rFonts w:cs="Times New Roman"/>
          <w:i/>
          <w:iCs/>
          <w:lang w:val="fr-BE"/>
        </w:rPr>
        <w:t>Apprendre avec le numérique</w:t>
      </w:r>
      <w:r w:rsidR="00F93DAA" w:rsidRPr="00913909">
        <w:rPr>
          <w:rFonts w:cs="Times New Roman"/>
          <w:lang w:val="fr-BE"/>
        </w:rPr>
        <w:t>. s.l.: Retz.</w:t>
      </w:r>
    </w:p>
    <w:p w:rsidR="00F93DAA" w:rsidRPr="00913909" w:rsidRDefault="00F93DAA" w:rsidP="00F93DAA">
      <w:pPr>
        <w:pStyle w:val="Bibliographie"/>
        <w:rPr>
          <w:rFonts w:cs="Times New Roman"/>
          <w:lang w:val="fr-BE"/>
        </w:rPr>
      </w:pPr>
      <w:r w:rsidRPr="00913909">
        <w:rPr>
          <w:rFonts w:cs="Times New Roman"/>
          <w:lang w:val="fr-BE"/>
        </w:rPr>
        <w:t xml:space="preserve">Carton, Tiphaine, et Nolwenn Tréhondart. 2020. « La plateformisation de l’éducation aux médias et à la citoyenneté ». </w:t>
      </w:r>
      <w:r w:rsidRPr="00913909">
        <w:rPr>
          <w:rFonts w:cs="Times New Roman"/>
          <w:i/>
          <w:iCs/>
          <w:lang w:val="fr-BE"/>
        </w:rPr>
        <w:t>Spirale - Revue de recherches en education</w:t>
      </w:r>
      <w:r w:rsidRPr="00913909">
        <w:rPr>
          <w:rFonts w:cs="Times New Roman"/>
          <w:lang w:val="fr-BE"/>
        </w:rPr>
        <w:t xml:space="preserve"> N° 66 (3): 77‑94.</w:t>
      </w:r>
    </w:p>
    <w:p w:rsidR="00F93DAA" w:rsidRPr="00913909" w:rsidRDefault="00F93DAA" w:rsidP="00F93DAA">
      <w:pPr>
        <w:pStyle w:val="Bibliographie"/>
        <w:rPr>
          <w:rFonts w:cs="Times New Roman"/>
          <w:lang w:val="fr-BE"/>
        </w:rPr>
      </w:pPr>
      <w:r w:rsidRPr="00913909">
        <w:rPr>
          <w:rFonts w:cs="Times New Roman"/>
          <w:lang w:val="fr-BE"/>
        </w:rPr>
        <w:t xml:space="preserve">Cordier, Anne. 2020. « Médiatiser la recherche en SIC sur « le numérique en éducation » ». </w:t>
      </w:r>
      <w:r w:rsidRPr="00913909">
        <w:rPr>
          <w:rFonts w:cs="Times New Roman"/>
          <w:i/>
          <w:iCs/>
          <w:lang w:val="fr-BE"/>
        </w:rPr>
        <w:t>Revue française des sciences de l’information et de la communication</w:t>
      </w:r>
      <w:r w:rsidRPr="00913909">
        <w:rPr>
          <w:rFonts w:cs="Times New Roman"/>
          <w:lang w:val="fr-BE"/>
        </w:rPr>
        <w:t>, n</w:t>
      </w:r>
      <w:r w:rsidRPr="00913909">
        <w:rPr>
          <w:rFonts w:cs="Times New Roman"/>
          <w:vertAlign w:val="superscript"/>
          <w:lang w:val="fr-BE"/>
        </w:rPr>
        <w:t>o</w:t>
      </w:r>
      <w:r w:rsidRPr="00913909">
        <w:rPr>
          <w:rFonts w:cs="Times New Roman"/>
          <w:lang w:val="fr-BE"/>
        </w:rPr>
        <w:t xml:space="preserve"> 20 (septembre). https://doi.org/10.4000/rfsic.9478.</w:t>
      </w:r>
    </w:p>
    <w:p w:rsidR="00F93DAA" w:rsidRPr="00913909" w:rsidRDefault="00F93DAA" w:rsidP="00F93DAA">
      <w:pPr>
        <w:pStyle w:val="Bibliographie"/>
        <w:rPr>
          <w:rFonts w:cs="Times New Roman"/>
          <w:lang w:val="fr-BE"/>
        </w:rPr>
      </w:pPr>
      <w:r w:rsidRPr="00913909">
        <w:rPr>
          <w:rFonts w:cs="Times New Roman"/>
          <w:lang w:val="fr-BE"/>
        </w:rPr>
        <w:t xml:space="preserve">Davallon, Jean, Marie Després-Lonnet, Yves Jeanneret, Joëlle Le Marec, et Emmanuël Souchier. (2003) 2013. </w:t>
      </w:r>
      <w:r w:rsidRPr="00913909">
        <w:rPr>
          <w:rFonts w:cs="Times New Roman"/>
          <w:i/>
          <w:iCs/>
          <w:lang w:val="fr-BE"/>
        </w:rPr>
        <w:t>Lire, écrire, récrire : Objets, signes et pratiques des médias informatisés</w:t>
      </w:r>
      <w:r w:rsidRPr="00913909">
        <w:rPr>
          <w:rFonts w:cs="Times New Roman"/>
          <w:lang w:val="fr-BE"/>
        </w:rPr>
        <w:t xml:space="preserve">. Études et </w:t>
      </w:r>
      <w:r w:rsidRPr="00913909">
        <w:rPr>
          <w:rFonts w:cs="Times New Roman"/>
          <w:lang w:val="fr-BE"/>
        </w:rPr>
        <w:lastRenderedPageBreak/>
        <w:t>recherche. Paris: Éditions de la Bibliothèque publique d’information. http://books.openedition.org/bibpompidou/394.</w:t>
      </w:r>
    </w:p>
    <w:p w:rsidR="00F93DAA" w:rsidRPr="00913909" w:rsidRDefault="00F93DAA" w:rsidP="00F93DAA">
      <w:pPr>
        <w:pStyle w:val="Bibliographie"/>
        <w:rPr>
          <w:rFonts w:cs="Times New Roman"/>
          <w:lang w:val="fr-BE"/>
        </w:rPr>
      </w:pPr>
      <w:r w:rsidRPr="00913909">
        <w:rPr>
          <w:rFonts w:cs="Times New Roman"/>
          <w:lang w:val="fr-BE"/>
        </w:rPr>
        <w:t xml:space="preserve">Denouël, Julie. 2017. « L’école, le numérique et l’autonomie des élèves ». </w:t>
      </w:r>
      <w:r w:rsidRPr="00913909">
        <w:rPr>
          <w:rFonts w:cs="Times New Roman"/>
          <w:i/>
          <w:iCs/>
          <w:lang w:val="fr-BE"/>
        </w:rPr>
        <w:t>Hermes, La Revue</w:t>
      </w:r>
      <w:r w:rsidRPr="00913909">
        <w:rPr>
          <w:rFonts w:cs="Times New Roman"/>
          <w:lang w:val="fr-BE"/>
        </w:rPr>
        <w:t xml:space="preserve"> n° 78 (2): 80‑86.</w:t>
      </w:r>
    </w:p>
    <w:p w:rsidR="00F93DAA" w:rsidRPr="00913909" w:rsidRDefault="00F93DAA" w:rsidP="00F93DAA">
      <w:pPr>
        <w:pStyle w:val="Bibliographie"/>
        <w:rPr>
          <w:rFonts w:cs="Times New Roman"/>
          <w:lang w:val="fr-BE"/>
        </w:rPr>
      </w:pPr>
      <w:r w:rsidRPr="00913909">
        <w:rPr>
          <w:rFonts w:cs="Times New Roman"/>
          <w:lang w:val="fr-BE"/>
        </w:rPr>
        <w:t xml:space="preserve">Fluckiger, Cédric. 2008. « L’école à l’épreuve de la culture numérique des élèves ». </w:t>
      </w:r>
      <w:r w:rsidRPr="00913909">
        <w:rPr>
          <w:rFonts w:cs="Times New Roman"/>
          <w:i/>
          <w:iCs/>
          <w:lang w:val="fr-BE"/>
        </w:rPr>
        <w:t>Revue française de pédagogie. Recherches en éducation</w:t>
      </w:r>
      <w:r w:rsidRPr="00913909">
        <w:rPr>
          <w:rFonts w:cs="Times New Roman"/>
          <w:lang w:val="fr-BE"/>
        </w:rPr>
        <w:t>, n</w:t>
      </w:r>
      <w:r w:rsidRPr="00913909">
        <w:rPr>
          <w:rFonts w:cs="Times New Roman"/>
          <w:vertAlign w:val="superscript"/>
          <w:lang w:val="fr-BE"/>
        </w:rPr>
        <w:t>o</w:t>
      </w:r>
      <w:r w:rsidRPr="00913909">
        <w:rPr>
          <w:rFonts w:cs="Times New Roman"/>
          <w:lang w:val="fr-BE"/>
        </w:rPr>
        <w:t xml:space="preserve"> 163 (juin): 51‑61. https://doi.org/10.4000/rfp.978.</w:t>
      </w:r>
    </w:p>
    <w:p w:rsidR="00F93DAA" w:rsidRPr="00913909" w:rsidRDefault="00F93DAA" w:rsidP="00F93DAA">
      <w:pPr>
        <w:pStyle w:val="Bibliographie"/>
        <w:rPr>
          <w:rFonts w:cs="Times New Roman"/>
          <w:lang w:val="fr-BE"/>
        </w:rPr>
      </w:pPr>
      <w:r w:rsidRPr="00913909">
        <w:rPr>
          <w:rFonts w:cs="Times New Roman"/>
          <w:lang w:val="fr-BE"/>
        </w:rPr>
        <w:t xml:space="preserve">Jeanneret, Yves. 2000. « Autre chose qu’un discours, davantage qu’un accompagnement, mieux qu’une résistance ». </w:t>
      </w:r>
      <w:r w:rsidRPr="00913909">
        <w:rPr>
          <w:rFonts w:cs="Times New Roman"/>
          <w:i/>
          <w:iCs/>
          <w:lang w:val="fr-BE"/>
        </w:rPr>
        <w:t>Terminal</w:t>
      </w:r>
      <w:r w:rsidRPr="00913909">
        <w:rPr>
          <w:rFonts w:cs="Times New Roman"/>
          <w:lang w:val="fr-BE"/>
        </w:rPr>
        <w:t>, n</w:t>
      </w:r>
      <w:r w:rsidRPr="00913909">
        <w:rPr>
          <w:rFonts w:cs="Times New Roman"/>
          <w:vertAlign w:val="superscript"/>
          <w:lang w:val="fr-BE"/>
        </w:rPr>
        <w:t>o</w:t>
      </w:r>
      <w:r w:rsidRPr="00913909">
        <w:rPr>
          <w:rFonts w:cs="Times New Roman"/>
          <w:lang w:val="fr-BE"/>
        </w:rPr>
        <w:t xml:space="preserve"> 85: 97‑107.</w:t>
      </w:r>
    </w:p>
    <w:p w:rsidR="00F93DAA" w:rsidRPr="00913909" w:rsidRDefault="00F93DAA" w:rsidP="00F93DAA">
      <w:pPr>
        <w:pStyle w:val="Bibliographie"/>
        <w:rPr>
          <w:rFonts w:cs="Times New Roman"/>
        </w:rPr>
      </w:pPr>
      <w:r w:rsidRPr="00913909">
        <w:rPr>
          <w:rFonts w:cs="Times New Roman"/>
          <w:lang w:val="fr-BE"/>
        </w:rPr>
        <w:t xml:space="preserve">Souchier, Emmanuël, et Yves Jeanneret. 1999. « Pour une poétique de «l’écrit d’écran» ». </w:t>
      </w:r>
      <w:r w:rsidRPr="00913909">
        <w:rPr>
          <w:rFonts w:cs="Times New Roman"/>
          <w:i/>
          <w:iCs/>
        </w:rPr>
        <w:t>Xoana</w:t>
      </w:r>
      <w:r w:rsidRPr="00913909">
        <w:rPr>
          <w:rFonts w:cs="Times New Roman"/>
        </w:rPr>
        <w:t>, n</w:t>
      </w:r>
      <w:r w:rsidRPr="00913909">
        <w:rPr>
          <w:rFonts w:cs="Times New Roman"/>
          <w:vertAlign w:val="superscript"/>
        </w:rPr>
        <w:t>o</w:t>
      </w:r>
      <w:r w:rsidRPr="00913909">
        <w:rPr>
          <w:rFonts w:cs="Times New Roman"/>
        </w:rPr>
        <w:t xml:space="preserve"> 6/7: 97‑107.</w:t>
      </w:r>
    </w:p>
    <w:p w:rsidR="00170A55" w:rsidRPr="00913909" w:rsidRDefault="00170A55" w:rsidP="00455F36">
      <w:pPr>
        <w:tabs>
          <w:tab w:val="left" w:pos="2977"/>
          <w:tab w:val="left" w:pos="3261"/>
        </w:tabs>
        <w:rPr>
          <w:rFonts w:cs="Times New Roman"/>
          <w:lang w:val="fr-BE"/>
        </w:rPr>
      </w:pPr>
      <w:r w:rsidRPr="00913909">
        <w:rPr>
          <w:rFonts w:cs="Times New Roman"/>
          <w:lang w:val="fr-BE"/>
        </w:rPr>
        <w:fldChar w:fldCharType="end"/>
      </w:r>
    </w:p>
    <w:sectPr w:rsidR="00170A55" w:rsidRPr="0091390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10" w:rsidRDefault="004A4B10" w:rsidP="005764B7">
      <w:pPr>
        <w:spacing w:after="0" w:line="240" w:lineRule="auto"/>
      </w:pPr>
      <w:r>
        <w:separator/>
      </w:r>
    </w:p>
  </w:endnote>
  <w:endnote w:type="continuationSeparator" w:id="0">
    <w:p w:rsidR="004A4B10" w:rsidRDefault="004A4B10" w:rsidP="005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10" w:rsidRDefault="004A4B10" w:rsidP="005764B7">
      <w:pPr>
        <w:spacing w:after="0" w:line="240" w:lineRule="auto"/>
      </w:pPr>
      <w:r>
        <w:separator/>
      </w:r>
    </w:p>
  </w:footnote>
  <w:footnote w:type="continuationSeparator" w:id="0">
    <w:p w:rsidR="004A4B10" w:rsidRDefault="004A4B10" w:rsidP="005764B7">
      <w:pPr>
        <w:spacing w:after="0" w:line="240" w:lineRule="auto"/>
      </w:pPr>
      <w:r>
        <w:continuationSeparator/>
      </w:r>
    </w:p>
  </w:footnote>
  <w:footnote w:id="1">
    <w:p w:rsidR="00496652" w:rsidRPr="00496652" w:rsidRDefault="00496652" w:rsidP="00496652">
      <w:pPr>
        <w:pStyle w:val="Notedebasdepage"/>
        <w:rPr>
          <w:lang w:val="fr-BE"/>
        </w:rPr>
      </w:pPr>
      <w:r>
        <w:rPr>
          <w:rStyle w:val="Appelnotedebasdep"/>
        </w:rPr>
        <w:footnoteRef/>
      </w:r>
      <w:r w:rsidRPr="00496652">
        <w:rPr>
          <w:lang w:val="fr-BE"/>
        </w:rPr>
        <w:t xml:space="preserve"> </w:t>
      </w:r>
      <w:r w:rsidR="00B467C7">
        <w:rPr>
          <w:lang w:val="fr-BE"/>
        </w:rPr>
        <w:t>O</w:t>
      </w:r>
      <w:r>
        <w:rPr>
          <w:lang w:val="fr-BE"/>
        </w:rPr>
        <w:t xml:space="preserve">n les trouvera, par exemple, dans les para- et </w:t>
      </w:r>
      <w:proofErr w:type="spellStart"/>
      <w:r>
        <w:rPr>
          <w:lang w:val="fr-BE"/>
        </w:rPr>
        <w:t>péritexte</w:t>
      </w:r>
      <w:proofErr w:type="spellEnd"/>
      <w:r>
        <w:rPr>
          <w:lang w:val="fr-BE"/>
        </w:rPr>
        <w:t xml:space="preserve"> des dispositifs informatisés</w:t>
      </w:r>
      <w:r w:rsidR="00B467C7">
        <w:rPr>
          <w:lang w:val="fr-BE"/>
        </w:rPr>
        <w:t xml:space="preserve"> (textes explicatifs, rubriques « À propos », etc.), dans les campagnes de communication (interview d’in responsable, campagnes de lancement d’un nouveau produit, etc.) </w:t>
      </w:r>
      <w:r>
        <w:rPr>
          <w:lang w:val="fr-BE"/>
        </w:rPr>
        <w:t>mais également dans les textes institutionnels</w:t>
      </w:r>
      <w:r w:rsidR="00B467C7">
        <w:rPr>
          <w:lang w:val="fr-BE"/>
        </w:rPr>
        <w:t xml:space="preserve"> qui prescrivent des usages suivant des finalités spécifiques</w:t>
      </w:r>
      <w:r>
        <w:rPr>
          <w:lang w:val="fr-BE"/>
        </w:rPr>
        <w:t>.</w:t>
      </w:r>
    </w:p>
  </w:footnote>
  <w:footnote w:id="2">
    <w:p w:rsidR="003E0145" w:rsidRPr="004E1E0B" w:rsidRDefault="003E0145" w:rsidP="00074066">
      <w:pPr>
        <w:pStyle w:val="Notedebasdepage"/>
        <w:rPr>
          <w:lang w:val="fr-BE"/>
        </w:rPr>
      </w:pPr>
      <w:r>
        <w:rPr>
          <w:rStyle w:val="Appelnotedebasdep"/>
        </w:rPr>
        <w:footnoteRef/>
      </w:r>
      <w:r w:rsidRPr="004E1E0B">
        <w:rPr>
          <w:lang w:val="fr-BE"/>
        </w:rPr>
        <w:t xml:space="preserve"> </w:t>
      </w:r>
      <w:r>
        <w:rPr>
          <w:lang w:val="fr-BE"/>
        </w:rPr>
        <w:t xml:space="preserve">Voir par exemple l’approche proposée dans le projet </w:t>
      </w:r>
      <w:r w:rsidR="008A402B">
        <w:rPr>
          <w:lang w:val="fr-BE"/>
        </w:rPr>
        <w:t xml:space="preserve">interrégional sous label </w:t>
      </w:r>
      <w:r>
        <w:rPr>
          <w:lang w:val="fr-BE"/>
        </w:rPr>
        <w:t xml:space="preserve">européen </w:t>
      </w:r>
      <w:proofErr w:type="spellStart"/>
      <w:r w:rsidRPr="000B5D02">
        <w:rPr>
          <w:i/>
          <w:lang w:val="fr-BE"/>
        </w:rPr>
        <w:t>Teach</w:t>
      </w:r>
      <w:proofErr w:type="spellEnd"/>
      <w:r w:rsidRPr="000B5D02">
        <w:rPr>
          <w:i/>
          <w:lang w:val="fr-BE"/>
        </w:rPr>
        <w:t xml:space="preserve"> Transition</w:t>
      </w:r>
      <w:r w:rsidR="000B5D02">
        <w:rPr>
          <w:lang w:val="fr-BE"/>
        </w:rPr>
        <w:t xml:space="preserve"> </w:t>
      </w:r>
      <w:r w:rsidR="008A402B">
        <w:rPr>
          <w:rStyle w:val="Lienhypertexte"/>
          <w:lang w:val="fr-BE"/>
        </w:rPr>
        <w:t>(</w:t>
      </w:r>
      <w:hyperlink r:id="rId1" w:history="1">
        <w:r w:rsidR="00074066" w:rsidRPr="00A9546D">
          <w:rPr>
            <w:rStyle w:val="Lienhypertexte"/>
            <w:lang w:val="fr-BE"/>
          </w:rPr>
          <w:t>https://teachtransition.eu/etre-apprenant-autonome-a-laide-du-numerique/</w:t>
        </w:r>
      </w:hyperlink>
      <w:r w:rsidR="000B5D02">
        <w:rPr>
          <w:rStyle w:val="Lienhypertexte"/>
          <w:lang w:val="fr-BE"/>
        </w:rPr>
        <w:t>).</w:t>
      </w:r>
      <w:r>
        <w:rPr>
          <w:lang w:val="fr-BE"/>
        </w:rPr>
        <w:t xml:space="preserve"> </w:t>
      </w:r>
      <w:r w:rsidR="000B5D02">
        <w:rPr>
          <w:lang w:val="fr-BE"/>
        </w:rPr>
        <w:t>E</w:t>
      </w:r>
      <w:r w:rsidR="00074066">
        <w:rPr>
          <w:lang w:val="fr-BE"/>
        </w:rPr>
        <w:t xml:space="preserve">n première analyse, </w:t>
      </w:r>
      <w:r>
        <w:rPr>
          <w:lang w:val="fr-BE"/>
        </w:rPr>
        <w:t>l’acquisition de compétences rendant l’apprenant autonome dans l’usage des outils numériques semble impliquer logiquement qu’il soit ensuite capable d’acquérir les savoirs de manière autonome</w:t>
      </w:r>
      <w:r w:rsidR="008A402B">
        <w:rPr>
          <w:lang w:val="fr-BE"/>
        </w:rPr>
        <w:t>.</w:t>
      </w:r>
    </w:p>
  </w:footnote>
  <w:footnote w:id="3">
    <w:p w:rsidR="00EB539F" w:rsidRPr="002400A0" w:rsidRDefault="00EB539F" w:rsidP="00EB539F">
      <w:pPr>
        <w:pStyle w:val="Notedebasdepage"/>
        <w:rPr>
          <w:lang w:val="fr-BE"/>
        </w:rPr>
      </w:pPr>
      <w:r>
        <w:rPr>
          <w:rStyle w:val="Appelnotedebasdep"/>
        </w:rPr>
        <w:footnoteRef/>
      </w:r>
      <w:r w:rsidRPr="002400A0">
        <w:rPr>
          <w:lang w:val="fr-BE"/>
        </w:rPr>
        <w:t xml:space="preserve"> Ce qui tendrait à expliquer le fait que le numérique éducatif fonctionne assez bien dans le domaine de la formation continuée en cours de carrière, avec des apprenants qui ont déjà un parcours d’étude derrière eux qui leur a permis d’acquérir des stratégies métacognitives pour gére</w:t>
      </w:r>
      <w:r w:rsidR="000315A8">
        <w:rPr>
          <w:lang w:val="fr-BE"/>
        </w:rPr>
        <w:t xml:space="preserve">r leurs apprentissages et </w:t>
      </w:r>
      <w:r w:rsidRPr="002400A0">
        <w:rPr>
          <w:lang w:val="fr-BE"/>
        </w:rPr>
        <w:t xml:space="preserve">qui </w:t>
      </w:r>
      <w:r w:rsidR="000315A8">
        <w:rPr>
          <w:lang w:val="fr-BE"/>
        </w:rPr>
        <w:t xml:space="preserve">dans certains cas, en tant que professionnels, </w:t>
      </w:r>
      <w:r w:rsidRPr="002400A0">
        <w:rPr>
          <w:lang w:val="fr-BE"/>
        </w:rPr>
        <w:t>ont une connaissance préalable du domaine d’étude.</w:t>
      </w:r>
    </w:p>
  </w:footnote>
  <w:footnote w:id="4">
    <w:p w:rsidR="00EB539F" w:rsidRPr="0081490A" w:rsidRDefault="00EB539F" w:rsidP="00EB539F">
      <w:pPr>
        <w:pStyle w:val="Notedebasdepage"/>
        <w:rPr>
          <w:lang w:val="fr-BE"/>
        </w:rPr>
      </w:pPr>
      <w:r>
        <w:rPr>
          <w:rStyle w:val="Appelnotedebasdep"/>
        </w:rPr>
        <w:footnoteRef/>
      </w:r>
      <w:r w:rsidRPr="0081490A">
        <w:rPr>
          <w:lang w:val="fr-BE"/>
        </w:rPr>
        <w:t xml:space="preserve"> </w:t>
      </w:r>
      <w:r>
        <w:rPr>
          <w:lang w:val="fr-BE"/>
        </w:rPr>
        <w:t>« Au final, les apprenants qui sont</w:t>
      </w:r>
      <w:r w:rsidRPr="0037273D">
        <w:rPr>
          <w:lang w:val="fr-BE"/>
        </w:rPr>
        <w:t xml:space="preserve"> perf</w:t>
      </w:r>
      <w:r>
        <w:rPr>
          <w:lang w:val="fr-BE"/>
        </w:rPr>
        <w:t>ormants</w:t>
      </w:r>
      <w:r w:rsidRPr="0037273D">
        <w:rPr>
          <w:lang w:val="fr-BE"/>
        </w:rPr>
        <w:t xml:space="preserve"> dans</w:t>
      </w:r>
      <w:r>
        <w:rPr>
          <w:lang w:val="fr-BE"/>
        </w:rPr>
        <w:t xml:space="preserve"> les apprentissages en ligne sont les mêmes qui sont compétents </w:t>
      </w:r>
      <w:r w:rsidRPr="0037273D">
        <w:rPr>
          <w:lang w:val="fr-BE"/>
        </w:rPr>
        <w:t>dans les apprentissages autorégulés</w:t>
      </w:r>
      <w:r>
        <w:rPr>
          <w:lang w:val="fr-BE"/>
        </w:rPr>
        <w:t>. Réciproquement, ceux</w:t>
      </w:r>
      <w:r w:rsidRPr="0037273D">
        <w:rPr>
          <w:lang w:val="fr-BE"/>
        </w:rPr>
        <w:t xml:space="preserve"> qui vivent des échecs dans ces envir</w:t>
      </w:r>
      <w:r>
        <w:rPr>
          <w:lang w:val="fr-BE"/>
        </w:rPr>
        <w:t xml:space="preserve">onnements d’apprentissage n’ont pas les compétences nécessaires </w:t>
      </w:r>
      <w:r w:rsidRPr="0037273D">
        <w:rPr>
          <w:lang w:val="fr-BE"/>
        </w:rPr>
        <w:t>à l’autorégulation.</w:t>
      </w:r>
      <w:r>
        <w:rPr>
          <w:lang w:val="fr-BE"/>
        </w:rPr>
        <w:t> » (</w:t>
      </w:r>
      <w:r>
        <w:rPr>
          <w:i/>
          <w:lang w:val="fr-BE"/>
        </w:rPr>
        <w:t>Ibid</w:t>
      </w:r>
      <w:r>
        <w:rPr>
          <w:lang w:val="fr-BE"/>
        </w:rPr>
        <w:t>., 61).</w:t>
      </w:r>
    </w:p>
  </w:footnote>
  <w:footnote w:id="5">
    <w:p w:rsidR="00F7454A" w:rsidRPr="00C979F1" w:rsidRDefault="00F7454A" w:rsidP="00F7454A">
      <w:pPr>
        <w:pStyle w:val="Notedebasdepage"/>
        <w:rPr>
          <w:lang w:val="fr-BE"/>
        </w:rPr>
      </w:pPr>
      <w:r>
        <w:rPr>
          <w:rStyle w:val="Appelnotedebasdep"/>
        </w:rPr>
        <w:footnoteRef/>
      </w:r>
      <w:r w:rsidRPr="00C979F1">
        <w:rPr>
          <w:lang w:val="fr-BE"/>
        </w:rPr>
        <w:t xml:space="preserve"> </w:t>
      </w:r>
      <w:r>
        <w:rPr>
          <w:lang w:val="fr-BE"/>
        </w:rPr>
        <w:t xml:space="preserve">À cet égard, </w:t>
      </w:r>
      <w:proofErr w:type="spellStart"/>
      <w:r>
        <w:rPr>
          <w:lang w:val="fr-BE"/>
        </w:rPr>
        <w:t>Denouël</w:t>
      </w:r>
      <w:proofErr w:type="spellEnd"/>
      <w:r>
        <w:rPr>
          <w:lang w:val="fr-BE"/>
        </w:rPr>
        <w:t xml:space="preserve"> ne manque pas de relever le caractère paradoxal de cette injonction à l’autonomie reposant, d’une part, sur la maîtrise de compétences et savoirs disciplinaires du </w:t>
      </w:r>
      <w:r w:rsidRPr="001A691C">
        <w:rPr>
          <w:i/>
          <w:lang w:val="fr-BE"/>
        </w:rPr>
        <w:t>curriculum</w:t>
      </w:r>
      <w:r>
        <w:rPr>
          <w:lang w:val="fr-BE"/>
        </w:rPr>
        <w:t xml:space="preserve"> et, d’autre part, sur le développement de compétences organisationnelles, motivationnelles, réflexives, etc. qui revient en quelque sorte à conditionner le public scolaire à une libre acceptation de la norme institutionnelle</w:t>
      </w:r>
      <w:r w:rsidR="0031708A">
        <w:rPr>
          <w:lang w:val="fr-BE"/>
        </w:rPr>
        <w:t xml:space="preserve"> — contrairement au</w:t>
      </w:r>
      <w:r>
        <w:rPr>
          <w:lang w:val="fr-BE"/>
        </w:rPr>
        <w:t xml:space="preserve"> type d’autonomie </w:t>
      </w:r>
      <w:r w:rsidR="0031708A">
        <w:rPr>
          <w:lang w:val="fr-BE"/>
        </w:rPr>
        <w:t>recherchée</w:t>
      </w:r>
      <w:r>
        <w:rPr>
          <w:lang w:val="fr-BE"/>
        </w:rPr>
        <w:t xml:space="preserve"> par la formation en cours de carrière/des adultes, non contrainte et visant une forme de renforcement de sa puissance d’agir (</w:t>
      </w:r>
      <w:proofErr w:type="spellStart"/>
      <w:r>
        <w:rPr>
          <w:lang w:val="fr-BE"/>
        </w:rPr>
        <w:t>Denouël</w:t>
      </w:r>
      <w:proofErr w:type="spellEnd"/>
      <w:r>
        <w:rPr>
          <w:lang w:val="fr-BE"/>
        </w:rPr>
        <w:t xml:space="preserve"> 2017, §5).</w:t>
      </w:r>
    </w:p>
  </w:footnote>
  <w:footnote w:id="6">
    <w:p w:rsidR="008F0665" w:rsidRPr="008F0665" w:rsidRDefault="008F0665" w:rsidP="008F0665">
      <w:pPr>
        <w:pStyle w:val="Notedebasdepage"/>
        <w:rPr>
          <w:lang w:val="fr-BE"/>
        </w:rPr>
      </w:pPr>
      <w:r>
        <w:rPr>
          <w:rStyle w:val="Appelnotedebasdep"/>
        </w:rPr>
        <w:footnoteRef/>
      </w:r>
      <w:r w:rsidRPr="008F0665">
        <w:rPr>
          <w:lang w:val="fr-BE"/>
        </w:rPr>
        <w:t xml:space="preserve"> </w:t>
      </w:r>
      <w:r w:rsidR="00086943">
        <w:rPr>
          <w:lang w:val="fr-BE"/>
        </w:rPr>
        <w:t>C</w:t>
      </w:r>
      <w:r w:rsidRPr="00F21EC3">
        <w:rPr>
          <w:lang w:val="fr-BE"/>
        </w:rPr>
        <w:t xml:space="preserve">omme en témoigne par exemple le « Plan d’action en matière d’éducation numérique (2021-2027) envisagé par l’Europe, qui entend avant tout renforcer les compétences numériques des apprenants mais non spécifiquement leur autonomie  </w:t>
      </w:r>
      <w:hyperlink r:id="rId2" w:history="1">
        <w:r w:rsidRPr="00F21EC3">
          <w:rPr>
            <w:rStyle w:val="Lienhypertexte"/>
            <w:lang w:val="fr-BE"/>
          </w:rPr>
          <w:t>https://ec.europa.eu/education/education-in-the-eu/digital-education-action-plan_fr</w:t>
        </w:r>
      </w:hyperlink>
      <w:r w:rsidRPr="00F21EC3">
        <w:rPr>
          <w:lang w:val="fr-BE"/>
        </w:rPr>
        <w:t xml:space="preserve"> </w:t>
      </w:r>
      <w:r>
        <w:rPr>
          <w:lang w:val="fr-B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377"/>
    <w:multiLevelType w:val="hybridMultilevel"/>
    <w:tmpl w:val="E650075E"/>
    <w:lvl w:ilvl="0" w:tplc="2182EBD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74739"/>
    <w:multiLevelType w:val="hybridMultilevel"/>
    <w:tmpl w:val="9FCE0B84"/>
    <w:lvl w:ilvl="0" w:tplc="6742ED8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3EE6"/>
    <w:multiLevelType w:val="hybridMultilevel"/>
    <w:tmpl w:val="B5DC5510"/>
    <w:lvl w:ilvl="0" w:tplc="2CBC7E9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90DF3"/>
    <w:multiLevelType w:val="hybridMultilevel"/>
    <w:tmpl w:val="46B4FB84"/>
    <w:lvl w:ilvl="0" w:tplc="8DAA1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668AE"/>
    <w:multiLevelType w:val="hybridMultilevel"/>
    <w:tmpl w:val="35A6A140"/>
    <w:lvl w:ilvl="0" w:tplc="FE98BDF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14519"/>
    <w:multiLevelType w:val="hybridMultilevel"/>
    <w:tmpl w:val="DB4459E6"/>
    <w:lvl w:ilvl="0" w:tplc="3EE42D0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73"/>
    <w:rsid w:val="000021B8"/>
    <w:rsid w:val="00002778"/>
    <w:rsid w:val="00010FA1"/>
    <w:rsid w:val="000112A3"/>
    <w:rsid w:val="00015C3F"/>
    <w:rsid w:val="00016AD7"/>
    <w:rsid w:val="00025268"/>
    <w:rsid w:val="00026DFA"/>
    <w:rsid w:val="0003032A"/>
    <w:rsid w:val="00030A97"/>
    <w:rsid w:val="000315A8"/>
    <w:rsid w:val="0003720A"/>
    <w:rsid w:val="00037C94"/>
    <w:rsid w:val="00041589"/>
    <w:rsid w:val="00044A27"/>
    <w:rsid w:val="00061197"/>
    <w:rsid w:val="00061D21"/>
    <w:rsid w:val="0006538E"/>
    <w:rsid w:val="00070F0F"/>
    <w:rsid w:val="00074066"/>
    <w:rsid w:val="00086943"/>
    <w:rsid w:val="00087B02"/>
    <w:rsid w:val="00093ED4"/>
    <w:rsid w:val="0009786F"/>
    <w:rsid w:val="000A3A66"/>
    <w:rsid w:val="000A4230"/>
    <w:rsid w:val="000B0008"/>
    <w:rsid w:val="000B17AD"/>
    <w:rsid w:val="000B1F8E"/>
    <w:rsid w:val="000B24C4"/>
    <w:rsid w:val="000B41B8"/>
    <w:rsid w:val="000B5A1A"/>
    <w:rsid w:val="000B5D02"/>
    <w:rsid w:val="000C1991"/>
    <w:rsid w:val="000C1D5F"/>
    <w:rsid w:val="000C3AB4"/>
    <w:rsid w:val="000C6D3F"/>
    <w:rsid w:val="000D44A3"/>
    <w:rsid w:val="000D6DEE"/>
    <w:rsid w:val="000E0B2F"/>
    <w:rsid w:val="000E56EB"/>
    <w:rsid w:val="000E70D2"/>
    <w:rsid w:val="000F6926"/>
    <w:rsid w:val="00111342"/>
    <w:rsid w:val="0011373C"/>
    <w:rsid w:val="001242B4"/>
    <w:rsid w:val="0013137A"/>
    <w:rsid w:val="0014471F"/>
    <w:rsid w:val="001458DF"/>
    <w:rsid w:val="00150691"/>
    <w:rsid w:val="00150EAD"/>
    <w:rsid w:val="00152671"/>
    <w:rsid w:val="00152960"/>
    <w:rsid w:val="001574E0"/>
    <w:rsid w:val="001615F8"/>
    <w:rsid w:val="00163AEF"/>
    <w:rsid w:val="00170A55"/>
    <w:rsid w:val="00173C07"/>
    <w:rsid w:val="0018543F"/>
    <w:rsid w:val="00187644"/>
    <w:rsid w:val="00192DE1"/>
    <w:rsid w:val="00197A3A"/>
    <w:rsid w:val="001A0D19"/>
    <w:rsid w:val="001A342B"/>
    <w:rsid w:val="001A61AC"/>
    <w:rsid w:val="001A691C"/>
    <w:rsid w:val="001A70FF"/>
    <w:rsid w:val="001B0DE7"/>
    <w:rsid w:val="001C3873"/>
    <w:rsid w:val="001C6746"/>
    <w:rsid w:val="001C6760"/>
    <w:rsid w:val="001C7F87"/>
    <w:rsid w:val="001D507B"/>
    <w:rsid w:val="001D7A6B"/>
    <w:rsid w:val="001E1E2F"/>
    <w:rsid w:val="001E3CB3"/>
    <w:rsid w:val="001E5C23"/>
    <w:rsid w:val="001E5F3D"/>
    <w:rsid w:val="001E6C04"/>
    <w:rsid w:val="001F0845"/>
    <w:rsid w:val="002055A6"/>
    <w:rsid w:val="00205F29"/>
    <w:rsid w:val="00212C0B"/>
    <w:rsid w:val="00214D6D"/>
    <w:rsid w:val="00215FB5"/>
    <w:rsid w:val="0022457F"/>
    <w:rsid w:val="00227270"/>
    <w:rsid w:val="00227439"/>
    <w:rsid w:val="00232305"/>
    <w:rsid w:val="00233D00"/>
    <w:rsid w:val="00237DAE"/>
    <w:rsid w:val="002400A0"/>
    <w:rsid w:val="00244ECA"/>
    <w:rsid w:val="002510FC"/>
    <w:rsid w:val="00252953"/>
    <w:rsid w:val="002570A0"/>
    <w:rsid w:val="0026031B"/>
    <w:rsid w:val="00264867"/>
    <w:rsid w:val="002663C8"/>
    <w:rsid w:val="0026678A"/>
    <w:rsid w:val="002676FC"/>
    <w:rsid w:val="00267DE8"/>
    <w:rsid w:val="00270EC4"/>
    <w:rsid w:val="0027723D"/>
    <w:rsid w:val="00280F8D"/>
    <w:rsid w:val="00283CA7"/>
    <w:rsid w:val="00285024"/>
    <w:rsid w:val="00285429"/>
    <w:rsid w:val="00286FAF"/>
    <w:rsid w:val="00292064"/>
    <w:rsid w:val="00292346"/>
    <w:rsid w:val="002951B3"/>
    <w:rsid w:val="00296BB4"/>
    <w:rsid w:val="002A446F"/>
    <w:rsid w:val="002A58D6"/>
    <w:rsid w:val="002B24C3"/>
    <w:rsid w:val="002B4EBB"/>
    <w:rsid w:val="002C5078"/>
    <w:rsid w:val="002C62E3"/>
    <w:rsid w:val="002D109C"/>
    <w:rsid w:val="002D295F"/>
    <w:rsid w:val="002D553B"/>
    <w:rsid w:val="002E0850"/>
    <w:rsid w:val="002E37C4"/>
    <w:rsid w:val="002F15DE"/>
    <w:rsid w:val="002F442D"/>
    <w:rsid w:val="002F6354"/>
    <w:rsid w:val="002F6DEF"/>
    <w:rsid w:val="0030227B"/>
    <w:rsid w:val="00305C62"/>
    <w:rsid w:val="0030678A"/>
    <w:rsid w:val="00307A19"/>
    <w:rsid w:val="00310020"/>
    <w:rsid w:val="00313C63"/>
    <w:rsid w:val="00314035"/>
    <w:rsid w:val="0031708A"/>
    <w:rsid w:val="0032363E"/>
    <w:rsid w:val="00323C69"/>
    <w:rsid w:val="003306F5"/>
    <w:rsid w:val="0033736D"/>
    <w:rsid w:val="00341889"/>
    <w:rsid w:val="003516C9"/>
    <w:rsid w:val="003523A4"/>
    <w:rsid w:val="0035745A"/>
    <w:rsid w:val="00357E61"/>
    <w:rsid w:val="00361A14"/>
    <w:rsid w:val="00362543"/>
    <w:rsid w:val="00365AE8"/>
    <w:rsid w:val="0037273D"/>
    <w:rsid w:val="003753B6"/>
    <w:rsid w:val="00376685"/>
    <w:rsid w:val="00381523"/>
    <w:rsid w:val="00381580"/>
    <w:rsid w:val="00392AC1"/>
    <w:rsid w:val="003935B9"/>
    <w:rsid w:val="003938CA"/>
    <w:rsid w:val="003960A4"/>
    <w:rsid w:val="00396DD1"/>
    <w:rsid w:val="003A2C6A"/>
    <w:rsid w:val="003A4D3B"/>
    <w:rsid w:val="003B0E16"/>
    <w:rsid w:val="003B2967"/>
    <w:rsid w:val="003B5A93"/>
    <w:rsid w:val="003B5E28"/>
    <w:rsid w:val="003C1AB9"/>
    <w:rsid w:val="003C2C91"/>
    <w:rsid w:val="003C7739"/>
    <w:rsid w:val="003D7DEC"/>
    <w:rsid w:val="003E0145"/>
    <w:rsid w:val="003E4813"/>
    <w:rsid w:val="003E4BC7"/>
    <w:rsid w:val="003F73C4"/>
    <w:rsid w:val="00400A47"/>
    <w:rsid w:val="00400FF9"/>
    <w:rsid w:val="00401E49"/>
    <w:rsid w:val="00412012"/>
    <w:rsid w:val="00414602"/>
    <w:rsid w:val="00414615"/>
    <w:rsid w:val="00422FCC"/>
    <w:rsid w:val="00427B97"/>
    <w:rsid w:val="004340F8"/>
    <w:rsid w:val="004359A0"/>
    <w:rsid w:val="0044268E"/>
    <w:rsid w:val="0045325F"/>
    <w:rsid w:val="00455F36"/>
    <w:rsid w:val="00457329"/>
    <w:rsid w:val="0046131A"/>
    <w:rsid w:val="00462C3F"/>
    <w:rsid w:val="00462EB3"/>
    <w:rsid w:val="00464140"/>
    <w:rsid w:val="00464B07"/>
    <w:rsid w:val="00470163"/>
    <w:rsid w:val="00470713"/>
    <w:rsid w:val="004743A6"/>
    <w:rsid w:val="00482128"/>
    <w:rsid w:val="00486E0F"/>
    <w:rsid w:val="00492D7C"/>
    <w:rsid w:val="00493657"/>
    <w:rsid w:val="00494F61"/>
    <w:rsid w:val="00495CFB"/>
    <w:rsid w:val="00496652"/>
    <w:rsid w:val="004A1C55"/>
    <w:rsid w:val="004A4752"/>
    <w:rsid w:val="004A4B10"/>
    <w:rsid w:val="004A4CF1"/>
    <w:rsid w:val="004B1C27"/>
    <w:rsid w:val="004B320C"/>
    <w:rsid w:val="004B7D8A"/>
    <w:rsid w:val="004C1B5E"/>
    <w:rsid w:val="004C4EE5"/>
    <w:rsid w:val="004D2DD1"/>
    <w:rsid w:val="004D3B63"/>
    <w:rsid w:val="004D5626"/>
    <w:rsid w:val="004D5AF8"/>
    <w:rsid w:val="004D7B6B"/>
    <w:rsid w:val="004D7D6C"/>
    <w:rsid w:val="004E0347"/>
    <w:rsid w:val="004E1E0B"/>
    <w:rsid w:val="004F2611"/>
    <w:rsid w:val="004F55AE"/>
    <w:rsid w:val="0050025F"/>
    <w:rsid w:val="00504053"/>
    <w:rsid w:val="00511530"/>
    <w:rsid w:val="00511AA1"/>
    <w:rsid w:val="0051722A"/>
    <w:rsid w:val="00520402"/>
    <w:rsid w:val="00520456"/>
    <w:rsid w:val="00520507"/>
    <w:rsid w:val="00520594"/>
    <w:rsid w:val="00520B4D"/>
    <w:rsid w:val="00522589"/>
    <w:rsid w:val="00527482"/>
    <w:rsid w:val="00533D2B"/>
    <w:rsid w:val="00534CC7"/>
    <w:rsid w:val="0054022A"/>
    <w:rsid w:val="0054316D"/>
    <w:rsid w:val="00544B0B"/>
    <w:rsid w:val="00547F73"/>
    <w:rsid w:val="00551ADB"/>
    <w:rsid w:val="00553C9B"/>
    <w:rsid w:val="005571DF"/>
    <w:rsid w:val="00566965"/>
    <w:rsid w:val="00566C90"/>
    <w:rsid w:val="005710BA"/>
    <w:rsid w:val="0057140A"/>
    <w:rsid w:val="00573FE2"/>
    <w:rsid w:val="005764B7"/>
    <w:rsid w:val="00576C33"/>
    <w:rsid w:val="00577350"/>
    <w:rsid w:val="00584354"/>
    <w:rsid w:val="005847D8"/>
    <w:rsid w:val="00584D98"/>
    <w:rsid w:val="00585F8A"/>
    <w:rsid w:val="00593F50"/>
    <w:rsid w:val="00595FC0"/>
    <w:rsid w:val="005970AB"/>
    <w:rsid w:val="005B47C0"/>
    <w:rsid w:val="005B5C0B"/>
    <w:rsid w:val="005B629C"/>
    <w:rsid w:val="005B71DF"/>
    <w:rsid w:val="005C215D"/>
    <w:rsid w:val="005C5F94"/>
    <w:rsid w:val="005D4094"/>
    <w:rsid w:val="005D6CE5"/>
    <w:rsid w:val="005E0B81"/>
    <w:rsid w:val="005E12AC"/>
    <w:rsid w:val="005E3F8E"/>
    <w:rsid w:val="005E5711"/>
    <w:rsid w:val="005E586A"/>
    <w:rsid w:val="005E7D8F"/>
    <w:rsid w:val="005F35EA"/>
    <w:rsid w:val="00604C73"/>
    <w:rsid w:val="00610267"/>
    <w:rsid w:val="00616375"/>
    <w:rsid w:val="0061675C"/>
    <w:rsid w:val="0062334D"/>
    <w:rsid w:val="00644F2C"/>
    <w:rsid w:val="0064553F"/>
    <w:rsid w:val="00655DD9"/>
    <w:rsid w:val="0066137E"/>
    <w:rsid w:val="00662D51"/>
    <w:rsid w:val="00663C94"/>
    <w:rsid w:val="00664103"/>
    <w:rsid w:val="006655BF"/>
    <w:rsid w:val="006659BE"/>
    <w:rsid w:val="006710B9"/>
    <w:rsid w:val="00675A3E"/>
    <w:rsid w:val="006767A8"/>
    <w:rsid w:val="00681A58"/>
    <w:rsid w:val="006934D4"/>
    <w:rsid w:val="006B5310"/>
    <w:rsid w:val="006B68E1"/>
    <w:rsid w:val="006B6E5A"/>
    <w:rsid w:val="006C7EE8"/>
    <w:rsid w:val="006D1B95"/>
    <w:rsid w:val="006D6545"/>
    <w:rsid w:val="006E1B8E"/>
    <w:rsid w:val="00705285"/>
    <w:rsid w:val="00706F8A"/>
    <w:rsid w:val="007113AF"/>
    <w:rsid w:val="007123FD"/>
    <w:rsid w:val="00713882"/>
    <w:rsid w:val="00720E29"/>
    <w:rsid w:val="0072336E"/>
    <w:rsid w:val="00730932"/>
    <w:rsid w:val="00735CC5"/>
    <w:rsid w:val="0073716C"/>
    <w:rsid w:val="00737CD4"/>
    <w:rsid w:val="0075006A"/>
    <w:rsid w:val="007504A9"/>
    <w:rsid w:val="00752E4D"/>
    <w:rsid w:val="00754AA7"/>
    <w:rsid w:val="00757A04"/>
    <w:rsid w:val="00762441"/>
    <w:rsid w:val="0076422B"/>
    <w:rsid w:val="00780ECB"/>
    <w:rsid w:val="007814C5"/>
    <w:rsid w:val="00786BD5"/>
    <w:rsid w:val="007871A3"/>
    <w:rsid w:val="00794D6E"/>
    <w:rsid w:val="007A52FF"/>
    <w:rsid w:val="007A625C"/>
    <w:rsid w:val="007A6BC1"/>
    <w:rsid w:val="007C111F"/>
    <w:rsid w:val="007C1B79"/>
    <w:rsid w:val="007C780F"/>
    <w:rsid w:val="007D3E8D"/>
    <w:rsid w:val="007E3420"/>
    <w:rsid w:val="007E599F"/>
    <w:rsid w:val="007E6190"/>
    <w:rsid w:val="007F15BE"/>
    <w:rsid w:val="007F49F0"/>
    <w:rsid w:val="007F62B1"/>
    <w:rsid w:val="007F6DA0"/>
    <w:rsid w:val="00802CDD"/>
    <w:rsid w:val="00804171"/>
    <w:rsid w:val="008113C9"/>
    <w:rsid w:val="0081303A"/>
    <w:rsid w:val="00814543"/>
    <w:rsid w:val="0081490A"/>
    <w:rsid w:val="008157BF"/>
    <w:rsid w:val="00826E30"/>
    <w:rsid w:val="00827820"/>
    <w:rsid w:val="0083201D"/>
    <w:rsid w:val="00833923"/>
    <w:rsid w:val="00841D5E"/>
    <w:rsid w:val="0084337E"/>
    <w:rsid w:val="0085165A"/>
    <w:rsid w:val="00851E70"/>
    <w:rsid w:val="00855C56"/>
    <w:rsid w:val="00863918"/>
    <w:rsid w:val="008700F1"/>
    <w:rsid w:val="0087252B"/>
    <w:rsid w:val="00873CDC"/>
    <w:rsid w:val="00875D78"/>
    <w:rsid w:val="0087660B"/>
    <w:rsid w:val="00884A48"/>
    <w:rsid w:val="00886905"/>
    <w:rsid w:val="008A2FBB"/>
    <w:rsid w:val="008A402B"/>
    <w:rsid w:val="008B45F0"/>
    <w:rsid w:val="008B64B9"/>
    <w:rsid w:val="008C0DD0"/>
    <w:rsid w:val="008C2982"/>
    <w:rsid w:val="008D1973"/>
    <w:rsid w:val="008D5BAB"/>
    <w:rsid w:val="008D6E8B"/>
    <w:rsid w:val="008E0C76"/>
    <w:rsid w:val="008E17F4"/>
    <w:rsid w:val="008E2FA6"/>
    <w:rsid w:val="008E4618"/>
    <w:rsid w:val="008E7C22"/>
    <w:rsid w:val="008F0665"/>
    <w:rsid w:val="008F5739"/>
    <w:rsid w:val="008F699A"/>
    <w:rsid w:val="008F7EBF"/>
    <w:rsid w:val="00903625"/>
    <w:rsid w:val="009067F6"/>
    <w:rsid w:val="0090687F"/>
    <w:rsid w:val="00913909"/>
    <w:rsid w:val="009156CC"/>
    <w:rsid w:val="00915A0B"/>
    <w:rsid w:val="00917250"/>
    <w:rsid w:val="009224DB"/>
    <w:rsid w:val="00936735"/>
    <w:rsid w:val="00937573"/>
    <w:rsid w:val="009409FC"/>
    <w:rsid w:val="00941B6A"/>
    <w:rsid w:val="009476F9"/>
    <w:rsid w:val="009650D9"/>
    <w:rsid w:val="00966D55"/>
    <w:rsid w:val="009716CC"/>
    <w:rsid w:val="00972FD5"/>
    <w:rsid w:val="009809B4"/>
    <w:rsid w:val="009819BD"/>
    <w:rsid w:val="00983887"/>
    <w:rsid w:val="009842BC"/>
    <w:rsid w:val="00990828"/>
    <w:rsid w:val="00991594"/>
    <w:rsid w:val="009A10CE"/>
    <w:rsid w:val="009A15AE"/>
    <w:rsid w:val="009A2D50"/>
    <w:rsid w:val="009A4872"/>
    <w:rsid w:val="009A7E3B"/>
    <w:rsid w:val="009B214A"/>
    <w:rsid w:val="009B4815"/>
    <w:rsid w:val="009B4B61"/>
    <w:rsid w:val="009B59F6"/>
    <w:rsid w:val="009C0A13"/>
    <w:rsid w:val="009C7634"/>
    <w:rsid w:val="009D1799"/>
    <w:rsid w:val="009E4107"/>
    <w:rsid w:val="009F15D3"/>
    <w:rsid w:val="009F19A3"/>
    <w:rsid w:val="009F5F96"/>
    <w:rsid w:val="00A0028D"/>
    <w:rsid w:val="00A0662B"/>
    <w:rsid w:val="00A066F7"/>
    <w:rsid w:val="00A06D38"/>
    <w:rsid w:val="00A12363"/>
    <w:rsid w:val="00A1284D"/>
    <w:rsid w:val="00A20E46"/>
    <w:rsid w:val="00A21F5C"/>
    <w:rsid w:val="00A23A17"/>
    <w:rsid w:val="00A2461D"/>
    <w:rsid w:val="00A417AF"/>
    <w:rsid w:val="00A433F2"/>
    <w:rsid w:val="00A44BE2"/>
    <w:rsid w:val="00A457BD"/>
    <w:rsid w:val="00A47A1C"/>
    <w:rsid w:val="00A56BD6"/>
    <w:rsid w:val="00A57EF8"/>
    <w:rsid w:val="00A60C02"/>
    <w:rsid w:val="00A662D6"/>
    <w:rsid w:val="00A71D54"/>
    <w:rsid w:val="00A7267C"/>
    <w:rsid w:val="00A737E8"/>
    <w:rsid w:val="00A801F6"/>
    <w:rsid w:val="00A902A5"/>
    <w:rsid w:val="00AA577F"/>
    <w:rsid w:val="00AA66D1"/>
    <w:rsid w:val="00AA7507"/>
    <w:rsid w:val="00AB0691"/>
    <w:rsid w:val="00AC3553"/>
    <w:rsid w:val="00AD25B2"/>
    <w:rsid w:val="00AD6553"/>
    <w:rsid w:val="00AD7957"/>
    <w:rsid w:val="00AE061D"/>
    <w:rsid w:val="00AE4777"/>
    <w:rsid w:val="00AE5100"/>
    <w:rsid w:val="00AF028F"/>
    <w:rsid w:val="00AF4015"/>
    <w:rsid w:val="00AF4C50"/>
    <w:rsid w:val="00AF6B7C"/>
    <w:rsid w:val="00B06B55"/>
    <w:rsid w:val="00B11610"/>
    <w:rsid w:val="00B13921"/>
    <w:rsid w:val="00B15BCE"/>
    <w:rsid w:val="00B175F6"/>
    <w:rsid w:val="00B17BF1"/>
    <w:rsid w:val="00B2286A"/>
    <w:rsid w:val="00B22A3C"/>
    <w:rsid w:val="00B22B5C"/>
    <w:rsid w:val="00B2719D"/>
    <w:rsid w:val="00B31756"/>
    <w:rsid w:val="00B31DBE"/>
    <w:rsid w:val="00B3470D"/>
    <w:rsid w:val="00B460B3"/>
    <w:rsid w:val="00B467C7"/>
    <w:rsid w:val="00B514F6"/>
    <w:rsid w:val="00B52E0D"/>
    <w:rsid w:val="00B53265"/>
    <w:rsid w:val="00B546AE"/>
    <w:rsid w:val="00B62BB0"/>
    <w:rsid w:val="00B76F24"/>
    <w:rsid w:val="00B82131"/>
    <w:rsid w:val="00B831CF"/>
    <w:rsid w:val="00B84E36"/>
    <w:rsid w:val="00B864D3"/>
    <w:rsid w:val="00B966C5"/>
    <w:rsid w:val="00B967AE"/>
    <w:rsid w:val="00B9726E"/>
    <w:rsid w:val="00BB2E00"/>
    <w:rsid w:val="00BB49B7"/>
    <w:rsid w:val="00BB5CE5"/>
    <w:rsid w:val="00BB68DE"/>
    <w:rsid w:val="00BC2E2B"/>
    <w:rsid w:val="00BC40BE"/>
    <w:rsid w:val="00BE3091"/>
    <w:rsid w:val="00BF123A"/>
    <w:rsid w:val="00C0097D"/>
    <w:rsid w:val="00C05826"/>
    <w:rsid w:val="00C076BD"/>
    <w:rsid w:val="00C07A68"/>
    <w:rsid w:val="00C11170"/>
    <w:rsid w:val="00C150B9"/>
    <w:rsid w:val="00C17382"/>
    <w:rsid w:val="00C22C7B"/>
    <w:rsid w:val="00C328AF"/>
    <w:rsid w:val="00C356FB"/>
    <w:rsid w:val="00C36578"/>
    <w:rsid w:val="00C40041"/>
    <w:rsid w:val="00C56928"/>
    <w:rsid w:val="00C60E39"/>
    <w:rsid w:val="00C61292"/>
    <w:rsid w:val="00C62B30"/>
    <w:rsid w:val="00C631D2"/>
    <w:rsid w:val="00C70F8B"/>
    <w:rsid w:val="00C747F9"/>
    <w:rsid w:val="00C90F19"/>
    <w:rsid w:val="00C91665"/>
    <w:rsid w:val="00C917F3"/>
    <w:rsid w:val="00C979F1"/>
    <w:rsid w:val="00CA0A69"/>
    <w:rsid w:val="00CB5BCC"/>
    <w:rsid w:val="00CC09B8"/>
    <w:rsid w:val="00CC6828"/>
    <w:rsid w:val="00CC6F9E"/>
    <w:rsid w:val="00CE2FC1"/>
    <w:rsid w:val="00CE67D9"/>
    <w:rsid w:val="00CF2229"/>
    <w:rsid w:val="00CF7CD7"/>
    <w:rsid w:val="00D030EA"/>
    <w:rsid w:val="00D034DB"/>
    <w:rsid w:val="00D1168B"/>
    <w:rsid w:val="00D13D9F"/>
    <w:rsid w:val="00D23F59"/>
    <w:rsid w:val="00D24C53"/>
    <w:rsid w:val="00D26AFC"/>
    <w:rsid w:val="00D3127F"/>
    <w:rsid w:val="00D41540"/>
    <w:rsid w:val="00D41E42"/>
    <w:rsid w:val="00D43C47"/>
    <w:rsid w:val="00D449DF"/>
    <w:rsid w:val="00D5757D"/>
    <w:rsid w:val="00D61012"/>
    <w:rsid w:val="00D615BB"/>
    <w:rsid w:val="00D646BA"/>
    <w:rsid w:val="00D669F0"/>
    <w:rsid w:val="00D67361"/>
    <w:rsid w:val="00D67C0E"/>
    <w:rsid w:val="00D73D78"/>
    <w:rsid w:val="00D746CD"/>
    <w:rsid w:val="00D801FC"/>
    <w:rsid w:val="00D823FB"/>
    <w:rsid w:val="00D90095"/>
    <w:rsid w:val="00D91FA7"/>
    <w:rsid w:val="00D93AD1"/>
    <w:rsid w:val="00D95329"/>
    <w:rsid w:val="00DA04DD"/>
    <w:rsid w:val="00DA4B12"/>
    <w:rsid w:val="00DB1B9A"/>
    <w:rsid w:val="00DB2AC9"/>
    <w:rsid w:val="00DC0FEA"/>
    <w:rsid w:val="00DC6509"/>
    <w:rsid w:val="00DD4118"/>
    <w:rsid w:val="00DD5660"/>
    <w:rsid w:val="00DE00B3"/>
    <w:rsid w:val="00DE026D"/>
    <w:rsid w:val="00DE303E"/>
    <w:rsid w:val="00DE3733"/>
    <w:rsid w:val="00DE5BE8"/>
    <w:rsid w:val="00DE6311"/>
    <w:rsid w:val="00DF4C8F"/>
    <w:rsid w:val="00DF57A5"/>
    <w:rsid w:val="00E0007C"/>
    <w:rsid w:val="00E02544"/>
    <w:rsid w:val="00E02667"/>
    <w:rsid w:val="00E076B4"/>
    <w:rsid w:val="00E12AFA"/>
    <w:rsid w:val="00E13125"/>
    <w:rsid w:val="00E279A2"/>
    <w:rsid w:val="00E34492"/>
    <w:rsid w:val="00E36D1E"/>
    <w:rsid w:val="00E52B9B"/>
    <w:rsid w:val="00E5314C"/>
    <w:rsid w:val="00E54979"/>
    <w:rsid w:val="00E57234"/>
    <w:rsid w:val="00E61DB3"/>
    <w:rsid w:val="00E63A0B"/>
    <w:rsid w:val="00E714E3"/>
    <w:rsid w:val="00E738E1"/>
    <w:rsid w:val="00E76D12"/>
    <w:rsid w:val="00E817AC"/>
    <w:rsid w:val="00E91F00"/>
    <w:rsid w:val="00E94E75"/>
    <w:rsid w:val="00EB1D79"/>
    <w:rsid w:val="00EB2793"/>
    <w:rsid w:val="00EB3772"/>
    <w:rsid w:val="00EB47E2"/>
    <w:rsid w:val="00EB539F"/>
    <w:rsid w:val="00EB5C1A"/>
    <w:rsid w:val="00EC592D"/>
    <w:rsid w:val="00EC62F5"/>
    <w:rsid w:val="00EC666B"/>
    <w:rsid w:val="00ED36B5"/>
    <w:rsid w:val="00ED45A3"/>
    <w:rsid w:val="00ED6C45"/>
    <w:rsid w:val="00EE5ECB"/>
    <w:rsid w:val="00EF1175"/>
    <w:rsid w:val="00EF3F22"/>
    <w:rsid w:val="00F018D3"/>
    <w:rsid w:val="00F043F3"/>
    <w:rsid w:val="00F1083E"/>
    <w:rsid w:val="00F21EC3"/>
    <w:rsid w:val="00F234CD"/>
    <w:rsid w:val="00F26A66"/>
    <w:rsid w:val="00F31764"/>
    <w:rsid w:val="00F350A1"/>
    <w:rsid w:val="00F404B0"/>
    <w:rsid w:val="00F429DE"/>
    <w:rsid w:val="00F500F7"/>
    <w:rsid w:val="00F56350"/>
    <w:rsid w:val="00F56C76"/>
    <w:rsid w:val="00F652AF"/>
    <w:rsid w:val="00F66FC7"/>
    <w:rsid w:val="00F67101"/>
    <w:rsid w:val="00F70BEF"/>
    <w:rsid w:val="00F7454A"/>
    <w:rsid w:val="00F748E3"/>
    <w:rsid w:val="00F8267C"/>
    <w:rsid w:val="00F86862"/>
    <w:rsid w:val="00F90AD9"/>
    <w:rsid w:val="00F91482"/>
    <w:rsid w:val="00F93DAA"/>
    <w:rsid w:val="00F93DCF"/>
    <w:rsid w:val="00F9498B"/>
    <w:rsid w:val="00FA066F"/>
    <w:rsid w:val="00FA2AA0"/>
    <w:rsid w:val="00FA5717"/>
    <w:rsid w:val="00FA5EDD"/>
    <w:rsid w:val="00FA7263"/>
    <w:rsid w:val="00FB1AA6"/>
    <w:rsid w:val="00FB27B5"/>
    <w:rsid w:val="00FB3F80"/>
    <w:rsid w:val="00FB4516"/>
    <w:rsid w:val="00FC39B9"/>
    <w:rsid w:val="00FD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6597"/>
  <w15:chartTrackingRefBased/>
  <w15:docId w15:val="{04791BA4-B0AE-47F0-80BC-D32474D7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09"/>
    <w:pPr>
      <w:jc w:val="both"/>
    </w:pPr>
    <w:rPr>
      <w:rFonts w:ascii="Times New Roman" w:hAnsi="Times New Roman"/>
      <w:sz w:val="24"/>
    </w:rPr>
  </w:style>
  <w:style w:type="paragraph" w:styleId="Titre1">
    <w:name w:val="heading 1"/>
    <w:basedOn w:val="Normal"/>
    <w:next w:val="Normal"/>
    <w:link w:val="Titre1Car"/>
    <w:uiPriority w:val="9"/>
    <w:qFormat/>
    <w:rsid w:val="00D823FB"/>
    <w:pPr>
      <w:keepNext/>
      <w:keepLines/>
      <w:spacing w:before="240" w:after="0"/>
      <w:outlineLvl w:val="0"/>
    </w:pPr>
    <w:rPr>
      <w:rFonts w:eastAsiaTheme="majorEastAsia" w:cs="Times New Roman"/>
      <w:sz w:val="32"/>
      <w:szCs w:val="32"/>
      <w:lang w:val="fr-BE"/>
    </w:rPr>
  </w:style>
  <w:style w:type="paragraph" w:styleId="Titre2">
    <w:name w:val="heading 2"/>
    <w:basedOn w:val="Normal"/>
    <w:next w:val="Normal"/>
    <w:link w:val="Titre2Car"/>
    <w:uiPriority w:val="9"/>
    <w:unhideWhenUsed/>
    <w:qFormat/>
    <w:rsid w:val="00B96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140A"/>
    <w:pPr>
      <w:ind w:left="720"/>
      <w:contextualSpacing/>
    </w:pPr>
  </w:style>
  <w:style w:type="character" w:styleId="Lienhypertexte">
    <w:name w:val="Hyperlink"/>
    <w:basedOn w:val="Policepardfaut"/>
    <w:uiPriority w:val="99"/>
    <w:unhideWhenUsed/>
    <w:rsid w:val="0057140A"/>
    <w:rPr>
      <w:color w:val="0563C1" w:themeColor="hyperlink"/>
      <w:u w:val="single"/>
    </w:rPr>
  </w:style>
  <w:style w:type="paragraph" w:styleId="Titre">
    <w:name w:val="Title"/>
    <w:basedOn w:val="Normal"/>
    <w:next w:val="Normal"/>
    <w:link w:val="TitreCar"/>
    <w:uiPriority w:val="10"/>
    <w:qFormat/>
    <w:rsid w:val="00981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19BD"/>
    <w:rPr>
      <w:rFonts w:asciiTheme="majorHAnsi" w:eastAsiaTheme="majorEastAsia" w:hAnsiTheme="majorHAnsi" w:cstheme="majorBidi"/>
      <w:spacing w:val="-10"/>
      <w:kern w:val="28"/>
      <w:sz w:val="56"/>
      <w:szCs w:val="56"/>
    </w:rPr>
  </w:style>
  <w:style w:type="paragraph" w:styleId="Textebrut">
    <w:name w:val="Plain Text"/>
    <w:basedOn w:val="Normal"/>
    <w:link w:val="TextebrutCar"/>
    <w:uiPriority w:val="99"/>
    <w:unhideWhenUsed/>
    <w:rsid w:val="00E02667"/>
    <w:pPr>
      <w:spacing w:after="0" w:line="240" w:lineRule="auto"/>
    </w:pPr>
    <w:rPr>
      <w:rFonts w:ascii="Calibri" w:hAnsi="Calibri"/>
      <w:szCs w:val="21"/>
    </w:rPr>
  </w:style>
  <w:style w:type="character" w:customStyle="1" w:styleId="TextebrutCar">
    <w:name w:val="Texte brut Car"/>
    <w:basedOn w:val="Policepardfaut"/>
    <w:link w:val="Textebrut"/>
    <w:uiPriority w:val="99"/>
    <w:rsid w:val="00E02667"/>
    <w:rPr>
      <w:rFonts w:ascii="Calibri" w:hAnsi="Calibri"/>
      <w:szCs w:val="21"/>
    </w:rPr>
  </w:style>
  <w:style w:type="character" w:customStyle="1" w:styleId="Titre1Car">
    <w:name w:val="Titre 1 Car"/>
    <w:basedOn w:val="Policepardfaut"/>
    <w:link w:val="Titre1"/>
    <w:uiPriority w:val="9"/>
    <w:rsid w:val="00D823FB"/>
    <w:rPr>
      <w:rFonts w:ascii="Times New Roman" w:eastAsiaTheme="majorEastAsia" w:hAnsi="Times New Roman" w:cs="Times New Roman"/>
      <w:sz w:val="32"/>
      <w:szCs w:val="32"/>
      <w:lang w:val="fr-BE"/>
    </w:rPr>
  </w:style>
  <w:style w:type="character" w:customStyle="1" w:styleId="Titre2Car">
    <w:name w:val="Titre 2 Car"/>
    <w:basedOn w:val="Policepardfaut"/>
    <w:link w:val="Titre2"/>
    <w:uiPriority w:val="9"/>
    <w:rsid w:val="00B966C5"/>
    <w:rPr>
      <w:rFonts w:asciiTheme="majorHAnsi" w:eastAsiaTheme="majorEastAsia" w:hAnsiTheme="majorHAnsi" w:cstheme="majorBidi"/>
      <w:color w:val="2E74B5" w:themeColor="accent1" w:themeShade="BF"/>
      <w:sz w:val="26"/>
      <w:szCs w:val="26"/>
    </w:rPr>
  </w:style>
  <w:style w:type="paragraph" w:styleId="Notedebasdepage">
    <w:name w:val="footnote text"/>
    <w:basedOn w:val="Normal"/>
    <w:link w:val="NotedebasdepageCar"/>
    <w:uiPriority w:val="99"/>
    <w:unhideWhenUsed/>
    <w:rsid w:val="005764B7"/>
    <w:pPr>
      <w:spacing w:after="0" w:line="240" w:lineRule="auto"/>
    </w:pPr>
    <w:rPr>
      <w:sz w:val="20"/>
      <w:szCs w:val="20"/>
    </w:rPr>
  </w:style>
  <w:style w:type="character" w:customStyle="1" w:styleId="NotedebasdepageCar">
    <w:name w:val="Note de bas de page Car"/>
    <w:basedOn w:val="Policepardfaut"/>
    <w:link w:val="Notedebasdepage"/>
    <w:uiPriority w:val="99"/>
    <w:rsid w:val="005764B7"/>
    <w:rPr>
      <w:sz w:val="20"/>
      <w:szCs w:val="20"/>
    </w:rPr>
  </w:style>
  <w:style w:type="character" w:styleId="Appelnotedebasdep">
    <w:name w:val="footnote reference"/>
    <w:basedOn w:val="Policepardfaut"/>
    <w:uiPriority w:val="99"/>
    <w:semiHidden/>
    <w:unhideWhenUsed/>
    <w:rsid w:val="005764B7"/>
    <w:rPr>
      <w:vertAlign w:val="superscript"/>
    </w:rPr>
  </w:style>
  <w:style w:type="paragraph" w:customStyle="1" w:styleId="para">
    <w:name w:val="para"/>
    <w:basedOn w:val="Normal"/>
    <w:rsid w:val="003E4813"/>
    <w:pPr>
      <w:spacing w:before="100" w:beforeAutospacing="1" w:after="100" w:afterAutospacing="1" w:line="240" w:lineRule="auto"/>
    </w:pPr>
    <w:rPr>
      <w:rFonts w:eastAsia="Times New Roman" w:cs="Times New Roman"/>
      <w:szCs w:val="24"/>
    </w:rPr>
  </w:style>
  <w:style w:type="paragraph" w:styleId="Bibliographie">
    <w:name w:val="Bibliography"/>
    <w:basedOn w:val="Normal"/>
    <w:next w:val="Normal"/>
    <w:uiPriority w:val="37"/>
    <w:unhideWhenUsed/>
    <w:rsid w:val="00FB1AA6"/>
  </w:style>
  <w:style w:type="character" w:styleId="Lienhypertextesuivivisit">
    <w:name w:val="FollowedHyperlink"/>
    <w:basedOn w:val="Policepardfaut"/>
    <w:uiPriority w:val="99"/>
    <w:semiHidden/>
    <w:unhideWhenUsed/>
    <w:rsid w:val="008A4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3969">
      <w:bodyDiv w:val="1"/>
      <w:marLeft w:val="0"/>
      <w:marRight w:val="0"/>
      <w:marTop w:val="0"/>
      <w:marBottom w:val="0"/>
      <w:divBdr>
        <w:top w:val="none" w:sz="0" w:space="0" w:color="auto"/>
        <w:left w:val="none" w:sz="0" w:space="0" w:color="auto"/>
        <w:bottom w:val="none" w:sz="0" w:space="0" w:color="auto"/>
        <w:right w:val="none" w:sz="0" w:space="0" w:color="auto"/>
      </w:divBdr>
    </w:div>
    <w:div w:id="513426319">
      <w:bodyDiv w:val="1"/>
      <w:marLeft w:val="0"/>
      <w:marRight w:val="0"/>
      <w:marTop w:val="0"/>
      <w:marBottom w:val="0"/>
      <w:divBdr>
        <w:top w:val="none" w:sz="0" w:space="0" w:color="auto"/>
        <w:left w:val="none" w:sz="0" w:space="0" w:color="auto"/>
        <w:bottom w:val="none" w:sz="0" w:space="0" w:color="auto"/>
        <w:right w:val="none" w:sz="0" w:space="0" w:color="auto"/>
      </w:divBdr>
      <w:divsChild>
        <w:div w:id="695424113">
          <w:marLeft w:val="480"/>
          <w:marRight w:val="0"/>
          <w:marTop w:val="0"/>
          <w:marBottom w:val="0"/>
          <w:divBdr>
            <w:top w:val="none" w:sz="0" w:space="0" w:color="auto"/>
            <w:left w:val="none" w:sz="0" w:space="0" w:color="auto"/>
            <w:bottom w:val="none" w:sz="0" w:space="0" w:color="auto"/>
            <w:right w:val="none" w:sz="0" w:space="0" w:color="auto"/>
          </w:divBdr>
          <w:divsChild>
            <w:div w:id="834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4736">
      <w:bodyDiv w:val="1"/>
      <w:marLeft w:val="0"/>
      <w:marRight w:val="0"/>
      <w:marTop w:val="0"/>
      <w:marBottom w:val="0"/>
      <w:divBdr>
        <w:top w:val="none" w:sz="0" w:space="0" w:color="auto"/>
        <w:left w:val="none" w:sz="0" w:space="0" w:color="auto"/>
        <w:bottom w:val="none" w:sz="0" w:space="0" w:color="auto"/>
        <w:right w:val="none" w:sz="0" w:space="0" w:color="auto"/>
      </w:divBdr>
      <w:divsChild>
        <w:div w:id="878510386">
          <w:marLeft w:val="480"/>
          <w:marRight w:val="0"/>
          <w:marTop w:val="0"/>
          <w:marBottom w:val="0"/>
          <w:divBdr>
            <w:top w:val="none" w:sz="0" w:space="0" w:color="auto"/>
            <w:left w:val="none" w:sz="0" w:space="0" w:color="auto"/>
            <w:bottom w:val="none" w:sz="0" w:space="0" w:color="auto"/>
            <w:right w:val="none" w:sz="0" w:space="0" w:color="auto"/>
          </w:divBdr>
          <w:divsChild>
            <w:div w:id="20470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ducation/education-in-the-eu/digital-education-action-plan_fr" TargetMode="External"/><Relationship Id="rId1" Type="http://schemas.openxmlformats.org/officeDocument/2006/relationships/hyperlink" Target="https://teachtransition.eu/etre-apprenant-autonome-a-laide-du-numer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AC4C-5BC2-48EC-9309-D319055A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9</Pages>
  <Words>7104</Words>
  <Characters>42697</Characters>
  <Application>Microsoft Office Word</Application>
  <DocSecurity>0</DocSecurity>
  <Lines>561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Mayeur</dc:creator>
  <cp:keywords/>
  <dc:description/>
  <cp:lastModifiedBy>Auteur</cp:lastModifiedBy>
  <cp:revision>218</cp:revision>
  <dcterms:created xsi:type="dcterms:W3CDTF">2021-12-08T07:47:00Z</dcterms:created>
  <dcterms:modified xsi:type="dcterms:W3CDTF">2022-03-03T08:34:00Z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id="JcUNgNRC"/&gt;&lt;style id="http://www.zotero.org/styles/chicago-author-date" locale="fr-FR" hasBibliography="1" bibliographyStyleHasBeenSet="1"/&gt;&lt;prefs&gt;&lt;pref name="fieldType" value="Field"/&gt;&lt;/prefs&gt;</vt:lpwstr>
  </property>
  <property fmtid="{D5CDD505-2E9C-101B-9397-08002B2CF9AE}" pid="3" name="ZOTERO_PREF_2">
    <vt:lpwstr>&lt;/data&gt;</vt:lpwstr>
  </property>
</Properties>
</file>