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7.jpeg" ContentType="image/jpeg"/>
  <Override PartName="/word/media/image9.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8.png" ContentType="image/png"/>
  <Override PartName="/word/media/image10.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r>
    </w:p>
    <w:p>
      <w:pPr>
        <w:pStyle w:val="Normal"/>
        <w:bidi w:val="0"/>
        <w:jc w:val="left"/>
        <w:rPr/>
      </w:pPr>
      <w:r>
        <w:rPr/>
        <w:t xml:space="preserve">      </w:t>
      </w:r>
      <w:r>
        <w:rPr/>
        <w:t xml:space="preserve">CHRONIQUES         GOSPEL </w:t>
      </w:r>
    </w:p>
    <w:p>
      <w:pPr>
        <w:sectPr>
          <w:type w:val="nextPage"/>
          <w:pgSz w:w="11906" w:h="16838"/>
          <w:pgMar w:left="1134" w:right="1134" w:header="0" w:top="1134" w:footer="0" w:bottom="1134" w:gutter="0"/>
          <w:pgNumType w:fmt="decimal"/>
          <w:formProt w:val="false"/>
          <w:textDirection w:val="lrTb"/>
        </w:sectPr>
      </w:pPr>
    </w:p>
    <w:p>
      <w:pPr>
        <w:pStyle w:val="Normal"/>
        <w:bidi w:val="0"/>
        <w:jc w:val="left"/>
        <w:rPr/>
      </w:pPr>
      <w:r>
        <w:rPr/>
        <w:drawing>
          <wp:inline distT="0" distB="0" distL="0" distR="0">
            <wp:extent cx="335915" cy="335915"/>
            <wp:effectExtent l="0" t="0" r="0" b="0"/>
            <wp:docPr id="1" name="Image2" descr="">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3"/>
                    </pic:cNvPr>
                    <pic:cNvPicPr>
                      <a:picLocks noChangeAspect="1" noChangeArrowheads="1"/>
                    </pic:cNvPicPr>
                  </pic:nvPicPr>
                  <pic:blipFill>
                    <a:blip r:embed="rId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numPr>
          <w:ilvl w:val="0"/>
          <w:numId w:val="0"/>
        </w:numPr>
        <w:bidi w:val="0"/>
        <w:jc w:val="left"/>
        <w:outlineLvl w:val="0"/>
        <w:rPr/>
      </w:pPr>
      <w:r>
        <w:rPr/>
        <w:t>Gospel : Female Gospel Groups, 1940-1962</w:t>
      </w:r>
    </w:p>
    <w:p>
      <w:pPr>
        <w:pStyle w:val="Corpsdetexte"/>
        <w:bidi w:val="0"/>
        <w:spacing w:lineRule="auto" w:line="276" w:before="0" w:after="140"/>
        <w:jc w:val="left"/>
        <w:rPr/>
      </w:pPr>
      <w:r>
        <w:rPr/>
        <w:t xml:space="preserve">Publié par </w:t>
      </w:r>
      <w:hyperlink r:id="rId6">
        <w:r>
          <w:rPr>
            <w:rStyle w:val="LienInternet"/>
          </w:rPr>
          <w:t>Robert Sacre</w:t>
        </w:r>
      </w:hyperlink>
      <w:r>
        <w:rPr/>
        <w:t xml:space="preserve"> le 3 octobre 2022 </w:t>
      </w:r>
    </w:p>
    <w:p>
      <w:pPr>
        <w:pStyle w:val="Corpsdetexte"/>
        <w:bidi w:val="0"/>
        <w:spacing w:lineRule="auto" w:line="276" w:before="0" w:after="140"/>
        <w:jc w:val="left"/>
        <w:rPr/>
      </w:pPr>
      <w:hyperlink r:id="rId7" w:tgtFrame="_blank">
        <w:r>
          <w:rPr>
            <w:rStyle w:val="LienInternet"/>
          </w:rPr>
          <w:t>Frémeaux et Associés</w:t>
        </w:r>
      </w:hyperlink>
      <w:r>
        <w:rPr>
          <w:color w:val="000000"/>
        </w:rPr>
        <w:t xml:space="preserve"> ‐ </w:t>
      </w:r>
      <w:r>
        <w:rPr>
          <w:color w:val="000000"/>
          <w:sz w:val="17"/>
        </w:rPr>
        <w:t>Références catalogue : FA 58243 ‐ Coffret 3 CD, livret illustré de 20 pages.</w:t>
      </w:r>
    </w:p>
    <w:p>
      <w:pPr>
        <w:pStyle w:val="Corpsdetexte"/>
        <w:bidi w:val="0"/>
        <w:spacing w:lineRule="auto" w:line="276" w:before="0" w:after="140"/>
        <w:jc w:val="left"/>
        <w:rPr/>
      </w:pPr>
      <w:r>
        <w:rPr/>
        <w:drawing>
          <wp:inline distT="0" distB="0" distL="0" distR="0">
            <wp:extent cx="1438275" cy="1228725"/>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8"/>
                    <a:stretch>
                      <a:fillRect/>
                    </a:stretch>
                  </pic:blipFill>
                  <pic:spPr bwMode="auto">
                    <a:xfrm>
                      <a:off x="0" y="0"/>
                      <a:ext cx="1438275" cy="1228725"/>
                    </a:xfrm>
                    <a:prstGeom prst="rect">
                      <a:avLst/>
                    </a:prstGeom>
                  </pic:spPr>
                </pic:pic>
              </a:graphicData>
            </a:graphic>
          </wp:inline>
        </w:drawing>
      </w:r>
    </w:p>
    <w:p>
      <w:pPr>
        <w:pStyle w:val="Corpsdetexte"/>
        <w:bidi w:val="0"/>
        <w:spacing w:lineRule="auto" w:line="276" w:before="0" w:after="140"/>
        <w:jc w:val="left"/>
        <w:rPr/>
      </w:pPr>
      <w:r>
        <w:rPr/>
        <w:t xml:space="preserve">                </w:t>
      </w:r>
      <w:r>
        <w:rPr/>
        <w:t>De la fin des années 30 jusque dans les années 70, le black gospel traditionnel a connu son âge d’or et un engouement énorme et généralisé dans les communautés africaines / américaines, alors qu’il était ignoré, ou presque, partout ailleurs (1). Mais le gospel, comme toutes les musiques populaires, a évolué et de nos jours, c’est un gospel dit « contemporain » (très proche de la soul music, de la pop et du rap) qui a les faveurs du public noir US, pendant que l’Europe et le reste du monde découvrent enfin les trésors du gospel traditionnel, grâce à des compagnies comme Ace Records en U.K., Gospel Friend en Suède, Frémeaux et Associés en France et une poignée d’autres, lesquelles rééditent la crème de la crème de ce style musical exceptionnel (2) et ses bonnes nouvelles (Good News, la vie est courte et dure voire abominable, mais ensuite, pour les Justes, ce sera le bonheur et la joie pour l’éternité…) (3). C’est dans cette période que les femmes, solistes ou membres de groupes (mixtes ou entièrement féminins) avec piano et orgue, ont pris le plus d’ascendant dans ce monde musical, souvent plus populaires que les solistes et les quartets mâles a capella, une juste revanche sur le machisme des périodes précédentes. La preuve avec cette nouvelle compilation recommandée sans réserves…</w:t>
      </w:r>
    </w:p>
    <w:p>
      <w:pPr>
        <w:pStyle w:val="Corpsdetexte"/>
        <w:bidi w:val="0"/>
        <w:spacing w:lineRule="auto" w:line="276" w:before="0" w:after="140"/>
        <w:jc w:val="left"/>
        <w:rPr/>
      </w:pPr>
      <w:r>
        <w:rPr/>
        <w:t>Le CD 1 couvre la période 1940-1953, avec les grandes pionnières à Chicago comme Sallie Martin et sa fille Cora (associées à Thomas A. Dorsey, le Père du gospel), Roberta Martin (pianiste, associée à Kenneth Morris), Albertina Walker et les Caravans, les Gay Sisters, etc… , mais aussi à Philadelphie avec Gertrude Ward, sa fille Clara et leurs Singers (Marion Williams, Frances Steadman, Kitty Parham, etc.) et aussi avec les Davis Sisters, etc…, à Memphis avec les Brewster Singers, à Birmingham (Alabama) avec Dorothy Love Coates et les Gospel Harmonettes, etc… etc… Ces groupes et d’autres (4) vont déchaîner les passions et remplir les églises et lieux où ils se produisent. Ils vont abondamment enregistrer et c’est un bonheur total de réécouter leurs disques.</w:t>
      </w:r>
    </w:p>
    <w:p>
      <w:pPr>
        <w:pStyle w:val="Corpsdetexte"/>
        <w:bidi w:val="0"/>
        <w:spacing w:lineRule="auto" w:line="276" w:before="0" w:after="140"/>
        <w:jc w:val="left"/>
        <w:rPr/>
      </w:pPr>
      <w:r>
        <w:rPr/>
        <w:t>Pour la plupart, leur succès se perpétuera dans les périodes suivantes comme on peut le voir (l’écouter !) dans le CD 2 (années 50) et le CD 3 (1958-1962). Les notes de pochette de Jean Buzelin sont informatives et complètes. Il a judicieusement choisi les meilleurs titres qui représentent bien le génie et la qualité des interprètes, leur fougue et leur talent, leur swing implacable et leur engagement total, sans complexes. On n’en citera aucun en particulier, tous sont à écouter religieusement (oups !). Une réussite totale</w:t>
      </w:r>
    </w:p>
    <w:p>
      <w:pPr>
        <w:pStyle w:val="Corpsdetexte"/>
        <w:bidi w:val="0"/>
        <w:spacing w:lineRule="auto" w:line="276" w:before="0" w:after="140"/>
        <w:jc w:val="left"/>
        <w:rPr/>
      </w:pPr>
      <w:r>
        <w:rPr/>
        <w:t>Robert  Sacre</w:t>
      </w:r>
    </w:p>
    <w:p>
      <w:pPr>
        <w:pStyle w:val="Corpsdetexte"/>
        <w:bidi w:val="0"/>
        <w:spacing w:lineRule="auto" w:line="276" w:before="0" w:after="140"/>
        <w:jc w:val="left"/>
        <w:rPr/>
      </w:pPr>
      <w:r>
        <w:rPr/>
        <w:t>(1) Sauf, et encore, Mahalia Jackson et quelques solistes qui ont fait des tournées en Europe dans les sixties.</w:t>
      </w:r>
    </w:p>
    <w:p>
      <w:pPr>
        <w:pStyle w:val="Corpsdetexte"/>
        <w:bidi w:val="0"/>
        <w:spacing w:lineRule="auto" w:line="276" w:before="0" w:after="140"/>
        <w:jc w:val="left"/>
        <w:rPr/>
      </w:pPr>
      <w:r>
        <w:rPr/>
        <w:t>(2) A noter que Malaco Records à Jackson, Mississippi, dont le catalogue de gospel contemporain est fort riche, a acheté toutes les archives des mythiques Savoy Records et s’est engagé lui aussi dans la réédition des grands interprètes de gospel traditionnel ayant enregistré pour ce label.</w:t>
      </w:r>
    </w:p>
    <w:p>
      <w:pPr>
        <w:pStyle w:val="Corpsdetexte"/>
        <w:bidi w:val="0"/>
        <w:spacing w:lineRule="auto" w:line="276" w:before="0" w:after="140"/>
        <w:jc w:val="left"/>
        <w:rPr/>
      </w:pPr>
      <w:r>
        <w:rPr/>
        <w:t>(3) Le gospel est la « good news » music, là où le blues est la « bad news » music.</w:t>
      </w:r>
    </w:p>
    <w:p>
      <w:pPr>
        <w:pStyle w:val="Corpsdetexte"/>
        <w:bidi w:val="0"/>
        <w:jc w:val="left"/>
        <w:rPr>
          <w:lang w:val="nl-NL"/>
        </w:rPr>
      </w:pPr>
      <w:r>
        <w:rPr>
          <w:lang w:val="nl-NL"/>
        </w:rPr>
        <w:t>(4) Southern Harps, Southern Revivalists of New Orleans, Angelic Gospel Singers, Elite Jewels, Jackson Gospel Singer, Wings Over Dixie, Rosette Gospel Singers, Simmons Akers Trio, Lucy Smith Singers, Argo Gospel Singers, Della Rees &amp; Meditation Singers, Southern Echoes of Chicago, Stars of Faith, Jewel Gospel Singers, Bessie Griffin &amp; Gospel Pearls, Drexall Singers, Imperial Gospel Singers, Ingram Gospel Singer, Inez Andrews &amp; Andrewettes, Sally Jenkins Singers, …</w:t>
      </w:r>
    </w:p>
    <w:p>
      <w:pPr>
        <w:pStyle w:val="Corpsdetexte"/>
        <w:bidi w:val="0"/>
        <w:spacing w:before="0" w:after="0"/>
        <w:jc w:val="left"/>
        <w:rPr>
          <w:i/>
          <w:i/>
          <w:iCs/>
        </w:rPr>
      </w:pPr>
      <w:r>
        <w:rPr>
          <w:i/>
          <w:iCs/>
        </w:rPr>
        <w:t>« Shine On Me »</w:t>
      </w:r>
    </w:p>
    <w:p>
      <w:pPr>
        <w:pStyle w:val="Corpsdetexte"/>
        <w:bidi w:val="0"/>
        <w:spacing w:before="0" w:after="0"/>
        <w:jc w:val="left"/>
        <w:rPr/>
      </w:pPr>
      <w:hyperlink r:id="rId9">
        <w:r>
          <w:rPr>
            <w:rStyle w:val="LienInternet"/>
          </w:rPr>
          <w:t>https://www.youtube.com/watch?time_continue=4&amp;v=r0HqLMEnXLk&amp;feature=emb_logo</w:t>
        </w:r>
      </w:hyperlink>
      <w:r>
        <w:rPr/>
        <w:t xml:space="preserve"> </w:t>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pStyle w:val="Corpsdetexte"/>
        <w:bidi w:val="0"/>
        <w:spacing w:before="0" w:after="0"/>
        <w:jc w:val="left"/>
        <w:rPr/>
      </w:pPr>
      <w:r>
        <w:rPr/>
      </w:r>
    </w:p>
    <w:p>
      <w:pPr>
        <w:sectPr>
          <w:type w:val="continuous"/>
          <w:pgSz w:w="11906" w:h="16838"/>
          <w:pgMar w:left="1134" w:right="1134" w:header="0" w:top="1134" w:footer="0" w:bottom="1134" w:gutter="0"/>
          <w:formProt w:val="false"/>
          <w:textDirection w:val="lrTb"/>
        </w:sectPr>
      </w:pPr>
    </w:p>
    <w:p>
      <w:pPr>
        <w:pStyle w:val="Normal"/>
        <w:bidi w:val="0"/>
        <w:jc w:val="left"/>
        <w:rPr/>
      </w:pPr>
      <w:hyperlink r:id="rId10">
        <w:r>
          <w:rPr>
            <w:rStyle w:val="LienInternet"/>
            <w:rFonts w:ascii="Antonio-Bold" w:hAnsi="Antonio-Bold"/>
            <w:caps/>
            <w:color w:val="FFFFFF"/>
            <w:spacing w:val="15"/>
          </w:rPr>
          <w:t>C</w:t>
        </w:r>
      </w:hyperlink>
      <w:r>
        <w:rPr>
          <w:b/>
          <w:bCs/>
          <w:sz w:val="30"/>
          <w:szCs w:val="30"/>
        </w:rPr>
        <w:t xml:space="preserve"> </w:t>
      </w:r>
      <w:hyperlink r:id="rId11">
        <w:r>
          <w:rPr>
            <w:rStyle w:val="LienInternet"/>
            <w:b/>
            <w:bCs/>
            <w:sz w:val="30"/>
            <w:szCs w:val="30"/>
          </w:rPr>
          <w:t>Blues</w:t>
        </w:r>
      </w:hyperlink>
      <w:r>
        <w:rPr>
          <w:b/>
          <w:bCs/>
          <w:sz w:val="30"/>
          <w:szCs w:val="30"/>
        </w:rPr>
        <w:t xml:space="preserve"> </w:t>
      </w:r>
    </w:p>
    <w:p>
      <w:pPr>
        <w:pStyle w:val="Normal"/>
        <w:bidi w:val="0"/>
        <w:jc w:val="left"/>
        <w:rPr/>
      </w:pPr>
      <w:r>
        <w:rPr/>
        <w:drawing>
          <wp:inline distT="0" distB="0" distL="0" distR="0">
            <wp:extent cx="335915" cy="335915"/>
            <wp:effectExtent l="0" t="0" r="0" b="0"/>
            <wp:docPr id="4" name="Image6" desc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3"/>
                    </pic:cNvPr>
                    <pic:cNvPicPr>
                      <a:picLocks noChangeAspect="1" noChangeArrowheads="1"/>
                    </pic:cNvPicPr>
                  </pic:nvPicPr>
                  <pic:blipFill>
                    <a:blip r:embed="rId1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7"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5"/>
                    </pic:cNvPr>
                    <pic:cNvPicPr>
                      <a:picLocks noChangeAspect="1" noChangeArrowheads="1"/>
                    </pic:cNvPicPr>
                  </pic:nvPicPr>
                  <pic:blipFill>
                    <a:blip r:embed="rId1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numPr>
          <w:ilvl w:val="0"/>
          <w:numId w:val="0"/>
        </w:numPr>
        <w:bidi w:val="0"/>
        <w:jc w:val="left"/>
        <w:outlineLvl w:val="0"/>
        <w:rPr/>
      </w:pPr>
      <w:r>
        <w:rPr/>
        <w:t>Janiva Magness : Hard to Kill</w:t>
      </w:r>
    </w:p>
    <w:p>
      <w:pPr>
        <w:pStyle w:val="Corpsdetexte"/>
        <w:bidi w:val="0"/>
        <w:spacing w:lineRule="auto" w:line="276" w:before="0" w:after="140"/>
        <w:jc w:val="left"/>
        <w:rPr/>
      </w:pPr>
      <w:r>
        <w:rPr/>
        <w:t xml:space="preserve">Publié par </w:t>
      </w:r>
      <w:hyperlink r:id="rId16">
        <w:r>
          <w:rPr>
            <w:rStyle w:val="LienInternet"/>
          </w:rPr>
          <w:t>Robert Sacre</w:t>
        </w:r>
      </w:hyperlink>
      <w:r>
        <w:rPr/>
        <w:t xml:space="preserve"> le 7 octobre 2022 </w:t>
      </w:r>
    </w:p>
    <w:p>
      <w:pPr>
        <w:pStyle w:val="Corpsdetexte"/>
        <w:bidi w:val="0"/>
        <w:spacing w:lineRule="auto" w:line="276" w:before="0" w:after="140"/>
        <w:jc w:val="left"/>
        <w:rPr/>
      </w:pPr>
      <w:hyperlink r:id="rId17" w:tgtFrame="_blank">
        <w:r>
          <w:rPr>
            <w:rStyle w:val="LienInternet"/>
          </w:rPr>
          <w:t>Fathead Records</w:t>
        </w:r>
      </w:hyperlink>
      <w:r>
        <w:rPr>
          <w:color w:val="000000"/>
        </w:rPr>
        <w:t xml:space="preserve"> ‐ </w:t>
      </w:r>
      <w:r>
        <w:rPr>
          <w:color w:val="000000"/>
          <w:sz w:val="17"/>
        </w:rPr>
        <w:t>Références catalogue : FH1007</w:t>
      </w:r>
    </w:p>
    <w:p>
      <w:pPr>
        <w:pStyle w:val="Corpsdetexte"/>
        <w:bidi w:val="0"/>
        <w:spacing w:lineRule="auto" w:line="276" w:before="0" w:after="140"/>
        <w:jc w:val="left"/>
        <w:rPr/>
      </w:pPr>
      <w:r>
        <w:rPr/>
        <w:drawing>
          <wp:inline distT="0" distB="0" distL="0" distR="0">
            <wp:extent cx="1438275" cy="14382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18"/>
                    <a:stretch>
                      <a:fillRect/>
                    </a:stretch>
                  </pic:blipFill>
                  <pic:spPr bwMode="auto">
                    <a:xfrm>
                      <a:off x="0" y="0"/>
                      <a:ext cx="1438275" cy="1438275"/>
                    </a:xfrm>
                    <a:prstGeom prst="rect">
                      <a:avLst/>
                    </a:prstGeom>
                  </pic:spPr>
                </pic:pic>
              </a:graphicData>
            </a:graphic>
          </wp:inline>
        </w:drawing>
      </w:r>
    </w:p>
    <w:p>
      <w:pPr>
        <w:pStyle w:val="Corpsdetexte"/>
        <w:bidi w:val="0"/>
        <w:spacing w:lineRule="auto" w:line="276" w:before="0" w:after="140"/>
        <w:jc w:val="left"/>
        <w:rPr/>
      </w:pPr>
      <w:r>
        <w:rPr/>
        <w:t xml:space="preserve">      </w:t>
      </w:r>
      <w:r>
        <w:rPr/>
        <w:t>Une diva en blond cendré/platine maintenant ! La classe ! Ça lui va pas mal du tout ! C’est son 16è album studio, sur son propre label, après 3 ans d’absence (pandémie Covid oblige), avec 11 compos originales et la cover du « The Last Time » de John Hiatt en version haletante, péremptoire et assumée, un grand moment. Les fidèles sont là pour accompagner : Zach Zunis et Dave Darling (guitares), Jim Alfredson (Hammond B3, p) etc… Cerise sur le gâteau, tous les lyrics sont en notes de pochette et chacun conduit à ample réflexion et méditation, de par sa pertinence et son actualité. Le talent ! Un début en fanfare avec un « Strong as Steel » rentre dedans, qui lui va comme un gant, le diable ne veut pas d’elle, elle est trop dure à tuer ! Le reste est à l’avenant, en slow avec « Fireman » (éteindre les feux, drogues, etc…) et « Comes Around » (avec John Nemeth) ou « You and Me » (on peut si on veut… let’s do it…), en médium avec « Don’t You Forget About Me » enjoué, bien senti et sans rancune (c’est fini mais on reste amis…) mais aussi avec d’autres points forts comme « Oh Lord » avec une bonne partie de slide guitar (John Schroeder) (j’assume tout et je ne flancherai pas…) et un poignant « Oh Pearl », un appel émouvant à sa fille Pearl, abandonnée puis retrouvée mais toujours étrangère, qui prend aux tripes. Une mention encore à « Standing on the Moon » saccadé et nerveux. Don’t miss it.</w:t>
      </w:r>
    </w:p>
    <w:p>
      <w:pPr>
        <w:pStyle w:val="Corpsdetexte"/>
        <w:bidi w:val="0"/>
        <w:spacing w:lineRule="auto" w:line="276" w:before="0" w:after="140"/>
        <w:jc w:val="left"/>
        <w:rPr/>
      </w:pPr>
      <w:r>
        <w:rPr/>
        <w:t>Robert Sacre</w:t>
      </w:r>
    </w:p>
    <w:p>
      <w:pPr>
        <w:pStyle w:val="Corpsdetexte"/>
        <w:bidi w:val="0"/>
        <w:spacing w:before="0" w:after="0"/>
        <w:jc w:val="left"/>
        <w:rPr/>
      </w:pPr>
      <w:r>
        <w:rPr>
          <w:i/>
          <w:iCs/>
        </w:rPr>
        <w:t>« Oh Pearl </w:t>
      </w:r>
      <w:r>
        <w:rPr/>
        <w:t xml:space="preserve">»   </w:t>
      </w:r>
      <w:hyperlink r:id="rId19">
        <w:r>
          <w:rPr>
            <w:rStyle w:val="LienInternet"/>
          </w:rPr>
          <w:t>https://www.youtube.com/watch?v=BkMvra3cRI4&amp;t=6s</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sectPr>
      </w:pP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hyperlink r:id="rId20">
        <w:r>
          <w:rPr>
            <w:rStyle w:val="LienInternet"/>
            <w:sz w:val="36"/>
            <w:szCs w:val="36"/>
          </w:rPr>
          <w:t>Blues</w:t>
        </w:r>
      </w:hyperlink>
    </w:p>
    <w:p>
      <w:pPr>
        <w:sectPr>
          <w:type w:val="continuous"/>
          <w:pgSz w:w="11906" w:h="16838"/>
          <w:pgMar w:left="1134" w:right="1134" w:header="0" w:top="1134" w:footer="0" w:bottom="1134" w:gutter="0"/>
          <w:formProt w:val="false"/>
          <w:textDirection w:val="lrTb"/>
        </w:sectPr>
      </w:pPr>
    </w:p>
    <w:p>
      <w:pPr>
        <w:pStyle w:val="Titre1"/>
        <w:bidi w:val="0"/>
        <w:jc w:val="left"/>
        <w:rPr>
          <w:sz w:val="36"/>
          <w:szCs w:val="36"/>
        </w:rPr>
      </w:pPr>
      <w:r>
        <w:rPr>
          <w:sz w:val="36"/>
          <w:szCs w:val="36"/>
        </w:rPr>
        <w:t>Lightnin’ Hopkins : In New York</w:t>
      </w:r>
    </w:p>
    <w:p>
      <w:pPr>
        <w:pStyle w:val="Corpsdetexte"/>
        <w:bidi w:val="0"/>
        <w:spacing w:lineRule="auto" w:line="276" w:before="0" w:after="140"/>
        <w:jc w:val="left"/>
        <w:rPr/>
      </w:pPr>
      <w:r>
        <w:rPr/>
        <w:t xml:space="preserve">Publié par </w:t>
      </w:r>
      <w:hyperlink r:id="rId21">
        <w:r>
          <w:rPr>
            <w:rStyle w:val="LienInternet"/>
          </w:rPr>
          <w:t>Robert Sacre</w:t>
        </w:r>
      </w:hyperlink>
      <w:r>
        <w:rPr/>
        <w:t xml:space="preserve"> le 10 octobre 2022                                                                                         </w:t>
      </w:r>
      <w:hyperlink r:id="rId22" w:tgtFrame="_blank">
        <w:r>
          <w:rPr>
            <w:rStyle w:val="LienInternet"/>
          </w:rPr>
          <w:t>Candid</w:t>
        </w:r>
      </w:hyperlink>
      <w:r>
        <w:rPr>
          <w:color w:val="000000"/>
        </w:rPr>
        <w:t xml:space="preserve"> ‐ </w:t>
      </w:r>
      <w:r>
        <w:rPr>
          <w:color w:val="000000"/>
          <w:sz w:val="17"/>
        </w:rPr>
        <w:t>Références cataloque : CCD30102, réédition 2022</w:t>
      </w:r>
    </w:p>
    <w:p>
      <w:pPr>
        <w:pStyle w:val="Corpsdetexte"/>
        <w:bidi w:val="0"/>
        <w:spacing w:lineRule="auto" w:line="276" w:before="0" w:after="140"/>
        <w:jc w:val="left"/>
        <w:rPr/>
      </w:pPr>
      <w:r>
        <w:rPr/>
        <w:drawing>
          <wp:inline distT="0" distB="0" distL="0" distR="0">
            <wp:extent cx="1438275" cy="1438275"/>
            <wp:effectExtent l="0" t="0" r="0" b="0"/>
            <wp:docPr id="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2" descr=""/>
                    <pic:cNvPicPr>
                      <a:picLocks noChangeAspect="1" noChangeArrowheads="1"/>
                    </pic:cNvPicPr>
                  </pic:nvPicPr>
                  <pic:blipFill>
                    <a:blip r:embed="rId23"/>
                    <a:stretch>
                      <a:fillRect/>
                    </a:stretch>
                  </pic:blipFill>
                  <pic:spPr bwMode="auto">
                    <a:xfrm>
                      <a:off x="0" y="0"/>
                      <a:ext cx="1438275" cy="1438275"/>
                    </a:xfrm>
                    <a:prstGeom prst="rect">
                      <a:avLst/>
                    </a:prstGeom>
                  </pic:spPr>
                </pic:pic>
              </a:graphicData>
            </a:graphic>
          </wp:inline>
        </w:drawing>
      </w:r>
    </w:p>
    <w:p>
      <w:pPr>
        <w:pStyle w:val="Corpsdetexte"/>
        <w:bidi w:val="0"/>
        <w:spacing w:lineRule="auto" w:line="276" w:before="0" w:after="140"/>
        <w:jc w:val="left"/>
        <w:rPr/>
      </w:pPr>
      <w:r>
        <w:rPr/>
        <w:t xml:space="preserve">             </w:t>
      </w:r>
      <w:r>
        <w:rPr/>
        <w:t xml:space="preserve">Voilà une réédition très attendue (1). En octobre 1960, Hopkins vint seul à New York pour un séjour plus long que lors de sa visite précédente, quelques années auparavant (pour enregistrer « Folkways », ..) mais sans s’attarder dans la Grosse Pomme. C’était la première fois qu’il s’engageait dans un cycle de concerts dans des night clubs de l’Est. Il n’aimait pas se produire devant des publics blancs, une renommée internationale ne l’intéressait pas, il préférait jouer devant les publics noirs de Houston, sa ville natale, et au Texas. Hopkins pensait que ses blues racontant ses expériences de vie et sa dureté, son intimité, ses rapports avec les femmes et les gens en général, la ségrégation, les peines et les tragédies, ses préoccupations journalières (nourriture, santé, …) ne pouvaient pas intéresser un public blanc. A New York, en 1960, après 2 expériences foireuses dans des hôtels miteux, il fut hébergé pas Martha Ledbetter, veuve de Huddie Leadbelly. Et là, il se sentit à l’aise pour aborder l’épreuve de ces concerts avec public blanc. Le premier se tint en octobre au Carnegie Hall, en compagnie de Pete Seeger, Joan Baez, Bill McAdoo et d’autres. Hopkins remporta un franc succès avec un répertoire de chants humoristiques et folk, évitant ses blues trop personnels, dramatiques et tristes. Il prit ensuite de l’assurance au Village Gate où il « osa » jouer ses blues « tranches de vie » et quand il entra en studio Candid pour graver ces 8 faces, il était relax et naturel, comme à Houston. Très en verve et totalement décomplexé, il rappela aux producteurs qu’il avait commencé sa carrière à l’orgue puis au piano, avant de passer à la guitare et il souhaita montrer qu’il se défendait bien au piano. Cela a donné un trépidant « Lightnin’ s Piano Boogie » instrumental avec changements de tempo (slow puis rapide et slow) et un surprenant « Take It Easy » où il chante et passe allégrement du piano à la guitare et inversement, sans à-coups et avec dextérité. Dans la même veine, on a « Your Own Fault Baby to Treat Me the Way You Do », un slow blues au piano, introverti et décontracté tout à la fois. Le reste est aussi du pur Texas blues rural comme Hopkins en avait le secret : de « Mighty Crazy », mi-parlé et mi-chanté où il dialogue avec sa guitare sur un rythme de boogie, à « I’ve Had My Fun If I Don’t Get Well No More », en slow et mélancolique, en passant par de très personnels « Trouble Blues » et « Wonder Why » avec intros parlées et changements de rythme, pour conclure avec « Mr. Charlie » où Hopkins démontre ses talents de storyteller. Ceci en 2 parties : un talking blues de près de 4 minutes suivi d’une partie chant-guitare en slow (plus de 3 minutes).   </w:t>
      </w:r>
    </w:p>
    <w:p>
      <w:pPr>
        <w:pStyle w:val="Corpsdetexte"/>
        <w:bidi w:val="0"/>
        <w:spacing w:lineRule="auto" w:line="276" w:before="0" w:after="140"/>
        <w:jc w:val="left"/>
        <w:rPr/>
      </w:pPr>
      <w:r>
        <w:rPr/>
        <w:t>Robert SACRE</w:t>
      </w:r>
    </w:p>
    <w:p>
      <w:pPr>
        <w:pStyle w:val="Corpsdetexte"/>
        <w:bidi w:val="0"/>
        <w:spacing w:lineRule="auto" w:line="276" w:before="0" w:after="140"/>
        <w:jc w:val="left"/>
        <w:rPr/>
      </w:pPr>
      <w:r>
        <w:rPr/>
        <w:t>_ « </w:t>
      </w:r>
      <w:r>
        <w:rPr>
          <w:i/>
          <w:iCs/>
        </w:rPr>
        <w:t>Mighty Crazy » </w:t>
      </w:r>
      <w:hyperlink r:id="rId24">
        <w:r>
          <w:rPr>
            <w:rStyle w:val="LienInternet"/>
          </w:rPr>
          <w:t>https://www.youtube.com/watch?v=fUMtbWU56-s&amp;list=PLJ2CAIUJAVeK45feKuDA4THl9duO3im43</w:t>
        </w:r>
      </w:hyperlink>
      <w:r>
        <w:rPr/>
        <w:t xml:space="preserve"> </w:t>
      </w:r>
    </w:p>
    <w:p>
      <w:pPr>
        <w:pStyle w:val="Corpsdetexte"/>
        <w:numPr>
          <w:ilvl w:val="0"/>
          <w:numId w:val="2"/>
        </w:numPr>
        <w:bidi w:val="0"/>
        <w:jc w:val="left"/>
        <w:rPr/>
      </w:pPr>
      <w:r>
        <w:rPr/>
        <w:t>l’album Candid de 1960 (CS/CM8010) comportait une face supplémentaire (« Black Cat »). Pourquoi cet « oubli » ? 5 autres faces de cette séance parurent sous le label Mosaïc.</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sectPr>
          <w:type w:val="continuous"/>
          <w:pgSz w:w="11906" w:h="16838"/>
          <w:pgMar w:left="1134" w:right="1134" w:header="0" w:top="1134" w:footer="0" w:bottom="1134" w:gutter="0"/>
          <w:formProt w:val="false"/>
          <w:textDirection w:val="lrTb"/>
        </w:sectPr>
      </w:pPr>
    </w:p>
    <w:p>
      <w:pPr>
        <w:pStyle w:val="Normal"/>
        <w:bidi w:val="0"/>
        <w:jc w:val="left"/>
        <w:rPr/>
      </w:pPr>
      <w:hyperlink r:id="rId25">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8" name="Image14" descr="">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4" descr="">
                      <a:hlinkClick r:id="rId27"/>
                    </pic:cNvPr>
                    <pic:cNvPicPr>
                      <a:picLocks noChangeAspect="1" noChangeArrowheads="1"/>
                    </pic:cNvPicPr>
                  </pic:nvPicPr>
                  <pic:blipFill>
                    <a:blip r:embed="rId2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9" name="Image15" descr="">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5" descr="">
                      <a:hlinkClick r:id="rId29"/>
                    </pic:cNvPr>
                    <pic:cNvPicPr>
                      <a:picLocks noChangeAspect="1" noChangeArrowheads="1"/>
                    </pic:cNvPicPr>
                  </pic:nvPicPr>
                  <pic:blipFill>
                    <a:blip r:embed="rId28"/>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sectPr>
      </w:pPr>
    </w:p>
    <w:p>
      <w:pPr>
        <w:pStyle w:val="Titre1"/>
        <w:bidi w:val="0"/>
        <w:ind w:left="0" w:right="0" w:hanging="0"/>
        <w:jc w:val="left"/>
        <w:rPr/>
      </w:pPr>
      <w:r>
        <w:rPr/>
        <w:t>Kat Riggins : Progeny</w:t>
      </w:r>
    </w:p>
    <w:p>
      <w:pPr>
        <w:pStyle w:val="Corpsdetexte"/>
        <w:bidi w:val="0"/>
        <w:ind w:left="0" w:right="0" w:hanging="0"/>
        <w:jc w:val="left"/>
        <w:rPr/>
      </w:pPr>
      <w:r>
        <w:rPr/>
        <w:t xml:space="preserve">Publié par </w:t>
      </w:r>
      <w:hyperlink r:id="rId30">
        <w:r>
          <w:rPr>
            <w:rStyle w:val="LienInternet"/>
          </w:rPr>
          <w:t>Robert Sacre</w:t>
        </w:r>
      </w:hyperlink>
      <w:r>
        <w:rPr/>
        <w:t xml:space="preserve"> le 14 octobre 2022 </w:t>
      </w:r>
    </w:p>
    <w:p>
      <w:pPr>
        <w:pStyle w:val="Corpsdetexte"/>
        <w:bidi w:val="0"/>
        <w:spacing w:lineRule="auto" w:line="276" w:before="0" w:after="140"/>
        <w:jc w:val="left"/>
        <w:rPr/>
      </w:pPr>
      <w:hyperlink r:id="rId31" w:tgtFrame="_blank">
        <w:r>
          <w:rPr>
            <w:rStyle w:val="LienInternet"/>
          </w:rPr>
          <w:t>Gulf Coast Records</w:t>
        </w:r>
      </w:hyperlink>
    </w:p>
    <w:p>
      <w:pPr>
        <w:pStyle w:val="Corpsdetexte"/>
        <w:bidi w:val="0"/>
        <w:spacing w:lineRule="auto" w:line="276" w:before="0" w:after="140"/>
        <w:jc w:val="left"/>
        <w:rPr/>
      </w:pPr>
      <w:r>
        <w:rPr/>
        <w:drawing>
          <wp:inline distT="0" distB="0" distL="0" distR="0">
            <wp:extent cx="1438275" cy="1438275"/>
            <wp:effectExtent l="0" t="0" r="0" b="0"/>
            <wp:docPr id="1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6" descr=""/>
                    <pic:cNvPicPr>
                      <a:picLocks noChangeAspect="1" noChangeArrowheads="1"/>
                    </pic:cNvPicPr>
                  </pic:nvPicPr>
                  <pic:blipFill>
                    <a:blip r:embed="rId32"/>
                    <a:stretch>
                      <a:fillRect/>
                    </a:stretch>
                  </pic:blipFill>
                  <pic:spPr bwMode="auto">
                    <a:xfrm>
                      <a:off x="0" y="0"/>
                      <a:ext cx="1438275" cy="1438275"/>
                    </a:xfrm>
                    <a:prstGeom prst="rect">
                      <a:avLst/>
                    </a:prstGeom>
                  </pic:spPr>
                </pic:pic>
              </a:graphicData>
            </a:graphic>
          </wp:inline>
        </w:drawing>
      </w:r>
    </w:p>
    <w:p>
      <w:pPr>
        <w:pStyle w:val="Corpsdetexte"/>
        <w:bidi w:val="0"/>
        <w:spacing w:lineRule="auto" w:line="276" w:before="0" w:after="140"/>
        <w:jc w:val="left"/>
        <w:rPr/>
      </w:pPr>
      <w:r>
        <w:rPr/>
        <w:t xml:space="preserve">      </w:t>
      </w:r>
      <w:r>
        <w:rPr/>
        <w:t>Kat(riva) Riggins est née à Miami, en Floride, en février 1980. Ses parents étaient de grands amateurs de musiques de tous les styles, et elle a grandi aux sons du gospel et du blues, de la soul et du rock et même de la musique country. Il n’est pas étonnant dès lors que son style soit un mélange de blues influencé par le hip hop, la pop, le rock, le gospel, la soul et la country, et qu’elle parcourt le monde avec une mission précise, celle de promouvoir le blues et le rendre plus fort que jamais par le biais de son Blues Revival Movement.</w:t>
      </w:r>
    </w:p>
    <w:p>
      <w:pPr>
        <w:pStyle w:val="Corpsdetexte"/>
        <w:bidi w:val="0"/>
        <w:spacing w:lineRule="auto" w:line="276" w:before="0" w:after="140"/>
        <w:jc w:val="left"/>
        <w:rPr/>
      </w:pPr>
      <w:r>
        <w:rPr/>
        <w:t>« Progeny » est son 5è album (et le second pour Gulf Coast après « Cry Out » paru en 2020). Ce titre est générique et ne correspond à aucune face. C’est un synopsis de tout l’album qui traite, selon les termes de Riggins elle-même, de la famille, de l’amour, de la peine, de la passion, de la colère, de la force, de la paix, de la joie et de … Dieu ! Mike Zito a produit la séance avec Bud Snyder et, bien sûr, il joue de la guitare, entouré d’une section rythmique solide (entre autres Lewis Stephens, keyboard) et de guests. Kat Riggins, au chant, a composé les 11 titres dont un interlude gospel court a capella (1’30) : « Walk With Me Lord », et a voulu rendre hommage à sa mère et à son père, ainsi qu’à ses ancêtres, comme on le découvre entre autres avec « Warriors » et « In My Blood », chantés avec conviction, voire colère, deux blues enlevés, autobiographiques et aussi avec « Mama », un slow blues chargé d’émotion (maman tu me manques…). « My City » aussi est autobiographique mais sur un mode gai et festif. C’est un cri d’amour exalté de Riggins pour sa ville natale, Miami, avec le rappeur Busta Free et le guitariste Albert Castiglia, tous les deux très inspirés et créatifs. Une invitée de marque encore avec Melody Angel (gt) pour un slow blues féministe et militant, une ode à la femme : « Woahman » ( = woman). Bilan largement positif.</w:t>
      </w:r>
    </w:p>
    <w:p>
      <w:pPr>
        <w:pStyle w:val="Corpsdetexte"/>
        <w:bidi w:val="0"/>
        <w:spacing w:lineRule="auto" w:line="276" w:before="0" w:after="140"/>
        <w:jc w:val="left"/>
        <w:rPr/>
      </w:pPr>
      <w:r>
        <w:rPr/>
        <w:t>Robert Sacre</w:t>
      </w:r>
    </w:p>
    <w:p>
      <w:pPr>
        <w:pStyle w:val="Corpsdetexte"/>
        <w:bidi w:val="0"/>
        <w:spacing w:lineRule="auto" w:line="276" w:before="0" w:after="140"/>
        <w:jc w:val="left"/>
        <w:rPr/>
      </w:pPr>
      <w:r>
        <w:rPr/>
      </w:r>
    </w:p>
    <w:p>
      <w:pPr>
        <w:pStyle w:val="Corpsdetexte"/>
        <w:bidi w:val="0"/>
        <w:spacing w:lineRule="auto" w:line="276" w:before="0" w:after="140"/>
        <w:jc w:val="left"/>
        <w:rPr/>
      </w:pPr>
      <w:r>
        <w:rPr/>
        <w:t>« </w:t>
      </w:r>
      <w:r>
        <w:rPr>
          <w:i/>
          <w:iCs/>
        </w:rPr>
        <w:t xml:space="preserve">Walk On </w:t>
      </w:r>
      <w:r>
        <w:rPr/>
        <w:t xml:space="preserve">«    </w:t>
      </w:r>
      <w:hyperlink r:id="rId33">
        <w:r>
          <w:rPr>
            <w:rStyle w:val="LienInternet"/>
          </w:rPr>
          <w:t>https://www.youtube.com/watch?v=WcsluS05ZXg</w:t>
        </w:r>
      </w:hyperlink>
      <w:r>
        <w:rPr/>
        <w:t xml:space="preserve"> </w:t>
      </w:r>
    </w:p>
    <w:p>
      <w:pPr>
        <w:pStyle w:val="Normal"/>
        <w:bidi w:val="0"/>
        <w:jc w:val="left"/>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swiss"/>
    <w:pitch w:val="variable"/>
  </w:font>
  <w:font w:name="Liberation Sans">
    <w:altName w:val="Arial"/>
    <w:charset w:val="00"/>
    <w:family w:val="roman"/>
    <w:pitch w:val="variable"/>
  </w:font>
  <w:font w:name="Antonio-Bold">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fr-BE"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fr-BE" w:eastAsia="zh-CN" w:bidi="hi-IN"/>
    </w:rPr>
  </w:style>
  <w:style w:type="paragraph" w:styleId="Titre1">
    <w:name w:val="Heading 1"/>
    <w:basedOn w:val="Titreprincipal"/>
    <w:next w:val="Corpsdetexte"/>
    <w:qFormat/>
    <w:pPr>
      <w:numPr>
        <w:ilvl w:val="0"/>
        <w:numId w:val="0"/>
      </w:numPr>
      <w:outlineLvl w:val="0"/>
    </w:pPr>
    <w:rPr>
      <w:rFonts w:ascii="Liberation Serif" w:hAnsi="Liberation Serif" w:eastAsia="NSimSun"/>
      <w:b/>
      <w:bCs/>
      <w:sz w:val="48"/>
      <w:szCs w:val="48"/>
    </w:rPr>
  </w:style>
  <w:style w:type="character" w:styleId="LienInternet">
    <w:name w:val="Lien Internet"/>
    <w:rPr>
      <w:color w:val="000080"/>
      <w:u w:val="single"/>
    </w:rPr>
  </w:style>
  <w:style w:type="character" w:styleId="DefaultParagraphFont">
    <w:name w:val="Default Paragraph Font"/>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Caption">
    <w:name w:val="caption"/>
    <w:basedOn w:val="Normal"/>
    <w:qFormat/>
    <w:pPr>
      <w:suppressLineNumbers/>
      <w:spacing w:before="120" w:after="120"/>
    </w:pPr>
    <w:rPr>
      <w:i/>
      <w:iCs/>
    </w:rPr>
  </w:style>
  <w:style w:type="paragraph" w:styleId="Titreprincipal">
    <w:name w:val="Title"/>
    <w:basedOn w:val="Normal"/>
    <w:next w:val="Corpsdetexte"/>
    <w:qFormat/>
    <w:pPr>
      <w:keepNext w:val="true"/>
      <w:spacing w:before="240" w:after="120"/>
    </w:pPr>
    <w:rPr>
      <w:rFonts w:ascii="Liberation Sans" w:hAnsi="Liberation Sans" w:eastAsia="Microsoft YaHei"/>
      <w:sz w:val="28"/>
      <w:szCs w:val="28"/>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facebook.com/sharer.php?u=https://jazzmania.be/gospel-female-gospel-groups-1940-1962/&amp;t=Gospel%20:%20Female%20Gospel%20Groups,%201940-1962" TargetMode="External"/><Relationship Id="rId4" Type="http://schemas.openxmlformats.org/officeDocument/2006/relationships/image" Target="media/image2.png"/><Relationship Id="rId5" Type="http://schemas.openxmlformats.org/officeDocument/2006/relationships/hyperlink" Target="https://twitter.com/share?url=https://jazzmania.be/gospel-female-gospel-groups-1940-1962/&amp;text=Gospel%20:%20Female%20Gospel%20Groups,%201940-1962%20https://jazzmania.be/gospel-female-gospel-groups-1940-1962/" TargetMode="External"/><Relationship Id="rId6" Type="http://schemas.openxmlformats.org/officeDocument/2006/relationships/hyperlink" Target="https://jazzmania.be/author/robertsacre/" TargetMode="External"/><Relationship Id="rId7" Type="http://schemas.openxmlformats.org/officeDocument/2006/relationships/hyperlink" Target="https://www.fremeaux.com/fr/6600-gospel-vol-6-female-gospel-groups-1940-1962-3561302582429-fa5824.html" TargetMode="External"/><Relationship Id="rId8" Type="http://schemas.openxmlformats.org/officeDocument/2006/relationships/image" Target="media/image3.jpeg"/><Relationship Id="rId9" Type="http://schemas.openxmlformats.org/officeDocument/2006/relationships/hyperlink" Target="https://www.youtube.com/watch?time_continue=4&amp;v=r0HqLMEnXLk&amp;feature=emb_logo" TargetMode="External"/><Relationship Id="rId10" Type="http://schemas.openxmlformats.org/officeDocument/2006/relationships/hyperlink" Target="https://jazzmania.be/category/chroniques/" TargetMode="External"/><Relationship Id="rId11" Type="http://schemas.openxmlformats.org/officeDocument/2006/relationships/hyperlink" Target="https://jazzmania.be/category/chroniques/chroniques-blues/" TargetMode="External"/><Relationship Id="rId12" Type="http://schemas.openxmlformats.org/officeDocument/2006/relationships/image" Target="media/image4.png"/><Relationship Id="rId13" Type="http://schemas.openxmlformats.org/officeDocument/2006/relationships/hyperlink" Target="https://www.facebook.com/sharer.php?u=https://jazzmania.be/janiva-magness-hard-to-kill/&amp;t=Janiva%20Magness&#160;:%20Hard%20to%20Kill" TargetMode="External"/><Relationship Id="rId14" Type="http://schemas.openxmlformats.org/officeDocument/2006/relationships/image" Target="media/image5.png"/><Relationship Id="rId15" Type="http://schemas.openxmlformats.org/officeDocument/2006/relationships/hyperlink" Target="https://twitter.com/share?url=https://jazzmania.be/janiva-magness-hard-to-kill/&amp;text=Janiva%20Magness&#160;:%20Hard%20to%20Kill%20https://jazzmania.be/janiva-magness-hard-to-kill/" TargetMode="External"/><Relationship Id="rId16" Type="http://schemas.openxmlformats.org/officeDocument/2006/relationships/hyperlink" Target="https://jazzmania.be/author/robertsacre/" TargetMode="External"/><Relationship Id="rId17" Type="http://schemas.openxmlformats.org/officeDocument/2006/relationships/hyperlink" Target="https://ingrv.es/hard-to-kill-pad-x" TargetMode="External"/><Relationship Id="rId18" Type="http://schemas.openxmlformats.org/officeDocument/2006/relationships/image" Target="media/image6.jpeg"/><Relationship Id="rId19" Type="http://schemas.openxmlformats.org/officeDocument/2006/relationships/hyperlink" Target="https://www.youtube.com/watch?v=BkMvra3cRI4&amp;t=6s" TargetMode="External"/><Relationship Id="rId20" Type="http://schemas.openxmlformats.org/officeDocument/2006/relationships/hyperlink" Target="https://jazzmania.be/category/antholo-jazz/antholojazz-blues/" TargetMode="External"/><Relationship Id="rId21" Type="http://schemas.openxmlformats.org/officeDocument/2006/relationships/hyperlink" Target="https://jazzmania.be/author/robertsacre/" TargetMode="External"/><Relationship Id="rId22" Type="http://schemas.openxmlformats.org/officeDocument/2006/relationships/hyperlink" Target="https://candidrecords.com/products/lightnin-in-new-york" TargetMode="External"/><Relationship Id="rId23" Type="http://schemas.openxmlformats.org/officeDocument/2006/relationships/image" Target="media/image7.jpeg"/><Relationship Id="rId24" Type="http://schemas.openxmlformats.org/officeDocument/2006/relationships/hyperlink" Target="https://www.youtube.com/watch?v=fUMtbWU56-s&amp;list=PLJ2CAIUJAVeK45feKuDA4THl9duO3im43" TargetMode="External"/><Relationship Id="rId25" Type="http://schemas.openxmlformats.org/officeDocument/2006/relationships/hyperlink" Target="https://jazzmania.be/category/chroniques/chroniques-blues/" TargetMode="External"/><Relationship Id="rId26" Type="http://schemas.openxmlformats.org/officeDocument/2006/relationships/image" Target="media/image8.png"/><Relationship Id="rId27" Type="http://schemas.openxmlformats.org/officeDocument/2006/relationships/hyperlink" Target="https://www.facebook.com/sharer.php?u=https://jazzmania.be/kat-riggins-progeny/&amp;t=Kat%20Riggins&#160;:%20Progeny" TargetMode="External"/><Relationship Id="rId28" Type="http://schemas.openxmlformats.org/officeDocument/2006/relationships/image" Target="media/image9.png"/><Relationship Id="rId29" Type="http://schemas.openxmlformats.org/officeDocument/2006/relationships/hyperlink" Target="https://twitter.com/share?url=https://jazzmania.be/kat-riggins-progeny/&amp;text=Kat%20Riggins&#160;:%20Progeny%20https://jazzmania.be/kat-riggins-progeny/" TargetMode="External"/><Relationship Id="rId30" Type="http://schemas.openxmlformats.org/officeDocument/2006/relationships/hyperlink" Target="https://jazzmania.be/author/robertsacre/" TargetMode="External"/><Relationship Id="rId31" Type="http://schemas.openxmlformats.org/officeDocument/2006/relationships/hyperlink" Target="https://gulfcoastrecords.bigcartel.com/product/kat-riggins-progeny-cd-pre-order" TargetMode="External"/><Relationship Id="rId32" Type="http://schemas.openxmlformats.org/officeDocument/2006/relationships/image" Target="media/image10.jpeg"/><Relationship Id="rId33" Type="http://schemas.openxmlformats.org/officeDocument/2006/relationships/hyperlink" Target="https://www.youtube.com/watch?v=WcsluS05ZXg" TargetMode="External"/><Relationship Id="rId34" Type="http://schemas.openxmlformats.org/officeDocument/2006/relationships/numbering" Target="numbering.xm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LibreOffice/6.3.2.2$Windows_X86_64 LibreOffice_project/98b30e735bda24bc04ab42594c85f7fd8be07b9c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2022-10-21T09:31:48Z</dcterms:created>
  <dc:creator/>
  <dc:description/>
  <dc:language>fr-BE</dc:language>
  <cp:lastModifiedBy/>
  <dcterms:modified xsi:type="dcterms:W3CDTF">2022-10-21T09:32:17Z</dcterms:modified>
  <cp:revision>1</cp:revision>
  <dc:subject/>
  <dc:title/>
</cp:coreProperties>
</file>