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DE1" w:rsidRPr="0012013A" w:rsidRDefault="00D32DE1" w:rsidP="00D32DE1">
      <w:pPr>
        <w:spacing w:after="587" w:line="265" w:lineRule="auto"/>
        <w:ind w:left="1854" w:right="0" w:hanging="10"/>
        <w:jc w:val="left"/>
        <w:rPr>
          <w:lang w:val="fr-BE"/>
        </w:rPr>
      </w:pPr>
      <w:r w:rsidRPr="0012013A">
        <w:rPr>
          <w:b/>
          <w:lang w:val="fr-BE"/>
        </w:rPr>
        <w:t>La (non)maternité sous le prisme de la pensée féministe</w:t>
      </w:r>
    </w:p>
    <w:p w:rsidR="00D32DE1" w:rsidRPr="0012013A" w:rsidRDefault="00D32DE1" w:rsidP="00D32DE1">
      <w:pPr>
        <w:spacing w:after="14" w:line="265" w:lineRule="auto"/>
        <w:ind w:left="10" w:right="-12" w:hanging="10"/>
        <w:jc w:val="right"/>
        <w:rPr>
          <w:lang w:val="fr-BE"/>
        </w:rPr>
      </w:pPr>
      <w:r w:rsidRPr="0012013A">
        <w:rPr>
          <w:lang w:val="fr-BE"/>
        </w:rPr>
        <w:t>Claire G</w:t>
      </w:r>
      <w:r w:rsidRPr="0012013A">
        <w:rPr>
          <w:sz w:val="19"/>
          <w:lang w:val="fr-BE"/>
        </w:rPr>
        <w:t>AVRAY</w:t>
      </w:r>
    </w:p>
    <w:p w:rsidR="00D32DE1" w:rsidRPr="0012013A" w:rsidRDefault="00D32DE1" w:rsidP="00D32DE1">
      <w:pPr>
        <w:spacing w:after="592" w:line="265" w:lineRule="auto"/>
        <w:ind w:left="10" w:right="-12" w:hanging="10"/>
        <w:jc w:val="right"/>
        <w:rPr>
          <w:lang w:val="fr-BE"/>
        </w:rPr>
      </w:pPr>
      <w:r w:rsidRPr="0012013A">
        <w:rPr>
          <w:lang w:val="fr-BE"/>
        </w:rPr>
        <w:t>Université de Liège</w:t>
      </w:r>
    </w:p>
    <w:p w:rsidR="00D32DE1" w:rsidRPr="0012013A" w:rsidRDefault="00D32DE1" w:rsidP="00D32DE1">
      <w:pPr>
        <w:spacing w:after="4" w:line="249" w:lineRule="auto"/>
        <w:ind w:left="10" w:right="38" w:hanging="10"/>
        <w:jc w:val="right"/>
        <w:rPr>
          <w:lang w:val="fr-BE"/>
        </w:rPr>
      </w:pPr>
      <w:r w:rsidRPr="0012013A">
        <w:rPr>
          <w:sz w:val="21"/>
          <w:lang w:val="fr-BE"/>
        </w:rPr>
        <w:t xml:space="preserve">« Penser la procréation » exige de poser une question radicale : </w:t>
      </w:r>
    </w:p>
    <w:p w:rsidR="00D32DE1" w:rsidRPr="0012013A" w:rsidRDefault="00D32DE1" w:rsidP="00D32DE1">
      <w:pPr>
        <w:spacing w:after="4" w:line="249" w:lineRule="auto"/>
        <w:ind w:left="990" w:right="38" w:hanging="10"/>
        <w:jc w:val="right"/>
        <w:rPr>
          <w:lang w:val="fr-BE"/>
        </w:rPr>
      </w:pPr>
      <w:proofErr w:type="gramStart"/>
      <w:r w:rsidRPr="0012013A">
        <w:rPr>
          <w:sz w:val="21"/>
          <w:lang w:val="fr-BE"/>
        </w:rPr>
        <w:t>pourquoi</w:t>
      </w:r>
      <w:proofErr w:type="gramEnd"/>
      <w:r w:rsidRPr="0012013A">
        <w:rPr>
          <w:sz w:val="21"/>
          <w:lang w:val="fr-BE"/>
        </w:rPr>
        <w:t xml:space="preserve"> pensons-nous qu’il soit nécessaire de procréer ? Question singulièrement absente des travaux de la critique féministe dans les sciences sociales : si l’idée « pour perpétuer l’espèce » est ce qui vient d’emblée à l’esprit, on tient peut-être au collet l’obstacle épistémologique. </w:t>
      </w:r>
    </w:p>
    <w:p w:rsidR="00D32DE1" w:rsidRPr="0012013A" w:rsidRDefault="00D32DE1" w:rsidP="00D32DE1">
      <w:pPr>
        <w:spacing w:after="762" w:line="235" w:lineRule="auto"/>
        <w:ind w:left="3676" w:hanging="434"/>
        <w:rPr>
          <w:lang w:val="fr-BE"/>
        </w:rPr>
      </w:pPr>
      <w:r w:rsidRPr="0012013A">
        <w:rPr>
          <w:sz w:val="21"/>
          <w:lang w:val="fr-BE"/>
        </w:rPr>
        <w:t>Serait-ce que, en sciences sociales, nous adhérons aussi, à demi-mot, à l’idée que la pulsion de procréation existe « dans la nature »</w:t>
      </w:r>
      <w:r>
        <w:rPr>
          <w:sz w:val="19"/>
          <w:vertAlign w:val="superscript"/>
        </w:rPr>
        <w:footnoteReference w:id="1"/>
      </w:r>
      <w:r w:rsidRPr="0012013A">
        <w:rPr>
          <w:sz w:val="21"/>
          <w:lang w:val="fr-BE"/>
        </w:rPr>
        <w:t xml:space="preserve"> ? </w:t>
      </w:r>
    </w:p>
    <w:p w:rsidR="00D32DE1" w:rsidRPr="0012013A" w:rsidRDefault="00D32DE1" w:rsidP="00D32DE1">
      <w:pPr>
        <w:ind w:left="-15" w:right="0" w:firstLine="282"/>
        <w:rPr>
          <w:lang w:val="fr-BE"/>
        </w:rPr>
      </w:pPr>
      <w:r w:rsidRPr="0012013A">
        <w:rPr>
          <w:lang w:val="fr-BE"/>
        </w:rPr>
        <w:t xml:space="preserve">« Un enfant quand je veux, si je veux », scandaient, en 1971, les féministes de l’Europe du nord favorables à l’avortement. Aujourd’hui dans nos pays, rares sont les personnes qui questionnent le droit de chaque citoyen et chaque citoyenne à décider de ses choix de vie, notamment en matière de relations amicales et amoureuses, de parentalité…, mais on peut s’interroger sur ce droit, lui aussi, à son tour, conçu comme une évidence. </w:t>
      </w:r>
    </w:p>
    <w:p w:rsidR="00BB7F67" w:rsidRDefault="00D32DE1" w:rsidP="00D32DE1">
      <w:pPr>
        <w:rPr>
          <w:lang w:val="fr-BE"/>
        </w:rPr>
      </w:pPr>
      <w:r w:rsidRPr="0012013A">
        <w:rPr>
          <w:lang w:val="fr-BE"/>
        </w:rPr>
        <w:t>Si l’objet de ce livre porte sur la non-maternité, les études de genre nous apprennent que l’on ne peut comprendre un pôle qu’en s’intéressant à celui qui lui est opposé</w:t>
      </w:r>
      <w:r>
        <w:rPr>
          <w:sz w:val="22"/>
          <w:vertAlign w:val="superscript"/>
        </w:rPr>
        <w:footnoteReference w:id="2"/>
      </w:r>
      <w:r w:rsidRPr="0012013A">
        <w:rPr>
          <w:lang w:val="fr-BE"/>
        </w:rPr>
        <w:t>. Maternité et non maternité se doivent d’être étudiées en relation. C’est ce principe que nous avons appliqué à notre présentation. Celle-ci mobilise principalement une littérature historique et sociologique francophone qui correspond à l’environnement géographique et culturel familier aux auteurs et lecteurs potentiels de cet ouvrage. Ces pages ont une double vocation : premièrement, relater la manière dont les mouvements de femmes et mouvements féministes</w:t>
      </w:r>
      <w:r>
        <w:rPr>
          <w:sz w:val="22"/>
          <w:vertAlign w:val="superscript"/>
        </w:rPr>
        <w:footnoteReference w:id="3"/>
      </w:r>
      <w:r w:rsidRPr="0012013A">
        <w:rPr>
          <w:lang w:val="fr-BE"/>
        </w:rPr>
        <w:t>ont évolué au niveau de leur façon de penser la maternité et la non-maternité ; conjointement replacer ces prises de position dans l’évolution générale des idées et de la société.</w:t>
      </w:r>
    </w:p>
    <w:p w:rsidR="00D32DE1" w:rsidRDefault="00D32DE1" w:rsidP="00D32DE1">
      <w:r>
        <w:t>……..</w:t>
      </w:r>
      <w:bookmarkStart w:id="0" w:name="_GoBack"/>
      <w:bookmarkEnd w:id="0"/>
    </w:p>
    <w:sectPr w:rsidR="00D3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E1" w:rsidRDefault="00D32DE1" w:rsidP="00D32DE1">
      <w:pPr>
        <w:spacing w:after="0" w:line="240" w:lineRule="auto"/>
      </w:pPr>
      <w:r>
        <w:separator/>
      </w:r>
    </w:p>
  </w:endnote>
  <w:endnote w:type="continuationSeparator" w:id="0">
    <w:p w:rsidR="00D32DE1" w:rsidRDefault="00D32DE1" w:rsidP="00D3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E1" w:rsidRDefault="00D32DE1" w:rsidP="00D32DE1">
      <w:pPr>
        <w:spacing w:after="0" w:line="240" w:lineRule="auto"/>
      </w:pPr>
      <w:r>
        <w:separator/>
      </w:r>
    </w:p>
  </w:footnote>
  <w:footnote w:type="continuationSeparator" w:id="0">
    <w:p w:rsidR="00D32DE1" w:rsidRDefault="00D32DE1" w:rsidP="00D32DE1">
      <w:pPr>
        <w:spacing w:after="0" w:line="240" w:lineRule="auto"/>
      </w:pPr>
      <w:r>
        <w:continuationSeparator/>
      </w:r>
    </w:p>
  </w:footnote>
  <w:footnote w:id="1">
    <w:p w:rsidR="00D32DE1" w:rsidRPr="0012013A" w:rsidRDefault="00D32DE1" w:rsidP="00D32DE1">
      <w:pPr>
        <w:pStyle w:val="footnotedescription"/>
        <w:spacing w:after="45" w:line="247" w:lineRule="auto"/>
        <w:rPr>
          <w:lang w:val="fr-BE"/>
        </w:rPr>
      </w:pPr>
      <w:r>
        <w:rPr>
          <w:rStyle w:val="footnotemark"/>
        </w:rPr>
        <w:footnoteRef/>
      </w:r>
      <w:r w:rsidRPr="0012013A">
        <w:rPr>
          <w:lang w:val="fr-BE"/>
        </w:rPr>
        <w:t xml:space="preserve"> T</w:t>
      </w:r>
      <w:r w:rsidRPr="0012013A">
        <w:rPr>
          <w:sz w:val="16"/>
          <w:lang w:val="fr-BE"/>
        </w:rPr>
        <w:t>OURAILLE</w:t>
      </w:r>
      <w:r w:rsidRPr="0012013A">
        <w:rPr>
          <w:lang w:val="fr-BE"/>
        </w:rPr>
        <w:t xml:space="preserve"> Priscille, « Du désir de procréer : des cultures plus naturalistes que la Nature ? », </w:t>
      </w:r>
      <w:r w:rsidRPr="0012013A">
        <w:rPr>
          <w:i/>
          <w:lang w:val="fr-BE"/>
        </w:rPr>
        <w:t>Nouvelles Questions Féministes</w:t>
      </w:r>
      <w:r w:rsidRPr="0012013A">
        <w:rPr>
          <w:lang w:val="fr-BE"/>
        </w:rPr>
        <w:t>, vol 30, n° 1, 2011, p. 55.</w:t>
      </w:r>
    </w:p>
  </w:footnote>
  <w:footnote w:id="2">
    <w:p w:rsidR="00D32DE1" w:rsidRPr="0012013A" w:rsidRDefault="00D32DE1" w:rsidP="00D32DE1">
      <w:pPr>
        <w:pStyle w:val="footnotedescription"/>
        <w:spacing w:after="47" w:line="252" w:lineRule="auto"/>
        <w:jc w:val="both"/>
        <w:rPr>
          <w:lang w:val="fr-BE"/>
        </w:rPr>
      </w:pPr>
      <w:r>
        <w:rPr>
          <w:rStyle w:val="footnotemark"/>
        </w:rPr>
        <w:footnoteRef/>
      </w:r>
      <w:r w:rsidRPr="0012013A">
        <w:rPr>
          <w:lang w:val="fr-BE"/>
        </w:rPr>
        <w:t xml:space="preserve"> B</w:t>
      </w:r>
      <w:r w:rsidRPr="0012013A">
        <w:rPr>
          <w:sz w:val="16"/>
          <w:lang w:val="fr-BE"/>
        </w:rPr>
        <w:t>ERENI</w:t>
      </w:r>
      <w:r w:rsidRPr="0012013A">
        <w:rPr>
          <w:lang w:val="fr-BE"/>
        </w:rPr>
        <w:t xml:space="preserve"> Laure </w:t>
      </w:r>
      <w:r w:rsidRPr="0012013A">
        <w:rPr>
          <w:i/>
          <w:lang w:val="fr-BE"/>
        </w:rPr>
        <w:t>et al.,</w:t>
      </w:r>
      <w:r w:rsidRPr="0012013A">
        <w:rPr>
          <w:lang w:val="fr-BE"/>
        </w:rPr>
        <w:t xml:space="preserve"> </w:t>
      </w:r>
      <w:r w:rsidRPr="0012013A">
        <w:rPr>
          <w:i/>
          <w:lang w:val="fr-BE"/>
        </w:rPr>
        <w:t>Introduction aux études sur le genre</w:t>
      </w:r>
      <w:r w:rsidRPr="0012013A">
        <w:rPr>
          <w:lang w:val="fr-BE"/>
        </w:rPr>
        <w:t>, Louvain-la-Neuve, De Boeck Supérieur, 2</w:t>
      </w:r>
      <w:r w:rsidRPr="0012013A">
        <w:rPr>
          <w:sz w:val="18"/>
          <w:vertAlign w:val="superscript"/>
          <w:lang w:val="fr-BE"/>
        </w:rPr>
        <w:t>e</w:t>
      </w:r>
      <w:r w:rsidRPr="0012013A">
        <w:rPr>
          <w:lang w:val="fr-BE"/>
        </w:rPr>
        <w:t xml:space="preserve"> éd., 2012.</w:t>
      </w:r>
    </w:p>
  </w:footnote>
  <w:footnote w:id="3">
    <w:p w:rsidR="00D32DE1" w:rsidRPr="0012013A" w:rsidRDefault="00D32DE1" w:rsidP="00D32DE1">
      <w:pPr>
        <w:pStyle w:val="footnotedescription"/>
        <w:spacing w:after="0"/>
        <w:rPr>
          <w:lang w:val="fr-BE"/>
        </w:rPr>
      </w:pPr>
      <w:r>
        <w:rPr>
          <w:rStyle w:val="footnotemark"/>
        </w:rPr>
        <w:footnoteRef/>
      </w:r>
      <w:r w:rsidRPr="0012013A">
        <w:rPr>
          <w:lang w:val="fr-BE"/>
        </w:rPr>
        <w:t xml:space="preserve"> À propos de cette distinction, lire C</w:t>
      </w:r>
      <w:r w:rsidRPr="0012013A">
        <w:rPr>
          <w:sz w:val="16"/>
          <w:lang w:val="fr-BE"/>
        </w:rPr>
        <w:t>OENEN</w:t>
      </w:r>
      <w:r w:rsidRPr="0012013A">
        <w:rPr>
          <w:lang w:val="fr-BE"/>
        </w:rPr>
        <w:t xml:space="preserve"> Anne-Marie, « Le féminisme sous tous les fronts, édito ‘la parole se libère</w:t>
      </w:r>
      <w:r w:rsidRPr="0012013A">
        <w:rPr>
          <w:i/>
          <w:lang w:val="fr-BE"/>
        </w:rPr>
        <w:t>’ »</w:t>
      </w:r>
      <w:r w:rsidRPr="0012013A">
        <w:rPr>
          <w:lang w:val="fr-BE"/>
        </w:rPr>
        <w:t>,</w:t>
      </w:r>
      <w:r w:rsidRPr="0012013A">
        <w:rPr>
          <w:i/>
          <w:lang w:val="fr-BE"/>
        </w:rPr>
        <w:t xml:space="preserve"> Contrastes</w:t>
      </w:r>
      <w:r w:rsidRPr="0012013A">
        <w:rPr>
          <w:lang w:val="fr-BE"/>
        </w:rPr>
        <w:t>, n° 192, Namur, Équipes populaires, mai-juin 2019, disponible à l’adresse suivante :</w:t>
      </w:r>
    </w:p>
    <w:p w:rsidR="00D32DE1" w:rsidRPr="0012013A" w:rsidRDefault="00D32DE1" w:rsidP="00D32DE1">
      <w:pPr>
        <w:pStyle w:val="footnotedescription"/>
        <w:spacing w:after="0" w:line="240" w:lineRule="auto"/>
        <w:ind w:firstLine="0"/>
        <w:rPr>
          <w:lang w:val="fr-BE"/>
        </w:rPr>
      </w:pPr>
      <w:r w:rsidRPr="0012013A">
        <w:rPr>
          <w:u w:val="single" w:color="000000"/>
          <w:lang w:val="fr-BE"/>
        </w:rPr>
        <w:t>http://www.equipespopulaires.be/wp-content/uploads/2019/06/contrastes-juin-2019.pdf</w:t>
      </w:r>
      <w:r w:rsidRPr="0012013A">
        <w:rPr>
          <w:lang w:val="fr-BE"/>
        </w:rPr>
        <w:t xml:space="preserve"> (consultée le 25/11/2021).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E1"/>
    <w:rsid w:val="00BB7F67"/>
    <w:rsid w:val="00D3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6A4D"/>
  <w15:chartTrackingRefBased/>
  <w15:docId w15:val="{D3287187-23BA-440D-9943-D378C490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DE1"/>
    <w:pPr>
      <w:spacing w:after="122" w:line="269" w:lineRule="auto"/>
      <w:ind w:left="690" w:right="2" w:hanging="69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D32DE1"/>
    <w:pPr>
      <w:spacing w:after="51" w:line="246" w:lineRule="auto"/>
      <w:ind w:left="396" w:hanging="396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D32DE1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D32DE1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ULiege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Gavray</dc:creator>
  <cp:keywords/>
  <dc:description/>
  <cp:lastModifiedBy>Claire Gavray</cp:lastModifiedBy>
  <cp:revision>1</cp:revision>
  <dcterms:created xsi:type="dcterms:W3CDTF">2023-05-15T08:33:00Z</dcterms:created>
  <dcterms:modified xsi:type="dcterms:W3CDTF">2023-05-15T08:34:00Z</dcterms:modified>
</cp:coreProperties>
</file>