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5026" w14:textId="1C14EDD2" w:rsidR="00803EF6" w:rsidRPr="007512E0" w:rsidRDefault="00803EF6" w:rsidP="00EA1C6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Supplementary material for “</w:t>
      </w:r>
      <w:r w:rsidR="00EA1C60">
        <w:rPr>
          <w:rFonts w:ascii="Times New Roman" w:hAnsi="Times New Roman" w:cs="Times New Roman"/>
          <w:b/>
          <w:sz w:val="36"/>
          <w:szCs w:val="36"/>
        </w:rPr>
        <w:t>Jupiter’s low-altitude auroral zones: Fields, particles, plasma waves, and density depletions</w:t>
      </w:r>
      <w:r>
        <w:rPr>
          <w:rFonts w:ascii="Times New Roman" w:hAnsi="Times New Roman" w:cs="Times New Roman"/>
          <w:b/>
          <w:sz w:val="36"/>
          <w:szCs w:val="36"/>
        </w:rPr>
        <w:t>”</w:t>
      </w:r>
    </w:p>
    <w:p w14:paraId="64FAF6E5" w14:textId="77777777" w:rsidR="00DC3AA2" w:rsidRPr="00F1097D" w:rsidRDefault="00DC3AA2" w:rsidP="00DC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H. Sulaiman,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B. H. Mauk,</w:t>
      </w:r>
      <w:r w:rsidRPr="00F00D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J. R. Szalay,</w:t>
      </w:r>
      <w:r w:rsidRPr="00F00D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F. Allegrini,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G. Clark,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G. R. Gladstone,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S. Kotsiaros,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W. S. Kurth,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F. Bagenal,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B. Bonfond,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J. E. P. Connerney,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R. W. Ebert,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S. S. Elliott,</w:t>
      </w:r>
      <w:r w:rsidRPr="007424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 J. Gershman,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G. B. Hospodarsky,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V. Hue,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L. Lysak,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A. Masters,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O. Santol</w:t>
      </w:r>
      <w:r w:rsidRPr="002F50D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k,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,1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J. Saur,</w:t>
      </w: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S. J. Bolton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A37DCB7" w14:textId="77777777" w:rsidR="00EA1C60" w:rsidRPr="007512E0" w:rsidRDefault="00EA1C60" w:rsidP="00EA1C60">
      <w:pPr>
        <w:pBdr>
          <w:top w:val="single" w:sz="4" w:space="1" w:color="auto"/>
        </w:pBdr>
        <w:tabs>
          <w:tab w:val="left" w:pos="3114"/>
        </w:tabs>
        <w:rPr>
          <w:rFonts w:ascii="Times New Roman" w:hAnsi="Times New Roman" w:cs="Times New Roman"/>
          <w:sz w:val="24"/>
          <w:szCs w:val="24"/>
        </w:rPr>
      </w:pPr>
      <w:r w:rsidRPr="007512E0">
        <w:rPr>
          <w:rFonts w:ascii="Times New Roman" w:hAnsi="Times New Roman" w:cs="Times New Roman"/>
          <w:sz w:val="24"/>
          <w:szCs w:val="24"/>
        </w:rPr>
        <w:t>Corresponding author: A.H. Sulaiman, Department of Physics and Astronomy, University of Iowa, Iowa City, Iowa, USA. (</w:t>
      </w:r>
      <w:hyperlink r:id="rId4" w:history="1">
        <w:r w:rsidRPr="007512E0">
          <w:rPr>
            <w:rStyle w:val="Hyperlink"/>
            <w:rFonts w:ascii="Times New Roman" w:hAnsi="Times New Roman" w:cs="Times New Roman"/>
            <w:sz w:val="24"/>
            <w:szCs w:val="24"/>
          </w:rPr>
          <w:t>ali-sulaiman@uiowa.edu</w:t>
        </w:r>
      </w:hyperlink>
      <w:r w:rsidRPr="007512E0">
        <w:rPr>
          <w:rFonts w:ascii="Times New Roman" w:hAnsi="Times New Roman" w:cs="Times New Roman"/>
          <w:sz w:val="24"/>
          <w:szCs w:val="24"/>
        </w:rPr>
        <w:t>)</w:t>
      </w:r>
    </w:p>
    <w:p w14:paraId="40E1A54D" w14:textId="77777777" w:rsidR="00DC3AA2" w:rsidRDefault="00DC3AA2" w:rsidP="00DC3AA2">
      <w:pPr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361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12E0">
        <w:rPr>
          <w:rFonts w:ascii="Times New Roman" w:hAnsi="Times New Roman" w:cs="Times New Roman"/>
          <w:sz w:val="24"/>
          <w:szCs w:val="24"/>
        </w:rPr>
        <w:t xml:space="preserve">Department of Physics and Astronomy, University of Iowa, Iowa City, 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7512E0">
        <w:rPr>
          <w:rFonts w:ascii="Times New Roman" w:hAnsi="Times New Roman" w:cs="Times New Roman"/>
          <w:sz w:val="24"/>
          <w:szCs w:val="24"/>
        </w:rPr>
        <w:t>, USA</w:t>
      </w:r>
    </w:p>
    <w:p w14:paraId="2B8F5B8F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61FF">
        <w:rPr>
          <w:rFonts w:ascii="Times New Roman" w:hAnsi="Times New Roman" w:cs="Times New Roman"/>
          <w:sz w:val="24"/>
          <w:szCs w:val="24"/>
        </w:rPr>
        <w:t>Johns Hopkins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1FF">
        <w:rPr>
          <w:rFonts w:ascii="Times New Roman" w:hAnsi="Times New Roman" w:cs="Times New Roman"/>
          <w:sz w:val="24"/>
          <w:szCs w:val="24"/>
        </w:rPr>
        <w:t>Applied Physics Laboratory, Laurel, MD, USA</w:t>
      </w:r>
    </w:p>
    <w:p w14:paraId="35B83599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61FF">
        <w:rPr>
          <w:rFonts w:ascii="Times New Roman" w:hAnsi="Times New Roman" w:cs="Times New Roman"/>
          <w:sz w:val="24"/>
          <w:szCs w:val="24"/>
        </w:rPr>
        <w:t>Department of Astrophysical Sciences, Princeton University, Princeton, NJ, USA</w:t>
      </w:r>
    </w:p>
    <w:p w14:paraId="76ECEE58" w14:textId="77777777" w:rsidR="00DC3AA2" w:rsidRPr="00054EB3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54EB3">
        <w:rPr>
          <w:rFonts w:ascii="Times New Roman" w:hAnsi="Times New Roman" w:cs="Times New Roman"/>
          <w:sz w:val="24"/>
          <w:szCs w:val="24"/>
        </w:rPr>
        <w:t>Southwest Research Institute, 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EB3">
        <w:rPr>
          <w:rFonts w:ascii="Times New Roman" w:hAnsi="Times New Roman" w:cs="Times New Roman"/>
          <w:sz w:val="24"/>
          <w:szCs w:val="24"/>
        </w:rPr>
        <w:t>Antonio, TX, USA</w:t>
      </w:r>
    </w:p>
    <w:p w14:paraId="7A8095E9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54EB3">
        <w:rPr>
          <w:rFonts w:ascii="Times New Roman" w:hAnsi="Times New Roman" w:cs="Times New Roman"/>
          <w:sz w:val="24"/>
          <w:szCs w:val="24"/>
        </w:rPr>
        <w:t>Department of Physics and Astronomy, University of Texas at San Antonio, San Antonio, TX, USA</w:t>
      </w:r>
    </w:p>
    <w:p w14:paraId="3203F3DF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DTU-Space, Technical University of Denmark, Kongens Lyngby, Denmark</w:t>
      </w:r>
    </w:p>
    <w:p w14:paraId="5CAF7EF6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Laboratory for Atmospheric and Space Physics, University of Colorado Boulder, Boulder, CO, USA</w:t>
      </w:r>
    </w:p>
    <w:p w14:paraId="53A6921C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D361FF">
        <w:rPr>
          <w:rFonts w:ascii="Times New Roman" w:hAnsi="Times New Roman" w:cs="Times New Roman"/>
          <w:sz w:val="24"/>
          <w:szCs w:val="24"/>
        </w:rPr>
        <w:t>Space Sciences,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1FF">
        <w:rPr>
          <w:rFonts w:ascii="Times New Roman" w:hAnsi="Times New Roman" w:cs="Times New Roman"/>
          <w:sz w:val="24"/>
          <w:szCs w:val="24"/>
        </w:rPr>
        <w:t>Technologies</w:t>
      </w:r>
      <w:proofErr w:type="gramEnd"/>
      <w:r w:rsidRPr="00D361FF">
        <w:rPr>
          <w:rFonts w:ascii="Times New Roman" w:hAnsi="Times New Roman" w:cs="Times New Roman"/>
          <w:sz w:val="24"/>
          <w:szCs w:val="24"/>
        </w:rPr>
        <w:t xml:space="preserve"> and Astrophysics Research Institute, LPAP, Université de Liège, Liège, Belgium</w:t>
      </w:r>
    </w:p>
    <w:p w14:paraId="384027D8" w14:textId="77777777" w:rsidR="00DC3AA2" w:rsidRPr="00054EB3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D361FF">
        <w:rPr>
          <w:rFonts w:ascii="Times New Roman" w:hAnsi="Times New Roman" w:cs="Times New Roman"/>
          <w:sz w:val="24"/>
          <w:szCs w:val="24"/>
        </w:rPr>
        <w:t>Space Research Corporation, Annapolis, MD, USA</w:t>
      </w:r>
    </w:p>
    <w:p w14:paraId="104563FC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7512E0">
        <w:rPr>
          <w:rFonts w:ascii="Times New Roman" w:hAnsi="Times New Roman" w:cs="Times New Roman"/>
          <w:sz w:val="24"/>
          <w:szCs w:val="24"/>
        </w:rPr>
        <w:t xml:space="preserve">NASA/Goddard Space Flight </w:t>
      </w:r>
      <w:proofErr w:type="spellStart"/>
      <w:r w:rsidRPr="007512E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7512E0">
        <w:rPr>
          <w:rFonts w:ascii="Times New Roman" w:hAnsi="Times New Roman" w:cs="Times New Roman"/>
          <w:sz w:val="24"/>
          <w:szCs w:val="24"/>
        </w:rPr>
        <w:t>, Greenbelt, Maryland, USA</w:t>
      </w:r>
    </w:p>
    <w:p w14:paraId="51197E35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Minnetota Institute for Astrophysics, School of Physics and Astronomy, University of Minnesota, Minneapolis, MN, USA</w:t>
      </w:r>
    </w:p>
    <w:p w14:paraId="5A0B91EA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55511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Blackett Laboratory, Imperial College London, London, UK</w:t>
      </w:r>
    </w:p>
    <w:p w14:paraId="08E9B5F9" w14:textId="77777777" w:rsidR="00DC3AA2" w:rsidRPr="005E2977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E2977">
        <w:rPr>
          <w:rFonts w:ascii="Times New Roman" w:hAnsi="Times New Roman" w:cs="Times New Roman"/>
          <w:sz w:val="24"/>
          <w:szCs w:val="24"/>
        </w:rPr>
        <w:t>Department of Space Physics, Institute of Atmospheric Physics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5E2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E2977">
        <w:rPr>
          <w:rFonts w:ascii="Times New Roman" w:hAnsi="Times New Roman" w:cs="Times New Roman"/>
          <w:sz w:val="24"/>
          <w:szCs w:val="24"/>
        </w:rPr>
        <w:t>he Czech Academy of Sciences, Prague, Czechia</w:t>
      </w:r>
    </w:p>
    <w:p w14:paraId="08F6BD85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5E2977">
        <w:rPr>
          <w:rFonts w:ascii="Times New Roman" w:hAnsi="Times New Roman" w:cs="Times New Roman"/>
          <w:sz w:val="24"/>
          <w:szCs w:val="24"/>
        </w:rPr>
        <w:t>Faculty of Mathematics and Physics, Charles University, Prague, Czechia</w:t>
      </w:r>
    </w:p>
    <w:p w14:paraId="7CD1434C" w14:textId="77777777" w:rsidR="00DC3AA2" w:rsidRDefault="00DC3AA2" w:rsidP="00DC3AA2">
      <w:pPr>
        <w:suppressLineNumbers/>
        <w:tabs>
          <w:tab w:val="left" w:pos="3114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361FF">
        <w:rPr>
          <w:rFonts w:ascii="Times New Roman" w:hAnsi="Times New Roman" w:cs="Times New Roman"/>
          <w:sz w:val="24"/>
          <w:szCs w:val="24"/>
        </w:rPr>
        <w:t>Institute of Geophysics and Meteorology,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1FF">
        <w:rPr>
          <w:rFonts w:ascii="Times New Roman" w:hAnsi="Times New Roman" w:cs="Times New Roman"/>
          <w:sz w:val="24"/>
          <w:szCs w:val="24"/>
        </w:rPr>
        <w:t>University of Cologne, Cologne, Germany</w:t>
      </w:r>
    </w:p>
    <w:p w14:paraId="5F534097" w14:textId="77777777" w:rsidR="00803EF6" w:rsidRDefault="00803EF6"/>
    <w:p w14:paraId="17E1DCB8" w14:textId="77777777" w:rsidR="00C833C6" w:rsidRDefault="00C833C6" w:rsidP="00C833C6">
      <w:pPr>
        <w:spacing w:after="160" w:line="259" w:lineRule="auto"/>
      </w:pPr>
    </w:p>
    <w:p w14:paraId="5E8AFEC0" w14:textId="0BDC9E9B" w:rsidR="00E81A25" w:rsidRDefault="00E81A25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052F993E" w14:textId="228DA734" w:rsidR="00E81A25" w:rsidRDefault="002566BA" w:rsidP="00654B74">
      <w:pPr>
        <w:spacing w:after="1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3A6C5F6" wp14:editId="7F6D40D3">
            <wp:simplePos x="0" y="0"/>
            <wp:positionH relativeFrom="margin">
              <wp:align>center</wp:align>
            </wp:positionH>
            <wp:positionV relativeFrom="paragraph">
              <wp:posOffset>404037</wp:posOffset>
            </wp:positionV>
            <wp:extent cx="6549390" cy="3274695"/>
            <wp:effectExtent l="0" t="0" r="3810" b="1905"/>
            <wp:wrapTight wrapText="bothSides">
              <wp:wrapPolygon edited="0">
                <wp:start x="0" y="0"/>
                <wp:lineTo x="0" y="21487"/>
                <wp:lineTo x="21550" y="21487"/>
                <wp:lineTo x="21550" y="0"/>
                <wp:lineTo x="0" y="0"/>
              </wp:wrapPolygon>
            </wp:wrapTight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A2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22A3CF" wp14:editId="502B2730">
                <wp:simplePos x="0" y="0"/>
                <wp:positionH relativeFrom="margin">
                  <wp:align>right</wp:align>
                </wp:positionH>
                <wp:positionV relativeFrom="paragraph">
                  <wp:posOffset>4183620</wp:posOffset>
                </wp:positionV>
                <wp:extent cx="5942965" cy="635"/>
                <wp:effectExtent l="0" t="0" r="635" b="0"/>
                <wp:wrapTight wrapText="bothSides">
                  <wp:wrapPolygon edited="0">
                    <wp:start x="0" y="0"/>
                    <wp:lineTo x="0" y="21366"/>
                    <wp:lineTo x="21533" y="21366"/>
                    <wp:lineTo x="21533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5EF9FD" w14:textId="0378E9BC" w:rsidR="00E81A25" w:rsidRPr="00E81A25" w:rsidRDefault="00E81A25" w:rsidP="00E81A25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Figure S</w:t>
                            </w:r>
                            <w:r w:rsidR="0075580B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The false-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UVS maps shown in this paper may interpreted (to first order) using these two-dimensional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bars, which show the expected false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as a function of mean precipitating electron energy (related to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ratio) and precipitating energy flux (related to brightness). The auroral brightness and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depend on the atmosphere structure and composition, which is effectively unknown for Jupiter’s auroral regions. The left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bar assumes the Model C upper atmosphere model of Moses et al. (2005), modified for polar region gravity, while the right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bar assumes the same atmosphere, except with methane well-mixed throughout (i.e., no methane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homopause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). The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bars assume a continuous slow-down approximation to estimate the volume emission rate due to precipitating mono-energetic electrons, </w:t>
                            </w:r>
                            <w:proofErr w:type="gram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similar to</w:t>
                            </w:r>
                            <w:proofErr w:type="gram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the description used by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Gustin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et al. (2016), distributed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isotropically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over the downward hemisphere. These 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bars are not meant to be definitive, but merely to indicate rough values expected for the precipitating electron energy flux and mean energy associated with </w:t>
                            </w:r>
                            <w:proofErr w:type="gram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particular locations</w:t>
                            </w:r>
                            <w:proofErr w:type="gram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 the UVS false-</w:t>
                            </w:r>
                            <w:proofErr w:type="spellStart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color</w:t>
                            </w:r>
                            <w:proofErr w:type="spellEnd"/>
                            <w:r w:rsidRPr="00E81A25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22A3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6.75pt;margin-top:329.4pt;width:467.95pt;height:.05pt;z-index:-2516531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" stroked="f">
                <v:textbox style="mso-fit-shape-to-text:t" inset="0,0,0,0">
                  <w:txbxContent>
                    <w:p w14:paraId="2F5EF9FD" w14:textId="0378E9BC" w:rsidR="00E81A25" w:rsidRPr="00E81A25" w:rsidRDefault="00E81A25" w:rsidP="00E81A25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Figure S</w:t>
                      </w:r>
                      <w:r w:rsidR="0075580B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The false-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UVS maps shown in this paper may interpreted (to first order) using these two-dimensional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bars, which show the expected false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as a function of mean precipitating electron energy (related to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ratio) and precipitating energy flux (related to brightness). The auroral brightness and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depend on the atmosphere structure and composition, which is effectively unknown for Jupiter’s auroral regions. The left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bar assumes the Model C upper atmosphere model of Moses et al. (2005), modified for polar region gravity, while the right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bar assumes the same atmosphere, except with methane well-mixed throughout (i.e., no methane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homopause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). The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bars assume a continuous slow-down approximation to estimate the volume emission rate due to precipitating mono-energetic electrons, </w:t>
                      </w:r>
                      <w:proofErr w:type="gram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similar to</w:t>
                      </w:r>
                      <w:proofErr w:type="gram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the description used by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Gustin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et al. (2016), distributed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isotropically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over the downward hemisphere. These 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bars are not meant to be definitive, but merely to indicate rough values expected for the precipitating electron energy flux and mean energy associated with </w:t>
                      </w:r>
                      <w:proofErr w:type="gram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particular locations</w:t>
                      </w:r>
                      <w:proofErr w:type="gram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in the UVS false-</w:t>
                      </w:r>
                      <w:proofErr w:type="spellStart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color</w:t>
                      </w:r>
                      <w:proofErr w:type="spellEnd"/>
                      <w:r w:rsidRPr="00E81A25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maps.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24621DB" w14:textId="02476E7F" w:rsidR="00E81A25" w:rsidRDefault="00E81A25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36EE4A26" w14:textId="6BB4D6E8" w:rsidR="00F649C3" w:rsidRDefault="00F649C3" w:rsidP="00654B74">
      <w:pPr>
        <w:spacing w:after="1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A6215C" wp14:editId="13A56C02">
            <wp:simplePos x="0" y="0"/>
            <wp:positionH relativeFrom="margin">
              <wp:align>center</wp:align>
            </wp:positionH>
            <wp:positionV relativeFrom="paragraph">
              <wp:posOffset>815</wp:posOffset>
            </wp:positionV>
            <wp:extent cx="7424420" cy="3485515"/>
            <wp:effectExtent l="0" t="0" r="5080" b="635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42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243E3" w14:textId="3CC4F9ED" w:rsidR="00654B74" w:rsidRPr="00E81A25" w:rsidRDefault="00E81A25" w:rsidP="00654B74">
      <w:pPr>
        <w:spacing w:after="160" w:line="240" w:lineRule="auto"/>
        <w:jc w:val="both"/>
        <w:rPr>
          <w:b/>
          <w:bCs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Figure S2 </w:t>
      </w:r>
      <w:r w:rsidRPr="00E81A2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– </w:t>
      </w:r>
      <w:r w:rsidR="00654B74" w:rsidRPr="00E81A2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Time-series of electron number densities: (red) inferred from the O-mode lower frequency </w:t>
      </w:r>
      <w:proofErr w:type="spellStart"/>
      <w:r w:rsidR="00654B74" w:rsidRPr="00E81A25">
        <w:rPr>
          <w:rFonts w:ascii="Times New Roman" w:eastAsiaTheme="minorEastAsia" w:hAnsi="Times New Roman" w:cs="Times New Roman"/>
          <w:b/>
          <w:bCs/>
          <w:sz w:val="24"/>
          <w:szCs w:val="24"/>
        </w:rPr>
        <w:t>cutoff</w:t>
      </w:r>
      <w:proofErr w:type="spellEnd"/>
      <w:r w:rsidR="00654B74" w:rsidRPr="00E81A2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by Waves and (black) measured electron partial densities by JADE. Five examples of auroral passes are presented where overlaps are present. </w:t>
      </w:r>
    </w:p>
    <w:p w14:paraId="7BA6A4C0" w14:textId="504338E6" w:rsidR="00EA1C60" w:rsidRPr="00654B74" w:rsidRDefault="00EA1C60" w:rsidP="00654B74">
      <w:pPr>
        <w:spacing w:after="160" w:line="480" w:lineRule="auto"/>
        <w:ind w:firstLine="357"/>
        <w:jc w:val="both"/>
      </w:pPr>
    </w:p>
    <w:p w14:paraId="25F6D26C" w14:textId="08F332EF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4F5A90D" w14:textId="0F635AB3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19B4BFB" w14:textId="6DBEDCE8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E2DB2E1" w14:textId="4A3452A8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53C69B" w14:textId="2CF6FE67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A8A83F2" w14:textId="4EF49C2D" w:rsidR="00EA1C60" w:rsidRPr="00EA1C60" w:rsidRDefault="00EA1C60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9184C35" w14:textId="52EA3AB1" w:rsidR="00DE1895" w:rsidRDefault="00DE1895" w:rsidP="00EA1C6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787093E" w14:textId="6DE08442" w:rsidR="00E81A25" w:rsidRPr="009C1395" w:rsidRDefault="00DE1895" w:rsidP="009C1395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  <w:r w:rsidR="00E81A25" w:rsidRPr="00E81A2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5885C0D2" w14:textId="77777777" w:rsidR="00E81A25" w:rsidRPr="00E81A25" w:rsidRDefault="00E81A25" w:rsidP="00E81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Gustin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J., D.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Grodent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L. C. Ray, B.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Bonfond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E. J. Bunce, J. D. Nichols, and N.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Ozak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Characteristics of north Jovian aurora from STIS FUV spectral images, </w:t>
      </w:r>
      <w:r w:rsidRPr="00E81A2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Icarus</w:t>
      </w: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 </w:t>
      </w:r>
      <w:r w:rsidRPr="00E81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268</w:t>
      </w: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215-241, 2016.</w:t>
      </w:r>
    </w:p>
    <w:p w14:paraId="1E4317E6" w14:textId="77777777" w:rsidR="00E81A25" w:rsidRPr="00E81A25" w:rsidRDefault="00E81A25" w:rsidP="00E81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0EF8A3B5" w14:textId="77777777" w:rsidR="00E81A25" w:rsidRPr="00E81A25" w:rsidRDefault="00E81A25" w:rsidP="00E81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Moses, J. I., T.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Fouchet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B.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Bézard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G. R. Gladstone, E.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Lellouch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and H. </w:t>
      </w:r>
      <w:proofErr w:type="spellStart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Feuchtgruber</w:t>
      </w:r>
      <w:proofErr w:type="spellEnd"/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Photochemistry and Diffusion in Jupiter's Stratosphere: Constraints from ISO Observations and Comparisons with other Giant Planets, </w:t>
      </w:r>
      <w:r w:rsidRPr="00E81A2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J. </w:t>
      </w:r>
      <w:proofErr w:type="spellStart"/>
      <w:r w:rsidRPr="00E81A2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Geophys</w:t>
      </w:r>
      <w:proofErr w:type="spellEnd"/>
      <w:r w:rsidRPr="00E81A2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 Res</w:t>
      </w: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., </w:t>
      </w:r>
      <w:r w:rsidRPr="00E81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110</w:t>
      </w:r>
      <w:r w:rsidRPr="00E8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E08001, 10.1029/2005JE002411, 2005.</w:t>
      </w:r>
    </w:p>
    <w:p w14:paraId="3B950952" w14:textId="77777777" w:rsidR="00E81A25" w:rsidRPr="00E81A25" w:rsidRDefault="00E81A25" w:rsidP="00E81A25">
      <w:pPr>
        <w:rPr>
          <w:rFonts w:ascii="Times New Roman" w:hAnsi="Times New Roman" w:cs="Times New Roman"/>
          <w:sz w:val="24"/>
          <w:szCs w:val="24"/>
        </w:rPr>
      </w:pPr>
    </w:p>
    <w:sectPr w:rsidR="00E81A25" w:rsidRPr="00E8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19"/>
    <w:rsid w:val="000B677A"/>
    <w:rsid w:val="00221283"/>
    <w:rsid w:val="002566BA"/>
    <w:rsid w:val="00277B16"/>
    <w:rsid w:val="003E53BB"/>
    <w:rsid w:val="005B4919"/>
    <w:rsid w:val="00654B74"/>
    <w:rsid w:val="006F38DC"/>
    <w:rsid w:val="0075580B"/>
    <w:rsid w:val="00803EF6"/>
    <w:rsid w:val="008872BA"/>
    <w:rsid w:val="009C1395"/>
    <w:rsid w:val="00AF755D"/>
    <w:rsid w:val="00C7594F"/>
    <w:rsid w:val="00C833C6"/>
    <w:rsid w:val="00D872D4"/>
    <w:rsid w:val="00DC3AA2"/>
    <w:rsid w:val="00DE1895"/>
    <w:rsid w:val="00E81A25"/>
    <w:rsid w:val="00EA1C60"/>
    <w:rsid w:val="00F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5340"/>
  <w15:chartTrackingRefBased/>
  <w15:docId w15:val="{B2EA4B0F-DE2E-4245-A3FD-5FDF7F5C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EF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03EF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3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hyperlink" Target="mailto:ali-sulaiman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</dc:creator>
  <cp:keywords/>
  <dc:description/>
  <cp:lastModifiedBy>Sulaiman, Ali H</cp:lastModifiedBy>
  <cp:revision>20</cp:revision>
  <dcterms:created xsi:type="dcterms:W3CDTF">2020-04-10T00:24:00Z</dcterms:created>
  <dcterms:modified xsi:type="dcterms:W3CDTF">2022-08-11T21:49:00Z</dcterms:modified>
</cp:coreProperties>
</file>