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FD76" w14:textId="0C0BFFDF" w:rsidR="00CA2227" w:rsidRPr="00BA5E46" w:rsidRDefault="002D43F9" w:rsidP="0001498A">
      <w:pPr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 xml:space="preserve">Thermal effects on THM </w:t>
      </w:r>
      <w:r w:rsidR="0001498A">
        <w:rPr>
          <w:rFonts w:ascii="Arial" w:hAnsi="Arial" w:cs="Arial"/>
          <w:b/>
          <w:sz w:val="36"/>
          <w:lang w:val="en-US"/>
        </w:rPr>
        <w:t xml:space="preserve">coupling </w:t>
      </w:r>
      <w:proofErr w:type="spellStart"/>
      <w:r>
        <w:rPr>
          <w:rFonts w:ascii="Arial" w:hAnsi="Arial" w:cs="Arial"/>
          <w:b/>
          <w:sz w:val="36"/>
          <w:lang w:val="en-US"/>
        </w:rPr>
        <w:t>behaviour</w:t>
      </w:r>
      <w:proofErr w:type="spellEnd"/>
      <w:r>
        <w:rPr>
          <w:rFonts w:ascii="Arial" w:hAnsi="Arial" w:cs="Arial"/>
          <w:b/>
          <w:sz w:val="36"/>
          <w:lang w:val="en-US"/>
        </w:rPr>
        <w:t xml:space="preserve"> of </w:t>
      </w:r>
      <w:proofErr w:type="spellStart"/>
      <w:r>
        <w:rPr>
          <w:rFonts w:ascii="Arial" w:hAnsi="Arial" w:cs="Arial"/>
          <w:b/>
          <w:sz w:val="36"/>
          <w:lang w:val="en-US"/>
        </w:rPr>
        <w:t>COx</w:t>
      </w:r>
      <w:proofErr w:type="spellEnd"/>
      <w:r>
        <w:rPr>
          <w:rFonts w:ascii="Arial" w:hAnsi="Arial" w:cs="Arial"/>
          <w:b/>
          <w:sz w:val="36"/>
          <w:lang w:val="en-US"/>
        </w:rPr>
        <w:t xml:space="preserve"> claystone </w:t>
      </w:r>
      <w:r w:rsidR="0001498A">
        <w:rPr>
          <w:rFonts w:ascii="Arial" w:hAnsi="Arial" w:cs="Arial"/>
          <w:b/>
          <w:sz w:val="36"/>
          <w:lang w:val="en-US"/>
        </w:rPr>
        <w:t>in Excavation Damage Zone</w:t>
      </w:r>
    </w:p>
    <w:p w14:paraId="3F238F9B" w14:textId="77777777" w:rsidR="00BA5E46" w:rsidRDefault="00BA5E46">
      <w:pPr>
        <w:rPr>
          <w:rFonts w:ascii="Arial" w:hAnsi="Arial" w:cs="Arial"/>
          <w:lang w:val="en-US"/>
        </w:rPr>
      </w:pPr>
    </w:p>
    <w:p w14:paraId="524901E7" w14:textId="5081F792" w:rsidR="00BA5E46" w:rsidRPr="0001498A" w:rsidRDefault="0001498A" w:rsidP="00BA5E46">
      <w:pPr>
        <w:jc w:val="center"/>
        <w:rPr>
          <w:rFonts w:ascii="Arial" w:hAnsi="Arial" w:cs="Arial"/>
        </w:rPr>
      </w:pPr>
      <w:r w:rsidRPr="0001498A">
        <w:rPr>
          <w:rFonts w:ascii="Arial" w:hAnsi="Arial" w:cs="Arial"/>
        </w:rPr>
        <w:t>Hangbiao</w:t>
      </w:r>
      <w:r w:rsidR="00DF5B36" w:rsidRPr="00014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SONG</w:t>
      </w:r>
      <w:r w:rsidR="00DF5B36" w:rsidRPr="0001498A">
        <w:rPr>
          <w:rFonts w:ascii="Arial" w:hAnsi="Arial" w:cs="Arial"/>
          <w:vertAlign w:val="superscript"/>
        </w:rPr>
        <w:t>* 1</w:t>
      </w:r>
      <w:r w:rsidR="00BA5E46" w:rsidRPr="0001498A">
        <w:rPr>
          <w:rFonts w:ascii="Arial" w:hAnsi="Arial" w:cs="Arial"/>
        </w:rPr>
        <w:t>,</w:t>
      </w:r>
      <w:r w:rsidR="008A39BE" w:rsidRPr="0001498A">
        <w:rPr>
          <w:rFonts w:ascii="Arial" w:hAnsi="Arial" w:cs="Arial"/>
        </w:rPr>
        <w:t xml:space="preserve"> </w:t>
      </w:r>
      <w:r w:rsidR="00E42ADD">
        <w:rPr>
          <w:rFonts w:ascii="Arial" w:hAnsi="Arial" w:cs="Arial"/>
        </w:rPr>
        <w:t>h</w:t>
      </w:r>
      <w:r>
        <w:rPr>
          <w:rFonts w:ascii="Arial" w:hAnsi="Arial" w:cs="Arial"/>
        </w:rPr>
        <w:t>angbiao.song</w:t>
      </w:r>
      <w:r w:rsidR="000B30E7" w:rsidRPr="0001498A">
        <w:rPr>
          <w:rFonts w:ascii="Arial" w:hAnsi="Arial" w:cs="Arial"/>
        </w:rPr>
        <w:t>@</w:t>
      </w:r>
      <w:r>
        <w:rPr>
          <w:rFonts w:ascii="Arial" w:hAnsi="Arial" w:cs="Arial"/>
        </w:rPr>
        <w:t>uliege.be</w:t>
      </w:r>
      <w:r w:rsidR="008A39BE" w:rsidRPr="0001498A">
        <w:rPr>
          <w:rFonts w:ascii="Arial" w:hAnsi="Arial" w:cs="Arial"/>
        </w:rPr>
        <w:t xml:space="preserve"> </w:t>
      </w:r>
    </w:p>
    <w:p w14:paraId="08C72AED" w14:textId="30D22934" w:rsidR="00DF5B36" w:rsidRPr="00BC1010" w:rsidRDefault="0001498A" w:rsidP="00BA2A9C">
      <w:pPr>
        <w:jc w:val="center"/>
        <w:rPr>
          <w:rFonts w:ascii="Arial" w:hAnsi="Arial" w:cs="Arial"/>
        </w:rPr>
      </w:pPr>
      <w:proofErr w:type="spellStart"/>
      <w:r w:rsidRPr="00BC1010">
        <w:rPr>
          <w:rFonts w:ascii="Arial" w:hAnsi="Arial" w:cs="Arial"/>
        </w:rPr>
        <w:t>Frédéric</w:t>
      </w:r>
      <w:proofErr w:type="spellEnd"/>
      <w:r w:rsidRPr="00BC1010">
        <w:rPr>
          <w:rFonts w:ascii="Arial" w:hAnsi="Arial" w:cs="Arial"/>
        </w:rPr>
        <w:t xml:space="preserve"> C</w:t>
      </w:r>
      <w:r w:rsidR="00E42ADD">
        <w:rPr>
          <w:rFonts w:ascii="Arial" w:hAnsi="Arial" w:cs="Arial"/>
        </w:rPr>
        <w:t>OLLIN</w:t>
      </w:r>
      <w:r w:rsidR="00FD3B74" w:rsidRPr="00BC1010">
        <w:rPr>
          <w:rFonts w:ascii="Arial" w:hAnsi="Arial" w:cs="Arial"/>
          <w:vertAlign w:val="superscript"/>
        </w:rPr>
        <w:t>1</w:t>
      </w:r>
      <w:r w:rsidR="00BA2A9C" w:rsidRPr="00BC1010">
        <w:rPr>
          <w:rFonts w:ascii="Arial" w:hAnsi="Arial" w:cs="Arial"/>
        </w:rPr>
        <w:t xml:space="preserve">, </w:t>
      </w:r>
      <w:r w:rsidRPr="00BC1010">
        <w:rPr>
          <w:rFonts w:ascii="Arial" w:hAnsi="Arial" w:cs="Arial"/>
        </w:rPr>
        <w:t>f.collin@uliege.be</w:t>
      </w:r>
      <w:bookmarkStart w:id="0" w:name="_GoBack"/>
      <w:bookmarkEnd w:id="0"/>
    </w:p>
    <w:p w14:paraId="29137306" w14:textId="1B5A50C6" w:rsidR="00DF5B36" w:rsidRPr="00FD3B74" w:rsidRDefault="00FD3B74" w:rsidP="000B3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</w:t>
      </w:r>
      <w:r w:rsidR="00DF5B36" w:rsidRPr="00FD3B7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16697" w:rsidRPr="00FD3B74">
        <w:rPr>
          <w:rFonts w:ascii="Arial" w:hAnsi="Arial" w:cs="Arial"/>
          <w:sz w:val="22"/>
          <w:szCs w:val="22"/>
        </w:rPr>
        <w:t>Université</w:t>
      </w:r>
      <w:proofErr w:type="spellEnd"/>
      <w:r w:rsidR="00016697" w:rsidRPr="00FD3B74">
        <w:rPr>
          <w:rFonts w:ascii="Arial" w:hAnsi="Arial" w:cs="Arial"/>
          <w:sz w:val="22"/>
          <w:szCs w:val="22"/>
        </w:rPr>
        <w:t xml:space="preserve"> de Liège</w:t>
      </w:r>
      <w:r>
        <w:rPr>
          <w:rFonts w:ascii="Arial" w:hAnsi="Arial" w:cs="Arial"/>
          <w:sz w:val="22"/>
          <w:szCs w:val="22"/>
        </w:rPr>
        <w:t xml:space="preserve">, UEE </w:t>
      </w:r>
      <w:r w:rsidRPr="00FD3B7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3B74">
        <w:rPr>
          <w:rFonts w:ascii="Arial" w:hAnsi="Arial" w:cs="Arial"/>
          <w:sz w:val="22"/>
          <w:szCs w:val="22"/>
        </w:rPr>
        <w:t>Geomechanics</w:t>
      </w:r>
      <w:proofErr w:type="spellEnd"/>
      <w:r w:rsidRPr="00FD3B74">
        <w:rPr>
          <w:rFonts w:ascii="Arial" w:hAnsi="Arial" w:cs="Arial"/>
          <w:sz w:val="22"/>
          <w:szCs w:val="22"/>
        </w:rPr>
        <w:t xml:space="preserve"> and Engineering Geology</w:t>
      </w:r>
      <w:r w:rsidR="00DF5B36" w:rsidRPr="00FD3B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D3B74">
        <w:rPr>
          <w:rFonts w:ascii="Arial" w:hAnsi="Arial" w:cs="Arial"/>
          <w:sz w:val="22"/>
          <w:szCs w:val="22"/>
        </w:rPr>
        <w:t>Liège</w:t>
      </w:r>
      <w:r>
        <w:rPr>
          <w:rFonts w:ascii="Arial" w:hAnsi="Arial" w:cs="Arial"/>
          <w:sz w:val="22"/>
          <w:szCs w:val="22"/>
        </w:rPr>
        <w:t>,</w:t>
      </w:r>
      <w:r w:rsidRPr="00FD3B74">
        <w:rPr>
          <w:rFonts w:ascii="Arial" w:hAnsi="Arial" w:cs="Arial"/>
          <w:sz w:val="22"/>
          <w:szCs w:val="22"/>
        </w:rPr>
        <w:t xml:space="preserve"> </w:t>
      </w:r>
      <w:r w:rsidR="00016697" w:rsidRPr="00FD3B74">
        <w:rPr>
          <w:rFonts w:ascii="Arial" w:hAnsi="Arial" w:cs="Arial"/>
          <w:sz w:val="22"/>
          <w:szCs w:val="22"/>
        </w:rPr>
        <w:t>Belgium</w:t>
      </w:r>
    </w:p>
    <w:p w14:paraId="07008387" w14:textId="77777777" w:rsidR="008A39BE" w:rsidRPr="00FD3B74" w:rsidRDefault="008A39BE" w:rsidP="00E234D2">
      <w:pPr>
        <w:jc w:val="center"/>
        <w:rPr>
          <w:rFonts w:ascii="Arial" w:hAnsi="Arial" w:cs="Arial"/>
        </w:rPr>
      </w:pPr>
    </w:p>
    <w:p w14:paraId="44A42126" w14:textId="77777777" w:rsidR="00E234D2" w:rsidRPr="00FD3B74" w:rsidRDefault="00E234D2" w:rsidP="00BA5E46">
      <w:pPr>
        <w:jc w:val="center"/>
        <w:rPr>
          <w:rFonts w:ascii="Arial" w:hAnsi="Arial" w:cs="Arial"/>
        </w:rPr>
      </w:pPr>
    </w:p>
    <w:p w14:paraId="67988AE4" w14:textId="77777777" w:rsidR="00E234D2" w:rsidRPr="00FD3B74" w:rsidRDefault="00E234D2" w:rsidP="00E234D2">
      <w:pPr>
        <w:jc w:val="both"/>
        <w:rPr>
          <w:rFonts w:ascii="Arial" w:hAnsi="Arial" w:cs="Arial"/>
        </w:rPr>
      </w:pPr>
    </w:p>
    <w:p w14:paraId="61D51025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  <w:r w:rsidRPr="00E234D2">
        <w:rPr>
          <w:rFonts w:ascii="Arial" w:hAnsi="Arial" w:cs="Arial"/>
          <w:u w:val="single"/>
          <w:lang w:val="en-US"/>
        </w:rPr>
        <w:t>Abstract</w:t>
      </w:r>
      <w:r>
        <w:rPr>
          <w:rFonts w:ascii="Arial" w:hAnsi="Arial" w:cs="Arial"/>
          <w:lang w:val="en-US"/>
        </w:rPr>
        <w:t>:</w:t>
      </w:r>
    </w:p>
    <w:p w14:paraId="45D934E8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</w:p>
    <w:p w14:paraId="709BDA77" w14:textId="0980F5BB" w:rsidR="00AF702A" w:rsidRDefault="00AF702A" w:rsidP="00C27FE6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Multi-barriers </w:t>
      </w:r>
      <w:r w:rsidR="00C27FE6">
        <w:rPr>
          <w:rFonts w:ascii="Arial" w:hAnsi="Arial" w:cs="Arial"/>
          <w:sz w:val="22"/>
          <w:szCs w:val="22"/>
          <w:lang w:eastAsia="en-GB"/>
        </w:rPr>
        <w:t>deep</w:t>
      </w:r>
      <w:r>
        <w:rPr>
          <w:rFonts w:ascii="Arial" w:hAnsi="Arial" w:cs="Arial"/>
          <w:sz w:val="22"/>
          <w:szCs w:val="22"/>
          <w:lang w:eastAsia="en-GB"/>
        </w:rPr>
        <w:t xml:space="preserve"> geological disposal is generally recognised as one of the most </w:t>
      </w:r>
      <w:r w:rsidR="00BC1010">
        <w:rPr>
          <w:rFonts w:ascii="Arial" w:hAnsi="Arial" w:cs="Arial"/>
          <w:sz w:val="22"/>
          <w:szCs w:val="22"/>
          <w:lang w:eastAsia="en-GB"/>
        </w:rPr>
        <w:t>suitable</w:t>
      </w:r>
      <w:r>
        <w:rPr>
          <w:rFonts w:ascii="Arial" w:hAnsi="Arial" w:cs="Arial"/>
          <w:sz w:val="22"/>
          <w:szCs w:val="22"/>
          <w:lang w:eastAsia="en-GB"/>
        </w:rPr>
        <w:t xml:space="preserve"> solution</w:t>
      </w:r>
      <w:r w:rsidR="00256E95">
        <w:rPr>
          <w:rFonts w:ascii="Arial" w:hAnsi="Arial" w:cs="Arial"/>
          <w:sz w:val="22"/>
          <w:szCs w:val="22"/>
          <w:lang w:eastAsia="en-GB"/>
        </w:rPr>
        <w:t xml:space="preserve">s to manage </w:t>
      </w:r>
      <w:r>
        <w:rPr>
          <w:rFonts w:ascii="Arial" w:hAnsi="Arial" w:cs="Arial"/>
          <w:sz w:val="22"/>
          <w:szCs w:val="22"/>
          <w:lang w:eastAsia="en-GB"/>
        </w:rPr>
        <w:t>high-level radioactive wastes</w:t>
      </w:r>
      <w:r w:rsidR="004C2283">
        <w:rPr>
          <w:rFonts w:ascii="Arial" w:hAnsi="Arial" w:cs="Arial"/>
          <w:sz w:val="22"/>
          <w:szCs w:val="22"/>
          <w:lang w:eastAsia="en-GB"/>
        </w:rPr>
        <w:t xml:space="preserve"> [1]</w:t>
      </w:r>
      <w:r>
        <w:rPr>
          <w:rFonts w:ascii="Arial" w:hAnsi="Arial" w:cs="Arial"/>
          <w:sz w:val="22"/>
          <w:szCs w:val="22"/>
          <w:lang w:eastAsia="en-GB"/>
        </w:rPr>
        <w:t xml:space="preserve">. The characterisation of in-situ THM behaviour of host rock is a crucial stage for the design </w:t>
      </w:r>
      <w:r w:rsidR="00C27FE6">
        <w:rPr>
          <w:rFonts w:ascii="Arial" w:hAnsi="Arial" w:cs="Arial"/>
          <w:sz w:val="22"/>
          <w:szCs w:val="22"/>
          <w:lang w:eastAsia="en-GB"/>
        </w:rPr>
        <w:t>of underground disposal facili</w:t>
      </w:r>
      <w:r w:rsidR="00BC1010">
        <w:rPr>
          <w:rFonts w:ascii="Arial" w:hAnsi="Arial" w:cs="Arial"/>
          <w:sz w:val="22"/>
          <w:szCs w:val="22"/>
          <w:lang w:eastAsia="en-GB"/>
        </w:rPr>
        <w:t xml:space="preserve">ty and for its long-term safety. In this context, </w:t>
      </w:r>
      <w:r w:rsidR="00C27FE6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6A58EC">
        <w:rPr>
          <w:rFonts w:ascii="Arial" w:hAnsi="Arial" w:cs="Arial"/>
          <w:sz w:val="22"/>
          <w:szCs w:val="22"/>
          <w:lang w:eastAsia="en-GB"/>
        </w:rPr>
        <w:t xml:space="preserve">rock </w:t>
      </w:r>
      <w:r w:rsidR="00BC1010">
        <w:rPr>
          <w:rFonts w:ascii="Arial" w:hAnsi="Arial" w:cs="Arial"/>
          <w:sz w:val="22"/>
          <w:szCs w:val="22"/>
          <w:lang w:eastAsia="en-GB"/>
        </w:rPr>
        <w:t>response</w:t>
      </w:r>
      <w:r w:rsidR="006A58EC">
        <w:rPr>
          <w:rFonts w:ascii="Arial" w:hAnsi="Arial" w:cs="Arial"/>
          <w:sz w:val="22"/>
          <w:szCs w:val="22"/>
          <w:lang w:eastAsia="en-GB"/>
        </w:rPr>
        <w:t xml:space="preserve"> induced by temperature </w:t>
      </w:r>
      <w:r w:rsidR="00BC1010">
        <w:rPr>
          <w:rFonts w:ascii="Arial" w:hAnsi="Arial" w:cs="Arial"/>
          <w:sz w:val="22"/>
          <w:szCs w:val="22"/>
          <w:lang w:eastAsia="en-GB"/>
        </w:rPr>
        <w:t>changes</w:t>
      </w:r>
      <w:r w:rsidR="006A58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C1010">
        <w:rPr>
          <w:rFonts w:ascii="Arial" w:hAnsi="Arial" w:cs="Arial"/>
          <w:sz w:val="22"/>
          <w:szCs w:val="22"/>
          <w:lang w:eastAsia="en-GB"/>
        </w:rPr>
        <w:t>is of paramount importance</w:t>
      </w:r>
      <w:r w:rsidR="00C27FE6">
        <w:rPr>
          <w:rFonts w:ascii="Arial" w:hAnsi="Arial" w:cs="Arial"/>
          <w:sz w:val="22"/>
          <w:szCs w:val="22"/>
          <w:lang w:eastAsia="en-GB"/>
        </w:rPr>
        <w:t xml:space="preserve">. Indeed, </w:t>
      </w:r>
      <w:r w:rsidR="00C27FE6" w:rsidRPr="00C27FE6">
        <w:rPr>
          <w:rFonts w:ascii="Arial" w:hAnsi="Arial" w:cs="Arial"/>
          <w:sz w:val="22"/>
          <w:szCs w:val="22"/>
          <w:lang w:eastAsia="en-GB"/>
        </w:rPr>
        <w:t>the heat generated by the waste must not affect the favourable properties of the clay host rock for containment, especially its transport properties.</w:t>
      </w:r>
      <w:r w:rsidR="00C27FE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27FE6" w:rsidRPr="00C27FE6">
        <w:rPr>
          <w:rFonts w:ascii="Arial" w:hAnsi="Arial" w:cs="Arial"/>
          <w:sz w:val="22"/>
          <w:szCs w:val="22"/>
          <w:lang w:eastAsia="en-GB"/>
        </w:rPr>
        <w:t>In the vicinity of the drift, the excess pore pressure generated by the thermal expansion of pore water could induce fracture re-opening or propagation. In the far-field, the zone subjected to thermal loading from two neighbo</w:t>
      </w:r>
      <w:r w:rsidR="006A58EC">
        <w:rPr>
          <w:rFonts w:ascii="Arial" w:hAnsi="Arial" w:cs="Arial"/>
          <w:sz w:val="22"/>
          <w:szCs w:val="22"/>
          <w:lang w:eastAsia="en-GB"/>
        </w:rPr>
        <w:t>u</w:t>
      </w:r>
      <w:r w:rsidR="00C27FE6" w:rsidRPr="00C27FE6">
        <w:rPr>
          <w:rFonts w:ascii="Arial" w:hAnsi="Arial" w:cs="Arial"/>
          <w:sz w:val="22"/>
          <w:szCs w:val="22"/>
          <w:lang w:eastAsia="en-GB"/>
        </w:rPr>
        <w:t>r</w:t>
      </w:r>
      <w:r w:rsidR="006A58EC">
        <w:rPr>
          <w:rFonts w:ascii="Arial" w:hAnsi="Arial" w:cs="Arial"/>
          <w:sz w:val="22"/>
          <w:szCs w:val="22"/>
          <w:lang w:eastAsia="en-GB"/>
        </w:rPr>
        <w:t>ing</w:t>
      </w:r>
      <w:r w:rsidR="00C27FE6" w:rsidRPr="00C27FE6">
        <w:rPr>
          <w:rFonts w:ascii="Arial" w:hAnsi="Arial" w:cs="Arial"/>
          <w:sz w:val="22"/>
          <w:szCs w:val="22"/>
          <w:lang w:eastAsia="en-GB"/>
        </w:rPr>
        <w:t xml:space="preserve"> galleries could induce tensile or even shear failure and/or reactivate old fractures.</w:t>
      </w:r>
      <w:r w:rsidR="006A58EC">
        <w:rPr>
          <w:rFonts w:ascii="Arial" w:hAnsi="Arial" w:cs="Arial"/>
          <w:sz w:val="22"/>
          <w:szCs w:val="22"/>
          <w:lang w:eastAsia="en-GB"/>
        </w:rPr>
        <w:t xml:space="preserve"> The objective of current study is to investigate the </w:t>
      </w:r>
      <w:r w:rsidR="006A58EC" w:rsidRPr="006A58EC">
        <w:rPr>
          <w:rFonts w:ascii="Arial" w:hAnsi="Arial" w:cs="Arial"/>
          <w:sz w:val="22"/>
          <w:szCs w:val="22"/>
          <w:lang w:eastAsia="en-GB"/>
        </w:rPr>
        <w:t>multi-physical couplings associated with thermal effects</w:t>
      </w:r>
      <w:r w:rsidR="006A58EC">
        <w:rPr>
          <w:rFonts w:ascii="Arial" w:hAnsi="Arial" w:cs="Arial"/>
          <w:sz w:val="22"/>
          <w:szCs w:val="22"/>
          <w:lang w:eastAsia="en-GB"/>
        </w:rPr>
        <w:t xml:space="preserve"> and reproduce the development of strain localisation in </w:t>
      </w:r>
      <w:r w:rsidR="00256E95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6A58EC">
        <w:rPr>
          <w:rFonts w:ascii="Arial" w:hAnsi="Arial" w:cs="Arial"/>
          <w:sz w:val="22"/>
          <w:szCs w:val="22"/>
          <w:lang w:eastAsia="en-GB"/>
        </w:rPr>
        <w:t>Excavation Damage Zone (EDZ).</w:t>
      </w:r>
    </w:p>
    <w:p w14:paraId="6D16E09E" w14:textId="4437B271" w:rsidR="006A58EC" w:rsidRDefault="006A58EC" w:rsidP="00C27FE6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6A58EC">
        <w:rPr>
          <w:rFonts w:ascii="Arial" w:hAnsi="Arial" w:cs="Arial"/>
          <w:sz w:val="22"/>
          <w:szCs w:val="22"/>
          <w:lang w:eastAsia="en-GB"/>
        </w:rPr>
        <w:t xml:space="preserve">A 2D plane strain generic model is </w:t>
      </w:r>
      <w:r w:rsidR="00BC1010">
        <w:rPr>
          <w:rFonts w:ascii="Arial" w:hAnsi="Arial" w:cs="Arial"/>
          <w:sz w:val="22"/>
          <w:szCs w:val="22"/>
          <w:lang w:eastAsia="en-GB"/>
        </w:rPr>
        <w:t>proposed as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C1010">
        <w:rPr>
          <w:rFonts w:ascii="Arial" w:hAnsi="Arial" w:cs="Arial"/>
          <w:sz w:val="22"/>
          <w:szCs w:val="22"/>
          <w:lang w:eastAsia="en-GB"/>
        </w:rPr>
        <w:t>a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benchmark exercise within the European joint programme EURAD </w:t>
      </w:r>
      <w:r w:rsidRPr="004C2283">
        <w:rPr>
          <w:rFonts w:ascii="Arial" w:hAnsi="Arial" w:cs="Arial"/>
          <w:sz w:val="22"/>
          <w:szCs w:val="22"/>
          <w:lang w:eastAsia="en-GB"/>
        </w:rPr>
        <w:t>HITEC [2].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The geometry of this model is a cross-section of a heating drift</w:t>
      </w:r>
      <w:r w:rsidR="008B605C">
        <w:rPr>
          <w:rFonts w:ascii="Arial" w:hAnsi="Arial" w:cs="Arial"/>
          <w:sz w:val="22"/>
          <w:szCs w:val="22"/>
          <w:lang w:eastAsia="en-GB"/>
        </w:rPr>
        <w:t xml:space="preserve"> (</w:t>
      </w:r>
      <w:r w:rsidR="00B42EE3">
        <w:rPr>
          <w:rFonts w:ascii="Arial" w:hAnsi="Arial" w:cs="Arial"/>
          <w:sz w:val="22"/>
          <w:szCs w:val="22"/>
          <w:lang w:eastAsia="en-GB"/>
        </w:rPr>
        <w:t>with support</w:t>
      </w:r>
      <w:r w:rsidR="008B605C">
        <w:rPr>
          <w:rFonts w:ascii="Arial" w:hAnsi="Arial" w:cs="Arial"/>
          <w:sz w:val="22"/>
          <w:szCs w:val="22"/>
          <w:lang w:eastAsia="en-GB"/>
        </w:rPr>
        <w:t>)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C1010">
        <w:rPr>
          <w:rFonts w:ascii="Arial" w:hAnsi="Arial" w:cs="Arial"/>
          <w:sz w:val="22"/>
          <w:szCs w:val="22"/>
          <w:lang w:eastAsia="en-GB"/>
        </w:rPr>
        <w:t>in the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host rock. Only a quarter of the full drift is modelled thanks to the symmetry of the problem and the boundary conditions. The full computation is </w:t>
      </w:r>
      <w:r w:rsidR="00474DBB">
        <w:rPr>
          <w:rFonts w:ascii="Arial" w:hAnsi="Arial" w:cs="Arial"/>
          <w:sz w:val="22"/>
          <w:szCs w:val="22"/>
          <w:lang w:eastAsia="en-GB"/>
        </w:rPr>
        <w:t>described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74DBB">
        <w:rPr>
          <w:rFonts w:ascii="Arial" w:hAnsi="Arial" w:cs="Arial"/>
          <w:sz w:val="22"/>
          <w:szCs w:val="22"/>
          <w:lang w:eastAsia="en-GB"/>
        </w:rPr>
        <w:t>as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three phases: excavation (0 ~ 24 h), waiting (24 h ~ 6 months) and heating (6 months ~ 10 years), conducted by adjusting boundary conditions of drift wall. The </w:t>
      </w:r>
      <w:proofErr w:type="spellStart"/>
      <w:r w:rsidRPr="006A58EC">
        <w:rPr>
          <w:rFonts w:ascii="Arial" w:hAnsi="Arial" w:cs="Arial"/>
          <w:sz w:val="22"/>
          <w:szCs w:val="22"/>
          <w:lang w:eastAsia="en-GB"/>
        </w:rPr>
        <w:t>elasto</w:t>
      </w:r>
      <w:proofErr w:type="spellEnd"/>
      <w:r w:rsidRPr="006A58EC">
        <w:rPr>
          <w:rFonts w:ascii="Arial" w:hAnsi="Arial" w:cs="Arial"/>
          <w:sz w:val="22"/>
          <w:szCs w:val="22"/>
          <w:lang w:eastAsia="en-GB"/>
        </w:rPr>
        <w:t xml:space="preserve">-plastic mechanical law with hardening and softening is </w:t>
      </w:r>
      <w:r w:rsidR="008B605C">
        <w:rPr>
          <w:rFonts w:ascii="Arial" w:hAnsi="Arial" w:cs="Arial"/>
          <w:sz w:val="22"/>
          <w:szCs w:val="22"/>
          <w:lang w:eastAsia="en-GB"/>
        </w:rPr>
        <w:t>applied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, and a local THM second gradient model </w:t>
      </w:r>
      <w:r w:rsidR="008B605C">
        <w:rPr>
          <w:rFonts w:ascii="Arial" w:hAnsi="Arial" w:cs="Arial"/>
          <w:sz w:val="22"/>
          <w:szCs w:val="22"/>
          <w:lang w:eastAsia="en-GB"/>
        </w:rPr>
        <w:t>incorporating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microstructure effects allows a robust modelling of the post peak regime. The </w:t>
      </w:r>
      <w:proofErr w:type="spellStart"/>
      <w:r w:rsidRPr="006A58EC">
        <w:rPr>
          <w:rFonts w:ascii="Arial" w:hAnsi="Arial" w:cs="Arial"/>
          <w:sz w:val="22"/>
          <w:szCs w:val="22"/>
          <w:lang w:eastAsia="en-GB"/>
        </w:rPr>
        <w:t>Callovo</w:t>
      </w:r>
      <w:proofErr w:type="spellEnd"/>
      <w:r w:rsidRPr="006A58EC">
        <w:rPr>
          <w:rFonts w:ascii="Arial" w:hAnsi="Arial" w:cs="Arial"/>
          <w:sz w:val="22"/>
          <w:szCs w:val="22"/>
          <w:lang w:eastAsia="en-GB"/>
        </w:rPr>
        <w:t>-Oxfordian claystone (</w:t>
      </w:r>
      <w:proofErr w:type="spellStart"/>
      <w:r w:rsidRPr="006A58EC">
        <w:rPr>
          <w:rFonts w:ascii="Arial" w:hAnsi="Arial" w:cs="Arial"/>
          <w:sz w:val="22"/>
          <w:szCs w:val="22"/>
          <w:lang w:eastAsia="en-GB"/>
        </w:rPr>
        <w:t>COx</w:t>
      </w:r>
      <w:proofErr w:type="spellEnd"/>
      <w:r w:rsidRPr="006A58EC">
        <w:rPr>
          <w:rFonts w:ascii="Arial" w:hAnsi="Arial" w:cs="Arial"/>
          <w:sz w:val="22"/>
          <w:szCs w:val="22"/>
          <w:lang w:eastAsia="en-GB"/>
        </w:rPr>
        <w:t xml:space="preserve">) is selected as a candidate host formation due to its low permeability and good plasticity [3]. </w:t>
      </w:r>
      <w:r w:rsidR="008B605C">
        <w:rPr>
          <w:rFonts w:ascii="Arial" w:hAnsi="Arial" w:cs="Arial"/>
          <w:sz w:val="22"/>
          <w:szCs w:val="22"/>
          <w:lang w:eastAsia="en-GB"/>
        </w:rPr>
        <w:t>T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he numerical </w:t>
      </w:r>
      <w:r w:rsidR="008B605C">
        <w:rPr>
          <w:rFonts w:ascii="Arial" w:hAnsi="Arial" w:cs="Arial"/>
          <w:sz w:val="22"/>
          <w:szCs w:val="22"/>
          <w:lang w:eastAsia="en-GB"/>
        </w:rPr>
        <w:t>application</w:t>
      </w:r>
      <w:r w:rsidRPr="006A58EC">
        <w:rPr>
          <w:rFonts w:ascii="Arial" w:hAnsi="Arial" w:cs="Arial"/>
          <w:sz w:val="22"/>
          <w:szCs w:val="22"/>
          <w:lang w:eastAsia="en-GB"/>
        </w:rPr>
        <w:t xml:space="preserve"> is performed with the finite element code </w:t>
      </w:r>
      <w:proofErr w:type="spellStart"/>
      <w:r w:rsidRPr="006A58EC">
        <w:rPr>
          <w:rFonts w:ascii="Arial" w:hAnsi="Arial" w:cs="Arial"/>
          <w:sz w:val="22"/>
          <w:szCs w:val="22"/>
          <w:lang w:eastAsia="en-GB"/>
        </w:rPr>
        <w:t>Lagamine</w:t>
      </w:r>
      <w:proofErr w:type="spellEnd"/>
      <w:r w:rsidRPr="006A58EC">
        <w:rPr>
          <w:rFonts w:ascii="Arial" w:hAnsi="Arial" w:cs="Arial"/>
          <w:sz w:val="22"/>
          <w:szCs w:val="22"/>
          <w:lang w:eastAsia="en-GB"/>
        </w:rPr>
        <w:t xml:space="preserve"> developed at University of Liège.</w:t>
      </w:r>
    </w:p>
    <w:p w14:paraId="10A07F8B" w14:textId="1A4EFCDE" w:rsidR="006A58EC" w:rsidRDefault="00FD0660" w:rsidP="0028410D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drift 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wall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experiences a quick convergence during the excavation phase, and </w:t>
      </w:r>
      <w:r w:rsidR="0028410D">
        <w:rPr>
          <w:rFonts w:ascii="Arial" w:hAnsi="Arial" w:cs="Arial"/>
          <w:sz w:val="22"/>
          <w:szCs w:val="22"/>
          <w:lang w:eastAsia="en-GB"/>
        </w:rPr>
        <w:t xml:space="preserve">firstly </w:t>
      </w:r>
      <w:r>
        <w:rPr>
          <w:rFonts w:ascii="Arial" w:hAnsi="Arial" w:cs="Arial"/>
          <w:sz w:val="22"/>
          <w:szCs w:val="22"/>
          <w:lang w:eastAsia="en-GB"/>
        </w:rPr>
        <w:t>get</w:t>
      </w:r>
      <w:r w:rsidR="00256E95">
        <w:rPr>
          <w:rFonts w:ascii="Arial" w:hAnsi="Arial" w:cs="Arial"/>
          <w:sz w:val="22"/>
          <w:szCs w:val="22"/>
          <w:lang w:eastAsia="en-GB"/>
        </w:rPr>
        <w:t>s</w:t>
      </w:r>
      <w:r>
        <w:rPr>
          <w:rFonts w:ascii="Arial" w:hAnsi="Arial" w:cs="Arial"/>
          <w:sz w:val="22"/>
          <w:szCs w:val="22"/>
          <w:lang w:eastAsia="en-GB"/>
        </w:rPr>
        <w:t xml:space="preserve"> partial contact with support at </w:t>
      </w:r>
      <w:r w:rsidR="00BC1010">
        <w:rPr>
          <w:rFonts w:ascii="Arial" w:hAnsi="Arial" w:cs="Arial"/>
          <w:sz w:val="22"/>
          <w:szCs w:val="22"/>
          <w:lang w:eastAsia="en-GB"/>
        </w:rPr>
        <w:t>45 degree direction</w:t>
      </w:r>
      <w:r>
        <w:rPr>
          <w:rFonts w:ascii="Arial" w:hAnsi="Arial" w:cs="Arial"/>
          <w:sz w:val="22"/>
          <w:szCs w:val="22"/>
          <w:lang w:eastAsia="en-GB"/>
        </w:rPr>
        <w:t>.</w:t>
      </w:r>
      <w:r w:rsidR="0028410D">
        <w:rPr>
          <w:rFonts w:ascii="Arial" w:hAnsi="Arial" w:cs="Arial"/>
          <w:sz w:val="22"/>
          <w:szCs w:val="22"/>
          <w:lang w:eastAsia="en-GB"/>
        </w:rPr>
        <w:t xml:space="preserve"> Strain localisation is not highly pronounced at the end of excavation, then it gradually weakens due to progressive drainage during waiting. Once the</w:t>
      </w:r>
      <w:r w:rsidR="0028410D" w:rsidRPr="0028410D">
        <w:rPr>
          <w:rFonts w:ascii="Arial" w:hAnsi="Arial" w:cs="Arial"/>
          <w:sz w:val="22"/>
          <w:szCs w:val="22"/>
          <w:lang w:eastAsia="en-GB"/>
        </w:rPr>
        <w:t xml:space="preserve"> heating phase is </w:t>
      </w:r>
      <w:r w:rsidR="0028410D">
        <w:rPr>
          <w:rFonts w:ascii="Arial" w:hAnsi="Arial" w:cs="Arial"/>
          <w:sz w:val="22"/>
          <w:szCs w:val="22"/>
          <w:lang w:eastAsia="en-GB"/>
        </w:rPr>
        <w:t xml:space="preserve">activated, </w:t>
      </w:r>
      <w:r w:rsidR="0028410D" w:rsidRPr="0028410D">
        <w:rPr>
          <w:rFonts w:ascii="Arial" w:hAnsi="Arial" w:cs="Arial"/>
          <w:sz w:val="22"/>
          <w:szCs w:val="22"/>
          <w:lang w:eastAsia="en-GB"/>
        </w:rPr>
        <w:t>the plasticity develops rapidly</w:t>
      </w:r>
      <w:r w:rsidR="0028410D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256E95">
        <w:rPr>
          <w:rFonts w:ascii="Arial" w:hAnsi="Arial" w:cs="Arial"/>
          <w:sz w:val="22"/>
          <w:szCs w:val="22"/>
          <w:lang w:eastAsia="en-GB"/>
        </w:rPr>
        <w:t xml:space="preserve">and </w:t>
      </w:r>
      <w:r w:rsidR="0028410D">
        <w:rPr>
          <w:rFonts w:ascii="Arial" w:hAnsi="Arial" w:cs="Arial"/>
          <w:sz w:val="22"/>
          <w:szCs w:val="22"/>
          <w:lang w:eastAsia="en-GB"/>
        </w:rPr>
        <w:t xml:space="preserve">the full contact between drift wall and support is realised subsequently. </w:t>
      </w:r>
      <w:r w:rsidR="0028410D" w:rsidRPr="0028410D">
        <w:rPr>
          <w:rFonts w:ascii="Arial" w:hAnsi="Arial" w:cs="Arial"/>
          <w:sz w:val="22"/>
          <w:szCs w:val="22"/>
          <w:lang w:eastAsia="en-GB"/>
        </w:rPr>
        <w:t>THM couplings at the drift wall are evidenced by excess pore pressure, that induces distinct growth of shear bands.</w:t>
      </w:r>
      <w:r w:rsidR="00A04B3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04B30" w:rsidRPr="00A04B30">
        <w:rPr>
          <w:rFonts w:ascii="Arial" w:hAnsi="Arial" w:cs="Arial"/>
          <w:sz w:val="22"/>
          <w:szCs w:val="22"/>
          <w:lang w:eastAsia="en-GB"/>
        </w:rPr>
        <w:t xml:space="preserve">Thermal effect </w:t>
      </w:r>
      <w:r w:rsidR="00A04B30">
        <w:rPr>
          <w:rFonts w:ascii="Arial" w:hAnsi="Arial" w:cs="Arial"/>
          <w:sz w:val="22"/>
          <w:szCs w:val="22"/>
          <w:lang w:eastAsia="en-GB"/>
        </w:rPr>
        <w:t>plays</w:t>
      </w:r>
      <w:r w:rsidR="00A04B30" w:rsidRPr="00A04B30">
        <w:rPr>
          <w:rFonts w:ascii="Arial" w:hAnsi="Arial" w:cs="Arial"/>
          <w:sz w:val="22"/>
          <w:szCs w:val="22"/>
          <w:lang w:eastAsia="en-GB"/>
        </w:rPr>
        <w:t xml:space="preserve"> a leading role in the development of strain localisation, and the shear bands occur preferably along with the minor principal stress direction.</w:t>
      </w:r>
    </w:p>
    <w:p w14:paraId="117916C0" w14:textId="10295F21" w:rsidR="005533CB" w:rsidRPr="0028410D" w:rsidRDefault="005533CB" w:rsidP="0028410D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support </w:t>
      </w:r>
      <w:r w:rsidR="00CF5C4F">
        <w:rPr>
          <w:rFonts w:ascii="Arial" w:hAnsi="Arial" w:cs="Arial"/>
          <w:sz w:val="22"/>
          <w:szCs w:val="22"/>
          <w:lang w:eastAsia="en-GB"/>
        </w:rPr>
        <w:t>plays a critical role in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CF5C4F">
        <w:rPr>
          <w:rFonts w:ascii="Arial" w:hAnsi="Arial" w:cs="Arial"/>
          <w:sz w:val="22"/>
          <w:szCs w:val="22"/>
          <w:lang w:eastAsia="en-GB"/>
        </w:rPr>
        <w:t xml:space="preserve">reproducing the in-situ coupling behaviour at EDZ, both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F255DA">
        <w:rPr>
          <w:rFonts w:ascii="Arial" w:hAnsi="Arial" w:cs="Arial"/>
          <w:sz w:val="22"/>
          <w:szCs w:val="22"/>
          <w:lang w:eastAsia="en-GB"/>
        </w:rPr>
        <w:t xml:space="preserve">development of </w:t>
      </w:r>
      <w:r w:rsidR="00CF5C4F">
        <w:rPr>
          <w:rFonts w:ascii="Arial" w:hAnsi="Arial" w:cs="Arial"/>
          <w:sz w:val="22"/>
          <w:szCs w:val="22"/>
          <w:lang w:eastAsia="en-GB"/>
        </w:rPr>
        <w:t xml:space="preserve">plasticity and </w:t>
      </w:r>
      <w:r w:rsidR="00F255DA">
        <w:rPr>
          <w:rFonts w:ascii="Arial" w:hAnsi="Arial" w:cs="Arial"/>
          <w:sz w:val="22"/>
          <w:szCs w:val="22"/>
          <w:lang w:eastAsia="en-GB"/>
        </w:rPr>
        <w:t xml:space="preserve">strain localisation. </w:t>
      </w:r>
      <w:r w:rsidR="00F137CF">
        <w:rPr>
          <w:rFonts w:ascii="Arial" w:hAnsi="Arial" w:cs="Arial"/>
          <w:sz w:val="22"/>
          <w:szCs w:val="22"/>
          <w:lang w:eastAsia="en-GB"/>
        </w:rPr>
        <w:t>On the one hand, taking</w:t>
      </w:r>
      <w:r w:rsidR="00021B94">
        <w:rPr>
          <w:rFonts w:ascii="Arial" w:hAnsi="Arial" w:cs="Arial"/>
          <w:sz w:val="22"/>
          <w:szCs w:val="22"/>
          <w:lang w:eastAsia="en-GB"/>
        </w:rPr>
        <w:t xml:space="preserve"> a larger distance between the support and drift wall, the initiation of strain localisation is delayed</w:t>
      </w:r>
      <w:r w:rsidR="00F137CF">
        <w:rPr>
          <w:rFonts w:ascii="Arial" w:hAnsi="Arial" w:cs="Arial"/>
          <w:sz w:val="22"/>
          <w:szCs w:val="22"/>
          <w:lang w:eastAsia="en-GB"/>
        </w:rPr>
        <w:t>, and t</w:t>
      </w:r>
      <w:r w:rsidR="00021B94">
        <w:rPr>
          <w:rFonts w:ascii="Arial" w:hAnsi="Arial" w:cs="Arial"/>
          <w:sz w:val="22"/>
          <w:szCs w:val="22"/>
          <w:lang w:eastAsia="en-GB"/>
        </w:rPr>
        <w:t xml:space="preserve">he contact situation </w:t>
      </w:r>
      <w:r w:rsidR="00F137CF">
        <w:rPr>
          <w:rFonts w:ascii="Arial" w:hAnsi="Arial" w:cs="Arial"/>
          <w:sz w:val="22"/>
          <w:szCs w:val="22"/>
          <w:lang w:eastAsia="en-GB"/>
        </w:rPr>
        <w:t>is also affected due to distinct convergence. The development of shear bands is influenced as well, since the cohesion is controlled by the loading conditions</w:t>
      </w:r>
      <w:r w:rsidR="004C2283">
        <w:rPr>
          <w:rFonts w:ascii="Arial" w:hAnsi="Arial" w:cs="Arial"/>
          <w:sz w:val="22"/>
          <w:szCs w:val="22"/>
          <w:lang w:eastAsia="en-GB"/>
        </w:rPr>
        <w:t xml:space="preserve"> [4]</w:t>
      </w:r>
      <w:r w:rsidR="00F137CF">
        <w:rPr>
          <w:rFonts w:ascii="Arial" w:hAnsi="Arial" w:cs="Arial"/>
          <w:sz w:val="22"/>
          <w:szCs w:val="22"/>
          <w:lang w:eastAsia="en-GB"/>
        </w:rPr>
        <w:t>. On the other hand, t</w:t>
      </w:r>
      <w:r w:rsidR="00CF5C4F">
        <w:rPr>
          <w:rFonts w:ascii="Arial" w:hAnsi="Arial" w:cs="Arial"/>
          <w:sz w:val="22"/>
          <w:szCs w:val="22"/>
          <w:lang w:eastAsia="en-GB"/>
        </w:rPr>
        <w:t xml:space="preserve">he model without support is also carried out, to investigate the influence of support on strain localisation. </w:t>
      </w:r>
      <w:r w:rsidR="00DC05B7">
        <w:rPr>
          <w:rFonts w:ascii="Arial" w:hAnsi="Arial" w:cs="Arial"/>
          <w:sz w:val="22"/>
          <w:szCs w:val="22"/>
          <w:lang w:eastAsia="en-GB"/>
        </w:rPr>
        <w:t>In that latter case, t</w:t>
      </w:r>
      <w:r w:rsidR="00CF5C4F">
        <w:rPr>
          <w:rFonts w:ascii="Arial" w:hAnsi="Arial" w:cs="Arial"/>
          <w:sz w:val="22"/>
          <w:szCs w:val="22"/>
          <w:lang w:eastAsia="en-GB"/>
        </w:rPr>
        <w:t xml:space="preserve">he plasticity develops </w:t>
      </w:r>
      <w:r w:rsidR="00021B94">
        <w:rPr>
          <w:rFonts w:ascii="Arial" w:hAnsi="Arial" w:cs="Arial"/>
          <w:sz w:val="22"/>
          <w:szCs w:val="22"/>
          <w:lang w:eastAsia="en-GB"/>
        </w:rPr>
        <w:t xml:space="preserve">quickly </w:t>
      </w:r>
      <w:r w:rsidR="00DC05B7">
        <w:rPr>
          <w:rFonts w:ascii="Arial" w:hAnsi="Arial" w:cs="Arial"/>
          <w:sz w:val="22"/>
          <w:szCs w:val="22"/>
          <w:lang w:eastAsia="en-GB"/>
        </w:rPr>
        <w:t>and</w:t>
      </w:r>
      <w:r w:rsidR="00021B94">
        <w:rPr>
          <w:rFonts w:ascii="Arial" w:hAnsi="Arial" w:cs="Arial"/>
          <w:sz w:val="22"/>
          <w:szCs w:val="22"/>
          <w:lang w:eastAsia="en-GB"/>
        </w:rPr>
        <w:t xml:space="preserve"> the shear bands in minor principal stress direction is more pronounced. </w:t>
      </w:r>
    </w:p>
    <w:p w14:paraId="61EAD7D3" w14:textId="77777777" w:rsidR="00AD603F" w:rsidRPr="00440A92" w:rsidRDefault="00AD603F" w:rsidP="00AD603F">
      <w:pPr>
        <w:rPr>
          <w:rFonts w:ascii="Arial" w:hAnsi="Arial" w:cs="Arial"/>
          <w:lang w:eastAsia="en-GB"/>
        </w:rPr>
      </w:pPr>
    </w:p>
    <w:p w14:paraId="4A395CB5" w14:textId="028AB0BA" w:rsidR="00C347BD" w:rsidRDefault="004C54B9" w:rsidP="00C347BD">
      <w:pPr>
        <w:keepNext/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7272845D" wp14:editId="49F1AD99">
            <wp:extent cx="5394122" cy="153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09" cy="1542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4E491" w14:textId="717545D1" w:rsidR="00F255DA" w:rsidRDefault="00C347BD" w:rsidP="00C347BD">
      <w:pPr>
        <w:pStyle w:val="Caption"/>
        <w:jc w:val="center"/>
        <w:rPr>
          <w:rFonts w:ascii="Arial" w:hAnsi="Arial" w:cs="Arial"/>
          <w:color w:val="auto"/>
          <w:sz w:val="20"/>
          <w:szCs w:val="20"/>
        </w:rPr>
      </w:pPr>
      <w:r w:rsidRPr="0028086D">
        <w:rPr>
          <w:rFonts w:ascii="Arial" w:hAnsi="Arial" w:cs="Arial"/>
          <w:color w:val="auto"/>
          <w:sz w:val="20"/>
          <w:szCs w:val="20"/>
        </w:rPr>
        <w:t xml:space="preserve">Figure </w:t>
      </w:r>
      <w:r w:rsidRPr="0028086D">
        <w:rPr>
          <w:rFonts w:ascii="Arial" w:hAnsi="Arial" w:cs="Arial"/>
          <w:color w:val="auto"/>
          <w:sz w:val="20"/>
          <w:szCs w:val="20"/>
        </w:rPr>
        <w:fldChar w:fldCharType="begin"/>
      </w:r>
      <w:r w:rsidRPr="0028086D">
        <w:rPr>
          <w:rFonts w:ascii="Arial" w:hAnsi="Arial" w:cs="Arial"/>
          <w:color w:val="auto"/>
          <w:sz w:val="20"/>
          <w:szCs w:val="20"/>
        </w:rPr>
        <w:instrText xml:space="preserve"> SEQ Figure \* ARABIC </w:instrText>
      </w:r>
      <w:r w:rsidRPr="0028086D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28086D">
        <w:rPr>
          <w:rFonts w:ascii="Arial" w:hAnsi="Arial" w:cs="Arial"/>
          <w:noProof/>
          <w:color w:val="auto"/>
          <w:sz w:val="20"/>
          <w:szCs w:val="20"/>
        </w:rPr>
        <w:t>1</w:t>
      </w:r>
      <w:r w:rsidRPr="0028086D">
        <w:rPr>
          <w:rFonts w:ascii="Arial" w:hAnsi="Arial" w:cs="Arial"/>
          <w:color w:val="auto"/>
          <w:sz w:val="20"/>
          <w:szCs w:val="20"/>
        </w:rPr>
        <w:fldChar w:fldCharType="end"/>
      </w:r>
      <w:r w:rsidRPr="0028086D">
        <w:rPr>
          <w:rFonts w:ascii="Arial" w:hAnsi="Arial" w:cs="Arial"/>
          <w:color w:val="auto"/>
          <w:sz w:val="20"/>
          <w:szCs w:val="20"/>
        </w:rPr>
        <w:t xml:space="preserve">: </w:t>
      </w:r>
      <w:r w:rsidR="004C2283">
        <w:rPr>
          <w:rFonts w:ascii="Arial" w:hAnsi="Arial" w:cs="Arial"/>
          <w:color w:val="auto"/>
          <w:sz w:val="20"/>
          <w:szCs w:val="20"/>
        </w:rPr>
        <w:t xml:space="preserve">Evolution of strain localisation </w:t>
      </w:r>
      <w:r w:rsidR="00390F0C">
        <w:rPr>
          <w:rFonts w:ascii="Arial" w:hAnsi="Arial" w:cs="Arial"/>
          <w:color w:val="auto"/>
          <w:sz w:val="20"/>
          <w:szCs w:val="20"/>
        </w:rPr>
        <w:t>after</w:t>
      </w:r>
      <w:r w:rsidR="004C2283">
        <w:rPr>
          <w:rFonts w:ascii="Arial" w:hAnsi="Arial" w:cs="Arial"/>
          <w:color w:val="auto"/>
          <w:sz w:val="20"/>
          <w:szCs w:val="20"/>
        </w:rPr>
        <w:t xml:space="preserve"> 1</w:t>
      </w:r>
      <w:r w:rsidR="004C54B9">
        <w:rPr>
          <w:rFonts w:ascii="Arial" w:hAnsi="Arial" w:cs="Arial"/>
          <w:color w:val="auto"/>
          <w:sz w:val="20"/>
          <w:szCs w:val="20"/>
        </w:rPr>
        <w:t xml:space="preserve"> year</w:t>
      </w:r>
      <w:r w:rsidR="004C2283">
        <w:rPr>
          <w:rFonts w:ascii="Arial" w:hAnsi="Arial" w:cs="Arial"/>
          <w:color w:val="auto"/>
          <w:sz w:val="20"/>
          <w:szCs w:val="20"/>
        </w:rPr>
        <w:t xml:space="preserve"> (support distance=4.6mm)</w:t>
      </w:r>
    </w:p>
    <w:p w14:paraId="402B218A" w14:textId="0A66D92D" w:rsidR="007C438A" w:rsidRDefault="00465E4B" w:rsidP="00C347BD">
      <w:pPr>
        <w:pStyle w:val="Caption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6A646D3" wp14:editId="53F7DE53">
            <wp:extent cx="5413461" cy="1534106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1536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78B" w:rsidRPr="0028086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C86AEC" w14:textId="2794CB7D" w:rsidR="004C2283" w:rsidRDefault="004C2283" w:rsidP="004C2283">
      <w:pPr>
        <w:pStyle w:val="Caption"/>
        <w:jc w:val="center"/>
        <w:rPr>
          <w:rFonts w:ascii="Arial" w:hAnsi="Arial" w:cs="Arial"/>
          <w:color w:val="auto"/>
          <w:sz w:val="20"/>
          <w:szCs w:val="20"/>
        </w:rPr>
      </w:pPr>
      <w:r w:rsidRPr="0028086D">
        <w:rPr>
          <w:rFonts w:ascii="Arial" w:hAnsi="Arial" w:cs="Arial"/>
          <w:color w:val="auto"/>
          <w:sz w:val="20"/>
          <w:szCs w:val="20"/>
        </w:rPr>
        <w:t xml:space="preserve">Figure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28086D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Evolution of strain localisation </w:t>
      </w:r>
      <w:r w:rsidR="00390F0C">
        <w:rPr>
          <w:rFonts w:ascii="Arial" w:hAnsi="Arial" w:cs="Arial"/>
          <w:color w:val="auto"/>
          <w:sz w:val="20"/>
          <w:szCs w:val="20"/>
        </w:rPr>
        <w:t>after</w:t>
      </w:r>
      <w:r>
        <w:rPr>
          <w:rFonts w:ascii="Arial" w:hAnsi="Arial" w:cs="Arial"/>
          <w:color w:val="auto"/>
          <w:sz w:val="20"/>
          <w:szCs w:val="20"/>
        </w:rPr>
        <w:t xml:space="preserve"> 10 years (support distance=4.</w:t>
      </w:r>
      <w:r w:rsidR="00465E4B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mm)</w:t>
      </w:r>
    </w:p>
    <w:p w14:paraId="5C5EDE3D" w14:textId="77777777" w:rsidR="00BC1010" w:rsidRPr="00D604D5" w:rsidRDefault="00BC1010" w:rsidP="00BC1010">
      <w:pPr>
        <w:jc w:val="both"/>
        <w:rPr>
          <w:rFonts w:ascii="Arial" w:hAnsi="Arial" w:cs="Arial"/>
          <w:u w:val="single"/>
          <w:lang w:val="en-US"/>
        </w:rPr>
      </w:pPr>
      <w:r w:rsidRPr="00D604D5">
        <w:rPr>
          <w:rFonts w:ascii="Arial" w:hAnsi="Arial" w:cs="Arial"/>
          <w:u w:val="single"/>
          <w:lang w:val="en-US"/>
        </w:rPr>
        <w:t>Acknowledgments</w:t>
      </w:r>
    </w:p>
    <w:p w14:paraId="3E80AEDD" w14:textId="77777777" w:rsidR="00BC1010" w:rsidRDefault="00BC1010" w:rsidP="00BC1010">
      <w:pPr>
        <w:jc w:val="both"/>
        <w:rPr>
          <w:rFonts w:ascii="Arial" w:hAnsi="Arial" w:cs="Arial"/>
          <w:shd w:val="clear" w:color="auto" w:fill="F7F7F7"/>
        </w:rPr>
      </w:pPr>
    </w:p>
    <w:p w14:paraId="03EDA024" w14:textId="77777777" w:rsidR="00390F0C" w:rsidRDefault="00BC1010" w:rsidP="00465E4B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6A39FD">
        <w:rPr>
          <w:rFonts w:ascii="Arial" w:hAnsi="Arial" w:cs="Arial"/>
          <w:sz w:val="22"/>
          <w:szCs w:val="22"/>
          <w:lang w:eastAsia="en-GB"/>
        </w:rPr>
        <w:t>This project has received funding from the European Union’s Horizon 2020 research and innovation programme under grant agreement No 847593.</w:t>
      </w:r>
      <w:r w:rsidR="00465E4B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23FD08F" w14:textId="77777777" w:rsidR="00390F0C" w:rsidRDefault="00390F0C" w:rsidP="00465E4B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9C132EB" w14:textId="4E25266C" w:rsidR="00BC1010" w:rsidRPr="006C2F14" w:rsidRDefault="00465E4B" w:rsidP="00465E4B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first author </w:t>
      </w:r>
      <w:r w:rsidRPr="00465E4B">
        <w:rPr>
          <w:rFonts w:ascii="Arial" w:hAnsi="Arial" w:cs="Arial"/>
          <w:sz w:val="22"/>
          <w:szCs w:val="22"/>
          <w:lang w:eastAsia="en-GB"/>
        </w:rPr>
        <w:t>would like to thank the China Scholarship Council (No.201906710096), for their financial support.</w:t>
      </w:r>
    </w:p>
    <w:p w14:paraId="54A123C0" w14:textId="77777777" w:rsidR="00783B72" w:rsidRDefault="00783B72" w:rsidP="00E234D2">
      <w:pPr>
        <w:jc w:val="both"/>
        <w:rPr>
          <w:rFonts w:ascii="Arial" w:hAnsi="Arial" w:cs="Arial"/>
          <w:shd w:val="clear" w:color="auto" w:fill="F7F7F7"/>
        </w:rPr>
      </w:pPr>
    </w:p>
    <w:p w14:paraId="0B0D78F5" w14:textId="77777777" w:rsidR="00E234D2" w:rsidRDefault="00E234D2" w:rsidP="00E234D2">
      <w:pPr>
        <w:jc w:val="both"/>
        <w:rPr>
          <w:rFonts w:ascii="Arial" w:hAnsi="Arial" w:cs="Arial"/>
          <w:lang w:val="en-US"/>
        </w:rPr>
      </w:pPr>
      <w:r w:rsidRPr="00E234D2">
        <w:rPr>
          <w:rFonts w:ascii="Arial" w:hAnsi="Arial" w:cs="Arial"/>
          <w:u w:val="single"/>
          <w:lang w:val="en-US"/>
        </w:rPr>
        <w:t>References</w:t>
      </w:r>
      <w:r>
        <w:rPr>
          <w:rFonts w:ascii="Arial" w:hAnsi="Arial" w:cs="Arial"/>
          <w:lang w:val="en-US"/>
        </w:rPr>
        <w:t>:</w:t>
      </w:r>
    </w:p>
    <w:p w14:paraId="27B47461" w14:textId="77777777" w:rsidR="007C438A" w:rsidRDefault="007C438A" w:rsidP="00E234D2">
      <w:pPr>
        <w:jc w:val="both"/>
        <w:rPr>
          <w:rFonts w:ascii="Arial" w:hAnsi="Arial" w:cs="Arial"/>
          <w:lang w:val="en-US"/>
        </w:rPr>
      </w:pPr>
    </w:p>
    <w:p w14:paraId="1FBA7A34" w14:textId="214FC6DF" w:rsidR="00EF0D01" w:rsidRPr="000B30E7" w:rsidRDefault="00EF0D01" w:rsidP="00E234D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30E7">
        <w:rPr>
          <w:rFonts w:ascii="Arial" w:hAnsi="Arial" w:cs="Arial"/>
          <w:sz w:val="22"/>
          <w:szCs w:val="22"/>
          <w:lang w:val="en-US"/>
        </w:rPr>
        <w:t xml:space="preserve">[1] </w:t>
      </w:r>
      <w:r w:rsidR="004C2283" w:rsidRPr="004C2283">
        <w:rPr>
          <w:rFonts w:ascii="Arial" w:hAnsi="Arial" w:cs="Arial"/>
          <w:sz w:val="22"/>
          <w:szCs w:val="22"/>
          <w:lang w:val="en-US"/>
        </w:rPr>
        <w:t xml:space="preserve">NEA (2008). Moving Forward with Geological Disposal of Radioactive Waste, A Collective Statement by the NEA Radioactive Waste Management </w:t>
      </w:r>
      <w:proofErr w:type="spellStart"/>
      <w:r w:rsidR="004C2283" w:rsidRPr="004C2283">
        <w:rPr>
          <w:rFonts w:ascii="Arial" w:hAnsi="Arial" w:cs="Arial"/>
          <w:sz w:val="22"/>
          <w:szCs w:val="22"/>
          <w:lang w:val="en-US"/>
        </w:rPr>
        <w:t>Commitee</w:t>
      </w:r>
      <w:proofErr w:type="spellEnd"/>
      <w:r w:rsidR="004C2283" w:rsidRPr="004C2283">
        <w:rPr>
          <w:rFonts w:ascii="Arial" w:hAnsi="Arial" w:cs="Arial"/>
          <w:sz w:val="22"/>
          <w:szCs w:val="22"/>
          <w:lang w:val="en-US"/>
        </w:rPr>
        <w:t xml:space="preserve"> (RWMC). Technical report, OECD-Nuclear Energy Agency, Paris.</w:t>
      </w:r>
    </w:p>
    <w:p w14:paraId="44796C07" w14:textId="77777777" w:rsidR="00EF0D01" w:rsidRPr="000B30E7" w:rsidRDefault="00EF0D01" w:rsidP="00E234D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321F17" w14:textId="086FF5CD" w:rsidR="00EF0D01" w:rsidRDefault="00EF0D01" w:rsidP="00E234D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30E7">
        <w:rPr>
          <w:rFonts w:ascii="Arial" w:hAnsi="Arial" w:cs="Arial"/>
          <w:sz w:val="22"/>
          <w:szCs w:val="22"/>
          <w:lang w:val="en-US"/>
        </w:rPr>
        <w:t xml:space="preserve">[2] </w:t>
      </w:r>
      <w:r w:rsidR="004C2283" w:rsidRPr="004C2283">
        <w:rPr>
          <w:rFonts w:ascii="Arial" w:hAnsi="Arial" w:cs="Arial"/>
          <w:sz w:val="22"/>
          <w:szCs w:val="22"/>
          <w:lang w:val="en-US"/>
        </w:rPr>
        <w:t>EURAD WP HITEC - Milestone report 49 – Selection of benchmark exercises for task 2.3.</w:t>
      </w:r>
    </w:p>
    <w:p w14:paraId="4A357B7C" w14:textId="00CF1EDD" w:rsidR="004C2283" w:rsidRDefault="004C2283" w:rsidP="00E234D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4DFBD75" w14:textId="1C795001" w:rsidR="004C2283" w:rsidRDefault="004C2283" w:rsidP="00E234D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[3] </w:t>
      </w:r>
      <w:r w:rsidRPr="004C2283">
        <w:rPr>
          <w:rFonts w:ascii="Arial" w:hAnsi="Arial" w:cs="Arial"/>
          <w:sz w:val="22"/>
          <w:szCs w:val="22"/>
          <w:lang w:val="en-US"/>
        </w:rPr>
        <w:t>Zhang</w:t>
      </w:r>
      <w:r w:rsidR="00F378E5">
        <w:rPr>
          <w:rFonts w:ascii="Arial" w:hAnsi="Arial" w:cs="Arial"/>
          <w:sz w:val="22"/>
          <w:szCs w:val="22"/>
          <w:lang w:val="en-US"/>
        </w:rPr>
        <w:t>,</w:t>
      </w:r>
      <w:r w:rsidR="00C03FAE">
        <w:rPr>
          <w:rFonts w:ascii="Arial" w:hAnsi="Arial" w:cs="Arial"/>
          <w:sz w:val="22"/>
          <w:szCs w:val="22"/>
          <w:lang w:val="en-US"/>
        </w:rPr>
        <w:t xml:space="preserve"> </w:t>
      </w:r>
      <w:r w:rsidR="00F378E5">
        <w:rPr>
          <w:rFonts w:ascii="Arial" w:hAnsi="Arial" w:cs="Arial"/>
          <w:sz w:val="22"/>
          <w:szCs w:val="22"/>
          <w:lang w:val="en-US"/>
        </w:rPr>
        <w:t xml:space="preserve">C.L. </w:t>
      </w:r>
      <w:r w:rsidR="00C03FAE">
        <w:rPr>
          <w:rFonts w:ascii="Arial" w:hAnsi="Arial" w:cs="Arial"/>
          <w:sz w:val="22"/>
          <w:szCs w:val="22"/>
          <w:lang w:val="en-US"/>
        </w:rPr>
        <w:t>(2011)</w:t>
      </w:r>
      <w:r w:rsidRPr="004C2283">
        <w:rPr>
          <w:rFonts w:ascii="Arial" w:hAnsi="Arial" w:cs="Arial"/>
          <w:sz w:val="22"/>
          <w:szCs w:val="22"/>
          <w:lang w:val="en-US"/>
        </w:rPr>
        <w:t xml:space="preserve">. Experimental evidence for self-sealing </w:t>
      </w:r>
      <w:r w:rsidR="00C03FAE">
        <w:rPr>
          <w:rFonts w:ascii="Arial" w:hAnsi="Arial" w:cs="Arial"/>
          <w:sz w:val="22"/>
          <w:szCs w:val="22"/>
          <w:lang w:val="en-US"/>
        </w:rPr>
        <w:t>of fractures in claystone. Physics and</w:t>
      </w:r>
      <w:r w:rsidRPr="004C2283">
        <w:rPr>
          <w:rFonts w:ascii="Arial" w:hAnsi="Arial" w:cs="Arial"/>
          <w:sz w:val="22"/>
          <w:szCs w:val="22"/>
          <w:lang w:val="en-US"/>
        </w:rPr>
        <w:t xml:space="preserve"> </w:t>
      </w:r>
      <w:r w:rsidR="00C03FAE">
        <w:rPr>
          <w:rFonts w:ascii="Arial" w:hAnsi="Arial" w:cs="Arial"/>
          <w:sz w:val="22"/>
          <w:szCs w:val="22"/>
          <w:lang w:val="en-US"/>
        </w:rPr>
        <w:t>Chemistry of the Earth, 36: 1972-1980</w:t>
      </w:r>
      <w:r w:rsidRPr="004C2283">
        <w:rPr>
          <w:rFonts w:ascii="Arial" w:hAnsi="Arial" w:cs="Arial"/>
          <w:sz w:val="22"/>
          <w:szCs w:val="22"/>
          <w:lang w:val="en-US"/>
        </w:rPr>
        <w:t>.</w:t>
      </w:r>
    </w:p>
    <w:p w14:paraId="25CDE301" w14:textId="668A6465" w:rsidR="004C2283" w:rsidRDefault="004C2283" w:rsidP="00E234D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3A5805" w14:textId="08F9192A" w:rsidR="004C2283" w:rsidRPr="000B30E7" w:rsidRDefault="004C2283" w:rsidP="00E234D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[4] </w:t>
      </w:r>
      <w:r w:rsidR="00C03FAE" w:rsidRPr="00C03FAE">
        <w:rPr>
          <w:rFonts w:ascii="Arial" w:hAnsi="Arial" w:cs="Arial"/>
          <w:sz w:val="22"/>
          <w:szCs w:val="22"/>
          <w:lang w:val="en-US"/>
        </w:rPr>
        <w:t>Chen, L., Shao, J. F., and Huang, H. W. (2010). Coupled elastoplastic damage modeling of anisotropic rocks. Comput</w:t>
      </w:r>
      <w:r w:rsidR="00C03FAE">
        <w:rPr>
          <w:rFonts w:ascii="Arial" w:hAnsi="Arial" w:cs="Arial"/>
          <w:sz w:val="22"/>
          <w:szCs w:val="22"/>
          <w:lang w:val="en-US"/>
        </w:rPr>
        <w:t xml:space="preserve">ers and </w:t>
      </w:r>
      <w:proofErr w:type="spellStart"/>
      <w:r w:rsidR="00C03FAE" w:rsidRPr="00C03FAE">
        <w:rPr>
          <w:rFonts w:ascii="Arial" w:hAnsi="Arial" w:cs="Arial"/>
          <w:sz w:val="22"/>
          <w:szCs w:val="22"/>
          <w:lang w:val="en-US"/>
        </w:rPr>
        <w:t>Geotech</w:t>
      </w:r>
      <w:r w:rsidR="00C03FAE">
        <w:rPr>
          <w:rFonts w:ascii="Arial" w:hAnsi="Arial" w:cs="Arial"/>
          <w:sz w:val="22"/>
          <w:szCs w:val="22"/>
          <w:lang w:val="en-US"/>
        </w:rPr>
        <w:t>nics</w:t>
      </w:r>
      <w:proofErr w:type="spellEnd"/>
      <w:r w:rsidR="00C03FAE" w:rsidRPr="00C03FAE">
        <w:rPr>
          <w:rFonts w:ascii="Arial" w:hAnsi="Arial" w:cs="Arial"/>
          <w:sz w:val="22"/>
          <w:szCs w:val="22"/>
          <w:lang w:val="en-US"/>
        </w:rPr>
        <w:t>, 37(1-2):187–194.</w:t>
      </w:r>
    </w:p>
    <w:p w14:paraId="6A6AF158" w14:textId="77777777" w:rsidR="00EF0D01" w:rsidRDefault="00EF0D01" w:rsidP="00E234D2">
      <w:pPr>
        <w:jc w:val="both"/>
        <w:rPr>
          <w:rFonts w:ascii="Arial" w:hAnsi="Arial" w:cs="Arial"/>
          <w:lang w:val="en-US"/>
        </w:rPr>
      </w:pPr>
    </w:p>
    <w:p w14:paraId="23B99BE8" w14:textId="77777777" w:rsidR="00EF0D01" w:rsidRDefault="00EF0D01" w:rsidP="00E234D2">
      <w:pPr>
        <w:jc w:val="both"/>
        <w:rPr>
          <w:rFonts w:ascii="Arial" w:hAnsi="Arial" w:cs="Arial"/>
          <w:lang w:val="en-US"/>
        </w:rPr>
      </w:pPr>
    </w:p>
    <w:p w14:paraId="1B7AF117" w14:textId="77777777" w:rsidR="00C347BD" w:rsidRDefault="00C347BD" w:rsidP="00E234D2">
      <w:pPr>
        <w:jc w:val="both"/>
        <w:rPr>
          <w:rFonts w:ascii="Arial" w:hAnsi="Arial" w:cs="Arial"/>
          <w:lang w:val="en-US"/>
        </w:rPr>
      </w:pPr>
    </w:p>
    <w:p w14:paraId="1B1F5A9E" w14:textId="77777777" w:rsidR="00C347BD" w:rsidRDefault="00C347BD" w:rsidP="00E234D2">
      <w:pPr>
        <w:jc w:val="both"/>
        <w:rPr>
          <w:rFonts w:ascii="Arial" w:hAnsi="Arial" w:cs="Arial"/>
          <w:lang w:val="en-US"/>
        </w:rPr>
      </w:pPr>
    </w:p>
    <w:sectPr w:rsidR="00C347BD" w:rsidSect="00FA5C1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F975" w14:textId="77777777" w:rsidR="00216FF6" w:rsidRDefault="00216FF6" w:rsidP="00E234D2">
      <w:r>
        <w:separator/>
      </w:r>
    </w:p>
  </w:endnote>
  <w:endnote w:type="continuationSeparator" w:id="0">
    <w:p w14:paraId="105F3181" w14:textId="77777777" w:rsidR="00216FF6" w:rsidRDefault="00216FF6" w:rsidP="00E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16AA" w14:textId="77777777" w:rsidR="00216FF6" w:rsidRDefault="00216FF6" w:rsidP="00E234D2">
      <w:r>
        <w:separator/>
      </w:r>
    </w:p>
  </w:footnote>
  <w:footnote w:type="continuationSeparator" w:id="0">
    <w:p w14:paraId="4A32625B" w14:textId="77777777" w:rsidR="00216FF6" w:rsidRDefault="00216FF6" w:rsidP="00E2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5E29" w14:textId="7DE6D373" w:rsidR="00E234D2" w:rsidRPr="00E234D2" w:rsidRDefault="00DF5B36">
    <w:pPr>
      <w:pStyle w:val="Header"/>
      <w:rPr>
        <w:b/>
        <w:lang w:val="en-US"/>
      </w:rPr>
    </w:pPr>
    <w:r>
      <w:rPr>
        <w:b/>
        <w:lang w:val="en-US"/>
      </w:rPr>
      <w:t>Third</w:t>
    </w:r>
    <w:r w:rsidR="00E234D2" w:rsidRPr="00E234D2">
      <w:rPr>
        <w:b/>
        <w:lang w:val="en-US"/>
      </w:rPr>
      <w:t xml:space="preserve"> International Workshop on the Finite Element Code LAGAMINE</w:t>
    </w:r>
    <w:r w:rsidR="00E234D2">
      <w:rPr>
        <w:b/>
        <w:lang w:val="en-US"/>
      </w:rPr>
      <w:t xml:space="preserve"> (</w:t>
    </w:r>
    <w:r w:rsidR="00E234D2" w:rsidRPr="00E234D2">
      <w:rPr>
        <w:b/>
        <w:lang w:val="en-US"/>
      </w:rPr>
      <w:t>LAGASHOP 20</w:t>
    </w:r>
    <w:r>
      <w:rPr>
        <w:b/>
        <w:lang w:val="en-US"/>
      </w:rPr>
      <w:t>21</w:t>
    </w:r>
    <w:r w:rsidR="00E234D2">
      <w:rPr>
        <w:b/>
        <w:lang w:val="en-US"/>
      </w:rPr>
      <w:t>)</w:t>
    </w:r>
  </w:p>
  <w:p w14:paraId="5DE60E7A" w14:textId="7025881F" w:rsidR="00E234D2" w:rsidRDefault="00DF5B36" w:rsidP="00E234D2">
    <w:pPr>
      <w:pStyle w:val="Header"/>
      <w:rPr>
        <w:lang w:val="en-US"/>
      </w:rPr>
    </w:pPr>
    <w:r>
      <w:rPr>
        <w:lang w:val="en-US"/>
      </w:rPr>
      <w:t>27-29</w:t>
    </w:r>
    <w:r w:rsidR="00E234D2" w:rsidRPr="00E234D2">
      <w:rPr>
        <w:lang w:val="en-US"/>
      </w:rPr>
      <w:t xml:space="preserve"> January </w:t>
    </w:r>
    <w:r>
      <w:rPr>
        <w:lang w:val="en-US"/>
      </w:rPr>
      <w:t>2021</w:t>
    </w:r>
    <w:r w:rsidR="00E234D2" w:rsidRPr="00E234D2">
      <w:rPr>
        <w:lang w:val="en-US"/>
      </w:rPr>
      <w:t xml:space="preserve"> | </w:t>
    </w:r>
    <w:proofErr w:type="spellStart"/>
    <w:r>
      <w:rPr>
        <w:lang w:val="en-US"/>
      </w:rPr>
      <w:t>Université</w:t>
    </w:r>
    <w:proofErr w:type="spellEnd"/>
    <w:r>
      <w:rPr>
        <w:lang w:val="en-US"/>
      </w:rPr>
      <w:t xml:space="preserve"> Grenoble </w:t>
    </w:r>
    <w:proofErr w:type="spellStart"/>
    <w:r>
      <w:rPr>
        <w:lang w:val="en-US"/>
      </w:rPr>
      <w:t>Alpes</w:t>
    </w:r>
    <w:proofErr w:type="spellEnd"/>
  </w:p>
  <w:p w14:paraId="5DC65861" w14:textId="77777777" w:rsidR="00E234D2" w:rsidRPr="00E234D2" w:rsidRDefault="00E234D2" w:rsidP="00E234D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24C"/>
    <w:multiLevelType w:val="hybridMultilevel"/>
    <w:tmpl w:val="00343AB8"/>
    <w:lvl w:ilvl="0" w:tplc="673CE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01CA"/>
    <w:multiLevelType w:val="multilevel"/>
    <w:tmpl w:val="C3D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6"/>
    <w:rsid w:val="00014423"/>
    <w:rsid w:val="0001498A"/>
    <w:rsid w:val="00016697"/>
    <w:rsid w:val="00021B94"/>
    <w:rsid w:val="0006665E"/>
    <w:rsid w:val="00090365"/>
    <w:rsid w:val="00091343"/>
    <w:rsid w:val="00092130"/>
    <w:rsid w:val="000961FC"/>
    <w:rsid w:val="000B30E7"/>
    <w:rsid w:val="000D0570"/>
    <w:rsid w:val="00110772"/>
    <w:rsid w:val="001721CB"/>
    <w:rsid w:val="00197BC2"/>
    <w:rsid w:val="001C4618"/>
    <w:rsid w:val="001F729D"/>
    <w:rsid w:val="0020667A"/>
    <w:rsid w:val="00216FF6"/>
    <w:rsid w:val="00256E95"/>
    <w:rsid w:val="00274350"/>
    <w:rsid w:val="0028086D"/>
    <w:rsid w:val="0028410D"/>
    <w:rsid w:val="002D43F9"/>
    <w:rsid w:val="00322C74"/>
    <w:rsid w:val="00376321"/>
    <w:rsid w:val="003766AB"/>
    <w:rsid w:val="0038422E"/>
    <w:rsid w:val="00390F0C"/>
    <w:rsid w:val="003C6B6B"/>
    <w:rsid w:val="003C7612"/>
    <w:rsid w:val="003E3C51"/>
    <w:rsid w:val="003F3379"/>
    <w:rsid w:val="00405DC4"/>
    <w:rsid w:val="00440A92"/>
    <w:rsid w:val="004430B5"/>
    <w:rsid w:val="00443BE6"/>
    <w:rsid w:val="00454D3F"/>
    <w:rsid w:val="00455A34"/>
    <w:rsid w:val="00465E4B"/>
    <w:rsid w:val="00474DBB"/>
    <w:rsid w:val="004A50ED"/>
    <w:rsid w:val="004C2283"/>
    <w:rsid w:val="004C54B9"/>
    <w:rsid w:val="004F134A"/>
    <w:rsid w:val="00550EB9"/>
    <w:rsid w:val="005533CB"/>
    <w:rsid w:val="00554444"/>
    <w:rsid w:val="00593015"/>
    <w:rsid w:val="005F57D4"/>
    <w:rsid w:val="006A58EC"/>
    <w:rsid w:val="006B568E"/>
    <w:rsid w:val="006C6D05"/>
    <w:rsid w:val="007324B5"/>
    <w:rsid w:val="00734C14"/>
    <w:rsid w:val="00737472"/>
    <w:rsid w:val="00746BB3"/>
    <w:rsid w:val="00763376"/>
    <w:rsid w:val="00772380"/>
    <w:rsid w:val="00783B72"/>
    <w:rsid w:val="00791F3F"/>
    <w:rsid w:val="007B4F7B"/>
    <w:rsid w:val="007B6A46"/>
    <w:rsid w:val="007C438A"/>
    <w:rsid w:val="007D0B39"/>
    <w:rsid w:val="007E6C6A"/>
    <w:rsid w:val="00840789"/>
    <w:rsid w:val="00842CE9"/>
    <w:rsid w:val="0085398D"/>
    <w:rsid w:val="00884B90"/>
    <w:rsid w:val="008A39BE"/>
    <w:rsid w:val="008A6C62"/>
    <w:rsid w:val="008B0418"/>
    <w:rsid w:val="008B605C"/>
    <w:rsid w:val="008C0491"/>
    <w:rsid w:val="008F2AB8"/>
    <w:rsid w:val="009128F0"/>
    <w:rsid w:val="00936FC4"/>
    <w:rsid w:val="00963BF9"/>
    <w:rsid w:val="00970B74"/>
    <w:rsid w:val="0097278B"/>
    <w:rsid w:val="009A00A7"/>
    <w:rsid w:val="00A04B30"/>
    <w:rsid w:val="00A160B6"/>
    <w:rsid w:val="00A87D21"/>
    <w:rsid w:val="00AD603F"/>
    <w:rsid w:val="00AF702A"/>
    <w:rsid w:val="00B42EE3"/>
    <w:rsid w:val="00B6704F"/>
    <w:rsid w:val="00B965C3"/>
    <w:rsid w:val="00BA2A9C"/>
    <w:rsid w:val="00BA5E46"/>
    <w:rsid w:val="00BB4424"/>
    <w:rsid w:val="00BC1010"/>
    <w:rsid w:val="00BD6B0F"/>
    <w:rsid w:val="00BD7931"/>
    <w:rsid w:val="00C03FAE"/>
    <w:rsid w:val="00C17C90"/>
    <w:rsid w:val="00C27FE6"/>
    <w:rsid w:val="00C32B3E"/>
    <w:rsid w:val="00C347BD"/>
    <w:rsid w:val="00C4715A"/>
    <w:rsid w:val="00C66DD7"/>
    <w:rsid w:val="00C83731"/>
    <w:rsid w:val="00C9226A"/>
    <w:rsid w:val="00CA2227"/>
    <w:rsid w:val="00CC5BEA"/>
    <w:rsid w:val="00CF2488"/>
    <w:rsid w:val="00CF5C4F"/>
    <w:rsid w:val="00D23E35"/>
    <w:rsid w:val="00D35485"/>
    <w:rsid w:val="00D44166"/>
    <w:rsid w:val="00DB446D"/>
    <w:rsid w:val="00DC05B7"/>
    <w:rsid w:val="00DE476A"/>
    <w:rsid w:val="00DF5B36"/>
    <w:rsid w:val="00E17728"/>
    <w:rsid w:val="00E234D2"/>
    <w:rsid w:val="00E34118"/>
    <w:rsid w:val="00E42ADD"/>
    <w:rsid w:val="00E70623"/>
    <w:rsid w:val="00E940C9"/>
    <w:rsid w:val="00EC221E"/>
    <w:rsid w:val="00EE2132"/>
    <w:rsid w:val="00EF0D01"/>
    <w:rsid w:val="00EF2733"/>
    <w:rsid w:val="00F027D0"/>
    <w:rsid w:val="00F137CF"/>
    <w:rsid w:val="00F20454"/>
    <w:rsid w:val="00F255DA"/>
    <w:rsid w:val="00F378E5"/>
    <w:rsid w:val="00F43E25"/>
    <w:rsid w:val="00F44B43"/>
    <w:rsid w:val="00F96104"/>
    <w:rsid w:val="00FA2348"/>
    <w:rsid w:val="00FA5C17"/>
    <w:rsid w:val="00FD0660"/>
    <w:rsid w:val="00FD3B74"/>
    <w:rsid w:val="00FE0FF7"/>
    <w:rsid w:val="00FE31F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67D8"/>
  <w14:defaultImageDpi w14:val="32767"/>
  <w15:docId w15:val="{8C7F6DE6-7D53-4427-BF08-CAD16B8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D2"/>
  </w:style>
  <w:style w:type="paragraph" w:styleId="Footer">
    <w:name w:val="footer"/>
    <w:basedOn w:val="Normal"/>
    <w:link w:val="FooterChar"/>
    <w:uiPriority w:val="99"/>
    <w:unhideWhenUsed/>
    <w:rsid w:val="00E2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D2"/>
  </w:style>
  <w:style w:type="paragraph" w:styleId="BalloonText">
    <w:name w:val="Balloon Text"/>
    <w:basedOn w:val="Normal"/>
    <w:link w:val="BalloonTextChar"/>
    <w:uiPriority w:val="99"/>
    <w:semiHidden/>
    <w:unhideWhenUsed/>
    <w:rsid w:val="007C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347BD"/>
  </w:style>
  <w:style w:type="paragraph" w:styleId="Caption">
    <w:name w:val="caption"/>
    <w:basedOn w:val="Normal"/>
    <w:next w:val="Normal"/>
    <w:uiPriority w:val="35"/>
    <w:unhideWhenUsed/>
    <w:qFormat/>
    <w:rsid w:val="00C347BD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4C896-6378-4E7A-9E69-80462C5A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Song Hangbiao</cp:lastModifiedBy>
  <cp:revision>9</cp:revision>
  <dcterms:created xsi:type="dcterms:W3CDTF">2022-04-07T14:56:00Z</dcterms:created>
  <dcterms:modified xsi:type="dcterms:W3CDTF">2022-04-08T12:32:00Z</dcterms:modified>
</cp:coreProperties>
</file>