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72A0" w14:textId="1CB28E0A" w:rsidR="0012228B" w:rsidRPr="0012228B" w:rsidRDefault="0012228B" w:rsidP="0012228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12228B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EFFICACY OF BUPRENORPHINE AS ADJUVANT IN PERIPHERAL NERVE BLOCKS</w:t>
      </w:r>
      <w:r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D65F6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DURING</w:t>
      </w:r>
      <w:r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TOTAL JOINT ARTHOPLASTY</w:t>
      </w:r>
      <w:r w:rsidRPr="0012228B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: A SYSTEMATIC REVIEW AND NARRATIVE SYNTHESIS OF THE EVIDENCE</w:t>
      </w:r>
    </w:p>
    <w:p w14:paraId="3F58C402" w14:textId="77777777" w:rsidR="00F22A87" w:rsidRDefault="00F22A87" w:rsidP="00ED0FA9">
      <w:pPr>
        <w:spacing w:line="360" w:lineRule="auto"/>
        <w:jc w:val="center"/>
        <w:rPr>
          <w:b/>
          <w:bCs/>
          <w:lang w:val="en-US"/>
        </w:rPr>
      </w:pPr>
    </w:p>
    <w:p w14:paraId="745C1093" w14:textId="358A8742" w:rsidR="00E57BD3" w:rsidRPr="00F6263E" w:rsidRDefault="0012228B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Mayssam</w:t>
      </w:r>
      <w:proofErr w:type="spellEnd"/>
      <w:r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Medlej</w:t>
      </w:r>
      <w:proofErr w:type="spellEnd"/>
      <w:r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MD, </w:t>
      </w:r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† </w:t>
      </w:r>
      <w:r w:rsidR="00E57BD3"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Michele Carella, MD,† </w:t>
      </w:r>
    </w:p>
    <w:p w14:paraId="0AF4C387" w14:textId="77777777" w:rsidR="00E57BD3" w:rsidRPr="00F6263E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6AFDC9B6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† Department of Anesthesia and Intensive Care Medicine, Liege University Hospital, Liege, Belgium</w:t>
      </w:r>
    </w:p>
    <w:p w14:paraId="4ED703B9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9B6C060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Address for correspondence</w:t>
      </w:r>
    </w:p>
    <w:p w14:paraId="4267ADC3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Michele Carella, MD</w:t>
      </w:r>
    </w:p>
    <w:p w14:paraId="1E81FC77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Department of Anesthesia and Intensive Care Medicine </w:t>
      </w:r>
    </w:p>
    <w:p w14:paraId="7BBF26E9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CHU Liège -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site, Avenue de l'Hôpital 1</w:t>
      </w:r>
    </w:p>
    <w:p w14:paraId="6F44B5FF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Domaine Universitaire du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, Bâtiment B35</w:t>
      </w:r>
    </w:p>
    <w:p w14:paraId="3A06F37E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4000 Liège</w:t>
      </w:r>
      <w:r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Belgium </w:t>
      </w:r>
    </w:p>
    <w:p w14:paraId="37B80C5B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email: </w:t>
      </w:r>
      <w:hyperlink r:id="rId4" w:history="1">
        <w:r w:rsidRPr="00053D58">
          <w:rPr>
            <w:rFonts w:eastAsia="Arial Unicode MS" w:cs="Arial Unicode MS"/>
            <w:color w:val="000000"/>
            <w:u w:val="single" w:color="000000"/>
            <w:bdr w:val="nil"/>
            <w:lang w:val="en-US" w:eastAsia="fr-BE"/>
            <w14:textOutline w14:w="0" w14:cap="flat" w14:cmpd="sng" w14:algn="ctr">
              <w14:noFill/>
              <w14:prstDash w14:val="solid"/>
              <w14:bevel/>
            </w14:textOutline>
          </w:rPr>
          <w:t>mcarella@chuliege.be</w:t>
        </w:r>
      </w:hyperlink>
    </w:p>
    <w:p w14:paraId="2ABEC1E5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E5677D5" w14:textId="4D183255" w:rsidR="00F22A87" w:rsidRDefault="00F22A87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344FC225" w14:textId="72D7C20E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5A3C9144" w14:textId="609DB30B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1CEAA8EE" w14:textId="715F7691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6549D25" w14:textId="271D9A0A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35AB4661" w14:textId="06B7BB6D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519E0350" w14:textId="35F1EF2D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1D716665" w14:textId="2271EA63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0739AC90" w14:textId="4A9DC68F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1D74946" w14:textId="5B22B66E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5DBD760C" w14:textId="48668D44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1463A8E" w14:textId="77777777" w:rsidR="000D65F6" w:rsidRDefault="000D65F6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59C3B8EB" w14:textId="4499EB3C" w:rsidR="0012228B" w:rsidRDefault="0012228B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5FE22ACC" w14:textId="0290B153" w:rsidR="0012228B" w:rsidRDefault="0012228B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03EF6F22" w14:textId="138724C1" w:rsidR="0012228B" w:rsidRDefault="0012228B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4299A977" w14:textId="77777777" w:rsidR="0012228B" w:rsidRDefault="0012228B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3F6A407A" w14:textId="77777777" w:rsidR="00E57BD3" w:rsidRDefault="00E57BD3" w:rsidP="00074632">
      <w:pPr>
        <w:spacing w:line="360" w:lineRule="auto"/>
        <w:rPr>
          <w:b/>
          <w:bCs/>
          <w:lang w:val="en-US"/>
        </w:rPr>
      </w:pPr>
    </w:p>
    <w:p w14:paraId="3AB180CF" w14:textId="6750E877" w:rsidR="00074632" w:rsidRPr="00074632" w:rsidRDefault="00074632" w:rsidP="00074632">
      <w:pPr>
        <w:spacing w:line="360" w:lineRule="auto"/>
        <w:rPr>
          <w:b/>
          <w:bCs/>
          <w:lang w:val="en-US"/>
        </w:rPr>
      </w:pPr>
      <w:r w:rsidRPr="00074632">
        <w:rPr>
          <w:b/>
          <w:bCs/>
          <w:lang w:val="en-US"/>
        </w:rPr>
        <w:lastRenderedPageBreak/>
        <w:t>ABSTRACT</w:t>
      </w:r>
    </w:p>
    <w:p w14:paraId="17F78B8D" w14:textId="50785A78" w:rsidR="00582FAD" w:rsidRPr="00921125" w:rsidRDefault="00582FAD" w:rsidP="0012228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Background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The duration of peripheral nerve block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(PNB)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is of critical importance in the pain trajectories of total joint arthroplasties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(TJA)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 Rebound pain increases opioid consumption and worsens the patient's functional outcome.</w:t>
      </w:r>
      <w:r w:rsidR="0012228B" w:rsidRPr="0012228B">
        <w:rPr>
          <w:rFonts w:eastAsia="Arial Unicode MS"/>
          <w:color w:val="000000"/>
          <w:u w:color="000000"/>
          <w:bdr w:val="nil"/>
          <w:vertAlign w:val="superscript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Continuous 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PNBs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have a failure rate of 20</w:t>
      </w:r>
      <w:r w:rsidR="00EA626E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50%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and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they are associated with complications such as systemic local anesthetic toxicity, 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local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infection, nerve irritation, and an increased risk of postoperative falls.</w:t>
      </w:r>
      <w:r w:rsidR="0012228B" w:rsidRPr="0012228B">
        <w:rPr>
          <w:rFonts w:eastAsia="Arial Unicode MS"/>
          <w:color w:val="000000"/>
          <w:u w:color="000000"/>
          <w:bdr w:val="nil"/>
          <w:vertAlign w:val="superscript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Among the </w:t>
      </w:r>
      <w:r w:rsidR="00EA626E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local anesthetic adjuvant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studied, buprenorphine, a partial μ-opioid</w:t>
      </w:r>
      <w:r w:rsidR="00EA626E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receptor agonist 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has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 good efficacy and safety profile.</w:t>
      </w:r>
      <w:r w:rsidR="0012228B" w:rsidRPr="0012228B">
        <w:rPr>
          <w:rFonts w:eastAsia="Arial Unicode MS"/>
          <w:color w:val="000000"/>
          <w:u w:color="000000"/>
          <w:bdr w:val="nil"/>
          <w:vertAlign w:val="superscript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The objective of this 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narrative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review is to summarize the evidence </w:t>
      </w:r>
      <w:r w:rsid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about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buprenorphine as perineural adjuvant to prolong analgesia after TJA.</w:t>
      </w:r>
    </w:p>
    <w:p w14:paraId="29B93B0F" w14:textId="37A3DD14" w:rsidR="00582FAD" w:rsidRPr="00921125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Methods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In this narrative review, two independent reviewers searched several databases (</w:t>
      </w:r>
      <w:proofErr w:type="spellStart"/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Pubmed</w:t>
      </w:r>
      <w:proofErr w:type="spellEnd"/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Embase) for articles related to the use in TJA (hip, knee, shoulder, and ankle) of buprenorphine as a perineural adjuvant in BNP with or without other 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adjuvant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molecules. Articles included were those published through March 2022 and in English.</w:t>
      </w:r>
    </w:p>
    <w:p w14:paraId="1702F257" w14:textId="1FE78020" w:rsidR="00582FAD" w:rsidRPr="00921125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bCs/>
          <w:lang w:val="en-US"/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Results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13 randomized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clinical trials 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(RCT) 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were identified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(Table)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2, 4, 6, 3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for TJA at the hip, knee, and shoulder, respectively. No trials were found regarding ankle art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roplasty.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In 6, 5, and 7 RCT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 buprenorphine is used for femoral, popliteal sciatic, or interscale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ne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brachial 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plexus 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block, respectively. </w:t>
      </w:r>
      <w:r w:rsidR="00EA626E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Local anesthetic 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Perineural buprenorphine is administered in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4 RCTs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and in combination with other perineural adjuvants such as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epinephrine, clonidine, and dexamethason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e in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5 RCTs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6 RCTs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buprenorphine is confirmed to be effective in prolonging </w:t>
      </w:r>
      <w:r w:rsid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PNB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in TJAs with a time ranging from </w:t>
      </w:r>
      <w:r w:rsidR="00441207" w:rsidRPr="00441207">
        <w:rPr>
          <w:rFonts w:eastAsia="Arial Unicode MS"/>
          <w:color w:val="000000"/>
          <w:highlight w:val="yellow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120 to 197 minutes</w:t>
      </w:r>
      <w:r w:rsidR="00441207" w:rsidRPr="00441207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.   </w:t>
      </w:r>
    </w:p>
    <w:p w14:paraId="7405AE6C" w14:textId="45364C23" w:rsidR="00582FAD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lang w:val="en-US"/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Conclusions: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2228B" w:rsidRPr="0012228B">
        <w:rPr>
          <w:lang w:val="en-US"/>
        </w:rPr>
        <w:t>Buprenorphine is effective in prolonging PNBs during TJAs. However, the evidence is still weak and further trials on this topic are needed</w:t>
      </w:r>
      <w:r w:rsidRPr="00921125">
        <w:rPr>
          <w:lang w:val="en-US"/>
        </w:rPr>
        <w:t>.</w:t>
      </w:r>
    </w:p>
    <w:p w14:paraId="30AA0DB7" w14:textId="06DCE985" w:rsidR="006D134F" w:rsidRDefault="006D134F" w:rsidP="003E041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lang w:val="en-US"/>
        </w:rPr>
      </w:pPr>
    </w:p>
    <w:p w14:paraId="61605E92" w14:textId="77777777" w:rsidR="006D134F" w:rsidRPr="006D134F" w:rsidRDefault="006D134F" w:rsidP="006D134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References</w:t>
      </w: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4918FD80" w14:textId="1D77D020" w:rsidR="006D134F" w:rsidRPr="006D134F" w:rsidRDefault="006D134F" w:rsidP="006D134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Hopkins PM. Does regional </w:t>
      </w:r>
      <w:proofErr w:type="spellStart"/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anaesthesia</w:t>
      </w:r>
      <w:proofErr w:type="spellEnd"/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improve outcome? British Journal of </w:t>
      </w:r>
      <w:proofErr w:type="spellStart"/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Anaesthesia</w:t>
      </w:r>
      <w:proofErr w:type="spellEnd"/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2015; 115: ii26-33</w:t>
      </w:r>
    </w:p>
    <w:p w14:paraId="008A286F" w14:textId="15D661D9" w:rsidR="006C06F2" w:rsidRDefault="006D134F" w:rsidP="0012228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2. </w:t>
      </w:r>
      <w:r w:rsidR="0012228B"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Ilfeld BM. Continuous peripheral nerve blocks: an update of the published evidence and comparison with novel, alternative analgesic modalities. Anesthesia and Analgesia 2017; 124: 308-35.</w:t>
      </w:r>
    </w:p>
    <w:p w14:paraId="327A8511" w14:textId="2FCC6883" w:rsidR="006C06F2" w:rsidRPr="00A41FE2" w:rsidRDefault="0012228B" w:rsidP="0044120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lang w:val="en-US"/>
        </w:rPr>
      </w:pP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3. </w:t>
      </w:r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Schnabel A, </w:t>
      </w:r>
      <w:proofErr w:type="spell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Reichl</w:t>
      </w:r>
      <w:proofErr w:type="spell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SU, Zahn PK, </w:t>
      </w:r>
      <w:proofErr w:type="spell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Pogatzki</w:t>
      </w:r>
      <w:proofErr w:type="spell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-Zahn EM, Meyer- </w:t>
      </w:r>
      <w:proofErr w:type="spell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Friessem</w:t>
      </w:r>
      <w:proofErr w:type="spell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CH. </w:t>
      </w:r>
      <w:proofErr w:type="spellStart"/>
      <w:proofErr w:type="gram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Ef!cacy</w:t>
      </w:r>
      <w:proofErr w:type="spellEnd"/>
      <w:proofErr w:type="gram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and safety of buprenorphine in peripheral nerve blocks: a meta-analysis of </w:t>
      </w:r>
      <w:proofErr w:type="spell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randomised</w:t>
      </w:r>
      <w:proofErr w:type="spell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controlled trials. European Journal of </w:t>
      </w:r>
      <w:proofErr w:type="spellStart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Anaesthesiology</w:t>
      </w:r>
      <w:proofErr w:type="spellEnd"/>
      <w:r w:rsidRPr="0012228B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2017; 34: 576-86.</w:t>
      </w:r>
    </w:p>
    <w:sectPr w:rsidR="006C06F2" w:rsidRPr="00A41FE2" w:rsidSect="00A41F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32"/>
    <w:rsid w:val="00074632"/>
    <w:rsid w:val="000D65F6"/>
    <w:rsid w:val="000E7A75"/>
    <w:rsid w:val="0012228B"/>
    <w:rsid w:val="0013360D"/>
    <w:rsid w:val="00180CED"/>
    <w:rsid w:val="001C3600"/>
    <w:rsid w:val="001D0530"/>
    <w:rsid w:val="001E2C09"/>
    <w:rsid w:val="002564C1"/>
    <w:rsid w:val="002D18C4"/>
    <w:rsid w:val="002E6255"/>
    <w:rsid w:val="002F0FC6"/>
    <w:rsid w:val="003651CC"/>
    <w:rsid w:val="003B2A7B"/>
    <w:rsid w:val="003E0411"/>
    <w:rsid w:val="00441207"/>
    <w:rsid w:val="00441CA6"/>
    <w:rsid w:val="004D09F1"/>
    <w:rsid w:val="004E01AE"/>
    <w:rsid w:val="00532638"/>
    <w:rsid w:val="00553115"/>
    <w:rsid w:val="00582FAD"/>
    <w:rsid w:val="00596684"/>
    <w:rsid w:val="005E3AEC"/>
    <w:rsid w:val="006605AB"/>
    <w:rsid w:val="006C06F2"/>
    <w:rsid w:val="006D134F"/>
    <w:rsid w:val="006E41EF"/>
    <w:rsid w:val="006E6D62"/>
    <w:rsid w:val="006F2856"/>
    <w:rsid w:val="0074116E"/>
    <w:rsid w:val="007C770E"/>
    <w:rsid w:val="00844381"/>
    <w:rsid w:val="00844E9B"/>
    <w:rsid w:val="00851ECD"/>
    <w:rsid w:val="008774D4"/>
    <w:rsid w:val="008970F1"/>
    <w:rsid w:val="008E48C0"/>
    <w:rsid w:val="009044D2"/>
    <w:rsid w:val="00921125"/>
    <w:rsid w:val="00926DE8"/>
    <w:rsid w:val="00A16E8C"/>
    <w:rsid w:val="00A40A5A"/>
    <w:rsid w:val="00A41FE2"/>
    <w:rsid w:val="00AF40B6"/>
    <w:rsid w:val="00B82D73"/>
    <w:rsid w:val="00BB474A"/>
    <w:rsid w:val="00C0208E"/>
    <w:rsid w:val="00C11A1D"/>
    <w:rsid w:val="00CA0D13"/>
    <w:rsid w:val="00CA6CCA"/>
    <w:rsid w:val="00D24CEF"/>
    <w:rsid w:val="00D52836"/>
    <w:rsid w:val="00E57BD3"/>
    <w:rsid w:val="00EA626E"/>
    <w:rsid w:val="00ED0FA9"/>
    <w:rsid w:val="00F22A87"/>
    <w:rsid w:val="00F55D5B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27F"/>
  <w15:chartTrackingRefBased/>
  <w15:docId w15:val="{3B991703-6925-394D-B4D4-65C475AF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632"/>
    <w:rPr>
      <w:rFonts w:ascii="Times New Roman" w:eastAsia="Times New Roman" w:hAnsi="Times New Roman" w:cs="Times New Roman"/>
      <w:lang w:val="fr-B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7BD3"/>
    <w:rPr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60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rella@chuliege.b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Carella</dc:creator>
  <cp:keywords/>
  <dc:description/>
  <cp:lastModifiedBy>Michele Carella</cp:lastModifiedBy>
  <cp:revision>26</cp:revision>
  <dcterms:created xsi:type="dcterms:W3CDTF">2022-03-01T11:14:00Z</dcterms:created>
  <dcterms:modified xsi:type="dcterms:W3CDTF">2022-05-05T08:15:00Z</dcterms:modified>
</cp:coreProperties>
</file>