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FF7" w:rsidRPr="008E5DC5" w:rsidRDefault="00C73FF7" w:rsidP="00C73FF7">
      <w:pPr>
        <w:pStyle w:val="MDPI11articletype"/>
      </w:pPr>
      <w:r w:rsidRPr="008E5DC5">
        <w:t>Article</w:t>
      </w:r>
    </w:p>
    <w:p w:rsidR="00C73FF7" w:rsidRPr="008E5DC5" w:rsidRDefault="00C73FF7" w:rsidP="00C73FF7">
      <w:pPr>
        <w:pStyle w:val="MDPI12title"/>
      </w:pPr>
      <w:r w:rsidRPr="008E5DC5">
        <w:t xml:space="preserve">Regulation of Tissue Factor by CD44 supports coagulant activity in breast tumor cells. </w:t>
      </w:r>
    </w:p>
    <w:p w:rsidR="00C73FF7" w:rsidRPr="008E5DC5" w:rsidRDefault="00C73FF7" w:rsidP="00C73FF7">
      <w:pPr>
        <w:pStyle w:val="MDPI13authornames"/>
      </w:pPr>
      <w:r w:rsidRPr="008E5DC5">
        <w:t>Amélie V. Villard</w:t>
      </w:r>
      <w:proofErr w:type="gramStart"/>
      <w:r w:rsidRPr="008E5DC5">
        <w:rPr>
          <w:vertAlign w:val="superscript"/>
        </w:rPr>
        <w:t>1</w:t>
      </w:r>
      <w:r>
        <w:rPr>
          <w:vertAlign w:val="superscript"/>
        </w:rPr>
        <w:t>,†</w:t>
      </w:r>
      <w:proofErr w:type="gramEnd"/>
      <w:r w:rsidRPr="008E5DC5">
        <w:t>, Anthony Genna</w:t>
      </w:r>
      <w:r w:rsidRPr="008E5DC5">
        <w:rPr>
          <w:vertAlign w:val="superscript"/>
        </w:rPr>
        <w:t>1</w:t>
      </w:r>
      <w:r>
        <w:rPr>
          <w:vertAlign w:val="superscript"/>
        </w:rPr>
        <w:t>,†</w:t>
      </w:r>
      <w:r w:rsidRPr="008E5DC5">
        <w:t>, Justine Lambert</w:t>
      </w:r>
      <w:r w:rsidRPr="008E5DC5">
        <w:rPr>
          <w:vertAlign w:val="superscript"/>
        </w:rPr>
        <w:t>1</w:t>
      </w:r>
      <w:r w:rsidRPr="008E5DC5">
        <w:t>,</w:t>
      </w:r>
      <w:r w:rsidRPr="008E5DC5">
        <w:rPr>
          <w:vertAlign w:val="superscript"/>
        </w:rPr>
        <w:t xml:space="preserve"> </w:t>
      </w:r>
      <w:r w:rsidRPr="008E5DC5">
        <w:t>Marianna Volpert</w:t>
      </w:r>
      <w:r w:rsidRPr="008E5DC5">
        <w:rPr>
          <w:vertAlign w:val="superscript"/>
        </w:rPr>
        <w:t>2</w:t>
      </w:r>
      <w:r w:rsidRPr="008E5DC5">
        <w:t>, Agnès Noël</w:t>
      </w:r>
      <w:r w:rsidRPr="008E5DC5">
        <w:rPr>
          <w:vertAlign w:val="superscript"/>
        </w:rPr>
        <w:t>1</w:t>
      </w:r>
      <w:r w:rsidRPr="008E5DC5">
        <w:t>, Brett Hollier</w:t>
      </w:r>
      <w:r w:rsidRPr="008E5DC5">
        <w:rPr>
          <w:vertAlign w:val="superscript"/>
        </w:rPr>
        <w:t>2</w:t>
      </w:r>
      <w:r w:rsidRPr="008E5DC5">
        <w:t>, Myriam Polette</w:t>
      </w:r>
      <w:r w:rsidRPr="008E5DC5">
        <w:rPr>
          <w:vertAlign w:val="superscript"/>
        </w:rPr>
        <w:t>3</w:t>
      </w:r>
      <w:r w:rsidRPr="008E5DC5">
        <w:t>, Aline M. Vanwynsberghe</w:t>
      </w:r>
      <w:r w:rsidRPr="008E5DC5">
        <w:rPr>
          <w:vertAlign w:val="superscript"/>
        </w:rPr>
        <w:t>1</w:t>
      </w:r>
      <w:r w:rsidRPr="008E5DC5">
        <w:t xml:space="preserve"> and Christine Gilles</w:t>
      </w:r>
      <w:r w:rsidRPr="008E5DC5">
        <w:rPr>
          <w:vertAlign w:val="superscript"/>
        </w:rPr>
        <w:t>1</w:t>
      </w:r>
      <w:r>
        <w:rPr>
          <w:vertAlign w:val="superscript"/>
        </w:rPr>
        <w:t>,</w:t>
      </w:r>
      <w:r>
        <w:t>*</w:t>
      </w:r>
    </w:p>
    <w:tbl>
      <w:tblPr>
        <w:tblStyle w:val="MDPITable"/>
        <w:tblpPr w:leftFromText="198" w:rightFromText="198" w:vertAnchor="page" w:horzAnchor="margin" w:tblpY="8504"/>
        <w:tblW w:w="2409" w:type="dxa"/>
        <w:tblLayout w:type="fixed"/>
        <w:tblLook w:val="04A0" w:firstRow="1" w:lastRow="0" w:firstColumn="1" w:lastColumn="0" w:noHBand="0" w:noVBand="1"/>
      </w:tblPr>
      <w:tblGrid>
        <w:gridCol w:w="2409"/>
      </w:tblGrid>
      <w:tr w:rsidR="00C73FF7" w:rsidRPr="008102B2" w:rsidTr="008102B2">
        <w:trPr>
          <w:cantSplit/>
        </w:trPr>
        <w:tc>
          <w:tcPr>
            <w:tcW w:w="2409" w:type="dxa"/>
          </w:tcPr>
          <w:p w:rsidR="00C73FF7" w:rsidRPr="00E44F77" w:rsidRDefault="00C73FF7" w:rsidP="008102B2">
            <w:pPr>
              <w:pStyle w:val="MDPI63Notes"/>
              <w:spacing w:before="60" w:after="0"/>
              <w:jc w:val="both"/>
            </w:pPr>
            <w:bookmarkStart w:id="0" w:name="_GoBack"/>
            <w:bookmarkEnd w:id="0"/>
          </w:p>
        </w:tc>
      </w:tr>
    </w:tbl>
    <w:p w:rsidR="00C73FF7" w:rsidRPr="008E5DC5" w:rsidRDefault="00C73FF7" w:rsidP="00C73FF7">
      <w:pPr>
        <w:pStyle w:val="MDPI16affiliation"/>
      </w:pPr>
      <w:r w:rsidRPr="008E5DC5">
        <w:rPr>
          <w:vertAlign w:val="superscript"/>
        </w:rPr>
        <w:t>1</w:t>
      </w:r>
      <w:r w:rsidRPr="008E5DC5">
        <w:tab/>
        <w:t>GIGA-Cancer, Laboratory of Tumor and Development Biology, University of Liège, 4000 Liège, Belgium.</w:t>
      </w:r>
    </w:p>
    <w:p w:rsidR="00C73FF7" w:rsidRPr="008E5DC5" w:rsidRDefault="00C73FF7" w:rsidP="00C73FF7">
      <w:pPr>
        <w:pStyle w:val="MDPI16affiliation"/>
      </w:pPr>
      <w:r w:rsidRPr="008E5DC5">
        <w:rPr>
          <w:spacing w:val="-4"/>
          <w:vertAlign w:val="superscript"/>
        </w:rPr>
        <w:t>2</w:t>
      </w:r>
      <w:r w:rsidRPr="008E5DC5">
        <w:rPr>
          <w:spacing w:val="-4"/>
        </w:rPr>
        <w:tab/>
      </w:r>
      <w:r w:rsidRPr="008E5DC5">
        <w:rPr>
          <w:spacing w:val="-4"/>
          <w:vertAlign w:val="superscript"/>
        </w:rPr>
        <w:t xml:space="preserve"> </w:t>
      </w:r>
      <w:r w:rsidRPr="008E5DC5">
        <w:t>Australian Prostate Cancer Research Centre-Queensland (APCRC-Q), School of Biomedical Sciences, Faculty of Health, Queensland University of Technology, Princess Alexandra Hospital, Translational Research Institute, Brisbane, QLD 4102, Australia.</w:t>
      </w:r>
    </w:p>
    <w:p w:rsidR="00C73FF7" w:rsidRPr="006D518D" w:rsidRDefault="00C73FF7" w:rsidP="00C73FF7">
      <w:pPr>
        <w:pStyle w:val="MDPI16affiliation"/>
        <w:rPr>
          <w:lang w:val="fr-BE"/>
        </w:rPr>
      </w:pPr>
      <w:r w:rsidRPr="006D518D">
        <w:rPr>
          <w:vertAlign w:val="superscript"/>
          <w:lang w:val="fr-BE"/>
        </w:rPr>
        <w:t>3</w:t>
      </w:r>
      <w:r w:rsidRPr="006D518D">
        <w:rPr>
          <w:lang w:val="fr-BE"/>
        </w:rPr>
        <w:tab/>
        <w:t xml:space="preserve"> Université de Reims Champagne-Ardenne, Inserm, P3Cell UMR-S1250, SFR CAP-SANTE, and CHU Reims, Hôpital Maison Blanche, Laboratoire de </w:t>
      </w:r>
      <w:proofErr w:type="spellStart"/>
      <w:r w:rsidRPr="006D518D">
        <w:rPr>
          <w:lang w:val="fr-BE"/>
        </w:rPr>
        <w:t>biopathologie</w:t>
      </w:r>
      <w:proofErr w:type="spellEnd"/>
      <w:r w:rsidRPr="006D518D">
        <w:rPr>
          <w:lang w:val="fr-BE"/>
        </w:rPr>
        <w:t>, 51092 Reims, France</w:t>
      </w:r>
    </w:p>
    <w:p w:rsidR="00C73FF7" w:rsidRPr="008102B2" w:rsidRDefault="00C73FF7" w:rsidP="00C73FF7">
      <w:pPr>
        <w:pStyle w:val="MDPI16affiliation"/>
        <w:rPr>
          <w:rFonts w:eastAsiaTheme="minorEastAsia"/>
          <w:szCs w:val="16"/>
          <w:lang w:eastAsia="fr-BE"/>
        </w:rPr>
      </w:pPr>
      <w:r w:rsidRPr="00E00F2D">
        <w:rPr>
          <w:b/>
        </w:rPr>
        <w:t>*</w:t>
      </w:r>
      <w:r w:rsidRPr="00E00F2D">
        <w:tab/>
        <w:t>Correspondence: cgilles@uliege.be</w:t>
      </w:r>
      <w:r>
        <w:t xml:space="preserve">; </w:t>
      </w:r>
      <w:r w:rsidRPr="008102B2">
        <w:rPr>
          <w:rFonts w:eastAsiaTheme="minorEastAsia"/>
          <w:szCs w:val="16"/>
          <w:lang w:eastAsia="fr-BE"/>
        </w:rPr>
        <w:t>Tel: 0032 (0)43662453</w:t>
      </w:r>
    </w:p>
    <w:p w:rsidR="00C73FF7" w:rsidRPr="008E5DC5" w:rsidRDefault="00C73FF7" w:rsidP="00C73FF7">
      <w:pPr>
        <w:pStyle w:val="MDPI16affiliation"/>
        <w:ind w:left="2608" w:firstLine="0"/>
      </w:pPr>
      <w:r w:rsidRPr="00E00F2D">
        <w:t xml:space="preserve">† </w:t>
      </w:r>
      <w:r>
        <w:t>T</w:t>
      </w:r>
      <w:r w:rsidRPr="008E5DC5">
        <w:t>hese authors contributed equally to this work.</w:t>
      </w:r>
    </w:p>
    <w:p w:rsidR="00C73FF7" w:rsidRPr="009B241E" w:rsidRDefault="00C73FF7" w:rsidP="00C73FF7">
      <w:pPr>
        <w:pStyle w:val="MDPI17abstract"/>
        <w:rPr>
          <w:szCs w:val="18"/>
        </w:rPr>
      </w:pPr>
      <w:r w:rsidRPr="009B241E">
        <w:rPr>
          <w:b/>
          <w:bCs/>
          <w:szCs w:val="18"/>
        </w:rPr>
        <w:t xml:space="preserve">Simple summary: </w:t>
      </w:r>
      <w:r w:rsidRPr="009B241E">
        <w:rPr>
          <w:szCs w:val="18"/>
        </w:rPr>
        <w:t>Metastasis and thromboembolic complications are the main cause of cancer-associated death. An overexpression of coagulation factors, and particularly Tissue factor, by tumor cells is a key event implicated in this observed hypercoagulability. Tissue factor is indeed a cellular initiator of the coagulation cascade which has been associated with aggressive tumor phenotypes such as those characteristic</w:t>
      </w:r>
      <w:r>
        <w:rPr>
          <w:szCs w:val="18"/>
        </w:rPr>
        <w:t>s</w:t>
      </w:r>
      <w:r w:rsidRPr="009B241E">
        <w:rPr>
          <w:szCs w:val="18"/>
        </w:rPr>
        <w:t xml:space="preserve"> of Epithelial-Mesenchymal Transitions (EMTs) and </w:t>
      </w:r>
      <w:r>
        <w:rPr>
          <w:szCs w:val="18"/>
        </w:rPr>
        <w:t>C</w:t>
      </w:r>
      <w:r w:rsidRPr="009B241E">
        <w:rPr>
          <w:szCs w:val="18"/>
        </w:rPr>
        <w:t xml:space="preserve">ancer Stem Cells (CSCs). Understanding molecular mechanisms controlling Tissue Factor overexpression in those tumor phenotypes is thus an important aspect of cancer research. We show here that CD44 (a transmembrane marker of CSC and EMT phenotypes) contributes to regulate TF expression at a transcriptional level, thereby supporting </w:t>
      </w:r>
      <w:proofErr w:type="spellStart"/>
      <w:r w:rsidRPr="009B241E">
        <w:rPr>
          <w:szCs w:val="18"/>
        </w:rPr>
        <w:t>procoagulant</w:t>
      </w:r>
      <w:proofErr w:type="spellEnd"/>
      <w:r w:rsidRPr="009B241E">
        <w:rPr>
          <w:szCs w:val="18"/>
        </w:rPr>
        <w:t xml:space="preserve"> properties in tumor cells that facilitate their metastatic spread.</w:t>
      </w:r>
    </w:p>
    <w:p w:rsidR="00C73FF7" w:rsidRPr="008E5DC5" w:rsidRDefault="00C73FF7" w:rsidP="00C73FF7">
      <w:pPr>
        <w:pStyle w:val="MDPI17abstract"/>
        <w:rPr>
          <w:strike/>
        </w:rPr>
      </w:pPr>
      <w:r w:rsidRPr="009B241E">
        <w:rPr>
          <w:b/>
          <w:bCs/>
          <w:szCs w:val="18"/>
        </w:rPr>
        <w:t xml:space="preserve">Abstract </w:t>
      </w:r>
      <w:r w:rsidRPr="009B241E">
        <w:rPr>
          <w:szCs w:val="18"/>
        </w:rPr>
        <w:t>Previous work identified Tissue Factor (TF), a key activator of the coagulation cascade, as a gene induced in cellular contexts of Epithelial-Mesenchymal Transitions (EMTs), providing EMT</w:t>
      </w:r>
      <w:r w:rsidRPr="009B241E">
        <w:rPr>
          <w:szCs w:val="18"/>
          <w:vertAlign w:val="superscript"/>
        </w:rPr>
        <w:t>+</w:t>
      </w:r>
      <w:r w:rsidRPr="009B241E">
        <w:rPr>
          <w:szCs w:val="18"/>
        </w:rPr>
        <w:t xml:space="preserve"> Circulating</w:t>
      </w:r>
      <w:r w:rsidRPr="008E5DC5">
        <w:t xml:space="preserve"> Tumor Cells (CTCs) with coagulant properties that facilitate their metastatic seeding. Deciphering further molecular aspects of TF regulation in tumor cells, we report here that CD44 and TF </w:t>
      </w:r>
      <w:proofErr w:type="spellStart"/>
      <w:r w:rsidRPr="008E5DC5">
        <w:t>coexpress</w:t>
      </w:r>
      <w:proofErr w:type="spellEnd"/>
      <w:r w:rsidRPr="008E5DC5">
        <w:t xml:space="preserve"> in EMT contexts, and that CD44 acts as a regulator of TF expression supporting </w:t>
      </w:r>
      <w:proofErr w:type="spellStart"/>
      <w:r w:rsidRPr="008E5DC5">
        <w:t>procoagulant</w:t>
      </w:r>
      <w:proofErr w:type="spellEnd"/>
      <w:r w:rsidRPr="008E5DC5">
        <w:t xml:space="preserve"> properties and metastatic seeding. A transcriptional regulatory mechanism bridging CD44 to TF expression was further evidenced. Comparing different TF –promoter luciferase reporter constructs, we indeed found that the shortest -111pb TF promoter fragment harboring 3 Specificity Protein 1 (Sp1) binding sites is still responsive to CD44 silencing. The observation that (</w:t>
      </w:r>
      <w:proofErr w:type="spellStart"/>
      <w:r w:rsidRPr="008E5DC5">
        <w:t>i</w:t>
      </w:r>
      <w:proofErr w:type="spellEnd"/>
      <w:r w:rsidRPr="008E5DC5">
        <w:t xml:space="preserve">) mutation within Sp1 binding sites decreased the basal activity of the -111pb TF promoter construct, (ii) CD44 silencing decreased Sp1 protein and mRNA levels and (iii) Sp1 silencing diminished TF expression further points to Sp1 as a key mediator linking CD44 to TF regulation. All together, these data thus report a transcriptional regulatory mechanism of TF expression by CD44 supporting </w:t>
      </w:r>
      <w:proofErr w:type="spellStart"/>
      <w:r w:rsidRPr="008E5DC5">
        <w:t>procoagulant</w:t>
      </w:r>
      <w:proofErr w:type="spellEnd"/>
      <w:r w:rsidRPr="008E5DC5">
        <w:t xml:space="preserve"> activity and metastatic competence of CTCs.</w:t>
      </w:r>
    </w:p>
    <w:p w:rsidR="00C73FF7" w:rsidRDefault="00C73FF7" w:rsidP="00C73FF7">
      <w:pPr>
        <w:pStyle w:val="MDPI18keywords"/>
      </w:pPr>
      <w:r w:rsidRPr="00B0327A">
        <w:rPr>
          <w:b/>
        </w:rPr>
        <w:lastRenderedPageBreak/>
        <w:t xml:space="preserve">Keywords: </w:t>
      </w:r>
      <w:r w:rsidRPr="00B0327A">
        <w:t xml:space="preserve">Tissue Factor; CD44; Epithelial-Mesenchymal Transitions; Metastasis; </w:t>
      </w:r>
      <w:r>
        <w:t>C</w:t>
      </w:r>
      <w:r w:rsidRPr="00B0327A">
        <w:t>oagulation</w:t>
      </w:r>
    </w:p>
    <w:p w:rsidR="00545C65" w:rsidRPr="00C73FF7" w:rsidRDefault="00C73FF7">
      <w:pPr>
        <w:rPr>
          <w:lang w:val="en-US"/>
        </w:rPr>
      </w:pPr>
    </w:p>
    <w:sectPr w:rsidR="00545C65" w:rsidRPr="00C73FF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FF7"/>
    <w:rsid w:val="00C2376F"/>
    <w:rsid w:val="00C73FF7"/>
    <w:rsid w:val="00D32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EFA77-77ED-418B-BD62-E39B252F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FF7"/>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DPI11articletype">
    <w:name w:val="MDPI_1.1_article_type"/>
    <w:next w:val="Normal"/>
    <w:qFormat/>
    <w:rsid w:val="00C73FF7"/>
    <w:pPr>
      <w:adjustRightInd w:val="0"/>
      <w:snapToGrid w:val="0"/>
      <w:spacing w:before="240" w:after="0" w:line="240" w:lineRule="auto"/>
    </w:pPr>
    <w:rPr>
      <w:rFonts w:ascii="Palatino Linotype" w:eastAsia="Times New Roman" w:hAnsi="Palatino Linotype" w:cs="Times New Roman"/>
      <w:i/>
      <w:snapToGrid w:val="0"/>
      <w:color w:val="000000"/>
      <w:sz w:val="20"/>
      <w:lang w:eastAsia="de-DE" w:bidi="en-US"/>
    </w:rPr>
  </w:style>
  <w:style w:type="paragraph" w:customStyle="1" w:styleId="MDPI12title">
    <w:name w:val="MDPI_1.2_title"/>
    <w:next w:val="Normal"/>
    <w:qFormat/>
    <w:rsid w:val="00C73FF7"/>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next w:val="Normal"/>
    <w:qFormat/>
    <w:rsid w:val="00C73FF7"/>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4history">
    <w:name w:val="MDPI_1.4_history"/>
    <w:basedOn w:val="Normal"/>
    <w:next w:val="Normal"/>
    <w:qFormat/>
    <w:rsid w:val="00C73FF7"/>
    <w:pPr>
      <w:adjustRightInd w:val="0"/>
      <w:snapToGrid w:val="0"/>
      <w:spacing w:after="0" w:line="240" w:lineRule="atLeast"/>
      <w:ind w:right="113"/>
    </w:pPr>
    <w:rPr>
      <w:rFonts w:ascii="Palatino Linotype" w:eastAsia="Times New Roman" w:hAnsi="Palatino Linotype" w:cs="Times New Roman"/>
      <w:color w:val="000000"/>
      <w:sz w:val="14"/>
      <w:szCs w:val="20"/>
      <w:lang w:val="en-US" w:eastAsia="de-DE" w:bidi="en-US"/>
    </w:rPr>
  </w:style>
  <w:style w:type="paragraph" w:customStyle="1" w:styleId="MDPI15academiceditor">
    <w:name w:val="MDPI_1.5_academic_editor"/>
    <w:qFormat/>
    <w:rsid w:val="00C73FF7"/>
    <w:pPr>
      <w:adjustRightInd w:val="0"/>
      <w:snapToGrid w:val="0"/>
      <w:spacing w:before="120" w:after="0" w:line="240" w:lineRule="atLeast"/>
      <w:ind w:right="113"/>
    </w:pPr>
    <w:rPr>
      <w:rFonts w:ascii="Palatino Linotype" w:eastAsia="Times New Roman" w:hAnsi="Palatino Linotype" w:cs="Times New Roman"/>
      <w:color w:val="000000"/>
      <w:sz w:val="14"/>
      <w:lang w:eastAsia="de-DE" w:bidi="en-US"/>
    </w:rPr>
  </w:style>
  <w:style w:type="paragraph" w:customStyle="1" w:styleId="MDPI16affiliation">
    <w:name w:val="MDPI_1.6_affiliation"/>
    <w:qFormat/>
    <w:rsid w:val="00C73FF7"/>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
    <w:qFormat/>
    <w:rsid w:val="00C73FF7"/>
    <w:pPr>
      <w:adjustRightInd w:val="0"/>
      <w:snapToGrid w:val="0"/>
      <w:spacing w:before="240" w:after="0" w:line="260" w:lineRule="atLeast"/>
      <w:ind w:left="2608"/>
      <w:jc w:val="both"/>
    </w:pPr>
    <w:rPr>
      <w:rFonts w:ascii="Palatino Linotype" w:eastAsia="Times New Roman" w:hAnsi="Palatino Linotype" w:cs="Times New Roman"/>
      <w:color w:val="000000"/>
      <w:sz w:val="18"/>
      <w:lang w:eastAsia="de-DE" w:bidi="en-US"/>
    </w:rPr>
  </w:style>
  <w:style w:type="paragraph" w:customStyle="1" w:styleId="MDPI18keywords">
    <w:name w:val="MDPI_1.8_keywords"/>
    <w:next w:val="Normal"/>
    <w:qFormat/>
    <w:rsid w:val="00C73FF7"/>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eastAsia="de-DE" w:bidi="en-US"/>
    </w:rPr>
  </w:style>
  <w:style w:type="paragraph" w:customStyle="1" w:styleId="MDPI61Citation">
    <w:name w:val="MDPI_6.1_Citation"/>
    <w:qFormat/>
    <w:rsid w:val="00C73FF7"/>
    <w:pPr>
      <w:adjustRightInd w:val="0"/>
      <w:snapToGrid w:val="0"/>
      <w:spacing w:after="0" w:line="240" w:lineRule="atLeast"/>
      <w:ind w:right="113"/>
    </w:pPr>
    <w:rPr>
      <w:rFonts w:ascii="Palatino Linotype" w:eastAsia="SimSun" w:hAnsi="Palatino Linotype" w:cs="Cordia New"/>
      <w:sz w:val="14"/>
    </w:rPr>
  </w:style>
  <w:style w:type="paragraph" w:customStyle="1" w:styleId="MDPI63Notes">
    <w:name w:val="MDPI_6.3_Notes"/>
    <w:qFormat/>
    <w:rsid w:val="00C73FF7"/>
    <w:pPr>
      <w:adjustRightInd w:val="0"/>
      <w:snapToGrid w:val="0"/>
      <w:spacing w:after="120" w:line="240" w:lineRule="atLeast"/>
      <w:ind w:right="113"/>
    </w:pPr>
    <w:rPr>
      <w:rFonts w:ascii="Palatino Linotype" w:eastAsia="SimSun" w:hAnsi="Palatino Linotype" w:cs="Times New Roman"/>
      <w:snapToGrid w:val="0"/>
      <w:color w:val="000000"/>
      <w:sz w:val="14"/>
      <w:szCs w:val="20"/>
      <w:lang w:bidi="en-US"/>
    </w:rPr>
  </w:style>
  <w:style w:type="table" w:customStyle="1" w:styleId="MDPITable">
    <w:name w:val="MDPI_Table"/>
    <w:basedOn w:val="TableauNormal"/>
    <w:uiPriority w:val="99"/>
    <w:rsid w:val="00C73FF7"/>
    <w:pPr>
      <w:spacing w:after="0" w:line="240" w:lineRule="auto"/>
    </w:pPr>
    <w:rPr>
      <w:rFonts w:ascii="Palatino Linotype" w:eastAsia="SimSun" w:hAnsi="Palatino Linotype" w:cs="Times New Roman"/>
      <w:color w:val="000000" w:themeColor="text1"/>
      <w:sz w:val="20"/>
      <w:szCs w:val="20"/>
      <w:lang w:val="en-CA"/>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cgilles</dc:creator>
  <cp:keywords/>
  <dc:description/>
  <cp:lastModifiedBy>cgilles</cp:lastModifiedBy>
  <cp:revision>1</cp:revision>
  <dcterms:created xsi:type="dcterms:W3CDTF">2022-07-01T09:22:00Z</dcterms:created>
  <dcterms:modified xsi:type="dcterms:W3CDTF">2022-07-01T09:23:00Z</dcterms:modified>
</cp:coreProperties>
</file>