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79C0" w14:textId="36F9FAA7" w:rsidR="00271666" w:rsidRPr="00FF5FFD" w:rsidRDefault="00352E15">
      <w:pPr>
        <w:suppressAutoHyphens w:val="0"/>
        <w:spacing w:after="160" w:line="259" w:lineRule="auto"/>
        <w:rPr>
          <w:rFonts w:ascii="Calibri" w:hAnsi="Calibri" w:cs="Calibri"/>
          <w:sz w:val="24"/>
          <w:szCs w:val="24"/>
          <w:lang w:val="fr-BE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743102EF" w14:textId="454F39BE" w:rsidR="00271666" w:rsidRDefault="00271666" w:rsidP="00D70B6D">
      <w:pPr>
        <w:spacing w:after="0" w:line="360" w:lineRule="auto"/>
        <w:jc w:val="both"/>
        <w:rPr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Plant plasma membrane </w:t>
      </w:r>
      <w:r w:rsidR="00E36A17">
        <w:rPr>
          <w:rFonts w:ascii="Arial" w:hAnsi="Arial" w:cs="Arial"/>
          <w:b/>
          <w:bCs/>
          <w:sz w:val="28"/>
          <w:szCs w:val="28"/>
          <w:lang w:val="en-GB"/>
        </w:rPr>
        <w:t>models to study the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36A17">
        <w:rPr>
          <w:rFonts w:ascii="Arial" w:hAnsi="Arial" w:cs="Arial"/>
          <w:b/>
          <w:bCs/>
          <w:sz w:val="28"/>
          <w:szCs w:val="28"/>
          <w:lang w:val="en-GB"/>
        </w:rPr>
        <w:t>molecular mechanism underlining rhamnolipid sensing by plant cells</w:t>
      </w:r>
    </w:p>
    <w:p w14:paraId="793F2FBB" w14:textId="41647D47" w:rsidR="00491E76" w:rsidRDefault="00491E76" w:rsidP="00D70B6D">
      <w:pPr>
        <w:spacing w:after="0" w:line="360" w:lineRule="auto"/>
        <w:rPr>
          <w:rFonts w:ascii="Arial" w:hAnsi="Arial" w:cs="Arial"/>
          <w:b/>
          <w:vertAlign w:val="superscript"/>
          <w:lang w:val="fr-FR"/>
        </w:rPr>
      </w:pPr>
      <w:r w:rsidRPr="0011602E">
        <w:rPr>
          <w:rFonts w:ascii="Arial" w:hAnsi="Arial" w:cs="Arial"/>
          <w:b/>
          <w:lang w:val="fr-FR"/>
        </w:rPr>
        <w:t>V. Rondelli</w:t>
      </w:r>
      <w:r w:rsidRPr="0011602E">
        <w:rPr>
          <w:rFonts w:ascii="Arial" w:hAnsi="Arial" w:cs="Arial"/>
          <w:b/>
          <w:vertAlign w:val="superscript"/>
          <w:lang w:val="fr-FR"/>
        </w:rPr>
        <w:t>1</w:t>
      </w:r>
      <w:r w:rsidRPr="004B686B">
        <w:rPr>
          <w:rFonts w:ascii="Arial" w:hAnsi="Arial" w:cs="Arial"/>
          <w:b/>
          <w:lang w:val="fr-FR"/>
        </w:rPr>
        <w:t xml:space="preserve">, A. </w:t>
      </w:r>
      <w:r w:rsidR="00E1088F" w:rsidRPr="00E1088F">
        <w:rPr>
          <w:rFonts w:ascii="Arial" w:hAnsi="Arial" w:cs="Arial"/>
          <w:b/>
          <w:lang w:val="fr-FR"/>
        </w:rPr>
        <w:t>Koutsioumpas</w:t>
      </w:r>
      <w:r w:rsidR="00E1088F" w:rsidRPr="004B686B">
        <w:rPr>
          <w:rFonts w:ascii="Arial" w:hAnsi="Arial" w:cs="Arial"/>
          <w:b/>
          <w:vertAlign w:val="superscript"/>
          <w:lang w:val="fr-FR"/>
        </w:rPr>
        <w:t xml:space="preserve"> </w:t>
      </w:r>
      <w:r w:rsidRPr="004B686B">
        <w:rPr>
          <w:rFonts w:ascii="Arial" w:hAnsi="Arial" w:cs="Arial"/>
          <w:b/>
          <w:vertAlign w:val="superscript"/>
          <w:lang w:val="fr-FR"/>
        </w:rPr>
        <w:t>2</w:t>
      </w:r>
      <w:r w:rsidRPr="004B686B">
        <w:rPr>
          <w:rFonts w:ascii="Arial" w:hAnsi="Arial" w:cs="Arial"/>
          <w:b/>
          <w:lang w:val="fr-FR"/>
        </w:rPr>
        <w:t xml:space="preserve">, </w:t>
      </w:r>
      <w:r w:rsidR="00D43E23" w:rsidRPr="00625AA2">
        <w:rPr>
          <w:rFonts w:ascii="Arial" w:hAnsi="Arial" w:cs="Arial"/>
          <w:b/>
          <w:lang w:val="fr-FR"/>
        </w:rPr>
        <w:t>J.M. Crowet</w:t>
      </w:r>
      <w:r w:rsidR="00D43E23">
        <w:rPr>
          <w:rFonts w:ascii="Arial" w:hAnsi="Arial" w:cs="Arial"/>
          <w:b/>
          <w:vertAlign w:val="superscript"/>
          <w:lang w:val="fr-FR"/>
        </w:rPr>
        <w:t>3</w:t>
      </w:r>
      <w:r w:rsidR="00D43E23" w:rsidRPr="00625AA2">
        <w:rPr>
          <w:rFonts w:ascii="Arial" w:hAnsi="Arial" w:cs="Arial"/>
          <w:b/>
          <w:lang w:val="fr-FR"/>
        </w:rPr>
        <w:t xml:space="preserve">, </w:t>
      </w:r>
      <w:r w:rsidRPr="00D43E23">
        <w:rPr>
          <w:rFonts w:ascii="Arial" w:hAnsi="Arial" w:cs="Arial"/>
          <w:b/>
          <w:lang w:val="fr-FR"/>
        </w:rPr>
        <w:t>M</w:t>
      </w:r>
      <w:r w:rsidRPr="004B686B">
        <w:rPr>
          <w:rFonts w:ascii="Arial" w:hAnsi="Arial" w:cs="Arial"/>
          <w:b/>
          <w:lang w:val="fr-FR"/>
        </w:rPr>
        <w:t>. Deleu</w:t>
      </w:r>
      <w:r w:rsidR="00D43E23">
        <w:rPr>
          <w:rFonts w:ascii="Arial" w:hAnsi="Arial" w:cs="Arial"/>
          <w:b/>
          <w:vertAlign w:val="superscript"/>
          <w:lang w:val="fr-FR"/>
        </w:rPr>
        <w:t>4</w:t>
      </w:r>
    </w:p>
    <w:p w14:paraId="3AD4CAF8" w14:textId="77777777" w:rsidR="00D00C0A" w:rsidRPr="007A738A" w:rsidRDefault="00D00C0A" w:rsidP="00D70B6D">
      <w:pPr>
        <w:spacing w:after="0"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EE0FF7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vertAlign w:val="superscript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D</w:t>
      </w:r>
      <w:r w:rsidRPr="004C3303">
        <w:rPr>
          <w:rFonts w:ascii="Arial" w:hAnsi="Arial" w:cs="Arial"/>
          <w:i/>
          <w:sz w:val="20"/>
          <w:szCs w:val="20"/>
          <w:lang w:val="en-GB"/>
        </w:rPr>
        <w:t>epartment of Medical Biotechnology and Translational Medicine, Università degli Studi di Milano, It</w:t>
      </w:r>
      <w:r>
        <w:rPr>
          <w:rFonts w:ascii="Arial" w:hAnsi="Arial" w:cs="Arial"/>
          <w:i/>
          <w:sz w:val="20"/>
          <w:szCs w:val="20"/>
          <w:lang w:val="en-GB"/>
        </w:rPr>
        <w:t>aly.</w:t>
      </w:r>
      <w:r w:rsidRPr="007A738A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107B7286" w14:textId="3BF8BCC0" w:rsidR="00D00C0A" w:rsidRDefault="00D00C0A" w:rsidP="00D70B6D">
      <w:pPr>
        <w:spacing w:after="0"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11602E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Pr="0011602E">
        <w:rPr>
          <w:rFonts w:ascii="Arial" w:hAnsi="Arial" w:cs="Arial"/>
          <w:i/>
          <w:sz w:val="20"/>
          <w:szCs w:val="20"/>
          <w:lang w:val="en-GB"/>
        </w:rPr>
        <w:t xml:space="preserve"> Jülich Centre for Neutron Science at Heinz Maier-Leibnitz Zentrum, Forschungszentrum Jülich GmbH, Garching, Germany.</w:t>
      </w:r>
    </w:p>
    <w:p w14:paraId="506DEEE3" w14:textId="4320DD3E" w:rsidR="00D43E23" w:rsidRDefault="00D43E23" w:rsidP="00D70B6D">
      <w:pPr>
        <w:spacing w:after="0" w:line="360" w:lineRule="auto"/>
        <w:rPr>
          <w:rFonts w:ascii="Arial" w:hAnsi="Arial" w:cs="Arial"/>
          <w:i/>
          <w:sz w:val="20"/>
          <w:szCs w:val="20"/>
          <w:lang w:val="en-GB"/>
        </w:rPr>
      </w:pPr>
      <w:r w:rsidRPr="00D43E23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>
        <w:t xml:space="preserve"> </w:t>
      </w:r>
      <w:r w:rsidRPr="00D43E23">
        <w:rPr>
          <w:rFonts w:ascii="Arial" w:hAnsi="Arial" w:cs="Arial"/>
          <w:i/>
          <w:sz w:val="20"/>
          <w:szCs w:val="20"/>
          <w:lang w:val="en-GB"/>
        </w:rPr>
        <w:t>Université de Reims Champagne-Ardenne, UFR Sciences Exactes et Naturelles, Reims, France</w:t>
      </w:r>
    </w:p>
    <w:p w14:paraId="5CC40CAC" w14:textId="2593642E" w:rsidR="00D00C0A" w:rsidRDefault="00D43E23" w:rsidP="00D70B6D">
      <w:pPr>
        <w:spacing w:after="0" w:line="360" w:lineRule="auto"/>
        <w:rPr>
          <w:rFonts w:ascii="Arial" w:hAnsi="Arial" w:cs="Arial"/>
          <w:i/>
          <w:sz w:val="20"/>
          <w:szCs w:val="20"/>
          <w:lang w:val="fr-FR"/>
        </w:rPr>
      </w:pPr>
      <w:r>
        <w:rPr>
          <w:rFonts w:ascii="Arial" w:hAnsi="Arial" w:cs="Arial"/>
          <w:i/>
          <w:sz w:val="20"/>
          <w:vertAlign w:val="superscript"/>
          <w:lang w:val="fr-FR"/>
        </w:rPr>
        <w:t xml:space="preserve">4 </w:t>
      </w:r>
      <w:r w:rsidR="00D00C0A" w:rsidRPr="00130892">
        <w:rPr>
          <w:rFonts w:ascii="Arial" w:hAnsi="Arial" w:cs="Arial"/>
          <w:i/>
          <w:sz w:val="20"/>
          <w:lang w:val="fr-FR"/>
        </w:rPr>
        <w:t>Laborato</w:t>
      </w:r>
      <w:r w:rsidR="00D00C0A">
        <w:rPr>
          <w:rFonts w:ascii="Arial" w:hAnsi="Arial" w:cs="Arial"/>
          <w:i/>
          <w:sz w:val="20"/>
          <w:lang w:val="fr-FR"/>
        </w:rPr>
        <w:t>ry of Molecular Biophysics at Interfaces,</w:t>
      </w:r>
      <w:r w:rsidR="00D00C0A" w:rsidRPr="00130892">
        <w:rPr>
          <w:rFonts w:ascii="Arial" w:hAnsi="Arial" w:cs="Arial"/>
          <w:i/>
          <w:sz w:val="20"/>
          <w:lang w:val="fr-FR"/>
        </w:rPr>
        <w:t xml:space="preserve"> </w:t>
      </w:r>
      <w:r w:rsidR="00D00C0A">
        <w:rPr>
          <w:rFonts w:ascii="Arial" w:hAnsi="Arial" w:cs="Arial"/>
          <w:i/>
          <w:sz w:val="20"/>
          <w:szCs w:val="20"/>
          <w:lang w:val="fr-FR"/>
        </w:rPr>
        <w:t>TERRA Research Center,</w:t>
      </w:r>
      <w:r w:rsidR="00D00C0A" w:rsidRPr="00130892">
        <w:rPr>
          <w:rFonts w:ascii="Arial" w:hAnsi="Arial" w:cs="Arial"/>
          <w:i/>
          <w:sz w:val="20"/>
          <w:szCs w:val="20"/>
          <w:lang w:val="fr-FR"/>
        </w:rPr>
        <w:t xml:space="preserve"> Gembloux Agro-Bio Tech, Université de Liège, Gembloux, </w:t>
      </w:r>
      <w:r w:rsidR="00D70B6D">
        <w:rPr>
          <w:rFonts w:ascii="Arial" w:hAnsi="Arial" w:cs="Arial"/>
          <w:i/>
          <w:sz w:val="20"/>
          <w:szCs w:val="20"/>
          <w:lang w:val="fr-FR"/>
        </w:rPr>
        <w:t>Belgique</w:t>
      </w:r>
    </w:p>
    <w:p w14:paraId="0239FD70" w14:textId="77777777" w:rsidR="00D70B6D" w:rsidRDefault="00D70B6D" w:rsidP="00D70B6D">
      <w:pPr>
        <w:spacing w:after="0" w:line="360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287452A1" w14:textId="77777777" w:rsidR="00E36A17" w:rsidRPr="00740DAE" w:rsidRDefault="00E36A17" w:rsidP="0002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Mono- and di-rhamnolipids (MonoRL and DiRL) produced by </w:t>
      </w:r>
      <w:r w:rsidRPr="003C0E5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Pseudomonas aeruginosa</w:t>
      </w:r>
      <w:r w:rsidRPr="003C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are two congeners of glycolipidic biosurfactants differing by the number of rhamnose glycosyl in their polar head, one and two respectively. They present a variety of activities among which the capacity to elicit 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the plant defense responses giving rise to plant protection against various fungal pathogens. The perception of an elicitor occurs at the plant plasma membrane. In the case of rhamnolipids (RLs),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one hypothesis is that 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their sensing is occurring via binding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 the lipid fraction of the plant plasma membrane. </w:t>
      </w:r>
    </w:p>
    <w:p w14:paraId="418C155A" w14:textId="28690B09" w:rsidR="00E36A17" w:rsidRPr="00D00C0A" w:rsidRDefault="00E36A17" w:rsidP="0002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To get further insights into the molecular mechanisms underlining RL sensing by the plant cells, we combined different biophysical approaches using plant plasma membrane models and </w:t>
      </w:r>
      <w:r w:rsidRPr="00740DAE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40DAE">
        <w:rPr>
          <w:rFonts w:ascii="Times New Roman" w:hAnsi="Times New Roman" w:cs="Times New Roman"/>
          <w:i/>
          <w:sz w:val="24"/>
          <w:szCs w:val="24"/>
          <w:lang w:val="en-US"/>
        </w:rPr>
        <w:t>in silico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 tools</w:t>
      </w:r>
      <w:r w:rsidRPr="00D00C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E6379E" w14:textId="61B3C5A5" w:rsidR="00E36A17" w:rsidRPr="00D43E23" w:rsidRDefault="00E36A17" w:rsidP="0002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23">
        <w:rPr>
          <w:rFonts w:ascii="Times New Roman" w:hAnsi="Times New Roman" w:cs="Times New Roman"/>
          <w:sz w:val="24"/>
          <w:szCs w:val="24"/>
          <w:lang w:val="en-US"/>
        </w:rPr>
        <w:t xml:space="preserve">In a first step, </w:t>
      </w:r>
      <w:r w:rsidR="001A2899" w:rsidRPr="00D43E23">
        <w:rPr>
          <w:rFonts w:ascii="Times New Roman" w:hAnsi="Times New Roman" w:cs="Times New Roman"/>
          <w:sz w:val="24"/>
          <w:szCs w:val="24"/>
          <w:lang w:val="en-US"/>
        </w:rPr>
        <w:t xml:space="preserve">plant plasma membrane models were developed and characterized. </w:t>
      </w:r>
      <w:r w:rsidR="0054781C" w:rsidRPr="00D43E23">
        <w:rPr>
          <w:rFonts w:ascii="Times New Roman" w:hAnsi="Times New Roman" w:cs="Times New Roman"/>
          <w:sz w:val="24"/>
          <w:szCs w:val="24"/>
          <w:lang w:val="en-US"/>
        </w:rPr>
        <w:t>The m</w:t>
      </w:r>
      <w:r w:rsidR="001A2899" w:rsidRPr="00D43E23">
        <w:rPr>
          <w:rFonts w:ascii="Times New Roman" w:hAnsi="Times New Roman" w:cs="Times New Roman"/>
          <w:sz w:val="24"/>
          <w:szCs w:val="24"/>
          <w:lang w:val="en-US"/>
        </w:rPr>
        <w:t>ajor lipid</w:t>
      </w:r>
      <w:r w:rsidR="0054781C" w:rsidRPr="00D43E23">
        <w:rPr>
          <w:rFonts w:ascii="Times New Roman" w:hAnsi="Times New Roman" w:cs="Times New Roman"/>
          <w:sz w:val="24"/>
          <w:szCs w:val="24"/>
          <w:lang w:val="en-US"/>
        </w:rPr>
        <w:t xml:space="preserve">s of plant plasma membrane, palmitoyl-linoleoyl-phosphatidylcholine, sitosterol and glucosylceramide, were used. By using Langmuir films, </w:t>
      </w:r>
      <w:r w:rsidR="0054781C" w:rsidRPr="00D43E23">
        <w:rPr>
          <w:rFonts w:ascii="Times New Roman" w:hAnsi="Times New Roman" w:cs="Times New Roman"/>
          <w:i/>
          <w:iCs/>
          <w:sz w:val="24"/>
          <w:szCs w:val="24"/>
          <w:lang w:val="en-US"/>
        </w:rPr>
        <w:t>in silico</w:t>
      </w:r>
      <w:r w:rsidR="0054781C" w:rsidRPr="00D43E23">
        <w:rPr>
          <w:rFonts w:ascii="Times New Roman" w:hAnsi="Times New Roman" w:cs="Times New Roman"/>
          <w:sz w:val="24"/>
          <w:szCs w:val="24"/>
          <w:lang w:val="en-US"/>
        </w:rPr>
        <w:t xml:space="preserve"> simulations and neutron reflectometry, it was unveiled that a strong direct interaction between the gluco</w:t>
      </w:r>
      <w:r w:rsidR="00D43E2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781C" w:rsidRPr="00D43E23">
        <w:rPr>
          <w:rFonts w:ascii="Times New Roman" w:hAnsi="Times New Roman" w:cs="Times New Roman"/>
          <w:sz w:val="24"/>
          <w:szCs w:val="24"/>
          <w:lang w:val="en-US"/>
        </w:rPr>
        <w:t>ylceramide and sitosterol molecules exists and governs their lateral and transversal distribution within membrane leaflets</w:t>
      </w:r>
      <w:r w:rsidR="00ED5350" w:rsidRPr="00ED53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54781C" w:rsidRPr="00D43E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116E4C" w14:textId="2FDEDE5B" w:rsidR="00E03EF0" w:rsidRDefault="002A1DE3" w:rsidP="00024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E23">
        <w:rPr>
          <w:rFonts w:ascii="Times New Roman" w:hAnsi="Times New Roman" w:cs="Times New Roman"/>
          <w:sz w:val="24"/>
          <w:szCs w:val="24"/>
          <w:lang w:val="en-US"/>
        </w:rPr>
        <w:t>Afterwards,</w:t>
      </w:r>
      <w:r w:rsidR="00692768">
        <w:rPr>
          <w:rFonts w:ascii="Times New Roman" w:hAnsi="Times New Roman" w:cs="Times New Roman"/>
          <w:sz w:val="24"/>
          <w:szCs w:val="24"/>
          <w:lang w:val="en-US"/>
        </w:rPr>
        <w:t xml:space="preserve"> our</w:t>
      </w:r>
      <w:r w:rsidRPr="00D43E23">
        <w:rPr>
          <w:rFonts w:ascii="Times New Roman" w:hAnsi="Times New Roman" w:cs="Times New Roman"/>
          <w:sz w:val="24"/>
          <w:szCs w:val="24"/>
          <w:lang w:val="en-US"/>
        </w:rPr>
        <w:t xml:space="preserve"> models were used to investigate 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the influence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RLs 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rhamnosyl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moiety on their interaction with plant cells. </w:t>
      </w:r>
      <w:r w:rsidR="00E03EF0"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Our results highlighted </w:t>
      </w:r>
      <w:r w:rsidRPr="00740DAE">
        <w:rPr>
          <w:rFonts w:ascii="Times New Roman" w:hAnsi="Times New Roman" w:cs="Times New Roman"/>
          <w:sz w:val="24"/>
          <w:szCs w:val="24"/>
          <w:lang w:val="en-US"/>
        </w:rPr>
        <w:t>those subtle differences</w:t>
      </w:r>
      <w:r w:rsidR="00E03EF0"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 between MonoRL and DiRL modulate the membrane structure like dehydration and tightening effects on the lipid polar heads</w:t>
      </w:r>
      <w:r w:rsidR="00E03EF0">
        <w:rPr>
          <w:rFonts w:ascii="Times New Roman" w:hAnsi="Times New Roman" w:cs="Times New Roman"/>
          <w:sz w:val="24"/>
          <w:szCs w:val="24"/>
          <w:lang w:val="en-US"/>
        </w:rPr>
        <w:t>. A deeper insertion could be related to a better immunity triggering</w:t>
      </w:r>
      <w:r w:rsidR="00E03EF0" w:rsidRPr="00740D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03EF0">
        <w:rPr>
          <w:rFonts w:ascii="Times New Roman" w:hAnsi="Times New Roman" w:cs="Times New Roman"/>
          <w:sz w:val="24"/>
          <w:szCs w:val="24"/>
          <w:lang w:val="en-US"/>
        </w:rPr>
        <w:t>Globally, our results underlie that amphiphilic glycolipids able to be intercalated into the lipid phase of the plant plasma membrane can activate plant immunity.</w:t>
      </w:r>
    </w:p>
    <w:p w14:paraId="33486434" w14:textId="795E8E9B" w:rsidR="0019174B" w:rsidRDefault="0019174B" w:rsidP="000241EF">
      <w:pPr>
        <w:spacing w:after="0" w:line="240" w:lineRule="auto"/>
      </w:pPr>
    </w:p>
    <w:p w14:paraId="3B91B78F" w14:textId="140504A1" w:rsidR="00ED5350" w:rsidRPr="00ED5350" w:rsidRDefault="00ED5350" w:rsidP="00D70B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535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ED53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890E9D" w14:textId="1B8B0D82" w:rsidR="00ED5350" w:rsidRPr="00480543" w:rsidRDefault="00ED5350" w:rsidP="004805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054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D5350">
        <w:rPr>
          <w:rFonts w:ascii="Times New Roman" w:hAnsi="Times New Roman" w:cs="Times New Roman"/>
          <w:sz w:val="24"/>
          <w:szCs w:val="24"/>
          <w:lang w:val="en-US"/>
        </w:rPr>
        <w:t xml:space="preserve">Rondelli, V., </w:t>
      </w:r>
      <w:r w:rsidRPr="00480543">
        <w:rPr>
          <w:rFonts w:ascii="Times New Roman" w:hAnsi="Times New Roman" w:cs="Times New Roman"/>
          <w:sz w:val="24"/>
          <w:szCs w:val="24"/>
          <w:lang w:val="en-US"/>
        </w:rPr>
        <w:t>Koutsioubas, A., Pršić, J.</w:t>
      </w:r>
      <w:r w:rsidR="00480543" w:rsidRPr="00480543">
        <w:rPr>
          <w:rFonts w:ascii="Times New Roman" w:hAnsi="Times New Roman" w:cs="Times New Roman"/>
          <w:sz w:val="24"/>
          <w:szCs w:val="24"/>
          <w:lang w:val="en-US"/>
        </w:rPr>
        <w:t>, Deboever, E., Crowet, J.M., Lins</w:t>
      </w:r>
      <w:r w:rsidR="004805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80543" w:rsidRPr="00480543">
        <w:rPr>
          <w:rFonts w:ascii="Times New Roman" w:hAnsi="Times New Roman" w:cs="Times New Roman"/>
          <w:sz w:val="24"/>
          <w:szCs w:val="24"/>
          <w:lang w:val="en-US"/>
        </w:rPr>
        <w:t xml:space="preserve"> L. and Deleu</w:t>
      </w:r>
      <w:r w:rsidR="00480543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480543" w:rsidRPr="004805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543">
        <w:rPr>
          <w:rFonts w:ascii="Times New Roman" w:hAnsi="Times New Roman" w:cs="Times New Roman"/>
          <w:sz w:val="24"/>
          <w:szCs w:val="24"/>
          <w:lang w:val="en-US"/>
        </w:rPr>
        <w:t xml:space="preserve">Sci Rep 11, 21618 (2021). </w:t>
      </w:r>
      <w:hyperlink r:id="rId6" w:history="1">
        <w:r w:rsidRPr="00480543">
          <w:rPr>
            <w:rFonts w:ascii="Times New Roman" w:hAnsi="Times New Roman" w:cs="Times New Roman"/>
            <w:sz w:val="24"/>
            <w:szCs w:val="24"/>
            <w:lang w:val="en-US"/>
          </w:rPr>
          <w:t>https://doi.org/10.1038/s41598-021-00696-7</w:t>
        </w:r>
      </w:hyperlink>
    </w:p>
    <w:p w14:paraId="294DF71F" w14:textId="28C50BB5" w:rsidR="00ED5350" w:rsidRPr="00ED5350" w:rsidRDefault="00ED5350" w:rsidP="00D70B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5350" w:rsidRPr="00E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ABB8" w14:textId="77777777" w:rsidR="0086071E" w:rsidRDefault="0086071E" w:rsidP="00ED5350">
      <w:pPr>
        <w:spacing w:after="0" w:line="240" w:lineRule="auto"/>
      </w:pPr>
      <w:r>
        <w:separator/>
      </w:r>
    </w:p>
  </w:endnote>
  <w:endnote w:type="continuationSeparator" w:id="0">
    <w:p w14:paraId="18CEF0D8" w14:textId="77777777" w:rsidR="0086071E" w:rsidRDefault="0086071E" w:rsidP="00ED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4135" w14:textId="77777777" w:rsidR="0086071E" w:rsidRDefault="0086071E" w:rsidP="00ED5350">
      <w:pPr>
        <w:spacing w:after="0" w:line="240" w:lineRule="auto"/>
      </w:pPr>
      <w:r>
        <w:separator/>
      </w:r>
    </w:p>
  </w:footnote>
  <w:footnote w:type="continuationSeparator" w:id="0">
    <w:p w14:paraId="1C092C21" w14:textId="77777777" w:rsidR="0086071E" w:rsidRDefault="0086071E" w:rsidP="00ED5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82"/>
    <w:rsid w:val="000241EF"/>
    <w:rsid w:val="0019174B"/>
    <w:rsid w:val="001A2899"/>
    <w:rsid w:val="00271666"/>
    <w:rsid w:val="002A1DE3"/>
    <w:rsid w:val="00352E15"/>
    <w:rsid w:val="00432E02"/>
    <w:rsid w:val="00480543"/>
    <w:rsid w:val="00491E76"/>
    <w:rsid w:val="0054781C"/>
    <w:rsid w:val="00692768"/>
    <w:rsid w:val="00710884"/>
    <w:rsid w:val="007C5374"/>
    <w:rsid w:val="0086071E"/>
    <w:rsid w:val="00863DDB"/>
    <w:rsid w:val="008B404C"/>
    <w:rsid w:val="009D6382"/>
    <w:rsid w:val="00A4058F"/>
    <w:rsid w:val="00B4211D"/>
    <w:rsid w:val="00C90E38"/>
    <w:rsid w:val="00D00C0A"/>
    <w:rsid w:val="00D43E23"/>
    <w:rsid w:val="00D70B6D"/>
    <w:rsid w:val="00E03EF0"/>
    <w:rsid w:val="00E1088F"/>
    <w:rsid w:val="00E36A17"/>
    <w:rsid w:val="00ED5350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E219"/>
  <w15:chartTrackingRefBased/>
  <w15:docId w15:val="{AA10AC21-538D-4EE7-9624-3C352F6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382"/>
    <w:pPr>
      <w:suppressAutoHyphens/>
      <w:spacing w:after="200" w:line="276" w:lineRule="auto"/>
    </w:pPr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716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71666"/>
    <w:pPr>
      <w:suppressAutoHyphens w:val="0"/>
      <w:spacing w:after="160" w:line="240" w:lineRule="auto"/>
      <w:jc w:val="both"/>
    </w:pPr>
    <w:rPr>
      <w:rFonts w:eastAsiaTheme="minorEastAsia"/>
      <w:sz w:val="20"/>
      <w:szCs w:val="20"/>
      <w:lang w:val="fr-BE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71666"/>
    <w:rPr>
      <w:rFonts w:eastAsiaTheme="minorEastAsi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D53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5350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5350"/>
    <w:pPr>
      <w:suppressAutoHyphens w:val="0"/>
      <w:spacing w:after="0" w:line="240" w:lineRule="auto"/>
      <w:jc w:val="both"/>
    </w:pPr>
    <w:rPr>
      <w:rFonts w:eastAsiaTheme="minorEastAsia"/>
      <w:sz w:val="20"/>
      <w:szCs w:val="20"/>
      <w:lang w:val="fr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5350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5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598-021-00696-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Deleu</dc:creator>
  <cp:keywords/>
  <dc:description/>
  <cp:lastModifiedBy>Deleu Magali</cp:lastModifiedBy>
  <cp:revision>10</cp:revision>
  <dcterms:created xsi:type="dcterms:W3CDTF">2022-03-29T13:51:00Z</dcterms:created>
  <dcterms:modified xsi:type="dcterms:W3CDTF">2022-05-09T14:13:00Z</dcterms:modified>
</cp:coreProperties>
</file>