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2F" w:rsidRDefault="00FD6C2F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50800</wp:posOffset>
            </wp:positionV>
            <wp:extent cx="1393190" cy="1969770"/>
            <wp:effectExtent l="0" t="0" r="0" b="0"/>
            <wp:wrapTight wrapText="bothSides">
              <wp:wrapPolygon edited="0">
                <wp:start x="0" y="0"/>
                <wp:lineTo x="0" y="21308"/>
                <wp:lineTo x="21265" y="21308"/>
                <wp:lineTo x="2126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2" t="14949" r="47089" b="24244"/>
                    <a:stretch/>
                  </pic:blipFill>
                  <pic:spPr bwMode="auto">
                    <a:xfrm>
                      <a:off x="0" y="0"/>
                      <a:ext cx="1393190" cy="1969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60B" w:rsidRPr="0060360B" w:rsidRDefault="0060360B" w:rsidP="0060360B">
      <w:pPr>
        <w:autoSpaceDE w:val="0"/>
        <w:autoSpaceDN w:val="0"/>
        <w:adjustRightInd w:val="0"/>
        <w:spacing w:after="0" w:line="240" w:lineRule="auto"/>
        <w:rPr>
          <w:rFonts w:ascii="GaramondPremrPro-Capt" w:hAnsi="GaramondPremrPro-Capt" w:cs="GaramondPremrPro-Capt"/>
          <w:sz w:val="15"/>
          <w:szCs w:val="15"/>
        </w:rPr>
      </w:pPr>
      <w:r w:rsidRPr="0060360B">
        <w:rPr>
          <w:rFonts w:ascii="GaramondPremrPro-Capt" w:hAnsi="GaramondPremrPro-Capt" w:cs="GaramondPremrPro-Capt"/>
          <w:sz w:val="19"/>
          <w:szCs w:val="19"/>
        </w:rPr>
        <w:t>L</w:t>
      </w:r>
      <w:r w:rsidRPr="0060360B">
        <w:rPr>
          <w:rFonts w:ascii="GaramondPremrPro-Capt" w:hAnsi="GaramondPremrPro-Capt" w:cs="GaramondPremrPro-Capt"/>
          <w:sz w:val="15"/>
          <w:szCs w:val="15"/>
        </w:rPr>
        <w:t>ECLERCQ</w:t>
      </w:r>
      <w:r w:rsidRPr="0060360B">
        <w:rPr>
          <w:rFonts w:ascii="GaramondPremrPro-Capt" w:hAnsi="GaramondPremrPro-Capt" w:cs="GaramondPremrPro-Capt"/>
          <w:sz w:val="19"/>
          <w:szCs w:val="19"/>
        </w:rPr>
        <w:t>, D</w:t>
      </w:r>
      <w:r>
        <w:rPr>
          <w:rFonts w:ascii="GaramondPremrPro-Capt" w:hAnsi="GaramondPremrPro-Capt" w:cs="GaramondPremrPro-Capt"/>
          <w:sz w:val="15"/>
          <w:szCs w:val="15"/>
        </w:rPr>
        <w:t>ieudonné</w:t>
      </w:r>
      <w:r w:rsidRPr="0060360B">
        <w:rPr>
          <w:rFonts w:ascii="GaramondPremrPro-Capt" w:hAnsi="GaramondPremrPro-Capt" w:cs="GaramondPremrPro-Capt"/>
          <w:sz w:val="19"/>
          <w:szCs w:val="19"/>
        </w:rPr>
        <w:t>; L</w:t>
      </w:r>
      <w:r w:rsidRPr="0060360B">
        <w:rPr>
          <w:rFonts w:ascii="GaramondPremrPro-Capt" w:hAnsi="GaramondPremrPro-Capt" w:cs="GaramondPremrPro-Capt"/>
          <w:sz w:val="15"/>
          <w:szCs w:val="15"/>
        </w:rPr>
        <w:t>AGUESSE</w:t>
      </w:r>
      <w:r w:rsidRPr="0060360B">
        <w:rPr>
          <w:rFonts w:ascii="GaramondPremrPro-Capt" w:hAnsi="GaramondPremrPro-Capt" w:cs="GaramondPremrPro-Capt"/>
          <w:sz w:val="19"/>
          <w:szCs w:val="19"/>
        </w:rPr>
        <w:t xml:space="preserve">, </w:t>
      </w:r>
      <w:r w:rsidRPr="0060360B">
        <w:rPr>
          <w:rFonts w:ascii="GaramondPremrPro-Capt" w:hAnsi="GaramondPremrPro-Capt" w:cs="GaramondPremrPro-Capt"/>
          <w:sz w:val="15"/>
          <w:szCs w:val="15"/>
        </w:rPr>
        <w:t>Céline</w:t>
      </w:r>
      <w:r w:rsidRPr="0060360B">
        <w:rPr>
          <w:rFonts w:ascii="GaramondPremrPro-Capt" w:hAnsi="GaramondPremrPro-Capt" w:cs="GaramondPremrPro-Capt"/>
          <w:sz w:val="19"/>
          <w:szCs w:val="19"/>
        </w:rPr>
        <w:t xml:space="preserve"> H</w:t>
      </w:r>
      <w:r w:rsidRPr="0060360B">
        <w:rPr>
          <w:rFonts w:ascii="GaramondPremrPro-Capt" w:hAnsi="GaramondPremrPro-Capt" w:cs="GaramondPremrPro-Capt"/>
          <w:sz w:val="15"/>
          <w:szCs w:val="15"/>
        </w:rPr>
        <w:t>ENROTAY</w:t>
      </w:r>
      <w:r w:rsidRPr="0060360B">
        <w:rPr>
          <w:rFonts w:ascii="GaramondPremrPro-Capt" w:hAnsi="GaramondPremrPro-Capt" w:cs="GaramondPremrPro-Capt"/>
          <w:sz w:val="19"/>
          <w:szCs w:val="19"/>
        </w:rPr>
        <w:t xml:space="preserve">, </w:t>
      </w:r>
      <w:r w:rsidRPr="0060360B">
        <w:rPr>
          <w:rFonts w:ascii="GaramondPremrPro-Capt" w:hAnsi="GaramondPremrPro-Capt" w:cs="GaramondPremrPro-Capt"/>
          <w:sz w:val="15"/>
          <w:szCs w:val="15"/>
        </w:rPr>
        <w:t>Pierre (</w:t>
      </w:r>
      <w:r>
        <w:rPr>
          <w:rFonts w:ascii="GaramondPremrPro-Capt" w:hAnsi="GaramondPremrPro-Capt" w:cs="GaramondPremrPro-Capt"/>
          <w:sz w:val="15"/>
          <w:szCs w:val="15"/>
        </w:rPr>
        <w:t xml:space="preserve">2012) </w:t>
      </w:r>
    </w:p>
    <w:p w:rsidR="00FD6C2F" w:rsidRPr="00CA158D" w:rsidRDefault="00FD6C2F" w:rsidP="00FD6C2F">
      <w:pPr>
        <w:autoSpaceDE w:val="0"/>
        <w:autoSpaceDN w:val="0"/>
        <w:adjustRightInd w:val="0"/>
        <w:spacing w:after="0" w:line="240" w:lineRule="auto"/>
        <w:rPr>
          <w:rFonts w:ascii="GaramondPremrPro-It" w:hAnsi="GaramondPremrPro-It" w:cs="GaramondPremrPro-It"/>
          <w:b/>
          <w:i/>
          <w:iCs/>
          <w:color w:val="000000" w:themeColor="text1"/>
          <w:sz w:val="20"/>
          <w:szCs w:val="24"/>
          <w:lang w:val="en-US"/>
        </w:rPr>
      </w:pPr>
      <w:proofErr w:type="spellStart"/>
      <w:r w:rsidRPr="00CA158D">
        <w:rPr>
          <w:rFonts w:ascii="GaramondPremrPro-It" w:hAnsi="GaramondPremrPro-It" w:cs="GaramondPremrPro-It"/>
          <w:b/>
          <w:i/>
          <w:iCs/>
          <w:color w:val="000000" w:themeColor="text1"/>
          <w:sz w:val="20"/>
          <w:szCs w:val="24"/>
          <w:lang w:val="en-US"/>
        </w:rPr>
        <w:t>Metacomprehension</w:t>
      </w:r>
      <w:proofErr w:type="spellEnd"/>
      <w:r w:rsidRPr="00CA158D">
        <w:rPr>
          <w:rFonts w:ascii="GaramondPremrPro-It" w:hAnsi="GaramondPremrPro-It" w:cs="GaramondPremrPro-It"/>
          <w:b/>
          <w:i/>
          <w:iCs/>
          <w:color w:val="000000" w:themeColor="text1"/>
          <w:sz w:val="20"/>
          <w:szCs w:val="24"/>
          <w:lang w:val="en-US"/>
        </w:rPr>
        <w:t xml:space="preserve"> and cognitive vigilance. A multi-teachers experiment in last</w:t>
      </w:r>
      <w:r w:rsidR="0060360B" w:rsidRPr="00CA158D">
        <w:rPr>
          <w:rFonts w:ascii="GaramondPremrPro-It" w:hAnsi="GaramondPremrPro-It" w:cs="GaramondPremrPro-It"/>
          <w:b/>
          <w:i/>
          <w:iCs/>
          <w:color w:val="000000" w:themeColor="text1"/>
          <w:sz w:val="20"/>
          <w:szCs w:val="24"/>
          <w:lang w:val="en-US"/>
        </w:rPr>
        <w:t xml:space="preserve"> </w:t>
      </w:r>
      <w:r w:rsidRPr="00CA158D">
        <w:rPr>
          <w:rFonts w:ascii="GaramondPremrPro-It" w:hAnsi="GaramondPremrPro-It" w:cs="GaramondPremrPro-It"/>
          <w:b/>
          <w:i/>
          <w:iCs/>
          <w:color w:val="000000" w:themeColor="text1"/>
          <w:sz w:val="20"/>
          <w:szCs w:val="24"/>
          <w:lang w:val="en-US"/>
        </w:rPr>
        <w:t>year of secondary school</w:t>
      </w:r>
    </w:p>
    <w:p w:rsidR="00FD6C2F" w:rsidRPr="0060360B" w:rsidRDefault="0060360B" w:rsidP="00FD6C2F">
      <w:pPr>
        <w:autoSpaceDE w:val="0"/>
        <w:autoSpaceDN w:val="0"/>
        <w:adjustRightInd w:val="0"/>
        <w:spacing w:after="0" w:line="240" w:lineRule="auto"/>
        <w:rPr>
          <w:rFonts w:ascii="GaramondPremrPro-Capt" w:hAnsi="GaramondPremrPro-Capt" w:cs="GaramondPremrPro-Capt"/>
          <w:sz w:val="15"/>
          <w:szCs w:val="15"/>
          <w:lang w:val="en-US"/>
        </w:rPr>
      </w:pPr>
      <w:r w:rsidRPr="0060360B">
        <w:rPr>
          <w:rFonts w:ascii="GaramondPremrPro-Capt" w:hAnsi="GaramondPremrPro-Capt" w:cs="GaramondPremrPro-Capt"/>
          <w:sz w:val="15"/>
          <w:szCs w:val="15"/>
          <w:lang w:val="en-US"/>
        </w:rPr>
        <w:t xml:space="preserve">In Proceedings </w:t>
      </w:r>
      <w:proofErr w:type="spellStart"/>
      <w:r w:rsidRPr="0060360B">
        <w:rPr>
          <w:rFonts w:ascii="GaramondPremrPro-Capt" w:hAnsi="GaramondPremrPro-Capt" w:cs="GaramondPremrPro-Capt"/>
          <w:sz w:val="15"/>
          <w:szCs w:val="15"/>
          <w:lang w:val="en-US"/>
        </w:rPr>
        <w:t>o</w:t>
      </w:r>
      <w:proofErr w:type="spellEnd"/>
      <w:r w:rsidRPr="0060360B">
        <w:rPr>
          <w:rFonts w:ascii="GaramondPremrPro-Capt" w:hAnsi="GaramondPremrPro-Capt" w:cs="GaramondPremrPro-Capt"/>
          <w:sz w:val="15"/>
          <w:szCs w:val="15"/>
          <w:lang w:val="en-US"/>
        </w:rPr>
        <w:t xml:space="preserve"> the </w:t>
      </w:r>
      <w:proofErr w:type="gramStart"/>
      <w:r w:rsidRPr="0060360B">
        <w:rPr>
          <w:rFonts w:ascii="GaramondPremrPro-Capt" w:hAnsi="GaramondPremrPro-Capt" w:cs="GaramondPremrPro-Capt"/>
          <w:sz w:val="15"/>
          <w:szCs w:val="15"/>
          <w:lang w:val="en-US"/>
        </w:rPr>
        <w:t>5th</w:t>
      </w:r>
      <w:proofErr w:type="gramEnd"/>
      <w:r w:rsidRPr="0060360B">
        <w:rPr>
          <w:rFonts w:ascii="GaramondPremrPro-Capt" w:hAnsi="GaramondPremrPro-Capt" w:cs="GaramondPremrPro-Capt"/>
          <w:sz w:val="15"/>
          <w:szCs w:val="15"/>
          <w:lang w:val="en-US"/>
        </w:rPr>
        <w:t xml:space="preserve"> </w:t>
      </w:r>
      <w:proofErr w:type="spellStart"/>
      <w:r w:rsidRPr="0060360B">
        <w:rPr>
          <w:rFonts w:ascii="GaramondPremrPro-Capt" w:hAnsi="GaramondPremrPro-Capt" w:cs="GaramondPremrPro-Capt"/>
          <w:sz w:val="15"/>
          <w:szCs w:val="15"/>
          <w:lang w:val="en-US"/>
        </w:rPr>
        <w:t>B</w:t>
      </w:r>
      <w:r>
        <w:rPr>
          <w:rFonts w:ascii="GaramondPremrPro-Capt" w:hAnsi="GaramondPremrPro-Capt" w:cs="GaramondPremrPro-Capt"/>
          <w:sz w:val="15"/>
          <w:szCs w:val="15"/>
          <w:lang w:val="en-US"/>
        </w:rPr>
        <w:t>iennal</w:t>
      </w:r>
      <w:proofErr w:type="spellEnd"/>
      <w:r>
        <w:rPr>
          <w:rFonts w:ascii="GaramondPremrPro-Capt" w:hAnsi="GaramondPremrPro-Capt" w:cs="GaramondPremrPro-Capt"/>
          <w:sz w:val="15"/>
          <w:szCs w:val="15"/>
          <w:lang w:val="en-US"/>
        </w:rPr>
        <w:t xml:space="preserve"> Meeting of the EARLI Special Interest Group 16 Metacognition. Milano. UCSC (</w:t>
      </w:r>
      <w:proofErr w:type="spellStart"/>
      <w:r>
        <w:rPr>
          <w:rFonts w:ascii="GaramondPremrPro-Capt" w:hAnsi="GaramondPremrPro-Capt" w:cs="GaramondPremrPro-Capt"/>
          <w:sz w:val="15"/>
          <w:szCs w:val="15"/>
          <w:lang w:val="en-US"/>
        </w:rPr>
        <w:t>Universita</w:t>
      </w:r>
      <w:proofErr w:type="spellEnd"/>
      <w:r>
        <w:rPr>
          <w:rFonts w:ascii="GaramondPremrPro-Capt" w:hAnsi="GaramondPremrPro-Capt" w:cs="GaramondPremrPro-Capt"/>
          <w:sz w:val="15"/>
          <w:szCs w:val="15"/>
          <w:lang w:val="en-US"/>
        </w:rPr>
        <w:t xml:space="preserve"> </w:t>
      </w:r>
      <w:proofErr w:type="spellStart"/>
      <w:r>
        <w:rPr>
          <w:rFonts w:ascii="GaramondPremrPro-Capt" w:hAnsi="GaramondPremrPro-Capt" w:cs="GaramondPremrPro-Capt"/>
          <w:sz w:val="15"/>
          <w:szCs w:val="15"/>
          <w:lang w:val="en-US"/>
        </w:rPr>
        <w:t>Catolica</w:t>
      </w:r>
      <w:proofErr w:type="spellEnd"/>
      <w:r>
        <w:rPr>
          <w:rFonts w:ascii="GaramondPremrPro-Capt" w:hAnsi="GaramondPremrPro-Capt" w:cs="GaramondPremrPro-Capt"/>
          <w:sz w:val="15"/>
          <w:szCs w:val="15"/>
          <w:lang w:val="en-US"/>
        </w:rPr>
        <w:t xml:space="preserve"> </w:t>
      </w:r>
      <w:proofErr w:type="gramStart"/>
      <w:r>
        <w:rPr>
          <w:rFonts w:ascii="GaramondPremrPro-Capt" w:hAnsi="GaramondPremrPro-Capt" w:cs="GaramondPremrPro-Capt"/>
          <w:sz w:val="15"/>
          <w:szCs w:val="15"/>
          <w:lang w:val="en-US"/>
        </w:rPr>
        <w:t>del</w:t>
      </w:r>
      <w:proofErr w:type="gramEnd"/>
      <w:r>
        <w:rPr>
          <w:rFonts w:ascii="GaramondPremrPro-Capt" w:hAnsi="GaramondPremrPro-Capt" w:cs="GaramondPremrPro-Capt"/>
          <w:sz w:val="15"/>
          <w:szCs w:val="15"/>
          <w:lang w:val="en-US"/>
        </w:rPr>
        <w:t xml:space="preserve"> </w:t>
      </w:r>
      <w:proofErr w:type="spellStart"/>
      <w:r>
        <w:rPr>
          <w:rFonts w:ascii="GaramondPremrPro-Capt" w:hAnsi="GaramondPremrPro-Capt" w:cs="GaramondPremrPro-Capt"/>
          <w:sz w:val="15"/>
          <w:szCs w:val="15"/>
          <w:lang w:val="en-US"/>
        </w:rPr>
        <w:t>Sacro</w:t>
      </w:r>
      <w:proofErr w:type="spellEnd"/>
      <w:r>
        <w:rPr>
          <w:rFonts w:ascii="GaramondPremrPro-Capt" w:hAnsi="GaramondPremrPro-Capt" w:cs="GaramondPremrPro-Capt"/>
          <w:sz w:val="15"/>
          <w:szCs w:val="15"/>
          <w:lang w:val="en-US"/>
        </w:rPr>
        <w:t xml:space="preserve"> </w:t>
      </w:r>
      <w:proofErr w:type="spellStart"/>
      <w:r>
        <w:rPr>
          <w:rFonts w:ascii="GaramondPremrPro-Capt" w:hAnsi="GaramondPremrPro-Capt" w:cs="GaramondPremrPro-Capt"/>
          <w:sz w:val="15"/>
          <w:szCs w:val="15"/>
          <w:lang w:val="en-US"/>
        </w:rPr>
        <w:t>Cuore</w:t>
      </w:r>
      <w:proofErr w:type="spellEnd"/>
    </w:p>
    <w:p w:rsidR="00FD6C2F" w:rsidRDefault="00FD6C2F" w:rsidP="00FD6C2F">
      <w:pPr>
        <w:autoSpaceDE w:val="0"/>
        <w:autoSpaceDN w:val="0"/>
        <w:adjustRightInd w:val="0"/>
        <w:spacing w:after="0" w:line="240" w:lineRule="auto"/>
        <w:rPr>
          <w:rFonts w:ascii="GaramondPremrPro-Capt" w:hAnsi="GaramondPremrPro-Capt" w:cs="GaramondPremrPro-Capt"/>
          <w:sz w:val="15"/>
          <w:szCs w:val="15"/>
          <w:lang w:val="en-US"/>
        </w:rPr>
      </w:pPr>
      <w:r>
        <w:rPr>
          <w:rFonts w:ascii="GaramondPremrPro-Capt" w:hAnsi="GaramondPremrPro-Capt" w:cs="GaramondPremrPro-Capt"/>
          <w:sz w:val="15"/>
          <w:szCs w:val="15"/>
          <w:lang w:val="en-US"/>
        </w:rPr>
        <w:t xml:space="preserve">Abstract   p. 142  </w:t>
      </w:r>
    </w:p>
    <w:p w:rsidR="00FD6C2F" w:rsidRDefault="00FD6C2F" w:rsidP="00FD6C2F">
      <w:pPr>
        <w:autoSpaceDE w:val="0"/>
        <w:autoSpaceDN w:val="0"/>
        <w:adjustRightInd w:val="0"/>
        <w:spacing w:after="0" w:line="240" w:lineRule="auto"/>
        <w:rPr>
          <w:rFonts w:ascii="GaramondPremrPro-Capt" w:hAnsi="GaramondPremrPro-Capt" w:cs="GaramondPremrPro-Capt"/>
          <w:sz w:val="15"/>
          <w:szCs w:val="15"/>
          <w:lang w:val="en-US"/>
        </w:rPr>
      </w:pPr>
    </w:p>
    <w:p w:rsidR="00FD6C2F" w:rsidRDefault="00FD6C2F" w:rsidP="00FD6C2F">
      <w:pPr>
        <w:autoSpaceDE w:val="0"/>
        <w:autoSpaceDN w:val="0"/>
        <w:adjustRightInd w:val="0"/>
        <w:spacing w:after="0" w:line="240" w:lineRule="auto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>Teaching and testing for comprehension are challenges that can benefit from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metacognition. Piaget has argued that in many occasions it is possible for a student to be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successful without having understood the underlying concepts of the content.</w:t>
      </w:r>
    </w:p>
    <w:p w:rsidR="0060360B" w:rsidRPr="00FD6C2F" w:rsidRDefault="0060360B" w:rsidP="00FD6C2F">
      <w:pPr>
        <w:autoSpaceDE w:val="0"/>
        <w:autoSpaceDN w:val="0"/>
        <w:adjustRightInd w:val="0"/>
        <w:spacing w:after="0" w:line="240" w:lineRule="auto"/>
        <w:rPr>
          <w:rFonts w:ascii="GaramondPremrPro" w:hAnsi="GaramondPremrPro" w:cs="GaramondPremrPro"/>
          <w:lang w:val="en-US"/>
        </w:rPr>
      </w:pPr>
    </w:p>
    <w:p w:rsidR="0060360B" w:rsidRDefault="00FD6C2F" w:rsidP="00FD6C2F">
      <w:pPr>
        <w:autoSpaceDE w:val="0"/>
        <w:autoSpaceDN w:val="0"/>
        <w:adjustRightInd w:val="0"/>
        <w:spacing w:after="0" w:line="240" w:lineRule="auto"/>
        <w:rPr>
          <w:rFonts w:ascii="GaramondPremrPro" w:hAnsi="GaramondPremrPro" w:cs="GaramondPremrPro"/>
          <w:lang w:val="en-US"/>
        </w:rPr>
      </w:pPr>
      <w:proofErr w:type="spellStart"/>
      <w:proofErr w:type="gramStart"/>
      <w:r w:rsidRPr="00FD6C2F">
        <w:rPr>
          <w:rFonts w:ascii="GaramondPremrPro" w:hAnsi="GaramondPremrPro" w:cs="GaramondPremrPro"/>
          <w:lang w:val="en-US"/>
        </w:rPr>
        <w:t>Smedslund</w:t>
      </w:r>
      <w:proofErr w:type="spellEnd"/>
      <w:r w:rsidRPr="00FD6C2F">
        <w:rPr>
          <w:rFonts w:ascii="GaramondPremrPro" w:hAnsi="GaramondPremrPro" w:cs="GaramondPremrPro"/>
          <w:lang w:val="en-US"/>
        </w:rPr>
        <w:t xml:space="preserve"> (1997)’s definition of comprehension: “A person S (as Student) understands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a message M formulated by a person T (as teacher) if they agree on what, for T, is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equivalent to M, is the contrary of M, is implied by M, has nothing to deal with M.” has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many implications, namely that there should be a debate about COMMON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understanding.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Since understanding (comprehension) is linked to cognitive vigilance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General Implicit Solutions (such as “Lack of data”, “Absurdity”, for Open Ended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Questions and the same plus “None” and “All of them” for MCQs. </w:t>
      </w:r>
    </w:p>
    <w:p w:rsidR="0060360B" w:rsidRDefault="0060360B" w:rsidP="00FD6C2F">
      <w:pPr>
        <w:autoSpaceDE w:val="0"/>
        <w:autoSpaceDN w:val="0"/>
        <w:adjustRightInd w:val="0"/>
        <w:spacing w:after="0" w:line="240" w:lineRule="auto"/>
        <w:rPr>
          <w:rFonts w:ascii="GaramondPremrPro" w:hAnsi="GaramondPremrPro" w:cs="GaramondPremrPro"/>
          <w:lang w:val="en-US"/>
        </w:rPr>
      </w:pPr>
    </w:p>
    <w:p w:rsidR="0060360B" w:rsidRDefault="00FD6C2F" w:rsidP="00FD6C2F">
      <w:pPr>
        <w:autoSpaceDE w:val="0"/>
        <w:autoSpaceDN w:val="0"/>
        <w:adjustRightInd w:val="0"/>
        <w:spacing w:after="0" w:line="240" w:lineRule="auto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>Metacognitive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Spectral Tests (MST) </w:t>
      </w:r>
      <w:proofErr w:type="gramStart"/>
      <w:r w:rsidRPr="00FD6C2F">
        <w:rPr>
          <w:rFonts w:ascii="GaramondPremrPro" w:hAnsi="GaramondPremrPro" w:cs="GaramondPremrPro"/>
          <w:lang w:val="en-US"/>
        </w:rPr>
        <w:t>have been adopted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where: </w:t>
      </w:r>
    </w:p>
    <w:p w:rsidR="0060360B" w:rsidRDefault="00FD6C2F" w:rsidP="0060360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>(1) Students answer to about 20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questions, on a special sheet, adding to each response a confidence degree (0 20 40 60 80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100); </w:t>
      </w:r>
    </w:p>
    <w:p w:rsidR="0060360B" w:rsidRDefault="00FD6C2F" w:rsidP="0060360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>(2) Students answer a second time, with a red pencil, having been reminded one of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the possible traps described here over. This second instruction enables to distinguish lack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of comprehension from lack of vigilance. </w:t>
      </w:r>
    </w:p>
    <w:p w:rsidR="0060360B" w:rsidRDefault="00FD6C2F" w:rsidP="0060360B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>(3) During the debriefing phase, for each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question, </w:t>
      </w:r>
    </w:p>
    <w:p w:rsidR="0060360B" w:rsidRDefault="00FD6C2F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 xml:space="preserve">(a) </w:t>
      </w:r>
      <w:proofErr w:type="gramStart"/>
      <w:r w:rsidRPr="00FD6C2F">
        <w:rPr>
          <w:rFonts w:ascii="GaramondPremrPro" w:hAnsi="GaramondPremrPro" w:cs="GaramondPremrPro"/>
          <w:lang w:val="en-US"/>
        </w:rPr>
        <w:t>the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teacher communicates what is (are) the expected correct answer(s) for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him/her; </w:t>
      </w:r>
    </w:p>
    <w:p w:rsidR="0060360B" w:rsidRDefault="00FD6C2F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 xml:space="preserve">(b) </w:t>
      </w:r>
      <w:proofErr w:type="gramStart"/>
      <w:r w:rsidRPr="00FD6C2F">
        <w:rPr>
          <w:rFonts w:ascii="GaramondPremrPro" w:hAnsi="GaramondPremrPro" w:cs="GaramondPremrPro"/>
          <w:lang w:val="en-US"/>
        </w:rPr>
        <w:t>students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are invited to debate about alternative correct answers they would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propose </w:t>
      </w:r>
    </w:p>
    <w:p w:rsidR="0060360B" w:rsidRDefault="00FD6C2F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 xml:space="preserve">(c) </w:t>
      </w:r>
      <w:proofErr w:type="gramStart"/>
      <w:r w:rsidRPr="00FD6C2F">
        <w:rPr>
          <w:rFonts w:ascii="GaramondPremrPro" w:hAnsi="GaramondPremrPro" w:cs="GaramondPremrPro"/>
          <w:lang w:val="en-US"/>
        </w:rPr>
        <w:t>the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students position their answer on a (pre-printed) quality spectrum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ranking from –100 (incorrect with 100% confidence) to 100 (correct with 100%); </w:t>
      </w:r>
    </w:p>
    <w:p w:rsidR="0060360B" w:rsidRDefault="00FD6C2F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>(d)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proofErr w:type="gramStart"/>
      <w:r w:rsidRPr="00FD6C2F">
        <w:rPr>
          <w:rFonts w:ascii="GaramondPremrPro" w:hAnsi="GaramondPremrPro" w:cs="GaramondPremrPro"/>
          <w:lang w:val="en-US"/>
        </w:rPr>
        <w:t>the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students are invited to answer (if appropriate) to one of the two following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metacognitive questions: “Why was I so sure whereas I was wrong?” or “Why was I so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unsure whereas my answer was correct”; i.e., operate a self-diagnosis (or causal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attribution), necessary for subsequent regulation. </w:t>
      </w:r>
    </w:p>
    <w:p w:rsidR="00CA158D" w:rsidRDefault="00FD6C2F" w:rsidP="0060360B">
      <w:pPr>
        <w:autoSpaceDE w:val="0"/>
        <w:autoSpaceDN w:val="0"/>
        <w:adjustRightInd w:val="0"/>
        <w:spacing w:after="0" w:line="240" w:lineRule="auto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 xml:space="preserve">(4) These MST </w:t>
      </w:r>
      <w:proofErr w:type="gramStart"/>
      <w:r w:rsidRPr="00FD6C2F">
        <w:rPr>
          <w:rFonts w:ascii="GaramondPremrPro" w:hAnsi="GaramondPremrPro" w:cs="GaramondPremrPro"/>
          <w:lang w:val="en-US"/>
        </w:rPr>
        <w:t>are repeated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during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the school year and, at the end, students are invited to elaborate a “Metacognitive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Retrospective and Prospective Report”. This kind of formative evaluation </w:t>
      </w:r>
      <w:proofErr w:type="gramStart"/>
      <w:r w:rsidRPr="00FD6C2F">
        <w:rPr>
          <w:rFonts w:ascii="GaramondPremrPro" w:hAnsi="GaramondPremrPro" w:cs="GaramondPremrPro"/>
          <w:lang w:val="en-US"/>
        </w:rPr>
        <w:t>had been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initiated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at the university level ten years ago. </w:t>
      </w:r>
    </w:p>
    <w:p w:rsidR="00CA158D" w:rsidRDefault="00CA158D" w:rsidP="0060360B">
      <w:pPr>
        <w:autoSpaceDE w:val="0"/>
        <w:autoSpaceDN w:val="0"/>
        <w:adjustRightInd w:val="0"/>
        <w:spacing w:after="0" w:line="240" w:lineRule="auto"/>
        <w:rPr>
          <w:rFonts w:ascii="GaramondPremrPro" w:hAnsi="GaramondPremrPro" w:cs="GaramondPremrPro"/>
          <w:lang w:val="en-US"/>
        </w:rPr>
      </w:pPr>
    </w:p>
    <w:p w:rsidR="00CA158D" w:rsidRDefault="00FD6C2F" w:rsidP="00CA158D">
      <w:pPr>
        <w:autoSpaceDE w:val="0"/>
        <w:autoSpaceDN w:val="0"/>
        <w:adjustRightInd w:val="0"/>
        <w:spacing w:after="0" w:line="240" w:lineRule="auto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>From September 2011, it has been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implemented in a secondary school for about 40 students (in </w:t>
      </w:r>
      <w:proofErr w:type="gramStart"/>
      <w:r w:rsidRPr="00FD6C2F">
        <w:rPr>
          <w:rFonts w:ascii="GaramondPremrPro" w:hAnsi="GaramondPremrPro" w:cs="GaramondPremrPro"/>
          <w:lang w:val="en-US"/>
        </w:rPr>
        <w:t>2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classes) and 4 teachers in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various areas, with the help of 2 university researchers in </w:t>
      </w:r>
    </w:p>
    <w:p w:rsidR="0060360B" w:rsidRDefault="00FD6C2F" w:rsidP="00CA158D">
      <w:pPr>
        <w:autoSpaceDE w:val="0"/>
        <w:autoSpaceDN w:val="0"/>
        <w:adjustRightInd w:val="0"/>
        <w:spacing w:after="0" w:line="240" w:lineRule="auto"/>
        <w:ind w:left="1418" w:hanging="709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 xml:space="preserve">(1) producing </w:t>
      </w:r>
      <w:r w:rsidR="00CA158D" w:rsidRPr="00FD6C2F">
        <w:rPr>
          <w:rFonts w:ascii="GaramondPremrPro" w:hAnsi="GaramondPremrPro" w:cs="GaramondPremrPro"/>
          <w:lang w:val="en-US"/>
        </w:rPr>
        <w:t>visualizations</w:t>
      </w:r>
      <w:r w:rsidRPr="00FD6C2F">
        <w:rPr>
          <w:rFonts w:ascii="GaramondPremrPro" w:hAnsi="GaramondPremrPro" w:cs="GaramondPremrPro"/>
          <w:lang w:val="en-US"/>
        </w:rPr>
        <w:t xml:space="preserve"> of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individual progresses in terms of spectral quality in relation to self-diagnosis as well as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item analysis based on classical indices such as the </w:t>
      </w:r>
      <w:proofErr w:type="spellStart"/>
      <w:r w:rsidRPr="00FD6C2F">
        <w:rPr>
          <w:rFonts w:ascii="GaramondPremrPro" w:hAnsi="GaramondPremrPro" w:cs="GaramondPremrPro"/>
          <w:lang w:val="en-US"/>
        </w:rPr>
        <w:t>biserial</w:t>
      </w:r>
      <w:proofErr w:type="spellEnd"/>
      <w:r w:rsidRPr="00FD6C2F">
        <w:rPr>
          <w:rFonts w:ascii="GaramondPremrPro" w:hAnsi="GaramondPremrPro" w:cs="GaramondPremrPro"/>
          <w:lang w:val="en-US"/>
        </w:rPr>
        <w:t xml:space="preserve"> correlations and on new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indices based on Subjective mastery on realism in self-assessment, </w:t>
      </w:r>
    </w:p>
    <w:p w:rsidR="00FD6C2F" w:rsidRDefault="00FD6C2F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GaramondPremrPro" w:hAnsi="GaramondPremrPro" w:cs="GaramondPremrPro"/>
          <w:lang w:val="en-US"/>
        </w:rPr>
      </w:pPr>
      <w:r w:rsidRPr="00FD6C2F">
        <w:rPr>
          <w:rFonts w:ascii="GaramondPremrPro" w:hAnsi="GaramondPremrPro" w:cs="GaramondPremrPro"/>
          <w:lang w:val="en-US"/>
        </w:rPr>
        <w:t xml:space="preserve">(2) </w:t>
      </w:r>
      <w:proofErr w:type="gramStart"/>
      <w:r w:rsidR="00CA158D" w:rsidRPr="00FD6C2F">
        <w:rPr>
          <w:rFonts w:ascii="GaramondPremrPro" w:hAnsi="GaramondPremrPro" w:cs="GaramondPremrPro"/>
          <w:lang w:val="en-US"/>
        </w:rPr>
        <w:t>organizing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reflexive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workshops with teachers. Interesting results are already available in terms of insights in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>the students’ minds and in teachers’ ones as well as in terms of item analysis. The opinion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FD6C2F">
        <w:rPr>
          <w:rFonts w:ascii="GaramondPremrPro" w:hAnsi="GaramondPremrPro" w:cs="GaramondPremrPro"/>
          <w:lang w:val="en-US"/>
        </w:rPr>
        <w:t xml:space="preserve">of both, on this </w:t>
      </w:r>
      <w:proofErr w:type="gramStart"/>
      <w:r w:rsidRPr="00FD6C2F">
        <w:rPr>
          <w:rFonts w:ascii="GaramondPremrPro" w:hAnsi="GaramondPremrPro" w:cs="GaramondPremrPro"/>
          <w:lang w:val="en-US"/>
        </w:rPr>
        <w:t>one year</w:t>
      </w:r>
      <w:proofErr w:type="gramEnd"/>
      <w:r w:rsidRPr="00FD6C2F">
        <w:rPr>
          <w:rFonts w:ascii="GaramondPremrPro" w:hAnsi="GaramondPremrPro" w:cs="GaramondPremrPro"/>
          <w:lang w:val="en-US"/>
        </w:rPr>
        <w:t xml:space="preserve"> process, will be collected in April 2012, as well as an overall cost</w:t>
      </w:r>
      <w:r w:rsidR="0060360B">
        <w:rPr>
          <w:rFonts w:ascii="GaramondPremrPro" w:hAnsi="GaramondPremrPro" w:cs="GaramondPremrPro"/>
          <w:lang w:val="en-US"/>
        </w:rPr>
        <w:t>/</w:t>
      </w:r>
      <w:r w:rsidRPr="00FD6C2F">
        <w:rPr>
          <w:rFonts w:ascii="GaramondPremrPro" w:hAnsi="GaramondPremrPro" w:cs="GaramondPremrPro"/>
          <w:lang w:val="en-US"/>
        </w:rPr>
        <w:t>benefit</w:t>
      </w:r>
      <w:r w:rsidR="0060360B">
        <w:rPr>
          <w:rFonts w:ascii="GaramondPremrPro" w:hAnsi="GaramondPremrPro" w:cs="GaramondPremrPro"/>
          <w:lang w:val="en-US"/>
        </w:rPr>
        <w:t xml:space="preserve"> </w:t>
      </w:r>
      <w:r w:rsidRPr="0060360B">
        <w:rPr>
          <w:rFonts w:ascii="GaramondPremrPro" w:hAnsi="GaramondPremrPro" w:cs="GaramondPremrPro"/>
          <w:lang w:val="en-US"/>
        </w:rPr>
        <w:t>analysis.</w:t>
      </w:r>
    </w:p>
    <w:p w:rsidR="00D82283" w:rsidRDefault="00D82283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GaramondPremrPro" w:hAnsi="GaramondPremrPro" w:cs="GaramondPremrPro"/>
          <w:lang w:val="en-US"/>
        </w:rPr>
      </w:pPr>
    </w:p>
    <w:p w:rsidR="00D82283" w:rsidRDefault="00D82283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GaramondPremrPro" w:hAnsi="GaramondPremrPro" w:cs="GaramondPremrPro"/>
          <w:lang w:val="en-US"/>
        </w:rPr>
      </w:pPr>
    </w:p>
    <w:p w:rsidR="00D82283" w:rsidRDefault="00D82283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GaramondPremrPro" w:hAnsi="GaramondPremrPro" w:cs="GaramondPremrPro"/>
          <w:lang w:val="en-US"/>
        </w:rPr>
      </w:pPr>
    </w:p>
    <w:p w:rsidR="00D82283" w:rsidRDefault="00D82283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GaramondPremrPro" w:hAnsi="GaramondPremrPro" w:cs="GaramondPremrPro"/>
          <w:lang w:val="en-US"/>
        </w:rPr>
      </w:pPr>
    </w:p>
    <w:p w:rsidR="00D82283" w:rsidRPr="0060360B" w:rsidRDefault="00D82283" w:rsidP="0060360B">
      <w:pPr>
        <w:autoSpaceDE w:val="0"/>
        <w:autoSpaceDN w:val="0"/>
        <w:adjustRightInd w:val="0"/>
        <w:spacing w:after="0" w:line="240" w:lineRule="auto"/>
        <w:ind w:left="1417" w:hanging="709"/>
        <w:rPr>
          <w:lang w:val="en-US"/>
        </w:rPr>
      </w:pPr>
      <w:r w:rsidRPr="00D82283">
        <w:rPr>
          <w:lang w:val="en-US"/>
        </w:rPr>
        <w:drawing>
          <wp:inline distT="0" distB="0" distL="0" distR="0" wp14:anchorId="5CD104A1" wp14:editId="24BC4FC3">
            <wp:extent cx="5455919" cy="4091940"/>
            <wp:effectExtent l="19050" t="19050" r="12065" b="2286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9299" cy="4109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283" w:rsidRPr="0060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PremrPro-Cap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Premr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Premr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2F"/>
    <w:rsid w:val="0060360B"/>
    <w:rsid w:val="00CA158D"/>
    <w:rsid w:val="00D334D1"/>
    <w:rsid w:val="00D82283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F5C5"/>
  <w15:chartTrackingRefBased/>
  <w15:docId w15:val="{E17E131F-9E41-4D02-8911-1648E812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d.leclercq@uliege.be</dc:creator>
  <cp:keywords/>
  <dc:description/>
  <cp:lastModifiedBy>Dieudo</cp:lastModifiedBy>
  <cp:revision>3</cp:revision>
  <dcterms:created xsi:type="dcterms:W3CDTF">2021-04-14T18:34:00Z</dcterms:created>
  <dcterms:modified xsi:type="dcterms:W3CDTF">2022-06-29T04:45:00Z</dcterms:modified>
</cp:coreProperties>
</file>