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F708" w14:textId="77777777" w:rsidR="00B71F81" w:rsidRPr="00224CAF" w:rsidRDefault="00B71F81" w:rsidP="00B71F81">
      <w:pPr>
        <w:spacing w:line="240" w:lineRule="auto"/>
        <w:jc w:val="both"/>
        <w:rPr>
          <w:rFonts w:cstheme="minorHAnsi"/>
          <w:b/>
          <w:bCs/>
          <w:i/>
          <w:iCs/>
        </w:rPr>
      </w:pPr>
      <w:bookmarkStart w:id="0" w:name="_Hlk82452427"/>
      <w:r w:rsidRPr="00224CAF">
        <w:rPr>
          <w:rFonts w:cstheme="minorHAnsi"/>
          <w:b/>
          <w:bCs/>
          <w:i/>
          <w:iCs/>
        </w:rPr>
        <w:t>Titre :</w:t>
      </w:r>
    </w:p>
    <w:p w14:paraId="3408CCEB" w14:textId="4008DFE1" w:rsidR="00B71F81" w:rsidRPr="00224CAF" w:rsidRDefault="00B71F81" w:rsidP="00B71F81">
      <w:pPr>
        <w:spacing w:line="240" w:lineRule="auto"/>
        <w:jc w:val="both"/>
        <w:rPr>
          <w:rFonts w:cstheme="minorHAnsi"/>
          <w:b/>
          <w:bCs/>
          <w:i/>
          <w:iCs/>
        </w:rPr>
      </w:pPr>
      <w:r w:rsidRPr="00224CAF">
        <w:rPr>
          <w:rFonts w:cstheme="minorHAnsi"/>
          <w:b/>
          <w:bCs/>
          <w:i/>
          <w:iCs/>
        </w:rPr>
        <w:t>Impact cliniqu</w:t>
      </w:r>
      <w:r w:rsidR="00EE2521" w:rsidRPr="00224CAF">
        <w:rPr>
          <w:rFonts w:cstheme="minorHAnsi"/>
          <w:b/>
          <w:bCs/>
          <w:i/>
          <w:iCs/>
        </w:rPr>
        <w:t xml:space="preserve">e </w:t>
      </w:r>
      <w:r w:rsidRPr="00224CAF">
        <w:rPr>
          <w:rFonts w:cstheme="minorHAnsi"/>
          <w:b/>
          <w:bCs/>
          <w:i/>
          <w:iCs/>
        </w:rPr>
        <w:t xml:space="preserve">de la Vidéocapsule endoscopique </w:t>
      </w:r>
      <w:proofErr w:type="gramStart"/>
      <w:r w:rsidRPr="00224CAF">
        <w:rPr>
          <w:rFonts w:cstheme="minorHAnsi"/>
          <w:b/>
          <w:bCs/>
          <w:i/>
          <w:iCs/>
        </w:rPr>
        <w:t>du</w:t>
      </w:r>
      <w:r w:rsidR="005777E8">
        <w:rPr>
          <w:rFonts w:cstheme="minorHAnsi"/>
          <w:b/>
          <w:bCs/>
          <w:i/>
          <w:iCs/>
        </w:rPr>
        <w:t xml:space="preserve"> </w:t>
      </w:r>
      <w:r w:rsidRPr="00224CAF">
        <w:rPr>
          <w:rFonts w:cstheme="minorHAnsi"/>
          <w:b/>
          <w:bCs/>
          <w:i/>
          <w:iCs/>
        </w:rPr>
        <w:t>gr</w:t>
      </w:r>
      <w:r w:rsidR="00C65359" w:rsidRPr="00224CAF">
        <w:rPr>
          <w:rFonts w:cstheme="minorHAnsi"/>
          <w:b/>
          <w:bCs/>
          <w:i/>
          <w:iCs/>
        </w:rPr>
        <w:t>ê</w:t>
      </w:r>
      <w:r w:rsidRPr="00224CAF">
        <w:rPr>
          <w:rFonts w:cstheme="minorHAnsi"/>
          <w:b/>
          <w:bCs/>
          <w:i/>
          <w:iCs/>
        </w:rPr>
        <w:t>le</w:t>
      </w:r>
      <w:proofErr w:type="gramEnd"/>
      <w:r w:rsidRPr="00224CAF">
        <w:rPr>
          <w:rFonts w:cstheme="minorHAnsi"/>
          <w:b/>
          <w:bCs/>
          <w:i/>
          <w:iCs/>
        </w:rPr>
        <w:t xml:space="preserve"> dans les saignements digestifs inexpliqués : étude rétrospective monocentrique</w:t>
      </w:r>
    </w:p>
    <w:p w14:paraId="50AA1322" w14:textId="77777777" w:rsidR="00B71F81" w:rsidRPr="00224CAF" w:rsidRDefault="00B71F81" w:rsidP="00B71F81">
      <w:pPr>
        <w:spacing w:line="240" w:lineRule="auto"/>
        <w:jc w:val="both"/>
        <w:rPr>
          <w:rFonts w:cstheme="minorHAnsi"/>
          <w:b/>
          <w:bCs/>
          <w:i/>
          <w:iCs/>
        </w:rPr>
      </w:pPr>
      <w:r w:rsidRPr="00224CAF">
        <w:rPr>
          <w:rFonts w:cstheme="minorHAnsi"/>
          <w:b/>
          <w:bCs/>
          <w:i/>
          <w:iCs/>
        </w:rPr>
        <w:t>AC Moreau, L Seidel, S Vieujean, C Reenaers, E Louis</w:t>
      </w:r>
    </w:p>
    <w:p w14:paraId="27ACEF4C" w14:textId="77777777" w:rsidR="00B71F81" w:rsidRPr="00224CAF" w:rsidRDefault="00B71F81" w:rsidP="00B71F81">
      <w:pPr>
        <w:spacing w:line="240" w:lineRule="auto"/>
        <w:jc w:val="both"/>
        <w:rPr>
          <w:rFonts w:cstheme="minorHAnsi"/>
          <w:b/>
          <w:bCs/>
          <w:i/>
          <w:iCs/>
        </w:rPr>
      </w:pPr>
      <w:r w:rsidRPr="00224CAF">
        <w:rPr>
          <w:rFonts w:cstheme="minorHAnsi"/>
          <w:b/>
          <w:bCs/>
          <w:i/>
          <w:iCs/>
        </w:rPr>
        <w:t>Résumé</w:t>
      </w:r>
    </w:p>
    <w:p w14:paraId="3064F853" w14:textId="77777777" w:rsidR="00B71F81" w:rsidRPr="00224CAF" w:rsidRDefault="00B71F81" w:rsidP="00B71F81">
      <w:pPr>
        <w:spacing w:line="240" w:lineRule="auto"/>
        <w:jc w:val="both"/>
        <w:rPr>
          <w:rFonts w:cstheme="minorHAnsi"/>
        </w:rPr>
      </w:pPr>
      <w:bookmarkStart w:id="1" w:name="_Hlk81898531"/>
      <w:r w:rsidRPr="00224CAF">
        <w:rPr>
          <w:rFonts w:cstheme="minorHAnsi"/>
        </w:rPr>
        <w:t>Introduction et but</w:t>
      </w:r>
    </w:p>
    <w:p w14:paraId="2C974718" w14:textId="77777777" w:rsidR="00B71F81" w:rsidRPr="00224CAF" w:rsidRDefault="00B71F81" w:rsidP="00B71F81">
      <w:pPr>
        <w:spacing w:line="240" w:lineRule="auto"/>
        <w:jc w:val="both"/>
        <w:rPr>
          <w:rFonts w:cstheme="minorHAnsi"/>
        </w:rPr>
      </w:pPr>
      <w:r w:rsidRPr="00224CAF">
        <w:rPr>
          <w:rFonts w:cstheme="minorHAnsi"/>
        </w:rPr>
        <w:t xml:space="preserve">La vidéocapsule endoscopique grêle (VCE) est validée dans l’exploration des saignements digestifs inexpliqués (OGIB). Le but de notre travail a été d’évaluer l’impact clinique de la réalisation d’une VCE pour OGIB en pratique courante, en termes de prise en charge ultérieure et de risque de récidive du saignement. </w:t>
      </w:r>
    </w:p>
    <w:p w14:paraId="428F2D60" w14:textId="77777777" w:rsidR="00B71F81" w:rsidRPr="00224CAF" w:rsidRDefault="00B71F81" w:rsidP="00B71F81">
      <w:pPr>
        <w:spacing w:line="240" w:lineRule="auto"/>
        <w:jc w:val="both"/>
        <w:rPr>
          <w:rFonts w:cstheme="minorHAnsi"/>
        </w:rPr>
      </w:pPr>
      <w:r w:rsidRPr="00224CAF">
        <w:rPr>
          <w:rFonts w:cstheme="minorHAnsi"/>
        </w:rPr>
        <w:t>Méthodes</w:t>
      </w:r>
    </w:p>
    <w:p w14:paraId="09CC848F" w14:textId="6116A737" w:rsidR="00B71F81" w:rsidRPr="00224CAF" w:rsidRDefault="00B71F81" w:rsidP="00B71F81">
      <w:pPr>
        <w:spacing w:line="240" w:lineRule="auto"/>
        <w:jc w:val="both"/>
        <w:rPr>
          <w:rFonts w:cstheme="minorHAnsi"/>
        </w:rPr>
      </w:pPr>
      <w:r w:rsidRPr="00224CAF">
        <w:rPr>
          <w:rFonts w:cstheme="minorHAnsi"/>
        </w:rPr>
        <w:t>Notre étude rétrospective a analysé les VCE réalisées au CHU de Liège de Mars 2016 à Décembre 2019</w:t>
      </w:r>
      <w:r w:rsidR="00EE2521" w:rsidRPr="00224CAF">
        <w:rPr>
          <w:rFonts w:cstheme="minorHAnsi"/>
        </w:rPr>
        <w:t>.</w:t>
      </w:r>
    </w:p>
    <w:p w14:paraId="06061CC6" w14:textId="77777777" w:rsidR="00B71F81" w:rsidRPr="00224CAF" w:rsidRDefault="00B71F81" w:rsidP="00B71F81">
      <w:pPr>
        <w:spacing w:line="240" w:lineRule="auto"/>
        <w:jc w:val="both"/>
        <w:rPr>
          <w:rFonts w:cstheme="minorHAnsi"/>
        </w:rPr>
      </w:pPr>
      <w:r w:rsidRPr="00224CAF">
        <w:rPr>
          <w:rFonts w:cstheme="minorHAnsi"/>
        </w:rPr>
        <w:t>Résultats </w:t>
      </w:r>
    </w:p>
    <w:p w14:paraId="338A7B99" w14:textId="637C8E19" w:rsidR="00B71F81" w:rsidRPr="00224CAF" w:rsidRDefault="00A65214" w:rsidP="00B71F81">
      <w:pPr>
        <w:spacing w:line="240" w:lineRule="auto"/>
        <w:jc w:val="both"/>
        <w:rPr>
          <w:rFonts w:cstheme="minorHAnsi"/>
        </w:rPr>
      </w:pPr>
      <w:r w:rsidRPr="00224CAF">
        <w:rPr>
          <w:rFonts w:cstheme="minorHAnsi"/>
        </w:rPr>
        <w:t>Les VCE de 110 patients ont été rétrospectivement analysé</w:t>
      </w:r>
      <w:r w:rsidR="00387B61" w:rsidRPr="00224CAF">
        <w:rPr>
          <w:rFonts w:cstheme="minorHAnsi"/>
        </w:rPr>
        <w:t>e</w:t>
      </w:r>
      <w:r w:rsidRPr="00224CAF">
        <w:rPr>
          <w:rFonts w:cstheme="minorHAnsi"/>
        </w:rPr>
        <w:t xml:space="preserve">s. </w:t>
      </w:r>
      <w:r w:rsidR="00B71F81" w:rsidRPr="00224CAF">
        <w:rPr>
          <w:rFonts w:cstheme="minorHAnsi"/>
        </w:rPr>
        <w:t>Nous avons observé un pouvoir diagnostic de 58%</w:t>
      </w:r>
      <w:r w:rsidRPr="00224CAF">
        <w:rPr>
          <w:rFonts w:cstheme="minorHAnsi"/>
        </w:rPr>
        <w:t xml:space="preserve"> et </w:t>
      </w:r>
      <w:r w:rsidR="00B71F81" w:rsidRPr="00224CAF">
        <w:rPr>
          <w:rFonts w:cstheme="minorHAnsi"/>
        </w:rPr>
        <w:t>une modification d’attitude thérapeutique chez 39% des patients</w:t>
      </w:r>
      <w:r w:rsidRPr="00224CAF">
        <w:rPr>
          <w:rFonts w:cstheme="minorHAnsi"/>
        </w:rPr>
        <w:t xml:space="preserve">. Le </w:t>
      </w:r>
      <w:r w:rsidR="00B71F81" w:rsidRPr="00224CAF">
        <w:rPr>
          <w:rFonts w:cstheme="minorHAnsi"/>
        </w:rPr>
        <w:t>taux de récidive</w:t>
      </w:r>
      <w:r w:rsidRPr="00224CAF">
        <w:rPr>
          <w:rFonts w:cstheme="minorHAnsi"/>
        </w:rPr>
        <w:t xml:space="preserve"> (pour les 102 patients dont le suivi était disponible</w:t>
      </w:r>
      <w:r w:rsidR="00EE2521" w:rsidRPr="00224CAF">
        <w:rPr>
          <w:rFonts w:cstheme="minorHAnsi"/>
        </w:rPr>
        <w:t xml:space="preserve"> à maximum 2 ans</w:t>
      </w:r>
      <w:r w:rsidRPr="00224CAF">
        <w:rPr>
          <w:rFonts w:cstheme="minorHAnsi"/>
        </w:rPr>
        <w:t xml:space="preserve">) était de </w:t>
      </w:r>
      <w:r w:rsidR="00B71F81" w:rsidRPr="00224CAF">
        <w:rPr>
          <w:rFonts w:cstheme="minorHAnsi"/>
        </w:rPr>
        <w:t>22</w:t>
      </w:r>
      <w:r w:rsidRPr="00224CAF">
        <w:rPr>
          <w:rFonts w:cstheme="minorHAnsi"/>
        </w:rPr>
        <w:t>.</w:t>
      </w:r>
      <w:r w:rsidR="00B71F81" w:rsidRPr="00224CAF">
        <w:rPr>
          <w:rFonts w:cstheme="minorHAnsi"/>
        </w:rPr>
        <w:t>5%</w:t>
      </w:r>
      <w:r w:rsidRPr="00224CAF">
        <w:rPr>
          <w:rFonts w:cstheme="minorHAnsi"/>
        </w:rPr>
        <w:t xml:space="preserve">. </w:t>
      </w:r>
      <w:r w:rsidR="00B71F81" w:rsidRPr="00224CAF">
        <w:rPr>
          <w:rFonts w:cstheme="minorHAnsi"/>
        </w:rPr>
        <w:t xml:space="preserve">Le taux de récidive de saignement était </w:t>
      </w:r>
      <w:r w:rsidR="00387B61" w:rsidRPr="00224CAF">
        <w:rPr>
          <w:rFonts w:cstheme="minorHAnsi"/>
        </w:rPr>
        <w:t>p</w:t>
      </w:r>
      <w:r w:rsidR="00EE2521" w:rsidRPr="00224CAF">
        <w:rPr>
          <w:rFonts w:cstheme="minorHAnsi"/>
        </w:rPr>
        <w:t>articulièrement</w:t>
      </w:r>
      <w:r w:rsidR="00B71F81" w:rsidRPr="00224CAF">
        <w:rPr>
          <w:rFonts w:cstheme="minorHAnsi"/>
        </w:rPr>
        <w:t xml:space="preserve"> faible chez les patients avec VCE normale et chez ceux pour lesquels une modification thérapeutique a été faite. Enfin</w:t>
      </w:r>
      <w:r w:rsidR="00387B61" w:rsidRPr="00224CAF">
        <w:rPr>
          <w:rFonts w:cstheme="minorHAnsi"/>
        </w:rPr>
        <w:t>,</w:t>
      </w:r>
      <w:r w:rsidR="00B71F81" w:rsidRPr="00224CAF">
        <w:rPr>
          <w:rFonts w:cstheme="minorHAnsi"/>
        </w:rPr>
        <w:t xml:space="preserve"> environ 45% des patients n’ont pas eu de modification de l’attitude thérapeutique ni de récidive. </w:t>
      </w:r>
    </w:p>
    <w:p w14:paraId="62B461BD" w14:textId="292C7363" w:rsidR="00B71F81" w:rsidRPr="00224CAF" w:rsidRDefault="00B71F81" w:rsidP="00B71F81">
      <w:pPr>
        <w:spacing w:line="240" w:lineRule="auto"/>
        <w:jc w:val="both"/>
        <w:rPr>
          <w:rFonts w:cstheme="minorHAnsi"/>
        </w:rPr>
      </w:pPr>
      <w:r w:rsidRPr="00224CAF">
        <w:rPr>
          <w:rFonts w:cstheme="minorHAnsi"/>
        </w:rPr>
        <w:t>Conclusions</w:t>
      </w:r>
    </w:p>
    <w:p w14:paraId="3D16829A" w14:textId="75115B0C" w:rsidR="00B71F81" w:rsidRPr="00224CAF" w:rsidRDefault="00B71F81" w:rsidP="00B71F81">
      <w:pPr>
        <w:spacing w:line="240" w:lineRule="auto"/>
        <w:jc w:val="both"/>
        <w:rPr>
          <w:rFonts w:cstheme="minorHAnsi"/>
        </w:rPr>
      </w:pPr>
      <w:r w:rsidRPr="00224CAF">
        <w:rPr>
          <w:rFonts w:cstheme="minorHAnsi"/>
        </w:rPr>
        <w:t xml:space="preserve">La VCE débouche sur une modification thérapeutique chez environ 40% des patients avec dans la foulée un faible risque de </w:t>
      </w:r>
      <w:r w:rsidR="005C5A50" w:rsidRPr="00224CAF">
        <w:rPr>
          <w:rFonts w:cstheme="minorHAnsi"/>
        </w:rPr>
        <w:t>récidive.</w:t>
      </w:r>
      <w:r w:rsidRPr="00224CAF">
        <w:rPr>
          <w:rFonts w:cstheme="minorHAnsi"/>
        </w:rPr>
        <w:t xml:space="preserve"> Par contre, la VCE pourrait être évitée chez certains patients comme en témoigne un sous-groupe représentant 45% des patients pour lesquels il n’y a eu ni modification thérapeutique ni rechute. </w:t>
      </w:r>
    </w:p>
    <w:p w14:paraId="239D19DA" w14:textId="77777777" w:rsidR="00B71F81" w:rsidRPr="00224CAF" w:rsidRDefault="00B71F81" w:rsidP="00B71F81">
      <w:pPr>
        <w:spacing w:line="240" w:lineRule="auto"/>
        <w:jc w:val="both"/>
        <w:rPr>
          <w:rFonts w:cstheme="minorHAnsi"/>
          <w:b/>
          <w:bCs/>
          <w:i/>
          <w:iCs/>
          <w:lang w:val="en-US"/>
        </w:rPr>
      </w:pPr>
      <w:r w:rsidRPr="00224CAF">
        <w:rPr>
          <w:rFonts w:cstheme="minorHAnsi"/>
          <w:b/>
          <w:bCs/>
          <w:i/>
          <w:iCs/>
          <w:lang w:val="en-US"/>
        </w:rPr>
        <w:t>Abstract</w:t>
      </w:r>
    </w:p>
    <w:p w14:paraId="5CF573BF" w14:textId="77777777" w:rsidR="00B71F81" w:rsidRPr="00224CAF" w:rsidRDefault="00B71F81" w:rsidP="00B71F81">
      <w:pPr>
        <w:spacing w:line="240" w:lineRule="auto"/>
        <w:jc w:val="both"/>
        <w:rPr>
          <w:rFonts w:cstheme="minorHAnsi"/>
          <w:lang w:val="en-US"/>
        </w:rPr>
      </w:pPr>
      <w:r w:rsidRPr="00224CAF">
        <w:rPr>
          <w:rFonts w:cstheme="minorHAnsi"/>
          <w:lang w:val="en-US"/>
        </w:rPr>
        <w:t>Introduction: The small-bowel capsule endoscopy has been validated in the investigation of obscure gastrointestinal bleeding (OGIB). The aim of this study was to evaluate the clinical impact of VCE for OGIB in routine practice, in terms of subsequent management and the risk of rebleeding.</w:t>
      </w:r>
    </w:p>
    <w:p w14:paraId="4F663F07" w14:textId="77777777" w:rsidR="00B71F81" w:rsidRPr="00224CAF" w:rsidRDefault="00B71F81" w:rsidP="00B71F81">
      <w:pPr>
        <w:spacing w:line="240" w:lineRule="auto"/>
        <w:jc w:val="both"/>
        <w:rPr>
          <w:rFonts w:cstheme="minorHAnsi"/>
          <w:lang w:val="en-US"/>
        </w:rPr>
      </w:pPr>
      <w:r w:rsidRPr="00224CAF">
        <w:rPr>
          <w:rFonts w:cstheme="minorHAnsi"/>
          <w:lang w:val="en-US"/>
        </w:rPr>
        <w:t>Methods: Our retrospective study analyzed the VCE at the CHU of Liège from March 2016 to December 2019 (cohort of 110 patients with OGIB).</w:t>
      </w:r>
    </w:p>
    <w:p w14:paraId="208CC4D0" w14:textId="77777777" w:rsidR="00B71F81" w:rsidRPr="00224CAF" w:rsidRDefault="00B71F81" w:rsidP="00B71F81">
      <w:pPr>
        <w:spacing w:line="240" w:lineRule="auto"/>
        <w:jc w:val="both"/>
        <w:rPr>
          <w:rFonts w:cstheme="minorHAnsi"/>
          <w:lang w:val="en-US"/>
        </w:rPr>
      </w:pPr>
      <w:r w:rsidRPr="00224CAF">
        <w:rPr>
          <w:rFonts w:cstheme="minorHAnsi"/>
          <w:lang w:val="en-US"/>
        </w:rPr>
        <w:t>Results:  we found a diagnostic yield of 58%, a change in therapeutic attitude in 39% of patients and a recurrence rate of 22.5% (out of 102 patients followed at 2 years). The rate of rebleeding was particularly low in patients with normal VCE and in those for whom a therapeutic modification was made. Finally, about 45% of patients did not have any change in therapeutic attitude nor recurrence.</w:t>
      </w:r>
    </w:p>
    <w:p w14:paraId="53672E29" w14:textId="2171E1D7" w:rsidR="00B71F81" w:rsidRPr="00224CAF" w:rsidRDefault="00B71F81" w:rsidP="00B71F81">
      <w:pPr>
        <w:spacing w:line="240" w:lineRule="auto"/>
        <w:jc w:val="both"/>
        <w:rPr>
          <w:rFonts w:cstheme="minorHAnsi"/>
          <w:lang w:val="en-US"/>
        </w:rPr>
      </w:pPr>
      <w:r w:rsidRPr="00224CAF">
        <w:rPr>
          <w:rFonts w:cstheme="minorHAnsi"/>
          <w:lang w:val="en-US"/>
        </w:rPr>
        <w:t>Conclusion</w:t>
      </w:r>
      <w:r w:rsidR="00716B6E" w:rsidRPr="00224CAF">
        <w:rPr>
          <w:rFonts w:cstheme="minorHAnsi"/>
          <w:lang w:val="en-US"/>
        </w:rPr>
        <w:t>s</w:t>
      </w:r>
      <w:r w:rsidRPr="00224CAF">
        <w:rPr>
          <w:rFonts w:cstheme="minorHAnsi"/>
          <w:lang w:val="en-US"/>
        </w:rPr>
        <w:t>: VCE leads to a therapeutic modification in about 40% of patients with a low risk of relapse. On the other hand, VCE could be avoided in some patients as evidenced by a subgroup representing 45% of patients for whom there was no therapeutic modification nor recurrence.</w:t>
      </w:r>
    </w:p>
    <w:bookmarkEnd w:id="1"/>
    <w:p w14:paraId="3862C97D" w14:textId="45E20090" w:rsidR="00B71F81" w:rsidRPr="00224CAF" w:rsidRDefault="00B71F81" w:rsidP="00B71F81">
      <w:pPr>
        <w:spacing w:line="240" w:lineRule="auto"/>
        <w:jc w:val="both"/>
        <w:rPr>
          <w:rFonts w:cstheme="minorHAnsi"/>
          <w:b/>
          <w:bCs/>
          <w:sz w:val="24"/>
          <w:szCs w:val="24"/>
        </w:rPr>
      </w:pPr>
      <w:r w:rsidRPr="00224CAF">
        <w:rPr>
          <w:rFonts w:cstheme="minorHAnsi"/>
          <w:b/>
          <w:bCs/>
          <w:sz w:val="24"/>
          <w:szCs w:val="24"/>
        </w:rPr>
        <w:t xml:space="preserve">1. </w:t>
      </w:r>
      <w:r w:rsidR="005B54EC" w:rsidRPr="00224CAF">
        <w:rPr>
          <w:rFonts w:cstheme="minorHAnsi"/>
          <w:b/>
          <w:bCs/>
          <w:sz w:val="24"/>
          <w:szCs w:val="24"/>
        </w:rPr>
        <w:t>I</w:t>
      </w:r>
      <w:r w:rsidRPr="00224CAF">
        <w:rPr>
          <w:rFonts w:cstheme="minorHAnsi"/>
          <w:b/>
          <w:bCs/>
          <w:sz w:val="24"/>
          <w:szCs w:val="24"/>
        </w:rPr>
        <w:t>ntroduction</w:t>
      </w:r>
    </w:p>
    <w:p w14:paraId="40D89E25" w14:textId="52CF78A8" w:rsidR="00B71F81" w:rsidRPr="00224CAF" w:rsidRDefault="00B71F81" w:rsidP="00B71F81">
      <w:pPr>
        <w:spacing w:line="240" w:lineRule="auto"/>
        <w:jc w:val="both"/>
        <w:rPr>
          <w:rFonts w:cstheme="minorHAnsi"/>
        </w:rPr>
      </w:pPr>
      <w:r w:rsidRPr="00224CAF">
        <w:rPr>
          <w:rFonts w:cstheme="minorHAnsi"/>
        </w:rPr>
        <w:t xml:space="preserve">La </w:t>
      </w:r>
      <w:r w:rsidR="00302CC4" w:rsidRPr="00224CAF">
        <w:rPr>
          <w:rFonts w:cstheme="minorHAnsi"/>
        </w:rPr>
        <w:t>vidéocapsule grêle (</w:t>
      </w:r>
      <w:r w:rsidRPr="00224CAF">
        <w:rPr>
          <w:rFonts w:cstheme="minorHAnsi"/>
        </w:rPr>
        <w:t>VCE</w:t>
      </w:r>
      <w:r w:rsidR="00302CC4" w:rsidRPr="00224CAF">
        <w:rPr>
          <w:rFonts w:cstheme="minorHAnsi"/>
        </w:rPr>
        <w:t>)</w:t>
      </w:r>
      <w:r w:rsidRPr="00224CAF">
        <w:rPr>
          <w:rFonts w:cstheme="minorHAnsi"/>
        </w:rPr>
        <w:t xml:space="preserve"> est utilisée depuis une vingtaine d’années et occupe une place centrale dans l’exploration de l’intestin grêle et notamment des OGIB (1, 2, 3). L’OGIB est défini par un saignement (persistant ou récidivant) non expliqué par un bilan endoscopique initia</w:t>
      </w:r>
      <w:r w:rsidR="00EE2521" w:rsidRPr="00224CAF">
        <w:rPr>
          <w:rFonts w:cstheme="minorHAnsi"/>
        </w:rPr>
        <w:t>l e</w:t>
      </w:r>
      <w:r w:rsidRPr="00224CAF">
        <w:rPr>
          <w:rFonts w:cstheme="minorHAnsi"/>
        </w:rPr>
        <w:t xml:space="preserve">t est l’indication </w:t>
      </w:r>
      <w:r w:rsidRPr="00224CAF">
        <w:rPr>
          <w:rFonts w:cstheme="minorHAnsi"/>
        </w:rPr>
        <w:lastRenderedPageBreak/>
        <w:t>principale des VCE (1,4, 5). La place de la VCE dans l’exploration de l’intestin grêle est de plus en plus codifiée (6). Les modalités pratiques ont été récemment résumées par la ESGE</w:t>
      </w:r>
      <w:r w:rsidR="00716B6E" w:rsidRPr="00224CAF">
        <w:rPr>
          <w:rFonts w:cstheme="minorHAnsi"/>
        </w:rPr>
        <w:t xml:space="preserve"> (European Society of Gastrointestinal Endoscopy)</w:t>
      </w:r>
      <w:r w:rsidRPr="00224CAF">
        <w:rPr>
          <w:rFonts w:cstheme="minorHAnsi"/>
        </w:rPr>
        <w:t xml:space="preserve"> (4, 5, 7). Plusieurs études ont démontré les capacités diagnostiques de cet examen depuis le début des années 2000 (2, 8, 9). Au-delà du rôle diagnostic confirmé de la VCE dans les OGIB, il est important d’évaluer l’impact clinique concret de cet outil diagnostic. </w:t>
      </w:r>
      <w:r w:rsidR="00CF0008" w:rsidRPr="00224CAF">
        <w:rPr>
          <w:rFonts w:cstheme="minorHAnsi"/>
        </w:rPr>
        <w:t>Si p</w:t>
      </w:r>
      <w:r w:rsidRPr="00224CAF">
        <w:rPr>
          <w:rFonts w:cstheme="minorHAnsi"/>
        </w:rPr>
        <w:t>lusieurs études se sont intéressées au rendement diagnostic de l’examen ainsi qu’à l’impact thérapeutique secondaire (10)</w:t>
      </w:r>
      <w:r w:rsidR="00CF0008" w:rsidRPr="00224CAF">
        <w:rPr>
          <w:rFonts w:cstheme="minorHAnsi"/>
        </w:rPr>
        <w:t xml:space="preserve">, peu </w:t>
      </w:r>
      <w:r w:rsidRPr="00224CAF">
        <w:rPr>
          <w:rFonts w:cstheme="minorHAnsi"/>
        </w:rPr>
        <w:t>se sont intéressées à l’impact sur la récidive du saignement digestif (11). Le but de notre travail a été d’évaluer l’impact clinique de la réalisation d’une VCE pour OGIB en pratique courante, en termes de prise en charge diagnostique et thérapeutique ultérieure et de risque de récidive du saignement.</w:t>
      </w:r>
    </w:p>
    <w:p w14:paraId="5137D432" w14:textId="77777777" w:rsidR="00B71F81" w:rsidRPr="00224CAF" w:rsidRDefault="00B71F81" w:rsidP="00B71F81">
      <w:pPr>
        <w:spacing w:line="240" w:lineRule="auto"/>
        <w:jc w:val="both"/>
        <w:rPr>
          <w:rFonts w:cstheme="minorHAnsi"/>
          <w:b/>
          <w:bCs/>
          <w:sz w:val="24"/>
          <w:szCs w:val="24"/>
        </w:rPr>
      </w:pPr>
      <w:r w:rsidRPr="00224CAF">
        <w:rPr>
          <w:rFonts w:cstheme="minorHAnsi"/>
          <w:b/>
          <w:bCs/>
          <w:sz w:val="24"/>
          <w:szCs w:val="24"/>
        </w:rPr>
        <w:t>2. Patients et méthode</w:t>
      </w:r>
    </w:p>
    <w:p w14:paraId="65D46B70" w14:textId="77777777" w:rsidR="00B71F81" w:rsidRPr="00224CAF" w:rsidRDefault="00B71F81" w:rsidP="00B71F81">
      <w:pPr>
        <w:spacing w:line="240" w:lineRule="auto"/>
        <w:jc w:val="both"/>
        <w:rPr>
          <w:rFonts w:cstheme="minorHAnsi"/>
          <w:b/>
          <w:bCs/>
        </w:rPr>
      </w:pPr>
      <w:r w:rsidRPr="00224CAF">
        <w:rPr>
          <w:rFonts w:cstheme="minorHAnsi"/>
          <w:b/>
          <w:bCs/>
        </w:rPr>
        <w:t>2.1 Cohorte</w:t>
      </w:r>
    </w:p>
    <w:p w14:paraId="212A8965" w14:textId="584E4301" w:rsidR="00B71F81" w:rsidRPr="00224CAF" w:rsidRDefault="00B71F81" w:rsidP="00B71F81">
      <w:pPr>
        <w:spacing w:line="240" w:lineRule="auto"/>
        <w:jc w:val="both"/>
        <w:rPr>
          <w:rFonts w:cstheme="minorHAnsi"/>
        </w:rPr>
      </w:pPr>
      <w:r w:rsidRPr="00224CAF">
        <w:rPr>
          <w:rFonts w:cstheme="minorHAnsi"/>
        </w:rPr>
        <w:t>Cette étude est basée sur les données d’analyse rétrospective des dossiers médicaux. Sur l’ensemble des patients ayant réalisé une VCE de Mars 2016 à Décembre 2019 au CHU de Liège, nous avons exclu les dossiers médicaux avec manque de données et les VCE réalisées pour d’autres indication</w:t>
      </w:r>
      <w:r w:rsidR="00EE2521" w:rsidRPr="00224CAF">
        <w:rPr>
          <w:rFonts w:cstheme="minorHAnsi"/>
        </w:rPr>
        <w:t>s.</w:t>
      </w:r>
    </w:p>
    <w:p w14:paraId="77E5BC22" w14:textId="36E938FB" w:rsidR="00B71F81" w:rsidRPr="00224CAF" w:rsidRDefault="00B71F81" w:rsidP="00B71F81">
      <w:pPr>
        <w:spacing w:line="240" w:lineRule="auto"/>
        <w:jc w:val="both"/>
        <w:rPr>
          <w:rFonts w:cstheme="minorHAnsi"/>
        </w:rPr>
      </w:pPr>
      <w:r w:rsidRPr="00224CAF">
        <w:rPr>
          <w:rFonts w:cstheme="minorHAnsi"/>
        </w:rPr>
        <w:t>Les caractéristiques étudiées étaient l’âge, le sexe, les assuétudes (tabagisme actif ou ancien, consommation d’alcool actif ou ancien) et le traitement chronique du patient ciblant la prise d’anticoagulant (AC), la prise d’antiagrégant (AA), la prise d’inhibiteur de la pompe à proton</w:t>
      </w:r>
      <w:r w:rsidR="00716B6E" w:rsidRPr="00224CAF">
        <w:rPr>
          <w:rFonts w:cstheme="minorHAnsi"/>
        </w:rPr>
        <w:t>s</w:t>
      </w:r>
      <w:r w:rsidRPr="00224CAF">
        <w:rPr>
          <w:rFonts w:cstheme="minorHAnsi"/>
        </w:rPr>
        <w:t xml:space="preserve"> (IPP)</w:t>
      </w:r>
      <w:r w:rsidR="005C5A50" w:rsidRPr="00224CAF">
        <w:rPr>
          <w:rFonts w:cstheme="minorHAnsi"/>
        </w:rPr>
        <w:t>).</w:t>
      </w:r>
    </w:p>
    <w:p w14:paraId="436F5964" w14:textId="77777777" w:rsidR="00B71F81" w:rsidRPr="00224CAF" w:rsidRDefault="00B71F81" w:rsidP="00B71F81">
      <w:pPr>
        <w:spacing w:line="240" w:lineRule="auto"/>
        <w:jc w:val="both"/>
        <w:rPr>
          <w:rFonts w:cstheme="minorHAnsi"/>
        </w:rPr>
      </w:pPr>
      <w:r w:rsidRPr="00224CAF">
        <w:rPr>
          <w:rFonts w:cstheme="minorHAnsi"/>
        </w:rPr>
        <w:t xml:space="preserve">Nous avons également recensé les antécédents médicaux et chirurgicaux des patients, sur base des </w:t>
      </w:r>
      <w:r w:rsidRPr="00224CAF">
        <w:rPr>
          <w:rFonts w:cstheme="minorHAnsi"/>
          <w:strike/>
        </w:rPr>
        <w:t>données reprises dans les</w:t>
      </w:r>
      <w:r w:rsidRPr="00224CAF">
        <w:rPr>
          <w:rFonts w:cstheme="minorHAnsi"/>
        </w:rPr>
        <w:t xml:space="preserve"> dossiers médicaux : </w:t>
      </w:r>
    </w:p>
    <w:p w14:paraId="21C520AE" w14:textId="78DC3EDC" w:rsidR="00B71F81" w:rsidRPr="00224CAF" w:rsidRDefault="00B71F81" w:rsidP="00B71F81">
      <w:pPr>
        <w:spacing w:line="240" w:lineRule="auto"/>
        <w:jc w:val="both"/>
        <w:rPr>
          <w:rFonts w:cstheme="minorHAnsi"/>
        </w:rPr>
      </w:pPr>
      <w:r w:rsidRPr="00224CAF">
        <w:rPr>
          <w:rFonts w:cstheme="minorHAnsi"/>
        </w:rPr>
        <w:t>- les antécédents gastroentérologiques : antécédent d’hémorragie digestive (HD) préalable à l’épisode actuel, présence d’une insuffisance hépatique, présence d’une hépatopathie sans insuffisance hépatique, hernie hiatale connue, antécédent avéré de maladie ulcéreuse oeso-gastro-duodénale, antécédent de chirurgie colique, présence d’une maladie inflammatoire de l'intestin (active ou chronique)</w:t>
      </w:r>
      <w:r w:rsidR="00716B6E" w:rsidRPr="00224CAF">
        <w:rPr>
          <w:rFonts w:cstheme="minorHAnsi"/>
        </w:rPr>
        <w:t>,</w:t>
      </w:r>
      <w:r w:rsidRPr="00224CAF">
        <w:rPr>
          <w:rFonts w:cstheme="minorHAnsi"/>
        </w:rPr>
        <w:t xml:space="preserve"> antécédents d’angiodysplasies</w:t>
      </w:r>
      <w:r w:rsidR="005C5A50" w:rsidRPr="00224CAF">
        <w:rPr>
          <w:rFonts w:cstheme="minorHAnsi"/>
        </w:rPr>
        <w:t>.</w:t>
      </w:r>
    </w:p>
    <w:p w14:paraId="46D7E012" w14:textId="47081215" w:rsidR="00953A9E" w:rsidRPr="00224CAF" w:rsidRDefault="00953A9E" w:rsidP="00953A9E">
      <w:pPr>
        <w:spacing w:line="240" w:lineRule="auto"/>
        <w:jc w:val="both"/>
        <w:rPr>
          <w:rFonts w:cstheme="minorHAnsi"/>
        </w:rPr>
      </w:pPr>
      <w:r w:rsidRPr="00224CAF">
        <w:rPr>
          <w:rFonts w:cstheme="minorHAnsi"/>
        </w:rPr>
        <w:t>- les antécédents cardiovasculaires (CV) : présence d’un diabète, d’une FA, d’une pathologie vasculaire sévère (cardiopathie ischémique traitée par dilatation, stenting ou pontage coronarien et cardiopathie complexe avec assistance ventriculaire gauche, une pathologie vasculaire des vaisseaux du cou (carotides ou sous clavières) ayant nécessité une prise en charge endovasculaire, un antécédent d’AIT ou d’AVC ischémique, une pathologie vasculaire des membres inférieurs oblitérante ayant nécessité une prise en charge chirurgicale par dilatation ou pontage, un anévrysme de l’aorte thoracique ou abdominal traité chirurgicalement ou en surveillance rapprochée), la présence d’une cardiopathie valvulaire, un antécédent d’évènement thromboembolique, un antécédent d’accident vasculaire cérébral, la présence d’une sténose aortique (modérée à sévère), la mise en place d’un pacemaker, un antécédent de remplacement de valve aortique, un antécédent de fermeture percutanée de l’auricule, la présence d’une pompe cardiaque externe.</w:t>
      </w:r>
    </w:p>
    <w:p w14:paraId="281547F2" w14:textId="5FC829E4" w:rsidR="00B71F81" w:rsidRPr="00224CAF" w:rsidRDefault="00EE2521" w:rsidP="00B71F81">
      <w:pPr>
        <w:spacing w:line="240" w:lineRule="auto"/>
        <w:jc w:val="both"/>
        <w:rPr>
          <w:rFonts w:cstheme="minorHAnsi"/>
          <w:b/>
          <w:bCs/>
        </w:rPr>
      </w:pPr>
      <w:r w:rsidRPr="00224CAF">
        <w:rPr>
          <w:rFonts w:cstheme="minorHAnsi"/>
          <w:b/>
          <w:bCs/>
        </w:rPr>
        <w:t xml:space="preserve">2.2 Préparation, administration </w:t>
      </w:r>
      <w:r w:rsidR="00953A9E" w:rsidRPr="00224CAF">
        <w:rPr>
          <w:rFonts w:cstheme="minorHAnsi"/>
          <w:b/>
          <w:bCs/>
        </w:rPr>
        <w:t>et lectur</w:t>
      </w:r>
      <w:r w:rsidRPr="00224CAF">
        <w:rPr>
          <w:rFonts w:cstheme="minorHAnsi"/>
          <w:b/>
          <w:bCs/>
        </w:rPr>
        <w:t>e</w:t>
      </w:r>
    </w:p>
    <w:p w14:paraId="5375CF0D" w14:textId="1B82761E" w:rsidR="00B71F81" w:rsidRPr="00224CAF" w:rsidRDefault="00B71F81" w:rsidP="00B71F81">
      <w:pPr>
        <w:spacing w:line="240" w:lineRule="auto"/>
        <w:jc w:val="both"/>
        <w:rPr>
          <w:rFonts w:cstheme="minorHAnsi"/>
        </w:rPr>
      </w:pPr>
      <w:r w:rsidRPr="00224CAF">
        <w:rPr>
          <w:rFonts w:cstheme="minorHAnsi"/>
        </w:rPr>
        <w:t xml:space="preserve">Une information exhaustive (en consultation ou durant l’hospitalisation) ainsi qu’un consentement éclairé écrit pour la procédure ont été réalisés chez chaque patient. Une préparation colique par 1,5L de Moviprep (Macrogol) et un régime strict sans fibres ont été administrés la veille de l’examen. </w:t>
      </w:r>
      <w:r w:rsidR="00953A9E" w:rsidRPr="00224CAF">
        <w:rPr>
          <w:rFonts w:cstheme="minorHAnsi"/>
        </w:rPr>
        <w:t>L</w:t>
      </w:r>
      <w:r w:rsidRPr="00224CAF">
        <w:rPr>
          <w:rFonts w:cstheme="minorHAnsi"/>
        </w:rPr>
        <w:t>e contrôle de cette préparation et l’administration de la VCE ont été effectués par un infirmier formé de l’équipe de gastro-entérologie.</w:t>
      </w:r>
    </w:p>
    <w:p w14:paraId="16E5E8EA" w14:textId="09ACFADD" w:rsidR="00B71F81" w:rsidRPr="00224CAF" w:rsidRDefault="00B71F81" w:rsidP="00B71F81">
      <w:pPr>
        <w:spacing w:line="240" w:lineRule="auto"/>
        <w:jc w:val="both"/>
        <w:rPr>
          <w:rFonts w:cstheme="minorHAnsi"/>
        </w:rPr>
      </w:pPr>
      <w:r w:rsidRPr="00224CAF">
        <w:rPr>
          <w:rFonts w:cstheme="minorHAnsi"/>
        </w:rPr>
        <w:t xml:space="preserve">Nous avons utilisé le système PillCam (MedTronic) qui permet une étude du tube digestif durant 8h. Les informations sont recueillies sur un boitier installé sur une ceinture portée par le patient. Réception du matériel de lecture par un infirmier formé et lecture de la vidéo par un membre de l’équipe de </w:t>
      </w:r>
      <w:r w:rsidRPr="00224CAF">
        <w:rPr>
          <w:rFonts w:cstheme="minorHAnsi"/>
        </w:rPr>
        <w:lastRenderedPageBreak/>
        <w:t>gastro-entérologie, sous la supervision d’un gastro-entérologue formé dans l’exploration de l’intestin grêle, ayant 10 ans d’expérience dans le domaine</w:t>
      </w:r>
      <w:r w:rsidR="00EE2521" w:rsidRPr="00224CAF">
        <w:rPr>
          <w:rFonts w:cstheme="minorHAnsi"/>
        </w:rPr>
        <w:t>.</w:t>
      </w:r>
    </w:p>
    <w:p w14:paraId="0D2519D3" w14:textId="4F979801" w:rsidR="00B71F81" w:rsidRPr="00224CAF" w:rsidRDefault="00B71F81" w:rsidP="00B71F81">
      <w:pPr>
        <w:spacing w:line="240" w:lineRule="auto"/>
        <w:jc w:val="both"/>
        <w:rPr>
          <w:rFonts w:cstheme="minorHAnsi"/>
          <w:b/>
          <w:bCs/>
        </w:rPr>
      </w:pPr>
      <w:r w:rsidRPr="00224CAF">
        <w:rPr>
          <w:rFonts w:cstheme="minorHAnsi"/>
          <w:b/>
          <w:bCs/>
        </w:rPr>
        <w:t>2.4</w:t>
      </w:r>
      <w:r w:rsidR="00EE2521" w:rsidRPr="00224CAF">
        <w:rPr>
          <w:rStyle w:val="Marquedecommentaire"/>
        </w:rPr>
        <w:t xml:space="preserve"> I</w:t>
      </w:r>
      <w:r w:rsidRPr="00224CAF">
        <w:rPr>
          <w:rFonts w:cstheme="minorHAnsi"/>
          <w:b/>
          <w:bCs/>
        </w:rPr>
        <w:t>ndications et résultats de la VCE</w:t>
      </w:r>
    </w:p>
    <w:p w14:paraId="635C6BB2" w14:textId="0574FC82" w:rsidR="00B71F81" w:rsidRPr="00224CAF" w:rsidRDefault="00B71F81" w:rsidP="00B71F81">
      <w:pPr>
        <w:spacing w:line="240" w:lineRule="auto"/>
        <w:jc w:val="both"/>
        <w:rPr>
          <w:rFonts w:cstheme="minorHAnsi"/>
        </w:rPr>
      </w:pPr>
      <w:r w:rsidRPr="00224CAF">
        <w:rPr>
          <w:rFonts w:cstheme="minorHAnsi"/>
        </w:rPr>
        <w:t xml:space="preserve">L’indication de l’examen a été </w:t>
      </w:r>
      <w:r w:rsidR="00DB2143" w:rsidRPr="00224CAF">
        <w:rPr>
          <w:rFonts w:cstheme="minorHAnsi"/>
        </w:rPr>
        <w:t>relevée</w:t>
      </w:r>
      <w:r w:rsidRPr="00224CAF">
        <w:rPr>
          <w:rFonts w:cstheme="minorHAnsi"/>
        </w:rPr>
        <w:t xml:space="preserve">. Nous avons également recensé les examens endoscopiques réalisés au préalable (gastroscopie et colonoscopie). Les résultats de lecture de la VCE par le gastroentérologue ont été classés en examens normaux et examens anormaux. Dans les examens anormaux, nous avons décrit le type de lésion retrouvée (angiodysplasies, érosions et les autres lésions (pétéchies, érythème, ulcères/inflammation, saignement sans lésion visualisée, angiome bénin, télangiectasie, tuméfaction, traces de sang)). </w:t>
      </w:r>
    </w:p>
    <w:p w14:paraId="6B9C86C5" w14:textId="77777777" w:rsidR="00B71F81" w:rsidRPr="00224CAF" w:rsidRDefault="00B71F81" w:rsidP="00B71F81">
      <w:pPr>
        <w:spacing w:line="240" w:lineRule="auto"/>
        <w:jc w:val="both"/>
        <w:rPr>
          <w:rFonts w:cstheme="minorHAnsi"/>
          <w:b/>
          <w:bCs/>
        </w:rPr>
      </w:pPr>
      <w:r w:rsidRPr="00224CAF">
        <w:rPr>
          <w:rFonts w:cstheme="minorHAnsi"/>
          <w:b/>
          <w:bCs/>
        </w:rPr>
        <w:t>2.5 Attitude thérapeutique</w:t>
      </w:r>
    </w:p>
    <w:p w14:paraId="6EEB1E1D" w14:textId="7872E5E9" w:rsidR="00B71F81" w:rsidRPr="00224CAF" w:rsidRDefault="00B71F81" w:rsidP="00B71F81">
      <w:pPr>
        <w:spacing w:line="240" w:lineRule="auto"/>
        <w:jc w:val="both"/>
        <w:rPr>
          <w:rFonts w:cstheme="minorHAnsi"/>
        </w:rPr>
      </w:pPr>
      <w:r w:rsidRPr="00224CAF">
        <w:rPr>
          <w:rFonts w:cstheme="minorHAnsi"/>
        </w:rPr>
        <w:t>Nous avons répertorié les modifications de prise en charge médicale ou chirurgicale dans les suites de l’examen par VCE : prise en charge endoscopique à visée thérapeutique, modification du traitement chronique du patient, décision conjointe d’entamer une fermeture percutanée de l’auricule (afin d’arrêter définitivement un AC), chirurgie anti-reflux</w:t>
      </w:r>
      <w:r w:rsidR="00DB2143" w:rsidRPr="00224CAF">
        <w:rPr>
          <w:rFonts w:cstheme="minorHAnsi"/>
        </w:rPr>
        <w:t xml:space="preserve"> et </w:t>
      </w:r>
      <w:r w:rsidRPr="00224CAF">
        <w:rPr>
          <w:rFonts w:cstheme="minorHAnsi"/>
        </w:rPr>
        <w:t>prise en charge en hématologie.</w:t>
      </w:r>
    </w:p>
    <w:p w14:paraId="4CEF23C3" w14:textId="77777777" w:rsidR="00B71F81" w:rsidRPr="00224CAF" w:rsidRDefault="00B71F81" w:rsidP="00B71F81">
      <w:pPr>
        <w:spacing w:line="240" w:lineRule="auto"/>
        <w:jc w:val="both"/>
        <w:rPr>
          <w:rFonts w:cstheme="minorHAnsi"/>
          <w:b/>
          <w:bCs/>
        </w:rPr>
      </w:pPr>
      <w:r w:rsidRPr="00224CAF">
        <w:rPr>
          <w:rFonts w:cstheme="minorHAnsi"/>
          <w:b/>
          <w:bCs/>
        </w:rPr>
        <w:t>2.6 Récidive</w:t>
      </w:r>
    </w:p>
    <w:p w14:paraId="0D3BD8F8" w14:textId="39A8F3A6" w:rsidR="00B71F81" w:rsidRPr="00224CAF" w:rsidRDefault="00B71F81" w:rsidP="00B71F81">
      <w:pPr>
        <w:spacing w:line="240" w:lineRule="auto"/>
        <w:jc w:val="both"/>
        <w:rPr>
          <w:rFonts w:cstheme="minorHAnsi"/>
        </w:rPr>
      </w:pPr>
      <w:r w:rsidRPr="00224CAF">
        <w:rPr>
          <w:rFonts w:cstheme="minorHAnsi"/>
        </w:rPr>
        <w:t xml:space="preserve">Sur l’ensemble de la cohorte, nous avons recensé l’ensemble des patients ayant récidivé soit une anémie (hémoglobine &lt; 12g/dL), soit une extériorisation sanguine (méléna ou rectorragie) endéans les 2 ans post-VCE (suivi maximal de 2 ans). </w:t>
      </w:r>
      <w:r w:rsidR="00953A9E" w:rsidRPr="00224CAF">
        <w:rPr>
          <w:rFonts w:cstheme="minorHAnsi"/>
        </w:rPr>
        <w:t>N</w:t>
      </w:r>
      <w:r w:rsidRPr="00224CAF">
        <w:rPr>
          <w:rFonts w:cstheme="minorHAnsi"/>
        </w:rPr>
        <w:t>ous avons également analysé la prise en charge médicale de cette récidive.</w:t>
      </w:r>
    </w:p>
    <w:p w14:paraId="4BFF4F80" w14:textId="77777777" w:rsidR="00B71F81" w:rsidRPr="00224CAF" w:rsidRDefault="00B71F81" w:rsidP="00B71F81">
      <w:pPr>
        <w:spacing w:line="240" w:lineRule="auto"/>
        <w:jc w:val="both"/>
        <w:rPr>
          <w:rFonts w:cstheme="minorHAnsi"/>
          <w:b/>
          <w:bCs/>
        </w:rPr>
      </w:pPr>
      <w:r w:rsidRPr="00224CAF">
        <w:rPr>
          <w:rFonts w:cstheme="minorHAnsi"/>
          <w:b/>
          <w:bCs/>
        </w:rPr>
        <w:t>2.7 Méthodes statistiques</w:t>
      </w:r>
    </w:p>
    <w:p w14:paraId="1C99BE30" w14:textId="77777777" w:rsidR="00B71F81" w:rsidRPr="00224CAF" w:rsidRDefault="00B71F81" w:rsidP="00B71F81">
      <w:pPr>
        <w:spacing w:line="240" w:lineRule="auto"/>
        <w:jc w:val="both"/>
        <w:rPr>
          <w:rFonts w:cstheme="minorHAnsi"/>
        </w:rPr>
      </w:pPr>
      <w:r w:rsidRPr="00224CAF">
        <w:rPr>
          <w:rFonts w:cstheme="minorHAnsi"/>
        </w:rPr>
        <w:t>Les résultats sont présentés sous forme de moyennes, écarts-type (SD), quartiles (médiane, Q1, Q3) et extrêmes pour les variables continues et sous forme de tables de fréquences pour les variables qualitatives. L’étude des facteurs associés à une modification de la prise en charge et associés à la récidive du saignement a été réalisée à l’aide de la régression logistique. Lorsque c’était nécessaire (problème mathématique), on a appliqué la correction de Firth. Les analyses ont été faites en uni- et en multivarié. Dans ce cas, la sélection stepwise a été appliquée aux paramètres dont la p-value était inférieure à 0.10 en univarié. Les résultats sont considérés comme significatifs au niveau d’incertitude de 5% (p&lt;0.05). Les calculs ont été réalisés à l’aide de SAS version 9.4.</w:t>
      </w:r>
    </w:p>
    <w:p w14:paraId="5122055D" w14:textId="77777777" w:rsidR="00B71F81" w:rsidRPr="00224CAF" w:rsidRDefault="00B71F81" w:rsidP="00B71F81">
      <w:pPr>
        <w:spacing w:line="240" w:lineRule="auto"/>
        <w:jc w:val="both"/>
        <w:rPr>
          <w:rFonts w:cstheme="minorHAnsi"/>
          <w:b/>
          <w:bCs/>
          <w:sz w:val="24"/>
          <w:szCs w:val="24"/>
        </w:rPr>
      </w:pPr>
      <w:r w:rsidRPr="00224CAF">
        <w:rPr>
          <w:rFonts w:cstheme="minorHAnsi"/>
          <w:b/>
          <w:bCs/>
          <w:sz w:val="24"/>
          <w:szCs w:val="24"/>
        </w:rPr>
        <w:t>3. Résultats</w:t>
      </w:r>
    </w:p>
    <w:p w14:paraId="21349708" w14:textId="77777777" w:rsidR="00B71F81" w:rsidRPr="00224CAF" w:rsidRDefault="00B71F81" w:rsidP="00B71F81">
      <w:pPr>
        <w:spacing w:line="240" w:lineRule="auto"/>
        <w:jc w:val="both"/>
        <w:rPr>
          <w:rFonts w:cstheme="minorHAnsi"/>
          <w:b/>
          <w:bCs/>
        </w:rPr>
      </w:pPr>
      <w:r w:rsidRPr="00224CAF">
        <w:rPr>
          <w:rFonts w:cstheme="minorHAnsi"/>
          <w:b/>
          <w:bCs/>
        </w:rPr>
        <w:t>3.1 Cohorte</w:t>
      </w:r>
    </w:p>
    <w:p w14:paraId="7992C400" w14:textId="4950418D" w:rsidR="00B71F81" w:rsidRPr="00224CAF" w:rsidRDefault="00B71F81" w:rsidP="00B71F81">
      <w:pPr>
        <w:spacing w:line="240" w:lineRule="auto"/>
        <w:jc w:val="both"/>
        <w:rPr>
          <w:rFonts w:cstheme="minorHAnsi"/>
        </w:rPr>
      </w:pPr>
      <w:r w:rsidRPr="00224CAF">
        <w:rPr>
          <w:rFonts w:cstheme="minorHAnsi"/>
        </w:rPr>
        <w:t xml:space="preserve">Sur les 126 patients ayant réalisé un VCE entre Mars 2016 et Décembre 2019, nous avons exclu 13 patients par manque de données et 3 patients </w:t>
      </w:r>
      <w:r w:rsidR="00E27C84" w:rsidRPr="00224CAF">
        <w:rPr>
          <w:rFonts w:cstheme="minorHAnsi"/>
        </w:rPr>
        <w:t xml:space="preserve">pour lesquels la VCE était prescrite pour une indication autre qu’un saignement digestif </w:t>
      </w:r>
      <w:r w:rsidRPr="00224CAF">
        <w:rPr>
          <w:rFonts w:cstheme="minorHAnsi"/>
        </w:rPr>
        <w:t>(1 pour exploration de douleurs abdominales et 2 pour mise au point de lésion grêle suspectée en imagerie). Les caractéristiques de la cohorte de 110 patients sont reprises dans le tableau 1</w:t>
      </w:r>
      <w:r w:rsidR="00EE2521" w:rsidRPr="00224CAF">
        <w:rPr>
          <w:rFonts w:cstheme="minorHAnsi"/>
        </w:rPr>
        <w:t>.</w:t>
      </w:r>
    </w:p>
    <w:p w14:paraId="0E7639C0" w14:textId="77777777" w:rsidR="00B71F81" w:rsidRPr="00224CAF" w:rsidRDefault="00B71F81" w:rsidP="00B71F81">
      <w:pPr>
        <w:spacing w:line="240" w:lineRule="auto"/>
        <w:jc w:val="both"/>
        <w:rPr>
          <w:rFonts w:cstheme="minorHAnsi"/>
          <w:b/>
          <w:bCs/>
        </w:rPr>
      </w:pPr>
      <w:r w:rsidRPr="00224CAF">
        <w:rPr>
          <w:rFonts w:cstheme="minorHAnsi"/>
          <w:b/>
          <w:bCs/>
        </w:rPr>
        <w:t>3.2 Examen par vidéocapsule et attitude thérapeutique secondaire</w:t>
      </w:r>
    </w:p>
    <w:p w14:paraId="68923711" w14:textId="4E424B29" w:rsidR="00B71F81" w:rsidRPr="00224CAF" w:rsidRDefault="00B71F81" w:rsidP="00B71F81">
      <w:pPr>
        <w:spacing w:line="240" w:lineRule="auto"/>
        <w:jc w:val="both"/>
        <w:rPr>
          <w:rFonts w:cstheme="minorHAnsi"/>
        </w:rPr>
      </w:pPr>
      <w:r w:rsidRPr="00224CAF">
        <w:rPr>
          <w:rFonts w:cstheme="minorHAnsi"/>
        </w:rPr>
        <w:t xml:space="preserve">Les indications à la réalisation de la VCE sont reprises dans le tableau </w:t>
      </w:r>
      <w:r w:rsidR="00224CAF">
        <w:rPr>
          <w:rFonts w:cstheme="minorHAnsi"/>
        </w:rPr>
        <w:t>2</w:t>
      </w:r>
      <w:r w:rsidRPr="00224CAF">
        <w:rPr>
          <w:rFonts w:cstheme="minorHAnsi"/>
        </w:rPr>
        <w:t>. Tous des patients ont réalisé une gastroscopie au préalable, dont 79 (71.8%) furent sans particularité, 11 (10%) ont détecté une hernie hiatale significative</w:t>
      </w:r>
      <w:r w:rsidR="00B113B2" w:rsidRPr="00224CAF">
        <w:rPr>
          <w:rFonts w:cstheme="minorHAnsi"/>
        </w:rPr>
        <w:t xml:space="preserve">, </w:t>
      </w:r>
      <w:r w:rsidRPr="00224CAF">
        <w:rPr>
          <w:rFonts w:cstheme="minorHAnsi"/>
        </w:rPr>
        <w:t>7 (6.4%)</w:t>
      </w:r>
      <w:r w:rsidR="00EE2521" w:rsidRPr="00224CAF">
        <w:rPr>
          <w:rStyle w:val="Marquedecommentaire"/>
        </w:rPr>
        <w:t xml:space="preserve"> </w:t>
      </w:r>
      <w:r w:rsidR="00EE2521" w:rsidRPr="00224CAF">
        <w:rPr>
          <w:rFonts w:cstheme="minorHAnsi"/>
        </w:rPr>
        <w:t>ont</w:t>
      </w:r>
      <w:r w:rsidRPr="00224CAF">
        <w:rPr>
          <w:rFonts w:cstheme="minorHAnsi"/>
        </w:rPr>
        <w:t xml:space="preserve"> montré des angiodysplasies au niveau gastrique ou duodénal</w:t>
      </w:r>
      <w:r w:rsidR="00B113B2" w:rsidRPr="00224CAF">
        <w:rPr>
          <w:rFonts w:cstheme="minorHAnsi"/>
        </w:rPr>
        <w:t>, 4 (3,6%) une maladie ulcéro-irritative non hémorragique et 9 (8,2%) des signes d’hypertension portale non hémorragiques</w:t>
      </w:r>
      <w:r w:rsidRPr="00224CAF">
        <w:rPr>
          <w:rFonts w:cstheme="minorHAnsi"/>
        </w:rPr>
        <w:t xml:space="preserve">. Sur les 109 patients ayant eu une colonoscopie </w:t>
      </w:r>
      <w:r w:rsidR="00B113B2" w:rsidRPr="00224CAF">
        <w:rPr>
          <w:rFonts w:cstheme="minorHAnsi"/>
        </w:rPr>
        <w:t xml:space="preserve">(dont 2 </w:t>
      </w:r>
      <w:r w:rsidR="001E49F2" w:rsidRPr="00224CAF">
        <w:rPr>
          <w:rFonts w:cstheme="minorHAnsi"/>
        </w:rPr>
        <w:t>patient</w:t>
      </w:r>
      <w:r w:rsidR="00B113B2" w:rsidRPr="00224CAF">
        <w:rPr>
          <w:rFonts w:cstheme="minorHAnsi"/>
        </w:rPr>
        <w:t>s</w:t>
      </w:r>
      <w:r w:rsidR="001E49F2" w:rsidRPr="00224CAF">
        <w:rPr>
          <w:rFonts w:cstheme="minorHAnsi"/>
        </w:rPr>
        <w:t xml:space="preserve"> ayant bénéficié d’une colonoscopie partielle couplée à une colonoscopie virtuelle)</w:t>
      </w:r>
      <w:r w:rsidRPr="00224CAF">
        <w:rPr>
          <w:rFonts w:cstheme="minorHAnsi"/>
        </w:rPr>
        <w:t>, 93 (85.3%) avaient une exploration colique normale, 6 (5.5%) un saignement sans cause objectivée (suspectant une origine grêle)</w:t>
      </w:r>
      <w:r w:rsidR="00B113B2" w:rsidRPr="00224CAF">
        <w:rPr>
          <w:rFonts w:cstheme="minorHAnsi"/>
        </w:rPr>
        <w:t xml:space="preserve">, </w:t>
      </w:r>
      <w:r w:rsidRPr="00224CAF">
        <w:rPr>
          <w:rFonts w:cstheme="minorHAnsi"/>
        </w:rPr>
        <w:t xml:space="preserve">6 (5.5%) </w:t>
      </w:r>
      <w:r w:rsidRPr="00224CAF">
        <w:rPr>
          <w:rFonts w:cstheme="minorHAnsi"/>
        </w:rPr>
        <w:lastRenderedPageBreak/>
        <w:t>des angiodysplasies coliques droites</w:t>
      </w:r>
      <w:r w:rsidR="00B113B2" w:rsidRPr="00224CAF">
        <w:rPr>
          <w:rFonts w:cstheme="minorHAnsi"/>
        </w:rPr>
        <w:t xml:space="preserve"> (</w:t>
      </w:r>
      <w:r w:rsidRPr="00224CAF">
        <w:rPr>
          <w:rFonts w:cstheme="minorHAnsi"/>
        </w:rPr>
        <w:t>traitées à l’Argo</w:t>
      </w:r>
      <w:r w:rsidR="00B113B2" w:rsidRPr="00224CAF">
        <w:rPr>
          <w:rFonts w:cstheme="minorHAnsi"/>
        </w:rPr>
        <w:t>n), 1 (0,9%) un ulcère de Dieulafoy et 1 (0,9%) avait une colite aspécifique.</w:t>
      </w:r>
    </w:p>
    <w:p w14:paraId="4C57697B" w14:textId="1B0CA886" w:rsidR="00B71F81" w:rsidRPr="00224CAF" w:rsidRDefault="00B71F81" w:rsidP="00B71F81">
      <w:pPr>
        <w:jc w:val="both"/>
        <w:rPr>
          <w:rFonts w:cstheme="minorHAnsi"/>
        </w:rPr>
      </w:pPr>
      <w:r w:rsidRPr="00224CAF">
        <w:rPr>
          <w:rFonts w:cstheme="minorHAnsi"/>
        </w:rPr>
        <w:t xml:space="preserve">Le résultat des VCE ont été classés en VCE normales et anormales : sur l’ensemble de la cohorte, 45 </w:t>
      </w:r>
      <w:proofErr w:type="gramStart"/>
      <w:r w:rsidRPr="00224CAF">
        <w:rPr>
          <w:rFonts w:cstheme="minorHAnsi"/>
        </w:rPr>
        <w:t>patients</w:t>
      </w:r>
      <w:proofErr w:type="gramEnd"/>
      <w:r w:rsidRPr="00224CAF">
        <w:rPr>
          <w:rFonts w:cstheme="minorHAnsi"/>
        </w:rPr>
        <w:t xml:space="preserve"> avaient une VCE sans anomalie décrite (40.9%), 64 patients avaient une anomalie à l’examen (58%) et 1 VCE était ininterprétable. Le type de lésions retrouvées dans les VCE anormal est repris dans le tableau </w:t>
      </w:r>
      <w:r w:rsidR="00224CAF">
        <w:rPr>
          <w:rFonts w:cstheme="minorHAnsi"/>
        </w:rPr>
        <w:t>3</w:t>
      </w:r>
      <w:r w:rsidRPr="00224CAF">
        <w:rPr>
          <w:rFonts w:cstheme="minorHAnsi"/>
        </w:rPr>
        <w:t xml:space="preserve">. </w:t>
      </w:r>
    </w:p>
    <w:p w14:paraId="50767983" w14:textId="423B8DD7" w:rsidR="00B71F81" w:rsidRPr="00224CAF" w:rsidRDefault="00B71F81" w:rsidP="00B71F81">
      <w:pPr>
        <w:jc w:val="both"/>
        <w:rPr>
          <w:rFonts w:cstheme="minorHAnsi"/>
        </w:rPr>
      </w:pPr>
      <w:r w:rsidRPr="00224CAF">
        <w:rPr>
          <w:rFonts w:cstheme="minorHAnsi"/>
        </w:rPr>
        <w:t xml:space="preserve">Une modification d’attitude thérapeutique a été faite chez 43 patients (39%). Le détail du type de modification de la prise en charge est repris dans le tableau </w:t>
      </w:r>
      <w:r w:rsidR="00224CAF">
        <w:rPr>
          <w:rFonts w:cstheme="minorHAnsi"/>
        </w:rPr>
        <w:t>4</w:t>
      </w:r>
      <w:r w:rsidRPr="00224CAF">
        <w:rPr>
          <w:rFonts w:cstheme="minorHAnsi"/>
        </w:rPr>
        <w:t>.</w:t>
      </w:r>
    </w:p>
    <w:p w14:paraId="6C206AA8" w14:textId="4B8D9EA3" w:rsidR="00B71F81" w:rsidRPr="00224CAF" w:rsidRDefault="00B71F81" w:rsidP="00B71F81">
      <w:pPr>
        <w:spacing w:line="240" w:lineRule="auto"/>
        <w:jc w:val="both"/>
        <w:rPr>
          <w:rFonts w:cstheme="minorHAnsi"/>
        </w:rPr>
      </w:pPr>
      <w:r w:rsidRPr="00224CAF">
        <w:rPr>
          <w:rFonts w:cstheme="minorHAnsi"/>
        </w:rPr>
        <w:t>La figure 1</w:t>
      </w:r>
      <w:r w:rsidR="00EE2521" w:rsidRPr="00224CAF">
        <w:rPr>
          <w:rStyle w:val="Marquedecommentaire"/>
        </w:rPr>
        <w:t xml:space="preserve"> r</w:t>
      </w:r>
      <w:r w:rsidRPr="00224CAF">
        <w:rPr>
          <w:rFonts w:cstheme="minorHAnsi"/>
        </w:rPr>
        <w:t>eprend l’ensemble des patients pour lesquels l’attitude thérapeutique a été modifiée, en fonction du résultat (et du type de lésion) de la VCE.</w:t>
      </w:r>
    </w:p>
    <w:p w14:paraId="32A8A798" w14:textId="77777777" w:rsidR="00B71F81" w:rsidRPr="00224CAF" w:rsidRDefault="00B71F81" w:rsidP="00B71F81">
      <w:pPr>
        <w:adjustRightInd w:val="0"/>
        <w:spacing w:line="240" w:lineRule="auto"/>
        <w:jc w:val="both"/>
        <w:rPr>
          <w:rFonts w:cstheme="minorHAnsi"/>
        </w:rPr>
      </w:pPr>
      <w:r w:rsidRPr="00224CAF">
        <w:rPr>
          <w:rFonts w:cstheme="minorHAnsi"/>
        </w:rPr>
        <w:t xml:space="preserve">Si on analyse, en mode univarié, les caractéristiques des patients ayant une VCE anormale, le risque de VCE anormale augmentait avec l’âge (OR=1.04, p=0.0080), était plus élevé en cas d’antécédent CV (OR=3.12, p=0.0066), de FA (OR=4.29, p=0.029), de pathologie vasculaire sévère (OR=4.08, p=0.0024) ou si le taux d’hémoglobine était bas (OR=0.79, p=0.010). En modèle multivarié, parmi les paramètres inclus dans le modèle, seule la pathologie vasculaire sévère était significative (OR=4.08, p=0.0024). </w:t>
      </w:r>
    </w:p>
    <w:p w14:paraId="0B322FBD" w14:textId="5710A724" w:rsidR="00B71F81" w:rsidRPr="00224CAF" w:rsidRDefault="00B71F81" w:rsidP="00B71F81">
      <w:pPr>
        <w:spacing w:line="240" w:lineRule="auto"/>
        <w:jc w:val="both"/>
        <w:rPr>
          <w:rFonts w:cstheme="minorHAnsi"/>
        </w:rPr>
      </w:pPr>
      <w:r w:rsidRPr="00224CAF">
        <w:rPr>
          <w:rFonts w:cstheme="minorHAnsi"/>
        </w:rPr>
        <w:t>Lors de l’analyse des modifications de l’attitude thérapeutique (tout type de modification confondu) : on notait, en modèle univarié, une modification thérapeutique plus importante si la VCE était anormale (OR=2.66, p=0.020) ou si elle montrait des angiodysplasies (OR=2.78, p=0.013). Ce risque augmentait également en cas de prise d’AC (OR=3.24, p=0.0082), chez les patients présentant un antécédent CV (OR=4.29, p=0.0025), une FA (OR=4.33, p=0.0068) ou une pathologie vasculaire sévère (OR=2.98, p=0.0091). Au niveau multivarié, le taux de modification d’attitude thérapeutique était plus élevé en présence d’antécédent</w:t>
      </w:r>
      <w:r w:rsidR="00EB0779" w:rsidRPr="00224CAF">
        <w:rPr>
          <w:rFonts w:cstheme="minorHAnsi"/>
        </w:rPr>
        <w:t>s</w:t>
      </w:r>
      <w:r w:rsidRPr="00224CAF">
        <w:rPr>
          <w:rFonts w:cstheme="minorHAnsi"/>
        </w:rPr>
        <w:t xml:space="preserve"> CV (OR=4.25, p=0.0067) et diminuait en cas de présence de lésion lors de la colonoscopie (OR=0.18, p=0.028). </w:t>
      </w:r>
    </w:p>
    <w:p w14:paraId="1F5E1E02" w14:textId="77777777" w:rsidR="00B71F81" w:rsidRPr="00224CAF" w:rsidRDefault="00B71F81" w:rsidP="00B71F81">
      <w:pPr>
        <w:spacing w:line="240" w:lineRule="auto"/>
        <w:jc w:val="both"/>
        <w:rPr>
          <w:rFonts w:cstheme="minorHAnsi"/>
          <w:b/>
          <w:bCs/>
        </w:rPr>
      </w:pPr>
      <w:r w:rsidRPr="00224CAF">
        <w:rPr>
          <w:rFonts w:cstheme="minorHAnsi"/>
          <w:b/>
          <w:bCs/>
        </w:rPr>
        <w:t>3.3 Récidive</w:t>
      </w:r>
    </w:p>
    <w:p w14:paraId="78B1FCFA" w14:textId="77777777" w:rsidR="00B71F81" w:rsidRPr="00224CAF" w:rsidRDefault="00B71F81" w:rsidP="00B71F81">
      <w:pPr>
        <w:spacing w:line="240" w:lineRule="auto"/>
        <w:jc w:val="both"/>
        <w:rPr>
          <w:rFonts w:cstheme="minorHAnsi"/>
        </w:rPr>
      </w:pPr>
      <w:r w:rsidRPr="00224CAF">
        <w:rPr>
          <w:rFonts w:cstheme="minorHAnsi"/>
        </w:rPr>
        <w:t>Sur la cohorte de 110 patients, nous n’avons pu suivre à 2 ans post-VCE, 8 patients par manque de données. Sur les 102 patients suivis, 23 (22.5%) ont récidivé un saignement digestif endéans les 2 ans. La prise en charge de la récidive fut exclusivement endoscopique et a permis de retrouver des angiodysplasies chez 12 patients.</w:t>
      </w:r>
    </w:p>
    <w:p w14:paraId="5F43033F" w14:textId="4632568D" w:rsidR="00B71F81" w:rsidRPr="00224CAF" w:rsidRDefault="00B71F81" w:rsidP="00B71F81">
      <w:pPr>
        <w:spacing w:line="240" w:lineRule="auto"/>
        <w:jc w:val="both"/>
        <w:rPr>
          <w:rFonts w:cstheme="minorHAnsi"/>
        </w:rPr>
      </w:pPr>
      <w:r w:rsidRPr="00224CAF">
        <w:rPr>
          <w:rFonts w:cstheme="minorHAnsi"/>
        </w:rPr>
        <w:t xml:space="preserve">Si on s’intéresse aux patients ayant récidivés avec bilan par VCE initial sans particularité (45 patients), </w:t>
      </w:r>
      <w:r w:rsidR="00EE2521" w:rsidRPr="00224CAF">
        <w:rPr>
          <w:rFonts w:cstheme="minorHAnsi"/>
        </w:rPr>
        <w:t xml:space="preserve">5 </w:t>
      </w:r>
      <w:r w:rsidRPr="00224CAF">
        <w:rPr>
          <w:rFonts w:cstheme="minorHAnsi"/>
        </w:rPr>
        <w:t>n’ont pu être suivi par manque de donnée</w:t>
      </w:r>
      <w:r w:rsidR="00EB0779" w:rsidRPr="00224CAF">
        <w:rPr>
          <w:rFonts w:cstheme="minorHAnsi"/>
        </w:rPr>
        <w:t>s</w:t>
      </w:r>
      <w:r w:rsidRPr="00224CAF">
        <w:rPr>
          <w:rFonts w:cstheme="minorHAnsi"/>
        </w:rPr>
        <w:t>, 34 patients n’ont pas récidivé</w:t>
      </w:r>
      <w:r w:rsidRPr="00224CAF">
        <w:rPr>
          <w:rFonts w:cstheme="minorHAnsi"/>
          <w:strike/>
        </w:rPr>
        <w:t>s</w:t>
      </w:r>
      <w:r w:rsidRPr="00224CAF">
        <w:rPr>
          <w:rFonts w:cstheme="minorHAnsi"/>
        </w:rPr>
        <w:t xml:space="preserve"> (75% des 45 VCE normales ou 85% des 40 VCE normales suivis à 2 ans). Les 6 autres patients ont récidivé sous forme d’angiodysplasies (3), saignement diverticulaire (1), processus néoplasie colique (1), volumineuse hernie hiatale (1). Sur les VCE anormales, nous avons établi le suivi des patients par rapport à la présence ou non d’angiodysplasie sur la VCE initiale. Les résultats sont repris dans les graphiques 2a et 2b.</w:t>
      </w:r>
      <w:r w:rsidR="00EE2521" w:rsidRPr="00224CAF">
        <w:rPr>
          <w:rFonts w:cstheme="minorHAnsi"/>
        </w:rPr>
        <w:t xml:space="preserve"> S</w:t>
      </w:r>
      <w:r w:rsidRPr="00224CAF">
        <w:rPr>
          <w:rFonts w:cstheme="minorHAnsi"/>
        </w:rPr>
        <w:t>ur 12 patients présentant des angiodysplasies lors de la récidive, 8 patients présentaient initialement une VCE anormale.</w:t>
      </w:r>
    </w:p>
    <w:p w14:paraId="28E06E9D" w14:textId="44098B12" w:rsidR="00B71F81" w:rsidRPr="00224CAF" w:rsidRDefault="00B71F81" w:rsidP="00B71F81">
      <w:pPr>
        <w:spacing w:line="240" w:lineRule="auto"/>
        <w:jc w:val="both"/>
        <w:rPr>
          <w:rFonts w:cstheme="minorHAnsi"/>
        </w:rPr>
      </w:pPr>
      <w:r w:rsidRPr="00224CAF">
        <w:rPr>
          <w:rFonts w:cstheme="minorHAnsi"/>
        </w:rPr>
        <w:t>Parmi les 43 patients avec angiodysplasies à la VC</w:t>
      </w:r>
      <w:r w:rsidR="00EE2521" w:rsidRPr="00224CAF">
        <w:rPr>
          <w:rFonts w:cstheme="minorHAnsi"/>
        </w:rPr>
        <w:t>E,</w:t>
      </w:r>
      <w:r w:rsidRPr="00224CAF">
        <w:rPr>
          <w:rFonts w:cstheme="minorHAnsi"/>
        </w:rPr>
        <w:t xml:space="preserve"> 29 (67.5%) n’ont pas récidivé, 13 (30.2%) ont récidivé endéans les 2 ans et pour 1 patient, pas de données suffisantes. Parmi les 13 patients ayant récidivé, 7 (53.8%) ont récidivé sous forme d’angiodysplasies.</w:t>
      </w:r>
    </w:p>
    <w:p w14:paraId="45005800" w14:textId="77777777" w:rsidR="00B71F81" w:rsidRPr="00224CAF" w:rsidRDefault="00B71F81" w:rsidP="00B71F81">
      <w:pPr>
        <w:spacing w:line="240" w:lineRule="auto"/>
        <w:jc w:val="both"/>
        <w:rPr>
          <w:rFonts w:cstheme="minorHAnsi"/>
        </w:rPr>
      </w:pPr>
      <w:r w:rsidRPr="00224CAF">
        <w:rPr>
          <w:rFonts w:cstheme="minorHAnsi"/>
        </w:rPr>
        <w:t>Si on analyse, en modèle univarié et multivarié, les caractéristiques des patients ayant récidivé un saignement digestif : le risque de récidive était plus important chez les patients aux antécédents d’HD (modèle univarié : OR=3.97, p=0.010 ; modèle multivarié : OR=4.55, p=0.012). Le fait de modifier l’attitude thérapeutique n’était pas associé au risque de récidive tant en mode univarié qu’en mode multivarié.</w:t>
      </w:r>
    </w:p>
    <w:p w14:paraId="393CBF1C" w14:textId="210CBE54" w:rsidR="00B71F81" w:rsidRPr="00224CAF" w:rsidRDefault="00B71F81" w:rsidP="00B71F81">
      <w:pPr>
        <w:spacing w:line="240" w:lineRule="auto"/>
        <w:jc w:val="both"/>
        <w:rPr>
          <w:rFonts w:cstheme="minorHAnsi"/>
        </w:rPr>
      </w:pPr>
      <w:r w:rsidRPr="00224CAF">
        <w:rPr>
          <w:rFonts w:cstheme="minorHAnsi"/>
        </w:rPr>
        <w:lastRenderedPageBreak/>
        <w:t>Nous avons également étudié un sous-groupe de patient</w:t>
      </w:r>
      <w:r w:rsidR="00EB0779" w:rsidRPr="00224CAF">
        <w:rPr>
          <w:rFonts w:cstheme="minorHAnsi"/>
        </w:rPr>
        <w:t>s</w:t>
      </w:r>
      <w:r w:rsidRPr="00224CAF">
        <w:rPr>
          <w:rFonts w:cstheme="minorHAnsi"/>
        </w:rPr>
        <w:t xml:space="preserve"> pour lesquels il n’y a pas eu de modification de l’attitude thérapeutique et qui n’ont pas récidivé endéans les 2 ans. Dans notre cohorte, sur les 79 patients n’ayant pas récidivé endéans les 2 ans (78%), 48 (60% des non-récidivant) n’avait eu aucune modification de l’attitude thérapeutique après la VCE. </w:t>
      </w:r>
    </w:p>
    <w:p w14:paraId="6A7C571B" w14:textId="77777777" w:rsidR="00B71F81" w:rsidRPr="00224CAF" w:rsidRDefault="00B71F81" w:rsidP="00B71F81">
      <w:pPr>
        <w:spacing w:line="240" w:lineRule="auto"/>
        <w:jc w:val="both"/>
        <w:rPr>
          <w:rFonts w:cstheme="minorHAnsi"/>
        </w:rPr>
      </w:pPr>
      <w:r w:rsidRPr="00224CAF">
        <w:rPr>
          <w:rFonts w:cstheme="minorHAnsi"/>
        </w:rPr>
        <w:t>Lorsqu’on compare ces 48 patients au reste de la cohorte (62 autres patients), ils se distinguent significativement par moins de tabagisme actif (8.3% vs. 29.0%, p=0.0082), moins d’antécédent d’HD (6.3% vs. 29.0%, p=0.0026), moins d’antécédent CV (54.2% vs. 75.8%, p=0.017), moins de FA (4.2% vs. 27.4%, p=0.0017), moins de pathologie vasculaire sévère (20.8% vs. 45.2%, p=0.0078), moins d’anémie sévère (&lt;10 g/dL) (75.0% vs. 91.9%, p=0.049) et un taux d’hémoglobine plus élevé (8.7 ± 2.1 vs. 7.2 ± 2.4 g/dL, p=0.0009).</w:t>
      </w:r>
    </w:p>
    <w:p w14:paraId="3F26A104" w14:textId="77777777" w:rsidR="00B71F81" w:rsidRPr="00224CAF" w:rsidRDefault="00B71F81" w:rsidP="00B71F81">
      <w:pPr>
        <w:spacing w:line="240" w:lineRule="auto"/>
        <w:jc w:val="both"/>
        <w:rPr>
          <w:rFonts w:cstheme="minorHAnsi"/>
          <w:b/>
          <w:bCs/>
          <w:i/>
          <w:iCs/>
          <w:sz w:val="24"/>
          <w:szCs w:val="24"/>
        </w:rPr>
      </w:pPr>
      <w:r w:rsidRPr="00224CAF">
        <w:rPr>
          <w:rFonts w:cstheme="minorHAnsi"/>
          <w:b/>
          <w:bCs/>
          <w:sz w:val="24"/>
          <w:szCs w:val="24"/>
        </w:rPr>
        <w:t>4. Discussion</w:t>
      </w:r>
    </w:p>
    <w:p w14:paraId="47FBFA1C" w14:textId="2CF10FC8" w:rsidR="00B71F81" w:rsidRPr="00224CAF" w:rsidRDefault="00B71F81" w:rsidP="00B71F81">
      <w:pPr>
        <w:spacing w:line="240" w:lineRule="auto"/>
        <w:jc w:val="both"/>
        <w:rPr>
          <w:rFonts w:cstheme="minorHAnsi"/>
        </w:rPr>
      </w:pPr>
      <w:r w:rsidRPr="00224CAF">
        <w:rPr>
          <w:rFonts w:cstheme="minorHAnsi"/>
        </w:rPr>
        <w:t xml:space="preserve">Comme de multiples études l’ont déjà montré depuis le début des années 2000 (4, 12, 13), notre analyse confirme le pouvoir diagnostic de la VCE dans l’exploration des OGIB. En effet, 58% des VCE ont mis en évidence des lésions grêles. </w:t>
      </w:r>
      <w:bookmarkStart w:id="2" w:name="_Hlk79857654"/>
      <w:r w:rsidRPr="00224CAF">
        <w:rPr>
          <w:rFonts w:cstheme="minorHAnsi"/>
        </w:rPr>
        <w:t xml:space="preserve">En 2011, une méta-analyse a montré un rendement diagnostic de la VCE de 61,7 % </w:t>
      </w:r>
      <w:bookmarkEnd w:id="2"/>
      <w:r w:rsidRPr="00224CAF">
        <w:rPr>
          <w:rFonts w:cstheme="minorHAnsi"/>
        </w:rPr>
        <w:t xml:space="preserve">(13). Ces résultats sont comparables dans les méta-analyses reprises dans ESGE en 2015 et 2018 (4). Les angiodysplasies sont les lésions les plus fréquentes (67% des examens anormaux), </w:t>
      </w:r>
      <w:r w:rsidR="00EB0779" w:rsidRPr="00224CAF">
        <w:rPr>
          <w:rFonts w:cstheme="minorHAnsi"/>
        </w:rPr>
        <w:t>tel que</w:t>
      </w:r>
      <w:r w:rsidRPr="00224CAF">
        <w:rPr>
          <w:rFonts w:cstheme="minorHAnsi"/>
        </w:rPr>
        <w:t xml:space="preserve"> décrit dans la littérature (14).</w:t>
      </w:r>
    </w:p>
    <w:p w14:paraId="28B6CDFA" w14:textId="65B842F7" w:rsidR="00B71F81" w:rsidRPr="00224CAF" w:rsidRDefault="00B71F81" w:rsidP="00B71F81">
      <w:pPr>
        <w:spacing w:line="240" w:lineRule="auto"/>
        <w:jc w:val="both"/>
        <w:rPr>
          <w:rFonts w:cstheme="minorHAnsi"/>
        </w:rPr>
      </w:pPr>
      <w:r w:rsidRPr="00224CAF">
        <w:rPr>
          <w:rFonts w:cstheme="minorHAnsi"/>
        </w:rPr>
        <w:t>Dans notre cohorte</w:t>
      </w:r>
      <w:r w:rsidR="00EB0779" w:rsidRPr="00224CAF">
        <w:rPr>
          <w:rFonts w:cstheme="minorHAnsi"/>
        </w:rPr>
        <w:t>,</w:t>
      </w:r>
      <w:r w:rsidRPr="00224CAF">
        <w:rPr>
          <w:rFonts w:cstheme="minorHAnsi"/>
        </w:rPr>
        <w:t xml:space="preserve"> une VCE anormale était significativement plus fréquente chez les patients âgés, présentant des antécédents CV (et surtout des pathologies vasculaires sévères) et si le taux d’hémoglobine était bas. Il est intéressant de remarquer qu’aucun traitement chronique n’était significativement associé à une VCE anormale.  Par contre, la prise d’AA était significativement associé</w:t>
      </w:r>
      <w:r w:rsidR="00527E93" w:rsidRPr="00224CAF">
        <w:rPr>
          <w:rFonts w:cstheme="minorHAnsi"/>
        </w:rPr>
        <w:t>e</w:t>
      </w:r>
      <w:r w:rsidRPr="00224CAF">
        <w:rPr>
          <w:rFonts w:cstheme="minorHAnsi"/>
        </w:rPr>
        <w:t xml:space="preserve"> à la présence d’angiodysplasie.</w:t>
      </w:r>
      <w:r w:rsidR="00EE2521" w:rsidRPr="00224CAF">
        <w:rPr>
          <w:rFonts w:cstheme="minorHAnsi"/>
        </w:rPr>
        <w:t xml:space="preserve"> C</w:t>
      </w:r>
      <w:r w:rsidRPr="00224CAF">
        <w:rPr>
          <w:rFonts w:cstheme="minorHAnsi"/>
        </w:rPr>
        <w:t xml:space="preserve">es résultats confirment en partie une étude de 2017 (15), dans laquelle le rendement diagnostic de la VCE était plus important chez les hommes, d'âge avancé avec des faibles taux d'hémoglobine. Par contre dans une autre étude de 2016 (11), le risque d’HD était majoré, en analyse multivariée, chez les patients sous AINS, AA et AC. </w:t>
      </w:r>
    </w:p>
    <w:p w14:paraId="0808C671" w14:textId="77777777" w:rsidR="00B71F81" w:rsidRPr="00224CAF" w:rsidRDefault="00B71F81" w:rsidP="00B71F81">
      <w:pPr>
        <w:spacing w:line="240" w:lineRule="auto"/>
        <w:jc w:val="both"/>
        <w:rPr>
          <w:rFonts w:cstheme="minorHAnsi"/>
        </w:rPr>
      </w:pPr>
      <w:r w:rsidRPr="00224CAF">
        <w:rPr>
          <w:rFonts w:cstheme="minorHAnsi"/>
        </w:rPr>
        <w:t>Une modification de l’attitude thérapeutique a été faite chez 43 patients (39%). Les caractéristiques de ces patients comprenaient la prise d’AC, les antécédents CV globaux ainsi que la présence de pathologies vasculaires sévères, les antécédents de FA et le faible taux d’hémoglobine. Cette modification thérapeutique était également associée à des VCE anormales et à la présence d’angiodysplasies à la VCE. Peu d’études se sont intéressées aux caractéristiques des patients associées à une modification thérapeutique après VCE. Dans la littérature, la présence d'une comorbidité ou d'un diagnostic d'angiodysplasie étaient associées à un changement de prise en charge (16). Par contre, l’âge qui était associé à l’existence de lésions n’était pas associé aux modifications thérapeutiques. Il est probable qu’une surveillance clinico-biologique soit privilégiée chez les patients âgés. Une modification de prise en charge était significativement plus importante chez les patients présentant des angiodysplasies avérées en VCE. Ceci peut s’expliquer par le fait que le traitement endoscopique de ces lésions est plus aisé.</w:t>
      </w:r>
    </w:p>
    <w:p w14:paraId="53B18FA0" w14:textId="1C21DD27" w:rsidR="00B71F81" w:rsidRPr="00224CAF" w:rsidRDefault="00B71F81" w:rsidP="00B71F81">
      <w:pPr>
        <w:spacing w:line="240" w:lineRule="auto"/>
        <w:jc w:val="both"/>
        <w:rPr>
          <w:rFonts w:cstheme="minorHAnsi"/>
        </w:rPr>
      </w:pPr>
      <w:r w:rsidRPr="00224CAF">
        <w:rPr>
          <w:rFonts w:cstheme="minorHAnsi"/>
        </w:rPr>
        <w:t>Sur l’ensemble de la cohorte, seuls 22.5% des patients ont récidivé. Ce chiffre est moins élevé que dans la littérature. Dans une étude de 2008 (17) la récidive était de 33.7% et dans une étude de 2016 (11), elle était de 40,3%. Dans une étude prospective de 2016 à 2018 (18), la récidive était de 36,8%. Notre taux sensiblement inférieur ne peut s’expliquer par la taille des cohortes et la durée du suivi qui étaient similaires à notre cohort</w:t>
      </w:r>
      <w:r w:rsidR="00EE2521" w:rsidRPr="00224CAF">
        <w:rPr>
          <w:rFonts w:cstheme="minorHAnsi"/>
        </w:rPr>
        <w:t>e.</w:t>
      </w:r>
    </w:p>
    <w:p w14:paraId="5DDFDE44" w14:textId="77777777" w:rsidR="00B71F81" w:rsidRPr="00224CAF" w:rsidRDefault="00B71F81" w:rsidP="00B71F81">
      <w:pPr>
        <w:jc w:val="both"/>
        <w:rPr>
          <w:rFonts w:cstheme="minorHAnsi"/>
        </w:rPr>
      </w:pPr>
      <w:r w:rsidRPr="00224CAF">
        <w:rPr>
          <w:rFonts w:cstheme="minorHAnsi"/>
        </w:rPr>
        <w:t>En analysant les caractéristiques des patients, le risque de récidive était plus important en cas de prise d’IPP et lors d’antécédent d’HD. Il n’y avait pas d’impact significatif de la modification de l’attitude thérapeutique après la VCE sur le risque de récidive.</w:t>
      </w:r>
    </w:p>
    <w:p w14:paraId="705EBB2E" w14:textId="77777777" w:rsidR="00B71F81" w:rsidRPr="00224CAF" w:rsidRDefault="00B71F81" w:rsidP="00B71F81">
      <w:pPr>
        <w:spacing w:line="240" w:lineRule="auto"/>
        <w:jc w:val="both"/>
        <w:rPr>
          <w:rFonts w:cstheme="minorHAnsi"/>
        </w:rPr>
      </w:pPr>
      <w:r w:rsidRPr="00224CAF">
        <w:rPr>
          <w:rFonts w:cstheme="minorHAnsi"/>
        </w:rPr>
        <w:t xml:space="preserve">Contrairement à ce qui est décrit dans la littérature (19, 20), le résultat de la VCE dans notre cohorte n’était pas significativement associé au risque de récidive. Néanmoins seulement 15% des patients </w:t>
      </w:r>
      <w:r w:rsidRPr="00224CAF">
        <w:rPr>
          <w:rFonts w:cstheme="minorHAnsi"/>
        </w:rPr>
        <w:lastRenderedPageBreak/>
        <w:t>avec VCE normale et suivis à 2 ans dans notre étude ont eu une récidive de saignement digestif. Ce faible taux est en accord avec les deux articles précédemment cités. Il semble donc raisonnable d'adopter une approche expectative chez ces patients, évitant ainsi le besoin d'investigations supplémentaires inutiles.</w:t>
      </w:r>
    </w:p>
    <w:p w14:paraId="7639672C" w14:textId="77777777" w:rsidR="009E3ADB" w:rsidRPr="00224CAF" w:rsidRDefault="00B71F81" w:rsidP="00B71F81">
      <w:pPr>
        <w:jc w:val="both"/>
        <w:rPr>
          <w:rFonts w:cstheme="minorHAnsi"/>
        </w:rPr>
      </w:pPr>
      <w:r w:rsidRPr="00224CAF">
        <w:rPr>
          <w:rFonts w:cstheme="minorHAnsi"/>
        </w:rPr>
        <w:t xml:space="preserve">Sur l’ensemble de notre cohorte de patient suivis à 2 ans (102 patients), 47% n’ont eu ni modification de l’attitude thérapeutique, ni récidive. On pourrait sous-entendre que la réalisation de l’examen chez ces patients n’a pas eu d’impact dans la prise en charge clinique globale. On retrouve, chez ces patients, certaines caractéristiques qui pourraient, peut-être nous permettre de mieux sélectionner les indications de VCE. </w:t>
      </w:r>
    </w:p>
    <w:p w14:paraId="7D3FC3CD" w14:textId="61C8FA5B" w:rsidR="00B71F81" w:rsidRPr="00224CAF" w:rsidRDefault="00B71F81" w:rsidP="00B71F81">
      <w:pPr>
        <w:jc w:val="both"/>
        <w:rPr>
          <w:rFonts w:cstheme="minorHAnsi"/>
        </w:rPr>
      </w:pPr>
      <w:r w:rsidRPr="00224CAF">
        <w:rPr>
          <w:rFonts w:cstheme="minorHAnsi"/>
        </w:rPr>
        <w:t>Notre étude comporte plusieurs limites. La principale est son caractère rétrospectif associé à une disponibilité variable des données. En outre, la taille limitée de la cohorte, réduit notre puissance statistique et le suivi parfois de courte durée ne permet pas utilement de conclure sur le devenir de tous les patients.</w:t>
      </w:r>
    </w:p>
    <w:p w14:paraId="5CD8C32E" w14:textId="6A2032FF" w:rsidR="00B71F81" w:rsidRPr="00224CAF" w:rsidRDefault="00B71F81" w:rsidP="00F75635">
      <w:pPr>
        <w:jc w:val="both"/>
        <w:rPr>
          <w:rFonts w:cstheme="minorHAnsi"/>
        </w:rPr>
      </w:pPr>
      <w:r w:rsidRPr="00224CAF">
        <w:rPr>
          <w:rFonts w:cstheme="minorHAnsi"/>
        </w:rPr>
        <w:t>En conclusion, notre travail montre une modification de l’attitude thérapeutique chez environ 40% des patients après VCE, avec dans ce groupe un taux relativement faible de récidive, suggérant de façon indirecte la validité de l’exploration par VCE et de la stratégie adoptée. Chez les patients avec VCE normale, ce taux de récidive est particulièrement faible et pourrait justifier une attitude attentiste. Enfin environ 45% des patients n’ont pas eu de modification de l’attitude thérapeutique et n’ont pas récidivé. On peut s’interroger sur l’utilité de l’exploration chez ces patients.</w:t>
      </w:r>
    </w:p>
    <w:p w14:paraId="70515AFE" w14:textId="77777777" w:rsidR="00F75635" w:rsidRPr="00224CAF" w:rsidRDefault="00F75635" w:rsidP="00F75635">
      <w:pPr>
        <w:jc w:val="both"/>
        <w:rPr>
          <w:rFonts w:cstheme="minorHAnsi"/>
        </w:rPr>
      </w:pPr>
    </w:p>
    <w:p w14:paraId="02C4B373" w14:textId="33CE2245" w:rsidR="00B71F81" w:rsidRPr="00224CAF" w:rsidRDefault="00B71F81" w:rsidP="00B71F81">
      <w:pPr>
        <w:rPr>
          <w:rFonts w:cstheme="minorHAnsi"/>
          <w:u w:val="single"/>
        </w:rPr>
      </w:pPr>
      <w:r w:rsidRPr="00224CAF">
        <w:rPr>
          <w:rFonts w:cstheme="minorHAnsi"/>
          <w:u w:val="single"/>
        </w:rPr>
        <w:t xml:space="preserve">Tableau </w:t>
      </w:r>
      <w:r w:rsidR="00882359" w:rsidRPr="00224CAF">
        <w:rPr>
          <w:rFonts w:cstheme="minorHAnsi"/>
          <w:u w:val="single"/>
        </w:rPr>
        <w:t>1 :</w:t>
      </w:r>
      <w:r w:rsidRPr="00224CAF">
        <w:rPr>
          <w:rFonts w:cstheme="minorHAnsi"/>
          <w:u w:val="single"/>
        </w:rPr>
        <w:t xml:space="preserve"> caractéristiques des patients</w:t>
      </w:r>
    </w:p>
    <w:tbl>
      <w:tblPr>
        <w:tblStyle w:val="Grilledutableau"/>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08"/>
        <w:gridCol w:w="1684"/>
      </w:tblGrid>
      <w:tr w:rsidR="00224CAF" w:rsidRPr="00224CAF" w14:paraId="03404657" w14:textId="77777777" w:rsidTr="00C2182D">
        <w:trPr>
          <w:jc w:val="center"/>
        </w:trPr>
        <w:tc>
          <w:tcPr>
            <w:tcW w:w="0" w:type="auto"/>
          </w:tcPr>
          <w:p w14:paraId="4F25004B" w14:textId="77777777" w:rsidR="00D50145" w:rsidRPr="00224CAF" w:rsidRDefault="00D50145" w:rsidP="00C2182D">
            <w:pPr>
              <w:rPr>
                <w:rFonts w:cstheme="minorHAnsi"/>
                <w:b/>
                <w:bCs/>
              </w:rPr>
            </w:pPr>
            <w:r w:rsidRPr="00224CAF">
              <w:rPr>
                <w:rFonts w:cstheme="minorHAnsi"/>
                <w:b/>
                <w:bCs/>
              </w:rPr>
              <w:t>Caractéristique des patients</w:t>
            </w:r>
          </w:p>
        </w:tc>
        <w:tc>
          <w:tcPr>
            <w:tcW w:w="0" w:type="auto"/>
          </w:tcPr>
          <w:p w14:paraId="7C026742" w14:textId="4690721C" w:rsidR="00D50145" w:rsidRPr="00224CAF" w:rsidRDefault="00D50145" w:rsidP="00C2182D">
            <w:pPr>
              <w:rPr>
                <w:rFonts w:cstheme="minorHAnsi"/>
              </w:rPr>
            </w:pPr>
            <w:r w:rsidRPr="00224CAF">
              <w:rPr>
                <w:rFonts w:cstheme="minorHAnsi"/>
              </w:rPr>
              <w:t>N = 110 (%)</w:t>
            </w:r>
          </w:p>
        </w:tc>
      </w:tr>
      <w:tr w:rsidR="00224CAF" w:rsidRPr="00224CAF" w14:paraId="6D0BF836" w14:textId="77777777" w:rsidTr="00C2182D">
        <w:trPr>
          <w:jc w:val="center"/>
        </w:trPr>
        <w:tc>
          <w:tcPr>
            <w:tcW w:w="0" w:type="auto"/>
          </w:tcPr>
          <w:p w14:paraId="53D738B8" w14:textId="1536F253" w:rsidR="00D50145" w:rsidRPr="00224CAF" w:rsidRDefault="00D50145" w:rsidP="00C2182D">
            <w:pPr>
              <w:rPr>
                <w:rFonts w:cstheme="minorHAnsi"/>
              </w:rPr>
            </w:pPr>
            <w:r w:rsidRPr="00224CAF">
              <w:rPr>
                <w:rFonts w:cstheme="minorHAnsi"/>
              </w:rPr>
              <w:t>Âge médian</w:t>
            </w:r>
            <w:r w:rsidR="00E27C84" w:rsidRPr="00224CAF">
              <w:rPr>
                <w:rFonts w:cstheme="minorHAnsi"/>
              </w:rPr>
              <w:t xml:space="preserve">, en </w:t>
            </w:r>
            <w:r w:rsidRPr="00224CAF">
              <w:rPr>
                <w:rFonts w:cstheme="minorHAnsi"/>
              </w:rPr>
              <w:t>années</w:t>
            </w:r>
            <w:r w:rsidR="00E27C84" w:rsidRPr="00224CAF">
              <w:rPr>
                <w:rFonts w:cstheme="minorHAnsi"/>
              </w:rPr>
              <w:t xml:space="preserve"> (IQR)</w:t>
            </w:r>
          </w:p>
        </w:tc>
        <w:tc>
          <w:tcPr>
            <w:tcW w:w="0" w:type="auto"/>
          </w:tcPr>
          <w:p w14:paraId="784E4076" w14:textId="77777777" w:rsidR="00D50145" w:rsidRPr="00224CAF" w:rsidRDefault="00D50145" w:rsidP="00C2182D">
            <w:pPr>
              <w:rPr>
                <w:rFonts w:cstheme="minorHAnsi"/>
              </w:rPr>
            </w:pPr>
            <w:r w:rsidRPr="00224CAF">
              <w:rPr>
                <w:rFonts w:cstheme="minorHAnsi"/>
              </w:rPr>
              <w:t>69 (22 – 89)</w:t>
            </w:r>
          </w:p>
        </w:tc>
      </w:tr>
      <w:tr w:rsidR="00224CAF" w:rsidRPr="00224CAF" w14:paraId="49AAD4F0" w14:textId="77777777" w:rsidTr="00C2182D">
        <w:trPr>
          <w:jc w:val="center"/>
        </w:trPr>
        <w:tc>
          <w:tcPr>
            <w:tcW w:w="0" w:type="auto"/>
          </w:tcPr>
          <w:p w14:paraId="0A6663C8" w14:textId="660792DC" w:rsidR="00D50145" w:rsidRPr="00224CAF" w:rsidRDefault="00F75635" w:rsidP="00C2182D">
            <w:pPr>
              <w:rPr>
                <w:rFonts w:cstheme="minorHAnsi"/>
              </w:rPr>
            </w:pPr>
            <w:r w:rsidRPr="00224CAF">
              <w:rPr>
                <w:rFonts w:cstheme="minorHAnsi"/>
              </w:rPr>
              <w:t>H</w:t>
            </w:r>
            <w:r w:rsidR="00D50145" w:rsidRPr="00224CAF">
              <w:rPr>
                <w:rFonts w:cstheme="minorHAnsi"/>
              </w:rPr>
              <w:t>omme/</w:t>
            </w:r>
            <w:r w:rsidRPr="00224CAF">
              <w:rPr>
                <w:rFonts w:cstheme="minorHAnsi"/>
              </w:rPr>
              <w:t>F</w:t>
            </w:r>
            <w:r w:rsidR="00D50145" w:rsidRPr="00224CAF">
              <w:rPr>
                <w:rFonts w:cstheme="minorHAnsi"/>
              </w:rPr>
              <w:t>emme</w:t>
            </w:r>
          </w:p>
        </w:tc>
        <w:tc>
          <w:tcPr>
            <w:tcW w:w="0" w:type="auto"/>
          </w:tcPr>
          <w:p w14:paraId="70A01DF9" w14:textId="77777777" w:rsidR="00D50145" w:rsidRPr="00224CAF" w:rsidRDefault="00D50145" w:rsidP="00C2182D">
            <w:pPr>
              <w:rPr>
                <w:rFonts w:cstheme="minorHAnsi"/>
              </w:rPr>
            </w:pPr>
            <w:r w:rsidRPr="00224CAF">
              <w:rPr>
                <w:rFonts w:cstheme="minorHAnsi"/>
              </w:rPr>
              <w:t>55/55 (50/50)</w:t>
            </w:r>
          </w:p>
        </w:tc>
      </w:tr>
      <w:tr w:rsidR="00224CAF" w:rsidRPr="00224CAF" w14:paraId="250D5005" w14:textId="77777777" w:rsidTr="00C2182D">
        <w:trPr>
          <w:jc w:val="center"/>
        </w:trPr>
        <w:tc>
          <w:tcPr>
            <w:tcW w:w="0" w:type="auto"/>
          </w:tcPr>
          <w:p w14:paraId="0E19FAC4" w14:textId="77777777" w:rsidR="00D50145" w:rsidRPr="00224CAF" w:rsidRDefault="00D50145" w:rsidP="00C2182D">
            <w:pPr>
              <w:rPr>
                <w:rFonts w:cstheme="minorHAnsi"/>
              </w:rPr>
            </w:pPr>
            <w:r w:rsidRPr="00224CAF">
              <w:rPr>
                <w:rFonts w:cstheme="minorHAnsi"/>
              </w:rPr>
              <w:t>Assuétudes</w:t>
            </w:r>
          </w:p>
          <w:p w14:paraId="5B45E91D" w14:textId="564921B7" w:rsidR="00D50145" w:rsidRPr="00224CAF" w:rsidRDefault="00D50145" w:rsidP="00D50145">
            <w:pPr>
              <w:rPr>
                <w:rFonts w:cstheme="minorHAnsi"/>
              </w:rPr>
            </w:pPr>
            <w:r w:rsidRPr="00224CAF">
              <w:rPr>
                <w:rFonts w:cstheme="minorHAnsi"/>
              </w:rPr>
              <w:t xml:space="preserve">    Tabagisme (actif/ancien)</w:t>
            </w:r>
          </w:p>
          <w:p w14:paraId="39B7E237" w14:textId="5330BF0F" w:rsidR="00D50145" w:rsidRPr="00224CAF" w:rsidRDefault="00D50145" w:rsidP="00C2182D">
            <w:pPr>
              <w:rPr>
                <w:rFonts w:cstheme="minorHAnsi"/>
              </w:rPr>
            </w:pPr>
            <w:r w:rsidRPr="00224CAF">
              <w:rPr>
                <w:rFonts w:cstheme="minorHAnsi"/>
              </w:rPr>
              <w:t xml:space="preserve">    Ethylisme (actif/ancien)</w:t>
            </w:r>
          </w:p>
        </w:tc>
        <w:tc>
          <w:tcPr>
            <w:tcW w:w="0" w:type="auto"/>
          </w:tcPr>
          <w:p w14:paraId="2946FFB7" w14:textId="77777777" w:rsidR="00D50145" w:rsidRPr="00224CAF" w:rsidRDefault="00D50145" w:rsidP="00C2182D">
            <w:pPr>
              <w:rPr>
                <w:rFonts w:cstheme="minorHAnsi"/>
              </w:rPr>
            </w:pPr>
          </w:p>
          <w:p w14:paraId="426E006D" w14:textId="704885EE" w:rsidR="00D50145" w:rsidRPr="00224CAF" w:rsidRDefault="00D50145" w:rsidP="00C2182D">
            <w:pPr>
              <w:rPr>
                <w:rFonts w:cstheme="minorHAnsi"/>
              </w:rPr>
            </w:pPr>
            <w:r w:rsidRPr="00224CAF">
              <w:rPr>
                <w:rFonts w:cstheme="minorHAnsi"/>
              </w:rPr>
              <w:t>22/35 (20/31.8)</w:t>
            </w:r>
          </w:p>
          <w:p w14:paraId="11131B5C" w14:textId="77777777" w:rsidR="00D50145" w:rsidRPr="00224CAF" w:rsidRDefault="00D50145" w:rsidP="00C2182D">
            <w:pPr>
              <w:rPr>
                <w:rFonts w:cstheme="minorHAnsi"/>
              </w:rPr>
            </w:pPr>
            <w:r w:rsidRPr="00224CAF">
              <w:rPr>
                <w:rFonts w:cstheme="minorHAnsi"/>
              </w:rPr>
              <w:t>24/10 (21.8/9.1)</w:t>
            </w:r>
          </w:p>
        </w:tc>
      </w:tr>
      <w:tr w:rsidR="00224CAF" w:rsidRPr="00224CAF" w14:paraId="260714C5" w14:textId="77777777" w:rsidTr="00C2182D">
        <w:trPr>
          <w:jc w:val="center"/>
        </w:trPr>
        <w:tc>
          <w:tcPr>
            <w:tcW w:w="0" w:type="auto"/>
          </w:tcPr>
          <w:p w14:paraId="0AC3A11E" w14:textId="77777777" w:rsidR="00D50145" w:rsidRPr="00224CAF" w:rsidRDefault="00D50145" w:rsidP="00C2182D">
            <w:pPr>
              <w:rPr>
                <w:rFonts w:cstheme="minorHAnsi"/>
              </w:rPr>
            </w:pPr>
            <w:r w:rsidRPr="00224CAF">
              <w:rPr>
                <w:rFonts w:cstheme="minorHAnsi"/>
              </w:rPr>
              <w:t>Prise d’AC</w:t>
            </w:r>
          </w:p>
        </w:tc>
        <w:tc>
          <w:tcPr>
            <w:tcW w:w="0" w:type="auto"/>
          </w:tcPr>
          <w:p w14:paraId="7EB2A23E" w14:textId="77777777" w:rsidR="00D50145" w:rsidRPr="00224CAF" w:rsidRDefault="00D50145" w:rsidP="00C2182D">
            <w:pPr>
              <w:rPr>
                <w:rFonts w:cstheme="minorHAnsi"/>
              </w:rPr>
            </w:pPr>
            <w:r w:rsidRPr="00224CAF">
              <w:rPr>
                <w:rFonts w:cstheme="minorHAnsi"/>
              </w:rPr>
              <w:t>30 (27.3)</w:t>
            </w:r>
          </w:p>
        </w:tc>
      </w:tr>
      <w:tr w:rsidR="00224CAF" w:rsidRPr="00224CAF" w14:paraId="72FB4F19" w14:textId="77777777" w:rsidTr="00C2182D">
        <w:trPr>
          <w:jc w:val="center"/>
        </w:trPr>
        <w:tc>
          <w:tcPr>
            <w:tcW w:w="0" w:type="auto"/>
          </w:tcPr>
          <w:p w14:paraId="78B480EF" w14:textId="77777777" w:rsidR="00D50145" w:rsidRPr="00224CAF" w:rsidRDefault="00D50145" w:rsidP="00C2182D">
            <w:pPr>
              <w:rPr>
                <w:rFonts w:cstheme="minorHAnsi"/>
              </w:rPr>
            </w:pPr>
            <w:r w:rsidRPr="00224CAF">
              <w:rPr>
                <w:rFonts w:cstheme="minorHAnsi"/>
              </w:rPr>
              <w:t>Prise d’AA</w:t>
            </w:r>
          </w:p>
        </w:tc>
        <w:tc>
          <w:tcPr>
            <w:tcW w:w="0" w:type="auto"/>
          </w:tcPr>
          <w:p w14:paraId="445E5BFA" w14:textId="77777777" w:rsidR="00D50145" w:rsidRPr="00224CAF" w:rsidRDefault="00D50145" w:rsidP="00C2182D">
            <w:pPr>
              <w:rPr>
                <w:rFonts w:cstheme="minorHAnsi"/>
              </w:rPr>
            </w:pPr>
            <w:r w:rsidRPr="00224CAF">
              <w:rPr>
                <w:rFonts w:cstheme="minorHAnsi"/>
              </w:rPr>
              <w:t>53 (48.2)</w:t>
            </w:r>
          </w:p>
        </w:tc>
      </w:tr>
      <w:tr w:rsidR="00224CAF" w:rsidRPr="00224CAF" w14:paraId="7A16E403" w14:textId="77777777" w:rsidTr="00C2182D">
        <w:trPr>
          <w:jc w:val="center"/>
        </w:trPr>
        <w:tc>
          <w:tcPr>
            <w:tcW w:w="0" w:type="auto"/>
          </w:tcPr>
          <w:p w14:paraId="2E1664A6" w14:textId="143A3FB1" w:rsidR="00D50145" w:rsidRPr="00224CAF" w:rsidRDefault="00882359" w:rsidP="00C2182D">
            <w:pPr>
              <w:rPr>
                <w:rFonts w:cstheme="minorHAnsi"/>
              </w:rPr>
            </w:pPr>
            <w:r w:rsidRPr="00224CAF">
              <w:rPr>
                <w:rFonts w:cstheme="minorHAnsi"/>
              </w:rPr>
              <w:t>Prise d’an</w:t>
            </w:r>
            <w:r w:rsidR="00FA1E58" w:rsidRPr="00224CAF">
              <w:rPr>
                <w:rFonts w:cstheme="minorHAnsi"/>
              </w:rPr>
              <w:t>ti-inflammatoire</w:t>
            </w:r>
          </w:p>
        </w:tc>
        <w:tc>
          <w:tcPr>
            <w:tcW w:w="0" w:type="auto"/>
          </w:tcPr>
          <w:p w14:paraId="633EC4F5" w14:textId="77777777" w:rsidR="00D50145" w:rsidRPr="00224CAF" w:rsidRDefault="00D50145" w:rsidP="00C2182D">
            <w:pPr>
              <w:rPr>
                <w:rFonts w:cstheme="minorHAnsi"/>
              </w:rPr>
            </w:pPr>
            <w:r w:rsidRPr="00224CAF">
              <w:rPr>
                <w:rFonts w:cstheme="minorHAnsi"/>
              </w:rPr>
              <w:t>20 (18.2)</w:t>
            </w:r>
          </w:p>
        </w:tc>
      </w:tr>
      <w:tr w:rsidR="00224CAF" w:rsidRPr="00224CAF" w14:paraId="5F08B853" w14:textId="77777777" w:rsidTr="00C2182D">
        <w:trPr>
          <w:jc w:val="center"/>
        </w:trPr>
        <w:tc>
          <w:tcPr>
            <w:tcW w:w="0" w:type="auto"/>
          </w:tcPr>
          <w:p w14:paraId="5B362E57" w14:textId="77777777" w:rsidR="00D50145" w:rsidRPr="00224CAF" w:rsidRDefault="00D50145" w:rsidP="00C2182D">
            <w:pPr>
              <w:rPr>
                <w:rFonts w:cstheme="minorHAnsi"/>
              </w:rPr>
            </w:pPr>
            <w:r w:rsidRPr="00224CAF">
              <w:rPr>
                <w:rFonts w:cstheme="minorHAnsi"/>
              </w:rPr>
              <w:t>Prise d’IPP</w:t>
            </w:r>
          </w:p>
        </w:tc>
        <w:tc>
          <w:tcPr>
            <w:tcW w:w="0" w:type="auto"/>
          </w:tcPr>
          <w:p w14:paraId="3C77E7E9" w14:textId="77777777" w:rsidR="00D50145" w:rsidRPr="00224CAF" w:rsidRDefault="00D50145" w:rsidP="00C2182D">
            <w:pPr>
              <w:rPr>
                <w:rFonts w:cstheme="minorHAnsi"/>
              </w:rPr>
            </w:pPr>
            <w:r w:rsidRPr="00224CAF">
              <w:rPr>
                <w:rFonts w:cstheme="minorHAnsi"/>
              </w:rPr>
              <w:t>68 (61.8)</w:t>
            </w:r>
          </w:p>
        </w:tc>
      </w:tr>
      <w:tr w:rsidR="00224CAF" w:rsidRPr="00224CAF" w14:paraId="4EC5F415" w14:textId="77777777" w:rsidTr="00C2182D">
        <w:trPr>
          <w:jc w:val="center"/>
        </w:trPr>
        <w:tc>
          <w:tcPr>
            <w:tcW w:w="0" w:type="auto"/>
          </w:tcPr>
          <w:p w14:paraId="359C682E" w14:textId="77777777" w:rsidR="00D50145" w:rsidRPr="00224CAF" w:rsidRDefault="00D50145" w:rsidP="00C2182D">
            <w:pPr>
              <w:rPr>
                <w:rFonts w:cstheme="minorHAnsi"/>
              </w:rPr>
            </w:pPr>
            <w:r w:rsidRPr="00224CAF">
              <w:rPr>
                <w:rFonts w:cstheme="minorHAnsi"/>
              </w:rPr>
              <w:t>Antécédents gastroentérologiques</w:t>
            </w:r>
          </w:p>
          <w:p w14:paraId="0886EEF3" w14:textId="77777777" w:rsidR="00D50145" w:rsidRPr="00224CAF" w:rsidRDefault="00D50145" w:rsidP="00C2182D">
            <w:pPr>
              <w:rPr>
                <w:rFonts w:cstheme="minorHAnsi"/>
              </w:rPr>
            </w:pPr>
            <w:r w:rsidRPr="00224CAF">
              <w:rPr>
                <w:rFonts w:cstheme="minorHAnsi"/>
              </w:rPr>
              <w:t xml:space="preserve">     Hémorragie digestive</w:t>
            </w:r>
          </w:p>
          <w:p w14:paraId="3BD4BF8D" w14:textId="77777777" w:rsidR="00D50145" w:rsidRPr="00224CAF" w:rsidRDefault="00D50145" w:rsidP="00C2182D">
            <w:pPr>
              <w:rPr>
                <w:rFonts w:cstheme="minorHAnsi"/>
              </w:rPr>
            </w:pPr>
            <w:r w:rsidRPr="00224CAF">
              <w:rPr>
                <w:rFonts w:cstheme="minorHAnsi"/>
              </w:rPr>
              <w:t xml:space="preserve">     Insuffisance hépatique</w:t>
            </w:r>
          </w:p>
          <w:p w14:paraId="0B1C2C0B" w14:textId="77777777" w:rsidR="00D50145" w:rsidRPr="00224CAF" w:rsidRDefault="00D50145" w:rsidP="00C2182D">
            <w:pPr>
              <w:rPr>
                <w:rFonts w:cstheme="minorHAnsi"/>
              </w:rPr>
            </w:pPr>
            <w:r w:rsidRPr="00224CAF">
              <w:rPr>
                <w:rFonts w:cstheme="minorHAnsi"/>
              </w:rPr>
              <w:t xml:space="preserve">     Hépatopathie sans insuffisance hépatique</w:t>
            </w:r>
          </w:p>
          <w:p w14:paraId="19AE4891" w14:textId="77777777" w:rsidR="00D50145" w:rsidRPr="00224CAF" w:rsidRDefault="00D50145" w:rsidP="00C2182D">
            <w:pPr>
              <w:rPr>
                <w:rFonts w:cstheme="minorHAnsi"/>
              </w:rPr>
            </w:pPr>
            <w:r w:rsidRPr="00224CAF">
              <w:rPr>
                <w:rFonts w:cstheme="minorHAnsi"/>
              </w:rPr>
              <w:t xml:space="preserve">     Hernie hiatale</w:t>
            </w:r>
          </w:p>
          <w:p w14:paraId="46CC1EB2" w14:textId="77777777" w:rsidR="00D50145" w:rsidRPr="00224CAF" w:rsidRDefault="00D50145" w:rsidP="00C2182D">
            <w:pPr>
              <w:rPr>
                <w:rFonts w:cstheme="minorHAnsi"/>
              </w:rPr>
            </w:pPr>
            <w:r w:rsidRPr="00224CAF">
              <w:rPr>
                <w:rFonts w:cstheme="minorHAnsi"/>
              </w:rPr>
              <w:t xml:space="preserve">     Maladie ulcéreuse oeso-gastrique</w:t>
            </w:r>
          </w:p>
          <w:p w14:paraId="216580EA" w14:textId="77777777" w:rsidR="00D50145" w:rsidRPr="00224CAF" w:rsidRDefault="00D50145" w:rsidP="00C2182D">
            <w:pPr>
              <w:rPr>
                <w:rFonts w:cstheme="minorHAnsi"/>
              </w:rPr>
            </w:pPr>
            <w:r w:rsidRPr="00224CAF">
              <w:rPr>
                <w:rFonts w:cstheme="minorHAnsi"/>
              </w:rPr>
              <w:t xml:space="preserve">     Chirurgie colique</w:t>
            </w:r>
          </w:p>
          <w:p w14:paraId="19DF8952" w14:textId="77777777" w:rsidR="00D50145" w:rsidRPr="00224CAF" w:rsidRDefault="00D50145" w:rsidP="00C2182D">
            <w:pPr>
              <w:rPr>
                <w:rFonts w:cstheme="minorHAnsi"/>
              </w:rPr>
            </w:pPr>
            <w:r w:rsidRPr="00224CAF">
              <w:rPr>
                <w:rFonts w:cstheme="minorHAnsi"/>
              </w:rPr>
              <w:t xml:space="preserve">     Néoplasie colorectale</w:t>
            </w:r>
          </w:p>
          <w:p w14:paraId="502CEF66" w14:textId="77777777" w:rsidR="00D50145" w:rsidRPr="00224CAF" w:rsidRDefault="00D50145" w:rsidP="00C2182D">
            <w:pPr>
              <w:rPr>
                <w:rFonts w:cstheme="minorHAnsi"/>
              </w:rPr>
            </w:pPr>
            <w:r w:rsidRPr="00224CAF">
              <w:rPr>
                <w:rFonts w:cstheme="minorHAnsi"/>
              </w:rPr>
              <w:t xml:space="preserve">     Maladie inflammatoire de l’intestin</w:t>
            </w:r>
          </w:p>
          <w:p w14:paraId="45D944B2" w14:textId="26FAE2BA" w:rsidR="00D50145" w:rsidRPr="00224CAF" w:rsidRDefault="00D50145" w:rsidP="00C2182D">
            <w:pPr>
              <w:rPr>
                <w:rFonts w:cstheme="minorHAnsi"/>
              </w:rPr>
            </w:pPr>
            <w:r w:rsidRPr="00224CAF">
              <w:rPr>
                <w:rFonts w:cstheme="minorHAnsi"/>
              </w:rPr>
              <w:t xml:space="preserve">     Angiodysplasies</w:t>
            </w:r>
          </w:p>
        </w:tc>
        <w:tc>
          <w:tcPr>
            <w:tcW w:w="0" w:type="auto"/>
          </w:tcPr>
          <w:p w14:paraId="769BF9EB" w14:textId="10813226" w:rsidR="00D50145" w:rsidRPr="00224CAF" w:rsidRDefault="00D50145" w:rsidP="00C2182D">
            <w:pPr>
              <w:rPr>
                <w:rFonts w:cstheme="minorHAnsi"/>
              </w:rPr>
            </w:pPr>
          </w:p>
          <w:p w14:paraId="6AC569E7" w14:textId="0C20E182" w:rsidR="00D50145" w:rsidRPr="00224CAF" w:rsidRDefault="00D50145" w:rsidP="00C2182D">
            <w:pPr>
              <w:rPr>
                <w:rFonts w:cstheme="minorHAnsi"/>
              </w:rPr>
            </w:pPr>
            <w:r w:rsidRPr="00224CAF">
              <w:rPr>
                <w:rFonts w:cstheme="minorHAnsi"/>
              </w:rPr>
              <w:t>21 (</w:t>
            </w:r>
            <w:r w:rsidR="00FA1E58" w:rsidRPr="00224CAF">
              <w:rPr>
                <w:rFonts w:cstheme="minorHAnsi"/>
              </w:rPr>
              <w:t>1</w:t>
            </w:r>
            <w:r w:rsidRPr="00224CAF">
              <w:rPr>
                <w:rFonts w:cstheme="minorHAnsi"/>
              </w:rPr>
              <w:t>9.</w:t>
            </w:r>
            <w:r w:rsidR="00882359" w:rsidRPr="00224CAF">
              <w:rPr>
                <w:rFonts w:cstheme="minorHAnsi"/>
              </w:rPr>
              <w:t>1)</w:t>
            </w:r>
          </w:p>
          <w:p w14:paraId="1A01502A" w14:textId="77777777" w:rsidR="00D50145" w:rsidRPr="00224CAF" w:rsidRDefault="00D50145" w:rsidP="00C2182D">
            <w:pPr>
              <w:rPr>
                <w:rFonts w:cstheme="minorHAnsi"/>
              </w:rPr>
            </w:pPr>
            <w:r w:rsidRPr="00224CAF">
              <w:rPr>
                <w:rFonts w:cstheme="minorHAnsi"/>
              </w:rPr>
              <w:t>11 (10)</w:t>
            </w:r>
          </w:p>
          <w:p w14:paraId="4231A813" w14:textId="77777777" w:rsidR="00D50145" w:rsidRPr="00224CAF" w:rsidRDefault="00D50145" w:rsidP="00C2182D">
            <w:pPr>
              <w:rPr>
                <w:rFonts w:cstheme="minorHAnsi"/>
              </w:rPr>
            </w:pPr>
            <w:r w:rsidRPr="00224CAF">
              <w:rPr>
                <w:rFonts w:cstheme="minorHAnsi"/>
              </w:rPr>
              <w:t>5 (4.5)</w:t>
            </w:r>
          </w:p>
          <w:p w14:paraId="01FF6665" w14:textId="77777777" w:rsidR="00D50145" w:rsidRPr="00224CAF" w:rsidRDefault="00D50145" w:rsidP="00C2182D">
            <w:pPr>
              <w:rPr>
                <w:rFonts w:cstheme="minorHAnsi"/>
              </w:rPr>
            </w:pPr>
            <w:r w:rsidRPr="00224CAF">
              <w:rPr>
                <w:rFonts w:cstheme="minorHAnsi"/>
              </w:rPr>
              <w:t>8 (7.3)</w:t>
            </w:r>
          </w:p>
          <w:p w14:paraId="232E53F5" w14:textId="77777777" w:rsidR="00D50145" w:rsidRPr="00224CAF" w:rsidRDefault="00D50145" w:rsidP="00C2182D">
            <w:pPr>
              <w:rPr>
                <w:rFonts w:cstheme="minorHAnsi"/>
              </w:rPr>
            </w:pPr>
            <w:r w:rsidRPr="00224CAF">
              <w:rPr>
                <w:rFonts w:cstheme="minorHAnsi"/>
              </w:rPr>
              <w:t>13 (11.8)</w:t>
            </w:r>
          </w:p>
          <w:p w14:paraId="570CC4F6" w14:textId="77777777" w:rsidR="00D50145" w:rsidRPr="00224CAF" w:rsidRDefault="00D50145" w:rsidP="00C2182D">
            <w:pPr>
              <w:rPr>
                <w:rFonts w:cstheme="minorHAnsi"/>
              </w:rPr>
            </w:pPr>
            <w:r w:rsidRPr="00224CAF">
              <w:rPr>
                <w:rFonts w:cstheme="minorHAnsi"/>
              </w:rPr>
              <w:t>7 (6.4)</w:t>
            </w:r>
          </w:p>
          <w:p w14:paraId="05635385" w14:textId="77777777" w:rsidR="00D50145" w:rsidRPr="00224CAF" w:rsidRDefault="00D50145" w:rsidP="00C2182D">
            <w:pPr>
              <w:rPr>
                <w:rFonts w:cstheme="minorHAnsi"/>
              </w:rPr>
            </w:pPr>
            <w:r w:rsidRPr="00224CAF">
              <w:rPr>
                <w:rFonts w:cstheme="minorHAnsi"/>
              </w:rPr>
              <w:t>4 (3.6)</w:t>
            </w:r>
          </w:p>
          <w:p w14:paraId="4EF90B26" w14:textId="77777777" w:rsidR="00D50145" w:rsidRPr="00224CAF" w:rsidRDefault="00D50145" w:rsidP="00C2182D">
            <w:pPr>
              <w:rPr>
                <w:rFonts w:cstheme="minorHAnsi"/>
              </w:rPr>
            </w:pPr>
            <w:r w:rsidRPr="00224CAF">
              <w:rPr>
                <w:rFonts w:cstheme="minorHAnsi"/>
              </w:rPr>
              <w:t>4 (3.6)</w:t>
            </w:r>
          </w:p>
          <w:p w14:paraId="3B2D2A8B" w14:textId="712B18BC" w:rsidR="00D50145" w:rsidRPr="00224CAF" w:rsidRDefault="00D50145" w:rsidP="00C2182D">
            <w:pPr>
              <w:rPr>
                <w:rFonts w:cstheme="minorHAnsi"/>
              </w:rPr>
            </w:pPr>
            <w:r w:rsidRPr="00224CAF">
              <w:rPr>
                <w:rFonts w:cstheme="minorHAnsi"/>
              </w:rPr>
              <w:t>5 (4.5)</w:t>
            </w:r>
          </w:p>
        </w:tc>
      </w:tr>
      <w:tr w:rsidR="00224CAF" w:rsidRPr="00224CAF" w14:paraId="5DF83142" w14:textId="77777777" w:rsidTr="00C2182D">
        <w:trPr>
          <w:jc w:val="center"/>
        </w:trPr>
        <w:tc>
          <w:tcPr>
            <w:tcW w:w="0" w:type="auto"/>
          </w:tcPr>
          <w:p w14:paraId="4CCEA4AC" w14:textId="3ECDFB5C" w:rsidR="00D50145" w:rsidRPr="00224CAF" w:rsidRDefault="00D50145" w:rsidP="00D50145">
            <w:pPr>
              <w:rPr>
                <w:rFonts w:cstheme="minorHAnsi"/>
              </w:rPr>
            </w:pPr>
            <w:r w:rsidRPr="00224CAF">
              <w:rPr>
                <w:rFonts w:cstheme="minorHAnsi"/>
              </w:rPr>
              <w:t>Antécédents cardiovasculaires</w:t>
            </w:r>
          </w:p>
          <w:p w14:paraId="5DFAD301" w14:textId="6A156D7B" w:rsidR="00D50145" w:rsidRPr="00224CAF" w:rsidRDefault="00F75635" w:rsidP="00C2182D">
            <w:pPr>
              <w:rPr>
                <w:rFonts w:cstheme="minorHAnsi"/>
              </w:rPr>
            </w:pPr>
            <w:r w:rsidRPr="00224CAF">
              <w:rPr>
                <w:rFonts w:cstheme="minorHAnsi"/>
              </w:rPr>
              <w:t xml:space="preserve">     Diabèt</w:t>
            </w:r>
            <w:r w:rsidR="00882359" w:rsidRPr="00224CAF">
              <w:rPr>
                <w:rFonts w:cstheme="minorHAnsi"/>
              </w:rPr>
              <w:t>e</w:t>
            </w:r>
          </w:p>
          <w:p w14:paraId="65A948CD" w14:textId="77777777" w:rsidR="00F75635" w:rsidRPr="00224CAF" w:rsidRDefault="00F75635" w:rsidP="00C2182D">
            <w:pPr>
              <w:rPr>
                <w:rFonts w:cstheme="minorHAnsi"/>
              </w:rPr>
            </w:pPr>
            <w:r w:rsidRPr="00224CAF">
              <w:rPr>
                <w:rFonts w:cstheme="minorHAnsi"/>
              </w:rPr>
              <w:t xml:space="preserve">     Fibrillation auriculaire</w:t>
            </w:r>
          </w:p>
          <w:p w14:paraId="33003BB9" w14:textId="5CDE2A63" w:rsidR="00F75635" w:rsidRPr="00224CAF" w:rsidRDefault="00F75635" w:rsidP="00C2182D">
            <w:pPr>
              <w:rPr>
                <w:rFonts w:cstheme="minorHAnsi"/>
              </w:rPr>
            </w:pPr>
            <w:r w:rsidRPr="00224CAF">
              <w:rPr>
                <w:rFonts w:cstheme="minorHAnsi"/>
              </w:rPr>
              <w:t xml:space="preserve">     Pathologie vasculaire sévère</w:t>
            </w:r>
          </w:p>
          <w:p w14:paraId="520CFBD8" w14:textId="08D12E95" w:rsidR="00F75635" w:rsidRPr="00224CAF" w:rsidRDefault="00F75635" w:rsidP="00C2182D">
            <w:pPr>
              <w:rPr>
                <w:rFonts w:cstheme="minorHAnsi"/>
              </w:rPr>
            </w:pPr>
            <w:r w:rsidRPr="00224CAF">
              <w:rPr>
                <w:rFonts w:cstheme="minorHAnsi"/>
              </w:rPr>
              <w:t xml:space="preserve">     Cardiopathie valvulaire</w:t>
            </w:r>
          </w:p>
          <w:p w14:paraId="5BF4C266" w14:textId="63AD2C8B" w:rsidR="00F75635" w:rsidRPr="00224CAF" w:rsidRDefault="00F75635" w:rsidP="00C2182D">
            <w:pPr>
              <w:rPr>
                <w:rFonts w:cstheme="minorHAnsi"/>
              </w:rPr>
            </w:pPr>
            <w:r w:rsidRPr="00224CAF">
              <w:rPr>
                <w:rFonts w:cstheme="minorHAnsi"/>
              </w:rPr>
              <w:lastRenderedPageBreak/>
              <w:t xml:space="preserve">     Evènement thrombo-embolique</w:t>
            </w:r>
          </w:p>
          <w:p w14:paraId="0592CD68" w14:textId="2320D0E1" w:rsidR="00F75635" w:rsidRPr="00224CAF" w:rsidRDefault="00F75635" w:rsidP="00C2182D">
            <w:pPr>
              <w:rPr>
                <w:rFonts w:cstheme="minorHAnsi"/>
              </w:rPr>
            </w:pPr>
            <w:r w:rsidRPr="00224CAF">
              <w:rPr>
                <w:rFonts w:cstheme="minorHAnsi"/>
              </w:rPr>
              <w:t xml:space="preserve">     Accident vasculaire cérébral</w:t>
            </w:r>
          </w:p>
          <w:p w14:paraId="4174FBBA" w14:textId="77777777" w:rsidR="00F75635" w:rsidRPr="00224CAF" w:rsidRDefault="00F75635" w:rsidP="00C2182D">
            <w:pPr>
              <w:rPr>
                <w:rFonts w:cstheme="minorHAnsi"/>
              </w:rPr>
            </w:pPr>
            <w:r w:rsidRPr="00224CAF">
              <w:rPr>
                <w:rFonts w:cstheme="minorHAnsi"/>
              </w:rPr>
              <w:t xml:space="preserve">     Sténose aortique</w:t>
            </w:r>
          </w:p>
          <w:p w14:paraId="6FD903F3" w14:textId="77777777" w:rsidR="00F75635" w:rsidRPr="00224CAF" w:rsidRDefault="00F75635" w:rsidP="00C2182D">
            <w:pPr>
              <w:rPr>
                <w:rFonts w:cstheme="minorHAnsi"/>
              </w:rPr>
            </w:pPr>
            <w:r w:rsidRPr="00224CAF">
              <w:rPr>
                <w:rFonts w:cstheme="minorHAnsi"/>
              </w:rPr>
              <w:t xml:space="preserve">     Pacemaker</w:t>
            </w:r>
          </w:p>
          <w:p w14:paraId="22E00A9A" w14:textId="77777777" w:rsidR="00F75635" w:rsidRPr="00224CAF" w:rsidRDefault="00F75635" w:rsidP="00C2182D">
            <w:pPr>
              <w:rPr>
                <w:rFonts w:cstheme="minorHAnsi"/>
              </w:rPr>
            </w:pPr>
            <w:r w:rsidRPr="00224CAF">
              <w:rPr>
                <w:rFonts w:cstheme="minorHAnsi"/>
              </w:rPr>
              <w:t xml:space="preserve">     Remplacement de valve aortique</w:t>
            </w:r>
          </w:p>
          <w:p w14:paraId="00318B5B" w14:textId="77777777" w:rsidR="00F75635" w:rsidRPr="00224CAF" w:rsidRDefault="00F75635" w:rsidP="00C2182D">
            <w:pPr>
              <w:rPr>
                <w:rFonts w:cstheme="minorHAnsi"/>
              </w:rPr>
            </w:pPr>
            <w:r w:rsidRPr="00224CAF">
              <w:rPr>
                <w:rFonts w:cstheme="minorHAnsi"/>
              </w:rPr>
              <w:t xml:space="preserve">     Fermeture percutanée auricule</w:t>
            </w:r>
          </w:p>
          <w:p w14:paraId="129C83CF" w14:textId="56D7C58F" w:rsidR="00F75635" w:rsidRPr="00224CAF" w:rsidRDefault="00F75635" w:rsidP="00C2182D">
            <w:pPr>
              <w:rPr>
                <w:rFonts w:cstheme="minorHAnsi"/>
              </w:rPr>
            </w:pPr>
            <w:r w:rsidRPr="00224CAF">
              <w:rPr>
                <w:rFonts w:cstheme="minorHAnsi"/>
              </w:rPr>
              <w:t xml:space="preserve">     Pompe cardiaque externe</w:t>
            </w:r>
          </w:p>
        </w:tc>
        <w:tc>
          <w:tcPr>
            <w:tcW w:w="0" w:type="auto"/>
          </w:tcPr>
          <w:p w14:paraId="24640791" w14:textId="77777777" w:rsidR="00D50145" w:rsidRPr="00224CAF" w:rsidRDefault="00D50145" w:rsidP="00C2182D">
            <w:pPr>
              <w:rPr>
                <w:rFonts w:cstheme="minorHAnsi"/>
              </w:rPr>
            </w:pPr>
          </w:p>
          <w:p w14:paraId="2157A02D" w14:textId="77777777" w:rsidR="00F75635" w:rsidRPr="00224CAF" w:rsidRDefault="00F75635" w:rsidP="00C2182D">
            <w:pPr>
              <w:rPr>
                <w:rFonts w:cstheme="minorHAnsi"/>
              </w:rPr>
            </w:pPr>
            <w:r w:rsidRPr="00224CAF">
              <w:rPr>
                <w:rFonts w:cstheme="minorHAnsi"/>
              </w:rPr>
              <w:t>36 (32.7)</w:t>
            </w:r>
          </w:p>
          <w:p w14:paraId="6B025E9C" w14:textId="77777777" w:rsidR="00F75635" w:rsidRPr="00224CAF" w:rsidRDefault="00F75635" w:rsidP="00C2182D">
            <w:pPr>
              <w:rPr>
                <w:rFonts w:cstheme="minorHAnsi"/>
              </w:rPr>
            </w:pPr>
            <w:r w:rsidRPr="00224CAF">
              <w:rPr>
                <w:rFonts w:cstheme="minorHAnsi"/>
              </w:rPr>
              <w:t>19 (17.3)</w:t>
            </w:r>
          </w:p>
          <w:p w14:paraId="10A2BB62" w14:textId="77777777" w:rsidR="00F75635" w:rsidRPr="00224CAF" w:rsidRDefault="00F75635" w:rsidP="00C2182D">
            <w:pPr>
              <w:rPr>
                <w:rFonts w:cstheme="minorHAnsi"/>
              </w:rPr>
            </w:pPr>
            <w:r w:rsidRPr="00224CAF">
              <w:rPr>
                <w:rFonts w:cstheme="minorHAnsi"/>
              </w:rPr>
              <w:t>38 (34.5)</w:t>
            </w:r>
          </w:p>
          <w:p w14:paraId="1006BE3F" w14:textId="77777777" w:rsidR="00F75635" w:rsidRPr="00224CAF" w:rsidRDefault="00F75635" w:rsidP="00C2182D">
            <w:pPr>
              <w:rPr>
                <w:rFonts w:cstheme="minorHAnsi"/>
              </w:rPr>
            </w:pPr>
            <w:r w:rsidRPr="00224CAF">
              <w:rPr>
                <w:rFonts w:cstheme="minorHAnsi"/>
              </w:rPr>
              <w:t>3 (2.7)</w:t>
            </w:r>
          </w:p>
          <w:p w14:paraId="05BB6541" w14:textId="77777777" w:rsidR="00F75635" w:rsidRPr="00224CAF" w:rsidRDefault="00F75635" w:rsidP="00C2182D">
            <w:pPr>
              <w:rPr>
                <w:rFonts w:cstheme="minorHAnsi"/>
              </w:rPr>
            </w:pPr>
            <w:r w:rsidRPr="00224CAF">
              <w:rPr>
                <w:rFonts w:cstheme="minorHAnsi"/>
              </w:rPr>
              <w:lastRenderedPageBreak/>
              <w:t>8 (7.3)</w:t>
            </w:r>
          </w:p>
          <w:p w14:paraId="6B91A2E1" w14:textId="77777777" w:rsidR="00F75635" w:rsidRPr="00224CAF" w:rsidRDefault="00F75635" w:rsidP="00C2182D">
            <w:pPr>
              <w:rPr>
                <w:rFonts w:cstheme="minorHAnsi"/>
              </w:rPr>
            </w:pPr>
            <w:r w:rsidRPr="00224CAF">
              <w:rPr>
                <w:rFonts w:cstheme="minorHAnsi"/>
              </w:rPr>
              <w:t>6 (5.5)</w:t>
            </w:r>
          </w:p>
          <w:p w14:paraId="069BF967" w14:textId="77777777" w:rsidR="00F75635" w:rsidRPr="00224CAF" w:rsidRDefault="00F75635" w:rsidP="00C2182D">
            <w:pPr>
              <w:rPr>
                <w:rFonts w:cstheme="minorHAnsi"/>
              </w:rPr>
            </w:pPr>
            <w:r w:rsidRPr="00224CAF">
              <w:rPr>
                <w:rFonts w:cstheme="minorHAnsi"/>
              </w:rPr>
              <w:t>8 (7.3)</w:t>
            </w:r>
          </w:p>
          <w:p w14:paraId="0F74E650" w14:textId="77777777" w:rsidR="00F75635" w:rsidRPr="00224CAF" w:rsidRDefault="00F75635" w:rsidP="00C2182D">
            <w:pPr>
              <w:rPr>
                <w:rFonts w:cstheme="minorHAnsi"/>
              </w:rPr>
            </w:pPr>
            <w:r w:rsidRPr="00224CAF">
              <w:rPr>
                <w:rFonts w:cstheme="minorHAnsi"/>
              </w:rPr>
              <w:t>2 (1.8)</w:t>
            </w:r>
          </w:p>
          <w:p w14:paraId="7E137925" w14:textId="77777777" w:rsidR="00F75635" w:rsidRPr="00224CAF" w:rsidRDefault="00F75635" w:rsidP="00C2182D">
            <w:pPr>
              <w:rPr>
                <w:rFonts w:cstheme="minorHAnsi"/>
              </w:rPr>
            </w:pPr>
            <w:r w:rsidRPr="00224CAF">
              <w:rPr>
                <w:rFonts w:cstheme="minorHAnsi"/>
              </w:rPr>
              <w:t>5 (4.5)</w:t>
            </w:r>
          </w:p>
          <w:p w14:paraId="4E466D13" w14:textId="77777777" w:rsidR="00F75635" w:rsidRPr="00224CAF" w:rsidRDefault="00F75635" w:rsidP="00C2182D">
            <w:pPr>
              <w:rPr>
                <w:rFonts w:cstheme="minorHAnsi"/>
              </w:rPr>
            </w:pPr>
            <w:r w:rsidRPr="00224CAF">
              <w:rPr>
                <w:rFonts w:cstheme="minorHAnsi"/>
              </w:rPr>
              <w:t>1 (0.9)</w:t>
            </w:r>
          </w:p>
          <w:p w14:paraId="19794FD4" w14:textId="7ED351E2" w:rsidR="00F75635" w:rsidRPr="00224CAF" w:rsidRDefault="00F75635" w:rsidP="00C2182D">
            <w:pPr>
              <w:rPr>
                <w:rFonts w:cstheme="minorHAnsi"/>
              </w:rPr>
            </w:pPr>
            <w:r w:rsidRPr="00224CAF">
              <w:rPr>
                <w:rFonts w:cstheme="minorHAnsi"/>
              </w:rPr>
              <w:t>2 (1.8)</w:t>
            </w:r>
          </w:p>
        </w:tc>
      </w:tr>
    </w:tbl>
    <w:p w14:paraId="514CD31A" w14:textId="77777777" w:rsidR="00B71F81" w:rsidRPr="00224CAF" w:rsidRDefault="00B71F81" w:rsidP="00B71F81">
      <w:pPr>
        <w:rPr>
          <w:rFonts w:cstheme="minorHAnsi"/>
          <w:u w:val="single"/>
        </w:rPr>
      </w:pPr>
    </w:p>
    <w:p w14:paraId="0B4B6C6F" w14:textId="353251D9" w:rsidR="00B71F81" w:rsidRPr="00224CAF" w:rsidRDefault="00B71F81" w:rsidP="00B71F81">
      <w:pPr>
        <w:rPr>
          <w:rFonts w:cstheme="minorHAnsi"/>
          <w:u w:val="single"/>
        </w:rPr>
      </w:pPr>
      <w:r w:rsidRPr="00224CAF">
        <w:rPr>
          <w:rFonts w:cstheme="minorHAnsi"/>
          <w:u w:val="single"/>
        </w:rPr>
        <w:t xml:space="preserve">Tableau </w:t>
      </w:r>
      <w:r w:rsidR="00224CAF">
        <w:rPr>
          <w:rFonts w:cstheme="minorHAnsi"/>
          <w:u w:val="single"/>
        </w:rPr>
        <w:t>2</w:t>
      </w:r>
      <w:r w:rsidRPr="00224CAF">
        <w:rPr>
          <w:rFonts w:cstheme="minorHAnsi"/>
          <w:u w:val="single"/>
        </w:rPr>
        <w:t> : indications de la VCE</w:t>
      </w:r>
    </w:p>
    <w:tbl>
      <w:tblPr>
        <w:tblStyle w:val="Grilledutableau"/>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09"/>
        <w:gridCol w:w="1143"/>
      </w:tblGrid>
      <w:tr w:rsidR="00224CAF" w:rsidRPr="00224CAF" w14:paraId="142F2BB5" w14:textId="77777777" w:rsidTr="00C2182D">
        <w:trPr>
          <w:jc w:val="center"/>
        </w:trPr>
        <w:tc>
          <w:tcPr>
            <w:tcW w:w="0" w:type="auto"/>
          </w:tcPr>
          <w:p w14:paraId="678B8596" w14:textId="77777777" w:rsidR="004D42C6" w:rsidRPr="00224CAF" w:rsidRDefault="004D42C6" w:rsidP="00C2182D">
            <w:pPr>
              <w:rPr>
                <w:rFonts w:cstheme="minorHAnsi"/>
                <w:b/>
                <w:bCs/>
              </w:rPr>
            </w:pPr>
            <w:r w:rsidRPr="00224CAF">
              <w:rPr>
                <w:rFonts w:cstheme="minorHAnsi"/>
                <w:b/>
                <w:bCs/>
              </w:rPr>
              <w:t>Indications de la VCE</w:t>
            </w:r>
          </w:p>
        </w:tc>
        <w:tc>
          <w:tcPr>
            <w:tcW w:w="0" w:type="auto"/>
          </w:tcPr>
          <w:p w14:paraId="3F2BF3A7" w14:textId="7CB54003" w:rsidR="004D42C6" w:rsidRPr="00224CAF" w:rsidRDefault="004D42C6" w:rsidP="00C2182D">
            <w:pPr>
              <w:rPr>
                <w:rFonts w:cstheme="minorHAnsi"/>
              </w:rPr>
            </w:pPr>
            <w:r w:rsidRPr="00224CAF">
              <w:rPr>
                <w:rFonts w:cstheme="minorHAnsi"/>
              </w:rPr>
              <w:t>N=110 (%)</w:t>
            </w:r>
          </w:p>
        </w:tc>
      </w:tr>
      <w:tr w:rsidR="00224CAF" w:rsidRPr="00224CAF" w14:paraId="7FF2D4C4" w14:textId="77777777" w:rsidTr="00C2182D">
        <w:trPr>
          <w:jc w:val="center"/>
        </w:trPr>
        <w:tc>
          <w:tcPr>
            <w:tcW w:w="0" w:type="auto"/>
          </w:tcPr>
          <w:p w14:paraId="772F2F29" w14:textId="06F3203E" w:rsidR="004C55FC" w:rsidRPr="00224CAF" w:rsidRDefault="004C55FC" w:rsidP="00C2182D">
            <w:pPr>
              <w:rPr>
                <w:rFonts w:cstheme="minorHAnsi"/>
              </w:rPr>
            </w:pPr>
            <w:r w:rsidRPr="00224CAF">
              <w:rPr>
                <w:rFonts w:cstheme="minorHAnsi"/>
              </w:rPr>
              <w:t>Anémie</w:t>
            </w:r>
          </w:p>
          <w:p w14:paraId="55AE24E7" w14:textId="0BB69999" w:rsidR="004D42C6" w:rsidRPr="00224CAF" w:rsidRDefault="004D42C6" w:rsidP="00C2182D">
            <w:pPr>
              <w:rPr>
                <w:rFonts w:cstheme="minorHAnsi"/>
              </w:rPr>
            </w:pPr>
            <w:r w:rsidRPr="00224CAF">
              <w:rPr>
                <w:rFonts w:cstheme="minorHAnsi"/>
              </w:rPr>
              <w:t>Présence d’une Hb &lt; 12g/dL</w:t>
            </w:r>
          </w:p>
          <w:p w14:paraId="4F080D02" w14:textId="484CC41E" w:rsidR="004D42C6" w:rsidRPr="00224CAF" w:rsidRDefault="004C55FC" w:rsidP="00C2182D">
            <w:pPr>
              <w:rPr>
                <w:rFonts w:cstheme="minorHAnsi"/>
              </w:rPr>
            </w:pPr>
            <w:r w:rsidRPr="00224CAF">
              <w:rPr>
                <w:rFonts w:cstheme="minorHAnsi"/>
              </w:rPr>
              <w:t xml:space="preserve">Présence d’une </w:t>
            </w:r>
            <w:r w:rsidR="004D42C6" w:rsidRPr="00224CAF">
              <w:rPr>
                <w:rFonts w:cstheme="minorHAnsi"/>
              </w:rPr>
              <w:t>Hb &lt; 10g/dL</w:t>
            </w:r>
          </w:p>
        </w:tc>
        <w:tc>
          <w:tcPr>
            <w:tcW w:w="0" w:type="auto"/>
          </w:tcPr>
          <w:p w14:paraId="3DD51B19" w14:textId="77777777" w:rsidR="004D42C6" w:rsidRPr="00224CAF" w:rsidRDefault="004D42C6" w:rsidP="00C2182D">
            <w:pPr>
              <w:rPr>
                <w:rFonts w:cstheme="minorHAnsi"/>
              </w:rPr>
            </w:pPr>
          </w:p>
          <w:p w14:paraId="71B1A8E8" w14:textId="337D5CFC" w:rsidR="004D42C6" w:rsidRPr="00224CAF" w:rsidRDefault="004D42C6" w:rsidP="00C2182D">
            <w:pPr>
              <w:rPr>
                <w:rFonts w:cstheme="minorHAnsi"/>
              </w:rPr>
            </w:pPr>
            <w:r w:rsidRPr="00224CAF">
              <w:rPr>
                <w:rFonts w:cstheme="minorHAnsi"/>
              </w:rPr>
              <w:t>104 (94.5)</w:t>
            </w:r>
          </w:p>
          <w:p w14:paraId="140E3423" w14:textId="47A9BE19" w:rsidR="004D42C6" w:rsidRPr="00224CAF" w:rsidRDefault="004D42C6" w:rsidP="00C2182D">
            <w:pPr>
              <w:rPr>
                <w:rFonts w:cstheme="minorHAnsi"/>
              </w:rPr>
            </w:pPr>
            <w:r w:rsidRPr="00224CAF">
              <w:rPr>
                <w:rFonts w:cstheme="minorHAnsi"/>
              </w:rPr>
              <w:t>93 (84.5)</w:t>
            </w:r>
          </w:p>
        </w:tc>
      </w:tr>
      <w:tr w:rsidR="00224CAF" w:rsidRPr="00224CAF" w14:paraId="62F0DF37" w14:textId="77777777" w:rsidTr="00C2182D">
        <w:trPr>
          <w:jc w:val="center"/>
        </w:trPr>
        <w:tc>
          <w:tcPr>
            <w:tcW w:w="0" w:type="auto"/>
          </w:tcPr>
          <w:p w14:paraId="00BC2020" w14:textId="74ECB27A" w:rsidR="004C55FC" w:rsidRPr="00224CAF" w:rsidRDefault="004C55FC" w:rsidP="00C2182D">
            <w:pPr>
              <w:rPr>
                <w:rFonts w:cstheme="minorHAnsi"/>
              </w:rPr>
            </w:pPr>
            <w:r w:rsidRPr="00224CAF">
              <w:rPr>
                <w:rFonts w:cstheme="minorHAnsi"/>
              </w:rPr>
              <w:t>Extériorisation sanguine avec anémie (Hb &lt; 12g/dL)</w:t>
            </w:r>
          </w:p>
        </w:tc>
        <w:tc>
          <w:tcPr>
            <w:tcW w:w="0" w:type="auto"/>
          </w:tcPr>
          <w:p w14:paraId="4C292EAF" w14:textId="10F0869C" w:rsidR="004C55FC" w:rsidRPr="00224CAF" w:rsidRDefault="004C55FC" w:rsidP="00C2182D">
            <w:pPr>
              <w:rPr>
                <w:rFonts w:cstheme="minorHAnsi"/>
              </w:rPr>
            </w:pPr>
            <w:r w:rsidRPr="00224CAF">
              <w:rPr>
                <w:rFonts w:cstheme="minorHAnsi"/>
              </w:rPr>
              <w:t>35 (</w:t>
            </w:r>
            <w:r w:rsidR="00317C58" w:rsidRPr="00224CAF">
              <w:rPr>
                <w:rFonts w:cstheme="minorHAnsi"/>
              </w:rPr>
              <w:t>31.8</w:t>
            </w:r>
            <w:r w:rsidRPr="00224CAF">
              <w:rPr>
                <w:rFonts w:cstheme="minorHAnsi"/>
              </w:rPr>
              <w:t>)</w:t>
            </w:r>
          </w:p>
        </w:tc>
      </w:tr>
      <w:tr w:rsidR="00224CAF" w:rsidRPr="00224CAF" w14:paraId="726A0F45" w14:textId="77777777" w:rsidTr="00C2182D">
        <w:trPr>
          <w:jc w:val="center"/>
        </w:trPr>
        <w:tc>
          <w:tcPr>
            <w:tcW w:w="0" w:type="auto"/>
          </w:tcPr>
          <w:p w14:paraId="212EDB04" w14:textId="2B07886A" w:rsidR="004C55FC" w:rsidRPr="00224CAF" w:rsidRDefault="004C55FC" w:rsidP="00C2182D">
            <w:pPr>
              <w:rPr>
                <w:rFonts w:cstheme="minorHAnsi"/>
              </w:rPr>
            </w:pPr>
            <w:r w:rsidRPr="00224CAF">
              <w:rPr>
                <w:rFonts w:cstheme="minorHAnsi"/>
              </w:rPr>
              <w:t>Extériorisation sanguine sans anémie (Hb &gt; 12g/dL)</w:t>
            </w:r>
          </w:p>
        </w:tc>
        <w:tc>
          <w:tcPr>
            <w:tcW w:w="0" w:type="auto"/>
          </w:tcPr>
          <w:p w14:paraId="1D94D989" w14:textId="15A02802" w:rsidR="004C55FC" w:rsidRPr="00224CAF" w:rsidRDefault="004C55FC" w:rsidP="00C2182D">
            <w:pPr>
              <w:rPr>
                <w:rFonts w:cstheme="minorHAnsi"/>
              </w:rPr>
            </w:pPr>
            <w:r w:rsidRPr="00224CAF">
              <w:rPr>
                <w:rFonts w:cstheme="minorHAnsi"/>
              </w:rPr>
              <w:t>6 (5.5)</w:t>
            </w:r>
          </w:p>
        </w:tc>
      </w:tr>
      <w:tr w:rsidR="00224CAF" w:rsidRPr="00224CAF" w14:paraId="54375FEC" w14:textId="77777777" w:rsidTr="00C2182D">
        <w:trPr>
          <w:jc w:val="center"/>
        </w:trPr>
        <w:tc>
          <w:tcPr>
            <w:tcW w:w="0" w:type="auto"/>
          </w:tcPr>
          <w:p w14:paraId="3CEFC359" w14:textId="396F09CA" w:rsidR="004D42C6" w:rsidRPr="00224CAF" w:rsidRDefault="004D42C6" w:rsidP="00C2182D">
            <w:pPr>
              <w:rPr>
                <w:rFonts w:cstheme="minorHAnsi"/>
              </w:rPr>
            </w:pPr>
            <w:r w:rsidRPr="00224CAF">
              <w:rPr>
                <w:rFonts w:cstheme="minorHAnsi"/>
              </w:rPr>
              <w:t>Recherche de sang sur selles positive</w:t>
            </w:r>
            <w:r w:rsidR="004C55FC" w:rsidRPr="00224CAF">
              <w:rPr>
                <w:rFonts w:cstheme="minorHAnsi"/>
              </w:rPr>
              <w:t xml:space="preserve"> avec anémie</w:t>
            </w:r>
          </w:p>
        </w:tc>
        <w:tc>
          <w:tcPr>
            <w:tcW w:w="0" w:type="auto"/>
          </w:tcPr>
          <w:p w14:paraId="3001E83E" w14:textId="77777777" w:rsidR="004D42C6" w:rsidRPr="00224CAF" w:rsidRDefault="004D42C6" w:rsidP="00C2182D">
            <w:pPr>
              <w:rPr>
                <w:rFonts w:cstheme="minorHAnsi"/>
              </w:rPr>
            </w:pPr>
            <w:r w:rsidRPr="00224CAF">
              <w:rPr>
                <w:rFonts w:cstheme="minorHAnsi"/>
              </w:rPr>
              <w:t>2 (1.8)</w:t>
            </w:r>
          </w:p>
        </w:tc>
      </w:tr>
    </w:tbl>
    <w:p w14:paraId="486C9A86" w14:textId="77777777" w:rsidR="00B71F81" w:rsidRPr="00224CAF" w:rsidRDefault="00B71F81" w:rsidP="00B71F81">
      <w:pPr>
        <w:jc w:val="center"/>
        <w:rPr>
          <w:rFonts w:cstheme="minorHAnsi"/>
        </w:rPr>
      </w:pPr>
      <w:r w:rsidRPr="00224CAF">
        <w:rPr>
          <w:rFonts w:cstheme="minorHAnsi"/>
        </w:rPr>
        <w:t>Légende : Hb = hémoglobine mesurée en gramme par décilitre</w:t>
      </w:r>
    </w:p>
    <w:p w14:paraId="0970E3E5" w14:textId="101D7899" w:rsidR="00B71F81" w:rsidRPr="00224CAF" w:rsidRDefault="00B71F81" w:rsidP="00B71F81">
      <w:pPr>
        <w:rPr>
          <w:rFonts w:cstheme="minorHAnsi"/>
          <w:u w:val="single"/>
        </w:rPr>
      </w:pPr>
      <w:r w:rsidRPr="00224CAF">
        <w:rPr>
          <w:rFonts w:cstheme="minorHAnsi"/>
          <w:u w:val="single"/>
        </w:rPr>
        <w:t xml:space="preserve">Tableau </w:t>
      </w:r>
      <w:r w:rsidR="00224CAF">
        <w:rPr>
          <w:rFonts w:cstheme="minorHAnsi"/>
          <w:u w:val="single"/>
        </w:rPr>
        <w:t>3</w:t>
      </w:r>
      <w:r w:rsidRPr="00224CAF">
        <w:rPr>
          <w:rFonts w:cstheme="minorHAnsi"/>
          <w:u w:val="single"/>
        </w:rPr>
        <w:t> : résultats de la VCE</w:t>
      </w:r>
    </w:p>
    <w:tbl>
      <w:tblPr>
        <w:tblStyle w:val="Grilledutableau"/>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6"/>
      </w:tblGrid>
      <w:tr w:rsidR="00224CAF" w:rsidRPr="00224CAF" w14:paraId="3536F9E3" w14:textId="77777777" w:rsidTr="00C2182D">
        <w:trPr>
          <w:jc w:val="center"/>
        </w:trPr>
        <w:tc>
          <w:tcPr>
            <w:tcW w:w="2265" w:type="dxa"/>
          </w:tcPr>
          <w:p w14:paraId="4AE37A2B" w14:textId="77777777" w:rsidR="00B46088" w:rsidRPr="00224CAF" w:rsidRDefault="00B46088" w:rsidP="00C2182D">
            <w:pPr>
              <w:rPr>
                <w:rFonts w:cstheme="minorHAnsi"/>
                <w:b/>
                <w:bCs/>
              </w:rPr>
            </w:pPr>
            <w:r w:rsidRPr="00224CAF">
              <w:rPr>
                <w:rFonts w:cstheme="minorHAnsi"/>
                <w:b/>
                <w:bCs/>
              </w:rPr>
              <w:t>Résultats VCE</w:t>
            </w:r>
          </w:p>
        </w:tc>
        <w:tc>
          <w:tcPr>
            <w:tcW w:w="2266" w:type="dxa"/>
          </w:tcPr>
          <w:p w14:paraId="12D29F53" w14:textId="3DD07124" w:rsidR="00B46088" w:rsidRPr="00224CAF" w:rsidRDefault="00B46088" w:rsidP="00C2182D">
            <w:pPr>
              <w:rPr>
                <w:rFonts w:cstheme="minorHAnsi"/>
              </w:rPr>
            </w:pPr>
            <w:r w:rsidRPr="00224CAF">
              <w:rPr>
                <w:rFonts w:cstheme="minorHAnsi"/>
              </w:rPr>
              <w:t>N=110 (%)</w:t>
            </w:r>
          </w:p>
        </w:tc>
      </w:tr>
      <w:tr w:rsidR="00224CAF" w:rsidRPr="00224CAF" w14:paraId="2E371074" w14:textId="77777777" w:rsidTr="00C2182D">
        <w:trPr>
          <w:jc w:val="center"/>
        </w:trPr>
        <w:tc>
          <w:tcPr>
            <w:tcW w:w="2265" w:type="dxa"/>
          </w:tcPr>
          <w:p w14:paraId="5F9BF93E" w14:textId="1E54E923" w:rsidR="00B46088" w:rsidRPr="00224CAF" w:rsidRDefault="00B46088" w:rsidP="00C2182D">
            <w:pPr>
              <w:rPr>
                <w:rFonts w:cstheme="minorHAnsi"/>
              </w:rPr>
            </w:pPr>
            <w:r w:rsidRPr="00224CAF">
              <w:rPr>
                <w:rFonts w:cstheme="minorHAnsi"/>
              </w:rPr>
              <w:t>Ininterprétable</w:t>
            </w:r>
          </w:p>
          <w:p w14:paraId="5398D73A" w14:textId="77777777" w:rsidR="00B46088" w:rsidRPr="00224CAF" w:rsidRDefault="00B46088" w:rsidP="00C2182D">
            <w:pPr>
              <w:rPr>
                <w:rFonts w:cstheme="minorHAnsi"/>
              </w:rPr>
            </w:pPr>
            <w:r w:rsidRPr="00224CAF">
              <w:rPr>
                <w:rFonts w:cstheme="minorHAnsi"/>
              </w:rPr>
              <w:t>Normale</w:t>
            </w:r>
          </w:p>
          <w:p w14:paraId="080A3F90" w14:textId="77777777" w:rsidR="00B46088" w:rsidRPr="00224CAF" w:rsidRDefault="00B46088" w:rsidP="00C2182D">
            <w:pPr>
              <w:rPr>
                <w:rFonts w:cstheme="minorHAnsi"/>
              </w:rPr>
            </w:pPr>
            <w:r w:rsidRPr="00224CAF">
              <w:rPr>
                <w:rFonts w:cstheme="minorHAnsi"/>
              </w:rPr>
              <w:t>Anormale</w:t>
            </w:r>
          </w:p>
          <w:p w14:paraId="4B39D6E4" w14:textId="77777777" w:rsidR="00B46088" w:rsidRPr="00224CAF" w:rsidRDefault="00B46088" w:rsidP="00C2182D">
            <w:pPr>
              <w:rPr>
                <w:rFonts w:cstheme="minorHAnsi"/>
              </w:rPr>
            </w:pPr>
            <w:r w:rsidRPr="00224CAF">
              <w:rPr>
                <w:rFonts w:cstheme="minorHAnsi"/>
              </w:rPr>
              <w:t xml:space="preserve">     Angiodysplasies</w:t>
            </w:r>
          </w:p>
          <w:p w14:paraId="1E576D9E" w14:textId="77777777" w:rsidR="00B46088" w:rsidRPr="00224CAF" w:rsidRDefault="00B46088" w:rsidP="00C2182D">
            <w:pPr>
              <w:rPr>
                <w:rFonts w:cstheme="minorHAnsi"/>
              </w:rPr>
            </w:pPr>
            <w:r w:rsidRPr="00224CAF">
              <w:rPr>
                <w:rFonts w:cstheme="minorHAnsi"/>
              </w:rPr>
              <w:t xml:space="preserve">     Érosions</w:t>
            </w:r>
          </w:p>
          <w:p w14:paraId="270C45AA" w14:textId="22CA79F2" w:rsidR="00B46088" w:rsidRPr="00224CAF" w:rsidRDefault="00B46088" w:rsidP="00C2182D">
            <w:pPr>
              <w:rPr>
                <w:rFonts w:cstheme="minorHAnsi"/>
              </w:rPr>
            </w:pPr>
            <w:r w:rsidRPr="00224CAF">
              <w:rPr>
                <w:rFonts w:cstheme="minorHAnsi"/>
              </w:rPr>
              <w:t xml:space="preserve">     Autres lésions</w:t>
            </w:r>
          </w:p>
        </w:tc>
        <w:tc>
          <w:tcPr>
            <w:tcW w:w="2266" w:type="dxa"/>
          </w:tcPr>
          <w:p w14:paraId="4F30A98E" w14:textId="38FB0008" w:rsidR="00B46088" w:rsidRPr="00224CAF" w:rsidRDefault="00B46088" w:rsidP="00C2182D">
            <w:pPr>
              <w:rPr>
                <w:rFonts w:cstheme="minorHAnsi"/>
              </w:rPr>
            </w:pPr>
            <w:r w:rsidRPr="00224CAF">
              <w:rPr>
                <w:rFonts w:cstheme="minorHAnsi"/>
              </w:rPr>
              <w:t>1 (0.9)</w:t>
            </w:r>
          </w:p>
          <w:p w14:paraId="37184425" w14:textId="2CB52957" w:rsidR="00B46088" w:rsidRPr="00224CAF" w:rsidRDefault="00B46088" w:rsidP="00C2182D">
            <w:pPr>
              <w:rPr>
                <w:rFonts w:cstheme="minorHAnsi"/>
              </w:rPr>
            </w:pPr>
            <w:r w:rsidRPr="00224CAF">
              <w:rPr>
                <w:rFonts w:cstheme="minorHAnsi"/>
              </w:rPr>
              <w:t>45 (40.9)</w:t>
            </w:r>
          </w:p>
          <w:p w14:paraId="64DD041D" w14:textId="77777777" w:rsidR="00B46088" w:rsidRPr="00224CAF" w:rsidRDefault="00B46088" w:rsidP="00C2182D">
            <w:pPr>
              <w:rPr>
                <w:rFonts w:cstheme="minorHAnsi"/>
              </w:rPr>
            </w:pPr>
            <w:r w:rsidRPr="00224CAF">
              <w:rPr>
                <w:rFonts w:cstheme="minorHAnsi"/>
              </w:rPr>
              <w:t>64 (58.2)</w:t>
            </w:r>
          </w:p>
          <w:p w14:paraId="159566D5" w14:textId="77777777" w:rsidR="00B46088" w:rsidRPr="00224CAF" w:rsidRDefault="00B46088" w:rsidP="00C2182D">
            <w:pPr>
              <w:rPr>
                <w:rFonts w:cstheme="minorHAnsi"/>
              </w:rPr>
            </w:pPr>
            <w:r w:rsidRPr="00224CAF">
              <w:rPr>
                <w:rFonts w:cstheme="minorHAnsi"/>
              </w:rPr>
              <w:t>43 (67.2)</w:t>
            </w:r>
          </w:p>
          <w:p w14:paraId="0707D95A" w14:textId="77777777" w:rsidR="00B46088" w:rsidRPr="00224CAF" w:rsidRDefault="00B46088" w:rsidP="00C2182D">
            <w:pPr>
              <w:rPr>
                <w:rFonts w:cstheme="minorHAnsi"/>
              </w:rPr>
            </w:pPr>
            <w:r w:rsidRPr="00224CAF">
              <w:rPr>
                <w:rFonts w:cstheme="minorHAnsi"/>
              </w:rPr>
              <w:t>15 (23.4)</w:t>
            </w:r>
          </w:p>
          <w:p w14:paraId="7D2FCF77" w14:textId="532A12E2" w:rsidR="00B46088" w:rsidRPr="00224CAF" w:rsidRDefault="00B46088" w:rsidP="00C2182D">
            <w:pPr>
              <w:rPr>
                <w:rFonts w:cstheme="minorHAnsi"/>
              </w:rPr>
            </w:pPr>
            <w:r w:rsidRPr="00224CAF">
              <w:rPr>
                <w:rFonts w:cstheme="minorHAnsi"/>
              </w:rPr>
              <w:t>14 (21.9)</w:t>
            </w:r>
          </w:p>
        </w:tc>
      </w:tr>
    </w:tbl>
    <w:p w14:paraId="2ADA7336" w14:textId="77777777" w:rsidR="00B71F81" w:rsidRPr="00224CAF" w:rsidRDefault="00B71F81" w:rsidP="00B71F81">
      <w:pPr>
        <w:jc w:val="center"/>
        <w:rPr>
          <w:rFonts w:cstheme="minorHAnsi"/>
        </w:rPr>
      </w:pPr>
      <w:r w:rsidRPr="00224CAF">
        <w:rPr>
          <w:rFonts w:cstheme="minorHAnsi"/>
        </w:rPr>
        <w:t>Certains patients présentaient plusieurs types de lésion sur le même enregistrement.</w:t>
      </w:r>
    </w:p>
    <w:p w14:paraId="19829FA8" w14:textId="33CC8D2A" w:rsidR="00B71F81" w:rsidRPr="00224CAF" w:rsidRDefault="00B71F81" w:rsidP="00B71F81">
      <w:pPr>
        <w:rPr>
          <w:rFonts w:cstheme="minorHAnsi"/>
          <w:u w:val="single"/>
        </w:rPr>
      </w:pPr>
      <w:r w:rsidRPr="00224CAF">
        <w:rPr>
          <w:rFonts w:cstheme="minorHAnsi"/>
          <w:u w:val="single"/>
        </w:rPr>
        <w:t xml:space="preserve">Tableau </w:t>
      </w:r>
      <w:r w:rsidR="00224CAF">
        <w:rPr>
          <w:rFonts w:cstheme="minorHAnsi"/>
          <w:u w:val="single"/>
        </w:rPr>
        <w:t>4</w:t>
      </w:r>
      <w:r w:rsidRPr="00224CAF">
        <w:rPr>
          <w:rFonts w:cstheme="minorHAnsi"/>
          <w:u w:val="single"/>
        </w:rPr>
        <w:t> : Modification de l’attitude thérapeutique post VCE</w:t>
      </w:r>
    </w:p>
    <w:tbl>
      <w:tblPr>
        <w:tblStyle w:val="Grilledutableau"/>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59"/>
        <w:gridCol w:w="1242"/>
      </w:tblGrid>
      <w:tr w:rsidR="00224CAF" w:rsidRPr="00224CAF" w14:paraId="3B6D8215" w14:textId="77777777" w:rsidTr="00C2182D">
        <w:trPr>
          <w:jc w:val="center"/>
        </w:trPr>
        <w:tc>
          <w:tcPr>
            <w:tcW w:w="0" w:type="auto"/>
          </w:tcPr>
          <w:p w14:paraId="4333BCFC" w14:textId="77777777" w:rsidR="00B46088" w:rsidRPr="00224CAF" w:rsidRDefault="00B46088" w:rsidP="00C2182D">
            <w:pPr>
              <w:rPr>
                <w:rFonts w:cstheme="minorHAnsi"/>
                <w:b/>
                <w:bCs/>
              </w:rPr>
            </w:pPr>
            <w:r w:rsidRPr="00224CAF">
              <w:rPr>
                <w:rFonts w:cstheme="minorHAnsi"/>
                <w:b/>
                <w:bCs/>
              </w:rPr>
              <w:t>Prise en charge post VCE</w:t>
            </w:r>
          </w:p>
        </w:tc>
        <w:tc>
          <w:tcPr>
            <w:tcW w:w="0" w:type="auto"/>
          </w:tcPr>
          <w:p w14:paraId="36998AC5" w14:textId="58D5BC33" w:rsidR="00B46088" w:rsidRPr="00224CAF" w:rsidRDefault="00B46088" w:rsidP="00C2182D">
            <w:pPr>
              <w:rPr>
                <w:rFonts w:cstheme="minorHAnsi"/>
              </w:rPr>
            </w:pPr>
            <w:r w:rsidRPr="00224CAF">
              <w:rPr>
                <w:rFonts w:cstheme="minorHAnsi"/>
              </w:rPr>
              <w:t>N = 110 (%)</w:t>
            </w:r>
          </w:p>
        </w:tc>
      </w:tr>
      <w:tr w:rsidR="00224CAF" w:rsidRPr="00224CAF" w14:paraId="345180D3" w14:textId="77777777" w:rsidTr="00C2182D">
        <w:trPr>
          <w:jc w:val="center"/>
        </w:trPr>
        <w:tc>
          <w:tcPr>
            <w:tcW w:w="0" w:type="auto"/>
          </w:tcPr>
          <w:p w14:paraId="119A503A" w14:textId="77777777" w:rsidR="00B46088" w:rsidRPr="00224CAF" w:rsidRDefault="00B46088" w:rsidP="00C2182D">
            <w:pPr>
              <w:rPr>
                <w:rFonts w:cstheme="minorHAnsi"/>
              </w:rPr>
            </w:pPr>
            <w:r w:rsidRPr="00224CAF">
              <w:rPr>
                <w:rFonts w:cstheme="minorHAnsi"/>
              </w:rPr>
              <w:t>Modification de l’attitude thérapeutique</w:t>
            </w:r>
          </w:p>
        </w:tc>
        <w:tc>
          <w:tcPr>
            <w:tcW w:w="0" w:type="auto"/>
          </w:tcPr>
          <w:p w14:paraId="11A9A5FC" w14:textId="77777777" w:rsidR="00B46088" w:rsidRPr="00224CAF" w:rsidRDefault="00B46088" w:rsidP="00C2182D">
            <w:pPr>
              <w:rPr>
                <w:rFonts w:cstheme="minorHAnsi"/>
              </w:rPr>
            </w:pPr>
            <w:r w:rsidRPr="00224CAF">
              <w:rPr>
                <w:rFonts w:cstheme="minorHAnsi"/>
              </w:rPr>
              <w:t>43 (39.1)</w:t>
            </w:r>
          </w:p>
        </w:tc>
      </w:tr>
      <w:tr w:rsidR="00224CAF" w:rsidRPr="00224CAF" w14:paraId="69355F47" w14:textId="77777777" w:rsidTr="00C2182D">
        <w:trPr>
          <w:jc w:val="center"/>
        </w:trPr>
        <w:tc>
          <w:tcPr>
            <w:tcW w:w="0" w:type="auto"/>
          </w:tcPr>
          <w:p w14:paraId="6B6A2C97" w14:textId="7BF1DC36" w:rsidR="00B46088" w:rsidRPr="00224CAF" w:rsidRDefault="00B46088" w:rsidP="00C2182D">
            <w:pPr>
              <w:rPr>
                <w:rFonts w:cstheme="minorHAnsi"/>
              </w:rPr>
            </w:pPr>
            <w:r w:rsidRPr="00224CAF">
              <w:rPr>
                <w:rFonts w:cstheme="minorHAnsi"/>
              </w:rPr>
              <w:t xml:space="preserve">     Endoscopique</w:t>
            </w:r>
          </w:p>
        </w:tc>
        <w:tc>
          <w:tcPr>
            <w:tcW w:w="0" w:type="auto"/>
          </w:tcPr>
          <w:p w14:paraId="49FC2572" w14:textId="77777777" w:rsidR="00B46088" w:rsidRPr="00224CAF" w:rsidRDefault="00B46088" w:rsidP="00C2182D">
            <w:pPr>
              <w:rPr>
                <w:rFonts w:cstheme="minorHAnsi"/>
              </w:rPr>
            </w:pPr>
            <w:r w:rsidRPr="00224CAF">
              <w:rPr>
                <w:rFonts w:cstheme="minorHAnsi"/>
              </w:rPr>
              <w:t>22 (51.2)</w:t>
            </w:r>
          </w:p>
        </w:tc>
      </w:tr>
      <w:tr w:rsidR="00224CAF" w:rsidRPr="00224CAF" w14:paraId="69171AF7" w14:textId="77777777" w:rsidTr="00C2182D">
        <w:trPr>
          <w:jc w:val="center"/>
        </w:trPr>
        <w:tc>
          <w:tcPr>
            <w:tcW w:w="0" w:type="auto"/>
          </w:tcPr>
          <w:p w14:paraId="3F9510F7" w14:textId="2254B93B" w:rsidR="00B46088" w:rsidRPr="00224CAF" w:rsidRDefault="00B46088" w:rsidP="00C2182D">
            <w:pPr>
              <w:rPr>
                <w:rFonts w:cstheme="minorHAnsi"/>
              </w:rPr>
            </w:pPr>
            <w:r w:rsidRPr="00224CAF">
              <w:rPr>
                <w:rFonts w:cstheme="minorHAnsi"/>
              </w:rPr>
              <w:t xml:space="preserve">     Fermeture percutanée auricule</w:t>
            </w:r>
          </w:p>
        </w:tc>
        <w:tc>
          <w:tcPr>
            <w:tcW w:w="0" w:type="auto"/>
          </w:tcPr>
          <w:p w14:paraId="4E1DD23C" w14:textId="77777777" w:rsidR="00B46088" w:rsidRPr="00224CAF" w:rsidRDefault="00B46088" w:rsidP="00C2182D">
            <w:pPr>
              <w:rPr>
                <w:rFonts w:cstheme="minorHAnsi"/>
              </w:rPr>
            </w:pPr>
            <w:r w:rsidRPr="00224CAF">
              <w:rPr>
                <w:rFonts w:cstheme="minorHAnsi"/>
              </w:rPr>
              <w:t>3 (7)</w:t>
            </w:r>
          </w:p>
        </w:tc>
      </w:tr>
      <w:tr w:rsidR="00224CAF" w:rsidRPr="00224CAF" w14:paraId="3AB479EF" w14:textId="77777777" w:rsidTr="00C2182D">
        <w:trPr>
          <w:jc w:val="center"/>
        </w:trPr>
        <w:tc>
          <w:tcPr>
            <w:tcW w:w="0" w:type="auto"/>
          </w:tcPr>
          <w:p w14:paraId="36726766" w14:textId="4C58E442" w:rsidR="00B46088" w:rsidRPr="00224CAF" w:rsidRDefault="00B46088" w:rsidP="00C2182D">
            <w:pPr>
              <w:rPr>
                <w:rFonts w:cstheme="minorHAnsi"/>
              </w:rPr>
            </w:pPr>
            <w:r w:rsidRPr="00224CAF">
              <w:rPr>
                <w:rFonts w:cstheme="minorHAnsi"/>
              </w:rPr>
              <w:t xml:space="preserve">     Chirurgie anti-reflux</w:t>
            </w:r>
          </w:p>
        </w:tc>
        <w:tc>
          <w:tcPr>
            <w:tcW w:w="0" w:type="auto"/>
          </w:tcPr>
          <w:p w14:paraId="2DB959BD" w14:textId="77777777" w:rsidR="00B46088" w:rsidRPr="00224CAF" w:rsidRDefault="00B46088" w:rsidP="00C2182D">
            <w:pPr>
              <w:rPr>
                <w:rFonts w:cstheme="minorHAnsi"/>
              </w:rPr>
            </w:pPr>
            <w:r w:rsidRPr="00224CAF">
              <w:rPr>
                <w:rFonts w:cstheme="minorHAnsi"/>
              </w:rPr>
              <w:t>3 (7)</w:t>
            </w:r>
          </w:p>
        </w:tc>
      </w:tr>
      <w:tr w:rsidR="00224CAF" w:rsidRPr="00224CAF" w14:paraId="00578FEF" w14:textId="77777777" w:rsidTr="00C2182D">
        <w:trPr>
          <w:jc w:val="center"/>
        </w:trPr>
        <w:tc>
          <w:tcPr>
            <w:tcW w:w="0" w:type="auto"/>
          </w:tcPr>
          <w:p w14:paraId="38B68A3C" w14:textId="67A5A1D2" w:rsidR="00B46088" w:rsidRPr="00224CAF" w:rsidRDefault="00B46088" w:rsidP="00C2182D">
            <w:pPr>
              <w:rPr>
                <w:rFonts w:cstheme="minorHAnsi"/>
              </w:rPr>
            </w:pPr>
            <w:r w:rsidRPr="00224CAF">
              <w:rPr>
                <w:rFonts w:cstheme="minorHAnsi"/>
              </w:rPr>
              <w:t xml:space="preserve">     Modification du traitement chronique</w:t>
            </w:r>
          </w:p>
        </w:tc>
        <w:tc>
          <w:tcPr>
            <w:tcW w:w="0" w:type="auto"/>
          </w:tcPr>
          <w:p w14:paraId="70441E9E" w14:textId="77777777" w:rsidR="00B46088" w:rsidRPr="00224CAF" w:rsidRDefault="00B46088" w:rsidP="00C2182D">
            <w:pPr>
              <w:rPr>
                <w:rFonts w:cstheme="minorHAnsi"/>
              </w:rPr>
            </w:pPr>
            <w:r w:rsidRPr="00224CAF">
              <w:rPr>
                <w:rFonts w:cstheme="minorHAnsi"/>
              </w:rPr>
              <w:t>18 (41.9)</w:t>
            </w:r>
          </w:p>
        </w:tc>
      </w:tr>
    </w:tbl>
    <w:p w14:paraId="3A39731B" w14:textId="77777777" w:rsidR="00B71F81" w:rsidRPr="00224CAF" w:rsidRDefault="00B71F81" w:rsidP="00B71F81">
      <w:pPr>
        <w:jc w:val="center"/>
        <w:rPr>
          <w:rFonts w:cstheme="minorHAnsi"/>
        </w:rPr>
      </w:pPr>
      <w:r w:rsidRPr="00224CAF">
        <w:rPr>
          <w:rFonts w:cstheme="minorHAnsi"/>
        </w:rPr>
        <w:t>Plusieurs attitudes thérapeutiques peuvent être appliquées chez le même patient</w:t>
      </w:r>
    </w:p>
    <w:p w14:paraId="4AB10778" w14:textId="77777777" w:rsidR="005B54EC" w:rsidRPr="00224CAF" w:rsidRDefault="005B54EC">
      <w:pPr>
        <w:rPr>
          <w:rFonts w:eastAsia="Times New Roman" w:cstheme="minorHAnsi"/>
          <w:b/>
          <w:bCs/>
          <w:i/>
          <w:iCs/>
          <w:sz w:val="24"/>
          <w:szCs w:val="24"/>
          <w:lang w:eastAsia="fr-BE"/>
        </w:rPr>
      </w:pPr>
      <w:bookmarkStart w:id="3" w:name="_Hlk79859512"/>
      <w:r w:rsidRPr="00224CAF">
        <w:rPr>
          <w:rFonts w:eastAsia="Times New Roman" w:cstheme="minorHAnsi"/>
          <w:b/>
          <w:bCs/>
          <w:i/>
          <w:iCs/>
          <w:sz w:val="24"/>
          <w:szCs w:val="24"/>
          <w:lang w:eastAsia="fr-BE"/>
        </w:rPr>
        <w:br w:type="page"/>
      </w:r>
    </w:p>
    <w:p w14:paraId="49019DE3" w14:textId="0A3C69BC" w:rsidR="00B71F81" w:rsidRPr="00224CAF" w:rsidRDefault="00B71F81" w:rsidP="00B71F81">
      <w:pPr>
        <w:spacing w:after="0" w:line="240" w:lineRule="auto"/>
        <w:jc w:val="both"/>
        <w:rPr>
          <w:rFonts w:eastAsia="Times New Roman" w:cstheme="minorHAnsi"/>
          <w:b/>
          <w:bCs/>
          <w:i/>
          <w:iCs/>
          <w:sz w:val="24"/>
          <w:szCs w:val="24"/>
          <w:lang w:eastAsia="fr-BE"/>
        </w:rPr>
      </w:pPr>
      <w:r w:rsidRPr="00224CAF">
        <w:rPr>
          <w:rFonts w:eastAsia="Times New Roman" w:cstheme="minorHAnsi"/>
          <w:b/>
          <w:bCs/>
          <w:i/>
          <w:iCs/>
          <w:sz w:val="24"/>
          <w:szCs w:val="24"/>
          <w:lang w:eastAsia="fr-BE"/>
        </w:rPr>
        <w:lastRenderedPageBreak/>
        <w:t>Références bibliographiques</w:t>
      </w:r>
    </w:p>
    <w:p w14:paraId="5E12F5D7" w14:textId="77777777" w:rsidR="00B71F81" w:rsidRPr="00224CAF" w:rsidRDefault="00B71F81" w:rsidP="00B71F81">
      <w:pPr>
        <w:spacing w:after="0" w:line="240" w:lineRule="auto"/>
        <w:jc w:val="both"/>
        <w:rPr>
          <w:rFonts w:eastAsia="Times New Roman" w:cstheme="minorHAnsi"/>
          <w:lang w:eastAsia="fr-BE"/>
        </w:rPr>
      </w:pPr>
      <w:r w:rsidRPr="00224CAF">
        <w:rPr>
          <w:rFonts w:eastAsia="Times New Roman" w:cstheme="minorHAnsi"/>
          <w:lang w:eastAsia="fr-BE"/>
        </w:rPr>
        <w:t xml:space="preserve">1. </w:t>
      </w:r>
      <w:r w:rsidRPr="00224CAF">
        <w:t xml:space="preserve">Viazis N, Anastasiou J, Karamanolis DG. </w:t>
      </w:r>
      <w:hyperlink r:id="rId6" w:history="1">
        <w:r w:rsidRPr="00224CAF">
          <w:rPr>
            <w:rFonts w:eastAsia="Times New Roman" w:cstheme="minorHAnsi"/>
            <w:shd w:val="clear" w:color="auto" w:fill="FFFFFF"/>
            <w:lang w:val="en-US" w:eastAsia="fr-BE"/>
          </w:rPr>
          <w:t>Small bowel capsule endoscopy for the investigation of obscure gastrointestinal bleeding: When we should do it and what should we expect.</w:t>
        </w:r>
      </w:hyperlink>
      <w:r w:rsidRPr="00224CAF">
        <w:rPr>
          <w:rFonts w:eastAsia="Times New Roman" w:cstheme="minorHAnsi"/>
          <w:lang w:val="en-US" w:eastAsia="fr-BE"/>
        </w:rPr>
        <w:t xml:space="preserve"> </w:t>
      </w:r>
      <w:r w:rsidRPr="00224CAF">
        <w:rPr>
          <w:rFonts w:eastAsia="Times New Roman" w:cstheme="minorHAnsi"/>
          <w:lang w:eastAsia="fr-BE"/>
        </w:rPr>
        <w:t>Acta Gastroenterol Belg. 2016;79(3):355-62.</w:t>
      </w:r>
    </w:p>
    <w:p w14:paraId="186E13EC" w14:textId="77777777" w:rsidR="00B71F81" w:rsidRPr="00224CAF" w:rsidRDefault="00B71F81" w:rsidP="00B71F81">
      <w:pPr>
        <w:spacing w:after="0" w:line="240" w:lineRule="auto"/>
        <w:jc w:val="both"/>
        <w:rPr>
          <w:rFonts w:eastAsia="Times New Roman" w:cstheme="minorHAnsi"/>
          <w:lang w:val="en-US" w:eastAsia="fr-BE"/>
        </w:rPr>
      </w:pPr>
      <w:r w:rsidRPr="00224CAF">
        <w:rPr>
          <w:rFonts w:eastAsia="Times New Roman" w:cstheme="minorHAnsi"/>
          <w:lang w:eastAsia="fr-BE"/>
        </w:rPr>
        <w:t xml:space="preserve">2. Bonnaud G, Bourreille A, Bramli S, Cardey J, Cholet F, Dray X, et al. Videocapsule endoscopique a tous les etages. </w:t>
      </w:r>
      <w:r w:rsidRPr="00224CAF">
        <w:rPr>
          <w:rFonts w:eastAsia="Times New Roman" w:cstheme="minorHAnsi"/>
          <w:lang w:val="en-US" w:eastAsia="fr-BE"/>
        </w:rPr>
        <w:t xml:space="preserve">Hepato Gastro 2017; </w:t>
      </w:r>
      <w:proofErr w:type="gramStart"/>
      <w:r w:rsidRPr="00224CAF">
        <w:rPr>
          <w:rFonts w:eastAsia="Times New Roman" w:cstheme="minorHAnsi"/>
          <w:lang w:val="en-US" w:eastAsia="fr-BE"/>
        </w:rPr>
        <w:t>24 :</w:t>
      </w:r>
      <w:proofErr w:type="gramEnd"/>
      <w:r w:rsidRPr="00224CAF">
        <w:rPr>
          <w:rFonts w:eastAsia="Times New Roman" w:cstheme="minorHAnsi"/>
          <w:lang w:val="en-US" w:eastAsia="fr-BE"/>
        </w:rPr>
        <w:t xml:space="preserve"> 479-508.</w:t>
      </w:r>
    </w:p>
    <w:p w14:paraId="51FEFDE7" w14:textId="77777777" w:rsidR="00B71F81" w:rsidRPr="00224CAF" w:rsidRDefault="00B71F81" w:rsidP="00B71F81">
      <w:pPr>
        <w:shd w:val="clear" w:color="auto" w:fill="FFFFFF"/>
        <w:spacing w:after="0" w:line="240" w:lineRule="auto"/>
        <w:jc w:val="both"/>
        <w:rPr>
          <w:rFonts w:eastAsia="Times New Roman" w:cstheme="minorHAnsi"/>
          <w:lang w:val="en-US" w:eastAsia="fr-BE"/>
        </w:rPr>
      </w:pPr>
      <w:r w:rsidRPr="00224CAF">
        <w:rPr>
          <w:rFonts w:eastAsia="Times New Roman" w:cstheme="minorHAnsi"/>
          <w:lang w:val="en-US" w:eastAsia="fr-BE"/>
        </w:rPr>
        <w:t>3. Soncini M, Girelli CM, de Franchis R, Rondonotti E. Small</w:t>
      </w:r>
      <w:r w:rsidRPr="00224CAF">
        <w:rPr>
          <w:rFonts w:ascii="Cambria Math" w:eastAsia="Times New Roman" w:hAnsi="Cambria Math" w:cs="Cambria Math"/>
          <w:lang w:val="en-US" w:eastAsia="fr-BE"/>
        </w:rPr>
        <w:t>‑</w:t>
      </w:r>
      <w:r w:rsidRPr="00224CAF">
        <w:rPr>
          <w:rFonts w:eastAsia="Times New Roman" w:cstheme="minorHAnsi"/>
          <w:lang w:val="en-US" w:eastAsia="fr-BE"/>
        </w:rPr>
        <w:t>Bowel Capsule Endoscopy in Clinical Practice: Has Anything Changed Over 13 Years? Digestive Diseases and Sciences. 2018; 63:2244-50</w:t>
      </w:r>
    </w:p>
    <w:p w14:paraId="3E5F7776" w14:textId="77777777" w:rsidR="00B71F81" w:rsidRPr="00224CAF" w:rsidRDefault="00B71F81" w:rsidP="00B71F81">
      <w:pPr>
        <w:spacing w:after="0" w:line="240" w:lineRule="auto"/>
        <w:jc w:val="both"/>
        <w:rPr>
          <w:rFonts w:eastAsia="Times New Roman" w:cstheme="minorHAnsi"/>
          <w:lang w:val="en-US" w:eastAsia="fr-BE"/>
        </w:rPr>
      </w:pPr>
      <w:r w:rsidRPr="00224CAF">
        <w:rPr>
          <w:rFonts w:eastAsia="Times New Roman" w:cstheme="minorHAnsi"/>
          <w:lang w:val="en-US" w:eastAsia="fr-BE"/>
        </w:rPr>
        <w:t xml:space="preserve">4. Rondonotti E, Spada C, Adler S, May A, Despott EJ, Koulaouzidis A, et al. </w:t>
      </w:r>
      <w:hyperlink r:id="rId7" w:history="1">
        <w:r w:rsidRPr="00224CAF">
          <w:rPr>
            <w:rFonts w:eastAsia="Times New Roman" w:cstheme="minorHAnsi"/>
            <w:shd w:val="clear" w:color="auto" w:fill="FFFFFF"/>
            <w:lang w:val="en-US" w:eastAsia="fr-BE"/>
          </w:rPr>
          <w:t>Small-bowel capsule endoscopy and device-assisted enteroscopy for diagnosis and treatment of small-bowel disorders: European Society of Gastrointestinal Endoscopy (ESGE). Technical Review.</w:t>
        </w:r>
      </w:hyperlink>
      <w:r w:rsidRPr="00224CAF">
        <w:rPr>
          <w:rFonts w:eastAsia="Times New Roman" w:cstheme="minorHAnsi"/>
          <w:lang w:val="en-US" w:eastAsia="fr-BE"/>
        </w:rPr>
        <w:t xml:space="preserve"> Endoscopy. 2018 Apr;50(4):423-46. doi: 10.1055/a-0576-0566. Epub 2018 Mar 14.</w:t>
      </w:r>
    </w:p>
    <w:p w14:paraId="6F76BCF6" w14:textId="77777777" w:rsidR="00B71F81" w:rsidRPr="00224CAF" w:rsidRDefault="00B71F81" w:rsidP="00B71F81">
      <w:pPr>
        <w:spacing w:after="0" w:line="240" w:lineRule="auto"/>
        <w:jc w:val="both"/>
        <w:rPr>
          <w:rFonts w:eastAsia="Times New Roman" w:cstheme="minorHAnsi"/>
          <w:lang w:val="en-US" w:eastAsia="fr-BE"/>
        </w:rPr>
      </w:pPr>
      <w:r w:rsidRPr="00224CAF">
        <w:rPr>
          <w:rFonts w:eastAsia="Times New Roman" w:cstheme="minorHAnsi"/>
          <w:lang w:val="en-US" w:eastAsia="fr-BE"/>
        </w:rPr>
        <w:t xml:space="preserve">5. Mitselos IV, Christodoulou DK. </w:t>
      </w:r>
      <w:hyperlink r:id="rId8" w:history="1">
        <w:r w:rsidRPr="00224CAF">
          <w:rPr>
            <w:rFonts w:eastAsia="Times New Roman" w:cstheme="minorHAnsi"/>
            <w:shd w:val="clear" w:color="auto" w:fill="FFFFFF"/>
            <w:lang w:val="en-US" w:eastAsia="fr-BE"/>
          </w:rPr>
          <w:t>What defines quality in small bowel capsule endoscopy.</w:t>
        </w:r>
      </w:hyperlink>
      <w:r w:rsidRPr="00224CAF">
        <w:rPr>
          <w:rFonts w:eastAsia="Times New Roman" w:cstheme="minorHAnsi"/>
          <w:shd w:val="clear" w:color="auto" w:fill="FFFFFF"/>
          <w:lang w:val="en-US" w:eastAsia="fr-BE"/>
        </w:rPr>
        <w:t xml:space="preserve"> </w:t>
      </w:r>
      <w:r w:rsidRPr="00224CAF">
        <w:rPr>
          <w:rFonts w:eastAsia="Times New Roman" w:cstheme="minorHAnsi"/>
          <w:lang w:val="en-US" w:eastAsia="fr-BE"/>
        </w:rPr>
        <w:t>Ann Transl Med. 2018 Jul;6(13):260. doi: 10.21037/atm.2018.05.28.</w:t>
      </w:r>
    </w:p>
    <w:p w14:paraId="393C1411" w14:textId="77777777" w:rsidR="00B71F81" w:rsidRPr="00224CAF" w:rsidRDefault="00B71F81" w:rsidP="00B71F81">
      <w:pPr>
        <w:spacing w:after="0" w:line="240" w:lineRule="auto"/>
        <w:jc w:val="both"/>
        <w:rPr>
          <w:rFonts w:eastAsia="Times New Roman" w:cstheme="minorHAnsi"/>
          <w:lang w:val="en-US" w:eastAsia="fr-BE"/>
        </w:rPr>
      </w:pPr>
      <w:r w:rsidRPr="00224CAF">
        <w:rPr>
          <w:rFonts w:eastAsia="Times New Roman" w:cstheme="minorHAnsi"/>
          <w:lang w:val="en-US" w:eastAsia="fr-BE"/>
        </w:rPr>
        <w:t xml:space="preserve">6. Ki-Nam Shim, Seong Ran Jeon, Hyun Joo Jang, Jinsu Kim, Yun Jeong Lim, Kyeong Ok Kim, et al.  Quality Indicators for Small Bowel Capsule Endoscopy. Clin Endosc. </w:t>
      </w:r>
      <w:proofErr w:type="gramStart"/>
      <w:r w:rsidRPr="00224CAF">
        <w:rPr>
          <w:rFonts w:eastAsia="Times New Roman" w:cstheme="minorHAnsi"/>
          <w:lang w:val="en-US" w:eastAsia="fr-BE"/>
        </w:rPr>
        <w:t>2017;50:148</w:t>
      </w:r>
      <w:proofErr w:type="gramEnd"/>
      <w:r w:rsidRPr="00224CAF">
        <w:rPr>
          <w:rFonts w:eastAsia="Times New Roman" w:cstheme="minorHAnsi"/>
          <w:lang w:val="en-US" w:eastAsia="fr-BE"/>
        </w:rPr>
        <w:t xml:space="preserve">-60 </w:t>
      </w:r>
    </w:p>
    <w:p w14:paraId="50DA9CD4" w14:textId="77777777" w:rsidR="00B71F81" w:rsidRPr="00224CAF" w:rsidRDefault="00B71F81" w:rsidP="00B71F81">
      <w:pPr>
        <w:spacing w:after="0" w:line="240" w:lineRule="auto"/>
        <w:rPr>
          <w:rFonts w:eastAsia="Times New Roman" w:cstheme="minorHAnsi"/>
          <w:lang w:val="en-US" w:eastAsia="fr-BE"/>
        </w:rPr>
      </w:pPr>
      <w:r w:rsidRPr="00224CAF">
        <w:rPr>
          <w:rFonts w:eastAsia="Times New Roman" w:cstheme="minorHAnsi"/>
          <w:lang w:val="en-US" w:eastAsia="fr-BE"/>
        </w:rPr>
        <w:t xml:space="preserve">7. Spada C, McNamara D, Despott EJ, Adler S, Cash BD, Fernández-Urién I, et al. </w:t>
      </w:r>
      <w:hyperlink r:id="rId9" w:history="1">
        <w:r w:rsidRPr="00224CAF">
          <w:rPr>
            <w:rFonts w:eastAsia="Times New Roman" w:cstheme="minorHAnsi"/>
            <w:shd w:val="clear" w:color="auto" w:fill="FFFFFF"/>
            <w:lang w:val="en-US" w:eastAsia="fr-BE"/>
          </w:rPr>
          <w:t>Performance measures for small-bowel endoscopy: A European Society of Gastrointestinal Endoscopy (ESGE) Quality Improvement Initiative.</w:t>
        </w:r>
      </w:hyperlink>
      <w:r w:rsidRPr="00224CAF">
        <w:rPr>
          <w:rFonts w:eastAsia="Times New Roman" w:cstheme="minorHAnsi"/>
          <w:shd w:val="clear" w:color="auto" w:fill="FFFFFF"/>
          <w:lang w:val="en-US" w:eastAsia="fr-BE"/>
        </w:rPr>
        <w:t xml:space="preserve"> </w:t>
      </w:r>
      <w:r w:rsidRPr="00224CAF">
        <w:rPr>
          <w:rFonts w:eastAsia="Times New Roman" w:cstheme="minorHAnsi"/>
          <w:lang w:val="en-US" w:eastAsia="fr-BE"/>
        </w:rPr>
        <w:t>United European Gastroenterol J. 2019 Jun;7(5):614-41. Epub 2019 May 15. doi: 10.1177/2050640619850365.</w:t>
      </w:r>
    </w:p>
    <w:p w14:paraId="6DBF43E2" w14:textId="77777777" w:rsidR="00B71F81" w:rsidRPr="00224CAF" w:rsidRDefault="00B71F81" w:rsidP="00B71F81">
      <w:pPr>
        <w:spacing w:after="0"/>
        <w:jc w:val="both"/>
        <w:rPr>
          <w:rFonts w:eastAsia="Times New Roman" w:cstheme="minorHAnsi"/>
          <w:lang w:eastAsia="fr-BE"/>
        </w:rPr>
      </w:pPr>
      <w:r w:rsidRPr="00224CAF">
        <w:rPr>
          <w:rFonts w:eastAsia="Times New Roman" w:cstheme="minorHAnsi"/>
          <w:lang w:val="en-US" w:eastAsia="fr-BE"/>
        </w:rPr>
        <w:t xml:space="preserve">8. Dai N, Gubler C, Hengstler P, Meyenberger C, Bauerfeind P. Improved capsule endoscopy after bowel preparation Gastrointest endosc. </w:t>
      </w:r>
      <w:proofErr w:type="gramStart"/>
      <w:r w:rsidRPr="00224CAF">
        <w:rPr>
          <w:rFonts w:eastAsia="Times New Roman" w:cstheme="minorHAnsi"/>
          <w:lang w:eastAsia="fr-BE"/>
        </w:rPr>
        <w:t>2005;</w:t>
      </w:r>
      <w:proofErr w:type="gramEnd"/>
      <w:r w:rsidRPr="00224CAF">
        <w:rPr>
          <w:rFonts w:eastAsia="Times New Roman" w:cstheme="minorHAnsi"/>
          <w:lang w:eastAsia="fr-BE"/>
        </w:rPr>
        <w:t xml:space="preserve"> 61(1): 28-31.</w:t>
      </w:r>
    </w:p>
    <w:p w14:paraId="5D9C3142" w14:textId="77777777" w:rsidR="00B71F81" w:rsidRPr="00224CAF" w:rsidRDefault="00B71F81" w:rsidP="00B71F81">
      <w:pPr>
        <w:spacing w:after="0"/>
        <w:jc w:val="both"/>
        <w:rPr>
          <w:rFonts w:eastAsia="Times New Roman" w:cstheme="minorHAnsi"/>
          <w:lang w:val="en-US" w:eastAsia="fr-BE"/>
        </w:rPr>
      </w:pPr>
      <w:r w:rsidRPr="00224CAF">
        <w:rPr>
          <w:rFonts w:eastAsia="Times New Roman" w:cstheme="minorHAnsi"/>
          <w:lang w:eastAsia="fr-BE"/>
        </w:rPr>
        <w:t xml:space="preserve">9. Pennazio M, Santucci R, Rondonotti E, Abbiati C, Beccari G, Rossini FP et al. </w:t>
      </w:r>
      <w:r w:rsidRPr="00224CAF">
        <w:rPr>
          <w:rFonts w:eastAsia="Times New Roman" w:cstheme="minorHAnsi"/>
          <w:lang w:val="en-US" w:eastAsia="fr-BE"/>
        </w:rPr>
        <w:t xml:space="preserve">Outcome of Patients </w:t>
      </w:r>
      <w:proofErr w:type="gramStart"/>
      <w:r w:rsidRPr="00224CAF">
        <w:rPr>
          <w:rFonts w:eastAsia="Times New Roman" w:cstheme="minorHAnsi"/>
          <w:lang w:val="en-US" w:eastAsia="fr-BE"/>
        </w:rPr>
        <w:t>With</w:t>
      </w:r>
      <w:proofErr w:type="gramEnd"/>
      <w:r w:rsidRPr="00224CAF">
        <w:rPr>
          <w:rFonts w:eastAsia="Times New Roman" w:cstheme="minorHAnsi"/>
          <w:lang w:val="en-US" w:eastAsia="fr-BE"/>
        </w:rPr>
        <w:t xml:space="preserve"> Obscure Gastrointestinal Bleeding After Capsule Endoscopy: Report of 100 Consecutive Cases. Gastroenterology. 2004; </w:t>
      </w:r>
      <w:proofErr w:type="gramStart"/>
      <w:r w:rsidRPr="00224CAF">
        <w:rPr>
          <w:rFonts w:eastAsia="Times New Roman" w:cstheme="minorHAnsi"/>
          <w:lang w:val="en-US" w:eastAsia="fr-BE"/>
        </w:rPr>
        <w:t>126 :</w:t>
      </w:r>
      <w:proofErr w:type="gramEnd"/>
      <w:r w:rsidRPr="00224CAF">
        <w:rPr>
          <w:lang w:val="en-US"/>
        </w:rPr>
        <w:t xml:space="preserve"> </w:t>
      </w:r>
      <w:r w:rsidRPr="00224CAF">
        <w:rPr>
          <w:rFonts w:eastAsia="Times New Roman" w:cstheme="minorHAnsi"/>
          <w:lang w:val="en-US" w:eastAsia="fr-BE"/>
        </w:rPr>
        <w:t>643-53</w:t>
      </w:r>
    </w:p>
    <w:p w14:paraId="4C1A8A11" w14:textId="77777777" w:rsidR="00B71F81" w:rsidRPr="00224CAF" w:rsidRDefault="00B71F81" w:rsidP="00B71F81">
      <w:pPr>
        <w:spacing w:after="0" w:line="240" w:lineRule="auto"/>
        <w:jc w:val="both"/>
        <w:rPr>
          <w:rFonts w:eastAsia="Times New Roman" w:cstheme="minorHAnsi"/>
          <w:lang w:val="en-US" w:eastAsia="fr-BE"/>
        </w:rPr>
      </w:pPr>
      <w:r w:rsidRPr="00224CAF">
        <w:rPr>
          <w:rFonts w:eastAsia="Times New Roman" w:cstheme="minorHAnsi"/>
          <w:lang w:val="en-US" w:eastAsia="fr-BE"/>
        </w:rPr>
        <w:t xml:space="preserve">10. Flemming J, Cameron S. </w:t>
      </w:r>
      <w:hyperlink r:id="rId10" w:history="1">
        <w:r w:rsidRPr="00224CAF">
          <w:rPr>
            <w:rFonts w:eastAsia="Times New Roman" w:cstheme="minorHAnsi"/>
            <w:shd w:val="clear" w:color="auto" w:fill="FFFFFF"/>
            <w:lang w:val="en-US" w:eastAsia="fr-BE"/>
          </w:rPr>
          <w:t xml:space="preserve">Small bowel capsule endoscopy: Indications, results, and clinical benefit in a </w:t>
        </w:r>
        <w:proofErr w:type="gramStart"/>
        <w:r w:rsidRPr="00224CAF">
          <w:rPr>
            <w:rFonts w:eastAsia="Times New Roman" w:cstheme="minorHAnsi"/>
            <w:shd w:val="clear" w:color="auto" w:fill="FFFFFF"/>
            <w:lang w:val="en-US" w:eastAsia="fr-BE"/>
          </w:rPr>
          <w:t>University</w:t>
        </w:r>
        <w:proofErr w:type="gramEnd"/>
        <w:r w:rsidRPr="00224CAF">
          <w:rPr>
            <w:rFonts w:eastAsia="Times New Roman" w:cstheme="minorHAnsi"/>
            <w:shd w:val="clear" w:color="auto" w:fill="FFFFFF"/>
            <w:lang w:val="en-US" w:eastAsia="fr-BE"/>
          </w:rPr>
          <w:t xml:space="preserve"> environment.</w:t>
        </w:r>
      </w:hyperlink>
      <w:r w:rsidRPr="00224CAF">
        <w:rPr>
          <w:rFonts w:eastAsia="Times New Roman" w:cstheme="minorHAnsi"/>
          <w:shd w:val="clear" w:color="auto" w:fill="FFFFFF"/>
          <w:lang w:val="en-US" w:eastAsia="fr-BE"/>
        </w:rPr>
        <w:t xml:space="preserve"> </w:t>
      </w:r>
      <w:r w:rsidRPr="00224CAF">
        <w:rPr>
          <w:rFonts w:eastAsia="Times New Roman" w:cstheme="minorHAnsi"/>
          <w:lang w:eastAsia="fr-BE"/>
        </w:rPr>
        <w:t xml:space="preserve">Medicine (Baltimore). </w:t>
      </w:r>
      <w:r w:rsidRPr="00224CAF">
        <w:rPr>
          <w:rFonts w:eastAsia="Times New Roman" w:cstheme="minorHAnsi"/>
          <w:lang w:val="en-US" w:eastAsia="fr-BE"/>
        </w:rPr>
        <w:t>2018 Apr;97(14). doi: 10.1097/MD.0000000000010148.</w:t>
      </w:r>
    </w:p>
    <w:p w14:paraId="312F86E4" w14:textId="77777777" w:rsidR="00B71F81" w:rsidRPr="00224CAF" w:rsidRDefault="00B71F81" w:rsidP="00B71F81">
      <w:pPr>
        <w:spacing w:after="0"/>
        <w:jc w:val="both"/>
        <w:rPr>
          <w:rFonts w:cstheme="minorHAnsi"/>
          <w:lang w:val="en-US"/>
        </w:rPr>
      </w:pPr>
      <w:r w:rsidRPr="00224CAF">
        <w:rPr>
          <w:rFonts w:cstheme="minorHAnsi"/>
          <w:lang w:val="en-US"/>
        </w:rPr>
        <w:t>11. Magalhães-Costa P, Bispo M, Santos S, Couto G, Matos L, Chagas C. Re-bleeding events in patients with obscure gastrointestinal bleeding after negative capsule endoscopy. World J Gastrointest Endosc 2015; 7: 403-10. doi: 10.4253/</w:t>
      </w:r>
      <w:proofErr w:type="gramStart"/>
      <w:r w:rsidRPr="00224CAF">
        <w:rPr>
          <w:rFonts w:cstheme="minorHAnsi"/>
          <w:lang w:val="en-US"/>
        </w:rPr>
        <w:t>wjge.v</w:t>
      </w:r>
      <w:proofErr w:type="gramEnd"/>
      <w:r w:rsidRPr="00224CAF">
        <w:rPr>
          <w:rFonts w:cstheme="minorHAnsi"/>
          <w:lang w:val="en-US"/>
        </w:rPr>
        <w:t>7.i4.403</w:t>
      </w:r>
    </w:p>
    <w:p w14:paraId="0756B512" w14:textId="77777777" w:rsidR="00B71F81" w:rsidRPr="00224CAF" w:rsidRDefault="00B71F81" w:rsidP="00B71F81">
      <w:pPr>
        <w:shd w:val="clear" w:color="auto" w:fill="FFFFFF"/>
        <w:spacing w:after="0" w:line="240" w:lineRule="auto"/>
        <w:jc w:val="both"/>
        <w:rPr>
          <w:rFonts w:eastAsia="Times New Roman" w:cstheme="minorHAnsi"/>
          <w:lang w:val="en-US" w:eastAsia="fr-BE"/>
        </w:rPr>
      </w:pPr>
      <w:r w:rsidRPr="00224CAF">
        <w:rPr>
          <w:rFonts w:eastAsia="Times New Roman" w:cstheme="minorHAnsi"/>
          <w:lang w:val="en-US" w:eastAsia="fr-BE"/>
        </w:rPr>
        <w:t xml:space="preserve">12. </w:t>
      </w:r>
      <w:hyperlink r:id="rId11" w:history="1">
        <w:r w:rsidRPr="00224CAF">
          <w:rPr>
            <w:rFonts w:eastAsia="Times New Roman" w:cstheme="minorHAnsi"/>
            <w:lang w:val="en-US" w:eastAsia="fr-BE"/>
          </w:rPr>
          <w:t xml:space="preserve">Singeap AM, Cojocariu C, Girleanu I, Huiban L, Sfarti C, Cuciureanu T, et al. </w:t>
        </w:r>
        <w:r w:rsidRPr="00224CAF">
          <w:rPr>
            <w:rFonts w:eastAsia="Times New Roman" w:cstheme="minorHAnsi"/>
            <w:shd w:val="clear" w:color="auto" w:fill="FFFFFF"/>
            <w:lang w:val="en-US" w:eastAsia="fr-BE"/>
          </w:rPr>
          <w:t>Clinical Impact of Small Bowel Capsule Endoscopy in Obscure Gastrointestinal Bleeding.</w:t>
        </w:r>
      </w:hyperlink>
      <w:r w:rsidRPr="00224CAF">
        <w:rPr>
          <w:rFonts w:eastAsia="Times New Roman" w:cstheme="minorHAnsi"/>
          <w:shd w:val="clear" w:color="auto" w:fill="FFFFFF"/>
          <w:lang w:val="en-US" w:eastAsia="fr-BE"/>
        </w:rPr>
        <w:t xml:space="preserve"> </w:t>
      </w:r>
      <w:r w:rsidRPr="00224CAF">
        <w:rPr>
          <w:rFonts w:eastAsia="Times New Roman" w:cstheme="minorHAnsi"/>
          <w:lang w:eastAsia="fr-BE"/>
        </w:rPr>
        <w:t xml:space="preserve">Medicina (Kaunas). </w:t>
      </w:r>
      <w:r w:rsidRPr="00224CAF">
        <w:rPr>
          <w:rFonts w:eastAsia="Times New Roman" w:cstheme="minorHAnsi"/>
          <w:lang w:val="en-US" w:eastAsia="fr-BE"/>
        </w:rPr>
        <w:t>2020 Oct 19;56(10):548. doi: 10.3390/medicina56100548.</w:t>
      </w:r>
    </w:p>
    <w:p w14:paraId="246D17A8" w14:textId="77777777" w:rsidR="00B71F81" w:rsidRPr="00224CAF" w:rsidRDefault="00B71F81" w:rsidP="00B71F81">
      <w:pPr>
        <w:spacing w:after="0" w:line="240" w:lineRule="auto"/>
        <w:jc w:val="both"/>
        <w:rPr>
          <w:rFonts w:eastAsia="Times New Roman" w:cstheme="minorHAnsi"/>
          <w:lang w:val="en-US" w:eastAsia="fr-BE"/>
        </w:rPr>
      </w:pPr>
      <w:r w:rsidRPr="00224CAF">
        <w:rPr>
          <w:rFonts w:eastAsia="Times New Roman" w:cstheme="minorHAnsi"/>
          <w:lang w:val="en-US" w:eastAsia="fr-BE"/>
        </w:rPr>
        <w:t xml:space="preserve">13. Teshima CW, Kuipers EJ, Veldhuyzen van Zanten S, Mensink P. Double balloon enteroscopy and capsule endoscopy for obscure gastrointestinal bleeding: An updated meta-analysis. J Gastroenterol Hepatol. </w:t>
      </w:r>
      <w:proofErr w:type="gramStart"/>
      <w:r w:rsidRPr="00224CAF">
        <w:rPr>
          <w:rFonts w:eastAsia="Times New Roman" w:cstheme="minorHAnsi"/>
          <w:lang w:val="en-US" w:eastAsia="fr-BE"/>
        </w:rPr>
        <w:t>2011 ;</w:t>
      </w:r>
      <w:proofErr w:type="gramEnd"/>
      <w:r w:rsidRPr="00224CAF">
        <w:rPr>
          <w:rFonts w:eastAsia="Times New Roman" w:cstheme="minorHAnsi"/>
          <w:lang w:val="en-US" w:eastAsia="fr-BE"/>
        </w:rPr>
        <w:t xml:space="preserve"> 26 : 796–801. doi:10.1111/j.1440-1746.</w:t>
      </w:r>
      <w:proofErr w:type="gramStart"/>
      <w:r w:rsidRPr="00224CAF">
        <w:rPr>
          <w:rFonts w:eastAsia="Times New Roman" w:cstheme="minorHAnsi"/>
          <w:lang w:val="en-US" w:eastAsia="fr-BE"/>
        </w:rPr>
        <w:t>2010.06530.x</w:t>
      </w:r>
      <w:proofErr w:type="gramEnd"/>
    </w:p>
    <w:p w14:paraId="083150A4" w14:textId="77777777" w:rsidR="00B71F81" w:rsidRPr="00224CAF" w:rsidRDefault="00B71F81" w:rsidP="00B71F81">
      <w:pPr>
        <w:spacing w:after="0" w:line="240" w:lineRule="auto"/>
        <w:jc w:val="both"/>
        <w:rPr>
          <w:rFonts w:eastAsia="Times New Roman" w:cstheme="minorHAnsi"/>
          <w:lang w:val="en-US" w:eastAsia="fr-BE"/>
        </w:rPr>
      </w:pPr>
      <w:r w:rsidRPr="00224CAF">
        <w:rPr>
          <w:rFonts w:eastAsia="Times New Roman" w:cstheme="minorHAnsi"/>
          <w:lang w:val="en-US" w:eastAsia="fr-BE"/>
        </w:rPr>
        <w:t xml:space="preserve">14. Sakai E, Ohata K, Nakajima A, Matsuhashi N </w:t>
      </w:r>
      <w:hyperlink r:id="rId12" w:history="1">
        <w:r w:rsidRPr="00224CAF">
          <w:rPr>
            <w:rFonts w:eastAsia="Times New Roman" w:cstheme="minorHAnsi"/>
            <w:shd w:val="clear" w:color="auto" w:fill="FFFFFF"/>
            <w:lang w:val="en-US" w:eastAsia="fr-BE"/>
          </w:rPr>
          <w:t>Diagnosis and therapeutic strategies for small bowel vascular lesions.</w:t>
        </w:r>
      </w:hyperlink>
      <w:r w:rsidRPr="00224CAF">
        <w:rPr>
          <w:rFonts w:eastAsia="Times New Roman" w:cstheme="minorHAnsi"/>
          <w:shd w:val="clear" w:color="auto" w:fill="FFFFFF"/>
          <w:lang w:val="en-US" w:eastAsia="fr-BE"/>
        </w:rPr>
        <w:t xml:space="preserve"> </w:t>
      </w:r>
      <w:r w:rsidRPr="00224CAF">
        <w:rPr>
          <w:rFonts w:eastAsia="Times New Roman" w:cstheme="minorHAnsi"/>
          <w:lang w:val="en-US" w:eastAsia="fr-BE"/>
        </w:rPr>
        <w:t>World J Gastroenterol. 2019 Jun 14;25(22):2720-33. doi: 10.3748/</w:t>
      </w:r>
      <w:proofErr w:type="gramStart"/>
      <w:r w:rsidRPr="00224CAF">
        <w:rPr>
          <w:rFonts w:eastAsia="Times New Roman" w:cstheme="minorHAnsi"/>
          <w:lang w:val="en-US" w:eastAsia="fr-BE"/>
        </w:rPr>
        <w:t>wjg.v25.i</w:t>
      </w:r>
      <w:proofErr w:type="gramEnd"/>
      <w:r w:rsidRPr="00224CAF">
        <w:rPr>
          <w:rFonts w:eastAsia="Times New Roman" w:cstheme="minorHAnsi"/>
          <w:lang w:val="en-US" w:eastAsia="fr-BE"/>
        </w:rPr>
        <w:t>22.2720.</w:t>
      </w:r>
    </w:p>
    <w:p w14:paraId="66EF576D" w14:textId="77777777" w:rsidR="00B71F81" w:rsidRPr="00224CAF" w:rsidRDefault="00B71F81" w:rsidP="00B71F81">
      <w:pPr>
        <w:spacing w:after="0"/>
        <w:jc w:val="both"/>
        <w:rPr>
          <w:rFonts w:cstheme="minorHAnsi"/>
          <w:lang w:val="en-US"/>
        </w:rPr>
      </w:pPr>
      <w:r w:rsidRPr="00224CAF">
        <w:rPr>
          <w:rFonts w:cstheme="minorHAnsi"/>
          <w:lang w:val="en-US"/>
        </w:rPr>
        <w:t>15. Olano C, Pazos X, Avendaño K, Calleri A, Ketzoian C. Diagnostic yield and predictive factors of findings in small-bowel capsule endoscopy in the setting of iron-deficiency anemia</w:t>
      </w:r>
      <w:r w:rsidRPr="00224CAF">
        <w:rPr>
          <w:rFonts w:eastAsia="Times New Roman" w:cstheme="minorHAnsi"/>
          <w:lang w:val="en-US" w:eastAsia="fr-BE"/>
        </w:rPr>
        <w:t>. Endoscopy International Open. 2018; 06: E688-93. doi https://doi.org/10.1055/a-0593-5915.</w:t>
      </w:r>
    </w:p>
    <w:p w14:paraId="06F9E51D" w14:textId="77777777" w:rsidR="00B71F81" w:rsidRPr="00224CAF" w:rsidRDefault="00B71F81" w:rsidP="00B71F81">
      <w:pPr>
        <w:spacing w:after="0" w:line="240" w:lineRule="auto"/>
        <w:jc w:val="both"/>
        <w:rPr>
          <w:rFonts w:eastAsia="Times New Roman" w:cstheme="minorHAnsi"/>
          <w:lang w:val="en-US" w:eastAsia="fr-BE"/>
        </w:rPr>
      </w:pPr>
      <w:r w:rsidRPr="00224CAF">
        <w:rPr>
          <w:rFonts w:eastAsia="Times New Roman" w:cstheme="minorHAnsi"/>
          <w:lang w:val="en-US" w:eastAsia="fr-BE"/>
        </w:rPr>
        <w:t xml:space="preserve">16. </w:t>
      </w:r>
      <w:r w:rsidRPr="00224CAF">
        <w:rPr>
          <w:lang w:val="en-US"/>
        </w:rPr>
        <w:t>Sidhu R, Sanders DS, Kapur K, Leeds JS, McAlindon ME. Factors predicting the diagnostic yield and intervention in obscure gastrointestinal bleeding investigated using capsule endoscopy. J Gastrointestin Liver Dis 2009; 18: 273-278</w:t>
      </w:r>
    </w:p>
    <w:p w14:paraId="3BD74E52" w14:textId="77777777" w:rsidR="00B71F81" w:rsidRPr="00224CAF" w:rsidRDefault="00B71F81" w:rsidP="00B71F81">
      <w:pPr>
        <w:spacing w:after="0" w:line="240" w:lineRule="auto"/>
        <w:jc w:val="both"/>
        <w:rPr>
          <w:rFonts w:eastAsia="Times New Roman" w:cstheme="minorHAnsi"/>
          <w:lang w:eastAsia="fr-BE"/>
        </w:rPr>
      </w:pPr>
      <w:r w:rsidRPr="00224CAF">
        <w:rPr>
          <w:rFonts w:eastAsia="Times New Roman" w:cstheme="minorHAnsi"/>
          <w:lang w:val="en-US" w:eastAsia="fr-BE"/>
        </w:rPr>
        <w:t xml:space="preserve">17. Hindryckx P, Botelberge T, De Vos M, De Looze D. Clinical impact of capsule endoscopy on further strategy and long-term clinical outcome in patients with obscure bleeding. </w:t>
      </w:r>
      <w:r w:rsidRPr="00224CAF">
        <w:rPr>
          <w:rFonts w:eastAsia="Times New Roman" w:cstheme="minorHAnsi"/>
          <w:lang w:eastAsia="fr-BE"/>
        </w:rPr>
        <w:t xml:space="preserve">Gastrointest Endosc. </w:t>
      </w:r>
      <w:proofErr w:type="gramStart"/>
      <w:r w:rsidRPr="00224CAF">
        <w:rPr>
          <w:rFonts w:eastAsia="Times New Roman" w:cstheme="minorHAnsi"/>
          <w:lang w:eastAsia="fr-BE"/>
        </w:rPr>
        <w:t>2008;</w:t>
      </w:r>
      <w:proofErr w:type="gramEnd"/>
      <w:r w:rsidRPr="00224CAF">
        <w:rPr>
          <w:rFonts w:eastAsia="Times New Roman" w:cstheme="minorHAnsi"/>
          <w:lang w:eastAsia="fr-BE"/>
        </w:rPr>
        <w:t xml:space="preserve">68:98-104. </w:t>
      </w:r>
      <w:proofErr w:type="gramStart"/>
      <w:r w:rsidRPr="00224CAF">
        <w:rPr>
          <w:rFonts w:eastAsia="Times New Roman" w:cstheme="minorHAnsi"/>
          <w:lang w:eastAsia="fr-BE"/>
        </w:rPr>
        <w:t>doi:10.1016/j.gie</w:t>
      </w:r>
      <w:proofErr w:type="gramEnd"/>
      <w:r w:rsidRPr="00224CAF">
        <w:rPr>
          <w:rFonts w:eastAsia="Times New Roman" w:cstheme="minorHAnsi"/>
          <w:lang w:eastAsia="fr-BE"/>
        </w:rPr>
        <w:t>.2007.09.042</w:t>
      </w:r>
    </w:p>
    <w:p w14:paraId="4DE46FE3" w14:textId="77777777" w:rsidR="00B71F81" w:rsidRPr="00224CAF" w:rsidRDefault="00B71F81" w:rsidP="00B71F81">
      <w:pPr>
        <w:spacing w:after="0" w:line="240" w:lineRule="auto"/>
        <w:jc w:val="both"/>
        <w:rPr>
          <w:rFonts w:eastAsia="Times New Roman" w:cstheme="minorHAnsi"/>
          <w:lang w:eastAsia="fr-BE"/>
        </w:rPr>
      </w:pPr>
      <w:r w:rsidRPr="00224CAF">
        <w:rPr>
          <w:rFonts w:eastAsia="Times New Roman" w:cstheme="minorHAnsi"/>
          <w:lang w:eastAsia="fr-BE"/>
        </w:rPr>
        <w:lastRenderedPageBreak/>
        <w:t xml:space="preserve">18. Romeo S, Neri B, Mossa M, Riccioni ME, Scucchi L, Sena G, et al. </w:t>
      </w:r>
      <w:r w:rsidRPr="00224CAF">
        <w:rPr>
          <w:rFonts w:eastAsia="Times New Roman" w:cstheme="minorHAnsi"/>
          <w:lang w:val="en-US" w:eastAsia="fr-BE"/>
        </w:rPr>
        <w:t>Diagnostic yield of small bowel capsule endoscopy in obscure gastrointestinal bleeding: a real</w:t>
      </w:r>
      <w:r w:rsidRPr="00224CAF">
        <w:rPr>
          <w:rFonts w:ascii="Cambria Math" w:eastAsia="Times New Roman" w:hAnsi="Cambria Math" w:cs="Cambria Math"/>
          <w:lang w:val="en-US" w:eastAsia="fr-BE"/>
        </w:rPr>
        <w:t>‑</w:t>
      </w:r>
      <w:r w:rsidRPr="00224CAF">
        <w:rPr>
          <w:rFonts w:eastAsia="Times New Roman" w:cstheme="minorHAnsi"/>
          <w:lang w:val="en-US" w:eastAsia="fr-BE"/>
        </w:rPr>
        <w:t xml:space="preserve">world prospective study. </w:t>
      </w:r>
      <w:r w:rsidRPr="00224CAF">
        <w:rPr>
          <w:rFonts w:eastAsia="Times New Roman" w:cstheme="minorHAnsi"/>
          <w:lang w:eastAsia="fr-BE"/>
        </w:rPr>
        <w:t>Internal and Emergency Medicine. 5 june 2021. https://doi.org/10.1007/s11739-021-02791-z</w:t>
      </w:r>
    </w:p>
    <w:p w14:paraId="4FA537F9" w14:textId="77777777" w:rsidR="00B71F81" w:rsidRPr="00224CAF" w:rsidRDefault="00B71F81" w:rsidP="00B71F81">
      <w:pPr>
        <w:spacing w:after="0" w:line="240" w:lineRule="auto"/>
        <w:jc w:val="both"/>
        <w:rPr>
          <w:rFonts w:eastAsia="Times New Roman" w:cstheme="minorHAnsi"/>
          <w:lang w:val="en-US" w:eastAsia="fr-BE"/>
        </w:rPr>
      </w:pPr>
      <w:r w:rsidRPr="00224CAF">
        <w:rPr>
          <w:rFonts w:eastAsia="Times New Roman" w:cstheme="minorHAnsi"/>
          <w:lang w:eastAsia="fr-BE"/>
        </w:rPr>
        <w:t xml:space="preserve">19. Yung DE, Koulaouzidis A, Avni T, Kopylov U, Giannakou A, Rondonotti E, et al. </w:t>
      </w:r>
      <w:r w:rsidRPr="00224CAF">
        <w:rPr>
          <w:rFonts w:eastAsia="Times New Roman" w:cstheme="minorHAnsi"/>
          <w:lang w:val="en-US" w:eastAsia="fr-BE"/>
        </w:rPr>
        <w:t xml:space="preserve">Clinical outcomes of negative small-bowel capsule endoscopy for small-bowel bleeding: a systematic review and meta-analysis. Gastrointest endosc </w:t>
      </w:r>
      <w:proofErr w:type="gramStart"/>
      <w:r w:rsidRPr="00224CAF">
        <w:rPr>
          <w:rFonts w:eastAsia="Times New Roman" w:cstheme="minorHAnsi"/>
          <w:lang w:val="en-US" w:eastAsia="fr-BE"/>
        </w:rPr>
        <w:t>2017 ;</w:t>
      </w:r>
      <w:proofErr w:type="gramEnd"/>
      <w:r w:rsidRPr="00224CAF">
        <w:rPr>
          <w:rFonts w:eastAsia="Times New Roman" w:cstheme="minorHAnsi"/>
          <w:lang w:val="en-US" w:eastAsia="fr-BE"/>
        </w:rPr>
        <w:t xml:space="preserve"> 85 (2) : 305-17. </w:t>
      </w:r>
      <w:proofErr w:type="gramStart"/>
      <w:r w:rsidRPr="00224CAF">
        <w:rPr>
          <w:rFonts w:eastAsia="Times New Roman" w:cstheme="minorHAnsi"/>
          <w:lang w:val="en-US" w:eastAsia="fr-BE"/>
        </w:rPr>
        <w:t>doi :</w:t>
      </w:r>
      <w:proofErr w:type="gramEnd"/>
      <w:r w:rsidRPr="00224CAF">
        <w:rPr>
          <w:rFonts w:eastAsia="Times New Roman" w:cstheme="minorHAnsi"/>
          <w:lang w:val="en-US" w:eastAsia="fr-BE"/>
        </w:rPr>
        <w:t xml:space="preserve"> http://dx.doi.org/10.1016/j.gie.2016.08.027</w:t>
      </w:r>
    </w:p>
    <w:p w14:paraId="10612380" w14:textId="77777777" w:rsidR="00B71F81" w:rsidRPr="00224CAF" w:rsidRDefault="00B71F81" w:rsidP="00B71F81">
      <w:pPr>
        <w:spacing w:after="0" w:line="240" w:lineRule="auto"/>
        <w:jc w:val="both"/>
        <w:rPr>
          <w:rFonts w:eastAsia="Times New Roman" w:cstheme="minorHAnsi"/>
          <w:lang w:eastAsia="fr-BE"/>
        </w:rPr>
      </w:pPr>
      <w:r w:rsidRPr="00224CAF">
        <w:rPr>
          <w:rFonts w:eastAsia="Times New Roman" w:cstheme="minorHAnsi"/>
          <w:lang w:val="en-US" w:eastAsia="fr-BE"/>
        </w:rPr>
        <w:t xml:space="preserve">20. Macdonald J, Porter V, McNamara D. Negative capsule endoscopy in patients with obscure GI bleeding predicts low rebleeding rates. </w:t>
      </w:r>
      <w:r w:rsidRPr="00224CAF">
        <w:rPr>
          <w:rFonts w:eastAsia="Times New Roman" w:cstheme="minorHAnsi"/>
          <w:lang w:eastAsia="fr-BE"/>
        </w:rPr>
        <w:t xml:space="preserve">Gastrointest Endosc. 2008 ; 68(6) :1122-27. </w:t>
      </w:r>
      <w:proofErr w:type="gramStart"/>
      <w:r w:rsidRPr="00224CAF">
        <w:rPr>
          <w:rFonts w:eastAsia="Times New Roman" w:cstheme="minorHAnsi"/>
          <w:lang w:eastAsia="fr-BE"/>
        </w:rPr>
        <w:t>doi:10.1016/j.gie</w:t>
      </w:r>
      <w:proofErr w:type="gramEnd"/>
      <w:r w:rsidRPr="00224CAF">
        <w:rPr>
          <w:rFonts w:eastAsia="Times New Roman" w:cstheme="minorHAnsi"/>
          <w:lang w:eastAsia="fr-BE"/>
        </w:rPr>
        <w:t>.2008.06.054</w:t>
      </w:r>
      <w:bookmarkEnd w:id="3"/>
    </w:p>
    <w:p w14:paraId="799BA962" w14:textId="77777777" w:rsidR="00B71F81" w:rsidRPr="00224CAF" w:rsidRDefault="00B71F81" w:rsidP="00B71F81"/>
    <w:bookmarkEnd w:id="0"/>
    <w:p w14:paraId="07DB7E05" w14:textId="77777777" w:rsidR="00C9092F" w:rsidRPr="00224CAF" w:rsidRDefault="00C9092F"/>
    <w:sectPr w:rsidR="00C9092F" w:rsidRPr="00224CAF" w:rsidSect="00481BEC">
      <w:footerReference w:type="default" r:id="rId13"/>
      <w:pgSz w:w="11906" w:h="16838"/>
      <w:pgMar w:top="1417" w:right="1417" w:bottom="1417" w:left="1417" w:header="51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CA27F" w14:textId="77777777" w:rsidR="00637801" w:rsidRDefault="00637801">
      <w:pPr>
        <w:spacing w:after="0" w:line="240" w:lineRule="auto"/>
      </w:pPr>
      <w:r>
        <w:separator/>
      </w:r>
    </w:p>
  </w:endnote>
  <w:endnote w:type="continuationSeparator" w:id="0">
    <w:p w14:paraId="5EB4398F" w14:textId="77777777" w:rsidR="00637801" w:rsidRDefault="0063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575847"/>
      <w:docPartObj>
        <w:docPartGallery w:val="Page Numbers (Bottom of Page)"/>
        <w:docPartUnique/>
      </w:docPartObj>
    </w:sdtPr>
    <w:sdtEndPr/>
    <w:sdtContent>
      <w:p w14:paraId="63BE042B" w14:textId="77777777" w:rsidR="00934C6E" w:rsidRDefault="00B71F81">
        <w:pPr>
          <w:pStyle w:val="Pieddepage"/>
          <w:jc w:val="right"/>
        </w:pPr>
        <w:r>
          <w:fldChar w:fldCharType="begin"/>
        </w:r>
        <w:r>
          <w:instrText>PAGE   \* MERGEFORMAT</w:instrText>
        </w:r>
        <w:r>
          <w:fldChar w:fldCharType="separate"/>
        </w:r>
        <w:r w:rsidRPr="000A3FBE">
          <w:rPr>
            <w:noProof/>
            <w:lang w:val="fr-FR"/>
          </w:rPr>
          <w:t>9</w:t>
        </w:r>
        <w:r>
          <w:fldChar w:fldCharType="end"/>
        </w:r>
      </w:p>
    </w:sdtContent>
  </w:sdt>
  <w:p w14:paraId="0BB2D14C" w14:textId="77777777" w:rsidR="00894F23" w:rsidRDefault="006378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101C" w14:textId="77777777" w:rsidR="00637801" w:rsidRDefault="00637801">
      <w:pPr>
        <w:spacing w:after="0" w:line="240" w:lineRule="auto"/>
      </w:pPr>
      <w:r>
        <w:separator/>
      </w:r>
    </w:p>
  </w:footnote>
  <w:footnote w:type="continuationSeparator" w:id="0">
    <w:p w14:paraId="0C0D806E" w14:textId="77777777" w:rsidR="00637801" w:rsidRDefault="006378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81"/>
    <w:rsid w:val="000D36D4"/>
    <w:rsid w:val="001110EB"/>
    <w:rsid w:val="00183F88"/>
    <w:rsid w:val="001E49F2"/>
    <w:rsid w:val="00224CAF"/>
    <w:rsid w:val="00274237"/>
    <w:rsid w:val="00302CC4"/>
    <w:rsid w:val="00317C58"/>
    <w:rsid w:val="00387B61"/>
    <w:rsid w:val="004C55FC"/>
    <w:rsid w:val="004D42C6"/>
    <w:rsid w:val="00527E93"/>
    <w:rsid w:val="005777E8"/>
    <w:rsid w:val="005B54EC"/>
    <w:rsid w:val="005C5A50"/>
    <w:rsid w:val="00637801"/>
    <w:rsid w:val="00716B6E"/>
    <w:rsid w:val="00730ED8"/>
    <w:rsid w:val="007A1AC2"/>
    <w:rsid w:val="00882359"/>
    <w:rsid w:val="00953A9E"/>
    <w:rsid w:val="009D4121"/>
    <w:rsid w:val="009E3ADB"/>
    <w:rsid w:val="00A65214"/>
    <w:rsid w:val="00B113B2"/>
    <w:rsid w:val="00B46088"/>
    <w:rsid w:val="00B71F81"/>
    <w:rsid w:val="00C65359"/>
    <w:rsid w:val="00C9092F"/>
    <w:rsid w:val="00CF0008"/>
    <w:rsid w:val="00D50145"/>
    <w:rsid w:val="00DB2143"/>
    <w:rsid w:val="00E27C84"/>
    <w:rsid w:val="00EB0583"/>
    <w:rsid w:val="00EB0779"/>
    <w:rsid w:val="00EE2521"/>
    <w:rsid w:val="00F75635"/>
    <w:rsid w:val="00F96546"/>
    <w:rsid w:val="00FA1E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A1AA"/>
  <w15:chartTrackingRefBased/>
  <w15:docId w15:val="{047D2630-52D8-4C19-B1C4-59BEB1C7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F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7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B71F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1F81"/>
  </w:style>
  <w:style w:type="character" w:styleId="Marquedecommentaire">
    <w:name w:val="annotation reference"/>
    <w:basedOn w:val="Policepardfaut"/>
    <w:uiPriority w:val="99"/>
    <w:semiHidden/>
    <w:unhideWhenUsed/>
    <w:rsid w:val="00C65359"/>
    <w:rPr>
      <w:sz w:val="16"/>
      <w:szCs w:val="16"/>
    </w:rPr>
  </w:style>
  <w:style w:type="paragraph" w:styleId="Commentaire">
    <w:name w:val="annotation text"/>
    <w:basedOn w:val="Normal"/>
    <w:link w:val="CommentaireCar"/>
    <w:uiPriority w:val="99"/>
    <w:semiHidden/>
    <w:unhideWhenUsed/>
    <w:rsid w:val="00C65359"/>
    <w:pPr>
      <w:spacing w:line="240" w:lineRule="auto"/>
    </w:pPr>
    <w:rPr>
      <w:sz w:val="20"/>
      <w:szCs w:val="20"/>
    </w:rPr>
  </w:style>
  <w:style w:type="character" w:customStyle="1" w:styleId="CommentaireCar">
    <w:name w:val="Commentaire Car"/>
    <w:basedOn w:val="Policepardfaut"/>
    <w:link w:val="Commentaire"/>
    <w:uiPriority w:val="99"/>
    <w:semiHidden/>
    <w:rsid w:val="00C65359"/>
    <w:rPr>
      <w:sz w:val="20"/>
      <w:szCs w:val="20"/>
    </w:rPr>
  </w:style>
  <w:style w:type="paragraph" w:styleId="Objetducommentaire">
    <w:name w:val="annotation subject"/>
    <w:basedOn w:val="Commentaire"/>
    <w:next w:val="Commentaire"/>
    <w:link w:val="ObjetducommentaireCar"/>
    <w:uiPriority w:val="99"/>
    <w:semiHidden/>
    <w:unhideWhenUsed/>
    <w:rsid w:val="00C65359"/>
    <w:rPr>
      <w:b/>
      <w:bCs/>
    </w:rPr>
  </w:style>
  <w:style w:type="character" w:customStyle="1" w:styleId="ObjetducommentaireCar">
    <w:name w:val="Objet du commentaire Car"/>
    <w:basedOn w:val="CommentaireCar"/>
    <w:link w:val="Objetducommentaire"/>
    <w:uiPriority w:val="99"/>
    <w:semiHidden/>
    <w:rsid w:val="00C653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0094246/"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ubmed.ncbi.nlm.nih.gov/29539652/" TargetMode="External"/><Relationship Id="rId12" Type="http://schemas.openxmlformats.org/officeDocument/2006/relationships/hyperlink" Target="https://pubmed.ncbi.nlm.nih.gov/312359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27821032/" TargetMode="External"/><Relationship Id="rId11" Type="http://schemas.openxmlformats.org/officeDocument/2006/relationships/hyperlink" Target="https://pubmed.ncbi.nlm.nih.gov/3308653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pubmed.ncbi.nlm.nih.gov/29620627/" TargetMode="External"/><Relationship Id="rId4" Type="http://schemas.openxmlformats.org/officeDocument/2006/relationships/footnotes" Target="footnotes.xml"/><Relationship Id="rId9" Type="http://schemas.openxmlformats.org/officeDocument/2006/relationships/hyperlink" Target="https://pubmed.ncbi.nlm.nih.gov/31210941/"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4076</Words>
  <Characters>23358</Characters>
  <Application>Microsoft Office Word</Application>
  <DocSecurity>0</DocSecurity>
  <Lines>424</Lines>
  <Paragraphs>228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Anne-Catherine Moreau</dc:creator>
  <cp:keywords/>
  <dc:description/>
  <cp:lastModifiedBy>Anne-Catherine Moreau</cp:lastModifiedBy>
  <cp:revision>6</cp:revision>
  <dcterms:created xsi:type="dcterms:W3CDTF">2021-09-13T16:09:00Z</dcterms:created>
  <dcterms:modified xsi:type="dcterms:W3CDTF">2021-09-13T17:15:00Z</dcterms:modified>
</cp:coreProperties>
</file>