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C40D8" w14:textId="5E900FA6" w:rsidR="006E6B26" w:rsidRPr="00716602" w:rsidRDefault="00EE5230" w:rsidP="003C6F53">
      <w:pPr>
        <w:pStyle w:val="Titre1"/>
      </w:pPr>
      <w:r w:rsidRPr="00EE5230">
        <w:t>Bifunctional Imidazolium/Amine Polymer Foams: One-pot Synthesis and Synergistic Promotion of CO2 Sorption.</w:t>
      </w:r>
    </w:p>
    <w:p w14:paraId="1E20608F" w14:textId="77777777" w:rsidR="006E6B26" w:rsidRPr="00EE5230" w:rsidRDefault="006E6B26" w:rsidP="006E6B26">
      <w:pPr>
        <w:rPr>
          <w:i/>
          <w:iCs/>
        </w:rPr>
      </w:pPr>
    </w:p>
    <w:p w14:paraId="5B25095E" w14:textId="028A22CA" w:rsidR="006E6B26" w:rsidRPr="00EE5230" w:rsidRDefault="00EE5230" w:rsidP="003C6F53">
      <w:pPr>
        <w:pStyle w:val="Titre2"/>
      </w:pPr>
      <w:r w:rsidRPr="00EE5230">
        <w:t xml:space="preserve">Pierre </w:t>
      </w:r>
      <w:proofErr w:type="spellStart"/>
      <w:r w:rsidRPr="00EE5230">
        <w:t>Stiernet</w:t>
      </w:r>
      <w:r w:rsidRPr="00EE5230">
        <w:rPr>
          <w:vertAlign w:val="superscript"/>
        </w:rPr>
        <w:t>a</w:t>
      </w:r>
      <w:proofErr w:type="spellEnd"/>
      <w:r w:rsidRPr="00EE5230">
        <w:t xml:space="preserve">, </w:t>
      </w:r>
      <w:proofErr w:type="spellStart"/>
      <w:r w:rsidRPr="00EE5230">
        <w:t>Matjaž</w:t>
      </w:r>
      <w:proofErr w:type="spellEnd"/>
      <w:r w:rsidRPr="00EE5230">
        <w:t xml:space="preserve"> </w:t>
      </w:r>
      <w:proofErr w:type="spellStart"/>
      <w:proofErr w:type="gramStart"/>
      <w:r w:rsidRPr="00EE5230">
        <w:t>Mazaj,</w:t>
      </w:r>
      <w:r w:rsidRPr="00EE5230">
        <w:rPr>
          <w:vertAlign w:val="superscript"/>
        </w:rPr>
        <w:t>b</w:t>
      </w:r>
      <w:proofErr w:type="spellEnd"/>
      <w:proofErr w:type="gramEnd"/>
      <w:r w:rsidRPr="00EE5230">
        <w:t xml:space="preserve"> </w:t>
      </w:r>
      <w:proofErr w:type="spellStart"/>
      <w:r w:rsidRPr="00EE5230">
        <w:t>Sebastijan</w:t>
      </w:r>
      <w:proofErr w:type="spellEnd"/>
      <w:r w:rsidRPr="00EE5230">
        <w:t xml:space="preserve"> </w:t>
      </w:r>
      <w:proofErr w:type="spellStart"/>
      <w:r w:rsidRPr="00EE5230">
        <w:t>Kovačič,</w:t>
      </w:r>
      <w:r w:rsidRPr="00EE5230">
        <w:rPr>
          <w:vertAlign w:val="superscript"/>
        </w:rPr>
        <w:t>b</w:t>
      </w:r>
      <w:proofErr w:type="spellEnd"/>
      <w:r w:rsidRPr="00EE5230">
        <w:t xml:space="preserve">* Antoine </w:t>
      </w:r>
      <w:proofErr w:type="spellStart"/>
      <w:r w:rsidRPr="00EE5230">
        <w:t>Debuigne</w:t>
      </w:r>
      <w:proofErr w:type="spellEnd"/>
      <w:r w:rsidRPr="00EE5230">
        <w:t xml:space="preserve"> </w:t>
      </w:r>
      <w:r w:rsidRPr="00EE5230">
        <w:rPr>
          <w:vertAlign w:val="superscript"/>
        </w:rPr>
        <w:t>a</w:t>
      </w:r>
      <w:r w:rsidRPr="00EE5230">
        <w:t>*</w:t>
      </w:r>
    </w:p>
    <w:p w14:paraId="36E53690" w14:textId="77777777" w:rsidR="00BD5D30" w:rsidRPr="00EE5230" w:rsidRDefault="00BD5D30" w:rsidP="00BD5D30"/>
    <w:p w14:paraId="3A0467E1" w14:textId="00C85458" w:rsidR="00EE5230" w:rsidRPr="00EE5230" w:rsidRDefault="00BD5D30" w:rsidP="00EE5230">
      <w:pPr>
        <w:pStyle w:val="articleauthor-affiliation"/>
        <w:shd w:val="clear" w:color="auto" w:fill="FFFFFF"/>
        <w:ind w:left="720"/>
        <w:rPr>
          <w:rFonts w:cs="Arial"/>
          <w:sz w:val="20"/>
          <w:szCs w:val="20"/>
        </w:rPr>
      </w:pPr>
      <w:r w:rsidRPr="00BD5D30">
        <w:rPr>
          <w:rFonts w:ascii="Arial" w:hAnsi="Arial" w:cs="Arial"/>
          <w:sz w:val="20"/>
          <w:szCs w:val="20"/>
          <w:vertAlign w:val="superscript"/>
        </w:rPr>
        <w:t xml:space="preserve">a </w:t>
      </w:r>
      <w:r w:rsidRPr="00BD5D30">
        <w:rPr>
          <w:rFonts w:ascii="Arial" w:hAnsi="Arial" w:cs="Arial"/>
          <w:sz w:val="20"/>
          <w:szCs w:val="20"/>
        </w:rPr>
        <w:t>Center for Education and Research on Macromolecules (CERM), University of Liege (</w:t>
      </w:r>
      <w:proofErr w:type="spellStart"/>
      <w:r w:rsidRPr="00BD5D30">
        <w:rPr>
          <w:rFonts w:ascii="Arial" w:hAnsi="Arial" w:cs="Arial"/>
          <w:sz w:val="20"/>
          <w:szCs w:val="20"/>
        </w:rPr>
        <w:t>ULiege</w:t>
      </w:r>
      <w:proofErr w:type="spellEnd"/>
      <w:r w:rsidRPr="00BD5D30">
        <w:rPr>
          <w:rFonts w:ascii="Arial" w:hAnsi="Arial" w:cs="Arial"/>
          <w:sz w:val="20"/>
          <w:szCs w:val="20"/>
        </w:rPr>
        <w:t xml:space="preserve">), CESAM-RU, </w:t>
      </w:r>
      <w:proofErr w:type="spellStart"/>
      <w:r w:rsidRPr="00BD5D30">
        <w:rPr>
          <w:rFonts w:ascii="Arial" w:hAnsi="Arial" w:cs="Arial"/>
          <w:sz w:val="20"/>
          <w:szCs w:val="20"/>
        </w:rPr>
        <w:t>Sart</w:t>
      </w:r>
      <w:proofErr w:type="spellEnd"/>
      <w:r w:rsidRPr="00BD5D30">
        <w:rPr>
          <w:rFonts w:ascii="Arial" w:hAnsi="Arial" w:cs="Arial"/>
          <w:sz w:val="20"/>
          <w:szCs w:val="20"/>
        </w:rPr>
        <w:t>-Tilman, Building B6a, B-4000 Liege, Belgium</w:t>
      </w:r>
      <w:r w:rsidR="00EE5230">
        <w:rPr>
          <w:vertAlign w:val="superscript"/>
        </w:rPr>
        <w:t xml:space="preserve">. </w:t>
      </w:r>
    </w:p>
    <w:p w14:paraId="5611FE26" w14:textId="6729D5F1" w:rsidR="00EE5230" w:rsidRPr="00EE5230" w:rsidRDefault="00EE5230" w:rsidP="00EE5230">
      <w:pPr>
        <w:pStyle w:val="articleauthor-affiliation"/>
        <w:shd w:val="clear" w:color="auto" w:fill="FFFFFF"/>
        <w:ind w:left="720"/>
        <w:rPr>
          <w:rFonts w:cs="Arial"/>
          <w:sz w:val="20"/>
          <w:szCs w:val="20"/>
        </w:rPr>
      </w:pPr>
      <w:r w:rsidRPr="00EE5230">
        <w:rPr>
          <w:rFonts w:cs="Arial"/>
          <w:sz w:val="20"/>
          <w:szCs w:val="20"/>
          <w:vertAlign w:val="superscript"/>
        </w:rPr>
        <w:t>b</w:t>
      </w:r>
      <w:r w:rsidRPr="00EE5230">
        <w:rPr>
          <w:rFonts w:cs="Arial"/>
          <w:sz w:val="20"/>
          <w:szCs w:val="20"/>
        </w:rPr>
        <w:t xml:space="preserve"> National Institute of Chemistry, </w:t>
      </w:r>
      <w:proofErr w:type="spellStart"/>
      <w:r w:rsidRPr="00EE5230">
        <w:rPr>
          <w:rFonts w:cs="Arial"/>
          <w:sz w:val="20"/>
          <w:szCs w:val="20"/>
        </w:rPr>
        <w:t>Hajdrihova</w:t>
      </w:r>
      <w:proofErr w:type="spellEnd"/>
      <w:r w:rsidRPr="00EE5230">
        <w:rPr>
          <w:rFonts w:cs="Arial"/>
          <w:sz w:val="20"/>
          <w:szCs w:val="20"/>
        </w:rPr>
        <w:t xml:space="preserve"> 19, SI-1001, Ljubljana, Slovenia. </w:t>
      </w:r>
      <w:proofErr w:type="gramStart"/>
      <w:r w:rsidRPr="00EE5230">
        <w:rPr>
          <w:rFonts w:cs="Arial"/>
          <w:sz w:val="20"/>
          <w:szCs w:val="20"/>
        </w:rPr>
        <w:t>Email :</w:t>
      </w:r>
      <w:proofErr w:type="gramEnd"/>
      <w:r w:rsidRPr="00EE5230">
        <w:rPr>
          <w:rFonts w:cs="Arial"/>
          <w:sz w:val="20"/>
          <w:szCs w:val="20"/>
        </w:rPr>
        <w:t xml:space="preserve"> </w:t>
      </w:r>
    </w:p>
    <w:p w14:paraId="2D73A039" w14:textId="6C2B801A" w:rsidR="001E0B2C" w:rsidRPr="00BD5D30" w:rsidRDefault="001E0B2C" w:rsidP="001E0B2C">
      <w:pPr>
        <w:pStyle w:val="articleauthor-affiliation"/>
        <w:shd w:val="clear" w:color="auto" w:fill="FFFFFF"/>
        <w:ind w:firstLine="720"/>
        <w:rPr>
          <w:rFonts w:ascii="Arial" w:hAnsi="Arial" w:cs="Arial"/>
          <w:sz w:val="20"/>
          <w:szCs w:val="20"/>
        </w:rPr>
      </w:pPr>
      <w:r>
        <w:rPr>
          <w:rFonts w:ascii="Source Sans Pro" w:hAnsi="Source Sans Pro"/>
          <w:sz w:val="23"/>
          <w:szCs w:val="23"/>
        </w:rPr>
        <w:t xml:space="preserve">* </w:t>
      </w:r>
      <w:r w:rsidRPr="00BD5D30">
        <w:rPr>
          <w:rFonts w:ascii="Arial" w:hAnsi="Arial" w:cs="Arial"/>
          <w:sz w:val="20"/>
          <w:szCs w:val="20"/>
        </w:rPr>
        <w:t>Corresponding authors</w:t>
      </w:r>
      <w:r>
        <w:rPr>
          <w:rFonts w:ascii="Arial" w:hAnsi="Arial" w:cs="Arial"/>
          <w:sz w:val="20"/>
          <w:szCs w:val="20"/>
        </w:rPr>
        <w:t xml:space="preserve">: </w:t>
      </w:r>
      <w:r w:rsidRPr="00BD5D30">
        <w:rPr>
          <w:rFonts w:ascii="Arial" w:hAnsi="Arial" w:cs="Arial"/>
          <w:b/>
          <w:bCs/>
          <w:sz w:val="20"/>
          <w:szCs w:val="20"/>
        </w:rPr>
        <w:t>E-mail:</w:t>
      </w:r>
      <w:r w:rsidR="00EE5230" w:rsidRPr="00EE5230">
        <w:rPr>
          <w:rFonts w:cs="Arial"/>
          <w:sz w:val="20"/>
          <w:szCs w:val="20"/>
        </w:rPr>
        <w:t xml:space="preserve"> </w:t>
      </w:r>
      <w:hyperlink r:id="rId8" w:history="1">
        <w:r w:rsidR="00EE5230" w:rsidRPr="008523C9">
          <w:rPr>
            <w:rStyle w:val="Lienhypertexte"/>
            <w:rFonts w:cs="Arial"/>
            <w:sz w:val="20"/>
            <w:szCs w:val="20"/>
          </w:rPr>
          <w:t>adebuigne@uliege.be</w:t>
        </w:r>
      </w:hyperlink>
      <w:r w:rsidR="00EE5230">
        <w:rPr>
          <w:rFonts w:cs="Arial"/>
          <w:sz w:val="20"/>
          <w:szCs w:val="20"/>
        </w:rPr>
        <w:t xml:space="preserve">, </w:t>
      </w:r>
      <w:hyperlink r:id="rId9" w:history="1">
        <w:r w:rsidR="00EE5230" w:rsidRPr="00EE5230">
          <w:rPr>
            <w:rStyle w:val="Lienhypertexte"/>
            <w:rFonts w:cs="Arial"/>
            <w:sz w:val="20"/>
            <w:szCs w:val="20"/>
          </w:rPr>
          <w:t>sebastijan.kovacic@ki.si</w:t>
        </w:r>
      </w:hyperlink>
    </w:p>
    <w:p w14:paraId="47D680CD" w14:textId="77777777" w:rsidR="006E6B26" w:rsidRPr="00716602" w:rsidRDefault="006E6B26" w:rsidP="003C6F53">
      <w:pPr>
        <w:pStyle w:val="Titre1"/>
        <w:rPr>
          <w:lang w:val="en-US"/>
        </w:rPr>
      </w:pPr>
      <w:bookmarkStart w:id="0" w:name="_Hlk92729314"/>
      <w:r w:rsidRPr="003C6F53">
        <w:t>Abstract</w:t>
      </w:r>
      <w:bookmarkStart w:id="1" w:name="_Hlk92729585"/>
      <w:bookmarkEnd w:id="0"/>
    </w:p>
    <w:bookmarkEnd w:id="1"/>
    <w:p w14:paraId="0B180700" w14:textId="0C796C6F" w:rsidR="006E6B26" w:rsidRPr="00716602" w:rsidRDefault="00EE5230" w:rsidP="003C6F53">
      <w:pPr>
        <w:rPr>
          <w:rFonts w:cs="Times New Roman"/>
          <w:sz w:val="18"/>
          <w:lang w:val="en-US"/>
        </w:rPr>
      </w:pPr>
      <w:r w:rsidRPr="00EE5230">
        <w:t>Amines and imidazolium are well-known functional groups in carbon dioxide capture applications because of their excellent interactions with CO</w:t>
      </w:r>
      <w:r w:rsidRPr="00EE5230">
        <w:rPr>
          <w:vertAlign w:val="subscript"/>
        </w:rPr>
        <w:t>2</w:t>
      </w:r>
      <w:r w:rsidRPr="00EE5230">
        <w:t xml:space="preserve">, but their combination and possible synergistic effects when combined in polymer foams have not yet been considered. This work reports an innovative one-pot water-mediated synthesis of bifunctional imidazolium/amine microcellular polymer foams containing </w:t>
      </w:r>
      <w:proofErr w:type="spellStart"/>
      <w:r w:rsidRPr="00EE5230">
        <w:t>tunable</w:t>
      </w:r>
      <w:proofErr w:type="spellEnd"/>
      <w:r w:rsidRPr="00EE5230">
        <w:t xml:space="preserve"> ratios of these functions by combining the Radziszewski multicomponent reaction and high internal phase emulsion (HIPE) polymerization in a one-pot manner. The resulting polymer foams have unique textural and structural properties exhibiting rapid CO</w:t>
      </w:r>
      <w:r w:rsidRPr="00EE5230">
        <w:rPr>
          <w:vertAlign w:val="subscript"/>
        </w:rPr>
        <w:t>2</w:t>
      </w:r>
      <w:r w:rsidRPr="00EE5230">
        <w:t xml:space="preserve"> sorption kinetics with good capacities and excellent ability to selectively capture CO</w:t>
      </w:r>
      <w:r w:rsidRPr="00EE5230">
        <w:rPr>
          <w:vertAlign w:val="subscript"/>
        </w:rPr>
        <w:t>2</w:t>
      </w:r>
      <w:r w:rsidRPr="00EE5230">
        <w:t xml:space="preserve"> from the gas mixture </w:t>
      </w:r>
      <w:proofErr w:type="gramStart"/>
      <w:r w:rsidRPr="00EE5230">
        <w:t>in spite of</w:t>
      </w:r>
      <w:proofErr w:type="gramEnd"/>
      <w:r w:rsidRPr="00EE5230">
        <w:t xml:space="preserve"> their low specific surface. The bifunctional amine/imidazolium foams showed superior CO</w:t>
      </w:r>
      <w:r w:rsidRPr="00EE5230">
        <w:rPr>
          <w:vertAlign w:val="subscript"/>
        </w:rPr>
        <w:t>2</w:t>
      </w:r>
      <w:r w:rsidRPr="00EE5230">
        <w:t xml:space="preserve"> capture performances compared to their monofunctional counterparts, indicating the synergy between the functional groups. Comparison with the corresponding non-porous bulk materials also proved that the imidazolium/amine bifunctionality must be incorporated in a highly porous morphology to beneficiate from efficient and fast CO</w:t>
      </w:r>
      <w:r w:rsidRPr="00EE5230">
        <w:rPr>
          <w:vertAlign w:val="subscript"/>
        </w:rPr>
        <w:t>2</w:t>
      </w:r>
      <w:r w:rsidRPr="00EE5230">
        <w:t xml:space="preserve"> uptake. The marked influence of both the amine/imidazolium ratio and the nature of the imidazolium </w:t>
      </w:r>
      <w:proofErr w:type="spellStart"/>
      <w:r w:rsidRPr="00EE5230">
        <w:t>counteranion</w:t>
      </w:r>
      <w:proofErr w:type="spellEnd"/>
      <w:r w:rsidRPr="00EE5230">
        <w:t xml:space="preserve"> on CO</w:t>
      </w:r>
      <w:r w:rsidRPr="00EE5230">
        <w:rPr>
          <w:vertAlign w:val="subscript"/>
        </w:rPr>
        <w:t>2</w:t>
      </w:r>
      <w:r w:rsidRPr="00EE5230">
        <w:t xml:space="preserve"> capture capacity under dry and humid conditions is demonstrated, as well as the outstanding multicyclic capture performance.</w:t>
      </w:r>
    </w:p>
    <w:p w14:paraId="71CC63B4" w14:textId="565E79E8" w:rsidR="00EE5230" w:rsidRPr="00EE5230" w:rsidRDefault="00EE5230" w:rsidP="00EE5230">
      <w:pPr>
        <w:pStyle w:val="Paragraphedeliste"/>
        <w:numPr>
          <w:ilvl w:val="0"/>
          <w:numId w:val="12"/>
        </w:numPr>
        <w:ind w:left="0" w:firstLine="0"/>
        <w:rPr>
          <w:rFonts w:cs="Arial"/>
          <w:b/>
        </w:rPr>
      </w:pPr>
      <w:r>
        <w:rPr>
          <w:rFonts w:cs="Arial"/>
          <w:b/>
        </w:rPr>
        <w:t xml:space="preserve">Introduction </w:t>
      </w:r>
    </w:p>
    <w:p w14:paraId="1AFC233D" w14:textId="77777777" w:rsidR="00EE5230" w:rsidRPr="00EE5230" w:rsidRDefault="00EE5230" w:rsidP="00EE5230">
      <w:pPr>
        <w:pStyle w:val="RSCB02ArticleText"/>
        <w:spacing w:line="276" w:lineRule="auto"/>
        <w:rPr>
          <w:rFonts w:ascii="Arial" w:hAnsi="Arial" w:cs="Arial"/>
          <w:w w:val="100"/>
          <w:sz w:val="24"/>
          <w:szCs w:val="24"/>
        </w:rPr>
      </w:pPr>
      <w:r w:rsidRPr="00EE5230">
        <w:rPr>
          <w:rFonts w:ascii="Arial" w:hAnsi="Arial" w:cs="Arial"/>
          <w:w w:val="100"/>
          <w:sz w:val="24"/>
          <w:szCs w:val="24"/>
        </w:rPr>
        <w:t>The massive consumption of the fossil resources to sustain our society's economic growth has generated excessive emissions of carbon dioxide (CO</w:t>
      </w:r>
      <w:r w:rsidRPr="00EE5230">
        <w:rPr>
          <w:rFonts w:ascii="Arial" w:hAnsi="Arial" w:cs="Arial"/>
          <w:w w:val="100"/>
          <w:sz w:val="24"/>
          <w:szCs w:val="24"/>
          <w:vertAlign w:val="subscript"/>
        </w:rPr>
        <w:t>2</w:t>
      </w:r>
      <w:r w:rsidRPr="00EE5230">
        <w:rPr>
          <w:rFonts w:ascii="Arial" w:hAnsi="Arial" w:cs="Arial"/>
          <w:w w:val="100"/>
          <w:sz w:val="24"/>
          <w:szCs w:val="24"/>
        </w:rPr>
        <w:t xml:space="preserve">) largely responsible for the anthropogenic climate change and global warming that we are witnessing. A key challenge to address this considerable environmental concern and to move toward more </w:t>
      </w:r>
      <w:r w:rsidRPr="00EE5230">
        <w:rPr>
          <w:rFonts w:ascii="Arial" w:hAnsi="Arial" w:cs="Arial"/>
          <w:w w:val="100"/>
          <w:sz w:val="24"/>
          <w:szCs w:val="24"/>
        </w:rPr>
        <w:lastRenderedPageBreak/>
        <w:t>sustainability is the development of innovative materials and processes for carbon dioxide capture prior to sequestration or valorization. Among the carbon capture technologies developed at academic and industrial scales, porous organic polymers (POPs) represents a very promising class of materials due to their high porosity, lightweight structural diversity, and physicochemical stability.</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{"citationItems":[{"id":"ITEM-1","itemData":{"DOI":"https://doi.org/10.1002/adma.201700229","ISSN":"0935-9648","abstract":"One of the most pressing environmental concerns of our age is the escalating level of atmospheric CO2. Intensive efforts have been made to investigate advanced porous materials, especially porous organic polymers (POPs), as one type of the most promising candidates for carbon capture due to their extremely high porosity, structural diversity, and physicochemical stability. This review provides a critical and in-depth analysis of recent POP research as it pertains to carbon capture. The definitions and terminologies commonly used to evaluate the performance of POPs for carbon capture, including CO2 capacity, enthalpy, selectivity, and regeneration strategies, are summarized. A detailed correlation study between the structural and chemical features of POPs and their adsorption capacities is discussed, mainly focusing on the physical interactions and chemical reactions. Finally, a concise outlook for utilizing POPs for carbon capture is discussed, noting areas in which further work is needed to develop the next-generation POPs for practical applications.","author":[{"dropping-particle":"","family":"Zou","given":"Lanfang","non-dropping-particle":"","parse-names":false,"suffix":""},{"dropping-particle":"","family":"Sun","given":"Yujia","non-dropping-particle":"","parse-names":false,"suffix":""},{"dropping-particle":"","family":"Che","given":"Sai","non-dropping-particle":"","parse-names":false,"suffix":""},{"dropping-particle":"","family":"Yang","given":"Xinyu","non-dropping-particle":"","parse-names":false,"suffix":""},{"dropping-particle":"","family":"Wang","given":"Xuan","non-dropping-particle":"","parse-names":false,"suffix":""},{"dropping-particle":"","family":"Bosch","given":"Mathieu","non-dropping-particle":"","parse-names":false,"suffix":""},{"dropping-particle":"","family":"Wang","given":"Qi","non-dropping-particle":"","parse-names":false,"suffix":""},{"dropping-particle":"","family":"Li","given":"Hao","non-dropping-particle":"","parse-names":false,"suffix":""},{"dropping-particle":"","family":"Smith","given":"Mallory","non-dropping-particle":"","parse-names":false,"suffix":""},{"dropping-particle":"","family":"Yuan","given":"Shuai","non-dropping-particle":"","parse-names":false,"suffix":""},{"dropping-particle":"","family":"Perry","given":"Zachary","non-dropping-particle":"","parse-names":false,"suffix":""},{"dropping-particle":"","family":"Zhou","given":"Hong-Cai","non-dropping-particle":"","parse-names":false,"suffix":""}],"container-title":"Advanced Materials","id":"ITEM-1","issue":"37","issued":{"date-parts":[["2017","10","1"]]},"note":"https://doi.org/10.1002/adma.201700229","page":"1700229","publisher":"John Wiley &amp; Sons, Ltd","title":"Porous Organic Polymers for Post-Combustion Carbon Capture","type":"article-journal","volume":"29"},"uris":["http://www.mendeley.com/documents/?uuid=34157e29-532a-49b2-a121-b5af783739bb"]}],"mendeley":{"formattedCitation":"[1]","plainTextFormattedCitation":"[1]","previouslyFormattedCitation":"[1]"},"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w:t>
      </w:r>
      <w:r w:rsidRPr="00EE5230">
        <w:rPr>
          <w:rFonts w:ascii="Arial" w:hAnsi="Arial" w:cs="Arial"/>
          <w:w w:val="100"/>
          <w:sz w:val="24"/>
          <w:szCs w:val="24"/>
        </w:rPr>
        <w:fldChar w:fldCharType="end"/>
      </w:r>
      <w:r w:rsidRPr="00EE5230">
        <w:rPr>
          <w:rFonts w:ascii="Arial" w:hAnsi="Arial" w:cs="Arial"/>
          <w:w w:val="100"/>
          <w:sz w:val="24"/>
          <w:szCs w:val="24"/>
        </w:rPr>
        <w:t xml:space="preserve"> A popular and robust method for preparing POPs involves emulsion templates. The polymerized high internal phase emulsions, referred to as </w:t>
      </w:r>
      <w:proofErr w:type="spellStart"/>
      <w:r w:rsidRPr="00EE5230">
        <w:rPr>
          <w:rFonts w:ascii="Arial" w:hAnsi="Arial" w:cs="Arial"/>
          <w:w w:val="100"/>
          <w:sz w:val="24"/>
          <w:szCs w:val="24"/>
        </w:rPr>
        <w:t>polyHIPEs</w:t>
      </w:r>
      <w:proofErr w:type="spellEnd"/>
      <w:r w:rsidRPr="00EE5230">
        <w:rPr>
          <w:rFonts w:ascii="Arial" w:hAnsi="Arial" w:cs="Arial"/>
          <w:w w:val="100"/>
          <w:sz w:val="24"/>
          <w:szCs w:val="24"/>
        </w:rPr>
        <w:t xml:space="preserve"> (PHs), are highly porous, usually one-piece polymeric foams, with unique three-dimensional (3D) interconnected microcellular morphology,</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{"citationItems":[{"id":"ITEM-1","itemData":{"DOI":"10.1002/adfm.201001330","ISSN":"1616301X","abstract":"Porous materials are currently of great scientific as well as technological interest. A strategy that is increasingly employed to prepare highly porous and well defined macroporous polymers is emulsion templating, whereby the droplets of a high internal phase emulsion are used to create pores in a solid material by curing or polymerization of the emulsion continuous phase. This Feature Article covers recent work in this area, focusing on: the preparation of such materials from new precursors and via novel approaches; the chemical modification of existing materials; and the application of the resulting porous structures in diverse areas of science and technology. Emulsion templating is an attractive method for the production of well-defined, highly porous materials. Recent work in this area is reviewed, focusing on both the development of new functional materials as well as the chemical functionalization of existing ones, together with their application in a range of areas of materials science. Copyright © 2011 WILEY-VCH Verlag GmbH &amp; Co. KGaA, Weinheim.","author":[{"dropping-particle":"","family":"Kimmins","given":"Scott D.","non-dropping-particle":"","parse-names":false,"suffix":""},{"dropping-particle":"","family":"Cameron","given":"Neil R.","non-dropping-particle":"","parse-names":false,"suffix":""}],"container-title":"Advanced Functional Materials","id":"ITEM-1","issue":"2","issued":{"date-parts":[["2011"]]},"page":"211-225","title":"Functional porous polymers by emulsion templating: Recent advances","type":"article-journal","volume":"21"},"uris":["http://www.mendeley.com/documents/?uuid=8d61b81d-ca3c-4fec-bdb6-eca47f50bb03"]},{"id":"ITEM-2","itemData":{"DOI":"10.1016/j.polymer.2013.08.068","ISSN":"00323861","abstract":"PolyHIPEs are porous emulsion-templated polymers synthesized within high internal phase emulsions (HIPEs). HIPEs are highly viscous, paste-like emulsions in which the major, \"internal\" phase, usually defined as constituting more than 74% of the volume, is dispersed as discrete droplets within the continuous, minor, \"external\" phase. The surge in polyHIPE research and development parallels that of porous polymers in general and reflects the increasing number of potential applications (reaction supports, separation membranes, tissue engineering scaffolds, controlled release matrices, responsive and smart materials, and templates for porous ceramics and porous carbons). This review focuses upon the research and development in polyHIPEs through the prism of the work in our laboratory. The review includes an overview of the developments in polymerization chemistry, in the types of monomers, in the types of stabilization, in the generation of more complex polyHIPE-based systems (e.g. interpenetrating polymer networks, hybrids, bicontinuous polymers), and in unusual materials systems such as water-retaining polyHIPEs and shape-memory polyHIPEs. © 2013 Elsevier Ltd. All rights reserved.","author":[{"dropping-particle":"","family":"Silverstein","given":"Michael S.","non-dropping-particle":"","parse-names":false,"suffix":""}],"container-title":"Polymer","id":"ITEM-2","issue":"1","issued":{"date-parts":[["2014"]]},"page":"304-320","publisher":"Elsevier Ltd","title":"Emulsion-templated porous polymers: A retrospective perspective","type":"article-journal","volume":"55"},"uris":["http://www.mendeley.com/documents/?uuid=982865dd-b661-4b93-a6c5-98431fc9ebc8"]},{"id":"ITEM-3","itemData":{"DOI":"10.1016/j.progpolymsci.2013.07.003","ISSN":"00796700","abstract":"Porous polymers with well-defined porosities and high specific surface areas in the form of monoliths, films, and beads are being used in a wide range of applications (reaction supports, separation membranes, tissue engineering scaffolds, controlled release matrices, responsive and smart materials) and are being used as templates for porous ceramics and porous carbons. The surge in the research and development of porous polymer systems is a rather recent phenomenon. PolyHIPEs are porous emulsion-templated polymers synthesized within high internal phase emulsions (HIPEs). HIPEs are highly viscous, paste-like emulsions in which the major, \"internal\" phase, usually defined as constituting more than 74% of the volume, is dispersed within the continuous, minor, \"external\" phase. This review focuses upon the recent advances in polyHIPEs involving innovations in polymer chemistry, macromolecular structure, multiphase architecture, surface functionalization, and nanoparticle stabilization. The effects of these innovations upon the natures of the resulting polyHIPE-based materials (including bicontinuous polymers, nanocomposites, hybrids, porous ceramics, and porous carbons) and upon the applications involving polyHIPEs are discussed. The advances in polyHIPEs described in this review are now being used to generate new families of porous materials with novel porous architectures and unique properties. © 2013 Elsevier Ltd. All rights reserved.","author":[{"dropping-particle":"","family":"Silverstein","given":"Michael S.","non-dropping-particle":"","parse-names":false,"suffix":""}],"container-title":"Progress in Polymer Science","id":"ITEM-3","issue":"1","issued":{"date-parts":[["2014"]]},"page":"199-234","publisher":"Elsevier Ltd","title":"PolyHIPEs: Recent advances in emulsion-templated porous polymers","type":"article","volume":"39"},"uris":["http://www.mendeley.com/documents/?uuid=fd7c3df0-38d6-4bbf-b89c-8c46b513424e"]}],"mendeley":{"formattedCitation":"[2–4]","plainTextFormattedCitation":"[2–4]","previouslyFormattedCitation":"[2–4]"},"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[2–4]</w:t>
      </w:r>
      <w:r w:rsidRPr="00EE5230">
        <w:rPr>
          <w:rFonts w:ascii="Arial" w:hAnsi="Arial" w:cs="Arial"/>
          <w:w w:val="100"/>
          <w:sz w:val="24"/>
          <w:szCs w:val="24"/>
        </w:rPr>
        <w:fldChar w:fldCharType="end"/>
      </w:r>
      <w:r w:rsidRPr="00EE5230">
        <w:rPr>
          <w:rFonts w:ascii="Arial" w:hAnsi="Arial" w:cs="Arial"/>
          <w:w w:val="100"/>
          <w:sz w:val="24"/>
          <w:szCs w:val="24"/>
        </w:rPr>
        <w:t xml:space="preserve"> which makes them particularly attractive in a variety of tremendous potential applications such as biomedicine, catalysis, water purification and also gas capture. The key advantage of PH foams over other POPs</w:t>
      </w:r>
      <w:r w:rsidRPr="00EE5230" w:rsidDel="00FA6697">
        <w:rPr>
          <w:rFonts w:ascii="Arial" w:hAnsi="Arial" w:cs="Arial"/>
          <w:w w:val="100"/>
          <w:sz w:val="24"/>
          <w:szCs w:val="24"/>
        </w:rPr>
        <w:t xml:space="preserve"> </w:t>
      </w:r>
      <w:r w:rsidRPr="00EE5230">
        <w:rPr>
          <w:rFonts w:ascii="Arial" w:hAnsi="Arial" w:cs="Arial"/>
          <w:w w:val="100"/>
          <w:sz w:val="24"/>
          <w:szCs w:val="24"/>
        </w:rPr>
        <w:t>is their tunability in pore size, interconnectivity, mechanical properties as well as chemical functionality, which strongly impact PH’s effective performance in various applications. Several synthetic strategies have been developed to tune the functional groups of PHs, such as the incorporation of monomers/comonomers bearing the desired functional groups for possible post-polymerization functionalization (PPF)</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{"citationItems":[{"id":"ITEM-1","itemData":{"DOI":"10.1039/d0py01677b","ISSN":"17599962","abstract":"Interconnected highly porous poly(vinylamine) monoliths are produced by post-polymerization hydrolysis of emulsion-templated poly(N-vinylformamide) polyHIPEs (polymerized high internal phase emulsions). Unlike previous work, in which polyHIPEs were amine-functionalized only to a small extent, our approach includes the hydrolysis of the formyl groups of the highly porous poly(N-vinylformamide) monolith, resulting in an exceptionally high degree of amine-functionalization, i.e. up to 10 mmol of primary amine functional groups per gram or 12 mmol of nitrogen per gram of polyHIPE. Importantly, this post-polymerization functionalization strategy preserves the polyHIPE features, such as morphology, porosity and three-dimensional (3D) interconnectivity and is carried out without the use of hazardous organic solvents, toxic amine reagents or catalysts. The resulting poly(vinylamine)-polyHIPEs exhibit pH-responsive swelling and water absorption behaviour and prove to be promising candidates for metal ion capture. Overall, the reported post-functionalization strategy is attractive for the production of unprecedented, high-density, primary amine-functionalized 3D-interconnected porous organic foams, materials of great interest for further derivatization and use in numerous applications. This journal is","author":[{"dropping-particle":"","family":"Jurjevec","given":"Sarah","non-dropping-particle":"","parse-names":false,"suffix":""},{"dropping-particle":"","family":"Debuigne","given":"Antoine","non-dropping-particle":"","parse-names":false,"suffix":""},{"dropping-particle":"","family":"Žagar","given":"Ema","non-dropping-particle":"","parse-names":false,"suffix":""},{"dropping-particle":"","family":"Kovačič","given":"Sebastijan","non-dropping-particle":"","parse-names":false,"suffix":""}],"container-title":"Polymer Chemistry","id":"ITEM-1","issue":"8","issued":{"date-parts":[["2021"]]},"page":"1155-1164","title":"An environmentally benign post-polymerization functionalization strategy towards unprecedented poly(vinylamine) polyHIPEs","type":"article-journal","volume":"12"},"uris":["http://www.mendeley.com/documents/?uuid=8b5c7954-e53b-4783-9888-f0eea3095dcb"]},{"id":"ITEM-2","itemData":{"DOI":"https://doi.org/10.1016/j.jcou.2017.08.007","ISSN":"2212-9820","abstract":"Porous hydrogel copolymers of acrylamide (AAM) and acrylic acid (AAC) were structured in the form of monoliths and granules. AAM-co-AAC porous copolymer monoliths were synthesized using high internal phase emulsion (HIPE) as template and photopolymerization. For granulation, photopolymerization was used for the fabrication of the AAM-co-AAC hydrogel, which was subsequently freeze-granulated. The structural analysis (FTIR and XRD) confirmed the successful synthesis of hydrogel copolymers. The CO2 uptake capacity of structured AAM-co-AAC copolymers was evaluated through adsorption and absorption mechanisms by volumetric and gravimetric methods, respectively. The granules exhibited the CO2 adsorption uptake of 0.8mmolg−1 at 25kPa and 298K. The CO2 and N2 adsorption data demonstrated that the hydrogel copolymers were selective for CO2. Furthermore, the granules were capable of capturing CO2 in the presence of water. The results of absorption of CO2 on water-swollen granules demonstrated that CO2-uptake capacity increases with increasing water content up to 1.8mmolg−1.","author":[{"dropping-particle":"","family":"Nikjoo","given":"Dariush","non-dropping-particle":"","parse-names":false,"suffix":""},{"dropping-particle":"","family":"Akhtar","given":"Farid","non-dropping-particle":"","parse-names":false,"suffix":""}],"container-title":"Journal of CO2 Utilization","id":"ITEM-2","issued":{"date-parts":[["2017"]]},"page":"473-479","title":"Structured emulsion-templated porous copolymer based on photopolymerization for carbon capture","type":"article-journal","volume":"21"},"uris":["http://www.mendeley.com/documents/?uuid=a948df72-24fd-4d2e-8541-46b7223d1c31"]},{"id":"ITEM-3","itemData":{"DOI":"https://doi.org/10.1016/j.jcis.2020.05.016","ISSN":"0021-9797","abstract":"Hypothesis Macroporous polyampholyte hydrogels, simultaneously bearing both the anionic and cationic groups, demonstrate immense promise over the one-sign charged polyelectrolytes, owing to a unique phenomenon known as the ˝anti-polyelectrolyte˝ effect. Thus, they are extremely promising materials, since they remain solvated and functional even in harsh conditions. Furthermore, macroporous morphology significantly enhances polyampholyte response to external stimuli, since it accelerates the solvent transport through the hydrogel. Experiments A new templated-synthesis through “HIPE mixtures” is reported, where the two pre-formed high internal phase emulsions (HIPE) containing the oppositely charged monomers (2-acrylamido-2-methyl-1-propanesulfonic acid and (3-acrylamidopropyl)trimethylammonium chloride) were combined in the same mould, which after polymerization result in the formation of macroporous monoliths of different structures. The resulting frameworks were either copolymer or dual homopolymers in the form of bilayered or mixed porous structures. Findings The co– and mixed-amphoteric polyelectrolytes exhibit 'anti-polyelectrolyte' behaviour typical of polyampholytes, while the bilayered-structure behaves like a typical polyelectrolyte. Complete and simultaneous removal of both dyes from a dye mixture was observed for the bilayered- and mixed-amphoteric polyelectrolyte, while copoly-ampholyte showed only partial dye adsorption. These results clearly reveal the benefits of a mutual combination of the HIPE-templated structure and the oppositely charged amphoteric nature in one-piece material as a promising avenue toward advanced materials.","author":[{"dropping-particle":"","family":"Jurjevec","given":"Sarah","non-dropping-particle":"","parse-names":false,"suffix":""},{"dropping-particle":"","family":"Žagar","given":"Ema","non-dropping-particle":"","parse-names":false,"suffix":""},{"dropping-particle":"","family":"Kovačič","given":"Sebastijan","non-dropping-particle":"","parse-names":false,"suffix":""}],"container-title":"Journal of Colloid and Interface Science","id":"ITEM-3","issued":{"date-parts":[["2020"]]},"page":"480-488","title":"Functional macroporous amphoteric polyelectrolyte monoliths with tunable structures and properties through emulsion-templated synthesis","type":"article-journal","volume":"575"},"uris":["http://www.mendeley.com/documents/?uuid=5dfd8954-32bb-4d6d-8122-9b6a9fd26fc6"]},{"id":"ITEM-4","itemData":{"DOI":"10.1016/j.colsurfa.2020.125334","ISSN":"18734359","abstract":"Porous poly (ionic liquid)s (PILs) materials, an emerging class of ionic porous materials, exhibit high charge density, high porosity and processability due to the combination of features of ionic liquid with properties of polymer and porous material. Over the past few decades, the preparation of porous PILs by facile and economic approach has attracted great attention. In this work, the cationic and super-hydrophobic polyHIPEs were prepared via W/O high internal phase emulsion in the absence of non-reactive organic solvent, wherein the oil phase only contained the ionic monomer and cross-linker. Consequently, there was no release of organic solvents during the preparation of the materials, which is indicative of the facile and economic approach for synthesis of porous PIL materials. The as-prepared HIPEs possess excellent stability and highly adjustable formulation, which is of great importance to tailor-made preparation of the resulting porous materials via the emulsion-templated method. The openness of the polyHIPEs can be tuned from the closed cell to the totally open cell by varying the ratio of KPS/AIBN (potassium persulfate/2, 2-azobisisobutyronitrile) and divinylbenzene (DVB)/ionic liquid monomer. Meanwhile, the as-prepared monolithic polyHIPEs exhibit a super-hydrophobic property (with a water contact angle greater than 150°). Moreover, the as-prepared monolithic polyHIPEs can be successfully utilized as a precursor of carbon materials, producing N-doped porous carbon monolithic materials. Furthermore, the cationic and hydrophobic polyHIPEs can be used as adsorbents to efficiently adsorb and separate xylenol orange in methanol, showing that the removal efficiency of xylenol orange is higher than 90 %. This study provides a new strategy for facile and economic preparation of porous cationic monolithic materials, which has the potential as an excellent precursor of carbon materials and efficient adsorbent of dyes in non-aqueous solution.","author":[{"dropping-particle":"","family":"Wang","given":"Ruoyu","non-dropping-particle":"","parse-names":false,"suffix":""},{"dropping-particle":"","family":"Li","given":"Wei","non-dropping-particle":"","parse-names":false,"suffix":""},{"dropping-particle":"","family":"Lu","given":"Rui","non-dropping-particle":"","parse-names":false,"suffix":""},{"dropping-particle":"","family":"Peng","given":"Junxia","non-dropping-particle":"","parse-names":false,"suffix":""},{"dropping-particle":"","family":"Liu","given":"Xiaoyan","non-dropping-particle":"","parse-names":false,"suffix":""},{"dropping-particle":"","family":"Liu","given":"Kaiqiang","non-dropping-particle":"","parse-names":false,"suffix":""},{"dropping-particle":"","family":"Peng","given":"Haonan","non-dropping-particle":"","parse-names":false,"suffix":""}],"container-title":"Colloids and Surfaces A: Physicochemical and Engineering Aspects","id":"ITEM-4","issue":"July","issued":{"date-parts":[["2020"]]},"page":"125334","publisher":"Elsevier","title":"A facile synthesis of cationic and super-hydrophobic polyHIPEs as precursors to carbon foam and adsorbents for removal of non-aqueous-phase dye","type":"article-journal","volume":"605"},"uris":["http://www.mendeley.com/documents/?uuid=82afb407-523f-4719-845e-0cbe70f1b93a"]}],"mendeley":{"formattedCitation":"[5–8]","plainTextFormattedCitation":"[5–8]","previouslyFormattedCitation":"[5–8]"},"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[5–8]</w:t>
      </w:r>
      <w:r w:rsidRPr="00EE5230">
        <w:rPr>
          <w:rFonts w:ascii="Arial" w:hAnsi="Arial" w:cs="Arial"/>
          <w:w w:val="100"/>
          <w:sz w:val="24"/>
          <w:szCs w:val="24"/>
        </w:rPr>
        <w:fldChar w:fldCharType="end"/>
      </w:r>
      <w:r w:rsidRPr="00EE5230">
        <w:rPr>
          <w:rFonts w:ascii="Arial" w:hAnsi="Arial" w:cs="Arial"/>
          <w:w w:val="100"/>
          <w:sz w:val="24"/>
          <w:szCs w:val="24"/>
        </w:rPr>
        <w:t xml:space="preserve"> or the surfactant-assisted functionalization.</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{"citationItems":[{"id":"ITEM-1","itemData":{"DOI":"10.1039/C4CC09199J","ISSN":"1359-7345","abstract":"High internal phase emulsions of water in cyclooctene stabilised by sorbitan monooleate (Span 80) were cured by ring-opening metathesis polymerisation to release fully open macroporous polymer foams wherein the surfactant was covalently incorporated into the poly(cyclooctene) strands via chain transfer reactions.","author":[{"dropping-particle":"","family":"Kovačič","given":"Sebastijan","non-dropping-particle":"","parse-names":false,"suffix":""},{"dropping-particle":"","family":"Preishuber-Pflügl","given":"Florian","non-dropping-particle":"","parse-names":false,"suffix":""},{"dropping-particle":"","family":"Pahovnik","given":"David","non-dropping-particle":"","parse-names":false,"suffix":""},{"dropping-particle":"","family":"Žagar","given":"Ema","non-dropping-particle":"","parse-names":false,"suffix":""},{"dropping-particle":"","family":"Slugovc","given":"Christian","non-dropping-particle":"","parse-names":false,"suffix":""}],"container-title":"Chemical Communications","id":"ITEM-1","issue":"36","issued":{"date-parts":[["2015"]]},"page":"7725-7728","publisher":"The Royal Society of Chemistry","title":"Covalent incorporation of the surfactant into high internal phase emulsion templated polymeric foams","type":"article-journal","volume":"51"},"uris":["http://www.mendeley.com/documents/?uuid=5d5f1282-d0ce-4d1a-8a5c-1ff2a605d1a8"]},{"id":"ITEM-2","itemData":{"DOI":"10.1021/acs.macromol.5b00858","ISSN":"0024-9297","author":[{"dropping-particle":"","family":"Mathieu","given":"Kevin","non-dropping-particle":"","parse-names":false,"suffix":""},{"dropping-particle":"","family":"Jérôme","given":"Christine","non-dropping-particle":"","parse-names":false,"suffix":""},{"dropping-particle":"","family":"Debuigne","given":"Antoine","non-dropping-particle":"","parse-names":false,"suffix":""}],"container-title":"Macromolecules","id":"ITEM-2","issue":"18","issued":{"date-parts":[["2015","9","22"]]},"note":"doi: 10.1021/acs.macromol.5b00858","page":"6489-6498","publisher":"American Chemical Society","title":"Influence of the Macromolecular Surfactant Features and Reactivity on Morphology and Surface Properties of Emulsion-Templated Porous Polymers","type":"article-journal","volume":"48"},"uris":["http://www.mendeley.com/documents/?uuid=3dfafa06-6e86-40ae-8143-d997d4be59ba"]},{"id":"ITEM-3","itemData":{"DOI":"10.1039/C7PY01770G","ISSN":"1759-9954","abstract":"A series of polymerized high internal phase emulsion (polyHIPE) materials have been prepared by using a water in oil emulsion stabilized by a macro-RAFT agent, 2-(butylthiocarbonothioylthio)-2-poly(styrene)-b-poly(acrylic acid), acting as a polymeric surfactant. The pore structures of the formed polyHIPEs were closed. By removing the RAFT-endgroup of the amphiphilic macro-RAFT agent, the obtained polyHIPEs possessed an open structure with voids. The effect of the RAFT-endgroup of the amphiphilic macro-RAFT agent on the surface chemistry of the polyHIPEs is discussed. The obtained polyHIPEs via this surfactant-assisted functionalization strategies were characterized by FTIR spectroscopy, FTIR mapping, SEM, SEM-EDX, TEM, XPS as well as synchrotron-based scanning transmission X-ray microscopy (STXM). The latter technique revealed the surface chemistry of the obtained polyHIPEs and macro-RAFT agent multicomponents with a surface spatial resolution of the order of 30–100 nm.","author":[{"dropping-particle":"","family":"Khodabandeh","given":"A","non-dropping-particle":"","parse-names":false,"suffix":""},{"dropping-particle":"","family":"Arrua","given":"R D","non-dropping-particle":"","parse-names":false,"suffix":""},{"dropping-particle":"","family":"Coad","given":"B R","non-dropping-particle":"","parse-names":false,"suffix":""},{"dropping-particle":"","family":"Rodemann","given":"T","non-dropping-particle":"","parse-names":false,"suffix":""},{"dropping-particle":"","family":"Ohigashi","given":"T","non-dropping-particle":"","parse-names":false,"suffix":""},{"dropping-particle":"","family":"Kosugi","given":"N","non-dropping-particle":"","parse-names":false,"suffix":""},{"dropping-particle":"","family":"Thickett","given":"S C","non-dropping-particle":"","parse-names":false,"suffix":""},{"dropping-particle":"","family":"Hilder","given":"E F","non-dropping-particle":"","parse-names":false,"suffix":""}],"container-title":"Polymer Chemistry","id":"ITEM-3","issue":"2","issued":{"date-parts":[["2018"]]},"page":"213-220","publisher":"The Royal Society of Chemistry","title":"Morphology control in polymerised high internal phase emulsion templated via macro-RAFT agent composition: visualizing surface chemistry","type":"article-journal","volume":"9"},"uris":["http://www.mendeley.com/documents/?uuid=f909e800-6223-44ac-9c68-7975089a0ebe"]},{"id":"ITEM-4","itemData":{"DOI":"https://doi.org/10.1016/j.polymer.2016.07.012","ISSN":"0032-3861","abstract":"The synthesis of a series of poly(ethylene oxide)-b-polystyrene copolymers with different block lengths was performed by radical addition fragmentation chain transfer. These amphiphilic copolymers were tested as stabilizers for water-in-oil medium internal phase emulsion (MIPE) templating polymerization and the formation of polyMIPEs with controlled morphology. Aside from the structure of the emulsion stabilizer, several parameters susceptible to influence the size of the cavities and the interconnectivity of the porous monoliths were probed including the choice of the comonomers, treatment of the emulsion by ultrasound, the use of controlled radical polymerization method for the network formation as well as interfacial initiation. Interconnected cellular monoliths were produced. The polymerization of the ultrasonicated water-in-ethylhexylacrylate/divinylbenzene MIPE notably led to near-mesoporous open-cell material. Mechanical properties and specific surface areas of the polyMIPEs were also investigated and discussed.","author":[{"dropping-particle":"","family":"Mathieu","given":"Kevin","non-dropping-particle":"","parse-names":false,"suffix":""},{"dropping-particle":"","family":"Jérôme","given":"Christine","non-dropping-particle":"","parse-names":false,"suffix":""},{"dropping-particle":"","family":"Debuigne","given":"Antoine","non-dropping-particle":"","parse-names":false,"suffix":""}],"container-title":"Polymer","id":"ITEM-4","issued":{"date-parts":[["2016"]]},"page":"157-165","title":"Macro- and near-mesoporous monoliths by medium internal phase emulsion polymerization: A systematic study","type":"article-journal","volume":"99"},"uris":["http://www.mendeley.com/documents/?uuid=5407d1f1-251e-41a4-bc3a-ef49c52c969f"]},{"id":"ITEM-5","itemData":{"DOI":"10.1039/c7py00128b","ISSN":"17599962","abstract":"The design of functional 3D macroporous monoliths has become a necessity for a wide range of applications. The traditional post-modification strategies of porous materials are efficient but often consist of tedious multi-step processes. This work describes a straightforward macromolecular surfactant-assisted method for producing chemically functionalized macroporous polyHIPEs with interconnected structures. Accordingly, high internal phase emulsion-templated polymerizations were implemented in the presence of SG1-terminated amphiphilic copolymers prepared by nitroxide-mediated radical polymerization (NMP). The latter served as both stabilizers and functionalizing agents upon thermal activation of its terminal alkoxyamine and covalent anchoring of the released radical copolymer onto the walls of the scaffold. The effect of the polymerization temperature on the functionalization and openness of the final porous materials was explored. As a result, a range of open-cell styrene and acrylate-based polyHIPEs chemically grafted with PEO were obtained. Moreover, polyHIPEs were also decorated with alkyne-bearing PEO and subsequently modified via CuAAc click chemistry in order to demonstrate the potential of this macromolecular surfactant-assisted functionalization method.","author":[{"dropping-particle":"","family":"Mathieu","given":"K.","non-dropping-particle":"","parse-names":false,"suffix":""},{"dropping-particle":"","family":"Winter","given":"J.","non-dropping-particle":"De","parse-names":false,"suffix":""},{"dropping-particle":"","family":"Jérôme","given":"C.","non-dropping-particle":"","parse-names":false,"suffix":""},{"dropping-particle":"","family":"Debuigne","given":"A.","non-dropping-particle":"","parse-names":false,"suffix":""}],"container-title":"Polymer Chemistry","id":"ITEM-5","issue":"11","issued":{"date-parts":[["2017"]]},"page":"1850-1861","publisher":"The Royal Society of Chemistry","title":"Simultaneous synthesis and chemical functionalization of emulsion-templated porous polymers using nitroxide-terminated macromolecular surfactants","type":"article-journal","volume":"8"},"uris":["http://www.mendeley.com/documents/?uuid=fcdd5b1c-e650-4899-b6bc-74359ef76e94"]}],"mendeley":{"formattedCitation":"[9–13]","plainTextFormattedCitation":"[9–13]","previouslyFormattedCitation":"[9–13]"},"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[9–13]</w:t>
      </w:r>
      <w:r w:rsidRPr="00EE5230">
        <w:rPr>
          <w:rFonts w:ascii="Arial" w:hAnsi="Arial" w:cs="Arial"/>
          <w:w w:val="100"/>
          <w:sz w:val="24"/>
          <w:szCs w:val="24"/>
        </w:rPr>
        <w:fldChar w:fldCharType="end"/>
      </w:r>
      <w:r w:rsidRPr="00EE5230">
        <w:rPr>
          <w:rFonts w:ascii="Arial" w:hAnsi="Arial" w:cs="Arial"/>
          <w:w w:val="100"/>
          <w:sz w:val="24"/>
          <w:szCs w:val="24"/>
        </w:rPr>
        <w:t xml:space="preserve"> Recently, amino- or imidazolium-functional PH foams have become very attractive for a variety of applications, especially in gas capture.</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{"citationItems":[{"id":"ITEM-1","itemData":{"DOI":"10.1021/acs.macromol.8b02576","ISSN":"0024-9297","abstract":"Emulsion templating presently extends far beyond the original hydrophobic porous polymers that were synthesized within surfactant-stabilized water-in-oil high internal phase emulsions (HIPEs) by using free radical polymerization. This Perspective presents the extraordinary versatility of emulsion templating that has emerged with the growing numbers of HIPE systems, HIPE stabilization strategies, monomers, polymerization chemistries, multi-component materials, and surface functionalities. Emulsion templating now goes far beyond \"porous polymers\" by encompassing the encapsulation of aqueous solutions, ionic melts, and organic liquids as well as by encompassing porous carbons and porous inorganics. Herein, we present comprehensive pictures of the state-of-the-art, of the prospective large-scale and niche applications, of the advantages and challenges for industrial scale-up, and of the crucial directions that should be pursued in future work. We demonstrate that it is emulsion templating's considerable and versatile parameter space that offers opportunities for pioneering work, breakthrough innovations, scientific/engineering achievements, and industrial adoption.","author":[{"dropping-particle":"","family":"Zhang","given":"Tao","non-dropping-particle":"","parse-names":false,"suffix":""},{"dropping-particle":"","family":"Sanguramath","given":"Rajashekharayya A.","non-dropping-particle":"","parse-names":false,"suffix":""},{"dropping-particle":"","family":"Israel","given":"Sima","non-dropping-particle":"","parse-names":false,"suffix":""},{"dropping-particle":"","family":"Silverstein","given":"Michael S.","non-dropping-particle":"","parse-names":false,"suffix":""}],"container-title":"Macromolecules","genre":"review-article","id":"ITEM-1","issue":"15","issued":{"date-parts":[["2019","8","13"]]},"note":"From Duplicate 1 (Emulsion Templating: Porous Polymers and Beyond - Zhang, Tao; Sanguramath, Rajashekharayya A.; Israel, Sima; Silverstein, Michael S.)\n\nFrom Duplicate 2 (Emulsion Templating: Porous Polymers and Beyond - Zhang, Tao; Sanguramath, Rajashekharayya A; Israel, Sima; Silverstein, Michael S)\n\ndoi: 10.1021/acs.macromol.8b02576\n\nFrom Duplicate 2 (Emulsion Templating: Porous Polymers and Beyond - Zhang, Tao; Sanguramath, Rajashekharayya A; Israel, Sima; Silverstein, Michael S)\n\ndoi: 10.1021/acs.macromol.8b02576","page":"5445-5479","publisher":"American Chemical Society","title":"Emulsion Templating: Porous Polymers and Beyond","type":"article-journal","volume":"52"},"uris":["http://www.mendeley.com/documents/?uuid=0c0d793c-7e32-413f-b209-d7d4e4824032"]}],"mendeley":{"formattedCitation":"[14]","plainTextFormattedCitation":"[14]","previouslyFormattedCitation":"[14]"},"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[14]</w:t>
      </w:r>
      <w:r w:rsidRPr="00EE5230">
        <w:rPr>
          <w:rFonts w:ascii="Arial" w:hAnsi="Arial" w:cs="Arial"/>
          <w:w w:val="100"/>
          <w:sz w:val="24"/>
          <w:szCs w:val="24"/>
        </w:rPr>
        <w:fldChar w:fldCharType="end"/>
      </w:r>
      <w:r w:rsidRPr="00EE5230">
        <w:rPr>
          <w:rFonts w:ascii="Arial" w:hAnsi="Arial" w:cs="Arial"/>
          <w:w w:val="100"/>
          <w:sz w:val="24"/>
          <w:szCs w:val="24"/>
        </w:rPr>
        <w:t xml:space="preserve"> </w:t>
      </w:r>
    </w:p>
    <w:p w14:paraId="55E08FE9" w14:textId="77777777" w:rsidR="00EE5230" w:rsidRPr="00EE5230" w:rsidRDefault="00EE5230" w:rsidP="00EE5230">
      <w:pPr>
        <w:pStyle w:val="RSCB02ArticleText"/>
        <w:spacing w:line="276" w:lineRule="auto"/>
        <w:rPr>
          <w:rFonts w:ascii="Arial" w:hAnsi="Arial" w:cs="Arial"/>
          <w:w w:val="100"/>
          <w:sz w:val="24"/>
          <w:szCs w:val="24"/>
        </w:rPr>
      </w:pPr>
      <w:r w:rsidRPr="00EE5230">
        <w:rPr>
          <w:rFonts w:ascii="Arial" w:hAnsi="Arial" w:cs="Arial"/>
          <w:w w:val="100"/>
          <w:sz w:val="24"/>
          <w:szCs w:val="24"/>
        </w:rPr>
        <w:t>Due to the ability of organic amines to interact with CO</w:t>
      </w:r>
      <w:r w:rsidRPr="00EE5230">
        <w:rPr>
          <w:rFonts w:ascii="Arial" w:hAnsi="Arial" w:cs="Arial"/>
          <w:w w:val="100"/>
          <w:sz w:val="24"/>
          <w:szCs w:val="24"/>
          <w:vertAlign w:val="subscript"/>
        </w:rPr>
        <w:t>2</w:t>
      </w:r>
      <w:r w:rsidRPr="00EE5230">
        <w:rPr>
          <w:rFonts w:ascii="Arial" w:hAnsi="Arial" w:cs="Arial"/>
          <w:w w:val="100"/>
          <w:sz w:val="24"/>
          <w:szCs w:val="24"/>
        </w:rPr>
        <w:t>,</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{"citationItems":[{"id":"ITEM-1","itemData":{"DOI":"10.1038/nature11893","ISSN":"00280836","PMID":"23446349","abstract":"The energy costs associated with the separation and purification of industrial commodities, such as gases, fine chemicals and fresh water, currently represent around 15 per cent of global energy production, and the demand for such commodities is projected to triple by 2050 (ref. 1). The challenge of developing effective separation and purification technologies that have much smaller energy footprints is greater for carbon dioxide (CO2) than for other gases; in addition to its involvement in climate change, CO2 is an impurity in natural gas, biogas (natural gas produced from biomass), syngas (CO/H2, the main source of hydrogen in refineries) and many other gas streams. In the context of porous crystalline materials that can exploit both equilibrium and kinetic selectivity, size selectivity and targeted molecular recognition are attractive characteristics for CO2 separation and capture, as exemplified by zeolites 5A and 13X (ref. 2), as well as metal-organic materials (MOMs). Here we report that a crystal engineering or reticular chemistry strategy that controls pore functionality and size in a series of MOMs with coordinately saturated metal centres and periodically arrayed hexafluorosilicate (SiF62−) anions enables a ‘sweet spot’ of kinetics and thermodynamics that offers high volumetric uptake at low Co2 partial pressure (less than 0.15 bar). Most importantly, such MOMs offer an unprecedented CO2 sorption selectivity over N2, H2 and CH4, even in the presence of moisture. These MOMs are therefore relevant to CO2 separation in the context of post-combustion (flue gas, CO2/N2), pre-combustion (shifted synthesis gas stream, CO2/H2) and natural gas upgrading (natural gas clean-up, CO2/CH4). © 2013 Macmillan Publishers Limited. All rights reserved.","author":[{"dropping-particle":"","family":"Nugent","given":"Patrick","non-dropping-particle":"","parse-names":false,"suffix":""},{"dropping-particle":"","family":"Giannopoulou","given":"Eugenia G.","non-dropping-particle":"","parse-names":false,"suffix":""},{"dropping-particle":"","family":"Burd","given":"Stephen D.","non-dropping-particle":"","parse-names":false,"suffix":""},{"dropping-particle":"","family":"Elemento","given":"Olivier","non-dropping-particle":"","parse-names":false,"suffix":""},{"dropping-particle":"","family":"Giannopoulou","given":"Eugenia G.","non-dropping-particle":"","parse-names":false,"suffix":""},{"dropping-particle":"","family":"Forrest","given":"Katherine","non-dropping-particle":"","parse-names":false,"suffix":""},{"dropping-particle":"","family":"Pham","given":"Tony","non-dropping-particle":"","parse-names":false,"suffix":""},{"dropping-particle":"","family":"Ma","given":"Shengqian","non-dropping-particle":"","parse-names":false,"suffix":""},{"dropping-particle":"","family":"Space","given":"Brian","non-dropping-particle":"","parse-names":false,"suffix":""},{"dropping-particle":"","family":"Wojtas","given":"Lukasz","non-dropping-particle":"","parse-names":false,"suffix":""},{"dropping-particle":"","family":"Eddaoudi","given":"Mohamed","non-dropping-particle":"","parse-names":false,"suffix":""},{"dropping-particle":"","family":"Zaworotko","given":"Michael J.","non-dropping-particle":"","parse-names":false,"suffix":""}],"container-title":"Nature","id":"ITEM-1","issue":"7439","issued":{"date-parts":[["2013"]]},"page":"80-84","publisher":"Nature Publishing Group","title":"Porous materials with optimal adsorption thermodynamics and kinetics for co2 separation","type":"article-journal","volume":"495"},"uris":["http://www.mendeley.com/documents/?uuid=656aba2e-6153-4d92-bd4c-ef74521bbaf4"]}],"mendeley":{"formattedCitation":"[15]","plainTextFormattedCitation":"[15]","previouslyFormattedCitation":"[15]"},"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[15]</w:t>
      </w:r>
      <w:r w:rsidRPr="00EE5230">
        <w:rPr>
          <w:rFonts w:ascii="Arial" w:hAnsi="Arial" w:cs="Arial"/>
          <w:w w:val="100"/>
          <w:sz w:val="24"/>
          <w:szCs w:val="24"/>
        </w:rPr>
        <w:fldChar w:fldCharType="end"/>
      </w:r>
      <w:r w:rsidRPr="00EE5230">
        <w:rPr>
          <w:rFonts w:ascii="Arial" w:hAnsi="Arial" w:cs="Arial"/>
          <w:w w:val="100"/>
          <w:sz w:val="24"/>
          <w:szCs w:val="24"/>
        </w:rPr>
        <w:t xml:space="preserve"> various amine-functionalized PHs have been prepared and used as solid sorbents in CO</w:t>
      </w:r>
      <w:r w:rsidRPr="00EE5230">
        <w:rPr>
          <w:rFonts w:ascii="Arial" w:hAnsi="Arial" w:cs="Arial"/>
          <w:w w:val="100"/>
          <w:sz w:val="24"/>
          <w:szCs w:val="24"/>
          <w:vertAlign w:val="subscript"/>
        </w:rPr>
        <w:t xml:space="preserve">2 </w:t>
      </w:r>
      <w:r w:rsidRPr="00EE5230">
        <w:rPr>
          <w:rFonts w:ascii="Arial" w:hAnsi="Arial" w:cs="Arial"/>
          <w:w w:val="100"/>
          <w:sz w:val="24"/>
          <w:szCs w:val="24"/>
        </w:rPr>
        <w:t>capture applications.</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{"citationItems":[{"id":"ITEM-1","itemData":{"DOI":"10.1016/j.egypro.2014.11.251","ISSN":"18766102","abstract":"Poly(vinylbenzylchloride/divinylbenzene); by high internal phase emulsion (poly(VBC/DVB)HIPE) was functionalized with diamines (ethylenediamine, piperazine, aminopiperidine, and imidazole) to improve carbon dioxide adsorption capacity. The amine group in the poly(VBC/DVB)HIPE was confirmed and quantified by Fourier transform infrared spectroscopy and elemental analysis. The surface area, pore size, and pore volume of the materials, after being functionalized with amines, were reduced. The order of the amine loading in the materials was ethylenediamine &gt; piperazine &gt; aminopiperidine &gt; imidazole. The CO2 adsorption capacities were 2.18, 0.83, 0.66, and 0.39 mmol/g.m2.mol amine for the polyHIPE materials of ethylenediamine, piperazine, aminopiperidine, and imidazole, respectively.","author":[{"dropping-particle":"","family":"Saiwan","given":"Chintana","non-dropping-particle":"","parse-names":false,"suffix":""},{"dropping-particle":"","family":"Muchan","given":"Pailin","non-dropping-particle":"","parse-names":false,"suffix":""},{"dropping-particle":"","family":"Montigny","given":"David","non-dropping-particle":"De","parse-names":false,"suffix":""},{"dropping-particle":"","family":"Tontiwachwutikul","given":"Paitoon","non-dropping-particle":"","parse-names":false,"suffix":""}],"container-title":"Energy Procedia","id":"ITEM-1","issued":{"date-parts":[["2014"]]},"page":"2317-2322","publisher":"Elsevier B.V.","title":"New poly(vinylbenzylchloride/divinylbenzene) adsorbent for carbon dioxide adsorption. Ii. Effect of amine functionalization","type":"article-journal","volume":"63"},"uris":["http://www.mendeley.com/documents/?uuid=cbb3f8e3-d91f-43d7-97b7-5725221e26ac"]},{"id":"ITEM-2","itemData":{"DOI":"10.3303/CET1335065","ISBN":"9788895608266","ISSN":"22839216","abstract":"An excellent porous material was prepared from vinylbenzyl chloride (VBC) and divinylbenzene (DVB) via high internal phase emulsion (HIPE) technique and introduced with heterocyclic amines (piperazine or PZ, hydroxyethylpiperazine or HEP and aminoethylpiperazine or AEP) by post-functionalization for using as adsorbents in CO2 capture applications. The reaction between the amine functional group and adsorbent was confirmed by Fourier transform infrared spectroscopy. The disappearance of C-Cl bondingat 1,265 cm-1 and 710 cm-1 and the presence of N-H bonds at 3,400 cm-1 and 1,670 cm-1 were observed. The influence of the amine structure on the surface area and the conversion reaction of polyHIPE were investigated by surface area analysis and elemental analysis. In the CO2 adsorption step, the feed gas concentration was 4 vol% of CO2/N2 with a flow rate of 5 mL/min, and was carried out at 298 K. The CO2 concentration was continuously determined by gas chromatography. The dynamic adsorption capacity of PZ-HIPE, HEP-HIPE, and AEP-HIPE were 0.112, 0.057, and 0.074 mmol CO2/mmol amine compound. © 2013, AIDIC Servizi S.r.l.","author":[{"dropping-particle":"","family":"Muchan","given":"Pailin","non-dropping-particle":"","parse-names":false,"suffix":""},{"dropping-particle":"","family":"Saiwan","given":"Chintana","non-dropping-particle":"","parse-names":false,"suffix":""},{"dropping-particle":"","family":"DeMontigny","given":"David","non-dropping-particle":"","parse-names":false,"suffix":""},{"dropping-particle":"","family":"Tontiwachwuthikul","given":"Paitoon","non-dropping-particle":"","parse-names":false,"suffix":""}],"container-title":"Chemical Engineering Transactions","id":"ITEM-2","issued":{"date-parts":[["2013"]]},"page":"391-396","title":"Functionalisation of poly(high internal phase emulsion) with amine for CO2 capture","type":"article-journal","volume":"35"},"uris":["http://www.mendeley.com/documents/?uuid=59afd1bd-3fae-44e4-b200-9d7dddd905c4"]},{"id":"ITEM-3","itemData":{"DOI":"10.1039/c2ee24139k","ISSN":"17545706","abstract":"Several polymeric materials were prepared for reversible CO2 capture. These materials contain quaternary ammonium ions and hydroxide counter ions, including polymers grafted from carbon black, crosslinked porous polymers templated by ordered colloidal crystals, and high internal phase emulsion systems. The porous polymers displayed an order of magnitude improvement in the kinetics of the absorption and desorption processes and a significant improvement in the swing sizes compared to a commercially available material with similar functional groups. This work suggests a new direction for the design of porous polymeric materials for CO2 air capture. © The Royal Society of Chemistry 2013.","author":[{"dropping-particle":"","family":"He","given":"Hongkun","non-dropping-particle":"","parse-names":false,"suffix":""},{"dropping-particle":"","family":"Li","given":"Wenwen","non-dropping-particle":"","parse-names":false,"suffix":""},{"dropping-particle":"","family":"Zhong","given":"Mingjiang","non-dropping-particle":"","parse-names":false,"suffix":""},{"dropping-particle":"","family":"Konkolewicz","given":"Dominik","non-dropping-particle":"","parse-names":false,"suffix":""},{"dropping-particle":"","family":"Wu","given":"Dingcai","non-dropping-particle":"","parse-names":false,"suffix":""},{"dropping-particle":"","family":"Yaccato","given":"Karin","non-dropping-particle":"","parse-names":false,"suffix":""},{"dropping-particle":"","family":"Rappold","given":"Tim","non-dropping-particle":"","parse-names":false,"suffix":""},{"dropping-particle":"","family":"Sugar","given":"Glenn","non-dropping-particle":"","parse-names":false,"suffix":""},{"dropping-particle":"","family":"David","given":"Nathaniel E.","non-dropping-particle":"","parse-names":false,"suffix":""},{"dropping-particle":"","family":"Matyjaszewski","given":"Krzysztof","non-dropping-particle":"","parse-names":false,"suffix":""}],"container-title":"Energy and Environmental Science","id":"ITEM-3","issue":"2","issued":{"date-parts":[["2013"]]},"page":"488-493","title":"Reversible CO2 capture with porous polymers using the humidity swing","type":"article-journal","volume":"6"},"uris":["http://www.mendeley.com/documents/?uuid=a7e02cef-f94c-4900-931b-9b52f6baf479"]},{"id":"ITEM-4","itemData":{"DOI":"10.1016/j.polymer.2013.08.002","ISSN":"00323861","abstract":"A series of porous polymers with different pore volumes, pore sizes, and crosslinking densities were synthesized by high internal phase emulsion (HIPE) polymerization. The crosslinked polymerized HIPEs (polyHIPEs) were formed by the copolymerization of 4-vinylbenzyl chloride and divinylbenzene using water droplets in conventional or Pickering HIPEs as the templates. These porous materials were further modified by quaternization and ion exchange to introduce quaternary ammonium hydroxide groups. The resulting polyHIPEs were utilized as sorbents for reversible CO2 capture from air using the humidity swing. The effect of pore structure on the CO2 adsorption and desorption processes was studied. The polyHIPEs containing large pores and interconnected porous structures showed improved swing sizes and faster adsorption/desorption kinetics of CO2 compared to a commercial Excellion membrane with similar functional groups. © 2013 Elsevier Ltd. All rights reserved.","author":[{"dropping-particle":"","family":"He","given":"Hongkun","non-dropping-particle":"","parse-names":false,"suffix":""},{"dropping-particle":"","family":"Li","given":"Wenwen","non-dropping-particle":"","parse-names":false,"suffix":""},{"dropping-particle":"","family":"Lamson","given":"Melissa","non-dropping-particle":"","parse-names":false,"suffix":""},{"dropping-particle":"","family":"Zhong","given":"Mingjiang","non-dropping-particle":"","parse-names":false,"suffix":""},{"dropping-particle":"","family":"Konkolewicz","given":"Dominik","non-dropping-particle":"","parse-names":false,"suffix":""},{"dropping-particle":"","family":"Hui","given":"Chin Ming","non-dropping-particle":"","parse-names":false,"suffix":""},{"dropping-particle":"","family":"Yaccato","given":"Karin","non-dropping-particle":"","parse-names":false,"suffix":""},{"dropping-particle":"","family":"Rappold","given":"Timothy","non-dropping-particle":"","parse-names":false,"suffix":""},{"dropping-particle":"","family":"Sugar","given":"Glenn","non-dropping-particle":"","parse-names":false,"suffix":""},{"dropping-particle":"","family":"David","given":"Nathaniel E.","non-dropping-particle":"","parse-names":false,"suffix":""},{"dropping-particle":"","family":"Damodaran","given":"Krishnan","non-dropping-particle":"","parse-names":false,"suffix":""},{"dropping-particle":"","family":"Natesakhawat","given":"Sittichai","non-dropping-particle":"","parse-names":false,"suffix":""},{"dropping-particle":"","family":"Nulwala","given":"Hunaid","non-dropping-particle":"","parse-names":false,"suffix":""},{"dropping-particle":"","family":"Matyjaszewski","given":"Krzysztof","non-dropping-particle":"","parse-names":false,"suffix":""}],"container-title":"Polymer","id":"ITEM-4","issue":"1","issued":{"date-parts":[["2014"]]},"page":"385-394","publisher":"Elsevier Ltd","title":"Porous polymers prepared via high internal phase emulsion polymerization for reversible CO2 capture","type":"article-journal","volume":"55"},"uris":["http://www.mendeley.com/documents/?uuid=14ca934d-69bc-4e34-b17f-62fdf5f1a786"]},{"id":"ITEM-5","itemData":{"DOI":"10.1021/acs.iecr.7b01961","ISSN":"15205045","abstract":"Porous cross-linked polymers containing pendant triazole groups were synthesized from glycidyl methacrylate (GMA) in the presence of divinylbenzene via high internal phase emulsion (HIPE) templating method followed by functionalization with sodium 3-amino-1,2,4-triazole (ATANa). They were characterized with FTIR, SEM, BET, and mercury intrusion and assessed as CO2 adsorbents. With interconnected hierarchical porous structure and abundant triazole groups which absorbed CO2 chemically in 1:1 stoichiometry, the adsorbents exhibited high CO2 adsorption capacity (3.6 mmol g-1, at 25 °C and 1 atm) and rate, and good CO2/N2 selectivity (â-30). The adsorbents also displayed easy CO2 desorption with medium desorption heat (58 kJ/mol CO2), acceptable moisture endurance, and excellent recyclability. The results suggest that these functionalized porous polymers are potential adsorbents for CO2 capture.","author":[{"dropping-particle":"","family":"Zhu","given":"Junjie","non-dropping-particle":"","parse-names":false,"suffix":""},{"dropping-particle":"","family":"Wu","given":"Linbo","non-dropping-particle":"","parse-names":false,"suffix":""},{"dropping-particle":"","family":"Bu","given":"Zhiyang","non-dropping-particle":"","parse-names":false,"suffix":""},{"dropping-particle":"","family":"Jie","given":"Suyun","non-dropping-particle":"","parse-names":false,"suffix":""},{"dropping-particle":"","family":"Li","given":"Bo Geng","non-dropping-particle":"","parse-names":false,"suffix":""}],"container-title":"Industrial and Engineering Chemistry Research","id":"ITEM-5","issue":"36","issued":{"date-parts":[["2017"]]},"page":"10155-10163","title":"Synthesis and CO2 Capture Behavior of Porous Cross-Linked Polymers Containing Pendant Triazole Groups","type":"article-journal","volume":"56"},"uris":["http://www.mendeley.com/documents/?uuid=9c326581-78c1-4437-82e3-19020d92afb5"]},{"id":"ITEM-6","itemData":{"DOI":"10.3303/CET1229033","ISBN":"9788895608204","ISSN":"22839216","abstract":"The purpose of this research was to synthesize the new type of adsorbent for CO2 adsorption. The polymer obtained from high internal phase emulsion or \"polyHIPE\" can be polymerized from divinylbenzene (DVB) and vinyl benzyl chloride (VBC). Polyethyleneimine (PEI) was added into the polyHIPE during polymerization reaction to increase the CO2 capture efficiency. For the effect of the monomer ratio (DVB/VBC), the polyHIPE for every ratio has the same appearances which are white, brittle and chalky porous solid. The surface area of the polyHIPE increased when the amount of DVB was increased. The highest surface area was found in the monomer ratio of 100/0 or 100 % DVB, which was 303.0 m2/g. When 10 wt% PEI was added into the polyHIPE, the percentage of PEI loading was very low at 100/0 monomer ratio; there was only 0.11 wt% of PEI. As the ratio of VBC increased from 10 % to 50 %, the percentage of PEI loading in the polyHIPE was increase up to 1.7 wt% and then stayed almost constant because 10 wt% PEI can react completely with 1.26% VBC. Moreover, when the percentage of PEI in the prepared solution was increase, the percentage of PEI in polyHIPE was also increase, and the highest percentage of PEI in polyHIPE was 2.57 wt%. Copyright © 2012, AIDIC Servizi S.r.l.","author":[{"dropping-particle":"","family":"Dejburum","given":"Pacharakhorn","non-dropping-particle":"","parse-names":false,"suffix":""},{"dropping-particle":"","family":"Saiwan","given":"Chintana","non-dropping-particle":"","parse-names":false,"suffix":""},{"dropping-particle":"","family":"Tontiwachwuthikul","given":"Paitoon","non-dropping-particle":"","parse-names":false,"suffix":""}],"container-title":"Chemical Engineering Transactions","id":"ITEM-6","issued":{"date-parts":[["2012"]]},"page":"193-198","title":"Polyethyleneimine loading into high internal phase emulsion polymer for CO2 adsorption: Synthesis and characterization of the PolyHIPE","type":"article-journal","volume":"29"},"uris":["http://www.mendeley.com/documents/?uuid=a27aa6d5-5c71-4527-b683-9f098c3898f9"]},{"id":"ITEM-7","itemData":{"DOI":"10.1039/C8TA00625C","ISSN":"2050-7488","abstract":"The deployment of fossil resources such as petroleum, coal and natural gas to produce fuels and chemicals has resulted in excessive carbon dioxide (CO2) emissions and serious environmental issues. The implementation of CO2 utilization as a raw material for synthesis of fuels and chemicals has potential to reduce CO2 emissions and close the carbon cycle. Cyclic carbonates, materials used as building blocks for polymers or green solvents in batteries, can be synthesized from CO2 and alkylene oxides. Although a variety of catalysts have been synthesized to activate CO2 and alkylene oxides for transformation into cyclic carbonates, either the catalytic efficiency is low or the catalyst cost is high. In the present work, we report a hierarchical porous metallized poly-melamine-formaldehyde (PMF) polymer catalyst that has a 100-fold monomer cost reduction and six- to several hundred-fold activity enhancement compared to the state-of-the-art catalysts for propylene carbonate synthesis from epoxide and CO2 under the same reaction conditions. The hierarchically interconnected macro-, meso- and micro-pore structures in PMF that are formed via one-step high internal phase emulsion polymerization facilitate mass transport and accessibility to active sites. The high density of aminal groups and triazine rings in PMF provides multiple sites for CO2 adsorption and the subsequent reaction with epoxide. The unprecedented low-cost and high-efficiency of metallized PMF as well as the simplicity in its synthesis exhibit great potential in the synthesis of cyclic carbonates for the chemical and plastics industries.","author":[{"dropping-particle":"","family":"Yin","given":"Jian","non-dropping-particle":"","parse-names":false,"suffix":""},{"dropping-particle":"","family":"Zhang","given":"Tianqi","non-dropping-particle":"","parse-names":false,"suffix":""},{"dropping-particle":"","family":"Schulman","given":"Emily","non-dropping-particle":"","parse-names":false,"suffix":""},{"dropping-particle":"","family":"Liu","given":"Dongxia","non-dropping-particle":"","parse-names":false,"suffix":""},{"dropping-particle":"","family":"Meng","given":"Jianqiang","non-dropping-particle":"","parse-names":false,"suffix":""}],"container-title":"Journal of Materials Chemistry A","id":"ITEM-7","issue":"18","issued":{"date-parts":[["2018"]]},"page":"8441-8448","publisher":"The Royal Society of Chemistry","title":"Hierarchical porous metallized poly-melamine-formaldehyde (PMF) as a low-cost and high-efficiency catalyst for cyclic carbonate synthesis from CO2 and epoxides","type":"article-journal","volume":"6"},"uris":["http://www.mendeley.com/documents/?uuid=db9f47c6-bf59-4010-b238-71e1431b24fb"]},{"id":"ITEM-8","itemData":{"DOI":"10.1021/acs.iecr.5b01305","ISSN":"15205045","abstract":"This work focuses on developing the adsorbent for carbon dioxide (CO2) capture from high-humidity flue gas by loading moisture-responsive polyethylenimine (PEI) hydrogel interface layer in porous polymer matrix. The chemical structure and porous morphology of the porous adsorbents are characterized. The CO2 adsorption capacity and adsorption thermodynamics are studied. Also, the factors that affect the adsorption capacity including different molecular weight of PEI, loading weight and cross-linking degree of hydrogel, and moisture are investigated. The experimental results show that the porous polymer coated with PEI hydrogel exhibits a much higher adsorption capacity for CO2 and keep a high CO2-N2 selectivity by effective utilization of moisture. The CO2 adsorption capacity as high as 4.85 mmol CO2/g of adsorbent is obtained at 40 °C, with 1,4-butanediol diacrylate (BDA)/PEI ratio of 0.25. Moreover, the formation of three-dimensional cross-linked network in hydrogel shows good regeneration stability.","author":[{"dropping-particle":"","family":"Han","given":"Jiaxi","non-dropping-particle":"","parse-names":false,"suffix":""},{"dropping-particle":"","family":"Du","given":"Zhongjie","non-dropping-particle":"","parse-names":false,"suffix":""},{"dropping-particle":"","family":"Zou","given":"Wei","non-dropping-particle":"","parse-names":false,"suffix":""},{"dropping-particle":"","family":"Li","given":"Hangquan","non-dropping-particle":"","parse-names":false,"suffix":""},{"dropping-particle":"","family":"Zhang","given":"Chen","non-dropping-particle":"","parse-names":false,"suffix":""}],"container-title":"Industrial and Engineering Chemistry Research","id":"ITEM-8","issue":"31","issued":{"date-parts":[["2015"]]},"page":"7623-7631","title":"Moisture-Responsive Hydrogel Impregnated in Porous Polymer Foam as CO2 Adsorbent in High-Humidity Flue Gas","type":"article-journal","volume":"54"},"uris":["http://www.mendeley.com/documents/?uuid=ab34279d-a1c3-44ea-a9ab-f860acd2e0e5"]},{"id":"ITEM-9","itemData":{"DOI":"10.1021/acs.est.6b00579","ISSN":"15205851","PMID":"27322734","abstract":"The highly uniform and interconnected macroporous polymer materials were prepared within the high internal phase hydrosol-in-oil emulsions (HIPEs). Impregnated with polyethylenimine (PEI), the polyHIPEs were then employed as solid adsorbents for CO2 capture. Thermodynamic and kinetic capture-and-release tests were performed with pure CO2, 10% CO2/N2, and moist CO2, respectively. It has shown that the polyHIPE with suitable surface area and PEI impregnation exhibits high CO2 adsorption capacity, remarkable CO2/N2 selectivity, excellent adsorption/desorption kinetics, enhanced efficiency in the presence of water, and admirable stability in capture and release cycles. The results demonstrate the superior comprehensive performance of the present PEI-impregnated polyHIPE for CO2 capture from the postcombustion flue gas.","author":[{"dropping-particle":"","family":"Wang","given":"Quanyong","non-dropping-particle":"","parse-names":false,"suffix":""},{"dropping-particle":"","family":"Liu","given":"Y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Environmental Science and Technology","id":"ITEM-9","issue":"14","issued":{"date-parts":[["2016"]]},"page":"7879-7888","title":"Control of Uniform and Interconnected Macroporous Structure in PolyHIPE for Enhanced CO2 Adsorption/Desorption Kinetics","type":"article-journal","volume":"50"},"uris":["http://www.mendeley.com/documents/?uuid=833dd4bc-2f80-4335-85c1-72a1776399bb"]},{"id":"ITEM-10","itemData":{"DOI":"10.1016/j.energy.2018.05.141","ISSN":"03605442","abstract":"In this work, an effective adsorbent (polyHIPE/PEI) was developed for use in CO2 capture technologies. For this purpose, a porous polymer was prepared by high internal phase emulsion (HIPE) using 2-Ethylhexyl methacrylate (EHMA) and divinylbenzene (DVB). This prepared porous polymer (polyHIPE) was then used as a novel support for the wet impregnation of polyethylenimine (PEI), thus resulting in the polyHIPE/PEI adsorbent. The prepared adsorbent was characterized using Fourier transform infrared spectroscopy (FTIR), solid-state nuclear magnetic resonance (NMR) spectroscopy, scanning electron microscopy (SEM), thermogravimetric analysis (TGA), and Brunauer-Emmett-Teller (BET) surface area analyses. At the optimal PEI loading of 60 wt% on polyHIPE, the CO2 sorption capacity reached 4 mmol CO2/g-sorbent using 10 vol% CO2 and 3 vol% H2O in N2 at 70 °C. Kinetic and thermodynamic adsorption studies showed that the activation energies for CO2 adsorption and desorption of polyHIPE/PEI are 13.74 kJ/mol and 36.12 kJ/mol, respectively. These results indicate that CO2 desorption using polyHIPE/PEI has the potential to reduce CO2 capture cost due to the low activation energy and high CO2 desorption rate. As such, polyHIPE/PEI constitutes an advantageous alternative to traditional methods in CO2 capture from gas mixtures.","author":[{"dropping-particle":"","family":"Irani","given":"Maryam","non-dropping-particle":"","parse-names":false,"suffix":""},{"dropping-particle":"","family":"Jacobson","given":"Andrew T.","non-dropping-particle":"","parse-names":false,"suffix":""},{"dropping-particle":"","family":"Gasem","given":"Khaled A.M.","non-dropping-particle":"","parse-names":false,"suffix":""},{"dropping-particle":"","family":"Fan","given":"Maohong","non-dropping-particle":"","parse-names":false,"suffix":""}],"container-title":"Energy","id":"ITEM-10","issued":{"date-parts":[["2018"]]},"page":"1-9","publisher":"Elsevier Ltd","title":"Facilely synthesized porous polymer as support of poly(ethyleneimine) for effective CO2 capture","type":"article-journal","volume":"157"},"uris":["http://www.mendeley.com/documents/?uuid=ea7445ce-d12c-4c02-8830-7190f236ed62"]},{"id":"ITEM-11","itemData":{"DOI":"10.1016/j.jece.2017.05.034","ISSN":"22133437","abstract":"Hybrid macroporous adsorbent was synthesized for CO2 capture, where polyethylenimine (PEI)-enveloped titanium dioxide nanoparticles (nano-TiO2) as well as Span 80 act as a co-emulsifier in the preparation of styrene/divinylbenzene high internal phase emulsion (HIPE). By means of interfacial control in one-step polymerization, the terminals of most PEI chains were embedded into the polymer matrix, and the PEI-enveloped nano-TiO2 particles were uniformly dispersed on the surface of macropores to form a nanoscale roughness. Compared with the conventionally impregnated PEI in PolyHIPE, more amine groups in the hybrid polyHIPE are exposed to CO2 molecules, and the leaching and volatilization of PEI have been effectively prevented through the embedding technology, resulting in high adsorption capacity, rapid adsorption/desorption rates, and long-cycle stability in a wide temperature range. On the other hand, the particle-formulated inorganic framework fascinates stress-strain strength and thermal conductivity to accomplish two important prerequisites for industrial application.","author":[{"dropping-particle":"","family":"Wang","given":"Quanyong","non-dropping-particle":"","parse-names":false,"suffix":""},{"dropping-particle":"","family":"Ma","given":"Hongji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Journal of Environmental Chemical Engineering","id":"ITEM-11","issue":"3","issued":{"date-parts":[["2017"]]},"page":"2807-2814","publisher":"Elsevier","title":"Interfacial control of polyHIPE with nano-TiO2 particles and polyethylenimine toward actual application in CO2 capture","type":"article-journal","volume":"5"},"uris":["http://www.mendeley.com/documents/?uuid=97317bdf-30c6-4b0d-861f-837531527d86"]},{"id":"ITEM-12","itemData":{"DOI":"10.1134/S1560090418030181","ISSN":"15556123","abstract":"Polyethylenimine (PEI) and titanium dioxide nanoparticles (nano-TiO2) functionalized poly- HIPE beads were synthesized by suspension polymerization of styrene/divinylbenzene high internal phase emulsion (HIPE) containing PEI and nano-TiO2 particles in inner phase. The products are uniform and spherical beads with average diameter of 1 mm. Characterization results showed good thermal stability and desired mechanical strength. CO2 adsorption tests were performed with CO2/H2O/N2 (1 : 1 : 8) gas mixture. Nano-TiO2 particles distinctly improved the CO2 adsorption performance of the polyHIPE beads, resulting in enhanced CO2 adsorption capacity and fast adsorption/desorption kinetics. Besides, the functionalized polyHIPE beads exhibited remarkable cycle stability.","author":[{"dropping-particle":"","family":"Wang","given":"Quanyong","non-dropping-particle":"","parse-names":false,"suffix":""},{"dropping-particle":"","family":"Ma","given":"Hongji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Polymer Science - Series B","id":"ITEM-12","issue":"3","issued":{"date-parts":[["2018"]]},"page":"380-386","title":"Facile Synthesis of Polyethylenimine and Nano-TiO2 Particles Functionalized PolyHIPE Beads for CO2 Capture","type":"article-journal","volume":"60"},"uris":["http://www.mendeley.com/documents/?uuid=c5c0f2cc-2c01-4776-92b3-8e62caf0a83c"]},{"id":"ITEM-13","itemData":{"DOI":"10.1021/acs.iecr.9b00213","ISSN":"15205045","abstract":"Searching for highly efficient and robust CO2 adsorbents is very important for CO2 capture, utilization, and storage. In this study, new polyethylenimine-grafted metal-organic framework (MOF)-polymer composites, abbreviated as PEI@PGD-H, were synthesized via high internal phase emulsion (HIPE) template polymerization of divinylbenzene and glycidyl methacrylate, followed by in situ generation of HKUST-type MOF in the presence of hydrophobic-modified CuO nanoparticles via the reaction of CuO with 1,3,5-benzenetricarboxylic acid and then polyethylenimine (PEI) functionalization via epoxy-amine reaction and amine-metal sites interaction. The coexistence of the hierarchical interconnected porous skeleton of poly(glycidyl methacrylate-divinylbenzene) (PGD), high specific surface area of MOF, and chemical CO2 adsorption of PEI endows PEI@PGD-H with high CO2 adsorption capacity, rate, and selectivity. PEI70@PGD-H shows a CO2/N2 separation factor as high as 76 and CO2 adsorption capacities of 4.3, 3.0, and 1.8 mmol of CO2/g from pure CO2, simulated flue gas, and air, respectively. After 20 CO2 adsorption-desorption cycles, the adsorbent still retained a high and stable CO2 capture capacity over 2.8 mmol of CO2/g for simulated flue gas. The adsorbent also displays reasonably good thermal stability, excellent water endurance, low desorption energy, and easy shaping. The desorption heat is as low as 48 kJ/mol of CO2. These features make PEI@PGD-H highly efficient, robust, and low-energy CO2 adsorbents for practical application in CO2 capture.","author":[{"dropping-particle":"","family":"Zhu","given":"Junjie","non-dropping-particle":"","parse-names":false,"suffix":""},{"dropping-particle":"","family":"Wu","given":"Linbo","non-dropping-particle":"","parse-names":false,"suffix":""},{"dropping-particle":"","family":"Bu","given":"Zhiyang","non-dropping-particle":"","parse-names":false,"suffix":""},{"dropping-particle":"","family":"Jie","given":"Suyun","non-dropping-particle":"","parse-names":false,"suffix":""},{"dropping-particle":"","family":"Li","given":"Bo Geng","non-dropping-particle":"","parse-names":false,"suffix":""}],"container-title":"Industrial and Engineering Chemistry Research","id":"ITEM-13","issue":"10","issued":{"date-parts":[["2019"]]},"page":"4257-4266","title":"Polyethylenimine-Grafted HKUST-Type MOF/PolyHIPE Porous Composites (PEI@PGD-H) as Highly Efficient CO2 Adsorbents","type":"article-journal","volume":"58"},"uris":["http://www.mendeley.com/documents/?uuid=9016305e-4a1e-45eb-b348-ae785daf0f31"]}],"mendeley":{"formattedCitation":"[16,17,26–28,18–25]","plainTextFormattedCitation":"[16,17,26–28,18–25]","previouslyFormattedCitation":"[16,17,26–28,18–25]"},"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[16,17,26–28,18–25]</w:t>
      </w:r>
      <w:r w:rsidRPr="00EE5230">
        <w:rPr>
          <w:rFonts w:ascii="Arial" w:hAnsi="Arial" w:cs="Arial"/>
          <w:w w:val="100"/>
          <w:sz w:val="24"/>
          <w:szCs w:val="24"/>
        </w:rPr>
        <w:fldChar w:fldCharType="end"/>
      </w:r>
      <w:r w:rsidRPr="00EE5230">
        <w:rPr>
          <w:rFonts w:ascii="Arial" w:hAnsi="Arial" w:cs="Arial"/>
          <w:w w:val="100"/>
          <w:sz w:val="24"/>
          <w:szCs w:val="24"/>
        </w:rPr>
        <w:t xml:space="preserve"> A series of amino-functional PHs produced by PPF of </w:t>
      </w:r>
      <w:proofErr w:type="spellStart"/>
      <w:r w:rsidRPr="00EE5230">
        <w:rPr>
          <w:rFonts w:ascii="Arial" w:hAnsi="Arial" w:cs="Arial"/>
          <w:w w:val="100"/>
          <w:sz w:val="24"/>
          <w:szCs w:val="24"/>
        </w:rPr>
        <w:t>vinylbenzyl</w:t>
      </w:r>
      <w:proofErr w:type="spellEnd"/>
      <w:r w:rsidRPr="00EE5230">
        <w:rPr>
          <w:rFonts w:ascii="Arial" w:hAnsi="Arial" w:cs="Arial"/>
          <w:w w:val="100"/>
          <w:sz w:val="24"/>
          <w:szCs w:val="24"/>
        </w:rPr>
        <w:t xml:space="preserve"> chloride (VBC)-based precursors using different amine derivatives such as ethylenediamine, imidazole, piperazine as well as piperidine derivatives, showed CO</w:t>
      </w:r>
      <w:r w:rsidRPr="00EE5230">
        <w:rPr>
          <w:rFonts w:ascii="Arial" w:hAnsi="Arial" w:cs="Arial"/>
          <w:w w:val="100"/>
          <w:sz w:val="24"/>
          <w:szCs w:val="24"/>
          <w:vertAlign w:val="subscript"/>
        </w:rPr>
        <w:t>2</w:t>
      </w:r>
      <w:r w:rsidRPr="00EE5230">
        <w:rPr>
          <w:rFonts w:ascii="Arial" w:hAnsi="Arial" w:cs="Arial"/>
          <w:w w:val="100"/>
          <w:sz w:val="24"/>
          <w:szCs w:val="24"/>
        </w:rPr>
        <w:t xml:space="preserve"> uptake ranging from 0.4-2.18 mmol.g</w:t>
      </w:r>
      <w:r w:rsidRPr="00EE5230">
        <w:rPr>
          <w:rFonts w:ascii="Arial" w:hAnsi="Arial" w:cs="Arial"/>
          <w:w w:val="100"/>
          <w:sz w:val="24"/>
          <w:szCs w:val="24"/>
          <w:vertAlign w:val="superscript"/>
        </w:rPr>
        <w:t>-1</w:t>
      </w:r>
      <w:r w:rsidRPr="00EE5230">
        <w:rPr>
          <w:rFonts w:ascii="Arial" w:hAnsi="Arial" w:cs="Arial"/>
          <w:w w:val="100"/>
          <w:sz w:val="24"/>
          <w:szCs w:val="24"/>
        </w:rPr>
        <w:t>.</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{"citationItems":[{"id":"ITEM-1","itemData":{"DOI":"10.1016/j.egypro.2014.11.251","ISSN":"18766102","abstract":"Poly(vinylbenzylchloride/divinylbenzene); by high internal phase emulsion (poly(VBC/DVB)HIPE) was functionalized with diamines (ethylenediamine, piperazine, aminopiperidine, and imidazole) to improve carbon dioxide adsorption capacity. The amine group in the poly(VBC/DVB)HIPE was confirmed and quantified by Fourier transform infrared spectroscopy and elemental analysis. The surface area, pore size, and pore volume of the materials, after being functionalized with amines, were reduced. The order of the amine loading in the materials was ethylenediamine &gt; piperazine &gt; aminopiperidine &gt; imidazole. The CO2 adsorption capacities were 2.18, 0.83, 0.66, and 0.39 mmol/g.m2.mol amine for the polyHIPE materials of ethylenediamine, piperazine, aminopiperidine, and imidazole, respectively.","author":[{"dropping-particle":"","family":"Saiwan","given":"Chintana","non-dropping-particle":"","parse-names":false,"suffix":""},{"dropping-particle":"","family":"Muchan","given":"Pailin","non-dropping-particle":"","parse-names":false,"suffix":""},{"dropping-particle":"","family":"Montigny","given":"David","non-dropping-particle":"De","parse-names":false,"suffix":""},{"dropping-particle":"","family":"Tontiwachwutikul","given":"Paitoon","non-dropping-particle":"","parse-names":false,"suffix":""}],"container-title":"Energy Procedia","id":"ITEM-1","issued":{"date-parts":[["2014"]]},"page":"2317-2322","publisher":"Elsevier B.V.","title":"New poly(vinylbenzylchloride/divinylbenzene) adsorbent for carbon dioxide adsorption. Ii. Effect of amine functionalization","type":"article-journal","volume":"63"},"uris":["http://www.mendeley.com/documents/?uuid=cbb3f8e3-d91f-43d7-97b7-5725221e26ac"]},{"id":"ITEM-2","itemData":{"DOI":"10.3303/CET1335065","ISBN":"9788895608266","ISSN":"22839216","abstract":"An excellent porous material was prepared from vinylbenzyl chloride (VBC) and divinylbenzene (DVB) via high internal phase emulsion (HIPE) technique and introduced with heterocyclic amines (piperazine or PZ, hydroxyethylpiperazine or HEP and aminoethylpiperazine or AEP) by post-functionalization for using as adsorbents in CO2 capture applications. The reaction between the amine functional group and adsorbent was confirmed by Fourier transform infrared spectroscopy. The disappearance of C-Cl bondingat 1,265 cm-1 and 710 cm-1 and the presence of N-H bonds at 3,400 cm-1 and 1,670 cm-1 were observed. The influence of the amine structure on the surface area and the conversion reaction of polyHIPE were investigated by surface area analysis and elemental analysis. In the CO2 adsorption step, the feed gas concentration was 4 vol% of CO2/N2 with a flow rate of 5 mL/min, and was carried out at 298 K. The CO2 concentration was continuously determined by gas chromatography. The dynamic adsorption capacity of PZ-HIPE, HEP-HIPE, and AEP-HIPE were 0.112, 0.057, and 0.074 mmol CO2/mmol amine compound. © 2013, AIDIC Servizi S.r.l.","author":[{"dropping-particle":"","family":"Muchan","given":"Pailin","non-dropping-particle":"","parse-names":false,"suffix":""},{"dropping-particle":"","family":"Saiwan","given":"Chintana","non-dropping-particle":"","parse-names":false,"suffix":""},{"dropping-particle":"","family":"DeMontigny","given":"David","non-dropping-particle":"","parse-names":false,"suffix":""},{"dropping-particle":"","family":"Tontiwachwuthikul","given":"Paitoon","non-dropping-particle":"","parse-names":false,"suffix":""}],"container-title":"Chemical Engineering Transactions","id":"ITEM-2","issued":{"date-parts":[["2013"]]},"page":"391-396","title":"Functionalisation of poly(high internal phase emulsion) with amine for CO2 capture","type":"article-journal","volume":"35"},"uris":["http://www.mendeley.com/documents/?uuid=59afd1bd-3fae-44e4-b200-9d7dddd905c4"]}],"mendeley":{"formattedCitation":"[16,17]","plainTextFormattedCitation":"[16,17]","previouslyFormattedCitation":"[16,17]"},"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[16,17]</w:t>
      </w:r>
      <w:r w:rsidRPr="00EE5230">
        <w:rPr>
          <w:rFonts w:ascii="Arial" w:hAnsi="Arial" w:cs="Arial"/>
          <w:w w:val="100"/>
          <w:sz w:val="24"/>
          <w:szCs w:val="24"/>
        </w:rPr>
        <w:fldChar w:fldCharType="end"/>
      </w:r>
      <w:r w:rsidRPr="00EE5230">
        <w:rPr>
          <w:rFonts w:ascii="Arial" w:hAnsi="Arial" w:cs="Arial"/>
          <w:w w:val="100"/>
          <w:sz w:val="24"/>
          <w:szCs w:val="24"/>
        </w:rPr>
        <w:t xml:space="preserve"> In addition, quaternary ammonium hydroxide-PPF PHs were also tested and showed good reversible CO</w:t>
      </w:r>
      <w:r w:rsidRPr="00EE5230">
        <w:rPr>
          <w:rFonts w:ascii="Arial" w:hAnsi="Arial" w:cs="Arial"/>
          <w:w w:val="100"/>
          <w:sz w:val="24"/>
          <w:szCs w:val="24"/>
          <w:vertAlign w:val="subscript"/>
        </w:rPr>
        <w:t>2</w:t>
      </w:r>
      <w:r w:rsidRPr="00EE5230">
        <w:rPr>
          <w:rFonts w:ascii="Arial" w:hAnsi="Arial" w:cs="Arial"/>
          <w:w w:val="100"/>
          <w:sz w:val="24"/>
          <w:szCs w:val="24"/>
        </w:rPr>
        <w:t xml:space="preserve"> uptake performances.</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{"citationItems":[{"id":"ITEM-1","itemData":{"DOI":"10.1039/c2ee24139k","ISSN":"17545706","abstract":"Several polymeric materials were prepared for reversible CO2 capture. These materials contain quaternary ammonium ions and hydroxide counter ions, including polymers grafted from carbon black, crosslinked porous polymers templated by ordered colloidal crystals, and high internal phase emulsion systems. The porous polymers displayed an order of magnitude improvement in the kinetics of the absorption and desorption processes and a significant improvement in the swing sizes compared to a commercially available material with similar functional groups. This work suggests a new direction for the design of porous polymeric materials for CO2 air capture. © The Royal Society of Chemistry 2013.","author":[{"dropping-particle":"","family":"He","given":"Hongkun","non-dropping-particle":"","parse-names":false,"suffix":""},{"dropping-particle":"","family":"Li","given":"Wenwen","non-dropping-particle":"","parse-names":false,"suffix":""},{"dropping-particle":"","family":"Zhong","given":"Mingjiang","non-dropping-particle":"","parse-names":false,"suffix":""},{"dropping-particle":"","family":"Konkolewicz","given":"Dominik","non-dropping-particle":"","parse-names":false,"suffix":""},{"dropping-particle":"","family":"Wu","given":"Dingcai","non-dropping-particle":"","parse-names":false,"suffix":""},{"dropping-particle":"","family":"Yaccato","given":"Karin","non-dropping-particle":"","parse-names":false,"suffix":""},{"dropping-particle":"","family":"Rappold","given":"Tim","non-dropping-particle":"","parse-names":false,"suffix":""},{"dropping-particle":"","family":"Sugar","given":"Glenn","non-dropping-particle":"","parse-names":false,"suffix":""},{"dropping-particle":"","family":"David","given":"Nathaniel E.","non-dropping-particle":"","parse-names":false,"suffix":""},{"dropping-particle":"","family":"Matyjaszewski","given":"Krzysztof","non-dropping-particle":"","parse-names":false,"suffix":""}],"container-title":"Energy and Environmental Science","id":"ITEM-1","issue":"2","issued":{"date-parts":[["2013"]]},"page":"488-493","title":"Reversible CO2 capture with porous polymers using the humidity swing","type":"article-journal","volume":"6"},"uris":["http://www.mendeley.com/documents/?uuid=a7e02cef-f94c-4900-931b-9b52f6baf479"]},{"id":"ITEM-2","itemData":{"DOI":"10.1016/j.polymer.2013.08.002","ISSN":"00323861","abstract":"A series of porous polymers with different pore volumes, pore sizes, and crosslinking densities were synthesized by high internal phase emulsion (HIPE) polymerization. The crosslinked polymerized HIPEs (polyHIPEs) were formed by the copolymerization of 4-vinylbenzyl chloride and divinylbenzene using water droplets in conventional or Pickering HIPEs as the templates. These porous materials were further modified by quaternization and ion exchange to introduce quaternary ammonium hydroxide groups. The resulting polyHIPEs were utilized as sorbents for reversible CO2 capture from air using the humidity swing. The effect of pore structure on the CO2 adsorption and desorption processes was studied. The polyHIPEs containing large pores and interconnected porous structures showed improved swing sizes and faster adsorption/desorption kinetics of CO2 compared to a commercial Excellion membrane with similar functional groups. © 2013 Elsevier Ltd. All rights reserved.","author":[{"dropping-particle":"","family":"He","given":"Hongkun","non-dropping-particle":"","parse-names":false,"suffix":""},{"dropping-particle":"","family":"Li","given":"Wenwen","non-dropping-particle":"","parse-names":false,"suffix":""},{"dropping-particle":"","family":"Lamson","given":"Melissa","non-dropping-particle":"","parse-names":false,"suffix":""},{"dropping-particle":"","family":"Zhong","given":"Mingjiang","non-dropping-particle":"","parse-names":false,"suffix":""},{"dropping-particle":"","family":"Konkolewicz","given":"Dominik","non-dropping-particle":"","parse-names":false,"suffix":""},{"dropping-particle":"","family":"Hui","given":"Chin Ming","non-dropping-particle":"","parse-names":false,"suffix":""},{"dropping-particle":"","family":"Yaccato","given":"Karin","non-dropping-particle":"","parse-names":false,"suffix":""},{"dropping-particle":"","family":"Rappold","given":"Timothy","non-dropping-particle":"","parse-names":false,"suffix":""},{"dropping-particle":"","family":"Sugar","given":"Glenn","non-dropping-particle":"","parse-names":false,"suffix":""},{"dropping-particle":"","family":"David","given":"Nathaniel E.","non-dropping-particle":"","parse-names":false,"suffix":""},{"dropping-particle":"","family":"Damodaran","given":"Krishnan","non-dropping-particle":"","parse-names":false,"suffix":""},{"dropping-particle":"","family":"Natesakhawat","given":"Sittichai","non-dropping-particle":"","parse-names":false,"suffix":""},{"dropping-particle":"","family":"Nulwala","given":"Hunaid","non-dropping-particle":"","parse-names":false,"suffix":""},{"dropping-particle":"","family":"Matyjaszewski","given":"Krzysztof","non-dropping-particle":"","parse-names":false,"suffix":""}],"container-title":"Polymer","id":"ITEM-2","issue":"1","issued":{"date-parts":[["2014"]]},"page":"385-394","publisher":"Elsevier Ltd","title":"Porous polymers prepared via high internal phase emulsion polymerization for reversible CO2 capture","type":"article-journal","volume":"55"},"uris":["http://www.mendeley.com/documents/?uuid=14ca934d-69bc-4e34-b17f-62fdf5f1a786"]}],"mendeley":{"formattedCitation":"[18,19]","plainTextFormattedCitation":"[18,19]","previouslyFormattedCitation":"[18,19]"},"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[18,19]</w:t>
      </w:r>
      <w:r w:rsidRPr="00EE5230">
        <w:rPr>
          <w:rFonts w:ascii="Arial" w:hAnsi="Arial" w:cs="Arial"/>
          <w:w w:val="100"/>
          <w:sz w:val="24"/>
          <w:szCs w:val="24"/>
        </w:rPr>
        <w:fldChar w:fldCharType="end"/>
      </w:r>
      <w:r w:rsidRPr="00EE5230">
        <w:rPr>
          <w:rFonts w:ascii="Arial" w:hAnsi="Arial" w:cs="Arial"/>
          <w:w w:val="100"/>
          <w:sz w:val="24"/>
          <w:szCs w:val="24"/>
        </w:rPr>
        <w:t xml:space="preserve"> Some interconnected PHs with abundant triazole groups absorbed CO</w:t>
      </w:r>
      <w:r w:rsidRPr="00EE5230">
        <w:rPr>
          <w:rFonts w:ascii="Arial" w:hAnsi="Arial" w:cs="Arial"/>
          <w:w w:val="100"/>
          <w:sz w:val="24"/>
          <w:szCs w:val="24"/>
          <w:vertAlign w:val="subscript"/>
        </w:rPr>
        <w:t>2</w:t>
      </w:r>
      <w:r w:rsidRPr="00EE5230">
        <w:rPr>
          <w:rFonts w:ascii="Arial" w:hAnsi="Arial" w:cs="Arial"/>
          <w:w w:val="100"/>
          <w:sz w:val="24"/>
          <w:szCs w:val="24"/>
        </w:rPr>
        <w:t xml:space="preserve"> chemically in 1:1 stoichiometry and showed a good CO</w:t>
      </w:r>
      <w:r w:rsidRPr="00EE5230">
        <w:rPr>
          <w:rFonts w:ascii="Arial" w:hAnsi="Arial" w:cs="Arial"/>
          <w:w w:val="100"/>
          <w:sz w:val="24"/>
          <w:szCs w:val="24"/>
          <w:vertAlign w:val="subscript"/>
        </w:rPr>
        <w:t>2</w:t>
      </w:r>
      <w:r w:rsidRPr="00EE5230">
        <w:rPr>
          <w:rFonts w:ascii="Arial" w:hAnsi="Arial" w:cs="Arial"/>
          <w:w w:val="100"/>
          <w:sz w:val="24"/>
          <w:szCs w:val="24"/>
        </w:rPr>
        <w:t>/N</w:t>
      </w:r>
      <w:r w:rsidRPr="00EE5230">
        <w:rPr>
          <w:rFonts w:ascii="Arial" w:hAnsi="Arial" w:cs="Arial"/>
          <w:w w:val="100"/>
          <w:sz w:val="24"/>
          <w:szCs w:val="24"/>
          <w:vertAlign w:val="subscript"/>
        </w:rPr>
        <w:t>2</w:t>
      </w:r>
      <w:r w:rsidRPr="00EE5230">
        <w:rPr>
          <w:rFonts w:ascii="Arial" w:hAnsi="Arial" w:cs="Arial"/>
          <w:w w:val="100"/>
          <w:sz w:val="24"/>
          <w:szCs w:val="24"/>
        </w:rPr>
        <w:t xml:space="preserve"> selectivity.</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{"citationItems":[{"id":"ITEM-1","itemData":{"DOI":"10.1021/acs.iecr.7b01961","ISSN":"15205045","abstract":"Porous cross-linked polymers containing pendant triazole groups were synthesized from glycidyl methacrylate (GMA) in the presence of divinylbenzene via high internal phase emulsion (HIPE) templating method followed by functionalization with sodium 3-amino-1,2,4-triazole (ATANa). They were characterized with FTIR, SEM, BET, and mercury intrusion and assessed as CO2 adsorbents. With interconnected hierarchical porous structure and abundant triazole groups which absorbed CO2 chemically in 1:1 stoichiometry, the adsorbents exhibited high CO2 adsorption capacity (3.6 mmol g-1, at 25 °C and 1 atm) and rate, and good CO2/N2 selectivity (â-30). The adsorbents also displayed easy CO2 desorption with medium desorption heat (58 kJ/mol CO2), acceptable moisture endurance, and excellent recyclability. The results suggest that these functionalized porous polymers are potential adsorbents for CO2 capture.","author":[{"dropping-particle":"","family":"Zhu","given":"Junjie","non-dropping-particle":"","parse-names":false,"suffix":""},{"dropping-particle":"","family":"Wu","given":"Linbo","non-dropping-particle":"","parse-names":false,"suffix":""},{"dropping-particle":"","family":"Bu","given":"Zhiyang","non-dropping-particle":"","parse-names":false,"suffix":""},{"dropping-particle":"","family":"Jie","given":"Suyun","non-dropping-particle":"","parse-names":false,"suffix":""},{"dropping-particle":"","family":"Li","given":"Bo Geng","non-dropping-particle":"","parse-names":false,"suffix":""}],"container-title":"Industrial and Engineering Chemistry Research","id":"ITEM-1","issue":"36","issued":{"date-parts":[["2017"]]},"page":"10155-10163","title":"Synthesis and CO2 Capture Behavior of Porous Cross-Linked Polymers Containing Pendant Triazole Groups","type":"article-journal","volume":"56"},"uris":["http://www.mendeley.com/documents/?uuid=9c326581-78c1-4437-82e3-19020d92afb5"]}],"mendeley":{"formattedCitation":"[20]","plainTextFormattedCitation":"[20]","previouslyFormattedCitation":"[20]"},"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[20]</w:t>
      </w:r>
      <w:r w:rsidRPr="00EE5230">
        <w:rPr>
          <w:rFonts w:ascii="Arial" w:hAnsi="Arial" w:cs="Arial"/>
          <w:w w:val="100"/>
          <w:sz w:val="24"/>
          <w:szCs w:val="24"/>
        </w:rPr>
        <w:fldChar w:fldCharType="end"/>
      </w:r>
      <w:r w:rsidRPr="00EE5230">
        <w:rPr>
          <w:rFonts w:ascii="Arial" w:hAnsi="Arial" w:cs="Arial"/>
          <w:w w:val="100"/>
          <w:sz w:val="24"/>
          <w:szCs w:val="24"/>
        </w:rPr>
        <w:t xml:space="preserve"> Another group of organic amine compounds commonly used for chemical functionalization of PHs for CO</w:t>
      </w:r>
      <w:r w:rsidRPr="00EE5230">
        <w:rPr>
          <w:rFonts w:ascii="Arial" w:hAnsi="Arial" w:cs="Arial"/>
          <w:w w:val="100"/>
          <w:sz w:val="24"/>
          <w:szCs w:val="24"/>
          <w:vertAlign w:val="subscript"/>
        </w:rPr>
        <w:t>2</w:t>
      </w:r>
      <w:r w:rsidRPr="00EE5230">
        <w:rPr>
          <w:rFonts w:ascii="Arial" w:hAnsi="Arial" w:cs="Arial"/>
          <w:w w:val="100"/>
          <w:sz w:val="24"/>
          <w:szCs w:val="24"/>
        </w:rPr>
        <w:t xml:space="preserve"> capture are </w:t>
      </w:r>
      <w:proofErr w:type="spellStart"/>
      <w:r w:rsidRPr="00EE5230">
        <w:rPr>
          <w:rFonts w:ascii="Arial" w:hAnsi="Arial" w:cs="Arial"/>
          <w:w w:val="100"/>
          <w:sz w:val="24"/>
          <w:szCs w:val="24"/>
        </w:rPr>
        <w:t>polyethylenimines</w:t>
      </w:r>
      <w:proofErr w:type="spellEnd"/>
      <w:r w:rsidRPr="00EE5230">
        <w:rPr>
          <w:rFonts w:ascii="Arial" w:hAnsi="Arial" w:cs="Arial"/>
          <w:w w:val="100"/>
          <w:sz w:val="24"/>
          <w:szCs w:val="24"/>
        </w:rPr>
        <w:t xml:space="preserve"> (PEIs).</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{"citationItems":[{"id":"ITEM-1","itemData":{"DOI":"10.3303/CET1229033","ISBN":"9788895608204","ISSN":"22839216","abstract":"The purpose of this research was to synthesize the new type of adsorbent for CO2 adsorption. The polymer obtained from high internal phase emulsion or \"polyHIPE\" can be polymerized from divinylbenzene (DVB) and vinyl benzyl chloride (VBC). Polyethyleneimine (PEI) was added into the polyHIPE during polymerization reaction to increase the CO2 capture efficiency. For the effect of the monomer ratio (DVB/VBC), the polyHIPE for every ratio has the same appearances which are white, brittle and chalky porous solid. The surface area of the polyHIPE increased when the amount of DVB was increased. The highest surface area was found in the monomer ratio of 100/0 or 100 % DVB, which was 303.0 m2/g. When 10 wt% PEI was added into the polyHIPE, the percentage of PEI loading was very low at 100/0 monomer ratio; there was only 0.11 wt% of PEI. As the ratio of VBC increased from 10 % to 50 %, the percentage of PEI loading in the polyHIPE was increase up to 1.7 wt% and then stayed almost constant because 10 wt% PEI can react completely with 1.26% VBC. Moreover, when the percentage of PEI in the prepared solution was increase, the percentage of PEI in polyHIPE was also increase, and the highest percentage of PEI in polyHIPE was 2.57 wt%. Copyright © 2012, AIDIC Servizi S.r.l.","author":[{"dropping-particle":"","family":"Dejburum","given":"Pacharakhorn","non-dropping-particle":"","parse-names":false,"suffix":""},{"dropping-particle":"","family":"Saiwan","given":"Chintana","non-dropping-particle":"","parse-names":false,"suffix":""},{"dropping-particle":"","family":"Tontiwachwuthikul","given":"Paitoon","non-dropping-particle":"","parse-names":false,"suffix":""}],"container-title":"Chemical Engineering Transactions","id":"ITEM-1","issued":{"date-parts":[["2012"]]},"page":"193-198","title":"Polyethyleneimine loading into high internal phase emulsion polymer for CO2 adsorption: Synthesis and characterization of the PolyHIPE","type":"article-journal","volume":"29"},"uris":["http://www.mendeley.com/documents/?uuid=a27aa6d5-5c71-4527-b683-9f098c3898f9"]},{"id":"ITEM-2","itemData":{"DOI":"10.1021/acs.iecr.5b01305","ISSN":"15205045","abstract":"This work focuses on developing the adsorbent for carbon dioxide (CO2) capture from high-humidity flue gas by loading moisture-responsive polyethylenimine (PEI) hydrogel interface layer in porous polymer matrix. The chemical structure and porous morphology of the porous adsorbents are characterized. The CO2 adsorption capacity and adsorption thermodynamics are studied. Also, the factors that affect the adsorption capacity including different molecular weight of PEI, loading weight and cross-linking degree of hydrogel, and moisture are investigated. The experimental results show that the porous polymer coated with PEI hydrogel exhibits a much higher adsorption capacity for CO2 and keep a high CO2-N2 selectivity by effective utilization of moisture. The CO2 adsorption capacity as high as 4.85 mmol CO2/g of adsorbent is obtained at 40 °C, with 1,4-butanediol diacrylate (BDA)/PEI ratio of 0.25. Moreover, the formation of three-dimensional cross-linked network in hydrogel shows good regeneration stability.","author":[{"dropping-particle":"","family":"Han","given":"Jiaxi","non-dropping-particle":"","parse-names":false,"suffix":""},{"dropping-particle":"","family":"Du","given":"Zhongjie","non-dropping-particle":"","parse-names":false,"suffix":""},{"dropping-particle":"","family":"Zou","given":"Wei","non-dropping-particle":"","parse-names":false,"suffix":""},{"dropping-particle":"","family":"Li","given":"Hangquan","non-dropping-particle":"","parse-names":false,"suffix":""},{"dropping-particle":"","family":"Zhang","given":"Chen","non-dropping-particle":"","parse-names":false,"suffix":""}],"container-title":"Industrial and Engineering Chemistry Research","id":"ITEM-2","issue":"31","issued":{"date-parts":[["2015"]]},"page":"7623-7631","title":"Moisture-Responsive Hydrogel Impregnated in Porous Polymer Foam as CO2 Adsorbent in High-Humidity Flue Gas","type":"article-journal","volume":"54"},"uris":["http://www.mendeley.com/documents/?uuid=ab34279d-a1c3-44ea-a9ab-f860acd2e0e5"]},{"id":"ITEM-3","itemData":{"DOI":"10.1021/acs.est.6b00579","ISSN":"15205851","PMID":"27322734","abstract":"The highly uniform and interconnected macroporous polymer materials were prepared within the high internal phase hydrosol-in-oil emulsions (HIPEs). Impregnated with polyethylenimine (PEI), the polyHIPEs were then employed as solid adsorbents for CO2 capture. Thermodynamic and kinetic capture-and-release tests were performed with pure CO2, 10% CO2/N2, and moist CO2, respectively. It has shown that the polyHIPE with suitable surface area and PEI impregnation exhibits high CO2 adsorption capacity, remarkable CO2/N2 selectivity, excellent adsorption/desorption kinetics, enhanced efficiency in the presence of water, and admirable stability in capture and release cycles. The results demonstrate the superior comprehensive performance of the present PEI-impregnated polyHIPE for CO2 capture from the postcombustion flue gas.","author":[{"dropping-particle":"","family":"Wang","given":"Quanyong","non-dropping-particle":"","parse-names":false,"suffix":""},{"dropping-particle":"","family":"Liu","given":"Y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Environmental Science and Technology","id":"ITEM-3","issue":"14","issued":{"date-parts":[["2016"]]},"page":"7879-7888","title":"Control of Uniform and Interconnected Macroporous Structure in PolyHIPE for Enhanced CO2 Adsorption/Desorption Kinetics","type":"article-journal","volume":"50"},"uris":["http://www.mendeley.com/documents/?uuid=833dd4bc-2f80-4335-85c1-72a1776399bb"]},{"id":"ITEM-4","itemData":{"DOI":"10.1016/j.energy.2018.05.141","ISSN":"03605442","abstract":"In this work, an effective adsorbent (polyHIPE/PEI) was developed for use in CO2 capture technologies. For this purpose, a porous polymer was prepared by high internal phase emulsion (HIPE) using 2-Ethylhexyl methacrylate (EHMA) and divinylbenzene (DVB). This prepared porous polymer (polyHIPE) was then used as a novel support for the wet impregnation of polyethylenimine (PEI), thus resulting in the polyHIPE/PEI adsorbent. The prepared adsorbent was characterized using Fourier transform infrared spectroscopy (FTIR), solid-state nuclear magnetic resonance (NMR) spectroscopy, scanning electron microscopy (SEM), thermogravimetric analysis (TGA), and Brunauer-Emmett-Teller (BET) surface area analyses. At the optimal PEI loading of 60 wt% on polyHIPE, the CO2 sorption capacity reached 4 mmol CO2/g-sorbent using 10 vol% CO2 and 3 vol% H2O in N2 at 70 °C. Kinetic and thermodynamic adsorption studies showed that the activation energies for CO2 adsorption and desorption of polyHIPE/PEI are 13.74 kJ/mol and 36.12 kJ/mol, respectively. These results indicate that CO2 desorption using polyHIPE/PEI has the potential to reduce CO2 capture cost due to the low activation energy and high CO2 desorption rate. As such, polyHIPE/PEI constitutes an advantageous alternative to traditional methods in CO2 capture from gas mixtures.","author":[{"dropping-particle":"","family":"Irani","given":"Maryam","non-dropping-particle":"","parse-names":false,"suffix":""},{"dropping-particle":"","family":"Jacobson","given":"Andrew T.","non-dropping-particle":"","parse-names":false,"suffix":""},{"dropping-particle":"","family":"Gasem","given":"Khaled A.M.","non-dropping-particle":"","parse-names":false,"suffix":""},{"dropping-particle":"","family":"Fan","given":"Maohong","non-dropping-particle":"","parse-names":false,"suffix":""}],"container-title":"Energy","id":"ITEM-4","issued":{"date-parts":[["2018"]]},"page":"1-9","publisher":"Elsevier Ltd","title":"Facilely synthesized porous polymer as support of poly(ethyleneimine) for effective CO2 capture","type":"article-journal","volume":"157"},"uris":["http://www.mendeley.com/documents/?uuid=ea7445ce-d12c-4c02-8830-7190f236ed62"]}],"mendeley":{"formattedCitation":"[21,23–25]","plainTextFormattedCitation":"[21,23–25]","previouslyFormattedCitation":"[21,23–25]"},"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[21,23–25]</w:t>
      </w:r>
      <w:r w:rsidRPr="00EE5230">
        <w:rPr>
          <w:rFonts w:ascii="Arial" w:hAnsi="Arial" w:cs="Arial"/>
          <w:w w:val="100"/>
          <w:sz w:val="24"/>
          <w:szCs w:val="24"/>
        </w:rPr>
        <w:fldChar w:fldCharType="end"/>
      </w:r>
      <w:r w:rsidRPr="00EE5230">
        <w:rPr>
          <w:rFonts w:ascii="Arial" w:hAnsi="Arial" w:cs="Arial"/>
          <w:w w:val="100"/>
          <w:sz w:val="24"/>
          <w:szCs w:val="24"/>
        </w:rPr>
        <w:t xml:space="preserve"> Some PEI-grafted TiO</w:t>
      </w:r>
      <w:r w:rsidRPr="00EE5230">
        <w:rPr>
          <w:rFonts w:ascii="Arial" w:hAnsi="Arial" w:cs="Arial"/>
          <w:w w:val="100"/>
          <w:sz w:val="24"/>
          <w:szCs w:val="24"/>
          <w:vertAlign w:val="subscript"/>
        </w:rPr>
        <w:t>2</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{"citationItems":[{"id":"ITEM-1","itemData":{"DOI":"10.1016/j.jece.2017.05.034","ISSN":"22133437","abstract":"Hybrid macroporous adsorbent was synthesized for CO2 capture, where polyethylenimine (PEI)-enveloped titanium dioxide nanoparticles (nano-TiO2) as well as Span 80 act as a co-emulsifier in the preparation of styrene/divinylbenzene high internal phase emulsion (HIPE). By means of interfacial control in one-step polymerization, the terminals of most PEI chains were embedded into the polymer matrix, and the PEI-enveloped nano-TiO2 particles were uniformly dispersed on the surface of macropores to form a nanoscale roughness. Compared with the conventionally impregnated PEI in PolyHIPE, more amine groups in the hybrid polyHIPE are exposed to CO2 molecules, and the leaching and volatilization of PEI have been effectively prevented through the embedding technology, resulting in high adsorption capacity, rapid adsorption/desorption rates, and long-cycle stability in a wide temperature range. On the other hand, the particle-formulated inorganic framework fascinates stress-strain strength and thermal conductivity to accomplish two important prerequisites for industrial application.","author":[{"dropping-particle":"","family":"Wang","given":"Quanyong","non-dropping-particle":"","parse-names":false,"suffix":""},{"dropping-particle":"","family":"Ma","given":"Hongji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Journal of Environmental Chemical Engineering","id":"ITEM-1","issue":"3","issued":{"date-parts":[["2017"]]},"page":"2807-2814","publisher":"Elsevier","title":"Interfacial control of polyHIPE with nano-TiO2 particles and polyethylenimine toward actual application in CO2 capture","type":"article-journal","volume":"5"},"uris":["http://www.mendeley.com/documents/?uuid=97317bdf-30c6-4b0d-861f-837531527d86"]},{"id":"ITEM-2","itemData":{"DOI":"10.1134/S1560090418030181","ISSN":"15556123","abstract":"Polyethylenimine (PEI) and titanium dioxide nanoparticles (nano-TiO2) functionalized poly- HIPE beads were synthesized by suspension polymerization of styrene/divinylbenzene high internal phase emulsion (HIPE) containing PEI and nano-TiO2 particles in inner phase. The products are uniform and spherical beads with average diameter of 1 mm. Characterization results showed good thermal stability and desired mechanical strength. CO2 adsorption tests were performed with CO2/H2O/N2 (1 : 1 : 8) gas mixture. Nano-TiO2 particles distinctly improved the CO2 adsorption performance of the polyHIPE beads, resulting in enhanced CO2 adsorption capacity and fast adsorption/desorption kinetics. Besides, the functionalized polyHIPE beads exhibited remarkable cycle stability.","author":[{"dropping-particle":"","family":"Wang","given":"Quanyong","non-dropping-particle":"","parse-names":false,"suffix":""},{"dropping-particle":"","family":"Ma","given":"Hongjiao","non-dropping-particle":"","parse-names":false,"suffix":""},{"dropping-particle":"","family":"Chen","given":"Jian","non-dropping-particle":"","parse-names":false,"suffix":""},{"dropping-particle":"","family":"Du","given":"Zhongjie","non-dropping-particle":"","parse-names":false,"suffix":""},{"dropping-particle":"","family":"Mi","given":"Jianguo","non-dropping-particle":"","parse-names":false,"suffix":""}],"container-title":"Polymer Science - Series B","id":"ITEM-2","issue":"3","issued":{"date-parts":[["2018"]]},"page":"380-386","title":"Facile Synthesis of Polyethylenimine and Nano-TiO2 Particles Functionalized PolyHIPE Beads for CO2 Capture","type":"article-journal","volume":"60"},"uris":["http://www.mendeley.com/documents/?uuid=c5c0f2cc-2c01-4776-92b3-8e62caf0a83c"]}],"mendeley":{"formattedCitation":"[26,27]","plainTextFormattedCitation":"[26,27]","previouslyFormattedCitation":"[26,27]"},"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[26,27]</w:t>
      </w:r>
      <w:r w:rsidRPr="00EE5230">
        <w:rPr>
          <w:rFonts w:ascii="Arial" w:hAnsi="Arial" w:cs="Arial"/>
          <w:w w:val="100"/>
          <w:sz w:val="24"/>
          <w:szCs w:val="24"/>
        </w:rPr>
        <w:fldChar w:fldCharType="end"/>
      </w:r>
      <w:r w:rsidRPr="00EE5230">
        <w:rPr>
          <w:rFonts w:ascii="Arial" w:hAnsi="Arial" w:cs="Arial"/>
          <w:w w:val="100"/>
          <w:sz w:val="24"/>
          <w:szCs w:val="24"/>
        </w:rPr>
        <w:t xml:space="preserve"> MOF</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{"citationItems":[{"id":"ITEM-1","itemData":{"DOI":"10.1039/C8TA00625C","ISSN":"2050-7488","abstract":"The deployment of fossil resources such as petroleum, coal and natural gas to produce fuels and chemicals has resulted in excessive carbon dioxide (CO2) emissions and serious environmental issues. The implementation of CO2 utilization as a raw material for synthesis of fuels and chemicals has potential to reduce CO2 emissions and close the carbon cycle. Cyclic carbonates, materials used as building blocks for polymers or green solvents in batteries, can be synthesized from CO2 and alkylene oxides. Although a variety of catalysts have been synthesized to activate CO2 and alkylene oxides for transformation into cyclic carbonates, either the catalytic efficiency is low or the catalyst cost is high. In the present work, we report a hierarchical porous metallized poly-melamine-formaldehyde (PMF) polymer catalyst that has a 100-fold monomer cost reduction and six- to several hundred-fold activity enhancement compared to the state-of-the-art catalysts for propylene carbonate synthesis from epoxide and CO2 under the same reaction conditions. The hierarchically interconnected macro-, meso- and micro-pore structures in PMF that are formed via one-step high internal phase emulsion polymerization facilitate mass transport and accessibility to active sites. The high density of aminal groups and triazine rings in PMF provides multiple sites for CO2 adsorption and the subsequent reaction with epoxide. The unprecedented low-cost and high-efficiency of metallized PMF as well as the simplicity in its synthesis exhibit great potential in the synthesis of cyclic carbonates for the chemical and plastics industries.","author":[{"dropping-particle":"","family":"Yin","given":"Jian","non-dropping-particle":"","parse-names":false,"suffix":""},{"dropping-particle":"","family":"Zhang","given":"Tianqi","non-dropping-particle":"","parse-names":false,"suffix":""},{"dropping-particle":"","family":"Schulman","given":"Emily","non-dropping-particle":"","parse-names":false,"suffix":""},{"dropping-particle":"","family":"Liu","given":"Dongxia","non-dropping-particle":"","parse-names":false,"suffix":""},{"dropping-particle":"","family":"Meng","given":"Jianqiang","non-dropping-particle":"","parse-names":false,"suffix":""}],"container-title":"Journal of Materials Chemistry A","id":"ITEM-1","issue":"18","issued":{"date-parts":[["2018"]]},"page":"8441-8448","publisher":"The Royal Society of Chemistry","title":"Hierarchical porous metallized poly-melamine-formaldehyde (PMF) as a low-cost and high-efficiency catalyst for cyclic carbonate synthesis from CO2 and epoxides","type":"article-journal","volume":"6"},"uris":["http://www.mendeley.com/documents/?uuid=db9f47c6-bf59-4010-b238-71e1431b24fb"]},{"id":"ITEM-2","itemData":{"DOI":"10.1021/acs.iecr.9b00213","ISSN":"15205045","abstract":"Searching for highly efficient and robust CO2 adsorbents is very important for CO2 capture, utilization, and storage. In this study, new polyethylenimine-grafted metal-organic framework (MOF)-polymer composites, abbreviated as PEI@PGD-H, were synthesized via high internal phase emulsion (HIPE) template polymerization of divinylbenzene and glycidyl methacrylate, followed by in situ generation of HKUST-type MOF in the presence of hydrophobic-modified CuO nanoparticles via the reaction of CuO with 1,3,5-benzenetricarboxylic acid and then polyethylenimine (PEI) functionalization via epoxy-amine reaction and amine-metal sites interaction. The coexistence of the hierarchical interconnected porous skeleton of poly(glycidyl methacrylate-divinylbenzene) (PGD), high specific surface area of MOF, and chemical CO2 adsorption of PEI endows PEI@PGD-H with high CO2 adsorption capacity, rate, and selectivity. PEI70@PGD-H shows a CO2/N2 separation factor as high as 76 and CO2 adsorption capacities of 4.3, 3.0, and 1.8 mmol of CO2/g from pure CO2, simulated flue gas, and air, respectively. After 20 CO2 adsorption-desorption cycles, the adsorbent still retained a high and stable CO2 capture capacity over 2.8 mmol of CO2/g for simulated flue gas. The adsorbent also displays reasonably good thermal stability, excellent water endurance, low desorption energy, and easy shaping. The desorption heat is as low as 48 kJ/mol of CO2. These features make PEI@PGD-H highly efficient, robust, and low-energy CO2 adsorbents for practical application in CO2 capture.","author":[{"dropping-particle":"","family":"Zhu","given":"Junjie","non-dropping-particle":"","parse-names":false,"suffix":""},{"dropping-particle":"","family":"Wu","given":"Linbo","non-dropping-particle":"","parse-names":false,"suffix":""},{"dropping-particle":"","family":"Bu","given":"Zhiyang","non-dropping-particle":"","parse-names":false,"suffix":""},{"dropping-particle":"","family":"Jie","given":"Suyun","non-dropping-particle":"","parse-names":false,"suffix":""},{"dropping-particle":"","family":"Li","given":"Bo Geng","non-dropping-particle":"","parse-names":false,"suffix":""}],"container-title":"Industrial and Engineering Chemistry Research","id":"ITEM-2","issue":"10","issued":{"date-parts":[["2019"]]},"page":"4257-4266","title":"Polyethylenimine-Grafted HKUST-Type MOF/PolyHIPE Porous Composites (PEI@PGD-H) as Highly Efficient CO2 Adsorbents","type":"article-journal","volume":"58"},"uris":["http://www.mendeley.com/documents/?uuid=9016305e-4a1e-45eb-b348-ae785daf0f31"]},{"id":"ITEM-3","itemData":{"DOI":"10.1039/C6TA10886E","ISSN":"2050-7488","abstract":"HKUST-1(Cu) and MOF-5(Zn)@polyHIPE hybrid materials were prepared using a metal salt-free technique, wherein metal–organic frameworks were in situ generated from the CuO- and ZnO-nanoparticles through secondary recrystallization. The solid-to-MOF transformation has proven to be a feasible and effective technique for preparing MOF@polyHIPE hybrid materials with a high MOF content of more than 75 wt%. The MOF phase within the hybrid polyHIPEs as disclosed herein exhibits superior micropore accessibility, structure hydrostability and durable CO2 adsorption capacity under humid conditions, not achievable with any of the previously reported methods.","author":[{"dropping-particle":"","family":"Mazaj","given":"Matjaž","non-dropping-particle":"","parse-names":false,"suffix":""},{"dropping-particle":"","family":"Logar","given":"Nataša Zabukovec","non-dropping-particle":"","parse-names":false,"suffix":""},{"dropping-particle":"","family":"Žagar","given":"Ema","non-dropping-particle":"","parse-names":false,"suffix":""},{"dropping-particle":"","family":"Kovačič","given":"Sebastijan","non-dropping-particle":"","parse-names":false,"suffix":""}],"container-title":"Journal of Materials Chemistry A","id":"ITEM-3","issue":"5","issued":{"date-parts":[["2017"]]},"page":"1967-1971","publisher":"The Royal Society of Chemistry","title":"A facile strategy towards a highly accessible and hydrostable MOF-phase within hybrid polyHIPEs through in situ metal-oxide recrystallization","type":"article-journal","volume":"5"},"uris":["http://www.mendeley.com/documents/?uuid=cf49d44b-7c23-4f2b-b20c-02be1c8a07b8"]}],"mendeley":{"formattedCitation":"[22,28,29]","plainTextFormattedCitation":"[22,28,29]","previouslyFormattedCitation":"[22,28,29]"},"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[22,28,29]</w:t>
      </w:r>
      <w:r w:rsidRPr="00EE5230">
        <w:rPr>
          <w:rFonts w:ascii="Arial" w:hAnsi="Arial" w:cs="Arial"/>
          <w:w w:val="100"/>
          <w:sz w:val="24"/>
          <w:szCs w:val="24"/>
        </w:rPr>
        <w:fldChar w:fldCharType="end"/>
      </w:r>
      <w:r w:rsidRPr="00EE5230">
        <w:rPr>
          <w:rFonts w:ascii="Arial" w:hAnsi="Arial" w:cs="Arial"/>
          <w:w w:val="100"/>
          <w:sz w:val="24"/>
          <w:szCs w:val="24"/>
        </w:rPr>
        <w:t xml:space="preserve"> and zeolite</w:t>
      </w:r>
      <w:r w:rsidRPr="00EE5230">
        <w:rPr>
          <w:rFonts w:ascii="Arial" w:hAnsi="Arial" w:cs="Arial"/>
          <w:w w:val="100"/>
          <w:sz w:val="24"/>
          <w:szCs w:val="24"/>
        </w:rPr>
        <w:fldChar w:fldCharType="begin" w:fldLock="1"/>
      </w:r>
      <w:r w:rsidRPr="00EE5230">
        <w:rPr>
          <w:rFonts w:ascii="Arial" w:hAnsi="Arial" w:cs="Arial"/>
          <w:w w:val="100"/>
          <w:sz w:val="24"/>
          <w:szCs w:val="24"/>
        </w:rPr>
        <w:instrText>ADDIN CSL_CITATION {"citationItems":[{"id":"ITEM-1","itemData":{"DOI":"https://doi.org/10.1002/cssc.201903116","ISSN":"1864-5631","abstract":"Abstract Here, the facile synthesis of four-length-scaled (ultramicro-micro-meso-macroporous) hierarchically structured porous carbon nanocomposite by an emulsion-template strategy is reported. This previously unreported combination of zeolite nanocrystals embedded in the walls of microcellular carbon foams gives unique textural and structural properties, which result in their excellent ability to selectively capture CO2 owing to the presence of ultra-micropores. The zeolite?microcellular carbon foam synergism delivers an adsorbent with a significantly enhanced CO2 capture capacity of up to 5?mmol?g?1, CO2/N2 selectivity of up to 80, and an outstanding multi-cycle capture performance under humid conditions (70?% performance retention after 30 regeneration cycles). More impressively, the electrically conductive carbon framework enables Joule heating and cooling, and thus fast and energy-efficient regeneration is possible, with an estimated energy consumption of only about 12?kWh.","author":[{"dropping-particle":"","family":"Mazaj","given":"Matjaž","non-dropping-particle":"","parse-names":false,"suffix":""},{"dropping-particle":"","family":"Bjelica","given":"Milan","non-dropping-particle":"","parse-names":false,"suffix":""},{"dropping-particle":"","family":"Žagar","given":"Ema","non-dropping-particle":"","parse-names":false,"suffix":""},{"dropping-particle":"","family":"Logar","given":"Nataša Zabukovec","non-dropping-particle":"","parse-names":false,"suffix":""},{"dropping-particle":"","family":"Kovačič","given":"Sebastijan","non-dropping-particle":"","parse-names":false,"suffix":""}],"container-title":"ChemSusChem","id":"ITEM-1","issue":"8","issued":{"date-parts":[["2020","4","21"]]},"note":"https://doi.org/10.1002/cssc.201903116","page":"2089-2097","publisher":"John Wiley &amp; Sons, Ltd","title":"Zeolite Nanocrystals Embedded in Microcellular Carbon Foam as a High-Performance CO2 Capture Adsorbent with Energy-Saving Regeneration Properties","type":"article-journal","volume":"13"},"uris":["http://www.mendeley.com/documents/?uuid=845c36ba-f7c3-4032-9d11-f2c49ed9c0b5"]}],"mendeley":{"formattedCitation":"[30]","plainTextFormattedCitation":"[30]","previouslyFormattedCitation":"[30]"},"properties":{"noteIndex":0},"schema":"https://github.com/citation-style-language/schema/raw/master/csl-citation.json"}</w:instrText>
      </w:r>
      <w:r w:rsidRPr="00EE5230">
        <w:rPr>
          <w:rFonts w:ascii="Arial" w:hAnsi="Arial" w:cs="Arial"/>
          <w:w w:val="100"/>
          <w:sz w:val="24"/>
          <w:szCs w:val="24"/>
        </w:rPr>
        <w:fldChar w:fldCharType="separate"/>
      </w:r>
      <w:r w:rsidRPr="00EE5230">
        <w:rPr>
          <w:rFonts w:ascii="Arial" w:hAnsi="Arial" w:cs="Arial"/>
          <w:noProof/>
          <w:w w:val="100"/>
          <w:sz w:val="24"/>
          <w:szCs w:val="24"/>
        </w:rPr>
        <w:t>[30]</w:t>
      </w:r>
      <w:r w:rsidRPr="00EE5230">
        <w:rPr>
          <w:rFonts w:ascii="Arial" w:hAnsi="Arial" w:cs="Arial"/>
          <w:w w:val="100"/>
          <w:sz w:val="24"/>
          <w:szCs w:val="24"/>
        </w:rPr>
        <w:fldChar w:fldCharType="end"/>
      </w:r>
      <w:r w:rsidRPr="00EE5230">
        <w:rPr>
          <w:rFonts w:ascii="Arial" w:hAnsi="Arial" w:cs="Arial"/>
          <w:w w:val="100"/>
          <w:sz w:val="24"/>
          <w:szCs w:val="24"/>
        </w:rPr>
        <w:t xml:space="preserve"> PHs composites have also been developed and proved efficiency as CO</w:t>
      </w:r>
      <w:r w:rsidRPr="00EE5230">
        <w:rPr>
          <w:rFonts w:ascii="Arial" w:hAnsi="Arial" w:cs="Arial"/>
          <w:w w:val="100"/>
          <w:sz w:val="24"/>
          <w:szCs w:val="24"/>
          <w:vertAlign w:val="subscript"/>
        </w:rPr>
        <w:t>2</w:t>
      </w:r>
      <w:r w:rsidRPr="00EE5230">
        <w:rPr>
          <w:rFonts w:ascii="Arial" w:hAnsi="Arial" w:cs="Arial"/>
          <w:w w:val="100"/>
          <w:sz w:val="24"/>
          <w:szCs w:val="24"/>
        </w:rPr>
        <w:t xml:space="preserve"> sorbents. </w:t>
      </w:r>
    </w:p>
    <w:p w14:paraId="22FDB2B1" w14:textId="77777777" w:rsidR="00EE5230" w:rsidRPr="00EE5230" w:rsidRDefault="00EE5230" w:rsidP="00EE5230">
      <w:pPr>
        <w:rPr>
          <w:rFonts w:cs="Arial"/>
        </w:rPr>
      </w:pPr>
      <w:r w:rsidRPr="00EE5230">
        <w:rPr>
          <w:rFonts w:cs="Arial"/>
        </w:rPr>
        <w:t>In recent years, porous polymerized ionic liquids (PILs) have shown promise as sorbents for CO</w:t>
      </w:r>
      <w:r w:rsidRPr="00EE5230">
        <w:rPr>
          <w:rFonts w:cs="Arial"/>
          <w:vertAlign w:val="subscript"/>
        </w:rPr>
        <w:t>2</w:t>
      </w:r>
      <w:r w:rsidRPr="00EE5230">
        <w:rPr>
          <w:rFonts w:cs="Arial"/>
        </w:rPr>
        <w:t xml:space="preserve"> capture.</w:t>
      </w:r>
      <w:r w:rsidRPr="00EE5230">
        <w:rPr>
          <w:rFonts w:cs="Arial"/>
        </w:rPr>
        <w:fldChar w:fldCharType="begin" w:fldLock="1"/>
      </w:r>
      <w:r w:rsidRPr="00EE5230">
        <w:rPr>
          <w:rFonts w:cs="Arial"/>
        </w:rPr>
        <w:instrText>ADDIN CSL_CITATION {"citationItems":[{"id":"ITEM-1","itemData":{"DOI":"10.1039/C6CS00620E","ISBN":"1460-4744 (Electronic) 0306-0012 (Linking)","ISSN":"0306-0012","PMID":"28180218","abstract":"We review recent works on the synthesis and application of poly(ionic liquid)s (PILs). Novel chemical structures, different synthetic strategies and controllable morphologies are introduced as a supplement to PIL systems already reported. The primary properties determining applications, such as ionic conductivity, aqueous solubility, thermodynamic stability and electrochemical/chemical durability, are discussed. Furthermore, the near-term applications of PILs in multiple fields, such as their use in electrochemical energy materials, stimuli-responsive materials, carbon materials, and antimicrobial materials, in catalysis, in sensors, in absorption and in separation materials, as well as several special-interest applications, are described in detail. We also discuss the limitations of PIL applications, efforts to improve PIL physics, and likely future developments.","author":[{"dropping-particle":"","family":"Qian","given":"Wenjing","non-dropping-particle":"","parse-names":false,"suffix":""},{"dropping-particle":"","family":"Texter","given":"John","non-dropping-particle":"","parse-names":false,"suffix":""},{"dropping-particle":"","family":"Yan","given":"Feng","non-dropping-particle":"","parse-names":false,"suffix":""}],"container-title":"Chem. Soc. Rev.","id":"ITEM-1","issued":{"date-parts":[["2017"]]},"page":"1124-1159","publisher":"Royal Society of Chemistry","title":"Frontiers in poly(ionic liquid)s: syntheses and applications","type":"article-journal","volume":"46"},"uris":["http://www.mendeley.com/documents/?uuid=029ea63d-da84-4f92-ae5e-9cec44303027"]},{"id":"ITEM-2","itemData":{"DOI":"10.1039/C5SC01374G","ISSN":"2041-6520","abstract":"Solidification of fluidic ionic liquids into porous materials yields porous ionic networks that combine the unique characteristics of ionic liquids with the common features of polymers and porous materials. This minireview reports the most recent advances in the design of porous ionic liquids. A summary of the synthesis of ordered and disordered porous ionic liquid-based nanoparticles or membranes with or without templates is provided, together with the new concept of room temperature porous ionic liquids. As a versatile platform for functional materials, porous ionic liquids have shown widespread applications in catalysis, adsorption, sensing, actuation, etc. This new research direction towards ionic liquids chemistry is still in its early stages but has great potential.","author":[{"dropping-particle":"","family":"Zhang","given":"Shiguo","non-dropping-particle":"","parse-names":false,"suffix":""},{"dropping-particle":"","family":"Dokko","given":"Kaoru","non-dropping-particle":"","parse-names":false,"suffix":""},{"dropping-particle":"","family":"Watanabe","given":"Masayoshi","non-dropping-particle":"","parse-names":false,"suffix":""}],"container-title":"Chem. Sci.","id":"ITEM-2","issued":{"date-parts":[["2015"]]},"page":"3684-3691","publisher":"Royal Society of Chemistry","title":"Porous ionic liquids: synthesis and application","type":"article-journal","volume":"6"},"uris":["http://www.mendeley.com/documents/?uuid=82d9eb94-d2a4-4204-a910-27b37a16386a"]},{"id":"ITEM-3","itemData":{"DOI":"10.1039/C5PY00842E","ISBN":"1759-9954 1759-9962","ISSN":"1759-9954","abstract":"The increasing level of carbon dioxide (CO2) in the atmosphere is a big threat to the environment and plays a key role towards global warming and climate change. In this context to combat such issues, polymeric ionic liquids (PILs) serve as potential substitutes that offer an extremely versatile and tunable platform to fabricate a wide variety of sorbents for CO2 capture, in particular, for flue gas separation (CO2/N2) and natural gas purification (CO2/CH4). Formerly, there have been several reports on exploitation of ionic liquids for CO2 sorption with promising results. However, just a few have focused on polymeric ionic liquids which significantly over-performed the sorption efficiency of the molecular ionic liquids. This review is first ever of its kind which showcases the potential of PILs as a new member of the CO2 adsorbent family. The most dynamic aspect of PILs research at present is the curiosity to explore their potential as solid sorbents for CO2 capture and separation. This review not only highlights the recent advances in the area of PILs as sorbents for CO2 uptake but also portrays the forthcoming challenges in improving their efficiency. The effect of various cations, anions, polymer backbones, alkyl substituents, porosity, cross-linking, molecular weight and moisture on the CO2 sorption capacity and separating efficiency is scrutinized in detail. Moreover, future strategies to increase the CO2 capture performance of PILs are also discussed.","author":[{"dropping-particle":"","family":"Zulfiqar","given":"Sonia","non-dropping-particle":"","parse-names":false,"suffix":""},{"dropping-particle":"","family":"Sarwar","given":"Muhammad Ilyas","non-dropping-particle":"","parse-names":false,"suffix":""},{"dropping-particle":"","family":"Mecerreyes","given":"David","non-dropping-particle":"","parse-names":false,"suffix":""}],"container-title":"Polymer Chemistry","id":"ITEM-3","issued":{"date-parts":[["2015"]]},"page":"6435-6451","title":"Polymeric ionic liquids for CO 2 capture and separation: potential, progress and challenges","type":"article-journal","volume":"6"},"uris":["http://www.mendeley.com/documents/?uuid=83d189b6-c82e-4028-87fd-6438eb551711"]},{"id":"ITEM-4","itemData":{"DOI":"10.1039/C5SC02050F","ISSN":"2041-6520","abstract":"Meso-macroporous hierarchical poly(ionic liquid)s (MPILs) with extremely high ionic site densities and tunable pore structures were ionothermally synthesized through the free radical self-polymerization of our newly designed rigid bis-vinylimidazolium salt monomer. The synthesis avoided the use of any templates, gave a high yield (&gt;99%) and allowed recycling of the IL solvent; thus it is facile, atom-efficient, environmentally friendly and sustainable. The synthesized MPILs possessed distinctive features of polycation matrices, abundant halogen anions, and large surface areas. They not only presented enhanced CO 2 capture, but led to breakthroughs in the heterogeneous catalytic conversion of CO 2 into cyclic carbonates: (1) unprecedented high activity at atmospheric pressure and low temperature; (2) good substrate compatibility, even being active towards the extremely inert aliphatic long carbon-chain alkyl epoxides. This result renders the first occasion of a metal–solvent–additive free recyclable heterogeneous cycloaddition of CO 2 at such mild conditions.","author":[{"dropping-particle":"","family":"Wang","given":"Xiaochen","non-dropping-particle":"","parse-names":false,"suffix":""},{"dropping-particle":"","family":"Zhou","given":"Yu","non-dropping-particle":"","parse-names":false,"suffix":""},{"dropping-particle":"","family":"Guo","given":"Zengjing","non-dropping-particle":"","parse-names":false,"suffix":""},{"dropping-particle":"","family":"Chen","given":"Guojian","non-dropping-particle":"","parse-names":false,"suffix":""},{"dropping-particle":"","family":"Li","given":"Jing","non-dropping-particle":"","parse-names":false,"suffix":""},{"dropping-particle":"","family":"Shi","given":"Yuming","non-dropping-particle":"","parse-names":false,"suffix":""},{"dropping-particle":"","family":"Liu","given":"Yangqing","non-dropping-particle":"","parse-names":false,"suffix":""},{"dropping-particle":"","family":"Wang","given":"Jun","non-dropping-particle":"","parse-names":false,"suffix":""}],"container-title":"Chem. Sci.","id":"ITEM-4","issue":"12","issued":{"date-parts":[["2015"]]},"page":"6916-6924","title":"Heterogeneous conversion of CO &lt;sub&gt;2&lt;/sub&gt; into cyclic carbonates at ambient pressure catalyzed by ionothermal-derived meso-macroporous hierarchical poly(ionic liquid)s","type":"article-journal","volume":"6"},"uris":["http://www.mendeley.com/documents/?uuid=5644c662-8231-43a4-b907-10513166eb2f"]},{"id":"ITEM-5","itemData":{"DOI":"10.1039/C6CS00597G","ISBN":"0306-0012\\r1460-4744","ISSN":"0306-0012","abstract":"The past decade has witnessed rapid progress in the synthesis of nanoporous organic networks or polymer frameworks for various potential applications. Generally speaking{,} functionalization of porous networks to add extra properties and enhance materials performance could be achieved either during the pore formation (thus a concurrent approach) or by post-synthetic modification (a sequential approach). Nanoporous organic networks which include ion pairs bound in a covalent manner are of special importance and possess extreme application profiles. Within these nanoporous ionic organic networks (NIONs){,} here with a pore size in the range from sub-1 nm to 100 nm{,} we observe a synergistic coupling of the electrostatic interaction of charges{,} the nanoconfinement within pores and the addressable functional units in soft matter resulting in a wide variety of functions and applications{,} above all catalysis{,} energy storage and conversion{,} as well as environment-related operations. This review aims to highlight the recent progress in this area{,} and seeks to raise original perspectives that will stimulate future advancements at both the fundamental and applied level.","author":[{"dropping-particle":"","family":"Sun","given":"Jian-Ke","non-dropping-particle":"","parse-names":false,"suffix":""},{"dropping-particle":"","family":"Antonietti","given":"Markus","non-dropping-particle":"","parse-names":false,"suffix":""},{"dropping-particle":"","family":"Yuan","given":"Jiayin","non-dropping-particle":"","parse-names":false,"suffix":""}],"container-title":"Chem. Soc. Rev.","id":"ITEM-5","issue":"23","issued":{"date-parts":[["2016"]]},"page":"6627-6656","publisher":"Royal Society of Chemistry","title":"Nanoporous ionic organic networks: from synthesis to materials applications","type":"article-journal","volume":"45"},"uris":["http://www.mendeley.com/documents/?uuid=747f890b-57d6-439e-8f49-af65cee30569"]},{"id":"ITEM-6","itemData":{"DOI":"10.1021/acscatal.7b02399","ISSN":"21555435","abstract":"Vicinal dual hydroxyl functional mesoporous poly(ionic liquid)s with large surface area and high ionic liquid (IL) content were synthesized through the copolymerization of epoxy-containing IL monomers and divinylbenzene, followed by ring opening in water. They acted as recyclable heterogeneous organocatalysts in the cycloaddition of a series of epoxides with CO2 under mild conditions (down to ambient conditions). The catalyst can be lightly recovered and reused with stable activity. The remarkable performance was attributable to the abundant mesoporosity and the synergistic effect of vicinal dual hydroxyls as hydrogen-bonding donors and halogen anions as nucleophiles. Density functional theory calculation, comprising the structural optimization, the energetic profile, and the charge and energy decomposition analysis by the combination of the extended transition state energy decomposition scheme with the natural orbitals for chemical valence approach, was performed to afford insight, indicating that the vi...","author":[{"dropping-particle":"","family":"Guo","given":"Zengjing","non-dropping-particle":"","parse-names":false,"suffix":""},{"dropping-particle":"","family":"Jiang","given":"Qiuwei","non-dropping-particle":"","parse-names":false,"suffix":""},{"dropping-particle":"","family":"Shi","given":"Yuming","non-dropping-particle":"","parse-names":false,"suffix":""},{"dropping-particle":"","family":"Li","given":"Jing","non-dropping-particle":"","parse-names":false,"suffix":""},{"dropping-particle":"","family":"Yang","given":"Xiaoning","non-dropping-particle":"","parse-names":false,"suffix":""},{"dropping-particle":"","family":"Hou","given":"Wei","non-dropping-particle":"","parse-names":false,"suffix":""},{"dropping-particle":"","family":"Zhou","given":"Yu","non-dropping-particle":"","parse-names":false,"suffix":""},{"dropping-particle":"","family":"Wang","given":"Jun","non-dropping-particle":"","parse-names":false,"suffix":""}],"container-title":"ACS Catalysis","id":"ITEM-6","issue":"10","issued":{"date-parts":[["2017"]]},"page":"6770-6780","title":"Tethering dual hydroxyls into mesoporous poly(ionic liquid)s for chemical fixation of CO2at ambient conditions: A combined experimental and theoretical study","type":"article-journal","volume":"7"},"uris":["http://www.mendeley.com/documents/?uuid=5819e665-26ee-49c4-a76e-2ca6f49729e3"]},{"id":"ITEM-7","itemData":{"DOI":"10.1021/cm4009128","ISSN":"0897-4756","abstract":"In this contribution, we present the formation of mesoporous polyampholyte networks via self-complexation (inter-and intrapolyelectrolyte complexation) of copolymers bearing both the imidazolium cations and the carboxylic acid units. The copolymers were prepared via straightforward free radical copolymerization of acrylic acid and vinylimidazolium-based ionic liquid monomers possessing different alkyl substituents in DMSO at 80 C. Nitrogen adsorption measurements and electron microscopy were used to examine the porous structures. The Brunauer-Emmett-Teller (BET) specific surface areas of the resulting mesoporous complexes were measured to be up to 260 m2/g and varied in terms of the complexation solvent quality, the copolymer composition, and the precipitation concentration of copolymers as well as the chemical structure of the employed ionic liquid monomers. The CO2 sorption behavior of a selected mesoporous polyampholyte was studied in detail. It could be shown that two processes are effective: adsorption at the external surface and absorption into the polymer matrix. Fourier transform infrared (FTIR) spectroscopy gave hints that the absorption process comes along with the formation of imidazolium-carboxylates, presumably via a transient N-heterocyclic carbene intermediate. © 2013 American Chemical Society.","author":[{"dropping-particle":"","family":"Soll","given":"Sebastian","non-dropping-particle":"","parse-names":false,"suffix":""},{"dropping-particle":"","family":"Zhao","given":"Qiang","non-dropping-particle":"","parse-names":false,"suffix":""},{"dropping-particle":"","family":"Weber","given":"Jens","non-dropping-particle":"","parse-names":false,"suffix":""},{"dropping-particle":"","family":"Yuan","given":"Jiayin","non-dropping-particle":"","parse-names":false,"suffix":""}],"container-title":"Chemistry of Materials","id":"ITEM-7","issue":"15","issued":{"date-parts":[["2013","8","13"]]},"note":"From Duplicate 1 (Activated CO2 Sorption in Mesoporous Imidazolium-Type Poly(ionic liquid)-Based Polyampholytes - Soll, Sebastian; Zhao, Qiang; Weber, Jens; Yuan, Jiayin)\n\nFrom Duplicate 1 (Activated CO2 Sorption in Mesoporous Imidazolium-Type Poly(ionic liquid)-Based Polyampholytes - Soll, Sebastian; Zhao, Qiang; Weber, Jens; Yuan, Jiayin)\n\ndoi: 10.1021/cm4009128\n\nFrom Duplicate 2 (Activated CO2 Sorption in Mesoporous Imidazolium-Type Poly(ionic liquid)-Based Polyampholytes - Soll, Sebastian; Zhao, Qiang; Weber, Jens; Yuan, Jiayin)\n\nFrom Duplicate 2 (Activated CO2 Sorption in Mesoporous Imidazolium-Type Poly(ionic liquid)-Based Polyampholytes - Soll, Sebastian; Zhao, Qiang; Weber, Jens; Yuan, Jiayin)\n\ndoi: 10.1021/cm4009128","page":"3003-3010","publisher":"American Chemical Society","title":"Activated CO2 Sorption in Mesoporous Imidazolium-Type Poly(ionic liquid)-Based Polyampholytes","type":"article-journal","volume":"25"},"uris":["http://www.mendeley.com/documents/?uuid=bce173fb-0712-4e14-9d4d-5e43d3b7795b"]},{"id":"ITEM-8","itemData":{"DOI":"10.1021/mz3003352","author":[{"dropping-particle":"","family":"Wilke","given":"Antje","non-dropping-particle":"","parse-names":false,"suffix":""},{"dropping-particle":"","family":"Yuan","given":"Jiayin","non-dropping-particle":"","parse-names":false,"suffix":""},{"dropping-particle":"","family":"Antonietti","given":"Markus","non-dropping-particle":"","parse-names":false,"suffix":""},{"dropping-particle":"","family":"Weber","given":"Jens","non-dropping-particle":"","parse-names":false,"suffix":""}],"container-title":"ACS Macro Letters","id":"ITEM-8","issue":"8","issued":{"date-parts":[["2012","8","21"]]},"note":"From Duplicate 1 (Enhanced Carbon Dioxide Adsorption by a Mesoporous Poly(ionic liquid) - Wilke, Antje; Yuan, Jiayin; Antonietti, Markus; Weber, Jens)\n\nFrom Duplicate 2 (Enhanced Carbon Dioxide Adsorption by a Mesoporous Poly(ionic liquid) - Wilke, Antje; Yuan, Jiayin; Antonietti, Markus; Weber, Jens)\n\ndoi: 10.1021/mz3003352","page":"1028-1031","publisher":"American Chemical Society","title":"Enhanced Carbon Dioxide Adsorption by a Mesoporous Poly(ionic liquid)","type":"article-journal","volume":"1"},"uris":["http://www.mendeley.com/documents/?uuid=441db733-3888-4aaa-a088-88fc4fc62195"]},{"id":"ITEM-9","itemData":{"DOI":"10.1039/c4ra03163f","ISBN":"2046-2069","ISSN":"2046-2069","abstract":"By chain radical copolymns. of imidazolium-type ionic liqs. and divinylbenzene, mesoporous poly(ionic liq.)s with tunable pore structures were synthesized. The pore size and copolymer compn. involving the ionic liq. and divinylbenzene can be controlled through varying the solvents. A series of 3-alkyl-1-vinylimidazolium bromide ionic liqs. with different carbon chain lengths of 4, 6, 8, 12 and 16 in the alkyl groups were used in the synthesis, which is significant for the formation of pore structures. The obtained poly(ionic liq.)s were characterized by BET, CHN elemental anal., FT-IR and UV-vis spectra. The results indicated that poly(ionic liq.)s with varied mesopores and compns. can be facilely achieved in this system. CO2 sorption capability and sorption-desorption cycling were tested, showing superior adsorption capability for CO2 and durable sorption properties. [on SciFinder(R)]","author":[{"dropping-particle":"","family":"Feng","given":"Xuping","non-dropping-particle":"","parse-names":false,"suffix":""},{"dropping-particle":"","family":"Gao","given":"Chenjue","non-dropping-particle":"","parse-names":false,"suffix":""},{"dropping-particle":"","family":"Guo","given":"Zengjing","non-dropping-particle":"","parse-names":false,"suffix":""},{"dropping-particle":"","family":"Zhou","given":"Yu","non-dropping-particle":"","parse-names":false,"suffix":""},{"dropping-particle":"","family":"Wang","given":"Jun","non-dropping-particle":"","parse-names":false,"suffix":""}],"container-title":"RSC Adv.","id":"ITEM-9","issued":{"date-parts":[["2014"]]},"page":"23389-23395","title":"Pore structure controllable synthesis of mesoporous poly(ionic liquid)s by copolymerization of alkylvinylimidazolium salts and divinylbenzene","type":"article-journal","volume":"4"},"uris":["http://www.mendeley.com/documents/?uuid=4296543c-e9af-4a8d-a518-7360e07757a0"]},{"id":"ITEM-10","itemData":{"DOI":"10.1039/C6TA08574A","ISSN":"2050-7488","abstract":"Imidazolium-based porous cationic polymers were synthesized using an innovative and facile approach, which takes advantage of the Debus–Radziszewski reaction to obtain meso-/microporous polymers following click-chemistry principles. In the obtained set of materials, click-based porous cationic polymers have the same cationic backbone, whereas they bear the commonly used anions of imidazolium poly(ionic liquid)s. These materials show hierarchical porosity and a good specific surface area. Furthermore, their chemical structure was extensively characterized using ATR-FTIR and SS-NMR spectroscopies, and HR-MS. These polymers show good performance towards carbon dioxide sorption, especially those possessing the acetate anion. This polymer has an uptake of 2 mmol g−1 of CO2 at 1 bar and 273 K, a value which is among the highest recorded for imidazolium poly(ionic liquid)s. These polymers were also modified in order to introduce N-heterocyclic carbenes along the backbone. Carbon dioxide loading in the carbene-containing polymer is in the same range as that of the non-modified versions, but the nature of the interaction is substantially different. The combined use of in situ FTIR spectroscopy and micro-calorimetry evidenced a chemisorption phenomenon that brings about the formation of an imidazolium carboxylate zwitterion.","author":[{"dropping-particle":"","family":"Dani","given":"Alessandro","non-dropping-particle":"","parse-names":false,"suffix":""},{"dropping-particle":"","family":"Crocellà","given":"Valentina","non-dropping-particle":"","parse-names":false,"suffix":""},{"dropping-particle":"","family":"Magistris","given":"Claudio","non-dropping-particle":"","parse-names":false,"suffix":""},{"dropping-particle":"","family":"Santoro","given":"Valentina","non-dropping-particle":"","parse-names":false,"suffix":""},{"dropping-particle":"","family":"Yuan","given":"Jiayin","non-dropping-particle":"","parse-names":false,"suffix":""},{"dropping-particle":"","family":"Bordiga","given":"Silvia","non-dropping-particle":"","parse-names":false,"suffix":""}],"container-title":"Journal of Materials Chemistry A","id":"ITEM-10","issue":"1","issued":{"date-parts":[["2017"]]},"page":"372-383","publisher":"The Royal Society of Chemistry","title":"Click-based porous cationic polymers for enhanced carbon dioxide capture","type":"article-journal","volume":"5"},"uris":["http://www.mendeley.com/documents/?uuid=50d49a1f-adf3-4b1f-a776-8545dd4537b6"]}],"mendeley":{"formattedCitation":"[31–40]","plainTextFormattedCitation":"[31–40]","previouslyFormattedCitation":"[31–40]"},"properties":{"noteIndex":0},"schema":"https://github.com/citation-style-language/schema/raw/master/csl-citation.json"}</w:instrText>
      </w:r>
      <w:r w:rsidRPr="00EE5230">
        <w:rPr>
          <w:rFonts w:cs="Arial"/>
        </w:rPr>
        <w:fldChar w:fldCharType="separate"/>
      </w:r>
      <w:r w:rsidRPr="00EE5230">
        <w:rPr>
          <w:rFonts w:cs="Arial"/>
          <w:noProof/>
        </w:rPr>
        <w:t>[31–40]</w:t>
      </w:r>
      <w:r w:rsidRPr="00EE5230">
        <w:rPr>
          <w:rFonts w:cs="Arial"/>
        </w:rPr>
        <w:fldChar w:fldCharType="end"/>
      </w:r>
      <w:r w:rsidRPr="00EE5230">
        <w:rPr>
          <w:rFonts w:cs="Arial"/>
        </w:rPr>
        <w:t xml:space="preserve"> Some PILs have been structured into highly interconnected porous PHs, but to our knowledge, the latter have never been considered for CO</w:t>
      </w:r>
      <w:r w:rsidRPr="00EE5230">
        <w:rPr>
          <w:rFonts w:cs="Arial"/>
          <w:vertAlign w:val="subscript"/>
        </w:rPr>
        <w:t>2</w:t>
      </w:r>
      <w:r w:rsidRPr="00EE5230">
        <w:rPr>
          <w:rFonts w:cs="Arial"/>
        </w:rPr>
        <w:t xml:space="preserve"> capture. PHs based on PILs were synthesized through radical polymerization of various HIPE systems such as carbon dioxide-in-water (CO</w:t>
      </w:r>
      <w:r w:rsidRPr="00EE5230">
        <w:rPr>
          <w:rFonts w:cs="Arial"/>
          <w:vertAlign w:val="subscript"/>
        </w:rPr>
        <w:t>2</w:t>
      </w:r>
      <w:r w:rsidRPr="00EE5230">
        <w:rPr>
          <w:rFonts w:cs="Arial"/>
        </w:rPr>
        <w:t>/W),</w:t>
      </w:r>
      <w:r w:rsidRPr="00EE5230">
        <w:rPr>
          <w:rFonts w:cs="Arial"/>
        </w:rPr>
        <w:fldChar w:fldCharType="begin" w:fldLock="1"/>
      </w:r>
      <w:r w:rsidRPr="00EE5230">
        <w:rPr>
          <w:rFonts w:cs="Arial"/>
        </w:rPr>
        <w:instrText>ADDIN CSL_CITATION {"citationItems":[{"id":"ITEM-1","itemData":{"DOI":"10.1039/c3ta11073g","ISSN":"20507488","abstract":"Highly interconnected poly(acrylamide) (PAM) and poly(vinylimidazolium) (PVIm) porous monoliths were templated by carbon dioxide-in-water (CO 2/W) high internal phase emulsions (HIPEs), a toxic-solvent free process. A range of sugar-based fluorinated surfactants prepared by chemoenzymatic synthesis were used as emulsifiers. Both the concentration and the structure of the surfactants, especially the length of their CO 2-philic part and of their spacer between the sugar head and the tail, were found to strongly affect the cellular structure and morphology of the PAM polyHIPEs, i.e. the size of pores and cells. A mannose derivative bearing a chain ranging from 6 to 10 perfluorinated carbons and a long spacer emerged as the best stabilizer, leading to a porous monolith with average pores and cell sizes (about 2.6 μm and 5-10 μm, respectively) among the lowest reported for polyHIPEs produced from CO2/W emulsions. The same template then served for the preparation of the first macroporous poly(ionic liquid) (PIL) polyHIPE by using 1-vinyl-3-ethylimidazolium bromide as the monomer. Shrinkage of the final material was prevented by adjusting the divinylimidazolium crosslinker content. The resulting low density polyHIPE exhibits small spherical cells (</w:instrText>
      </w:r>
      <w:r w:rsidRPr="00EE5230">
        <w:rPr>
          <w:rFonts w:ascii="Cambria Math" w:hAnsi="Cambria Math" w:cs="Cambria Math"/>
        </w:rPr>
        <w:instrText>∼</w:instrText>
      </w:r>
      <w:r w:rsidRPr="00EE5230">
        <w:rPr>
          <w:rFonts w:cs="Arial"/>
        </w:rPr>
        <w:instrText>5 μm) connected by numerous small pores (</w:instrText>
      </w:r>
      <w:r w:rsidRPr="00EE5230">
        <w:rPr>
          <w:rFonts w:ascii="Cambria Math" w:hAnsi="Cambria Math" w:cs="Cambria Math"/>
        </w:rPr>
        <w:instrText>∼</w:instrText>
      </w:r>
      <w:r w:rsidRPr="00EE5230">
        <w:rPr>
          <w:rFonts w:cs="Arial"/>
        </w:rPr>
        <w:instrText>2 μm), confirming that the CO2/W HIPE templating methodology based on fluorinated glycosurfactants is a technique of choice for the preparation of macroporous PILs. © 2013 The Royal Society of Chemistry.","author":[{"dropping-particle":"","family":"Boyère","given":"Cédric","non-dropping-particle":"","parse-names":false,"suffix":""},{"dropping-particle":"","family":"Favrelle","given":"Audrey","non-dropping-particle":"","parse-names":false,"suffix":""},{"dropping-particle":"","family":"Léonard","given":"Alexandre F.","non-dropping-particle":"","parse-names":false,"suffix":""},{"dropping-particle":"","family":"Boury","given":"Frank","non-dropping-particle":"","parse-names":false,"suffix":""},{"dropping-particle":"","family":"Jérôme","given":"Christine","non-dropping-particle":"","parse-names":false,"suffix":""},{"dropping-particle":"","family":"Debuigne","given":"Antoine","non-dropping-particle":"","parse-names":false,"suffix":""}],"container-title":"Journal of Materials Chemistry A","id":"ITEM-1","issue":"29","issued":{"date-parts":[["2013"]]},"page":"8479-8487","title":"Macroporous poly(ionic liquid) and poly(acrylamide) monoliths from CO 2-in-water emulsion templates stabilized by sugar-based surfactants","type":"article-journal","volume":"1"},"uris":["http://www.mendeley.com/documents/?uuid=87ee4d6d-a99e-4c2b-9bfb-2c27171140c1"]}],"mendeley":{"formattedCitation":"[41]","plainTextFormattedCitation":"[41]","previouslyFormattedCitation":"[41]"},"properties":{"noteIndex":0},"schema":"https://github.com/citation-style-language/schema/raw/master/csl-citation.json"}</w:instrText>
      </w:r>
      <w:r w:rsidRPr="00EE5230">
        <w:rPr>
          <w:rFonts w:cs="Arial"/>
        </w:rPr>
        <w:fldChar w:fldCharType="separate"/>
      </w:r>
      <w:r w:rsidRPr="00EE5230">
        <w:rPr>
          <w:rFonts w:cs="Arial"/>
          <w:noProof/>
        </w:rPr>
        <w:t>[41]</w:t>
      </w:r>
      <w:r w:rsidRPr="00EE5230">
        <w:rPr>
          <w:rFonts w:cs="Arial"/>
        </w:rPr>
        <w:fldChar w:fldCharType="end"/>
      </w:r>
      <w:r w:rsidRPr="00EE5230">
        <w:rPr>
          <w:rFonts w:cs="Arial"/>
        </w:rPr>
        <w:t xml:space="preserve"> carbon dioxide-in-ionic liquid (CO</w:t>
      </w:r>
      <w:r w:rsidRPr="00EE5230">
        <w:rPr>
          <w:rFonts w:cs="Arial"/>
          <w:vertAlign w:val="subscript"/>
        </w:rPr>
        <w:t>2</w:t>
      </w:r>
      <w:r w:rsidRPr="00EE5230">
        <w:rPr>
          <w:rFonts w:cs="Arial"/>
        </w:rPr>
        <w:t>/IL),</w:t>
      </w:r>
      <w:r w:rsidRPr="00EE5230">
        <w:rPr>
          <w:rFonts w:cs="Arial"/>
        </w:rPr>
        <w:fldChar w:fldCharType="begin" w:fldLock="1"/>
      </w:r>
      <w:r w:rsidRPr="00EE5230">
        <w:rPr>
          <w:rFonts w:cs="Arial"/>
        </w:rPr>
        <w:instrText>ADDIN CSL_CITATION {"citationItems":[{"id":"ITEM-1","itemData":{"DOI":"10.1039/C7PY01952A","ISSN":"1759-9954","abstract":"Structuring poly(ionic liquid)s (PILs) into porous materials or swelling PILs with free ionic liquids (ILs) has received specific attention recently and contributed to the improvement of the performances of these materials used in a wide range of applications. The present work aims to take advantage of both approaches and produce macroporous PIL/IL gels in a single step through an innovative emulsion-templated polymerization method based on supercritical carbon dioxide (scCO2). More precisely, IL vinyl monomers and crosslinkers were polymerized in the presence of non-polymerizable ILs within the outer phase of a CO2-in-IL high internal phase emulsion (HIPE). Specific macromolecular surfactants were synthesized using controlled radical polymerization techniques and tested for the stabilization of the CO2-in-IL emulsions. While optimizing the polymerization conditions, we found that adding a limited amount of water in the medium was beneficial for the emulsion stability. Overall, this straightforward process provided access to macroporous polyHIPEs composed of poly(vinyl imidazolium) networks swollen by ‘free’ vinyl imidazolium-based ILs having interesting properties such as switchable polarity upon a simple anion exchange reaction.","author":[{"dropping-particle":"","family":"Mathieu","given":"Kevin","non-dropping-particle":"","parse-names":false,"suffix":""},{"dropping-particle":"","family":"Jérôme","given":"Christine","non-dropping-particle":"","parse-names":false,"suffix":""},{"dropping-particle":"","family":"Debuigne","given":"Antoine","non-dropping-particle":"","parse-names":false,"suffix":""}],"container-title":"Polymer Chemistry","id":"ITEM-1","issue":"4","issued":{"date-parts":[["2018"]]},"page":"428-437","publisher":"The Royal Society of Chemistry","title":"Macroporous poly(ionic liquid)/ionic liquid gels via CO2-based emulsion-templating polymerization","type":"article-journal","volume":"9"},"uris":["http://www.mendeley.com/documents/?uuid=06fca891-83de-4ac7-9a38-e3037dfd9fd8"]}],"mendeley":{"formattedCitation":"[42]","plainTextFormattedCitation":"[42]","previouslyFormattedCitation":"[42]"},"properties":{"noteIndex":0},"schema":"https://github.com/citation-style-language/schema/raw/master/csl-citation.json"}</w:instrText>
      </w:r>
      <w:r w:rsidRPr="00EE5230">
        <w:rPr>
          <w:rFonts w:cs="Arial"/>
        </w:rPr>
        <w:fldChar w:fldCharType="separate"/>
      </w:r>
      <w:r w:rsidRPr="00EE5230">
        <w:rPr>
          <w:rFonts w:cs="Arial"/>
          <w:noProof/>
        </w:rPr>
        <w:t>[42]</w:t>
      </w:r>
      <w:r w:rsidRPr="00EE5230">
        <w:rPr>
          <w:rFonts w:cs="Arial"/>
        </w:rPr>
        <w:fldChar w:fldCharType="end"/>
      </w:r>
      <w:r w:rsidRPr="00EE5230">
        <w:rPr>
          <w:rFonts w:cs="Arial"/>
        </w:rPr>
        <w:t xml:space="preserve"> or water-in-oil (W/O) HIPEs.</w:t>
      </w:r>
      <w:r w:rsidRPr="00EE5230">
        <w:rPr>
          <w:rFonts w:cs="Arial"/>
        </w:rPr>
        <w:fldChar w:fldCharType="begin" w:fldLock="1"/>
      </w:r>
      <w:r w:rsidRPr="00EE5230">
        <w:rPr>
          <w:rFonts w:cs="Arial"/>
        </w:rPr>
        <w:instrText>ADDIN CSL_CITATION {"citationItems":[{"id":"ITEM-1","itemData":{"DOI":"10.1016/j.colsurfa.2020.125334","ISSN":"18734359","abstract":"Porous poly (ionic liquid)s (PILs) materials, an emerging class of ionic porous materials, exhibit high charge density, high porosity and processability due to the combination of features of ionic liquid with properties of polymer and porous material. Over the past few decades, the preparation of porous PILs by facile and economic approach has attracted great attention. In this work, the cationic and super-hydrophobic polyHIPEs were prepared via W/O high internal phase emulsion in the absence of non-reactive organic solvent, wherein the oil phase only contained the ionic monomer and cross-linker. Consequently, there was no release of organic solvents during the preparation of the materials, which is indicative of the facile and economic approach for synthesis of porous PIL materials. The as-prepared HIPEs possess excellent stability and highly adjustable formulation, which is of great importance to tailor-made preparation of the resulting porous materials via the emulsion-templated method. The openness of the polyHIPEs can be tuned from the closed cell to the totally open cell by varying the ratio of KPS/AIBN (potassium persulfate/2, 2-azobisisobutyronitrile) and divinylbenzene (DVB)/ionic liquid monomer. Meanwhile, the as-prepared monolithic polyHIPEs exhibit a super-hydrophobic property (with a water contact angle greater than 150°). Moreover, the as-prepared monolithic polyHIPEs can be successfully utilized as a precursor of carbon materials, producing N-doped porous carbon monolithic materials. Furthermore, the cationic and hydrophobic polyHIPEs can be used as adsorbents to efficiently adsorb and separate xylenol orange in methanol, showing that the removal efficiency of xylenol orange is higher than 90 %. This study provides a new strategy for facile and economic preparation of porous cationic monolithic materials, which has the potential as an excellent precursor of carbon materials and efficient adsorbent of dyes in non-aqueous solution.","author":[{"dropping-particle":"","family":"Wang","given":"Ruoyu","non-dropping-particle":"","parse-names":false,"suffix":""},{"dropping-particle":"","family":"Li","given":"Wei","non-dropping-particle":"","parse-names":false,"suffix":""},{"dropping-particle":"","family":"Lu","given":"Rui","non-dropping-particle":"","parse-names":false,"suffix":""},{"dropping-particle":"","family":"Peng","given":"Junxia","non-dropping-particle":"","parse-names":false,"suffix":""},{"dropping-particle":"","family":"Liu","given":"Xiaoyan","non-dropping-particle":"","parse-names":false,"suffix":""},{"dropping-particle":"","family":"Liu","given":"Kaiqiang","non-dropping-particle":"","parse-names":false,"suffix":""},{"dropping-particle":"","family":"Peng","given":"Haonan","non-dropping-particle":"","parse-names":false,"suffix":""}],"container-title":"Colloids and Surfaces A: Physicochemical and Engineering Aspects","id":"ITEM-1","issue":"July","issued":{"date-parts":[["2020"]]},"page":"125334","publisher":"Elsevier","title":"A facile synthesis of cationic and super-hydrophobic polyHIPEs as precursors to carbon foam and adsorbents for removal of non-aqueous-phase dye","type":"article-journal","volume":"605"},"uris":["http://www.mendeley.com/documents/?uuid=82afb407-523f-4719-845e-0cbe70f1b93a"]}],"mendeley":{"formattedCitation":"[8]","plainTextFormattedCitation":"[8]","previouslyFormattedCitation":"[8]"},"properties":{"noteIndex":0},"schema":"https://github.com/citation-style-language/schema/raw/master/csl-citation.json"}</w:instrText>
      </w:r>
      <w:r w:rsidRPr="00EE5230">
        <w:rPr>
          <w:rFonts w:cs="Arial"/>
        </w:rPr>
        <w:fldChar w:fldCharType="separate"/>
      </w:r>
      <w:r w:rsidRPr="00EE5230">
        <w:rPr>
          <w:rFonts w:cs="Arial"/>
          <w:noProof/>
        </w:rPr>
        <w:t>[8]</w:t>
      </w:r>
      <w:r w:rsidRPr="00EE5230">
        <w:rPr>
          <w:rFonts w:cs="Arial"/>
        </w:rPr>
        <w:fldChar w:fldCharType="end"/>
      </w:r>
      <w:r w:rsidRPr="00EE5230">
        <w:rPr>
          <w:rFonts w:cs="Arial"/>
        </w:rPr>
        <w:t xml:space="preserve"> Very recently, another chemistry has been used to cure HIPE, such as the Radziszewski multicomponent reaction (MCR), in which imidazolium-based PH monoliths were prepared in a one-pot manner.</w:t>
      </w:r>
      <w:r w:rsidRPr="00EE5230">
        <w:rPr>
          <w:rFonts w:cs="Arial"/>
        </w:rPr>
        <w:fldChar w:fldCharType="begin" w:fldLock="1"/>
      </w:r>
      <w:r w:rsidRPr="00EE5230">
        <w:rPr>
          <w:rFonts w:cs="Arial"/>
        </w:rPr>
        <w:instrText>ADDIN CSL_CITATION {"citationItems":[{"id":"ITEM-1","itemData":{"DOI":"10.1021/acsmacrolett.9b00942","ISSN":"21611653","abstract":"Interconnected macroporous imidazolium-based monoliths are produced via the modified Radziszewski multicomponent reaction (MCR) applied to triamines under high internal phase emulsion (HIPE) conditions. This straightforward one-pot synthesis combines the efficiency and versatility of MCRs with the ease of implementation of the emulsion templating polymerization process. The characterization of the chemical structure and morphology of the resulting materials confirms the formation of the expected macroporous poly(ionic liquid)s (PILs) networks. The promising catalytic activity and recyclability of these porous PIL monoliths are illustrated for the transesterification reaction and the decarboxylation of caffeic acid. In these cases, almost complete conversion is reached while benefiting from the advantages associated with a heterogeneous catalyst.","author":[{"dropping-particle":"","family":"Stiernet","given":"Pierre","non-dropping-particle":"","parse-names":false,"suffix":""},{"dropping-particle":"","family":"Aqil","given":"Abdelhafid","non-dropping-particle":"","parse-names":false,"suffix":""},{"dropping-particle":"","family":"Zhu","given":"Xiaomin","non-dropping-particle":"","parse-names":false,"suffix":""},{"dropping-particle":"","family":"Debuigne","given":"Antoine","non-dropping-particle":"","parse-names":false,"suffix":""}],"container-title":"ACS Macro Letters","id":"ITEM-1","issue":"1","issued":{"date-parts":[["2020"]]},"page":"134-139","title":"Multicomponent Radziszewski Emulsion Polymerization toward Macroporous Poly(ionic liquid) Catalysts","type":"article-journal","volume":"9"},"uris":["http://www.mendeley.com/documents/?uuid=24697751-ed6f-4fcb-9b8d-e68a82426b53"]}],"mendeley":{"formattedCitation":"[43]","plainTextFormattedCitation":"[43]","previouslyFormattedCitation":"[43]"},"properties":{"noteIndex":0},"schema":"https://github.com/citation-style-language/schema/raw/master/csl-citation.json"}</w:instrText>
      </w:r>
      <w:r w:rsidRPr="00EE5230">
        <w:rPr>
          <w:rFonts w:cs="Arial"/>
        </w:rPr>
        <w:fldChar w:fldCharType="separate"/>
      </w:r>
      <w:r w:rsidRPr="00EE5230">
        <w:rPr>
          <w:rFonts w:cs="Arial"/>
          <w:noProof/>
        </w:rPr>
        <w:t>[43]</w:t>
      </w:r>
      <w:r w:rsidRPr="00EE5230">
        <w:rPr>
          <w:rFonts w:cs="Arial"/>
        </w:rPr>
        <w:fldChar w:fldCharType="end"/>
      </w:r>
      <w:r w:rsidRPr="00EE5230">
        <w:rPr>
          <w:rFonts w:cs="Arial"/>
        </w:rPr>
        <w:t xml:space="preserve"> The excellent atom- and step-economy of MCRs provide an efficient and environmentally friendly </w:t>
      </w:r>
      <w:r w:rsidRPr="00EE5230">
        <w:rPr>
          <w:rFonts w:cs="Arial"/>
        </w:rPr>
        <w:lastRenderedPageBreak/>
        <w:t>synthetic approach for macromolecular design with good substrate diversity that has therefore attracted growing interest in the field of polymer synthesis.</w:t>
      </w:r>
      <w:r w:rsidRPr="00EE5230">
        <w:rPr>
          <w:rFonts w:cs="Arial"/>
        </w:rPr>
        <w:fldChar w:fldCharType="begin" w:fldLock="1"/>
      </w:r>
      <w:r w:rsidRPr="00EE5230">
        <w:rPr>
          <w:rFonts w:cs="Arial"/>
        </w:rPr>
        <w:instrText>ADDIN CSL_CITATION {"citationItems":[{"id":"ITEM-1","itemData":{"DOI":"10.1039/c8py00173a","ISSN":"17599962","abstract":"The well-known Debus–Radziszewski reaction is over one century old. However, this reaction has only been considered very recently as a new tool to design original imidazole and imidazolium-containing polymers by direct formation of the imidazole ring during the polymerization process. This article reports recent advances concerning the use of this newly emerging reaction in macromolecular chemistry.The well-known Debus–Radziszewski reaction is over one century old. However, this reaction has only been considered very recently as a new tool to design original imidazole and imidazolium-containing polymers by direct formation of the imidazole ring during the polymerization process. This article reports recent advances concerning the use of this newly emerging reaction in macromolecular chemistry.","author":[{"dropping-particle":"","family":"Saxer","given":"S.","non-dropping-particle":"","parse-names":false,"suffix":""},{"dropping-particle":"","family":"Marestin","given":"C.","non-dropping-particle":"","parse-names":false,"suffix":""},{"dropping-particle":"","family":"Mercier","given":"R.","non-dropping-particle":"","parse-names":false,"suffix":""},{"dropping-particle":"","family":"Dupuy","given":"J.","non-dropping-particle":"","parse-names":false,"suffix":""}],"container-title":"Polymer Chemistry","id":"ITEM-1","issue":"15","issued":{"date-parts":[["2018"]]},"page":"1927-1933","publisher":"Royal Society of Chemistry","title":"The multicomponent Debus-Radziszewski reaction in macromolecular chemistry","type":"article-journal","volume":"9"},"uris":["http://www.mendeley.com/documents/?uuid=22940907-08db-4507-aa20-78799ba5f4ca"]},{"id":"ITEM-2","itemData":{"DOI":"10.1007/s41061-017-0153-4","ISSN":"03401022","PMID":"28608298","abstract":"Developments and progress in polymer science are often inspired by organic chemistry. In recent years, multicomponent reactions---especially the Passerini and Ugi reactions---have become very important tools for macromolecular design, mainly due to their modular character. In this review, the versatility of the Passerini and Ugi reactions in polymer science is highlighted by discussing recent examples of their use for monomer synthesis, as polymerization techniques, and for postpolymerization modification, as well as their suitability for architecture control, sequence control, and sequence definition.","author":[{"dropping-particle":"","family":"Llevot","given":"Audrey","non-dropping-particle":"","parse-names":false,"suffix":""},{"dropping-particle":"","family":"Boukis","given":"Andreas C.","non-dropping-particle":"","parse-names":false,"suffix":""},{"dropping-particle":"","family":"Oelmann","given":"Stefan","non-dropping-particle":"","parse-names":false,"suffix":""},{"dropping-particle":"","family":"Wetzel","given":"Katharina","non-dropping-particle":"","parse-names":false,"suffix":""},{"dropping-particle":"","family":"Meier","given":"Michael A.R.","non-dropping-particle":"","parse-names":false,"suffix":""}],"container-title":"Topics in Current Chemistry","id":"ITEM-2","issue":"66","issued":{"date-parts":[["2017"]]},"page":"1-29","publisher":"Springer International Publishing","title":"An Update on Isocyanide-Based Multicomponent Reactions in Polymer Science","type":"article-journal","volume":"375"},"uris":["http://www.mendeley.com/documents/?uuid=dda3cb31-e956-42fe-b89b-3d3a0ada3f4d"]},{"id":"ITEM-3","itemData":{"DOI":"10.1039/C5PY01398D","ISSN":"1759-9954","abstract":"The Ugi reaction, one of the most famous multicomponent reactions, has recently been introduced into polymer chemistry as a novel, efficient and useful tool to prepare multifunctional polymers. In this review, the recent progress on the utilization of the Ugi reaction in polymer chemistry, including monomer synthesis, polycondensation, post-polymerization modification (PPM) etc. has been summarized. Meanwhile, the applications of the multifunctional polymers synthesized via the Ugi reaction and the future development of the Ugi reaction in polymer chemistry have also been discussed.","author":[{"dropping-particle":"","family":"Yang","given":"Bin","non-dropping-particle":"","parse-names":false,"suffix":""},{"dropping-particle":"","family":"Zhao","given":"Yuan","non-dropping-particle":"","parse-names":false,"suffix":""},{"dropping-particle":"","family":"Wei","given":"Yen","non-dropping-particle":"","parse-names":false,"suffix":""},{"dropping-particle":"","family":"Fu","given":"Changkui","non-dropping-particle":"","parse-names":false,"suffix":""},{"dropping-particle":"","family":"Tao","given":"Lei","non-dropping-particle":"","parse-names":false,"suffix":""}],"container-title":"Polymer Chemistry","id":"ITEM-3","issue":"48","issued":{"date-parts":[["2015"]]},"page":"8233-8239","publisher":"The Royal Society of Chemistry","title":"The Ugi reaction in polymer chemistry: syntheses, applications and perspectives","type":"article-journal","volume":"6"},"uris":["http://www.mendeley.com/documents/?uuid=98fbedaf-47fe-4716-95d3-67d4a9c5a718"]},{"id":"ITEM-4","itemData":{"DOI":"10.1002/anie.201305538","ISBN":"9783319207193","ISSN":"14337851","abstract":"A review.  Recent achievements obtained with multicomponent reactions in the area of poymer chem. are reviewed. [on SciFinder(R)]","author":[{"dropping-particle":"","family":"Kakuchi","given":"Ryohei","non-dropping-particle":"","parse-names":false,"suffix":""}],"container-title":"Angewandte Chemie - International Edition","id":"ITEM-4","issue":"1","issued":{"date-parts":[["2014"]]},"page":"46-48","title":"Multicomponent reactions in polymer synthesis","type":"article-journal","volume":"53"},"uris":["http://www.mendeley.com/documents/?uuid=1ee0e924-0fe3-4983-a5e2-56b171fa324a"]}],"mendeley":{"formattedCitation":"[44–47]","plainTextFormattedCitation":"[44–47]","previouslyFormattedCitation":"[44–47]"},"properties":{"noteIndex":0},"schema":"https://github.com/citation-style-language/schema/raw/master/csl-citation.json"}</w:instrText>
      </w:r>
      <w:r w:rsidRPr="00EE5230">
        <w:rPr>
          <w:rFonts w:cs="Arial"/>
        </w:rPr>
        <w:fldChar w:fldCharType="separate"/>
      </w:r>
      <w:r w:rsidRPr="00EE5230">
        <w:rPr>
          <w:rFonts w:cs="Arial"/>
          <w:noProof/>
        </w:rPr>
        <w:t>[44–47]</w:t>
      </w:r>
      <w:r w:rsidRPr="00EE5230">
        <w:rPr>
          <w:rFonts w:cs="Arial"/>
        </w:rPr>
        <w:fldChar w:fldCharType="end"/>
      </w:r>
      <w:r w:rsidRPr="00EE5230">
        <w:rPr>
          <w:rFonts w:cs="Arial"/>
        </w:rPr>
        <w:t xml:space="preserve"> </w:t>
      </w:r>
    </w:p>
    <w:p w14:paraId="79BCE9FE" w14:textId="77777777" w:rsidR="00EE5230" w:rsidRPr="00EE5230" w:rsidRDefault="00EE5230" w:rsidP="00EE5230">
      <w:pPr>
        <w:rPr>
          <w:rFonts w:cs="Arial"/>
        </w:rPr>
      </w:pPr>
      <w:r w:rsidRPr="00EE5230">
        <w:rPr>
          <w:rFonts w:cs="Arial"/>
        </w:rPr>
        <w:t>Despite the obvious advantages of amine- or PIL-based materials for CO</w:t>
      </w:r>
      <w:r w:rsidRPr="00EE5230">
        <w:rPr>
          <w:rFonts w:cs="Arial"/>
          <w:vertAlign w:val="subscript"/>
        </w:rPr>
        <w:t>2</w:t>
      </w:r>
      <w:r w:rsidRPr="00EE5230">
        <w:rPr>
          <w:rFonts w:cs="Arial"/>
        </w:rPr>
        <w:t xml:space="preserve"> capture applications, the combination of both functional domains in a single PH monolith and their possible synergistic effect have not yet been considered. Moreover, the use of imidazolium-based PH monoliths as supports for CO</w:t>
      </w:r>
      <w:r w:rsidRPr="00EE5230">
        <w:rPr>
          <w:rFonts w:cs="Arial"/>
          <w:vertAlign w:val="subscript"/>
        </w:rPr>
        <w:t>2</w:t>
      </w:r>
      <w:r w:rsidRPr="00EE5230">
        <w:rPr>
          <w:rFonts w:cs="Arial"/>
        </w:rPr>
        <w:t xml:space="preserve"> capture is still underdeveloped and should be explored. The present work reports an innovative and straightforward one-pot process for the preparation of amino/imidazolium-based bifunctional PH foams relevant to capture CO</w:t>
      </w:r>
      <w:r w:rsidRPr="00EE5230">
        <w:rPr>
          <w:rFonts w:cs="Arial"/>
          <w:vertAlign w:val="subscript"/>
        </w:rPr>
        <w:t>2</w:t>
      </w:r>
      <w:r w:rsidRPr="00EE5230">
        <w:rPr>
          <w:rFonts w:cs="Arial"/>
        </w:rPr>
        <w:t xml:space="preserve">. To this end, Radziszewski MCR and radical polymerization are combined for the first time in a two-phase HIPE system (Scheme 1). In the resulting </w:t>
      </w:r>
      <w:bookmarkStart w:id="2" w:name="_Hlk74244263"/>
      <w:r w:rsidRPr="00EE5230">
        <w:rPr>
          <w:rFonts w:cs="Arial"/>
        </w:rPr>
        <w:t xml:space="preserve">bifunctional </w:t>
      </w:r>
      <w:bookmarkEnd w:id="2"/>
      <w:r w:rsidRPr="00EE5230">
        <w:rPr>
          <w:rFonts w:cs="Arial"/>
        </w:rPr>
        <w:t xml:space="preserve">PH monoliths, amines and imidazolium crosslinks were combined in </w:t>
      </w:r>
      <w:proofErr w:type="spellStart"/>
      <w:r w:rsidRPr="00EE5230">
        <w:rPr>
          <w:rFonts w:cs="Arial"/>
        </w:rPr>
        <w:t>tunable</w:t>
      </w:r>
      <w:proofErr w:type="spellEnd"/>
      <w:r w:rsidRPr="00EE5230">
        <w:rPr>
          <w:rFonts w:cs="Arial"/>
        </w:rPr>
        <w:t xml:space="preserve"> proportions ranging from fully PIL-based to amino-rich PHs. The fully amine-based PH was also prepared for comparison purposes. The CO</w:t>
      </w:r>
      <w:r w:rsidRPr="00EE5230">
        <w:rPr>
          <w:rFonts w:cs="Arial"/>
          <w:vertAlign w:val="subscript"/>
        </w:rPr>
        <w:t>2</w:t>
      </w:r>
      <w:r w:rsidRPr="00EE5230">
        <w:rPr>
          <w:rFonts w:cs="Arial"/>
        </w:rPr>
        <w:t>-sorption performances of these bifunctional PHs are investigated and compared with their monofunctional analogues, highlighting a synergistic effect of both functionalities. The influence of the amine/imidazolium ratio and of the imidazolium counterion on the CO</w:t>
      </w:r>
      <w:r w:rsidRPr="00EE5230">
        <w:rPr>
          <w:rFonts w:cs="Arial"/>
          <w:vertAlign w:val="subscript"/>
        </w:rPr>
        <w:t>2</w:t>
      </w:r>
      <w:r w:rsidRPr="00EE5230">
        <w:rPr>
          <w:rFonts w:cs="Arial"/>
        </w:rPr>
        <w:t xml:space="preserve"> capture capacity as well as the selectivity and recyclability were also investigated. </w:t>
      </w:r>
    </w:p>
    <w:p w14:paraId="749AA41E" w14:textId="77777777" w:rsidR="00EE5230" w:rsidRPr="00EE5230" w:rsidRDefault="00EE5230" w:rsidP="00EE5230">
      <w:pPr>
        <w:jc w:val="center"/>
        <w:rPr>
          <w:rFonts w:cs="Arial"/>
          <w:b/>
          <w:bCs/>
        </w:rPr>
      </w:pPr>
      <w:r w:rsidRPr="00EE5230">
        <w:rPr>
          <w:rFonts w:cs="Arial"/>
          <w:noProof/>
        </w:rPr>
        <w:drawing>
          <wp:inline distT="0" distB="0" distL="0" distR="0" wp14:anchorId="7FACA724" wp14:editId="0043598C">
            <wp:extent cx="5096893" cy="3803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3887" cy="3853646"/>
                    </a:xfrm>
                    <a:prstGeom prst="rect">
                      <a:avLst/>
                    </a:prstGeom>
                  </pic:spPr>
                </pic:pic>
              </a:graphicData>
            </a:graphic>
          </wp:inline>
        </w:drawing>
      </w:r>
    </w:p>
    <w:p w14:paraId="6B97072F" w14:textId="77777777" w:rsidR="00EE5230" w:rsidRPr="00EE5230" w:rsidRDefault="00EE5230" w:rsidP="00EE5230">
      <w:pPr>
        <w:jc w:val="center"/>
        <w:rPr>
          <w:rFonts w:cs="Arial"/>
          <w:bCs/>
        </w:rPr>
      </w:pPr>
      <w:r w:rsidRPr="00EE5230">
        <w:rPr>
          <w:rFonts w:cs="Arial"/>
          <w:b/>
          <w:bCs/>
        </w:rPr>
        <w:t xml:space="preserve">Scheme 1. </w:t>
      </w:r>
      <w:r w:rsidRPr="00EE5230">
        <w:rPr>
          <w:rFonts w:cs="Arial"/>
          <w:bCs/>
        </w:rPr>
        <w:t xml:space="preserve">Imidazolium/amine </w:t>
      </w:r>
      <w:proofErr w:type="spellStart"/>
      <w:r w:rsidRPr="00EE5230">
        <w:rPr>
          <w:rFonts w:cs="Arial"/>
          <w:bCs/>
        </w:rPr>
        <w:t>polyHIPEs</w:t>
      </w:r>
      <w:proofErr w:type="spellEnd"/>
      <w:r w:rsidRPr="00EE5230">
        <w:rPr>
          <w:rFonts w:cs="Arial"/>
          <w:bCs/>
        </w:rPr>
        <w:t xml:space="preserve"> synthesis combining Radziszewski MCR and emulsion templating polymerization.</w:t>
      </w:r>
    </w:p>
    <w:p w14:paraId="1BFB92AF" w14:textId="77777777" w:rsidR="00EE5230" w:rsidRPr="00EE5230" w:rsidRDefault="00EE5230" w:rsidP="00EE5230">
      <w:pPr>
        <w:jc w:val="center"/>
        <w:rPr>
          <w:rFonts w:cs="Arial"/>
          <w:b/>
        </w:rPr>
      </w:pPr>
    </w:p>
    <w:p w14:paraId="1D36F9C0" w14:textId="77777777" w:rsidR="00EE5230" w:rsidRPr="00EE5230" w:rsidRDefault="00EE5230" w:rsidP="00EE5230">
      <w:pPr>
        <w:rPr>
          <w:rFonts w:cs="Arial"/>
          <w:b/>
        </w:rPr>
      </w:pPr>
      <w:bookmarkStart w:id="3" w:name="_Hlk529462916"/>
      <w:bookmarkStart w:id="4" w:name="_Hlk22139454"/>
      <w:bookmarkEnd w:id="3"/>
      <w:r w:rsidRPr="00EE5230">
        <w:rPr>
          <w:rFonts w:cs="Arial"/>
          <w:b/>
        </w:rPr>
        <w:t>2. Materials and methods</w:t>
      </w:r>
    </w:p>
    <w:p w14:paraId="6117FABD" w14:textId="77777777" w:rsidR="00EE5230" w:rsidRPr="00EE5230" w:rsidRDefault="00EE5230" w:rsidP="00EE5230">
      <w:pPr>
        <w:rPr>
          <w:rFonts w:cs="Arial"/>
          <w:b/>
          <w:i/>
        </w:rPr>
      </w:pPr>
      <w:r w:rsidRPr="00EE5230">
        <w:rPr>
          <w:rFonts w:cs="Arial"/>
          <w:b/>
          <w:i/>
        </w:rPr>
        <w:t>2.1. Materials</w:t>
      </w:r>
    </w:p>
    <w:p w14:paraId="6FFB0324" w14:textId="77777777" w:rsidR="00EE5230" w:rsidRPr="00EE5230" w:rsidRDefault="00EE5230" w:rsidP="00EE5230">
      <w:pPr>
        <w:rPr>
          <w:rFonts w:cs="Arial"/>
        </w:rPr>
      </w:pPr>
      <w:r w:rsidRPr="00EE5230">
        <w:rPr>
          <w:rFonts w:cs="Arial"/>
        </w:rPr>
        <w:t xml:space="preserve">Glyoxal (40 </w:t>
      </w:r>
      <w:proofErr w:type="spellStart"/>
      <w:r w:rsidRPr="00EE5230">
        <w:rPr>
          <w:rFonts w:cs="Arial"/>
        </w:rPr>
        <w:t>wt</w:t>
      </w:r>
      <w:proofErr w:type="spellEnd"/>
      <w:r w:rsidRPr="00EE5230">
        <w:rPr>
          <w:rFonts w:cs="Arial"/>
        </w:rPr>
        <w:t>% in H</w:t>
      </w:r>
      <w:r w:rsidRPr="00EE5230">
        <w:rPr>
          <w:rFonts w:cs="Arial"/>
          <w:vertAlign w:val="subscript"/>
        </w:rPr>
        <w:t>2</w:t>
      </w:r>
      <w:r w:rsidRPr="00EE5230">
        <w:rPr>
          <w:rFonts w:cs="Arial"/>
        </w:rPr>
        <w:t xml:space="preserve">O), formaldehyde (37 </w:t>
      </w:r>
      <w:proofErr w:type="spellStart"/>
      <w:r w:rsidRPr="00EE5230">
        <w:rPr>
          <w:rFonts w:cs="Arial"/>
        </w:rPr>
        <w:t>wt</w:t>
      </w:r>
      <w:proofErr w:type="spellEnd"/>
      <w:r w:rsidRPr="00EE5230">
        <w:rPr>
          <w:rFonts w:cs="Arial"/>
        </w:rPr>
        <w:t xml:space="preserve"> % in H</w:t>
      </w:r>
      <w:r w:rsidRPr="00EE5230">
        <w:rPr>
          <w:rFonts w:cs="Arial"/>
          <w:vertAlign w:val="subscript"/>
        </w:rPr>
        <w:t>2</w:t>
      </w:r>
      <w:r w:rsidRPr="00EE5230">
        <w:rPr>
          <w:rFonts w:cs="Arial"/>
        </w:rPr>
        <w:t xml:space="preserve">O), calcium hydride (95 %, +4 mesh), sodium </w:t>
      </w:r>
      <w:proofErr w:type="spellStart"/>
      <w:r w:rsidRPr="00EE5230">
        <w:rPr>
          <w:rFonts w:cs="Arial"/>
        </w:rPr>
        <w:t>sulfate</w:t>
      </w:r>
      <w:proofErr w:type="spellEnd"/>
      <w:r w:rsidRPr="00EE5230">
        <w:rPr>
          <w:rFonts w:cs="Arial"/>
        </w:rPr>
        <w:t xml:space="preserve"> anhydrous (&gt;99 %), sodium citrate dihydrate (&gt;99 %), sodium bicarbonate (NaHCO</w:t>
      </w:r>
      <w:r w:rsidRPr="00EE5230">
        <w:rPr>
          <w:rFonts w:cs="Arial"/>
          <w:vertAlign w:val="subscript"/>
        </w:rPr>
        <w:t>3</w:t>
      </w:r>
      <w:r w:rsidRPr="00EE5230">
        <w:rPr>
          <w:rFonts w:cs="Arial"/>
        </w:rPr>
        <w:t>, &gt;99.7 %) citric acid (99 %) and acryloyl chloride (&gt;96 %) were purchased from Sigma Aldrich. 2,2'-Azobis[2-(2-imidazolin-2-</w:t>
      </w:r>
      <w:proofErr w:type="gramStart"/>
      <w:r w:rsidRPr="00EE5230">
        <w:rPr>
          <w:rFonts w:cs="Arial"/>
        </w:rPr>
        <w:t>yl)propane</w:t>
      </w:r>
      <w:proofErr w:type="gramEnd"/>
      <w:r w:rsidRPr="00EE5230">
        <w:rPr>
          <w:rFonts w:cs="Arial"/>
        </w:rPr>
        <w:t xml:space="preserve">]dihydrochloride (VA-044) (&gt;98 %) was purchased from TCI. </w:t>
      </w:r>
      <w:r w:rsidRPr="00EE5230">
        <w:rPr>
          <w:rFonts w:cs="Arial"/>
          <w:i/>
        </w:rPr>
        <w:t>Tert</w:t>
      </w:r>
      <w:r w:rsidRPr="00EE5230">
        <w:rPr>
          <w:rFonts w:cs="Arial"/>
        </w:rPr>
        <w:t xml:space="preserve">-butyl </w:t>
      </w:r>
      <w:r w:rsidRPr="00EE5230">
        <w:rPr>
          <w:rFonts w:cs="Arial"/>
          <w:i/>
        </w:rPr>
        <w:t>N</w:t>
      </w:r>
      <w:r w:rsidRPr="00EE5230">
        <w:rPr>
          <w:rFonts w:cs="Arial"/>
        </w:rPr>
        <w:t>-(2-</w:t>
      </w:r>
      <w:proofErr w:type="gramStart"/>
      <w:r w:rsidRPr="00EE5230">
        <w:rPr>
          <w:rFonts w:cs="Arial"/>
        </w:rPr>
        <w:t>aminoethyl)carbamate</w:t>
      </w:r>
      <w:proofErr w:type="gramEnd"/>
      <w:r w:rsidRPr="00EE5230">
        <w:rPr>
          <w:rFonts w:cs="Arial"/>
        </w:rPr>
        <w:t xml:space="preserve"> (98%) and HCl (4M) in dioxane were purchased from </w:t>
      </w:r>
      <w:proofErr w:type="spellStart"/>
      <w:r w:rsidRPr="00EE5230">
        <w:rPr>
          <w:rFonts w:cs="Arial"/>
        </w:rPr>
        <w:t>Fluorochem</w:t>
      </w:r>
      <w:proofErr w:type="spellEnd"/>
      <w:r w:rsidRPr="00EE5230">
        <w:rPr>
          <w:rFonts w:cs="Arial"/>
        </w:rPr>
        <w:t>. Diethyl ether (Et</w:t>
      </w:r>
      <w:r w:rsidRPr="00EE5230">
        <w:rPr>
          <w:rFonts w:cs="Arial"/>
          <w:vertAlign w:val="subscript"/>
        </w:rPr>
        <w:t>2</w:t>
      </w:r>
      <w:r w:rsidRPr="00EE5230">
        <w:rPr>
          <w:rFonts w:cs="Arial"/>
        </w:rPr>
        <w:t xml:space="preserve">O, technical grade), tetrahydrofuran (HPLC) and cyclohexane (&gt; 99%) and sodium chloride (NaCl, &gt;99 %) were purchased from VWR. Triethylamine (TEA, 99%) was purchased from </w:t>
      </w:r>
      <w:proofErr w:type="spellStart"/>
      <w:r w:rsidRPr="00EE5230">
        <w:rPr>
          <w:rFonts w:cs="Arial"/>
        </w:rPr>
        <w:t>Acros</w:t>
      </w:r>
      <w:proofErr w:type="spellEnd"/>
      <w:r w:rsidRPr="00EE5230">
        <w:rPr>
          <w:rFonts w:cs="Arial"/>
        </w:rPr>
        <w:t>. Sodium acetate anhydrous (p.a.) was purchased from Vel. Chloroform (CHCl</w:t>
      </w:r>
      <w:r w:rsidRPr="00EE5230">
        <w:rPr>
          <w:rFonts w:cs="Arial"/>
          <w:vertAlign w:val="subscript"/>
        </w:rPr>
        <w:t>3</w:t>
      </w:r>
      <w:r w:rsidRPr="00EE5230">
        <w:rPr>
          <w:rFonts w:cs="Arial"/>
        </w:rPr>
        <w:t xml:space="preserve">, &gt;99.8 %) and methanol (MeOH, &gt;99.9 %) were purchased from Fisher Scientific. Deuterated solvents were purchased from </w:t>
      </w:r>
      <w:proofErr w:type="spellStart"/>
      <w:r w:rsidRPr="00EE5230">
        <w:rPr>
          <w:rFonts w:cs="Arial"/>
        </w:rPr>
        <w:t>Eurisotop</w:t>
      </w:r>
      <w:proofErr w:type="spellEnd"/>
      <w:r w:rsidRPr="00EE5230">
        <w:rPr>
          <w:rFonts w:cs="Arial"/>
        </w:rPr>
        <w:t xml:space="preserve">. </w:t>
      </w:r>
      <w:proofErr w:type="spellStart"/>
      <w:r w:rsidRPr="00EE5230">
        <w:rPr>
          <w:rFonts w:cs="Arial"/>
        </w:rPr>
        <w:t>Pluronics</w:t>
      </w:r>
      <w:proofErr w:type="spellEnd"/>
      <w:r w:rsidRPr="00EE5230">
        <w:rPr>
          <w:rFonts w:cs="Arial"/>
        </w:rPr>
        <w:t xml:space="preserve"> PEF68 was purchased from ICI Surfactants. All chemicals and solvents were used without purification except for THF that was dried onto molecular sieves and TEA which was dried under calcium hydride, purified by distillation under reduced pressure and kept under Ar.</w:t>
      </w:r>
    </w:p>
    <w:p w14:paraId="0BB47E28" w14:textId="77777777" w:rsidR="00EE5230" w:rsidRPr="00EE5230" w:rsidRDefault="00EE5230" w:rsidP="00EE5230">
      <w:pPr>
        <w:ind w:firstLine="284"/>
        <w:rPr>
          <w:rFonts w:cs="Arial"/>
        </w:rPr>
      </w:pPr>
    </w:p>
    <w:p w14:paraId="26588499" w14:textId="77777777" w:rsidR="00EE5230" w:rsidRPr="00EE5230" w:rsidRDefault="00EE5230" w:rsidP="00EE5230">
      <w:pPr>
        <w:rPr>
          <w:rFonts w:cs="Arial"/>
          <w:b/>
        </w:rPr>
      </w:pPr>
      <w:r w:rsidRPr="00EE5230">
        <w:rPr>
          <w:rFonts w:cs="Arial"/>
          <w:b/>
          <w:i/>
        </w:rPr>
        <w:t>2.2. Characterization</w:t>
      </w:r>
    </w:p>
    <w:p w14:paraId="2CE3A0AC" w14:textId="77777777" w:rsidR="00EE5230" w:rsidRPr="00EE5230" w:rsidRDefault="00EE5230" w:rsidP="00EE5230">
      <w:pPr>
        <w:rPr>
          <w:rFonts w:cs="Arial"/>
        </w:rPr>
      </w:pPr>
      <w:r w:rsidRPr="00EE5230">
        <w:rPr>
          <w:rFonts w:cs="Arial"/>
          <w:vertAlign w:val="superscript"/>
        </w:rPr>
        <w:t>13</w:t>
      </w:r>
      <w:r w:rsidRPr="00EE5230">
        <w:rPr>
          <w:rFonts w:cs="Arial"/>
        </w:rPr>
        <w:t xml:space="preserve">C Cross Polarization (CP) and Magic Angle Spinning (MAS) NMR spectra were recorded with 4-mm zirconia rotors spinning at 10 kHz on a Bruker </w:t>
      </w:r>
      <w:proofErr w:type="spellStart"/>
      <w:r w:rsidRPr="00EE5230">
        <w:rPr>
          <w:rFonts w:cs="Arial"/>
        </w:rPr>
        <w:t>Avance</w:t>
      </w:r>
      <w:proofErr w:type="spellEnd"/>
      <w:r w:rsidRPr="00EE5230">
        <w:rPr>
          <w:rFonts w:cs="Arial"/>
        </w:rPr>
        <w:t xml:space="preserve"> III HD spectrometer (B</w:t>
      </w:r>
      <w:r w:rsidRPr="00EE5230">
        <w:rPr>
          <w:rFonts w:cs="Arial"/>
          <w:vertAlign w:val="subscript"/>
        </w:rPr>
        <w:t>0</w:t>
      </w:r>
      <w:r w:rsidRPr="00EE5230">
        <w:rPr>
          <w:rFonts w:cs="Arial"/>
        </w:rPr>
        <w:t xml:space="preserve"> = 9.04 T) working at the Larmor frequency of 100.62 </w:t>
      </w:r>
      <w:proofErr w:type="spellStart"/>
      <w:r w:rsidRPr="00EE5230">
        <w:rPr>
          <w:rFonts w:cs="Arial"/>
        </w:rPr>
        <w:t>MHz.</w:t>
      </w:r>
      <w:proofErr w:type="spellEnd"/>
      <w:r w:rsidRPr="00EE5230">
        <w:rPr>
          <w:rFonts w:cs="Arial"/>
        </w:rPr>
        <w:t xml:space="preserve"> Cross polarization experiments were performed with a delay time of 2 s and a contact time of 2 </w:t>
      </w:r>
      <w:proofErr w:type="spellStart"/>
      <w:r w:rsidRPr="00EE5230">
        <w:rPr>
          <w:rFonts w:cs="Arial"/>
        </w:rPr>
        <w:t>ms</w:t>
      </w:r>
      <w:proofErr w:type="spellEnd"/>
      <w:r w:rsidRPr="00EE5230">
        <w:rPr>
          <w:rFonts w:cs="Arial"/>
        </w:rPr>
        <w:t xml:space="preserve">. </w:t>
      </w:r>
      <w:r w:rsidRPr="00EE5230">
        <w:rPr>
          <w:rFonts w:cs="Arial"/>
          <w:vertAlign w:val="superscript"/>
        </w:rPr>
        <w:t>1</w:t>
      </w:r>
      <w:r w:rsidRPr="00EE5230">
        <w:rPr>
          <w:rFonts w:cs="Arial"/>
        </w:rPr>
        <w:t xml:space="preserve">H NMR, HSQC, HMBC and COSY spectra were recorded at 298 K with a Bruker </w:t>
      </w:r>
      <w:proofErr w:type="spellStart"/>
      <w:r w:rsidRPr="00EE5230">
        <w:rPr>
          <w:rFonts w:cs="Arial"/>
        </w:rPr>
        <w:t>Avance</w:t>
      </w:r>
      <w:proofErr w:type="spellEnd"/>
      <w:r w:rsidRPr="00EE5230">
        <w:rPr>
          <w:rFonts w:cs="Arial"/>
        </w:rPr>
        <w:t xml:space="preserve"> III HD spectrometer (B</w:t>
      </w:r>
      <w:r w:rsidRPr="00EE5230">
        <w:rPr>
          <w:rFonts w:cs="Arial"/>
          <w:vertAlign w:val="subscript"/>
        </w:rPr>
        <w:t xml:space="preserve">0 </w:t>
      </w:r>
      <w:r w:rsidRPr="00EE5230">
        <w:rPr>
          <w:rFonts w:cs="Arial"/>
        </w:rPr>
        <w:t xml:space="preserve">= 9.04 T) (400 MHz) and treated with </w:t>
      </w:r>
      <w:proofErr w:type="spellStart"/>
      <w:r w:rsidRPr="00EE5230">
        <w:rPr>
          <w:rFonts w:cs="Arial"/>
        </w:rPr>
        <w:t>MestReNova</w:t>
      </w:r>
      <w:proofErr w:type="spellEnd"/>
      <w:r w:rsidRPr="00EE5230">
        <w:rPr>
          <w:rFonts w:cs="Arial"/>
        </w:rPr>
        <w:t xml:space="preserve"> software.</w:t>
      </w:r>
      <w:r w:rsidRPr="00EE5230">
        <w:rPr>
          <w:rFonts w:cs="Arial"/>
          <w:vertAlign w:val="superscript"/>
        </w:rPr>
        <w:t xml:space="preserve"> </w:t>
      </w:r>
      <w:r w:rsidRPr="00EE5230">
        <w:rPr>
          <w:rFonts w:cs="Arial"/>
        </w:rPr>
        <w:t xml:space="preserve">IR spectra were recorded on </w:t>
      </w:r>
      <w:proofErr w:type="spellStart"/>
      <w:r w:rsidRPr="00EE5230">
        <w:rPr>
          <w:rFonts w:cs="Arial"/>
        </w:rPr>
        <w:t>ThermoFischer</w:t>
      </w:r>
      <w:proofErr w:type="spellEnd"/>
      <w:r w:rsidRPr="00EE5230">
        <w:rPr>
          <w:rFonts w:cs="Arial"/>
        </w:rPr>
        <w:t xml:space="preserve"> </w:t>
      </w:r>
      <w:proofErr w:type="spellStart"/>
      <w:r w:rsidRPr="00EE5230">
        <w:rPr>
          <w:rFonts w:cs="Arial"/>
        </w:rPr>
        <w:t>Sientific</w:t>
      </w:r>
      <w:proofErr w:type="spellEnd"/>
      <w:r w:rsidRPr="00EE5230">
        <w:rPr>
          <w:rFonts w:cs="Arial"/>
        </w:rPr>
        <w:t xml:space="preserve"> Nicolet IS5 equipped with an ATR ID5 module using a diamond crystal (650 cm</w:t>
      </w:r>
      <w:r w:rsidRPr="00EE5230">
        <w:rPr>
          <w:rFonts w:cs="Arial"/>
          <w:vertAlign w:val="superscript"/>
        </w:rPr>
        <w:t xml:space="preserve">-1 </w:t>
      </w:r>
      <w:r w:rsidRPr="00EE5230">
        <w:rPr>
          <w:rFonts w:cs="Arial"/>
        </w:rPr>
        <w:t>- 4000 cm</w:t>
      </w:r>
      <w:r w:rsidRPr="00EE5230">
        <w:rPr>
          <w:rFonts w:cs="Arial"/>
          <w:vertAlign w:val="superscript"/>
        </w:rPr>
        <w:t>-1</w:t>
      </w:r>
      <w:r w:rsidRPr="00EE5230">
        <w:rPr>
          <w:rFonts w:cs="Arial"/>
        </w:rPr>
        <w:t>). The SEM images of PH</w:t>
      </w:r>
      <w:r w:rsidRPr="00EE5230">
        <w:rPr>
          <w:rFonts w:cs="Arial"/>
          <w:vertAlign w:val="subscript"/>
        </w:rPr>
        <w:t>100</w:t>
      </w:r>
      <w:r w:rsidRPr="00EE5230">
        <w:rPr>
          <w:rFonts w:cs="Arial"/>
        </w:rPr>
        <w:t>, PH</w:t>
      </w:r>
      <w:r w:rsidRPr="00EE5230">
        <w:rPr>
          <w:rFonts w:cs="Arial"/>
          <w:vertAlign w:val="subscript"/>
        </w:rPr>
        <w:t xml:space="preserve">33 </w:t>
      </w:r>
      <w:r w:rsidRPr="00EE5230">
        <w:rPr>
          <w:rFonts w:cs="Arial"/>
        </w:rPr>
        <w:t>and PH</w:t>
      </w:r>
      <w:r w:rsidRPr="00EE5230">
        <w:rPr>
          <w:rFonts w:cs="Arial"/>
          <w:vertAlign w:val="subscript"/>
        </w:rPr>
        <w:t xml:space="preserve">11 </w:t>
      </w:r>
      <w:r w:rsidRPr="00EE5230">
        <w:rPr>
          <w:rFonts w:cs="Arial"/>
        </w:rPr>
        <w:t>were collected with a field emission environmental SEM Philips XL30 apparatus after metallization of the sample with Pt (30 nm). The SEM images of PH</w:t>
      </w:r>
      <w:r w:rsidRPr="00EE5230">
        <w:rPr>
          <w:rFonts w:cs="Arial"/>
          <w:vertAlign w:val="subscript"/>
        </w:rPr>
        <w:t>0</w:t>
      </w:r>
      <w:r w:rsidRPr="00EE5230">
        <w:rPr>
          <w:rFonts w:cs="Arial"/>
        </w:rPr>
        <w:t xml:space="preserve"> were collected with Quanta 600 </w:t>
      </w:r>
      <w:proofErr w:type="spellStart"/>
      <w:r w:rsidRPr="00EE5230">
        <w:rPr>
          <w:rFonts w:cs="Arial"/>
        </w:rPr>
        <w:t>appartus</w:t>
      </w:r>
      <w:proofErr w:type="spellEnd"/>
      <w:r w:rsidRPr="00EE5230">
        <w:rPr>
          <w:rFonts w:cs="Arial"/>
        </w:rPr>
        <w:t xml:space="preserve">. The SEM pictures were treated with the ImageJ software. </w:t>
      </w:r>
      <w:proofErr w:type="spellStart"/>
      <w:r w:rsidRPr="00EE5230">
        <w:rPr>
          <w:rFonts w:cs="Arial"/>
        </w:rPr>
        <w:t>Brunauer</w:t>
      </w:r>
      <w:proofErr w:type="spellEnd"/>
      <w:r w:rsidRPr="00EE5230">
        <w:rPr>
          <w:rFonts w:cs="Arial"/>
        </w:rPr>
        <w:t>–Emmett–Teller (BET) measurements carried out with nitrogen. Specific surface areas were calculated using BET theory based on N</w:t>
      </w:r>
      <w:r w:rsidRPr="00EE5230">
        <w:rPr>
          <w:rFonts w:cs="Arial"/>
          <w:vertAlign w:val="subscript"/>
        </w:rPr>
        <w:t>2</w:t>
      </w:r>
      <w:r w:rsidRPr="00EE5230">
        <w:rPr>
          <w:rFonts w:cs="Arial"/>
        </w:rPr>
        <w:t xml:space="preserve"> sorption measurements performed at 77K on </w:t>
      </w:r>
      <w:proofErr w:type="spellStart"/>
      <w:r w:rsidRPr="00EE5230">
        <w:rPr>
          <w:rFonts w:cs="Arial"/>
        </w:rPr>
        <w:t>Quantachrome</w:t>
      </w:r>
      <w:proofErr w:type="spellEnd"/>
      <w:r w:rsidRPr="00EE5230">
        <w:rPr>
          <w:rFonts w:cs="Arial"/>
        </w:rPr>
        <w:t xml:space="preserve"> IQ3 sorption apparatus. Prior measurements the samples were outgassed at 100 °C overnight. Differential scanning calorimetry (DSC) was performed on a DSC 250 TA Instruments, using hermetic aluminium pans, indium standard for calibration, nitrogen as the purge gas, a sample weight of </w:t>
      </w:r>
      <w:r w:rsidRPr="00EE5230">
        <w:rPr>
          <w:rFonts w:ascii="Cambria Math" w:hAnsi="Cambria Math" w:cs="Cambria Math"/>
        </w:rPr>
        <w:t>∼</w:t>
      </w:r>
      <w:r w:rsidRPr="00EE5230">
        <w:rPr>
          <w:rFonts w:cs="Arial"/>
        </w:rPr>
        <w:t xml:space="preserve">5 mg. The sample was cooled </w:t>
      </w:r>
      <w:r w:rsidRPr="00EE5230">
        <w:rPr>
          <w:rFonts w:cs="Arial"/>
        </w:rPr>
        <w:lastRenderedPageBreak/>
        <w:t xml:space="preserve">down to -20 °C at 20 °C/min cooling rate, followed by an isotherm at −20°C for 2 min and heating up to 100 °C with acetate as counterion (or 120 °C with TFSI) at 10 °C/min heating rate. These cycles were done twice. The fourth cycle (last heating from -20 to 100 °C or 120 °C) was analysed. Thermogravimetric analysis (TGA) analyses were carried out with a TGA 2 large furnace from Mettler Toledo under nitrogen at a heating rate of 20°C /min from 30 °C to 600 °C with a sample weight of </w:t>
      </w:r>
      <w:r w:rsidRPr="00EE5230">
        <w:rPr>
          <w:rFonts w:ascii="Cambria Math" w:hAnsi="Cambria Math" w:cs="Cambria Math"/>
        </w:rPr>
        <w:t>∼</w:t>
      </w:r>
      <w:r w:rsidRPr="00EE5230">
        <w:rPr>
          <w:rFonts w:cs="Arial"/>
        </w:rPr>
        <w:t xml:space="preserve">6 mg. Elemental analysis was used to determine the percent weight of specific atoms of carbon (C), hydrogen (H), nitrogen (N) and </w:t>
      </w:r>
      <w:proofErr w:type="spellStart"/>
      <w:r w:rsidRPr="00EE5230">
        <w:rPr>
          <w:rFonts w:cs="Arial"/>
        </w:rPr>
        <w:t>sulfur</w:t>
      </w:r>
      <w:proofErr w:type="spellEnd"/>
      <w:r w:rsidRPr="00EE5230">
        <w:rPr>
          <w:rFonts w:cs="Arial"/>
        </w:rPr>
        <w:t xml:space="preserve"> (S) in the PHs and therefore enabling to verify their empirical formula (</w:t>
      </w:r>
      <w:proofErr w:type="spellStart"/>
      <w:r w:rsidRPr="00EE5230">
        <w:rPr>
          <w:rFonts w:cs="Arial"/>
        </w:rPr>
        <w:t>CxHyNjSk</w:t>
      </w:r>
      <w:proofErr w:type="spellEnd"/>
      <w:r w:rsidRPr="00EE5230">
        <w:rPr>
          <w:rFonts w:cs="Arial"/>
        </w:rPr>
        <w:t>). Elemental analysis was realized on a Thermo Electron Corporation Flash EA 1112 CHNS Elemental Analyzer (</w:t>
      </w:r>
      <w:proofErr w:type="spellStart"/>
      <w:r w:rsidRPr="00EE5230">
        <w:rPr>
          <w:rFonts w:cs="Arial"/>
        </w:rPr>
        <w:t>Interscience</w:t>
      </w:r>
      <w:proofErr w:type="spellEnd"/>
      <w:r w:rsidRPr="00EE5230">
        <w:rPr>
          <w:rFonts w:cs="Arial"/>
        </w:rPr>
        <w:t xml:space="preserve"> </w:t>
      </w:r>
      <w:proofErr w:type="spellStart"/>
      <w:r w:rsidRPr="00EE5230">
        <w:rPr>
          <w:rFonts w:cs="Arial"/>
        </w:rPr>
        <w:t>sprl</w:t>
      </w:r>
      <w:proofErr w:type="spellEnd"/>
      <w:r w:rsidRPr="00EE5230">
        <w:rPr>
          <w:rFonts w:cs="Arial"/>
        </w:rPr>
        <w:t>, Louvain-la-</w:t>
      </w:r>
      <w:proofErr w:type="spellStart"/>
      <w:r w:rsidRPr="00EE5230">
        <w:rPr>
          <w:rFonts w:cs="Arial"/>
        </w:rPr>
        <w:t>Neuve</w:t>
      </w:r>
      <w:proofErr w:type="spellEnd"/>
      <w:r w:rsidRPr="00EE5230">
        <w:rPr>
          <w:rFonts w:cs="Arial"/>
        </w:rPr>
        <w:t xml:space="preserve">, Belgium) equipped with a dry sample auto-sampler on the top of furnace, and under Eager 300 dedicated software control for organic elemental analysis in the following analytical conditions: 900 °C for sample combustion, 130 mL/min of the Carrier Flow, 100 mL/min for Reference Flow, 250 mL/min for Oxygen Flow, 5 sec for Oxygen Injection End (0 sec for Oxygen analysis), 12 sec for Sample Delay Time, 10 min for Run time, and 1.3 – 1.8 mg for sample weight. Electrospray ionization mass spectrometry (ESI-MS) were performed on a SYNAPT G2-Si from Waters. The sample was solubilized in a mixture of </w:t>
      </w:r>
      <w:proofErr w:type="spellStart"/>
      <w:r w:rsidRPr="00EE5230">
        <w:rPr>
          <w:rFonts w:cs="Arial"/>
        </w:rPr>
        <w:t>MiliQ</w:t>
      </w:r>
      <w:proofErr w:type="spellEnd"/>
      <w:r w:rsidRPr="00EE5230">
        <w:rPr>
          <w:rFonts w:cs="Arial"/>
        </w:rPr>
        <w:t xml:space="preserve"> water-acetonitrile (1:1 </w:t>
      </w:r>
      <w:proofErr w:type="gramStart"/>
      <w:r w:rsidRPr="00EE5230">
        <w:rPr>
          <w:rFonts w:cs="Arial"/>
        </w:rPr>
        <w:t>v:v</w:t>
      </w:r>
      <w:proofErr w:type="gramEnd"/>
      <w:r w:rsidRPr="00EE5230">
        <w:rPr>
          <w:rFonts w:cs="Arial"/>
        </w:rPr>
        <w:t>) in presence of 0.1 v% of formic acid prior to ionization. CO</w:t>
      </w:r>
      <w:r w:rsidRPr="00EE5230">
        <w:rPr>
          <w:rFonts w:cs="Arial"/>
          <w:vertAlign w:val="subscript"/>
        </w:rPr>
        <w:t>2</w:t>
      </w:r>
      <w:r w:rsidRPr="00EE5230">
        <w:rPr>
          <w:rFonts w:cs="Arial"/>
        </w:rPr>
        <w:t xml:space="preserve"> and N</w:t>
      </w:r>
      <w:r w:rsidRPr="00EE5230">
        <w:rPr>
          <w:rFonts w:cs="Arial"/>
          <w:vertAlign w:val="subscript"/>
        </w:rPr>
        <w:t>2</w:t>
      </w:r>
      <w:r w:rsidRPr="00EE5230">
        <w:rPr>
          <w:rFonts w:cs="Arial"/>
        </w:rPr>
        <w:t xml:space="preserve"> isothermal sorption, kinetic and cycling studies have been performed on </w:t>
      </w:r>
      <w:proofErr w:type="gramStart"/>
      <w:r w:rsidRPr="00EE5230">
        <w:rPr>
          <w:rFonts w:cs="Arial"/>
        </w:rPr>
        <w:t>a</w:t>
      </w:r>
      <w:proofErr w:type="gramEnd"/>
      <w:r w:rsidRPr="00EE5230">
        <w:rPr>
          <w:rFonts w:cs="Arial"/>
        </w:rPr>
        <w:t xml:space="preserve"> IMI-HTP manometric gas analyser (</w:t>
      </w:r>
      <w:proofErr w:type="spellStart"/>
      <w:r w:rsidRPr="00EE5230">
        <w:rPr>
          <w:rFonts w:cs="Arial"/>
        </w:rPr>
        <w:t>Hiden</w:t>
      </w:r>
      <w:proofErr w:type="spellEnd"/>
      <w:r w:rsidRPr="00EE5230">
        <w:rPr>
          <w:rFonts w:cs="Arial"/>
        </w:rPr>
        <w:t xml:space="preserve"> </w:t>
      </w:r>
      <w:proofErr w:type="spellStart"/>
      <w:r w:rsidRPr="00EE5230">
        <w:rPr>
          <w:rFonts w:cs="Arial"/>
        </w:rPr>
        <w:t>Isochema</w:t>
      </w:r>
      <w:proofErr w:type="spellEnd"/>
      <w:r w:rsidRPr="00EE5230">
        <w:rPr>
          <w:rFonts w:cs="Arial"/>
        </w:rPr>
        <w:t xml:space="preserve"> Inc.) The measurement under humid conditions, were measured on the gravimetric DVS Vacuum adsorber (Surface Measurement systems). All CO</w:t>
      </w:r>
      <w:r w:rsidRPr="00EE5230">
        <w:rPr>
          <w:rFonts w:cs="Arial"/>
          <w:vertAlign w:val="subscript"/>
        </w:rPr>
        <w:t>2</w:t>
      </w:r>
      <w:r w:rsidRPr="00EE5230">
        <w:rPr>
          <w:rFonts w:cs="Arial"/>
        </w:rPr>
        <w:t xml:space="preserve"> capture measurements are detailed in the supporting information section.</w:t>
      </w:r>
    </w:p>
    <w:p w14:paraId="3397BE14" w14:textId="77777777" w:rsidR="00EE5230" w:rsidRPr="00EE5230" w:rsidRDefault="00EE5230" w:rsidP="00EE5230">
      <w:pPr>
        <w:ind w:firstLine="284"/>
        <w:rPr>
          <w:rFonts w:cs="Arial"/>
          <w:bCs/>
        </w:rPr>
      </w:pPr>
    </w:p>
    <w:p w14:paraId="5F63C5B4" w14:textId="77777777" w:rsidR="00EE5230" w:rsidRPr="00EE5230" w:rsidRDefault="00EE5230" w:rsidP="00EE5230">
      <w:pPr>
        <w:rPr>
          <w:rFonts w:cs="Arial"/>
          <w:b/>
          <w:i/>
        </w:rPr>
      </w:pPr>
      <w:r w:rsidRPr="00EE5230">
        <w:rPr>
          <w:rFonts w:cs="Arial"/>
          <w:b/>
          <w:bCs/>
          <w:i/>
        </w:rPr>
        <w:t xml:space="preserve">2.3. </w:t>
      </w:r>
      <w:r w:rsidRPr="00EE5230">
        <w:rPr>
          <w:rFonts w:cs="Arial"/>
          <w:b/>
          <w:i/>
        </w:rPr>
        <w:t>Synthesis of N-</w:t>
      </w:r>
      <w:proofErr w:type="spellStart"/>
      <w:r w:rsidRPr="00EE5230">
        <w:rPr>
          <w:rFonts w:cs="Arial"/>
          <w:b/>
          <w:i/>
        </w:rPr>
        <w:t>boc</w:t>
      </w:r>
      <w:proofErr w:type="spellEnd"/>
      <w:r w:rsidRPr="00EE5230">
        <w:rPr>
          <w:rFonts w:cs="Arial"/>
          <w:b/>
          <w:i/>
        </w:rPr>
        <w:t>-aminoethyl acrylamide (Boc-</w:t>
      </w:r>
      <w:proofErr w:type="spellStart"/>
      <w:r w:rsidRPr="00EE5230">
        <w:rPr>
          <w:rFonts w:cs="Arial"/>
          <w:b/>
          <w:i/>
        </w:rPr>
        <w:t>AEAm</w:t>
      </w:r>
      <w:proofErr w:type="spellEnd"/>
      <w:r w:rsidRPr="00EE5230">
        <w:rPr>
          <w:rFonts w:cs="Arial"/>
          <w:b/>
          <w:i/>
        </w:rPr>
        <w:t>).</w:t>
      </w:r>
    </w:p>
    <w:p w14:paraId="11A46C53" w14:textId="77777777" w:rsidR="00EE5230" w:rsidRPr="00EE5230" w:rsidRDefault="00EE5230" w:rsidP="00EE5230">
      <w:pPr>
        <w:rPr>
          <w:rFonts w:cs="Arial"/>
          <w:color w:val="000000" w:themeColor="text1"/>
        </w:rPr>
      </w:pPr>
      <w:r w:rsidRPr="00EE5230">
        <w:rPr>
          <w:rFonts w:cs="Arial"/>
          <w:color w:val="000000" w:themeColor="text1"/>
        </w:rPr>
        <w:t>Acryloyl chloride (8.146 g, 90 mmol) in 120 ml THF was added dropwise into an ice cooled dried THF (180 ml) containing Boc-ethylenediamine (12.016 g, 75 mmol), dried triethylamine (9.1071 g, 90 mmol) and 3A molecular sieve in 1 h under stirring. The mixture was stirred for another 2 h in ice water, and then at room temperature overnight. After removal of white precipitate by filtration, THF was removed by rotary evaporator. The residual powder was dissolved into 300 ml chloroform and washed subsequently with citrate buffer solution (citric acid and trisodium citrate dihydrate, 500 mM buffer strength, 300 ml, pH 5.0), saturated brine (300 ml), saturated NaHCO</w:t>
      </w:r>
      <w:r w:rsidRPr="00EE5230">
        <w:rPr>
          <w:rFonts w:cs="Arial"/>
          <w:color w:val="000000" w:themeColor="text1"/>
          <w:vertAlign w:val="subscript"/>
        </w:rPr>
        <w:t>3</w:t>
      </w:r>
      <w:r w:rsidRPr="00EE5230">
        <w:rPr>
          <w:rFonts w:cs="Arial"/>
          <w:color w:val="000000" w:themeColor="text1"/>
        </w:rPr>
        <w:t xml:space="preserve"> (300 ml), finally saturated brine (300 ml). The organic layer was collected and dried by anhydrous Na</w:t>
      </w:r>
      <w:r w:rsidRPr="00EE5230">
        <w:rPr>
          <w:rFonts w:cs="Arial"/>
          <w:color w:val="000000" w:themeColor="text1"/>
          <w:vertAlign w:val="subscript"/>
        </w:rPr>
        <w:t>2</w:t>
      </w:r>
      <w:r w:rsidRPr="00EE5230">
        <w:rPr>
          <w:rFonts w:cs="Arial"/>
          <w:color w:val="000000" w:themeColor="text1"/>
        </w:rPr>
        <w:t>SO</w:t>
      </w:r>
      <w:r w:rsidRPr="00EE5230">
        <w:rPr>
          <w:rFonts w:cs="Arial"/>
          <w:color w:val="000000" w:themeColor="text1"/>
          <w:vertAlign w:val="subscript"/>
        </w:rPr>
        <w:t>4</w:t>
      </w:r>
      <w:r w:rsidRPr="00EE5230">
        <w:rPr>
          <w:rFonts w:cs="Arial"/>
          <w:color w:val="000000" w:themeColor="text1"/>
        </w:rPr>
        <w:t xml:space="preserve">. After removal of the chloroform, yellowish powder was obtained. Isolated yield: 91.7 %. </w:t>
      </w:r>
      <w:r w:rsidRPr="00EE5230">
        <w:rPr>
          <w:rFonts w:cs="Arial"/>
          <w:color w:val="000000" w:themeColor="text1"/>
          <w:vertAlign w:val="superscript"/>
        </w:rPr>
        <w:t>1</w:t>
      </w:r>
      <w:r w:rsidRPr="00EE5230">
        <w:rPr>
          <w:rFonts w:cs="Arial"/>
          <w:color w:val="000000" w:themeColor="text1"/>
        </w:rPr>
        <w:t>H NMR (CDCl</w:t>
      </w:r>
      <w:r w:rsidRPr="00EE5230">
        <w:rPr>
          <w:rFonts w:cs="Arial"/>
          <w:color w:val="000000" w:themeColor="text1"/>
          <w:vertAlign w:val="subscript"/>
        </w:rPr>
        <w:t>3</w:t>
      </w:r>
      <w:r w:rsidRPr="00EE5230">
        <w:rPr>
          <w:rFonts w:cs="Arial"/>
          <w:color w:val="000000" w:themeColor="text1"/>
        </w:rPr>
        <w:t>): δ 1.43 (s, 9H, (CH</w:t>
      </w:r>
      <w:r w:rsidRPr="00EE5230">
        <w:rPr>
          <w:rFonts w:cs="Arial"/>
          <w:color w:val="000000" w:themeColor="text1"/>
          <w:vertAlign w:val="subscript"/>
        </w:rPr>
        <w:t>3</w:t>
      </w:r>
      <w:r w:rsidRPr="00EE5230">
        <w:rPr>
          <w:rFonts w:cs="Arial"/>
          <w:color w:val="000000" w:themeColor="text1"/>
        </w:rPr>
        <w:t>)</w:t>
      </w:r>
      <w:r w:rsidRPr="00EE5230">
        <w:rPr>
          <w:rFonts w:cs="Arial"/>
          <w:color w:val="000000" w:themeColor="text1"/>
          <w:vertAlign w:val="subscript"/>
        </w:rPr>
        <w:t>3</w:t>
      </w:r>
      <w:r w:rsidRPr="00EE5230">
        <w:rPr>
          <w:rFonts w:cs="Arial"/>
          <w:color w:val="000000" w:themeColor="text1"/>
        </w:rPr>
        <w:t>C), 3.31 (m, 2H, CH</w:t>
      </w:r>
      <w:r w:rsidRPr="00EE5230">
        <w:rPr>
          <w:rFonts w:cs="Arial"/>
          <w:color w:val="000000" w:themeColor="text1"/>
          <w:vertAlign w:val="subscript"/>
        </w:rPr>
        <w:t>2</w:t>
      </w:r>
      <w:r w:rsidRPr="00EE5230">
        <w:rPr>
          <w:rFonts w:cs="Arial"/>
          <w:color w:val="000000" w:themeColor="text1"/>
        </w:rPr>
        <w:t>-amide), 3.43 (m, 2H, CH</w:t>
      </w:r>
      <w:r w:rsidRPr="00EE5230">
        <w:rPr>
          <w:rFonts w:cs="Arial"/>
          <w:color w:val="000000" w:themeColor="text1"/>
          <w:vertAlign w:val="subscript"/>
        </w:rPr>
        <w:t>2</w:t>
      </w:r>
      <w:r w:rsidRPr="00EE5230">
        <w:rPr>
          <w:rFonts w:cs="Arial"/>
          <w:color w:val="000000" w:themeColor="text1"/>
        </w:rPr>
        <w:t>-carbamate), 5 (s, 1H, NH carbamate), 5.63 (m, 1H, =CH), 6.06-6.28 (m, 2H, CH</w:t>
      </w:r>
      <w:r w:rsidRPr="00EE5230">
        <w:rPr>
          <w:rFonts w:cs="Arial"/>
          <w:color w:val="000000" w:themeColor="text1"/>
          <w:vertAlign w:val="subscript"/>
        </w:rPr>
        <w:t>2</w:t>
      </w:r>
      <w:r w:rsidRPr="00EE5230">
        <w:rPr>
          <w:rFonts w:cs="Arial"/>
          <w:color w:val="000000" w:themeColor="text1"/>
        </w:rPr>
        <w:t>=CH), 6.49 (s, 1H, NH amide) (Figure S1).</w:t>
      </w:r>
    </w:p>
    <w:p w14:paraId="6BDC6F23" w14:textId="77777777" w:rsidR="00EE5230" w:rsidRPr="00EE5230" w:rsidRDefault="00EE5230" w:rsidP="00EE5230">
      <w:pPr>
        <w:rPr>
          <w:rFonts w:cs="Arial"/>
          <w:b/>
          <w:bCs/>
          <w:i/>
        </w:rPr>
      </w:pPr>
    </w:p>
    <w:p w14:paraId="02A07A65" w14:textId="77777777" w:rsidR="00EE5230" w:rsidRPr="00EE5230" w:rsidRDefault="00EE5230" w:rsidP="00EE5230">
      <w:pPr>
        <w:rPr>
          <w:rFonts w:cs="Arial"/>
          <w:b/>
          <w:i/>
        </w:rPr>
      </w:pPr>
      <w:r w:rsidRPr="00EE5230">
        <w:rPr>
          <w:rFonts w:cs="Arial"/>
          <w:b/>
          <w:bCs/>
          <w:i/>
        </w:rPr>
        <w:t xml:space="preserve">2.4. </w:t>
      </w:r>
      <w:r w:rsidRPr="00EE5230">
        <w:rPr>
          <w:rFonts w:cs="Arial"/>
          <w:b/>
          <w:i/>
        </w:rPr>
        <w:t>Synthesis of aminoethyl acrylamide (</w:t>
      </w:r>
      <w:proofErr w:type="spellStart"/>
      <w:r w:rsidRPr="00EE5230">
        <w:rPr>
          <w:rFonts w:cs="Arial"/>
          <w:b/>
          <w:i/>
        </w:rPr>
        <w:t>AEAm</w:t>
      </w:r>
      <w:proofErr w:type="spellEnd"/>
      <w:r w:rsidRPr="00EE5230">
        <w:rPr>
          <w:rFonts w:cs="Arial"/>
          <w:b/>
          <w:i/>
        </w:rPr>
        <w:t>)</w:t>
      </w:r>
    </w:p>
    <w:p w14:paraId="61841EB9" w14:textId="77777777" w:rsidR="00EE5230" w:rsidRPr="00EE5230" w:rsidRDefault="00EE5230" w:rsidP="00EE5230">
      <w:pPr>
        <w:rPr>
          <w:rFonts w:cs="Arial"/>
        </w:rPr>
      </w:pPr>
      <w:r w:rsidRPr="00EE5230">
        <w:rPr>
          <w:rFonts w:cs="Arial"/>
        </w:rPr>
        <w:t>60 ml 4 M HCl in dioxane was injected onto Boc-</w:t>
      </w:r>
      <w:proofErr w:type="spellStart"/>
      <w:r w:rsidRPr="00EE5230">
        <w:rPr>
          <w:rFonts w:cs="Arial"/>
        </w:rPr>
        <w:t>AEAm</w:t>
      </w:r>
      <w:proofErr w:type="spellEnd"/>
      <w:r w:rsidRPr="00EE5230">
        <w:rPr>
          <w:rFonts w:cs="Arial"/>
        </w:rPr>
        <w:t xml:space="preserve"> (10 g, 47 mmol) in a 100 ml flask. After 4 h reaction, the yellowish powder (</w:t>
      </w:r>
      <w:proofErr w:type="spellStart"/>
      <w:r w:rsidRPr="00EE5230">
        <w:rPr>
          <w:rFonts w:cs="Arial"/>
        </w:rPr>
        <w:t>AEAm</w:t>
      </w:r>
      <w:proofErr w:type="spellEnd"/>
      <w:r w:rsidRPr="00EE5230">
        <w:rPr>
          <w:rFonts w:cs="Arial"/>
        </w:rPr>
        <w:t xml:space="preserve">) was collected and washed thoroughly with cold diethyl ether. The powder was poured into 100 mL of cold diethyl ether under stirring for 1 hour then filtered and dried for 48 hours under vacuum at 30 °C. The highly hygroscopic product was stored at -20 °C with caution to avoid water absorption. Isolated yield: 96.6 %. </w:t>
      </w:r>
      <w:r w:rsidRPr="00EE5230">
        <w:rPr>
          <w:rFonts w:cs="Arial"/>
          <w:vertAlign w:val="superscript"/>
        </w:rPr>
        <w:t>1</w:t>
      </w:r>
      <w:r w:rsidRPr="00EE5230">
        <w:rPr>
          <w:rFonts w:cs="Arial"/>
        </w:rPr>
        <w:t>H NMR (D</w:t>
      </w:r>
      <w:r w:rsidRPr="00EE5230">
        <w:rPr>
          <w:rFonts w:cs="Arial"/>
          <w:vertAlign w:val="subscript"/>
        </w:rPr>
        <w:t>2</w:t>
      </w:r>
      <w:r w:rsidRPr="00EE5230">
        <w:rPr>
          <w:rFonts w:cs="Arial"/>
        </w:rPr>
        <w:t>O): δ 3.18 (m, 2H, CH</w:t>
      </w:r>
      <w:r w:rsidRPr="00EE5230">
        <w:rPr>
          <w:rFonts w:cs="Arial"/>
          <w:vertAlign w:val="subscript"/>
        </w:rPr>
        <w:t>2</w:t>
      </w:r>
      <w:r w:rsidRPr="00EE5230">
        <w:rPr>
          <w:rFonts w:cs="Arial"/>
        </w:rPr>
        <w:t>-protonated amine), 3.58 (m, 2H, CH</w:t>
      </w:r>
      <w:r w:rsidRPr="00EE5230">
        <w:rPr>
          <w:rFonts w:cs="Arial"/>
          <w:vertAlign w:val="subscript"/>
        </w:rPr>
        <w:t>2</w:t>
      </w:r>
      <w:r w:rsidRPr="00EE5230">
        <w:rPr>
          <w:rFonts w:cs="Arial"/>
        </w:rPr>
        <w:t>-amide), 5.75-5.84 (m, 1H, =CH), 6.17-6.33 (m, 2H, CH</w:t>
      </w:r>
      <w:r w:rsidRPr="00EE5230">
        <w:rPr>
          <w:rFonts w:cs="Arial"/>
          <w:vertAlign w:val="subscript"/>
        </w:rPr>
        <w:t>2</w:t>
      </w:r>
      <w:r w:rsidRPr="00EE5230">
        <w:rPr>
          <w:rFonts w:cs="Arial"/>
        </w:rPr>
        <w:t xml:space="preserve">=) (Figure S2). ESI-MS: 115.08 m/z and 229.16 m/z corresponding to the desired product and the Michael addition adduct respectively (Figure S3). NMR calculation for purity: 94 % of </w:t>
      </w:r>
      <w:proofErr w:type="spellStart"/>
      <w:r w:rsidRPr="00EE5230">
        <w:rPr>
          <w:rFonts w:cs="Arial"/>
        </w:rPr>
        <w:t>AEAm</w:t>
      </w:r>
      <w:proofErr w:type="spellEnd"/>
      <w:r w:rsidRPr="00EE5230">
        <w:rPr>
          <w:rFonts w:cs="Arial"/>
        </w:rPr>
        <w:t xml:space="preserve"> and 6% of the side-product (Figure S2).</w:t>
      </w:r>
    </w:p>
    <w:p w14:paraId="249B9B98" w14:textId="77777777" w:rsidR="00EE5230" w:rsidRPr="00EE5230" w:rsidRDefault="00EE5230" w:rsidP="00EE5230">
      <w:pPr>
        <w:ind w:firstLine="426"/>
        <w:rPr>
          <w:rFonts w:cs="Arial"/>
        </w:rPr>
      </w:pPr>
    </w:p>
    <w:p w14:paraId="00ACCE6B" w14:textId="77777777" w:rsidR="00EE5230" w:rsidRPr="00EE5230" w:rsidRDefault="00EE5230" w:rsidP="00EE5230">
      <w:pPr>
        <w:rPr>
          <w:rFonts w:cs="Arial"/>
          <w:b/>
          <w:i/>
        </w:rPr>
      </w:pPr>
      <w:r w:rsidRPr="00EE5230">
        <w:rPr>
          <w:rFonts w:cs="Arial"/>
          <w:b/>
          <w:bCs/>
          <w:i/>
        </w:rPr>
        <w:t xml:space="preserve">2.5. </w:t>
      </w:r>
      <w:r w:rsidRPr="00EE5230">
        <w:rPr>
          <w:rFonts w:cs="Arial"/>
          <w:b/>
          <w:i/>
        </w:rPr>
        <w:t>Synthesis of the imidazolium bis-acrylamide crosslinker (</w:t>
      </w:r>
      <w:proofErr w:type="spellStart"/>
      <w:r w:rsidRPr="00EE5230">
        <w:rPr>
          <w:rFonts w:cs="Arial"/>
          <w:b/>
          <w:i/>
        </w:rPr>
        <w:t>IBAm</w:t>
      </w:r>
      <w:proofErr w:type="spellEnd"/>
      <w:r w:rsidRPr="00EE5230">
        <w:rPr>
          <w:rFonts w:cs="Arial"/>
          <w:b/>
          <w:i/>
        </w:rPr>
        <w:t>).</w:t>
      </w:r>
    </w:p>
    <w:p w14:paraId="00779B31" w14:textId="77777777" w:rsidR="00EE5230" w:rsidRPr="00EE5230" w:rsidRDefault="00EE5230" w:rsidP="00EE5230">
      <w:pPr>
        <w:rPr>
          <w:rFonts w:cs="Arial"/>
        </w:rPr>
      </w:pPr>
      <w:r w:rsidRPr="00EE5230">
        <w:rPr>
          <w:rFonts w:cs="Arial"/>
        </w:rPr>
        <w:t xml:space="preserve">In reaction tube, 5 mmol of </w:t>
      </w:r>
      <w:proofErr w:type="spellStart"/>
      <w:r w:rsidRPr="00EE5230">
        <w:rPr>
          <w:rFonts w:cs="Arial"/>
        </w:rPr>
        <w:t>AEAm</w:t>
      </w:r>
      <w:proofErr w:type="spellEnd"/>
      <w:r w:rsidRPr="00EE5230">
        <w:rPr>
          <w:rFonts w:cs="Arial"/>
        </w:rPr>
        <w:t xml:space="preserve"> (753 mg) was dissolved in 5 or 1.5 ml of </w:t>
      </w:r>
      <w:proofErr w:type="spellStart"/>
      <w:r w:rsidRPr="00EE5230">
        <w:rPr>
          <w:rFonts w:cs="Arial"/>
        </w:rPr>
        <w:t>MiliQ</w:t>
      </w:r>
      <w:proofErr w:type="spellEnd"/>
      <w:r w:rsidRPr="00EE5230">
        <w:rPr>
          <w:rFonts w:cs="Arial"/>
        </w:rPr>
        <w:t xml:space="preserve"> water. Depending on the trial, acetic acid (15, 12.5 or 0 mmol) and/or sodium acetate (0,2, 5 or 7.5 mmol) were added. Solutions of formaldehyde (37 </w:t>
      </w:r>
      <w:proofErr w:type="spellStart"/>
      <w:r w:rsidRPr="00EE5230">
        <w:rPr>
          <w:rFonts w:cs="Arial"/>
        </w:rPr>
        <w:t>wt</w:t>
      </w:r>
      <w:proofErr w:type="spellEnd"/>
      <w:r w:rsidRPr="00EE5230">
        <w:rPr>
          <w:rFonts w:cs="Arial"/>
        </w:rPr>
        <w:t xml:space="preserve">% in water, 2.5 mmol, 203 mg) and glyoxal (40 </w:t>
      </w:r>
      <w:proofErr w:type="spellStart"/>
      <w:r w:rsidRPr="00EE5230">
        <w:rPr>
          <w:rFonts w:cs="Arial"/>
        </w:rPr>
        <w:t>wt</w:t>
      </w:r>
      <w:proofErr w:type="spellEnd"/>
      <w:r w:rsidRPr="00EE5230">
        <w:rPr>
          <w:rFonts w:cs="Arial"/>
        </w:rPr>
        <w:t xml:space="preserve">% in water, 2.5 mmol, 363 mg) were put in the reaction mixture. The reactions were carried out at room temperature under air. After for 1 hour, the solutions were drawn under reduced pressure at 30 °C to remove the volatile residual compounds and concentrate the solution. Sample were </w:t>
      </w:r>
      <w:proofErr w:type="spellStart"/>
      <w:r w:rsidRPr="00EE5230">
        <w:rPr>
          <w:rFonts w:cs="Arial"/>
        </w:rPr>
        <w:t>analyzed</w:t>
      </w:r>
      <w:proofErr w:type="spellEnd"/>
      <w:r w:rsidRPr="00EE5230">
        <w:rPr>
          <w:rFonts w:cs="Arial"/>
        </w:rPr>
        <w:t xml:space="preserve"> by </w:t>
      </w:r>
      <w:r w:rsidRPr="00EE5230">
        <w:rPr>
          <w:rFonts w:cs="Arial"/>
          <w:vertAlign w:val="superscript"/>
        </w:rPr>
        <w:t>1</w:t>
      </w:r>
      <w:r w:rsidRPr="00EE5230">
        <w:rPr>
          <w:rFonts w:cs="Arial"/>
        </w:rPr>
        <w:t>H NMR in D</w:t>
      </w:r>
      <w:r w:rsidRPr="00EE5230">
        <w:rPr>
          <w:rFonts w:cs="Arial"/>
          <w:vertAlign w:val="subscript"/>
        </w:rPr>
        <w:t>2</w:t>
      </w:r>
      <w:r w:rsidRPr="00EE5230">
        <w:rPr>
          <w:rFonts w:cs="Arial"/>
        </w:rPr>
        <w:t xml:space="preserve">O (Figure S4). The conversions were calculated based on NMR integrals, according to the following equation: </w:t>
      </w:r>
    </w:p>
    <w:p w14:paraId="078962C0" w14:textId="77777777" w:rsidR="00EE5230" w:rsidRPr="00EE5230" w:rsidRDefault="00EE5230" w:rsidP="00EE5230">
      <w:pPr>
        <w:rPr>
          <w:rFonts w:cs="Arial"/>
        </w:rPr>
      </w:pPr>
      <m:oMathPara>
        <m:oMath>
          <m:r>
            <w:rPr>
              <w:rFonts w:ascii="Cambria Math" w:hAnsi="Cambria Math" w:cs="Arial"/>
            </w:rPr>
            <m:t xml:space="preserve">Conv. = </m:t>
          </m:r>
          <m:f>
            <m:fPr>
              <m:ctrlPr>
                <w:rPr>
                  <w:rFonts w:ascii="Cambria Math" w:hAnsi="Cambria Math" w:cs="Arial"/>
                  <w:i/>
                </w:rPr>
              </m:ctrlPr>
            </m:fPr>
            <m:num>
              <m:r>
                <w:rPr>
                  <w:rFonts w:ascii="Cambria Math" w:hAnsi="Cambria Math" w:cs="Arial"/>
                </w:rPr>
                <m:t xml:space="preserve">2* </m:t>
              </m:r>
              <m:nary>
                <m:naryPr>
                  <m:limLoc m:val="undOvr"/>
                  <m:subHide m:val="1"/>
                  <m:supHide m:val="1"/>
                  <m:ctrlPr>
                    <w:rPr>
                      <w:rFonts w:ascii="Cambria Math" w:hAnsi="Cambria Math" w:cs="Arial"/>
                      <w:i/>
                    </w:rPr>
                  </m:ctrlPr>
                </m:naryPr>
                <m:sub/>
                <m:sup/>
                <m:e>
                  <m:r>
                    <w:rPr>
                      <w:rFonts w:ascii="Cambria Math" w:hAnsi="Cambria Math" w:cs="Arial"/>
                    </w:rPr>
                    <m:t>g</m:t>
                  </m:r>
                </m:e>
              </m:nary>
            </m:num>
            <m:den>
              <m:nary>
                <m:naryPr>
                  <m:limLoc m:val="undOvr"/>
                  <m:subHide m:val="1"/>
                  <m:supHide m:val="1"/>
                  <m:ctrlPr>
                    <w:rPr>
                      <w:rFonts w:ascii="Cambria Math" w:hAnsi="Cambria Math" w:cs="Arial"/>
                      <w:i/>
                    </w:rPr>
                  </m:ctrlPr>
                </m:naryPr>
                <m:sub/>
                <m:sup/>
                <m:e>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 c'</m:t>
                  </m:r>
                </m:e>
              </m:nary>
              <m:r>
                <w:rPr>
                  <w:rFonts w:ascii="Cambria Math" w:hAnsi="Cambria Math" w:cs="Arial"/>
                </w:rPr>
                <m:t>+</m:t>
              </m:r>
              <m:nary>
                <m:naryPr>
                  <m:limLoc m:val="undOvr"/>
                  <m:subHide m:val="1"/>
                  <m:supHide m:val="1"/>
                  <m:ctrlPr>
                    <w:rPr>
                      <w:rFonts w:ascii="Cambria Math" w:hAnsi="Cambria Math" w:cs="Arial"/>
                      <w:i/>
                    </w:rPr>
                  </m:ctrlPr>
                </m:naryPr>
                <m:sub/>
                <m:sup/>
                <m:e>
                  <m:r>
                    <w:rPr>
                      <w:rFonts w:ascii="Cambria Math" w:hAnsi="Cambria Math" w:cs="Arial"/>
                    </w:rPr>
                    <m:t>b,c</m:t>
                  </m:r>
                </m:e>
              </m:nary>
            </m:den>
          </m:f>
        </m:oMath>
      </m:oMathPara>
    </w:p>
    <w:p w14:paraId="3C9E045A" w14:textId="77777777" w:rsidR="00EE5230" w:rsidRPr="00EE5230" w:rsidRDefault="00EE5230" w:rsidP="00EE5230">
      <w:pPr>
        <w:rPr>
          <w:rFonts w:cs="Arial"/>
        </w:rPr>
      </w:pPr>
      <w:r w:rsidRPr="00EE5230">
        <w:rPr>
          <w:rFonts w:cs="Arial"/>
        </w:rPr>
        <w:t xml:space="preserve">were the signal g </w:t>
      </w:r>
      <w:proofErr w:type="gramStart"/>
      <w:r w:rsidRPr="00EE5230">
        <w:rPr>
          <w:rFonts w:cs="Arial"/>
        </w:rPr>
        <w:t>corresponds</w:t>
      </w:r>
      <w:proofErr w:type="gramEnd"/>
      <w:r w:rsidRPr="00EE5230">
        <w:rPr>
          <w:rFonts w:cs="Arial"/>
        </w:rPr>
        <w:t xml:space="preserve"> to the aromatic protons, b’ and c’ correspond to the vinylic protons of IDA while b and c correspond to the vinylic protons of </w:t>
      </w:r>
      <w:proofErr w:type="spellStart"/>
      <w:r w:rsidRPr="00EE5230">
        <w:rPr>
          <w:rFonts w:cs="Arial"/>
        </w:rPr>
        <w:t>AEAm</w:t>
      </w:r>
      <w:proofErr w:type="spellEnd"/>
      <w:r w:rsidRPr="00EE5230">
        <w:rPr>
          <w:rFonts w:cs="Arial"/>
        </w:rPr>
        <w:t xml:space="preserve">. The vinylic protons of both </w:t>
      </w:r>
      <w:proofErr w:type="spellStart"/>
      <w:r w:rsidRPr="00EE5230">
        <w:rPr>
          <w:rFonts w:cs="Arial"/>
        </w:rPr>
        <w:t>AEAm</w:t>
      </w:r>
      <w:proofErr w:type="spellEnd"/>
      <w:r w:rsidRPr="00EE5230">
        <w:rPr>
          <w:rFonts w:cs="Arial"/>
        </w:rPr>
        <w:t xml:space="preserve"> and IDA being indistinguishable, they were integrated together. The results of the different reactions are presented in Table 1.</w:t>
      </w:r>
    </w:p>
    <w:p w14:paraId="1519BC6C" w14:textId="77777777" w:rsidR="00EE5230" w:rsidRPr="00EE5230" w:rsidRDefault="00EE5230" w:rsidP="00EE5230">
      <w:pPr>
        <w:rPr>
          <w:rFonts w:cs="Arial"/>
        </w:rPr>
      </w:pPr>
    </w:p>
    <w:p w14:paraId="175E3FCC" w14:textId="77777777" w:rsidR="00EE5230" w:rsidRPr="00EE5230" w:rsidRDefault="00EE5230" w:rsidP="00EE5230">
      <w:pPr>
        <w:rPr>
          <w:rFonts w:cs="Arial"/>
          <w:b/>
          <w:i/>
        </w:rPr>
      </w:pPr>
      <w:r w:rsidRPr="00EE5230">
        <w:rPr>
          <w:rFonts w:cs="Arial"/>
          <w:b/>
          <w:i/>
        </w:rPr>
        <w:t xml:space="preserve">2.6. Synthesis of </w:t>
      </w:r>
      <w:proofErr w:type="gramStart"/>
      <w:r w:rsidRPr="00EE5230">
        <w:rPr>
          <w:rFonts w:cs="Arial"/>
          <w:b/>
          <w:i/>
        </w:rPr>
        <w:t>imidazolium-based</w:t>
      </w:r>
      <w:proofErr w:type="gramEnd"/>
      <w:r w:rsidRPr="00EE5230">
        <w:rPr>
          <w:rFonts w:cs="Arial"/>
          <w:b/>
          <w:i/>
        </w:rPr>
        <w:t xml:space="preserve"> PHs (PH</w:t>
      </w:r>
      <w:r w:rsidRPr="00EE5230">
        <w:rPr>
          <w:rFonts w:cs="Arial"/>
          <w:b/>
          <w:i/>
          <w:vertAlign w:val="subscript"/>
        </w:rPr>
        <w:t>100</w:t>
      </w:r>
      <w:r w:rsidRPr="00EE5230">
        <w:rPr>
          <w:rFonts w:cs="Arial"/>
          <w:b/>
          <w:i/>
        </w:rPr>
        <w:t xml:space="preserve">). </w:t>
      </w:r>
    </w:p>
    <w:p w14:paraId="15C2304E" w14:textId="77777777" w:rsidR="00EE5230" w:rsidRPr="00EE5230" w:rsidRDefault="00EE5230" w:rsidP="00EE5230">
      <w:pPr>
        <w:rPr>
          <w:rFonts w:cs="Arial"/>
        </w:rPr>
      </w:pPr>
      <w:r w:rsidRPr="00EE5230">
        <w:rPr>
          <w:rFonts w:cs="Arial"/>
        </w:rPr>
        <w:t xml:space="preserve">In a reaction tube, </w:t>
      </w:r>
      <w:proofErr w:type="spellStart"/>
      <w:r w:rsidRPr="00EE5230">
        <w:rPr>
          <w:rFonts w:cs="Arial"/>
        </w:rPr>
        <w:t>AEAm</w:t>
      </w:r>
      <w:proofErr w:type="spellEnd"/>
      <w:r w:rsidRPr="00EE5230">
        <w:rPr>
          <w:rFonts w:cs="Arial"/>
        </w:rPr>
        <w:t xml:space="preserve"> (1.506 g, 10 mmol), formaldehyde (37 </w:t>
      </w:r>
      <w:proofErr w:type="spellStart"/>
      <w:r w:rsidRPr="00EE5230">
        <w:rPr>
          <w:rFonts w:cs="Arial"/>
        </w:rPr>
        <w:t>wt</w:t>
      </w:r>
      <w:proofErr w:type="spellEnd"/>
      <w:r w:rsidRPr="00EE5230">
        <w:rPr>
          <w:rFonts w:cs="Arial"/>
        </w:rPr>
        <w:t xml:space="preserve">% in water, 0.410 g, 5 mmol), glyoxal (40 </w:t>
      </w:r>
      <w:proofErr w:type="spellStart"/>
      <w:r w:rsidRPr="00EE5230">
        <w:rPr>
          <w:rFonts w:cs="Arial"/>
        </w:rPr>
        <w:t>wt</w:t>
      </w:r>
      <w:proofErr w:type="spellEnd"/>
      <w:r w:rsidRPr="00EE5230">
        <w:rPr>
          <w:rFonts w:cs="Arial"/>
        </w:rPr>
        <w:t xml:space="preserve">% in water, 0.726 g, 5 mmol), sodium acetate (1.231 g, 15 mmol) </w:t>
      </w:r>
      <w:proofErr w:type="gramStart"/>
      <w:r w:rsidRPr="00EE5230">
        <w:rPr>
          <w:rFonts w:cs="Arial"/>
        </w:rPr>
        <w:t>were</w:t>
      </w:r>
      <w:proofErr w:type="gramEnd"/>
      <w:r w:rsidRPr="00EE5230">
        <w:rPr>
          <w:rFonts w:cs="Arial"/>
        </w:rPr>
        <w:t xml:space="preserve"> dissolved in water (3 g). After 1 hour at room temperature, the surfactant PEF68 </w:t>
      </w:r>
      <w:r w:rsidRPr="00EE5230">
        <w:rPr>
          <w:rFonts w:cs="Arial"/>
        </w:rPr>
        <w:lastRenderedPageBreak/>
        <w:t xml:space="preserve">(0.346 g, 5 w% of the total aqueous phase) and VA-044 (65 mg, 0.2 mmol) were added to the reaction mixture, followed by dropwise addition of cyclohexane (15.59 g, 20.026 mL, 75 v% of the total emulsion) under mechanical stirring (500 rpm). The resulting HIPE emulsions were put under argon after brief flushing to remove oxygen and cured at 60 °C for 5 hours. Finally, the materials produced accordingly were immersed in MeOH/THF (1:1 </w:t>
      </w:r>
      <w:proofErr w:type="gramStart"/>
      <w:r w:rsidRPr="00EE5230">
        <w:rPr>
          <w:rFonts w:cs="Arial"/>
        </w:rPr>
        <w:t>v:v</w:t>
      </w:r>
      <w:proofErr w:type="gramEnd"/>
      <w:r w:rsidRPr="00EE5230">
        <w:rPr>
          <w:rFonts w:cs="Arial"/>
        </w:rPr>
        <w:t xml:space="preserve">) followed by a short immersion in water for washing (2 hours). The samples were then freeze-dried. </w:t>
      </w:r>
    </w:p>
    <w:p w14:paraId="55C3E6D8" w14:textId="77777777" w:rsidR="00EE5230" w:rsidRPr="00EE5230" w:rsidRDefault="00EE5230" w:rsidP="00EE5230">
      <w:pPr>
        <w:rPr>
          <w:rFonts w:cs="Arial"/>
          <w:b/>
        </w:rPr>
      </w:pPr>
    </w:p>
    <w:p w14:paraId="577BC362" w14:textId="77777777" w:rsidR="00EE5230" w:rsidRPr="00EE5230" w:rsidRDefault="00EE5230" w:rsidP="00EE5230">
      <w:pPr>
        <w:rPr>
          <w:rFonts w:cs="Arial"/>
          <w:b/>
          <w:i/>
        </w:rPr>
      </w:pPr>
      <w:r w:rsidRPr="00EE5230">
        <w:rPr>
          <w:rFonts w:cs="Arial"/>
          <w:b/>
          <w:i/>
        </w:rPr>
        <w:t>2.7. Synthesis of bifunctional amine/</w:t>
      </w:r>
      <w:proofErr w:type="gramStart"/>
      <w:r w:rsidRPr="00EE5230">
        <w:rPr>
          <w:rFonts w:cs="Arial"/>
          <w:b/>
          <w:i/>
        </w:rPr>
        <w:t>imidazolium-based</w:t>
      </w:r>
      <w:proofErr w:type="gramEnd"/>
      <w:r w:rsidRPr="00EE5230">
        <w:rPr>
          <w:rFonts w:cs="Arial"/>
          <w:b/>
          <w:i/>
        </w:rPr>
        <w:t xml:space="preserve"> PHs (PH</w:t>
      </w:r>
      <w:r w:rsidRPr="00EE5230">
        <w:rPr>
          <w:rFonts w:cs="Arial"/>
          <w:b/>
          <w:i/>
          <w:vertAlign w:val="subscript"/>
        </w:rPr>
        <w:t xml:space="preserve">33 </w:t>
      </w:r>
      <w:r w:rsidRPr="00EE5230">
        <w:rPr>
          <w:rFonts w:cs="Arial"/>
          <w:b/>
          <w:i/>
        </w:rPr>
        <w:t>and PH</w:t>
      </w:r>
      <w:r w:rsidRPr="00EE5230">
        <w:rPr>
          <w:rFonts w:cs="Arial"/>
          <w:b/>
          <w:i/>
          <w:vertAlign w:val="subscript"/>
        </w:rPr>
        <w:t>11</w:t>
      </w:r>
      <w:r w:rsidRPr="00EE5230">
        <w:rPr>
          <w:rFonts w:cs="Arial"/>
          <w:b/>
          <w:i/>
        </w:rPr>
        <w:t>).</w:t>
      </w:r>
    </w:p>
    <w:p w14:paraId="42037B6A" w14:textId="77777777" w:rsidR="00EE5230" w:rsidRPr="00EE5230" w:rsidRDefault="00EE5230" w:rsidP="00EE5230">
      <w:pPr>
        <w:rPr>
          <w:rFonts w:cs="Arial"/>
        </w:rPr>
      </w:pPr>
      <w:r w:rsidRPr="00EE5230">
        <w:rPr>
          <w:rFonts w:cs="Arial"/>
        </w:rPr>
        <w:t xml:space="preserve">In a reaction tube, </w:t>
      </w:r>
      <w:proofErr w:type="spellStart"/>
      <w:r w:rsidRPr="00EE5230">
        <w:rPr>
          <w:rFonts w:cs="Arial"/>
        </w:rPr>
        <w:t>AEAm</w:t>
      </w:r>
      <w:proofErr w:type="spellEnd"/>
      <w:r w:rsidRPr="00EE5230">
        <w:rPr>
          <w:rFonts w:cs="Arial"/>
        </w:rPr>
        <w:t xml:space="preserve"> (5 or 2 mmol), formaldehyde (2.5 or 1 mmol), glyoxal (2.5 or 1 mmol) and sodium acetate (7.5 or 3 mmol) were dissolved in water (1.5 or 0.6 mL). After 1 hour at room temperature, fresh </w:t>
      </w:r>
      <w:proofErr w:type="spellStart"/>
      <w:r w:rsidRPr="00EE5230">
        <w:rPr>
          <w:rFonts w:cs="Arial"/>
        </w:rPr>
        <w:t>AEAm</w:t>
      </w:r>
      <w:proofErr w:type="spellEnd"/>
      <w:r w:rsidRPr="00EE5230">
        <w:rPr>
          <w:rFonts w:cs="Arial"/>
        </w:rPr>
        <w:t xml:space="preserve"> (5 or 8 mmol), water (1.5 or 2.4 mL), PEF68 (0.288 or 0.252 g, 5 w% of the total aqueous phase) and VA-044 (65 mg, 0.2 mmol) were added to the reaction mixture before emulsification by dropwise addition of cyclohexane (13.40 or 12.09 g, 75 v% of the total emulsion) under mechanical stirring (500 rpm). The resulting HIPE emulsions were put under argon after brief flushing to remove oxygen and cured at 60 °C for 5 hours. Finally, the materials produced accordingly were immersed in MeOH/THF (1:1 </w:t>
      </w:r>
      <w:proofErr w:type="gramStart"/>
      <w:r w:rsidRPr="00EE5230">
        <w:rPr>
          <w:rFonts w:cs="Arial"/>
        </w:rPr>
        <w:t>v:v</w:t>
      </w:r>
      <w:proofErr w:type="gramEnd"/>
      <w:r w:rsidRPr="00EE5230">
        <w:rPr>
          <w:rFonts w:cs="Arial"/>
        </w:rPr>
        <w:t>) followed by a short immersion in water for washing (2 hours). The samples were then freeze-dried.</w:t>
      </w:r>
    </w:p>
    <w:p w14:paraId="1AA2722B" w14:textId="77777777" w:rsidR="00EE5230" w:rsidRPr="00EE5230" w:rsidRDefault="00EE5230" w:rsidP="00EE5230">
      <w:pPr>
        <w:rPr>
          <w:rFonts w:cs="Arial"/>
          <w:b/>
        </w:rPr>
      </w:pPr>
    </w:p>
    <w:p w14:paraId="65029B3C" w14:textId="77777777" w:rsidR="00EE5230" w:rsidRPr="00EE5230" w:rsidRDefault="00EE5230" w:rsidP="00EE5230">
      <w:pPr>
        <w:rPr>
          <w:rFonts w:cs="Arial"/>
          <w:b/>
          <w:i/>
        </w:rPr>
      </w:pPr>
      <w:r w:rsidRPr="00EE5230">
        <w:rPr>
          <w:rFonts w:cs="Arial"/>
          <w:b/>
          <w:i/>
        </w:rPr>
        <w:t>2.8. Synthesis of the amine-based PH (PH</w:t>
      </w:r>
      <w:r w:rsidRPr="00EE5230">
        <w:rPr>
          <w:rFonts w:cs="Arial"/>
          <w:b/>
          <w:i/>
          <w:vertAlign w:val="subscript"/>
        </w:rPr>
        <w:t>0</w:t>
      </w:r>
      <w:r w:rsidRPr="00EE5230">
        <w:rPr>
          <w:rFonts w:cs="Arial"/>
          <w:b/>
          <w:i/>
        </w:rPr>
        <w:t xml:space="preserve">). </w:t>
      </w:r>
    </w:p>
    <w:p w14:paraId="300A2ECE" w14:textId="77777777" w:rsidR="00EE5230" w:rsidRPr="00EE5230" w:rsidRDefault="00EE5230" w:rsidP="00EE5230">
      <w:pPr>
        <w:rPr>
          <w:rFonts w:cs="Arial"/>
        </w:rPr>
      </w:pPr>
      <w:r w:rsidRPr="00EE5230">
        <w:rPr>
          <w:rFonts w:cs="Arial"/>
        </w:rPr>
        <w:t xml:space="preserve">In a reaction tube, </w:t>
      </w:r>
      <w:proofErr w:type="spellStart"/>
      <w:r w:rsidRPr="00EE5230">
        <w:rPr>
          <w:rFonts w:cs="Arial"/>
        </w:rPr>
        <w:t>AEAm</w:t>
      </w:r>
      <w:proofErr w:type="spellEnd"/>
      <w:r w:rsidRPr="00EE5230">
        <w:rPr>
          <w:rFonts w:cs="Arial"/>
        </w:rPr>
        <w:t xml:space="preserve">-HCl (8 mmol) and </w:t>
      </w:r>
      <w:proofErr w:type="gramStart"/>
      <w:r w:rsidRPr="00EE5230">
        <w:rPr>
          <w:rFonts w:cs="Arial"/>
          <w:i/>
        </w:rPr>
        <w:t>N</w:t>
      </w:r>
      <w:r w:rsidRPr="00EE5230">
        <w:rPr>
          <w:rFonts w:cs="Arial"/>
        </w:rPr>
        <w:t>,</w:t>
      </w:r>
      <w:r w:rsidRPr="00EE5230">
        <w:rPr>
          <w:rFonts w:cs="Arial"/>
          <w:i/>
        </w:rPr>
        <w:t>N</w:t>
      </w:r>
      <w:proofErr w:type="gramEnd"/>
      <w:r w:rsidRPr="00EE5230">
        <w:rPr>
          <w:rFonts w:cs="Arial"/>
        </w:rPr>
        <w:t>'-</w:t>
      </w:r>
      <w:proofErr w:type="spellStart"/>
      <w:r w:rsidRPr="00EE5230">
        <w:rPr>
          <w:rFonts w:cs="Arial"/>
        </w:rPr>
        <w:t>methylenebisacrylamide</w:t>
      </w:r>
      <w:proofErr w:type="spellEnd"/>
      <w:r w:rsidRPr="00EE5230">
        <w:rPr>
          <w:rFonts w:cs="Arial"/>
        </w:rPr>
        <w:t xml:space="preserve">  (1 mmol) were dissolved in water (3.7 mL) with PEF68 (0.268, 5 w% of the total aqueous phase) and VA-044 (65 mg, 0.2 mmol). The emulsification was performed by dropwise addition of cyclohexane (13.127 g, 75v% of the total emulsion) under mechanical stirring (500 rpm). The resulting HIPE emulsion was put under argon after brief flushing to remove oxygen and cured at 60 °C for 5 hours. Finally, the material produced accordingly was immersed in MeOH/THF (1:1 </w:t>
      </w:r>
      <w:proofErr w:type="gramStart"/>
      <w:r w:rsidRPr="00EE5230">
        <w:rPr>
          <w:rFonts w:cs="Arial"/>
        </w:rPr>
        <w:t>v:v</w:t>
      </w:r>
      <w:proofErr w:type="gramEnd"/>
      <w:r w:rsidRPr="00EE5230">
        <w:rPr>
          <w:rFonts w:cs="Arial"/>
        </w:rPr>
        <w:t>) followed by immersion in 100 mL of aqueous solution of NaHCO</w:t>
      </w:r>
      <w:r w:rsidRPr="00EE5230">
        <w:rPr>
          <w:rFonts w:cs="Arial"/>
          <w:vertAlign w:val="subscript"/>
        </w:rPr>
        <w:t xml:space="preserve">3 </w:t>
      </w:r>
      <w:r w:rsidRPr="00EE5230">
        <w:rPr>
          <w:rFonts w:cs="Arial"/>
        </w:rPr>
        <w:t xml:space="preserve">(0.2 M) at +6 °C under gentle stirring. The sample was then immersed in </w:t>
      </w:r>
      <w:proofErr w:type="spellStart"/>
      <w:r w:rsidRPr="00EE5230">
        <w:rPr>
          <w:rFonts w:cs="Arial"/>
        </w:rPr>
        <w:t>MiliQ</w:t>
      </w:r>
      <w:proofErr w:type="spellEnd"/>
      <w:r w:rsidRPr="00EE5230">
        <w:rPr>
          <w:rFonts w:cs="Arial"/>
        </w:rPr>
        <w:t xml:space="preserve"> water for washing the excess of salt eventually freeze-dried.</w:t>
      </w:r>
    </w:p>
    <w:p w14:paraId="11B25ECB" w14:textId="77777777" w:rsidR="00EE5230" w:rsidRPr="00EE5230" w:rsidRDefault="00EE5230" w:rsidP="00EE5230">
      <w:pPr>
        <w:rPr>
          <w:rFonts w:cs="Arial"/>
        </w:rPr>
      </w:pPr>
    </w:p>
    <w:p w14:paraId="02EB4FF1" w14:textId="77777777" w:rsidR="00EE5230" w:rsidRPr="00EE5230" w:rsidRDefault="00EE5230" w:rsidP="00EE5230">
      <w:pPr>
        <w:rPr>
          <w:rFonts w:cs="Arial"/>
          <w:b/>
          <w:i/>
        </w:rPr>
      </w:pPr>
      <w:r w:rsidRPr="00EE5230">
        <w:rPr>
          <w:rFonts w:cs="Arial"/>
          <w:b/>
          <w:i/>
        </w:rPr>
        <w:t>2.9. Synthesis of nonporous networks (NPN</w:t>
      </w:r>
      <w:r w:rsidRPr="00EE5230">
        <w:rPr>
          <w:rFonts w:cs="Arial"/>
          <w:b/>
          <w:i/>
          <w:vertAlign w:val="subscript"/>
        </w:rPr>
        <w:t>100-0</w:t>
      </w:r>
      <w:r w:rsidRPr="00EE5230">
        <w:rPr>
          <w:rFonts w:cs="Arial"/>
          <w:b/>
          <w:i/>
        </w:rPr>
        <w:t xml:space="preserve">). </w:t>
      </w:r>
    </w:p>
    <w:p w14:paraId="18667AE3" w14:textId="77777777" w:rsidR="00EE5230" w:rsidRPr="00EE5230" w:rsidRDefault="00EE5230" w:rsidP="00EE5230">
      <w:pPr>
        <w:rPr>
          <w:rFonts w:cs="Arial"/>
        </w:rPr>
      </w:pPr>
      <w:r w:rsidRPr="00EE5230">
        <w:rPr>
          <w:rFonts w:cs="Arial"/>
        </w:rPr>
        <w:t>The corresponding pure imidazolium (NPN</w:t>
      </w:r>
      <w:r w:rsidRPr="00EE5230">
        <w:rPr>
          <w:rFonts w:cs="Arial"/>
          <w:vertAlign w:val="subscript"/>
        </w:rPr>
        <w:t>100-TFSI</w:t>
      </w:r>
      <w:r w:rsidRPr="00EE5230">
        <w:rPr>
          <w:rFonts w:cs="Arial"/>
        </w:rPr>
        <w:t>), bifunctional imidazolium/amine (NPN</w:t>
      </w:r>
      <w:r w:rsidRPr="00EE5230">
        <w:rPr>
          <w:rFonts w:cs="Arial"/>
          <w:vertAlign w:val="subscript"/>
        </w:rPr>
        <w:t xml:space="preserve">33-TFSI </w:t>
      </w:r>
      <w:r w:rsidRPr="00EE5230">
        <w:rPr>
          <w:rFonts w:cs="Arial"/>
        </w:rPr>
        <w:t>and</w:t>
      </w:r>
      <w:r w:rsidRPr="00EE5230">
        <w:rPr>
          <w:rFonts w:cs="Arial"/>
          <w:vertAlign w:val="subscript"/>
        </w:rPr>
        <w:t xml:space="preserve"> </w:t>
      </w:r>
      <w:r w:rsidRPr="00EE5230">
        <w:rPr>
          <w:rFonts w:cs="Arial"/>
        </w:rPr>
        <w:t>NPN</w:t>
      </w:r>
      <w:r w:rsidRPr="00EE5230">
        <w:rPr>
          <w:rFonts w:cs="Arial"/>
          <w:vertAlign w:val="subscript"/>
        </w:rPr>
        <w:t>11-TFSI</w:t>
      </w:r>
      <w:r w:rsidRPr="00EE5230">
        <w:rPr>
          <w:rFonts w:cs="Arial"/>
        </w:rPr>
        <w:t xml:space="preserve">, imidazolium/amine molar </w:t>
      </w:r>
      <w:proofErr w:type="gramStart"/>
      <w:r w:rsidRPr="00EE5230">
        <w:rPr>
          <w:rFonts w:cs="Arial"/>
        </w:rPr>
        <w:t>ratio :</w:t>
      </w:r>
      <w:proofErr w:type="gramEnd"/>
      <w:r w:rsidRPr="00EE5230">
        <w:rPr>
          <w:rFonts w:cs="Arial"/>
        </w:rPr>
        <w:t xml:space="preserve"> 33/67 and 11/89, respectively) </w:t>
      </w:r>
      <w:r w:rsidRPr="00EE5230">
        <w:rPr>
          <w:rFonts w:cs="Arial"/>
        </w:rPr>
        <w:lastRenderedPageBreak/>
        <w:t>as well as pure amine (NPN</w:t>
      </w:r>
      <w:r w:rsidRPr="00EE5230">
        <w:rPr>
          <w:rFonts w:cs="Arial"/>
          <w:vertAlign w:val="subscript"/>
        </w:rPr>
        <w:t>0</w:t>
      </w:r>
      <w:r w:rsidRPr="00EE5230">
        <w:rPr>
          <w:rFonts w:cs="Arial"/>
        </w:rPr>
        <w:t xml:space="preserve">) gels were obtained by curing the aqueous solution containing the monomers, crosslinker and initiator without emulsification. Same compositions, time and temperatures were used compared to the preparation of the corresponding HIPE processes described above.   </w:t>
      </w:r>
    </w:p>
    <w:p w14:paraId="2E8521FF" w14:textId="77777777" w:rsidR="00EE5230" w:rsidRPr="00EE5230" w:rsidRDefault="00EE5230" w:rsidP="00EE5230">
      <w:pPr>
        <w:rPr>
          <w:rFonts w:cs="Arial"/>
          <w:b/>
        </w:rPr>
      </w:pPr>
    </w:p>
    <w:p w14:paraId="447601B6" w14:textId="77777777" w:rsidR="00EE5230" w:rsidRPr="00EE5230" w:rsidRDefault="00EE5230" w:rsidP="00EE5230">
      <w:pPr>
        <w:rPr>
          <w:rFonts w:cs="Arial"/>
          <w:b/>
          <w:i/>
        </w:rPr>
      </w:pPr>
      <w:r w:rsidRPr="00EE5230">
        <w:rPr>
          <w:rFonts w:cs="Arial"/>
          <w:b/>
          <w:i/>
        </w:rPr>
        <w:t xml:space="preserve">2.10. Anions exchange procedure. </w:t>
      </w:r>
    </w:p>
    <w:p w14:paraId="7E2C874B" w14:textId="77777777" w:rsidR="00EE5230" w:rsidRPr="00EE5230" w:rsidRDefault="00EE5230" w:rsidP="00EE5230">
      <w:pPr>
        <w:rPr>
          <w:rFonts w:cs="Arial"/>
        </w:rPr>
      </w:pPr>
      <w:r w:rsidRPr="00EE5230">
        <w:rPr>
          <w:rFonts w:cs="Arial"/>
        </w:rPr>
        <w:t>In an Erlenmeyer, the dried PHs were immersed for 24 hours in 100 mL of aqueous solution of NaHCO</w:t>
      </w:r>
      <w:r w:rsidRPr="00EE5230">
        <w:rPr>
          <w:rFonts w:cs="Arial"/>
          <w:vertAlign w:val="subscript"/>
        </w:rPr>
        <w:t xml:space="preserve">3 </w:t>
      </w:r>
      <w:r w:rsidRPr="00EE5230">
        <w:rPr>
          <w:rFonts w:cs="Arial"/>
        </w:rPr>
        <w:t xml:space="preserve">(0.2 M) at +6 °C under gentle stirring. The samples were split into two equal part and immersed in a methanol solution (100 mL) containing the counterion salt in excess, </w:t>
      </w:r>
      <w:proofErr w:type="gramStart"/>
      <w:r w:rsidRPr="00EE5230">
        <w:rPr>
          <w:rFonts w:cs="Arial"/>
        </w:rPr>
        <w:t>i.e.</w:t>
      </w:r>
      <w:proofErr w:type="gramEnd"/>
      <w:r w:rsidRPr="00EE5230">
        <w:rPr>
          <w:rFonts w:cs="Arial"/>
        </w:rPr>
        <w:t xml:space="preserve"> </w:t>
      </w:r>
      <w:proofErr w:type="spellStart"/>
      <w:r w:rsidRPr="00EE5230">
        <w:rPr>
          <w:rFonts w:cs="Arial"/>
        </w:rPr>
        <w:t>NaOAc</w:t>
      </w:r>
      <w:proofErr w:type="spellEnd"/>
      <w:r w:rsidRPr="00EE5230">
        <w:rPr>
          <w:rFonts w:cs="Arial"/>
        </w:rPr>
        <w:t xml:space="preserve"> (3.3 g, 40 mmol) and </w:t>
      </w:r>
      <w:proofErr w:type="spellStart"/>
      <w:r w:rsidRPr="00EE5230">
        <w:rPr>
          <w:rFonts w:cs="Arial"/>
        </w:rPr>
        <w:t>LiTFSI</w:t>
      </w:r>
      <w:proofErr w:type="spellEnd"/>
      <w:r w:rsidRPr="00EE5230">
        <w:rPr>
          <w:rFonts w:cs="Arial"/>
        </w:rPr>
        <w:t xml:space="preserve"> (12 g, 40 mmol). The samples were then immersed in </w:t>
      </w:r>
      <w:proofErr w:type="spellStart"/>
      <w:r w:rsidRPr="00EE5230">
        <w:rPr>
          <w:rFonts w:cs="Arial"/>
        </w:rPr>
        <w:t>MiliQ</w:t>
      </w:r>
      <w:proofErr w:type="spellEnd"/>
      <w:r w:rsidRPr="00EE5230">
        <w:rPr>
          <w:rFonts w:cs="Arial"/>
        </w:rPr>
        <w:t xml:space="preserve"> water for washing the excess of salt. Eventually the samples were freeze-dried.</w:t>
      </w:r>
    </w:p>
    <w:p w14:paraId="0D4F42D5" w14:textId="77777777" w:rsidR="00EE5230" w:rsidRPr="00EE5230" w:rsidRDefault="00EE5230" w:rsidP="00EE5230">
      <w:pPr>
        <w:rPr>
          <w:rFonts w:cs="Arial"/>
          <w:b/>
        </w:rPr>
      </w:pPr>
    </w:p>
    <w:p w14:paraId="34C39F26" w14:textId="77777777" w:rsidR="00EE5230" w:rsidRPr="00EE5230" w:rsidRDefault="00EE5230" w:rsidP="00EE5230">
      <w:pPr>
        <w:rPr>
          <w:rFonts w:cs="Arial"/>
          <w:i/>
        </w:rPr>
      </w:pPr>
      <w:r w:rsidRPr="00EE5230">
        <w:rPr>
          <w:rFonts w:cs="Arial"/>
          <w:b/>
          <w:i/>
        </w:rPr>
        <w:t>2.11. Water uptake (WU).</w:t>
      </w:r>
      <w:r w:rsidRPr="00EE5230">
        <w:rPr>
          <w:rFonts w:cs="Arial"/>
          <w:i/>
        </w:rPr>
        <w:t xml:space="preserve"> </w:t>
      </w:r>
    </w:p>
    <w:p w14:paraId="4FBD505E" w14:textId="77777777" w:rsidR="00EE5230" w:rsidRPr="00EE5230" w:rsidRDefault="00EE5230" w:rsidP="00EE5230">
      <w:pPr>
        <w:rPr>
          <w:rFonts w:cs="Arial"/>
        </w:rPr>
      </w:pPr>
      <w:r w:rsidRPr="00EE5230">
        <w:rPr>
          <w:rFonts w:cs="Arial"/>
        </w:rPr>
        <w:t>The samples were immersed in water until weight equilibrium was reached. The latter were weighted before and after the freeze-drying last step of their synthesis. The water uptake is calculated based on the following formula:</w:t>
      </w:r>
    </w:p>
    <w:p w14:paraId="2CC0FEA4" w14:textId="77777777" w:rsidR="00EE5230" w:rsidRPr="00EE5230" w:rsidRDefault="00EE5230" w:rsidP="00EE5230">
      <w:pPr>
        <w:rPr>
          <w:rFonts w:cs="Arial"/>
        </w:rPr>
      </w:pPr>
      <m:oMathPara>
        <m:oMath>
          <m:r>
            <w:rPr>
              <w:rFonts w:ascii="Cambria Math" w:hAnsi="Cambria Math" w:cs="Arial"/>
            </w:rPr>
            <m:t xml:space="preserve">WU (g </m:t>
          </m:r>
          <m:sSup>
            <m:sSupPr>
              <m:ctrlPr>
                <w:rPr>
                  <w:rFonts w:ascii="Cambria Math" w:hAnsi="Cambria Math" w:cs="Arial"/>
                  <w:i/>
                </w:rPr>
              </m:ctrlPr>
            </m:sSupPr>
            <m:e>
              <m:r>
                <w:rPr>
                  <w:rFonts w:ascii="Cambria Math" w:hAnsi="Cambria Math" w:cs="Arial"/>
                </w:rPr>
                <m:t>g</m:t>
              </m:r>
            </m:e>
            <m:sup>
              <m:r>
                <w:rPr>
                  <w:rFonts w:ascii="Cambria Math" w:hAnsi="Cambria Math" w:cs="Arial"/>
                </w:rPr>
                <m:t>-1</m:t>
              </m:r>
            </m:sup>
          </m:sSup>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wet</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dried</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dried</m:t>
                  </m:r>
                </m:sub>
              </m:sSub>
            </m:den>
          </m:f>
        </m:oMath>
      </m:oMathPara>
    </w:p>
    <w:p w14:paraId="02F5A0EA" w14:textId="77777777" w:rsidR="00EE5230" w:rsidRPr="00EE5230" w:rsidRDefault="00EE5230" w:rsidP="00EE5230">
      <w:pPr>
        <w:rPr>
          <w:rFonts w:cs="Arial"/>
        </w:rPr>
      </w:pPr>
    </w:p>
    <w:p w14:paraId="242AE17D" w14:textId="77777777" w:rsidR="00EE5230" w:rsidRPr="00EE5230" w:rsidRDefault="00EE5230" w:rsidP="00EE5230">
      <w:pPr>
        <w:rPr>
          <w:rFonts w:cs="Arial"/>
          <w:b/>
        </w:rPr>
      </w:pPr>
      <w:r w:rsidRPr="00EE5230">
        <w:rPr>
          <w:rFonts w:cs="Arial"/>
          <w:b/>
        </w:rPr>
        <w:t>3. Results and discussion</w:t>
      </w:r>
    </w:p>
    <w:p w14:paraId="1C193FE6" w14:textId="77777777" w:rsidR="00EE5230" w:rsidRPr="00EE5230" w:rsidRDefault="00EE5230" w:rsidP="00EE5230">
      <w:pPr>
        <w:spacing w:after="120"/>
        <w:rPr>
          <w:rFonts w:cs="Arial"/>
          <w:b/>
          <w:i/>
        </w:rPr>
      </w:pPr>
      <w:r w:rsidRPr="00EE5230">
        <w:rPr>
          <w:rFonts w:cs="Arial"/>
          <w:b/>
          <w:i/>
        </w:rPr>
        <w:t>3.1. Imidazolium crosslinker from Radziszewski reaction</w:t>
      </w:r>
    </w:p>
    <w:p w14:paraId="0FB5099D" w14:textId="77777777" w:rsidR="00EE5230" w:rsidRPr="00EE5230" w:rsidRDefault="00EE5230" w:rsidP="00EE5230">
      <w:pPr>
        <w:spacing w:after="120"/>
        <w:rPr>
          <w:rFonts w:cs="Arial"/>
        </w:rPr>
      </w:pPr>
      <w:bookmarkStart w:id="5" w:name="_Hlk88745193"/>
      <w:r w:rsidRPr="00EE5230">
        <w:rPr>
          <w:rFonts w:cs="Arial"/>
        </w:rPr>
        <w:t>The incorporation of imidazolium groups into the foam’s macromolecular network was based on the use of an imidazolium bis-acrylamide (</w:t>
      </w:r>
      <w:proofErr w:type="spellStart"/>
      <w:r w:rsidRPr="00EE5230">
        <w:rPr>
          <w:rFonts w:cs="Arial"/>
        </w:rPr>
        <w:t>IBAm</w:t>
      </w:r>
      <w:proofErr w:type="spellEnd"/>
      <w:r w:rsidRPr="00EE5230">
        <w:rPr>
          <w:rFonts w:cs="Arial"/>
        </w:rPr>
        <w:t xml:space="preserve">) crosslinker produced by Radziszewski MCR. The classical conditions reported for the synthesis of </w:t>
      </w:r>
      <w:proofErr w:type="spellStart"/>
      <w:r w:rsidRPr="00EE5230">
        <w:rPr>
          <w:rFonts w:cs="Arial"/>
        </w:rPr>
        <w:t>imidazoliums</w:t>
      </w:r>
      <w:proofErr w:type="spellEnd"/>
      <w:r w:rsidRPr="00EE5230">
        <w:rPr>
          <w:rFonts w:cs="Arial"/>
        </w:rPr>
        <w:t xml:space="preserve"> by Radziszewski reaction involve acetic acid (</w:t>
      </w:r>
      <w:proofErr w:type="spellStart"/>
      <w:r w:rsidRPr="00EE5230">
        <w:rPr>
          <w:rFonts w:cs="Arial"/>
        </w:rPr>
        <w:t>HOAc</w:t>
      </w:r>
      <w:proofErr w:type="spellEnd"/>
      <w:r w:rsidRPr="00EE5230">
        <w:rPr>
          <w:rFonts w:cs="Arial"/>
        </w:rPr>
        <w:t>) as catalyst.</w:t>
      </w:r>
      <w:r w:rsidRPr="00EE5230">
        <w:rPr>
          <w:rFonts w:cs="Arial"/>
        </w:rPr>
        <w:fldChar w:fldCharType="begin" w:fldLock="1"/>
      </w:r>
      <w:r w:rsidRPr="00EE5230">
        <w:rPr>
          <w:rFonts w:cs="Arial"/>
        </w:rPr>
        <w:instrText>ADDIN CSL_CITATION {"citationItems":[{"id":"ITEM-1","itemData":{"DOI":"10.1002/chem.201302806","ISSN":"0947-6539","abstract":"Make it green: An efficient one-pot procedure for the synthesis of homosubstituted imidazolium compounds on the basis of renewable precursors is reported. By starting from amino acids and pyruvaldehyde, a library of bifunctional imidazolium scaffolds for the construction of polymers and ionic liquids was prepared (see scheme).","author":[{"dropping-particle":"","family":"Esposito","given":"Davide","non-dropping-particle":"","parse-names":false,"suffix":""},{"dropping-particle":"","family":"Kirchhecker","given":"Sarah","non-dropping-particle":"","parse-names":false,"suffix":""},{"dropping-particle":"","family":"Antonietti","given":"Markus","non-dropping-particle":"","parse-names":false,"suffix":""}],"container-title":"Chemistry – A European Journal","id":"ITEM-1","issue":"45","issued":{"date-parts":[["2013","11","4"]]},"note":"doi: 10.1002/chem.201302806","page":"15097-15100","publisher":"John Wiley &amp; Sons, Ltd","title":"A Sustainable Route towards Imidazolium Building Blocks Based on Biomass Molecules","type":"article-journal","volume":"19"},"uris":["http://www.mendeley.com/documents/?uuid=462ea986-c88b-40b4-bc09-c8e8a3ae4126"]}],"mendeley":{"formattedCitation":"[48]","plainTextFormattedCitation":"[48]","previouslyFormattedCitation":"[48]"},"properties":{"noteIndex":0},"schema":"https://github.com/citation-style-language/schema/raw/master/csl-citation.json"}</w:instrText>
      </w:r>
      <w:r w:rsidRPr="00EE5230">
        <w:rPr>
          <w:rFonts w:cs="Arial"/>
        </w:rPr>
        <w:fldChar w:fldCharType="separate"/>
      </w:r>
      <w:r w:rsidRPr="00EE5230">
        <w:rPr>
          <w:rFonts w:cs="Arial"/>
          <w:noProof/>
        </w:rPr>
        <w:t>[48]</w:t>
      </w:r>
      <w:r w:rsidRPr="00EE5230">
        <w:rPr>
          <w:rFonts w:cs="Arial"/>
        </w:rPr>
        <w:fldChar w:fldCharType="end"/>
      </w:r>
      <w:r w:rsidRPr="00EE5230">
        <w:rPr>
          <w:rFonts w:cs="Arial"/>
        </w:rPr>
        <w:t xml:space="preserve"> However, since the </w:t>
      </w:r>
      <w:proofErr w:type="spellStart"/>
      <w:r w:rsidRPr="00EE5230">
        <w:rPr>
          <w:rFonts w:cs="Arial"/>
        </w:rPr>
        <w:t>IBAm</w:t>
      </w:r>
      <w:proofErr w:type="spellEnd"/>
      <w:r w:rsidRPr="00EE5230" w:rsidDel="007A7AD0">
        <w:rPr>
          <w:rFonts w:cs="Arial"/>
        </w:rPr>
        <w:t xml:space="preserve"> </w:t>
      </w:r>
      <w:r w:rsidRPr="00EE5230">
        <w:rPr>
          <w:rFonts w:cs="Arial"/>
        </w:rPr>
        <w:t xml:space="preserve">in our case was prepared </w:t>
      </w:r>
      <w:r w:rsidRPr="00EE5230">
        <w:rPr>
          <w:rFonts w:cs="Arial"/>
          <w:i/>
        </w:rPr>
        <w:t>in situ</w:t>
      </w:r>
      <w:r w:rsidRPr="00EE5230">
        <w:rPr>
          <w:rFonts w:cs="Arial"/>
        </w:rPr>
        <w:t>, directly in the external phase of HIPE, it was necessary to modify the Radziszewski MCR, where aminoethyl acrylamide (</w:t>
      </w:r>
      <w:proofErr w:type="spellStart"/>
      <w:r w:rsidRPr="00EE5230">
        <w:rPr>
          <w:rFonts w:cs="Arial"/>
        </w:rPr>
        <w:t>AEAm</w:t>
      </w:r>
      <w:proofErr w:type="spellEnd"/>
      <w:r w:rsidRPr="00EE5230">
        <w:rPr>
          <w:rFonts w:cs="Arial"/>
        </w:rPr>
        <w:t xml:space="preserve">) was coupled with glyoxal and formaldehyde (Scheme 2). First, the </w:t>
      </w:r>
      <w:proofErr w:type="spellStart"/>
      <w:r w:rsidRPr="00EE5230">
        <w:rPr>
          <w:rFonts w:cs="Arial"/>
        </w:rPr>
        <w:t>AEAm</w:t>
      </w:r>
      <w:proofErr w:type="spellEnd"/>
      <w:r w:rsidRPr="00EE5230">
        <w:rPr>
          <w:rFonts w:cs="Arial"/>
        </w:rPr>
        <w:t xml:space="preserve"> was hitherto synthesized by reacting N-Boc-ethylenediamine with acryloyl chloride to give N-</w:t>
      </w:r>
      <w:proofErr w:type="spellStart"/>
      <w:r w:rsidRPr="00EE5230">
        <w:rPr>
          <w:rFonts w:cs="Arial"/>
        </w:rPr>
        <w:t>boc</w:t>
      </w:r>
      <w:proofErr w:type="spellEnd"/>
      <w:r w:rsidRPr="00EE5230">
        <w:rPr>
          <w:rFonts w:cs="Arial"/>
        </w:rPr>
        <w:t>-aminoethyl acrylamide (Figure S1), which was subsequently deprotected with hydrochloric acid to give aminoethyl acrylamide hydrochloride (</w:t>
      </w:r>
      <w:proofErr w:type="spellStart"/>
      <w:r w:rsidRPr="00EE5230">
        <w:rPr>
          <w:rFonts w:cs="Arial"/>
        </w:rPr>
        <w:t>AEAm</w:t>
      </w:r>
      <w:proofErr w:type="spellEnd"/>
      <w:r w:rsidRPr="00EE5230">
        <w:rPr>
          <w:rFonts w:cs="Arial"/>
        </w:rPr>
        <w:t xml:space="preserve">-HCl) (Figures S2 and S3 for </w:t>
      </w:r>
      <w:r w:rsidRPr="00EE5230">
        <w:rPr>
          <w:rFonts w:cs="Arial"/>
          <w:vertAlign w:val="superscript"/>
        </w:rPr>
        <w:t>1</w:t>
      </w:r>
      <w:r w:rsidRPr="00EE5230">
        <w:rPr>
          <w:rFonts w:cs="Arial"/>
        </w:rPr>
        <w:t xml:space="preserve">H NMR and ESI-MS analysis). </w:t>
      </w:r>
      <w:bookmarkStart w:id="6" w:name="_Hlk91577760"/>
      <w:r w:rsidRPr="00EE5230">
        <w:rPr>
          <w:rFonts w:cs="Arial"/>
        </w:rPr>
        <w:t xml:space="preserve">The conversion of </w:t>
      </w:r>
      <w:proofErr w:type="spellStart"/>
      <w:r w:rsidRPr="00EE5230">
        <w:rPr>
          <w:rFonts w:cs="Arial"/>
        </w:rPr>
        <w:t>AEAm</w:t>
      </w:r>
      <w:proofErr w:type="spellEnd"/>
      <w:r w:rsidRPr="00EE5230">
        <w:rPr>
          <w:rFonts w:cs="Arial"/>
        </w:rPr>
        <w:t xml:space="preserve">-HCl to the </w:t>
      </w:r>
      <w:proofErr w:type="spellStart"/>
      <w:r w:rsidRPr="00EE5230">
        <w:rPr>
          <w:rFonts w:cs="Arial"/>
        </w:rPr>
        <w:t>IBAm</w:t>
      </w:r>
      <w:proofErr w:type="spellEnd"/>
      <w:r w:rsidRPr="00EE5230" w:rsidDel="00446A2C">
        <w:rPr>
          <w:rFonts w:cs="Arial"/>
        </w:rPr>
        <w:t xml:space="preserve"> </w:t>
      </w:r>
      <w:r w:rsidRPr="00EE5230">
        <w:rPr>
          <w:rFonts w:cs="Arial"/>
        </w:rPr>
        <w:lastRenderedPageBreak/>
        <w:t xml:space="preserve">crosslinker was then thoroughly investigated to determine optimal reaction conditions that are compatible with the subsequent HIPE formulation and curing (Table S1 and Figure S4). Overall, we found that the Radziszewski MCR proceeds quantitatively in one hour when using sodium acetate as catalyst in a 1.5-fold excess compared to the amine functions. The targeted </w:t>
      </w:r>
      <w:proofErr w:type="spellStart"/>
      <w:r w:rsidRPr="00EE5230">
        <w:rPr>
          <w:rFonts w:cs="Arial"/>
        </w:rPr>
        <w:t>IBAm</w:t>
      </w:r>
      <w:proofErr w:type="spellEnd"/>
      <w:r w:rsidRPr="00EE5230">
        <w:rPr>
          <w:rFonts w:cs="Arial"/>
        </w:rPr>
        <w:t xml:space="preserve"> product was fully characterized by NMR without further purification (Figure S5).</w:t>
      </w:r>
    </w:p>
    <w:p w14:paraId="2F3E8236" w14:textId="77777777" w:rsidR="00EE5230" w:rsidRPr="00EE5230" w:rsidRDefault="00EE5230" w:rsidP="00EE5230">
      <w:pPr>
        <w:spacing w:after="120"/>
        <w:jc w:val="center"/>
        <w:rPr>
          <w:rFonts w:cs="Arial"/>
          <w:b/>
        </w:rPr>
      </w:pPr>
      <w:r w:rsidRPr="00EE5230">
        <w:rPr>
          <w:rFonts w:cs="Arial"/>
          <w:b/>
          <w:szCs w:val="18"/>
        </w:rPr>
        <w:object w:dxaOrig="9116" w:dyaOrig="2556" w14:anchorId="5A8DE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05pt" o:ole="">
            <v:imagedata r:id="rId11" o:title=""/>
          </v:shape>
          <o:OLEObject Type="Embed" ProgID="MDLDrawOLE.MDLDrawObject.1" ShapeID="_x0000_i1025" DrawAspect="Content" ObjectID="_1714822816" r:id="rId12"/>
        </w:object>
      </w:r>
    </w:p>
    <w:p w14:paraId="0C16119C" w14:textId="77777777" w:rsidR="00EE5230" w:rsidRPr="00EE5230" w:rsidRDefault="00EE5230" w:rsidP="00EE5230">
      <w:pPr>
        <w:pStyle w:val="RSCB02ArticleText"/>
        <w:shd w:val="clear" w:color="auto" w:fill="FFFFFF" w:themeFill="background1"/>
        <w:spacing w:after="120" w:line="276" w:lineRule="auto"/>
        <w:rPr>
          <w:rFonts w:ascii="Arial" w:hAnsi="Arial" w:cs="Arial"/>
          <w:w w:val="100"/>
          <w:sz w:val="24"/>
          <w:szCs w:val="24"/>
        </w:rPr>
      </w:pPr>
      <w:r w:rsidRPr="00EE5230">
        <w:rPr>
          <w:rFonts w:ascii="Arial" w:hAnsi="Arial" w:cs="Arial"/>
          <w:b/>
          <w:w w:val="100"/>
          <w:sz w:val="24"/>
          <w:szCs w:val="24"/>
        </w:rPr>
        <w:t>Scheme 2</w:t>
      </w:r>
      <w:r w:rsidRPr="00EE5230">
        <w:rPr>
          <w:rFonts w:ascii="Arial" w:hAnsi="Arial" w:cs="Arial"/>
          <w:w w:val="100"/>
          <w:sz w:val="24"/>
          <w:szCs w:val="24"/>
        </w:rPr>
        <w:t>. One-pot synthesis of the imidazolium crosslinker by Radziszewski reaction.</w:t>
      </w:r>
    </w:p>
    <w:bookmarkEnd w:id="5"/>
    <w:bookmarkEnd w:id="6"/>
    <w:p w14:paraId="45AE45CB" w14:textId="77777777" w:rsidR="00EE5230" w:rsidRPr="00EE5230" w:rsidRDefault="00EE5230" w:rsidP="00EE5230">
      <w:pPr>
        <w:spacing w:after="120"/>
        <w:rPr>
          <w:rFonts w:cs="Arial"/>
          <w:b/>
        </w:rPr>
      </w:pPr>
    </w:p>
    <w:p w14:paraId="49B85875" w14:textId="77777777" w:rsidR="00EE5230" w:rsidRPr="00EE5230" w:rsidRDefault="00EE5230" w:rsidP="00EE5230">
      <w:pPr>
        <w:spacing w:after="120"/>
        <w:rPr>
          <w:rFonts w:cs="Arial"/>
          <w:b/>
          <w:i/>
        </w:rPr>
      </w:pPr>
      <w:r w:rsidRPr="00EE5230">
        <w:rPr>
          <w:rFonts w:cs="Arial"/>
          <w:b/>
          <w:i/>
        </w:rPr>
        <w:t>3.2. Synthesis of emulsion-templated porous polymers.</w:t>
      </w:r>
    </w:p>
    <w:p w14:paraId="402666EE" w14:textId="77777777" w:rsidR="00EE5230" w:rsidRPr="00EE5230" w:rsidRDefault="00EE5230" w:rsidP="00EE5230">
      <w:pPr>
        <w:spacing w:after="120"/>
        <w:rPr>
          <w:rFonts w:cs="Arial"/>
        </w:rPr>
      </w:pPr>
      <w:r w:rsidRPr="00EE5230">
        <w:rPr>
          <w:rFonts w:cs="Arial"/>
        </w:rPr>
        <w:t xml:space="preserve">The imidazolium-based PHs and the bifunctional amine/imidazolium PHs were prepared </w:t>
      </w:r>
      <w:r w:rsidRPr="00EE5230">
        <w:rPr>
          <w:rFonts w:cs="Arial"/>
          <w:i/>
        </w:rPr>
        <w:t>via</w:t>
      </w:r>
      <w:r w:rsidRPr="00EE5230">
        <w:rPr>
          <w:rFonts w:cs="Arial"/>
        </w:rPr>
        <w:t xml:space="preserve"> a one-pot procedure combining Radziszewski MCR and radical polymerization in an O/W HIPE system (Scheme 1). </w:t>
      </w:r>
      <w:proofErr w:type="gramStart"/>
      <w:r w:rsidRPr="00EE5230">
        <w:rPr>
          <w:rFonts w:cs="Arial"/>
        </w:rPr>
        <w:t>In an attempt to</w:t>
      </w:r>
      <w:proofErr w:type="gramEnd"/>
      <w:r w:rsidRPr="00EE5230">
        <w:rPr>
          <w:rFonts w:cs="Arial"/>
        </w:rPr>
        <w:t xml:space="preserve"> obtain an imidazolium-based PHs, the </w:t>
      </w:r>
      <w:proofErr w:type="spellStart"/>
      <w:r w:rsidRPr="00EE5230">
        <w:rPr>
          <w:rFonts w:cs="Arial"/>
        </w:rPr>
        <w:t>IBAm</w:t>
      </w:r>
      <w:proofErr w:type="spellEnd"/>
      <w:r w:rsidRPr="00EE5230">
        <w:rPr>
          <w:rFonts w:cs="Arial"/>
        </w:rPr>
        <w:t xml:space="preserve"> was generated from </w:t>
      </w:r>
      <w:proofErr w:type="spellStart"/>
      <w:r w:rsidRPr="00EE5230">
        <w:rPr>
          <w:rFonts w:cs="Arial"/>
        </w:rPr>
        <w:t>AEAm</w:t>
      </w:r>
      <w:proofErr w:type="spellEnd"/>
      <w:r w:rsidRPr="00EE5230">
        <w:rPr>
          <w:rFonts w:cs="Arial"/>
        </w:rPr>
        <w:t xml:space="preserve"> directly in the external aqueous phase of the HIPE by the Radziszewski MCR, to which the emulsifier and a water-soluble azo-initiator were added after about an hour, and HIPE completed by the addition of the internal cyclohexane phase. This emulsion was then cured by free radical polymerization for 5 hours at 60 °C leading to a highly porous cross-linked poly(imidazolium) network after subsequent removal of the cyclohexane phase. Finally, the PH was treated with </w:t>
      </w:r>
      <w:proofErr w:type="spellStart"/>
      <w:r w:rsidRPr="00EE5230">
        <w:rPr>
          <w:rFonts w:cs="Arial"/>
        </w:rPr>
        <w:t>NaOAc</w:t>
      </w:r>
      <w:proofErr w:type="spellEnd"/>
      <w:r w:rsidRPr="00EE5230">
        <w:rPr>
          <w:rFonts w:cs="Arial"/>
        </w:rPr>
        <w:t xml:space="preserve">/MeOH or </w:t>
      </w:r>
      <w:proofErr w:type="spellStart"/>
      <w:r w:rsidRPr="00EE5230">
        <w:rPr>
          <w:rFonts w:cs="Arial"/>
        </w:rPr>
        <w:t>LiTFSI</w:t>
      </w:r>
      <w:proofErr w:type="spellEnd"/>
      <w:r w:rsidRPr="00EE5230">
        <w:rPr>
          <w:rFonts w:cs="Arial"/>
        </w:rPr>
        <w:t>/MeOH solutions to obtain poly(imidazolium)-based PHs containing either acetate (sample PH</w:t>
      </w:r>
      <w:r w:rsidRPr="00EE5230">
        <w:rPr>
          <w:rFonts w:cs="Arial"/>
          <w:vertAlign w:val="subscript"/>
        </w:rPr>
        <w:t>100-OAc</w:t>
      </w:r>
      <w:r w:rsidRPr="00EE5230">
        <w:rPr>
          <w:rFonts w:cs="Arial"/>
        </w:rPr>
        <w:t>) or bis-</w:t>
      </w:r>
      <w:proofErr w:type="spellStart"/>
      <w:r w:rsidRPr="00EE5230">
        <w:rPr>
          <w:rFonts w:cs="Arial"/>
        </w:rPr>
        <w:t>trifluoromethanesulfonimidate</w:t>
      </w:r>
      <w:proofErr w:type="spellEnd"/>
      <w:r w:rsidRPr="00EE5230">
        <w:rPr>
          <w:rFonts w:cs="Arial"/>
        </w:rPr>
        <w:t xml:space="preserve"> (sample PH</w:t>
      </w:r>
      <w:r w:rsidRPr="00EE5230">
        <w:rPr>
          <w:rFonts w:cs="Arial"/>
          <w:vertAlign w:val="subscript"/>
        </w:rPr>
        <w:t>100-TFSI</w:t>
      </w:r>
      <w:r w:rsidRPr="00EE5230">
        <w:rPr>
          <w:rFonts w:cs="Arial"/>
        </w:rPr>
        <w:t xml:space="preserve">) anions. The presence of imidazolium-linkage in the </w:t>
      </w:r>
      <w:proofErr w:type="spellStart"/>
      <w:r w:rsidRPr="00EE5230">
        <w:rPr>
          <w:rFonts w:cs="Arial"/>
        </w:rPr>
        <w:t>polyHIPEs</w:t>
      </w:r>
      <w:proofErr w:type="spellEnd"/>
      <w:r w:rsidRPr="00EE5230">
        <w:rPr>
          <w:rFonts w:cs="Arial"/>
        </w:rPr>
        <w:t xml:space="preserve">’ macromolecular networks was then investigated by </w:t>
      </w:r>
      <w:r w:rsidRPr="00EE5230">
        <w:rPr>
          <w:rFonts w:cs="Arial"/>
          <w:vertAlign w:val="superscript"/>
        </w:rPr>
        <w:t>13</w:t>
      </w:r>
      <w:r w:rsidRPr="00EE5230">
        <w:rPr>
          <w:rFonts w:cs="Arial"/>
        </w:rPr>
        <w:t xml:space="preserve">C CP/MAS solid state NMR (Figures 1, S6 and S7) and FTIR (Figures S8 and S9). In the solid-state </w:t>
      </w:r>
      <w:r w:rsidRPr="00EE5230">
        <w:rPr>
          <w:rFonts w:cs="Arial"/>
          <w:vertAlign w:val="superscript"/>
        </w:rPr>
        <w:t>13</w:t>
      </w:r>
      <w:r w:rsidRPr="00EE5230">
        <w:rPr>
          <w:rFonts w:cs="Arial"/>
        </w:rPr>
        <w:t xml:space="preserve">C NMR spectra, the aromatic carbons from imidazolium are evidenced by peaks </w:t>
      </w:r>
      <w:r w:rsidRPr="00EE5230">
        <w:rPr>
          <w:rFonts w:cs="Arial"/>
          <w:b/>
        </w:rPr>
        <w:t>a</w:t>
      </w:r>
      <w:r w:rsidRPr="00EE5230">
        <w:rPr>
          <w:rFonts w:cs="Arial"/>
        </w:rPr>
        <w:t xml:space="preserve"> and </w:t>
      </w:r>
      <w:r w:rsidRPr="00EE5230">
        <w:rPr>
          <w:rFonts w:cs="Arial"/>
          <w:b/>
        </w:rPr>
        <w:t>b</w:t>
      </w:r>
      <w:r w:rsidRPr="00EE5230">
        <w:rPr>
          <w:rFonts w:cs="Arial"/>
        </w:rPr>
        <w:t xml:space="preserve"> at 139 and 124 ppm, the aliphatic carbons are gathered between 30 and 55 ppm (</w:t>
      </w:r>
      <w:r w:rsidRPr="00EE5230">
        <w:rPr>
          <w:rFonts w:cs="Arial"/>
          <w:b/>
        </w:rPr>
        <w:t>c</w:t>
      </w:r>
      <w:r w:rsidRPr="00EE5230">
        <w:rPr>
          <w:rFonts w:cs="Arial"/>
        </w:rPr>
        <w:t>-</w:t>
      </w:r>
      <w:r w:rsidRPr="00EE5230">
        <w:rPr>
          <w:rFonts w:cs="Arial"/>
          <w:b/>
        </w:rPr>
        <w:t>f</w:t>
      </w:r>
      <w:r w:rsidRPr="00EE5230">
        <w:rPr>
          <w:rFonts w:cs="Arial"/>
        </w:rPr>
        <w:t xml:space="preserve">) and the amide signal </w:t>
      </w:r>
      <w:r w:rsidRPr="00EE5230">
        <w:rPr>
          <w:rFonts w:cs="Arial"/>
          <w:b/>
        </w:rPr>
        <w:t>g</w:t>
      </w:r>
      <w:r w:rsidRPr="00EE5230">
        <w:rPr>
          <w:rFonts w:cs="Arial"/>
        </w:rPr>
        <w:t xml:space="preserve"> appears at 177 ppm (Figure 1). Incorporation of acetate counter anion in PH</w:t>
      </w:r>
      <w:r w:rsidRPr="00EE5230">
        <w:rPr>
          <w:rFonts w:cs="Arial"/>
          <w:vertAlign w:val="subscript"/>
        </w:rPr>
        <w:t>100-OAc</w:t>
      </w:r>
      <w:r w:rsidRPr="00EE5230">
        <w:rPr>
          <w:rFonts w:cs="Arial"/>
        </w:rPr>
        <w:t xml:space="preserve"> is confirmed by the characteristic methyl </w:t>
      </w:r>
      <w:proofErr w:type="spellStart"/>
      <w:r w:rsidRPr="00EE5230">
        <w:rPr>
          <w:rFonts w:cs="Arial"/>
          <w:b/>
        </w:rPr>
        <w:t>i</w:t>
      </w:r>
      <w:proofErr w:type="spellEnd"/>
      <w:r w:rsidRPr="00EE5230">
        <w:rPr>
          <w:rFonts w:cs="Arial"/>
        </w:rPr>
        <w:t xml:space="preserve"> signal at 26 ppm, whereas the carbon </w:t>
      </w:r>
      <w:r w:rsidRPr="00EE5230">
        <w:rPr>
          <w:rFonts w:cs="Arial"/>
          <w:b/>
        </w:rPr>
        <w:t>j</w:t>
      </w:r>
      <w:r w:rsidRPr="00EE5230">
        <w:rPr>
          <w:rFonts w:cs="Arial"/>
        </w:rPr>
        <w:t xml:space="preserve"> from TFSI is barely distinguishable from the imidazolium carbon </w:t>
      </w:r>
      <w:r w:rsidRPr="00EE5230">
        <w:rPr>
          <w:rFonts w:cs="Arial"/>
          <w:b/>
        </w:rPr>
        <w:t>b</w:t>
      </w:r>
      <w:r w:rsidRPr="00EE5230">
        <w:rPr>
          <w:rFonts w:cs="Arial"/>
        </w:rPr>
        <w:t xml:space="preserve"> in PH</w:t>
      </w:r>
      <w:r w:rsidRPr="00EE5230">
        <w:rPr>
          <w:rFonts w:cs="Arial"/>
          <w:vertAlign w:val="subscript"/>
        </w:rPr>
        <w:t>100-TFSI</w:t>
      </w:r>
      <w:r w:rsidRPr="00EE5230">
        <w:rPr>
          <w:rFonts w:cs="Arial"/>
        </w:rPr>
        <w:t>. FTIR analyses further confirmed the nature of the counterions with the C=O stretching at 1549 and 1396 cm</w:t>
      </w:r>
      <w:r w:rsidRPr="00EE5230">
        <w:rPr>
          <w:rFonts w:cs="Arial"/>
          <w:vertAlign w:val="superscript"/>
        </w:rPr>
        <w:t>-1</w:t>
      </w:r>
      <w:r w:rsidRPr="00EE5230">
        <w:rPr>
          <w:rFonts w:cs="Arial"/>
        </w:rPr>
        <w:t xml:space="preserve"> for acetate (Figure S8) and multiple signals around 1150 cm</w:t>
      </w:r>
      <w:r w:rsidRPr="00EE5230">
        <w:rPr>
          <w:rFonts w:cs="Arial"/>
          <w:vertAlign w:val="superscript"/>
        </w:rPr>
        <w:t>-1</w:t>
      </w:r>
      <w:r w:rsidRPr="00EE5230">
        <w:rPr>
          <w:rFonts w:cs="Arial"/>
        </w:rPr>
        <w:t xml:space="preserve"> for TFSI (Figure S9). </w:t>
      </w:r>
    </w:p>
    <w:p w14:paraId="1C479DEB" w14:textId="77777777" w:rsidR="00EE5230" w:rsidRPr="00EE5230" w:rsidRDefault="00EE5230" w:rsidP="00EE5230">
      <w:pPr>
        <w:spacing w:after="120"/>
        <w:jc w:val="center"/>
        <w:rPr>
          <w:rFonts w:cs="Arial"/>
          <w:b/>
          <w:i/>
        </w:rPr>
      </w:pPr>
      <w:r w:rsidRPr="00EE5230">
        <w:rPr>
          <w:rFonts w:cs="Arial"/>
          <w:noProof/>
          <w:lang w:val="sl-SI" w:eastAsia="sl-SI"/>
        </w:rPr>
        <w:lastRenderedPageBreak/>
        <w:drawing>
          <wp:inline distT="0" distB="0" distL="0" distR="0" wp14:anchorId="77CFCC3B" wp14:editId="770AABAF">
            <wp:extent cx="3197380" cy="5286375"/>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77" t="9318" r="6748"/>
                    <a:stretch/>
                  </pic:blipFill>
                  <pic:spPr bwMode="auto">
                    <a:xfrm>
                      <a:off x="0" y="0"/>
                      <a:ext cx="3229524" cy="5339519"/>
                    </a:xfrm>
                    <a:prstGeom prst="rect">
                      <a:avLst/>
                    </a:prstGeom>
                    <a:noFill/>
                    <a:ln>
                      <a:noFill/>
                    </a:ln>
                    <a:extLst>
                      <a:ext uri="{53640926-AAD7-44D8-BBD7-CCE9431645EC}">
                        <a14:shadowObscured xmlns:a14="http://schemas.microsoft.com/office/drawing/2010/main"/>
                      </a:ext>
                    </a:extLst>
                  </pic:spPr>
                </pic:pic>
              </a:graphicData>
            </a:graphic>
          </wp:inline>
        </w:drawing>
      </w:r>
    </w:p>
    <w:p w14:paraId="0281F19A" w14:textId="77777777" w:rsidR="00EE5230" w:rsidRPr="00EE5230" w:rsidRDefault="00EE5230" w:rsidP="00EE5230">
      <w:pPr>
        <w:spacing w:after="120"/>
        <w:rPr>
          <w:rFonts w:cs="Arial"/>
          <w:b/>
          <w:i/>
        </w:rPr>
      </w:pPr>
      <w:r w:rsidRPr="00EE5230">
        <w:rPr>
          <w:rFonts w:cs="Arial"/>
          <w:b/>
        </w:rPr>
        <w:t>Figure 1.</w:t>
      </w:r>
      <w:r w:rsidRPr="00EE5230">
        <w:rPr>
          <w:rFonts w:cs="Arial"/>
        </w:rPr>
        <w:t xml:space="preserve"> </w:t>
      </w:r>
      <w:r w:rsidRPr="00EE5230">
        <w:rPr>
          <w:rFonts w:cs="Arial"/>
          <w:vertAlign w:val="superscript"/>
        </w:rPr>
        <w:t>13</w:t>
      </w:r>
      <w:r w:rsidRPr="00EE5230">
        <w:rPr>
          <w:rFonts w:cs="Arial"/>
        </w:rPr>
        <w:t>C solid state NMR and FTIR of PH</w:t>
      </w:r>
      <w:r w:rsidRPr="00EE5230">
        <w:rPr>
          <w:rFonts w:cs="Arial"/>
          <w:vertAlign w:val="subscript"/>
        </w:rPr>
        <w:t xml:space="preserve">100 </w:t>
      </w:r>
      <w:r w:rsidRPr="00EE5230">
        <w:rPr>
          <w:rFonts w:cs="Arial"/>
        </w:rPr>
        <w:t xml:space="preserve">and </w:t>
      </w:r>
      <w:r w:rsidRPr="00EE5230">
        <w:rPr>
          <w:rFonts w:cs="Arial"/>
          <w:bCs/>
        </w:rPr>
        <w:t>PH</w:t>
      </w:r>
      <w:r w:rsidRPr="00EE5230">
        <w:rPr>
          <w:rFonts w:cs="Arial"/>
          <w:bCs/>
          <w:vertAlign w:val="subscript"/>
        </w:rPr>
        <w:t>11</w:t>
      </w:r>
      <w:r w:rsidRPr="00EE5230">
        <w:rPr>
          <w:rFonts w:cs="Arial"/>
          <w:vertAlign w:val="subscript"/>
        </w:rPr>
        <w:t xml:space="preserve"> </w:t>
      </w:r>
      <w:r w:rsidRPr="00EE5230">
        <w:rPr>
          <w:rFonts w:cs="Arial"/>
        </w:rPr>
        <w:t>with acetate or TFSI counterions</w:t>
      </w:r>
    </w:p>
    <w:p w14:paraId="4E1E6162" w14:textId="77777777" w:rsidR="00EE5230" w:rsidRPr="00EE5230" w:rsidRDefault="00EE5230" w:rsidP="00EE5230">
      <w:pPr>
        <w:spacing w:after="120"/>
        <w:rPr>
          <w:rFonts w:cs="Arial"/>
        </w:rPr>
      </w:pPr>
    </w:p>
    <w:p w14:paraId="7E8ACE88" w14:textId="77777777" w:rsidR="00EE5230" w:rsidRPr="00EE5230" w:rsidRDefault="00EE5230" w:rsidP="00EE5230">
      <w:pPr>
        <w:spacing w:after="120"/>
        <w:rPr>
          <w:rFonts w:cs="Arial"/>
        </w:rPr>
      </w:pPr>
      <w:r w:rsidRPr="00EE5230">
        <w:rPr>
          <w:rFonts w:cs="Arial"/>
        </w:rPr>
        <w:t xml:space="preserve">Next, the bifunctional amine/imidazolium PHs were synthesised by combining MCR and free radical polymerization in a one-pot manner. This time, only 50% and 20% of </w:t>
      </w:r>
      <w:proofErr w:type="spellStart"/>
      <w:r w:rsidRPr="00EE5230">
        <w:rPr>
          <w:rFonts w:cs="Arial"/>
        </w:rPr>
        <w:t>AEAm</w:t>
      </w:r>
      <w:proofErr w:type="spellEnd"/>
      <w:r w:rsidRPr="00EE5230">
        <w:rPr>
          <w:rFonts w:cs="Arial"/>
        </w:rPr>
        <w:t xml:space="preserve">-HCl were used in the Radziszewski reaction, forming an imidazolium crosslinker, while the rest of the </w:t>
      </w:r>
      <w:proofErr w:type="spellStart"/>
      <w:r w:rsidRPr="00EE5230">
        <w:rPr>
          <w:rFonts w:cs="Arial"/>
        </w:rPr>
        <w:t>AEAm</w:t>
      </w:r>
      <w:proofErr w:type="spellEnd"/>
      <w:r w:rsidRPr="00EE5230">
        <w:rPr>
          <w:rFonts w:cs="Arial"/>
        </w:rPr>
        <w:t xml:space="preserve">-HCl was used as a comonomer, which after polymerization led to the bifunctional PHs with amine/imidazolium ratios of 33/67 and 11/89. </w:t>
      </w:r>
      <w:bookmarkStart w:id="7" w:name="_Hlk90902175"/>
      <w:r w:rsidRPr="00EE5230">
        <w:rPr>
          <w:rFonts w:cs="Arial"/>
        </w:rPr>
        <w:t xml:space="preserve">After purification, PHs were neutralized and treated with </w:t>
      </w:r>
      <w:proofErr w:type="spellStart"/>
      <w:r w:rsidRPr="00EE5230">
        <w:rPr>
          <w:rFonts w:cs="Arial"/>
        </w:rPr>
        <w:t>NaOAc</w:t>
      </w:r>
      <w:proofErr w:type="spellEnd"/>
      <w:r w:rsidRPr="00EE5230">
        <w:rPr>
          <w:rFonts w:cs="Arial"/>
        </w:rPr>
        <w:t xml:space="preserve">/MeOH or </w:t>
      </w:r>
      <w:proofErr w:type="spellStart"/>
      <w:r w:rsidRPr="00EE5230">
        <w:rPr>
          <w:rFonts w:cs="Arial"/>
        </w:rPr>
        <w:t>LiTFSI</w:t>
      </w:r>
      <w:proofErr w:type="spellEnd"/>
      <w:r w:rsidRPr="00EE5230">
        <w:rPr>
          <w:rFonts w:cs="Arial"/>
        </w:rPr>
        <w:t xml:space="preserve">/MeOH solutions to release the imidazolium groups with either 33 % or 11 % acetate or TFSI </w:t>
      </w:r>
      <w:proofErr w:type="spellStart"/>
      <w:r w:rsidRPr="00EE5230">
        <w:rPr>
          <w:rFonts w:cs="Arial"/>
        </w:rPr>
        <w:t>counteranions</w:t>
      </w:r>
      <w:proofErr w:type="spellEnd"/>
      <w:r w:rsidRPr="00EE5230">
        <w:rPr>
          <w:rFonts w:cs="Arial"/>
        </w:rPr>
        <w:t>, abbreviated as PH</w:t>
      </w:r>
      <w:r w:rsidRPr="00EE5230">
        <w:rPr>
          <w:rFonts w:cs="Arial"/>
          <w:vertAlign w:val="subscript"/>
        </w:rPr>
        <w:t>33-OAc</w:t>
      </w:r>
      <w:r w:rsidRPr="00EE5230">
        <w:rPr>
          <w:rFonts w:cs="Arial"/>
        </w:rPr>
        <w:t xml:space="preserve"> and PH</w:t>
      </w:r>
      <w:r w:rsidRPr="00EE5230">
        <w:rPr>
          <w:rFonts w:cs="Arial"/>
          <w:vertAlign w:val="subscript"/>
        </w:rPr>
        <w:t xml:space="preserve">33-TFSI </w:t>
      </w:r>
      <w:r w:rsidRPr="00EE5230">
        <w:rPr>
          <w:rFonts w:cs="Arial"/>
        </w:rPr>
        <w:t>or PH</w:t>
      </w:r>
      <w:r w:rsidRPr="00EE5230">
        <w:rPr>
          <w:rFonts w:cs="Arial"/>
          <w:vertAlign w:val="subscript"/>
        </w:rPr>
        <w:t>11-OAc</w:t>
      </w:r>
      <w:r w:rsidRPr="00EE5230">
        <w:rPr>
          <w:rFonts w:cs="Arial"/>
        </w:rPr>
        <w:t xml:space="preserve"> and PH</w:t>
      </w:r>
      <w:r w:rsidRPr="00EE5230">
        <w:rPr>
          <w:rFonts w:cs="Arial"/>
          <w:vertAlign w:val="subscript"/>
        </w:rPr>
        <w:t>11-TFSI</w:t>
      </w:r>
      <w:r w:rsidRPr="00EE5230">
        <w:rPr>
          <w:rFonts w:cs="Arial"/>
        </w:rPr>
        <w:t>, respectively.</w:t>
      </w:r>
      <w:bookmarkEnd w:id="7"/>
      <w:r w:rsidRPr="00EE5230">
        <w:rPr>
          <w:rFonts w:cs="Arial"/>
        </w:rPr>
        <w:t xml:space="preserve"> The successful anion metathesis was confirmed by the solid-state NMR (Figure 1, S6 and S7) </w:t>
      </w:r>
      <w:r w:rsidRPr="00EE5230">
        <w:rPr>
          <w:rFonts w:cs="Arial"/>
        </w:rPr>
        <w:lastRenderedPageBreak/>
        <w:t>and FTIR</w:t>
      </w:r>
      <w:r w:rsidRPr="00EE5230" w:rsidDel="001B739D">
        <w:rPr>
          <w:rFonts w:cs="Arial"/>
        </w:rPr>
        <w:t xml:space="preserve"> </w:t>
      </w:r>
      <w:r w:rsidRPr="00EE5230">
        <w:rPr>
          <w:rFonts w:cs="Arial"/>
        </w:rPr>
        <w:t>(Figures S8 and S9). Even in the case of PH</w:t>
      </w:r>
      <w:r w:rsidRPr="00EE5230">
        <w:rPr>
          <w:rFonts w:cs="Arial"/>
          <w:vertAlign w:val="subscript"/>
        </w:rPr>
        <w:t xml:space="preserve">11 </w:t>
      </w:r>
      <w:r w:rsidRPr="00EE5230">
        <w:rPr>
          <w:rFonts w:cs="Arial"/>
        </w:rPr>
        <w:t>with the lowest imidazolium content, the counterion is easily identified with specific peaks corresponding to acetate or TFSI, especially in the IR spectra (Figure S8 and S9). As expected, the NMR signals of the aromatic carbons (</w:t>
      </w:r>
      <w:r w:rsidRPr="00EE5230">
        <w:rPr>
          <w:rFonts w:cs="Arial"/>
          <w:b/>
        </w:rPr>
        <w:t>a</w:t>
      </w:r>
      <w:r w:rsidRPr="00EE5230">
        <w:rPr>
          <w:rFonts w:cs="Arial"/>
        </w:rPr>
        <w:t xml:space="preserve"> and </w:t>
      </w:r>
      <w:r w:rsidRPr="00EE5230">
        <w:rPr>
          <w:rFonts w:cs="Arial"/>
          <w:b/>
        </w:rPr>
        <w:t>b</w:t>
      </w:r>
      <w:r w:rsidRPr="00EE5230">
        <w:rPr>
          <w:rFonts w:cs="Arial"/>
        </w:rPr>
        <w:t xml:space="preserve">) become less pronounced as the imidazolium content of the PHs decreases (Figures S6 and S7). To gain a better insight into the composition of the materials, elemental analyses (EA) were performed on the TFSI-based PHs (Tables 1 and S2). The </w:t>
      </w:r>
      <w:proofErr w:type="spellStart"/>
      <w:r w:rsidRPr="00EE5230">
        <w:rPr>
          <w:rFonts w:cs="Arial"/>
        </w:rPr>
        <w:t>sulfur</w:t>
      </w:r>
      <w:proofErr w:type="spellEnd"/>
      <w:r w:rsidRPr="00EE5230">
        <w:rPr>
          <w:rFonts w:cs="Arial"/>
        </w:rPr>
        <w:t xml:space="preserve"> content should be directly proportional to the imidazolium content of the PHs. The percentage measured for PH</w:t>
      </w:r>
      <w:r w:rsidRPr="00EE5230">
        <w:rPr>
          <w:rFonts w:cs="Arial"/>
          <w:vertAlign w:val="subscript"/>
        </w:rPr>
        <w:t>100-TFSI</w:t>
      </w:r>
      <w:r w:rsidRPr="00EE5230">
        <w:rPr>
          <w:rFonts w:cs="Arial"/>
        </w:rPr>
        <w:t xml:space="preserve"> (11.7 %) was consistent with the theoretical value (11.8 %). The </w:t>
      </w:r>
      <w:proofErr w:type="spellStart"/>
      <w:r w:rsidRPr="00EE5230">
        <w:rPr>
          <w:rFonts w:cs="Arial"/>
        </w:rPr>
        <w:t>sulfur</w:t>
      </w:r>
      <w:proofErr w:type="spellEnd"/>
      <w:r w:rsidRPr="00EE5230">
        <w:rPr>
          <w:rFonts w:cs="Arial"/>
        </w:rPr>
        <w:t xml:space="preserve"> content of PH</w:t>
      </w:r>
      <w:r w:rsidRPr="00EE5230">
        <w:rPr>
          <w:rFonts w:cs="Arial"/>
          <w:vertAlign w:val="subscript"/>
        </w:rPr>
        <w:t xml:space="preserve">33-TFSI </w:t>
      </w:r>
      <w:r w:rsidRPr="00EE5230">
        <w:rPr>
          <w:rFonts w:cs="Arial"/>
        </w:rPr>
        <w:t>(7.7 %) was also close to the theoretical prediction (8.3 %), while PH</w:t>
      </w:r>
      <w:r w:rsidRPr="00EE5230">
        <w:rPr>
          <w:rFonts w:cs="Arial"/>
          <w:vertAlign w:val="subscript"/>
        </w:rPr>
        <w:t>11-TFSI</w:t>
      </w:r>
      <w:r w:rsidRPr="00EE5230">
        <w:rPr>
          <w:rFonts w:cs="Arial"/>
        </w:rPr>
        <w:t xml:space="preserve"> had a higher </w:t>
      </w:r>
      <w:proofErr w:type="spellStart"/>
      <w:r w:rsidRPr="00EE5230">
        <w:rPr>
          <w:rFonts w:cs="Arial"/>
        </w:rPr>
        <w:t>sulfur</w:t>
      </w:r>
      <w:proofErr w:type="spellEnd"/>
      <w:r w:rsidRPr="00EE5230">
        <w:rPr>
          <w:rFonts w:cs="Arial"/>
        </w:rPr>
        <w:t xml:space="preserve"> content than expected (5.6 % instead of 4.1 %). </w:t>
      </w:r>
      <w:bookmarkStart w:id="8" w:name="_Hlk74044773"/>
      <w:r w:rsidRPr="00EE5230">
        <w:rPr>
          <w:rFonts w:cs="Arial"/>
        </w:rPr>
        <w:t xml:space="preserve">This discrepancy is likely due to unreacted </w:t>
      </w:r>
      <w:proofErr w:type="spellStart"/>
      <w:r w:rsidRPr="00EE5230">
        <w:rPr>
          <w:rFonts w:cs="Arial"/>
        </w:rPr>
        <w:t>AEAm</w:t>
      </w:r>
      <w:proofErr w:type="spellEnd"/>
      <w:r w:rsidRPr="00EE5230" w:rsidDel="00002B25">
        <w:rPr>
          <w:rFonts w:cs="Arial"/>
        </w:rPr>
        <w:t xml:space="preserve"> </w:t>
      </w:r>
      <w:r w:rsidRPr="00EE5230">
        <w:rPr>
          <w:rFonts w:cs="Arial"/>
        </w:rPr>
        <w:t>during polymerization, which coincides with the lower polymerization yield in the case of PH</w:t>
      </w:r>
      <w:r w:rsidRPr="00EE5230">
        <w:rPr>
          <w:rFonts w:cs="Arial"/>
          <w:vertAlign w:val="subscript"/>
        </w:rPr>
        <w:t>11</w:t>
      </w:r>
      <w:r w:rsidRPr="00EE5230">
        <w:rPr>
          <w:rFonts w:cs="Arial"/>
        </w:rPr>
        <w:t xml:space="preserve"> (~ 55 %).</w:t>
      </w:r>
      <w:bookmarkEnd w:id="8"/>
      <w:r w:rsidRPr="00EE5230">
        <w:rPr>
          <w:rFonts w:cs="Arial"/>
        </w:rPr>
        <w:t xml:space="preserve"> Finally, based on the </w:t>
      </w:r>
      <w:proofErr w:type="spellStart"/>
      <w:r w:rsidRPr="00EE5230">
        <w:rPr>
          <w:rFonts w:cs="Arial"/>
        </w:rPr>
        <w:t>sulfur</w:t>
      </w:r>
      <w:proofErr w:type="spellEnd"/>
      <w:r w:rsidRPr="00EE5230">
        <w:rPr>
          <w:rFonts w:cs="Arial"/>
        </w:rPr>
        <w:t xml:space="preserve"> content measured by EA, it is possible to estimate the effective imidazolium content of PH</w:t>
      </w:r>
      <w:r w:rsidRPr="00EE5230">
        <w:rPr>
          <w:rFonts w:cs="Arial"/>
          <w:vertAlign w:val="subscript"/>
        </w:rPr>
        <w:t>11</w:t>
      </w:r>
      <w:r w:rsidRPr="00EE5230">
        <w:rPr>
          <w:rFonts w:cs="Arial"/>
        </w:rPr>
        <w:t xml:space="preserve"> which is 16 mol % rather than the targeted 11 mol % (Table S2, entry 4). </w:t>
      </w:r>
    </w:p>
    <w:p w14:paraId="2E2237C3" w14:textId="77777777" w:rsidR="00EE5230" w:rsidRPr="00EE5230" w:rsidRDefault="00EE5230" w:rsidP="00EE5230">
      <w:pPr>
        <w:spacing w:after="120"/>
        <w:rPr>
          <w:rFonts w:cs="Arial"/>
        </w:rPr>
      </w:pPr>
      <w:bookmarkStart w:id="9" w:name="_Hlk98781118"/>
      <w:r w:rsidRPr="00EE5230">
        <w:rPr>
          <w:rFonts w:cs="Arial"/>
        </w:rPr>
        <w:t xml:space="preserve">As a control experiment, a PH consisting entirely </w:t>
      </w:r>
      <w:bookmarkEnd w:id="9"/>
      <w:r w:rsidRPr="00EE5230">
        <w:rPr>
          <w:rFonts w:cs="Arial"/>
        </w:rPr>
        <w:t xml:space="preserve">of amine functions and deprived of any </w:t>
      </w:r>
      <w:proofErr w:type="spellStart"/>
      <w:r w:rsidRPr="00EE5230">
        <w:rPr>
          <w:rFonts w:cs="Arial"/>
        </w:rPr>
        <w:t>imidazoliums</w:t>
      </w:r>
      <w:proofErr w:type="spellEnd"/>
      <w:r w:rsidRPr="00EE5230">
        <w:rPr>
          <w:rFonts w:cs="Arial"/>
        </w:rPr>
        <w:t>, i.e. PH</w:t>
      </w:r>
      <w:r w:rsidRPr="00EE5230">
        <w:rPr>
          <w:rFonts w:cs="Arial"/>
          <w:vertAlign w:val="subscript"/>
        </w:rPr>
        <w:t>0</w:t>
      </w:r>
      <w:r w:rsidRPr="00EE5230">
        <w:rPr>
          <w:rFonts w:cs="Arial"/>
        </w:rPr>
        <w:t xml:space="preserve">, </w:t>
      </w:r>
      <w:bookmarkStart w:id="10" w:name="_Hlk98781215"/>
      <w:r w:rsidRPr="00EE5230">
        <w:rPr>
          <w:rFonts w:cs="Arial"/>
        </w:rPr>
        <w:t xml:space="preserve">was prepared </w:t>
      </w:r>
      <w:r w:rsidRPr="00EE5230">
        <w:rPr>
          <w:rFonts w:cs="Arial"/>
          <w:i/>
        </w:rPr>
        <w:t>via</w:t>
      </w:r>
      <w:r w:rsidRPr="00EE5230">
        <w:rPr>
          <w:rFonts w:cs="Arial"/>
        </w:rPr>
        <w:t xml:space="preserve"> a HIPE templating radical copolymerization of </w:t>
      </w:r>
      <w:proofErr w:type="spellStart"/>
      <w:r w:rsidRPr="00EE5230">
        <w:rPr>
          <w:rFonts w:cs="Arial"/>
        </w:rPr>
        <w:t>AEAm</w:t>
      </w:r>
      <w:proofErr w:type="spellEnd"/>
      <w:r w:rsidRPr="00EE5230">
        <w:rPr>
          <w:rFonts w:cs="Arial"/>
        </w:rPr>
        <w:t xml:space="preserve">-HCl with </w:t>
      </w:r>
      <w:proofErr w:type="gramStart"/>
      <w:r w:rsidRPr="00EE5230">
        <w:rPr>
          <w:rFonts w:cs="Arial"/>
        </w:rPr>
        <w:t>N,N</w:t>
      </w:r>
      <w:proofErr w:type="gramEnd"/>
      <w:r w:rsidRPr="00EE5230">
        <w:rPr>
          <w:rFonts w:cs="Arial"/>
        </w:rPr>
        <w:t>'-</w:t>
      </w:r>
      <w:proofErr w:type="spellStart"/>
      <w:r w:rsidRPr="00EE5230">
        <w:rPr>
          <w:rFonts w:cs="Arial"/>
        </w:rPr>
        <w:t>methylenebisacrylamide</w:t>
      </w:r>
      <w:proofErr w:type="spellEnd"/>
      <w:r w:rsidRPr="00EE5230">
        <w:rPr>
          <w:rFonts w:cs="Arial"/>
        </w:rPr>
        <w:t xml:space="preserve">  (</w:t>
      </w:r>
      <w:proofErr w:type="spellStart"/>
      <w:r w:rsidRPr="00EE5230">
        <w:rPr>
          <w:rFonts w:cs="Arial"/>
        </w:rPr>
        <w:t>MBAm</w:t>
      </w:r>
      <w:proofErr w:type="spellEnd"/>
      <w:r w:rsidRPr="00EE5230">
        <w:rPr>
          <w:rFonts w:cs="Arial"/>
        </w:rPr>
        <w:t xml:space="preserve">) </w:t>
      </w:r>
      <w:bookmarkEnd w:id="10"/>
      <w:r w:rsidRPr="00EE5230">
        <w:rPr>
          <w:rFonts w:cs="Arial"/>
        </w:rPr>
        <w:t>(</w:t>
      </w:r>
      <w:proofErr w:type="spellStart"/>
      <w:r w:rsidRPr="00EE5230">
        <w:rPr>
          <w:rFonts w:cs="Arial"/>
        </w:rPr>
        <w:t>AEAm</w:t>
      </w:r>
      <w:proofErr w:type="spellEnd"/>
      <w:r w:rsidRPr="00EE5230">
        <w:rPr>
          <w:rFonts w:cs="Arial"/>
        </w:rPr>
        <w:t>/</w:t>
      </w:r>
      <w:proofErr w:type="spellStart"/>
      <w:r w:rsidRPr="00EE5230">
        <w:rPr>
          <w:rFonts w:cs="Arial"/>
        </w:rPr>
        <w:t>MBAm</w:t>
      </w:r>
      <w:proofErr w:type="spellEnd"/>
      <w:r w:rsidRPr="00EE5230">
        <w:rPr>
          <w:rFonts w:cs="Arial"/>
        </w:rPr>
        <w:t xml:space="preserve"> 89/11 molar ratio). The solid state </w:t>
      </w:r>
      <w:r w:rsidRPr="00EE5230">
        <w:rPr>
          <w:rFonts w:cs="Arial"/>
          <w:vertAlign w:val="superscript"/>
        </w:rPr>
        <w:t>13</w:t>
      </w:r>
      <w:r w:rsidRPr="00EE5230">
        <w:rPr>
          <w:rFonts w:cs="Arial"/>
        </w:rPr>
        <w:t xml:space="preserve">C NMR spectrum confirmed the chemical structure of the </w:t>
      </w:r>
      <w:bookmarkStart w:id="11" w:name="_Hlk88833430"/>
      <w:r w:rsidRPr="00EE5230">
        <w:rPr>
          <w:rFonts w:cs="Arial"/>
        </w:rPr>
        <w:t xml:space="preserve">amino-PH </w:t>
      </w:r>
      <w:bookmarkEnd w:id="11"/>
      <w:r w:rsidRPr="00EE5230">
        <w:rPr>
          <w:rFonts w:cs="Arial"/>
        </w:rPr>
        <w:t>without imidazolium functions (Figure S10).</w:t>
      </w:r>
    </w:p>
    <w:p w14:paraId="63EE5DD2" w14:textId="77777777" w:rsidR="00375D2B" w:rsidRDefault="00375D2B" w:rsidP="00EE5230">
      <w:pPr>
        <w:pStyle w:val="RSCB02ArticleText"/>
        <w:spacing w:after="120"/>
        <w:rPr>
          <w:rStyle w:val="RSCT01TableTitlewithtopbarChar"/>
          <w:rFonts w:ascii="Arial" w:eastAsiaTheme="minorHAnsi" w:hAnsi="Arial" w:cs="Arial"/>
          <w:b/>
          <w:w w:val="100"/>
          <w:sz w:val="24"/>
        </w:rPr>
      </w:pPr>
    </w:p>
    <w:p w14:paraId="37B41603" w14:textId="13E21939" w:rsidR="00EE5230" w:rsidRPr="00EE5230" w:rsidRDefault="00EE5230" w:rsidP="00EE5230">
      <w:pPr>
        <w:pStyle w:val="RSCB02ArticleText"/>
        <w:spacing w:after="120"/>
        <w:rPr>
          <w:rFonts w:ascii="Arial" w:hAnsi="Arial" w:cs="Arial"/>
          <w:w w:val="100"/>
          <w:sz w:val="44"/>
          <w:szCs w:val="24"/>
        </w:rPr>
      </w:pPr>
      <w:r w:rsidRPr="00EE5230">
        <w:rPr>
          <w:rStyle w:val="RSCT01TableTitlewithtopbarChar"/>
          <w:rFonts w:ascii="Arial" w:eastAsiaTheme="minorHAnsi" w:hAnsi="Arial" w:cs="Arial"/>
          <w:b/>
          <w:w w:val="100"/>
          <w:sz w:val="24"/>
        </w:rPr>
        <w:t>Table 1</w:t>
      </w:r>
      <w:r w:rsidRPr="00EE5230">
        <w:rPr>
          <w:rStyle w:val="RSCT01TableTitlewithtopbarChar"/>
          <w:rFonts w:ascii="Arial" w:eastAsiaTheme="minorHAnsi" w:hAnsi="Arial" w:cs="Arial"/>
          <w:w w:val="100"/>
          <w:sz w:val="24"/>
        </w:rPr>
        <w:t>. Summary of the PHs characteristics.</w:t>
      </w:r>
    </w:p>
    <w:tbl>
      <w:tblPr>
        <w:tblStyle w:val="Grilledutableau"/>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10"/>
        <w:gridCol w:w="998"/>
        <w:gridCol w:w="1644"/>
        <w:gridCol w:w="1644"/>
        <w:gridCol w:w="1653"/>
        <w:gridCol w:w="883"/>
        <w:gridCol w:w="680"/>
      </w:tblGrid>
      <w:tr w:rsidR="00EE5230" w:rsidRPr="00EE5230" w14:paraId="479F513A" w14:textId="77777777" w:rsidTr="00C93671">
        <w:trPr>
          <w:trHeight w:val="512"/>
          <w:jc w:val="center"/>
        </w:trPr>
        <w:tc>
          <w:tcPr>
            <w:tcW w:w="851" w:type="dxa"/>
            <w:tcBorders>
              <w:top w:val="single" w:sz="4" w:space="0" w:color="auto"/>
              <w:bottom w:val="single" w:sz="4" w:space="0" w:color="auto"/>
            </w:tcBorders>
            <w:shd w:val="clear" w:color="auto" w:fill="FFFFFF" w:themeFill="background1"/>
            <w:vAlign w:val="center"/>
          </w:tcPr>
          <w:p w14:paraId="12BD3BF2" w14:textId="77777777" w:rsidR="00EE5230" w:rsidRPr="00EE5230" w:rsidRDefault="00EE5230" w:rsidP="00C93671">
            <w:pPr>
              <w:pStyle w:val="RSCT03TableBody"/>
              <w:rPr>
                <w:rFonts w:ascii="Arial" w:hAnsi="Arial" w:cs="Arial"/>
                <w:b/>
                <w:sz w:val="22"/>
              </w:rPr>
            </w:pPr>
            <w:r w:rsidRPr="00EE5230">
              <w:rPr>
                <w:rFonts w:ascii="Arial" w:hAnsi="Arial" w:cs="Arial"/>
                <w:b/>
                <w:sz w:val="22"/>
              </w:rPr>
              <w:t>Entry</w:t>
            </w:r>
          </w:p>
        </w:tc>
        <w:tc>
          <w:tcPr>
            <w:tcW w:w="1110" w:type="dxa"/>
            <w:tcBorders>
              <w:top w:val="single" w:sz="4" w:space="0" w:color="auto"/>
              <w:bottom w:val="single" w:sz="4" w:space="0" w:color="auto"/>
            </w:tcBorders>
            <w:shd w:val="clear" w:color="auto" w:fill="FFFFFF" w:themeFill="background1"/>
            <w:vAlign w:val="center"/>
          </w:tcPr>
          <w:p w14:paraId="00B17801" w14:textId="77777777" w:rsidR="00EE5230" w:rsidRPr="00EE5230" w:rsidRDefault="00EE5230" w:rsidP="00C93671">
            <w:pPr>
              <w:pStyle w:val="RSCT03TableBody"/>
              <w:rPr>
                <w:rFonts w:ascii="Arial" w:hAnsi="Arial" w:cs="Arial"/>
                <w:b/>
                <w:sz w:val="22"/>
              </w:rPr>
            </w:pPr>
            <w:r w:rsidRPr="00EE5230">
              <w:rPr>
                <w:rFonts w:ascii="Arial" w:hAnsi="Arial" w:cs="Arial"/>
                <w:b/>
                <w:sz w:val="22"/>
              </w:rPr>
              <w:t>Sample</w:t>
            </w:r>
          </w:p>
        </w:tc>
        <w:tc>
          <w:tcPr>
            <w:tcW w:w="998" w:type="dxa"/>
            <w:tcBorders>
              <w:top w:val="single" w:sz="4" w:space="0" w:color="auto"/>
              <w:bottom w:val="single" w:sz="4" w:space="0" w:color="auto"/>
            </w:tcBorders>
            <w:shd w:val="clear" w:color="auto" w:fill="FFFFFF" w:themeFill="background1"/>
            <w:vAlign w:val="center"/>
          </w:tcPr>
          <w:p w14:paraId="33555D9C" w14:textId="77777777" w:rsidR="00EE5230" w:rsidRPr="00EE5230" w:rsidRDefault="00EE5230" w:rsidP="00C93671">
            <w:pPr>
              <w:pStyle w:val="RSCT03TableBody"/>
              <w:rPr>
                <w:rFonts w:ascii="Arial" w:hAnsi="Arial" w:cs="Arial"/>
                <w:b/>
                <w:sz w:val="22"/>
                <w:vertAlign w:val="superscript"/>
              </w:rPr>
            </w:pPr>
            <w:r w:rsidRPr="00EE5230">
              <w:rPr>
                <w:rFonts w:ascii="Arial" w:hAnsi="Arial" w:cs="Arial"/>
                <w:b/>
                <w:sz w:val="22"/>
              </w:rPr>
              <w:t>Anion</w:t>
            </w:r>
          </w:p>
        </w:tc>
        <w:tc>
          <w:tcPr>
            <w:tcW w:w="1644" w:type="dxa"/>
            <w:tcBorders>
              <w:top w:val="single" w:sz="4" w:space="0" w:color="auto"/>
              <w:bottom w:val="single" w:sz="4" w:space="0" w:color="auto"/>
            </w:tcBorders>
            <w:shd w:val="clear" w:color="auto" w:fill="FFFFFF" w:themeFill="background1"/>
            <w:vAlign w:val="center"/>
          </w:tcPr>
          <w:p w14:paraId="6CF4F9B2" w14:textId="77777777" w:rsidR="00EE5230" w:rsidRPr="00EE5230" w:rsidRDefault="00EE5230" w:rsidP="00C93671">
            <w:pPr>
              <w:pStyle w:val="RSCT03TableBody"/>
              <w:rPr>
                <w:rFonts w:ascii="Arial" w:hAnsi="Arial" w:cs="Arial"/>
                <w:b/>
                <w:sz w:val="22"/>
              </w:rPr>
            </w:pPr>
            <w:r w:rsidRPr="00EE5230">
              <w:rPr>
                <w:rFonts w:ascii="Arial" w:hAnsi="Arial" w:cs="Arial"/>
                <w:b/>
                <w:sz w:val="22"/>
              </w:rPr>
              <w:t>Imidazolium content (</w:t>
            </w:r>
            <w:proofErr w:type="gramStart"/>
            <w:r w:rsidRPr="00EE5230">
              <w:rPr>
                <w:rFonts w:ascii="Arial" w:hAnsi="Arial" w:cs="Arial"/>
                <w:b/>
                <w:sz w:val="22"/>
              </w:rPr>
              <w:t>%)</w:t>
            </w:r>
            <w:r w:rsidRPr="00EE5230">
              <w:rPr>
                <w:rFonts w:ascii="Arial" w:hAnsi="Arial" w:cs="Arial"/>
                <w:b/>
                <w:sz w:val="22"/>
                <w:vertAlign w:val="superscript"/>
              </w:rPr>
              <w:t>a</w:t>
            </w:r>
            <w:proofErr w:type="gramEnd"/>
          </w:p>
        </w:tc>
        <w:tc>
          <w:tcPr>
            <w:tcW w:w="1644" w:type="dxa"/>
            <w:tcBorders>
              <w:top w:val="single" w:sz="4" w:space="0" w:color="auto"/>
              <w:bottom w:val="single" w:sz="4" w:space="0" w:color="auto"/>
            </w:tcBorders>
            <w:shd w:val="clear" w:color="auto" w:fill="FFFFFF" w:themeFill="background1"/>
            <w:vAlign w:val="center"/>
          </w:tcPr>
          <w:p w14:paraId="0D1C06B5" w14:textId="77777777" w:rsidR="00EE5230" w:rsidRPr="00EE5230" w:rsidRDefault="00EE5230" w:rsidP="00C93671">
            <w:pPr>
              <w:pStyle w:val="RSCT03TableBody"/>
              <w:rPr>
                <w:rFonts w:ascii="Arial" w:hAnsi="Arial" w:cs="Arial"/>
                <w:b/>
                <w:sz w:val="22"/>
                <w:vertAlign w:val="superscript"/>
              </w:rPr>
            </w:pPr>
            <w:r w:rsidRPr="00EE5230">
              <w:rPr>
                <w:rFonts w:ascii="Arial" w:hAnsi="Arial" w:cs="Arial"/>
                <w:b/>
                <w:sz w:val="22"/>
              </w:rPr>
              <w:t>Sulfur content (</w:t>
            </w:r>
            <w:proofErr w:type="gramStart"/>
            <w:r w:rsidRPr="00EE5230">
              <w:rPr>
                <w:rFonts w:ascii="Arial" w:hAnsi="Arial" w:cs="Arial"/>
                <w:b/>
                <w:sz w:val="22"/>
              </w:rPr>
              <w:t>%)</w:t>
            </w:r>
            <w:r w:rsidRPr="00EE5230">
              <w:rPr>
                <w:rFonts w:ascii="Arial" w:hAnsi="Arial" w:cs="Arial"/>
                <w:b/>
                <w:sz w:val="22"/>
                <w:vertAlign w:val="superscript"/>
              </w:rPr>
              <w:t>b</w:t>
            </w:r>
            <w:proofErr w:type="gramEnd"/>
          </w:p>
        </w:tc>
        <w:tc>
          <w:tcPr>
            <w:tcW w:w="1653" w:type="dxa"/>
            <w:tcBorders>
              <w:top w:val="single" w:sz="4" w:space="0" w:color="auto"/>
              <w:bottom w:val="single" w:sz="4" w:space="0" w:color="auto"/>
            </w:tcBorders>
            <w:shd w:val="clear" w:color="auto" w:fill="FFFFFF" w:themeFill="background1"/>
            <w:vAlign w:val="center"/>
          </w:tcPr>
          <w:p w14:paraId="073A1251" w14:textId="77777777" w:rsidR="00EE5230" w:rsidRPr="00EE5230" w:rsidRDefault="00EE5230" w:rsidP="00C93671">
            <w:pPr>
              <w:pStyle w:val="RSCT03TableBody"/>
              <w:rPr>
                <w:rFonts w:ascii="Arial" w:hAnsi="Arial" w:cs="Arial"/>
                <w:b/>
                <w:sz w:val="22"/>
              </w:rPr>
            </w:pPr>
            <w:r w:rsidRPr="00EE5230">
              <w:rPr>
                <w:rFonts w:ascii="Arial" w:hAnsi="Arial" w:cs="Arial"/>
                <w:b/>
                <w:sz w:val="22"/>
              </w:rPr>
              <w:t>Voids / Pores</w:t>
            </w:r>
          </w:p>
          <w:p w14:paraId="59DD689E" w14:textId="77777777" w:rsidR="00EE5230" w:rsidRPr="00EE5230" w:rsidRDefault="00EE5230" w:rsidP="00C93671">
            <w:pPr>
              <w:pStyle w:val="RSCT03TableBody"/>
              <w:rPr>
                <w:rFonts w:ascii="Arial" w:hAnsi="Arial" w:cs="Arial"/>
                <w:b/>
                <w:sz w:val="22"/>
                <w:vertAlign w:val="superscript"/>
              </w:rPr>
            </w:pPr>
            <w:r w:rsidRPr="00EE5230">
              <w:rPr>
                <w:rFonts w:ascii="Arial" w:hAnsi="Arial" w:cs="Arial"/>
                <w:b/>
                <w:sz w:val="22"/>
              </w:rPr>
              <w:t>Diameter (µm)</w:t>
            </w:r>
            <w:r w:rsidRPr="00EE5230">
              <w:rPr>
                <w:rFonts w:ascii="Arial" w:hAnsi="Arial" w:cs="Arial"/>
                <w:b/>
                <w:sz w:val="22"/>
                <w:vertAlign w:val="superscript"/>
              </w:rPr>
              <w:t>c</w:t>
            </w:r>
          </w:p>
        </w:tc>
        <w:tc>
          <w:tcPr>
            <w:tcW w:w="883" w:type="dxa"/>
            <w:tcBorders>
              <w:top w:val="single" w:sz="4" w:space="0" w:color="auto"/>
              <w:bottom w:val="single" w:sz="4" w:space="0" w:color="auto"/>
            </w:tcBorders>
            <w:shd w:val="clear" w:color="auto" w:fill="FFFFFF" w:themeFill="background1"/>
            <w:vAlign w:val="center"/>
          </w:tcPr>
          <w:p w14:paraId="1E036246" w14:textId="77777777" w:rsidR="00EE5230" w:rsidRPr="00EE5230" w:rsidRDefault="00EE5230" w:rsidP="00C93671">
            <w:pPr>
              <w:pStyle w:val="RSCT03TableBody"/>
              <w:rPr>
                <w:rFonts w:ascii="Arial" w:hAnsi="Arial" w:cs="Arial"/>
                <w:b/>
                <w:sz w:val="22"/>
              </w:rPr>
            </w:pPr>
            <w:r w:rsidRPr="00EE5230">
              <w:rPr>
                <w:rFonts w:ascii="Arial" w:hAnsi="Arial" w:cs="Arial"/>
                <w:b/>
                <w:sz w:val="22"/>
              </w:rPr>
              <w:t>WU</w:t>
            </w:r>
          </w:p>
          <w:p w14:paraId="02DDC7FD" w14:textId="77777777" w:rsidR="00EE5230" w:rsidRPr="00EE5230" w:rsidRDefault="00EE5230" w:rsidP="00C93671">
            <w:pPr>
              <w:pStyle w:val="RSCT03TableBody"/>
              <w:rPr>
                <w:rFonts w:ascii="Arial" w:hAnsi="Arial" w:cs="Arial"/>
                <w:b/>
                <w:sz w:val="22"/>
                <w:vertAlign w:val="superscript"/>
              </w:rPr>
            </w:pPr>
            <w:r w:rsidRPr="00EE5230">
              <w:rPr>
                <w:rFonts w:ascii="Arial" w:hAnsi="Arial" w:cs="Arial"/>
                <w:b/>
                <w:sz w:val="22"/>
              </w:rPr>
              <w:t>(g</w:t>
            </w:r>
            <w:r w:rsidRPr="00EE5230">
              <w:rPr>
                <w:rFonts w:ascii="Arial" w:hAnsi="Arial" w:cs="Arial"/>
                <w:b/>
                <w:sz w:val="22"/>
                <w:vertAlign w:val="subscript"/>
              </w:rPr>
              <w:t xml:space="preserve"> </w:t>
            </w:r>
            <w:r w:rsidRPr="00EE5230">
              <w:rPr>
                <w:rFonts w:ascii="Arial" w:hAnsi="Arial" w:cs="Arial"/>
                <w:b/>
                <w:sz w:val="22"/>
              </w:rPr>
              <w:t>g</w:t>
            </w:r>
            <w:r w:rsidRPr="00EE5230">
              <w:rPr>
                <w:rFonts w:ascii="Arial" w:hAnsi="Arial" w:cs="Arial"/>
                <w:b/>
                <w:sz w:val="22"/>
                <w:vertAlign w:val="superscript"/>
              </w:rPr>
              <w:t>-</w:t>
            </w:r>
            <w:proofErr w:type="gramStart"/>
            <w:r w:rsidRPr="00EE5230">
              <w:rPr>
                <w:rFonts w:ascii="Arial" w:hAnsi="Arial" w:cs="Arial"/>
                <w:b/>
                <w:sz w:val="22"/>
                <w:vertAlign w:val="superscript"/>
              </w:rPr>
              <w:t>1</w:t>
            </w:r>
            <w:r w:rsidRPr="00EE5230">
              <w:rPr>
                <w:rFonts w:ascii="Arial" w:hAnsi="Arial" w:cs="Arial"/>
                <w:b/>
                <w:sz w:val="22"/>
              </w:rPr>
              <w:t>)</w:t>
            </w:r>
            <w:r w:rsidRPr="00EE5230">
              <w:rPr>
                <w:rFonts w:ascii="Arial" w:hAnsi="Arial" w:cs="Arial"/>
                <w:b/>
                <w:sz w:val="22"/>
                <w:vertAlign w:val="superscript"/>
              </w:rPr>
              <w:t>d</w:t>
            </w:r>
            <w:proofErr w:type="gramEnd"/>
          </w:p>
        </w:tc>
        <w:tc>
          <w:tcPr>
            <w:tcW w:w="680" w:type="dxa"/>
            <w:tcBorders>
              <w:top w:val="single" w:sz="4" w:space="0" w:color="auto"/>
              <w:bottom w:val="single" w:sz="4" w:space="0" w:color="auto"/>
            </w:tcBorders>
            <w:shd w:val="clear" w:color="auto" w:fill="FFFFFF" w:themeFill="background1"/>
            <w:vAlign w:val="center"/>
          </w:tcPr>
          <w:p w14:paraId="114DDD00" w14:textId="77777777" w:rsidR="00EE5230" w:rsidRPr="00EE5230" w:rsidRDefault="00EE5230" w:rsidP="00C93671">
            <w:pPr>
              <w:pStyle w:val="RSCT03TableBody"/>
              <w:rPr>
                <w:rFonts w:ascii="Arial" w:hAnsi="Arial" w:cs="Arial"/>
                <w:b/>
                <w:sz w:val="22"/>
                <w:vertAlign w:val="subscript"/>
              </w:rPr>
            </w:pPr>
            <w:r w:rsidRPr="00EE5230">
              <w:rPr>
                <w:rFonts w:ascii="Arial" w:hAnsi="Arial" w:cs="Arial"/>
                <w:b/>
                <w:sz w:val="22"/>
              </w:rPr>
              <w:t>T</w:t>
            </w:r>
            <w:r w:rsidRPr="00EE5230">
              <w:rPr>
                <w:rFonts w:ascii="Arial" w:hAnsi="Arial" w:cs="Arial"/>
                <w:b/>
                <w:sz w:val="22"/>
                <w:vertAlign w:val="subscript"/>
              </w:rPr>
              <w:t>OD</w:t>
            </w:r>
          </w:p>
          <w:p w14:paraId="7324034B" w14:textId="77777777" w:rsidR="00EE5230" w:rsidRPr="00EE5230" w:rsidRDefault="00EE5230" w:rsidP="00C93671">
            <w:pPr>
              <w:pStyle w:val="RSCT03TableBody"/>
              <w:rPr>
                <w:rFonts w:ascii="Arial" w:hAnsi="Arial" w:cs="Arial"/>
                <w:b/>
                <w:sz w:val="22"/>
                <w:vertAlign w:val="subscript"/>
              </w:rPr>
            </w:pPr>
            <w:r w:rsidRPr="00EE5230">
              <w:rPr>
                <w:rFonts w:ascii="Arial" w:hAnsi="Arial" w:cs="Arial"/>
                <w:b/>
                <w:sz w:val="22"/>
              </w:rPr>
              <w:t>(°C)</w:t>
            </w:r>
          </w:p>
        </w:tc>
      </w:tr>
      <w:tr w:rsidR="00EE5230" w:rsidRPr="00EE5230" w14:paraId="15BAC35F" w14:textId="77777777" w:rsidTr="00C93671">
        <w:trPr>
          <w:trHeight w:val="229"/>
          <w:jc w:val="center"/>
        </w:trPr>
        <w:tc>
          <w:tcPr>
            <w:tcW w:w="851" w:type="dxa"/>
            <w:tcBorders>
              <w:top w:val="single" w:sz="4" w:space="0" w:color="auto"/>
            </w:tcBorders>
            <w:shd w:val="clear" w:color="auto" w:fill="auto"/>
            <w:vAlign w:val="center"/>
          </w:tcPr>
          <w:p w14:paraId="45FBF703"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w:t>
            </w:r>
          </w:p>
        </w:tc>
        <w:tc>
          <w:tcPr>
            <w:tcW w:w="1110" w:type="dxa"/>
            <w:tcBorders>
              <w:top w:val="single" w:sz="4" w:space="0" w:color="auto"/>
            </w:tcBorders>
            <w:shd w:val="clear" w:color="auto" w:fill="auto"/>
            <w:vAlign w:val="center"/>
          </w:tcPr>
          <w:p w14:paraId="6E3FF8DE" w14:textId="77777777" w:rsidR="00EE5230" w:rsidRPr="00EE5230" w:rsidRDefault="00EE5230" w:rsidP="00C93671">
            <w:pPr>
              <w:pStyle w:val="RSCT03TableBody"/>
              <w:spacing w:line="360" w:lineRule="auto"/>
              <w:rPr>
                <w:rFonts w:ascii="Arial" w:hAnsi="Arial" w:cs="Arial"/>
                <w:sz w:val="22"/>
                <w:vertAlign w:val="subscript"/>
              </w:rPr>
            </w:pPr>
            <w:r w:rsidRPr="00EE5230">
              <w:rPr>
                <w:rFonts w:ascii="Arial" w:hAnsi="Arial" w:cs="Arial"/>
                <w:sz w:val="22"/>
              </w:rPr>
              <w:t>PH</w:t>
            </w:r>
            <w:r w:rsidRPr="00EE5230">
              <w:rPr>
                <w:rFonts w:ascii="Arial" w:hAnsi="Arial" w:cs="Arial"/>
                <w:sz w:val="22"/>
                <w:vertAlign w:val="subscript"/>
              </w:rPr>
              <w:t>100-OAc</w:t>
            </w:r>
          </w:p>
        </w:tc>
        <w:tc>
          <w:tcPr>
            <w:tcW w:w="998" w:type="dxa"/>
            <w:vMerge w:val="restart"/>
            <w:tcBorders>
              <w:top w:val="single" w:sz="4" w:space="0" w:color="auto"/>
            </w:tcBorders>
            <w:shd w:val="clear" w:color="auto" w:fill="auto"/>
            <w:vAlign w:val="center"/>
          </w:tcPr>
          <w:p w14:paraId="273B4121"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Acetate</w:t>
            </w:r>
          </w:p>
        </w:tc>
        <w:tc>
          <w:tcPr>
            <w:tcW w:w="1644" w:type="dxa"/>
            <w:tcBorders>
              <w:top w:val="single" w:sz="4" w:space="0" w:color="auto"/>
            </w:tcBorders>
            <w:vAlign w:val="center"/>
          </w:tcPr>
          <w:p w14:paraId="273E58CB"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100</w:t>
            </w:r>
          </w:p>
        </w:tc>
        <w:tc>
          <w:tcPr>
            <w:tcW w:w="1644" w:type="dxa"/>
            <w:tcBorders>
              <w:top w:val="single" w:sz="4" w:space="0" w:color="auto"/>
            </w:tcBorders>
            <w:vAlign w:val="center"/>
          </w:tcPr>
          <w:p w14:paraId="1DE13A5E"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ND</w:t>
            </w:r>
          </w:p>
        </w:tc>
        <w:tc>
          <w:tcPr>
            <w:tcW w:w="1653" w:type="dxa"/>
            <w:tcBorders>
              <w:top w:val="single" w:sz="4" w:space="0" w:color="auto"/>
            </w:tcBorders>
            <w:vAlign w:val="center"/>
          </w:tcPr>
          <w:p w14:paraId="6488DAB9"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20 </w:t>
            </w:r>
            <w:r w:rsidRPr="00EE5230">
              <w:rPr>
                <w:rFonts w:ascii="Arial" w:hAnsi="Arial" w:cs="Arial"/>
              </w:rPr>
              <w:t xml:space="preserve">± </w:t>
            </w:r>
            <w:r w:rsidRPr="00EE5230">
              <w:rPr>
                <w:rFonts w:ascii="Arial" w:hAnsi="Arial" w:cs="Arial"/>
                <w:sz w:val="22"/>
              </w:rPr>
              <w:t xml:space="preserve">7 / 7 </w:t>
            </w:r>
            <w:r w:rsidRPr="00EE5230">
              <w:rPr>
                <w:rFonts w:ascii="Arial" w:hAnsi="Arial" w:cs="Arial"/>
              </w:rPr>
              <w:t xml:space="preserve">± </w:t>
            </w:r>
            <w:r w:rsidRPr="00EE5230">
              <w:rPr>
                <w:rFonts w:ascii="Arial" w:hAnsi="Arial" w:cs="Arial"/>
                <w:sz w:val="22"/>
              </w:rPr>
              <w:t>2</w:t>
            </w:r>
          </w:p>
        </w:tc>
        <w:tc>
          <w:tcPr>
            <w:tcW w:w="883" w:type="dxa"/>
            <w:tcBorders>
              <w:top w:val="single" w:sz="4" w:space="0" w:color="auto"/>
            </w:tcBorders>
            <w:vAlign w:val="center"/>
          </w:tcPr>
          <w:p w14:paraId="713BDC59"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29</w:t>
            </w:r>
          </w:p>
        </w:tc>
        <w:tc>
          <w:tcPr>
            <w:tcW w:w="680" w:type="dxa"/>
            <w:tcBorders>
              <w:top w:val="single" w:sz="4" w:space="0" w:color="auto"/>
            </w:tcBorders>
            <w:vAlign w:val="center"/>
          </w:tcPr>
          <w:p w14:paraId="208126D0"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220</w:t>
            </w:r>
          </w:p>
        </w:tc>
      </w:tr>
      <w:tr w:rsidR="00EE5230" w:rsidRPr="00EE5230" w14:paraId="51D7F0B1" w14:textId="77777777" w:rsidTr="00C93671">
        <w:trPr>
          <w:trHeight w:val="70"/>
          <w:jc w:val="center"/>
        </w:trPr>
        <w:tc>
          <w:tcPr>
            <w:tcW w:w="851" w:type="dxa"/>
            <w:shd w:val="clear" w:color="auto" w:fill="auto"/>
            <w:vAlign w:val="center"/>
          </w:tcPr>
          <w:p w14:paraId="38E5C3C4"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w:t>
            </w:r>
          </w:p>
        </w:tc>
        <w:tc>
          <w:tcPr>
            <w:tcW w:w="1110" w:type="dxa"/>
            <w:shd w:val="clear" w:color="auto" w:fill="auto"/>
            <w:vAlign w:val="center"/>
          </w:tcPr>
          <w:p w14:paraId="61940F24"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33-OAc</w:t>
            </w:r>
          </w:p>
        </w:tc>
        <w:tc>
          <w:tcPr>
            <w:tcW w:w="998" w:type="dxa"/>
            <w:vMerge/>
            <w:shd w:val="clear" w:color="auto" w:fill="auto"/>
            <w:vAlign w:val="center"/>
          </w:tcPr>
          <w:p w14:paraId="0815C939" w14:textId="77777777" w:rsidR="00EE5230" w:rsidRPr="00EE5230" w:rsidRDefault="00EE5230" w:rsidP="00C93671">
            <w:pPr>
              <w:pStyle w:val="RSCT03TableBody"/>
              <w:spacing w:line="360" w:lineRule="auto"/>
              <w:rPr>
                <w:rFonts w:ascii="Arial" w:hAnsi="Arial" w:cs="Arial"/>
                <w:sz w:val="22"/>
              </w:rPr>
            </w:pPr>
          </w:p>
        </w:tc>
        <w:tc>
          <w:tcPr>
            <w:tcW w:w="1644" w:type="dxa"/>
            <w:vAlign w:val="center"/>
          </w:tcPr>
          <w:p w14:paraId="46D54DD3"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33</w:t>
            </w:r>
          </w:p>
        </w:tc>
        <w:tc>
          <w:tcPr>
            <w:tcW w:w="1644" w:type="dxa"/>
            <w:shd w:val="clear" w:color="auto" w:fill="auto"/>
          </w:tcPr>
          <w:p w14:paraId="00176163"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ND</w:t>
            </w:r>
          </w:p>
        </w:tc>
        <w:tc>
          <w:tcPr>
            <w:tcW w:w="1653" w:type="dxa"/>
            <w:vAlign w:val="center"/>
          </w:tcPr>
          <w:p w14:paraId="1BFFBC41"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32 </w:t>
            </w:r>
            <w:r w:rsidRPr="00EE5230">
              <w:rPr>
                <w:rFonts w:ascii="Arial" w:hAnsi="Arial" w:cs="Arial"/>
              </w:rPr>
              <w:t xml:space="preserve">± </w:t>
            </w:r>
            <w:r w:rsidRPr="00EE5230">
              <w:rPr>
                <w:rFonts w:ascii="Arial" w:hAnsi="Arial" w:cs="Arial"/>
                <w:sz w:val="22"/>
              </w:rPr>
              <w:t xml:space="preserve">7 / 7 </w:t>
            </w:r>
            <w:r w:rsidRPr="00EE5230">
              <w:rPr>
                <w:rFonts w:ascii="Arial" w:hAnsi="Arial" w:cs="Arial"/>
              </w:rPr>
              <w:t xml:space="preserve">± </w:t>
            </w:r>
            <w:r w:rsidRPr="00EE5230">
              <w:rPr>
                <w:rFonts w:ascii="Arial" w:hAnsi="Arial" w:cs="Arial"/>
                <w:sz w:val="22"/>
              </w:rPr>
              <w:t>3</w:t>
            </w:r>
          </w:p>
        </w:tc>
        <w:tc>
          <w:tcPr>
            <w:tcW w:w="883" w:type="dxa"/>
            <w:vAlign w:val="center"/>
          </w:tcPr>
          <w:p w14:paraId="3CE5C050"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28</w:t>
            </w:r>
          </w:p>
        </w:tc>
        <w:tc>
          <w:tcPr>
            <w:tcW w:w="680" w:type="dxa"/>
            <w:vAlign w:val="center"/>
          </w:tcPr>
          <w:p w14:paraId="550F951A"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221</w:t>
            </w:r>
          </w:p>
        </w:tc>
      </w:tr>
      <w:tr w:rsidR="00EE5230" w:rsidRPr="00EE5230" w14:paraId="1CE96CA4" w14:textId="77777777" w:rsidTr="00C93671">
        <w:trPr>
          <w:trHeight w:val="70"/>
          <w:jc w:val="center"/>
        </w:trPr>
        <w:tc>
          <w:tcPr>
            <w:tcW w:w="851" w:type="dxa"/>
            <w:tcBorders>
              <w:bottom w:val="single" w:sz="4" w:space="0" w:color="auto"/>
            </w:tcBorders>
            <w:shd w:val="clear" w:color="auto" w:fill="auto"/>
            <w:vAlign w:val="center"/>
          </w:tcPr>
          <w:p w14:paraId="6439A5DE"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3</w:t>
            </w:r>
          </w:p>
        </w:tc>
        <w:tc>
          <w:tcPr>
            <w:tcW w:w="1110" w:type="dxa"/>
            <w:tcBorders>
              <w:bottom w:val="single" w:sz="4" w:space="0" w:color="auto"/>
            </w:tcBorders>
            <w:shd w:val="clear" w:color="auto" w:fill="auto"/>
            <w:vAlign w:val="center"/>
          </w:tcPr>
          <w:p w14:paraId="129D2140"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11-OAc</w:t>
            </w:r>
          </w:p>
        </w:tc>
        <w:tc>
          <w:tcPr>
            <w:tcW w:w="998" w:type="dxa"/>
            <w:vMerge/>
            <w:tcBorders>
              <w:bottom w:val="single" w:sz="4" w:space="0" w:color="auto"/>
            </w:tcBorders>
            <w:shd w:val="clear" w:color="auto" w:fill="auto"/>
            <w:vAlign w:val="center"/>
          </w:tcPr>
          <w:p w14:paraId="3111416F" w14:textId="77777777" w:rsidR="00EE5230" w:rsidRPr="00EE5230" w:rsidRDefault="00EE5230" w:rsidP="00C93671">
            <w:pPr>
              <w:pStyle w:val="RSCT03TableBody"/>
              <w:spacing w:line="360" w:lineRule="auto"/>
              <w:rPr>
                <w:rFonts w:ascii="Arial" w:hAnsi="Arial" w:cs="Arial"/>
                <w:sz w:val="22"/>
              </w:rPr>
            </w:pPr>
          </w:p>
        </w:tc>
        <w:tc>
          <w:tcPr>
            <w:tcW w:w="1644" w:type="dxa"/>
            <w:tcBorders>
              <w:bottom w:val="single" w:sz="4" w:space="0" w:color="auto"/>
            </w:tcBorders>
            <w:vAlign w:val="center"/>
          </w:tcPr>
          <w:p w14:paraId="7E08071A"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11</w:t>
            </w:r>
            <w:r w:rsidRPr="00EE5230">
              <w:rPr>
                <w:rFonts w:ascii="Arial" w:hAnsi="Arial" w:cs="Arial"/>
                <w:sz w:val="22"/>
                <w:vertAlign w:val="superscript"/>
              </w:rPr>
              <w:t>f</w:t>
            </w:r>
          </w:p>
        </w:tc>
        <w:tc>
          <w:tcPr>
            <w:tcW w:w="1644" w:type="dxa"/>
            <w:tcBorders>
              <w:bottom w:val="single" w:sz="4" w:space="0" w:color="auto"/>
            </w:tcBorders>
            <w:shd w:val="clear" w:color="auto" w:fill="auto"/>
          </w:tcPr>
          <w:p w14:paraId="1505711A" w14:textId="77777777" w:rsidR="00EE5230" w:rsidRPr="00EE5230" w:rsidRDefault="00EE5230" w:rsidP="00C93671">
            <w:pPr>
              <w:pStyle w:val="RSCT03TableBody"/>
              <w:spacing w:line="360" w:lineRule="auto"/>
              <w:rPr>
                <w:rFonts w:ascii="Arial" w:hAnsi="Arial" w:cs="Arial"/>
                <w:sz w:val="22"/>
                <w:vertAlign w:val="superscript"/>
              </w:rPr>
            </w:pPr>
            <w:r w:rsidRPr="00EE5230">
              <w:rPr>
                <w:rFonts w:ascii="Arial" w:hAnsi="Arial" w:cs="Arial"/>
                <w:sz w:val="22"/>
              </w:rPr>
              <w:t>ND</w:t>
            </w:r>
          </w:p>
        </w:tc>
        <w:tc>
          <w:tcPr>
            <w:tcW w:w="1653" w:type="dxa"/>
            <w:tcBorders>
              <w:bottom w:val="single" w:sz="4" w:space="0" w:color="auto"/>
            </w:tcBorders>
            <w:vAlign w:val="center"/>
          </w:tcPr>
          <w:p w14:paraId="0CD0A147"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27 </w:t>
            </w:r>
            <w:r w:rsidRPr="00EE5230">
              <w:rPr>
                <w:rFonts w:ascii="Arial" w:hAnsi="Arial" w:cs="Arial"/>
              </w:rPr>
              <w:t xml:space="preserve">± </w:t>
            </w:r>
            <w:r w:rsidRPr="00EE5230">
              <w:rPr>
                <w:rFonts w:ascii="Arial" w:hAnsi="Arial" w:cs="Arial"/>
                <w:sz w:val="22"/>
              </w:rPr>
              <w:t xml:space="preserve">8 / 7 </w:t>
            </w:r>
            <w:r w:rsidRPr="00EE5230">
              <w:rPr>
                <w:rFonts w:ascii="Arial" w:hAnsi="Arial" w:cs="Arial"/>
              </w:rPr>
              <w:t xml:space="preserve">± </w:t>
            </w:r>
            <w:r w:rsidRPr="00EE5230">
              <w:rPr>
                <w:rFonts w:ascii="Arial" w:hAnsi="Arial" w:cs="Arial"/>
                <w:sz w:val="22"/>
              </w:rPr>
              <w:t>2</w:t>
            </w:r>
          </w:p>
        </w:tc>
        <w:tc>
          <w:tcPr>
            <w:tcW w:w="883" w:type="dxa"/>
            <w:tcBorders>
              <w:bottom w:val="single" w:sz="4" w:space="0" w:color="auto"/>
            </w:tcBorders>
            <w:vAlign w:val="center"/>
          </w:tcPr>
          <w:p w14:paraId="3AC7E86D"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44</w:t>
            </w:r>
          </w:p>
        </w:tc>
        <w:tc>
          <w:tcPr>
            <w:tcW w:w="680" w:type="dxa"/>
            <w:tcBorders>
              <w:bottom w:val="single" w:sz="4" w:space="0" w:color="auto"/>
            </w:tcBorders>
            <w:vAlign w:val="center"/>
          </w:tcPr>
          <w:p w14:paraId="222C69F4"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114</w:t>
            </w:r>
          </w:p>
        </w:tc>
      </w:tr>
      <w:tr w:rsidR="00EE5230" w:rsidRPr="00EE5230" w14:paraId="00A502AC" w14:textId="77777777" w:rsidTr="00C93671">
        <w:trPr>
          <w:trHeight w:val="70"/>
          <w:jc w:val="center"/>
        </w:trPr>
        <w:tc>
          <w:tcPr>
            <w:tcW w:w="851" w:type="dxa"/>
            <w:tcBorders>
              <w:top w:val="single" w:sz="4" w:space="0" w:color="auto"/>
            </w:tcBorders>
            <w:shd w:val="clear" w:color="auto" w:fill="auto"/>
            <w:vAlign w:val="center"/>
          </w:tcPr>
          <w:p w14:paraId="41F98F7E"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4</w:t>
            </w:r>
          </w:p>
        </w:tc>
        <w:tc>
          <w:tcPr>
            <w:tcW w:w="1110" w:type="dxa"/>
            <w:tcBorders>
              <w:top w:val="single" w:sz="4" w:space="0" w:color="auto"/>
            </w:tcBorders>
            <w:shd w:val="clear" w:color="auto" w:fill="auto"/>
            <w:vAlign w:val="center"/>
          </w:tcPr>
          <w:p w14:paraId="1E02AC4B"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100- TFSI</w:t>
            </w:r>
          </w:p>
        </w:tc>
        <w:tc>
          <w:tcPr>
            <w:tcW w:w="998" w:type="dxa"/>
            <w:vMerge w:val="restart"/>
            <w:tcBorders>
              <w:top w:val="single" w:sz="4" w:space="0" w:color="auto"/>
            </w:tcBorders>
            <w:shd w:val="clear" w:color="auto" w:fill="auto"/>
            <w:vAlign w:val="center"/>
          </w:tcPr>
          <w:p w14:paraId="679872B7"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TFSI</w:t>
            </w:r>
          </w:p>
        </w:tc>
        <w:tc>
          <w:tcPr>
            <w:tcW w:w="1644" w:type="dxa"/>
            <w:tcBorders>
              <w:top w:val="single" w:sz="4" w:space="0" w:color="auto"/>
            </w:tcBorders>
            <w:vAlign w:val="center"/>
          </w:tcPr>
          <w:p w14:paraId="5E75BC88"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100</w:t>
            </w:r>
          </w:p>
        </w:tc>
        <w:tc>
          <w:tcPr>
            <w:tcW w:w="1644" w:type="dxa"/>
            <w:tcBorders>
              <w:top w:val="single" w:sz="4" w:space="0" w:color="auto"/>
            </w:tcBorders>
            <w:shd w:val="clear" w:color="auto" w:fill="auto"/>
            <w:vAlign w:val="center"/>
          </w:tcPr>
          <w:p w14:paraId="65CE9661"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11.7</w:t>
            </w:r>
          </w:p>
        </w:tc>
        <w:tc>
          <w:tcPr>
            <w:tcW w:w="1653" w:type="dxa"/>
            <w:tcBorders>
              <w:top w:val="single" w:sz="4" w:space="0" w:color="auto"/>
            </w:tcBorders>
            <w:vAlign w:val="center"/>
          </w:tcPr>
          <w:p w14:paraId="416BF36F"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12 </w:t>
            </w:r>
            <w:r w:rsidRPr="00EE5230">
              <w:rPr>
                <w:rFonts w:ascii="Arial" w:hAnsi="Arial" w:cs="Arial"/>
              </w:rPr>
              <w:t xml:space="preserve">± </w:t>
            </w:r>
            <w:r w:rsidRPr="00EE5230">
              <w:rPr>
                <w:rFonts w:ascii="Arial" w:hAnsi="Arial" w:cs="Arial"/>
                <w:sz w:val="22"/>
              </w:rPr>
              <w:t xml:space="preserve">7 / 3 </w:t>
            </w:r>
            <w:r w:rsidRPr="00EE5230">
              <w:rPr>
                <w:rFonts w:ascii="Arial" w:hAnsi="Arial" w:cs="Arial"/>
              </w:rPr>
              <w:t xml:space="preserve">± </w:t>
            </w:r>
            <w:r w:rsidRPr="00EE5230">
              <w:rPr>
                <w:rFonts w:ascii="Arial" w:hAnsi="Arial" w:cs="Arial"/>
                <w:sz w:val="22"/>
              </w:rPr>
              <w:t>1</w:t>
            </w:r>
          </w:p>
        </w:tc>
        <w:tc>
          <w:tcPr>
            <w:tcW w:w="883" w:type="dxa"/>
            <w:tcBorders>
              <w:top w:val="single" w:sz="4" w:space="0" w:color="auto"/>
            </w:tcBorders>
            <w:vAlign w:val="center"/>
          </w:tcPr>
          <w:p w14:paraId="6566CE40"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color w:val="000000"/>
                <w:sz w:val="22"/>
              </w:rPr>
              <w:t>4</w:t>
            </w:r>
          </w:p>
        </w:tc>
        <w:tc>
          <w:tcPr>
            <w:tcW w:w="680" w:type="dxa"/>
            <w:tcBorders>
              <w:top w:val="single" w:sz="4" w:space="0" w:color="auto"/>
            </w:tcBorders>
            <w:vAlign w:val="center"/>
          </w:tcPr>
          <w:p w14:paraId="340360CA"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338</w:t>
            </w:r>
          </w:p>
        </w:tc>
      </w:tr>
      <w:tr w:rsidR="00EE5230" w:rsidRPr="00EE5230" w14:paraId="6EB8825A" w14:textId="77777777" w:rsidTr="00C93671">
        <w:trPr>
          <w:trHeight w:val="70"/>
          <w:jc w:val="center"/>
        </w:trPr>
        <w:tc>
          <w:tcPr>
            <w:tcW w:w="851" w:type="dxa"/>
            <w:shd w:val="clear" w:color="auto" w:fill="auto"/>
            <w:vAlign w:val="center"/>
          </w:tcPr>
          <w:p w14:paraId="5564396E"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5</w:t>
            </w:r>
          </w:p>
        </w:tc>
        <w:tc>
          <w:tcPr>
            <w:tcW w:w="1110" w:type="dxa"/>
            <w:shd w:val="clear" w:color="auto" w:fill="auto"/>
            <w:vAlign w:val="center"/>
          </w:tcPr>
          <w:p w14:paraId="00FC0C9B"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33- TFSI</w:t>
            </w:r>
          </w:p>
        </w:tc>
        <w:tc>
          <w:tcPr>
            <w:tcW w:w="998" w:type="dxa"/>
            <w:vMerge/>
            <w:shd w:val="clear" w:color="auto" w:fill="auto"/>
            <w:vAlign w:val="center"/>
          </w:tcPr>
          <w:p w14:paraId="607C3481" w14:textId="77777777" w:rsidR="00EE5230" w:rsidRPr="00EE5230" w:rsidRDefault="00EE5230" w:rsidP="00C93671">
            <w:pPr>
              <w:pStyle w:val="RSCT03TableBody"/>
              <w:spacing w:line="360" w:lineRule="auto"/>
              <w:rPr>
                <w:rFonts w:ascii="Arial" w:hAnsi="Arial" w:cs="Arial"/>
                <w:sz w:val="22"/>
              </w:rPr>
            </w:pPr>
          </w:p>
        </w:tc>
        <w:tc>
          <w:tcPr>
            <w:tcW w:w="1644" w:type="dxa"/>
            <w:vAlign w:val="center"/>
          </w:tcPr>
          <w:p w14:paraId="17F71A6D"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33</w:t>
            </w:r>
          </w:p>
        </w:tc>
        <w:tc>
          <w:tcPr>
            <w:tcW w:w="1644" w:type="dxa"/>
            <w:shd w:val="clear" w:color="auto" w:fill="auto"/>
            <w:vAlign w:val="center"/>
          </w:tcPr>
          <w:p w14:paraId="7DBD7334"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7.7</w:t>
            </w:r>
          </w:p>
        </w:tc>
        <w:tc>
          <w:tcPr>
            <w:tcW w:w="1653" w:type="dxa"/>
            <w:vAlign w:val="center"/>
          </w:tcPr>
          <w:p w14:paraId="67F98727"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21 </w:t>
            </w:r>
            <w:r w:rsidRPr="00EE5230">
              <w:rPr>
                <w:rFonts w:ascii="Arial" w:hAnsi="Arial" w:cs="Arial"/>
              </w:rPr>
              <w:t xml:space="preserve">± </w:t>
            </w:r>
            <w:r w:rsidRPr="00EE5230">
              <w:rPr>
                <w:rFonts w:ascii="Arial" w:hAnsi="Arial" w:cs="Arial"/>
                <w:sz w:val="22"/>
              </w:rPr>
              <w:t xml:space="preserve">5 / 5 </w:t>
            </w:r>
            <w:r w:rsidRPr="00EE5230">
              <w:rPr>
                <w:rFonts w:ascii="Arial" w:hAnsi="Arial" w:cs="Arial"/>
              </w:rPr>
              <w:t xml:space="preserve">± </w:t>
            </w:r>
            <w:r w:rsidRPr="00EE5230">
              <w:rPr>
                <w:rFonts w:ascii="Arial" w:hAnsi="Arial" w:cs="Arial"/>
                <w:sz w:val="22"/>
              </w:rPr>
              <w:t>1</w:t>
            </w:r>
          </w:p>
        </w:tc>
        <w:tc>
          <w:tcPr>
            <w:tcW w:w="883" w:type="dxa"/>
            <w:vAlign w:val="center"/>
          </w:tcPr>
          <w:p w14:paraId="6AC2C758"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color w:val="000000"/>
                <w:sz w:val="22"/>
              </w:rPr>
              <w:t>10</w:t>
            </w:r>
          </w:p>
        </w:tc>
        <w:tc>
          <w:tcPr>
            <w:tcW w:w="680" w:type="dxa"/>
            <w:vAlign w:val="center"/>
          </w:tcPr>
          <w:p w14:paraId="4D66758D"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269</w:t>
            </w:r>
          </w:p>
        </w:tc>
      </w:tr>
      <w:tr w:rsidR="00EE5230" w:rsidRPr="00EE5230" w14:paraId="12CADA46" w14:textId="77777777" w:rsidTr="00C93671">
        <w:trPr>
          <w:trHeight w:val="70"/>
          <w:jc w:val="center"/>
        </w:trPr>
        <w:tc>
          <w:tcPr>
            <w:tcW w:w="851" w:type="dxa"/>
            <w:tcBorders>
              <w:bottom w:val="single" w:sz="4" w:space="0" w:color="auto"/>
            </w:tcBorders>
            <w:shd w:val="clear" w:color="auto" w:fill="auto"/>
            <w:vAlign w:val="center"/>
          </w:tcPr>
          <w:p w14:paraId="376DB89F"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6</w:t>
            </w:r>
          </w:p>
        </w:tc>
        <w:tc>
          <w:tcPr>
            <w:tcW w:w="1110" w:type="dxa"/>
            <w:tcBorders>
              <w:bottom w:val="single" w:sz="4" w:space="0" w:color="auto"/>
            </w:tcBorders>
            <w:shd w:val="clear" w:color="auto" w:fill="auto"/>
            <w:vAlign w:val="center"/>
          </w:tcPr>
          <w:p w14:paraId="07508468"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11-TFSI</w:t>
            </w:r>
          </w:p>
        </w:tc>
        <w:tc>
          <w:tcPr>
            <w:tcW w:w="998" w:type="dxa"/>
            <w:vMerge/>
            <w:tcBorders>
              <w:bottom w:val="single" w:sz="4" w:space="0" w:color="auto"/>
            </w:tcBorders>
            <w:shd w:val="clear" w:color="auto" w:fill="auto"/>
            <w:vAlign w:val="center"/>
          </w:tcPr>
          <w:p w14:paraId="36F438B0" w14:textId="77777777" w:rsidR="00EE5230" w:rsidRPr="00EE5230" w:rsidRDefault="00EE5230" w:rsidP="00C93671">
            <w:pPr>
              <w:pStyle w:val="RSCT03TableBody"/>
              <w:spacing w:line="360" w:lineRule="auto"/>
              <w:rPr>
                <w:rFonts w:ascii="Arial" w:hAnsi="Arial" w:cs="Arial"/>
                <w:sz w:val="22"/>
              </w:rPr>
            </w:pPr>
          </w:p>
        </w:tc>
        <w:tc>
          <w:tcPr>
            <w:tcW w:w="1644" w:type="dxa"/>
            <w:tcBorders>
              <w:bottom w:val="single" w:sz="4" w:space="0" w:color="auto"/>
            </w:tcBorders>
            <w:vAlign w:val="center"/>
          </w:tcPr>
          <w:p w14:paraId="522F8689"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11</w:t>
            </w:r>
            <w:r w:rsidRPr="00EE5230">
              <w:rPr>
                <w:rFonts w:ascii="Arial" w:hAnsi="Arial" w:cs="Arial"/>
                <w:sz w:val="22"/>
                <w:vertAlign w:val="superscript"/>
              </w:rPr>
              <w:t>f</w:t>
            </w:r>
          </w:p>
        </w:tc>
        <w:tc>
          <w:tcPr>
            <w:tcW w:w="1644" w:type="dxa"/>
            <w:tcBorders>
              <w:bottom w:val="single" w:sz="4" w:space="0" w:color="auto"/>
            </w:tcBorders>
            <w:shd w:val="clear" w:color="auto" w:fill="auto"/>
            <w:vAlign w:val="center"/>
          </w:tcPr>
          <w:p w14:paraId="0449245E" w14:textId="77777777" w:rsidR="00EE5230" w:rsidRPr="00EE5230" w:rsidRDefault="00EE5230" w:rsidP="00C93671">
            <w:pPr>
              <w:pStyle w:val="RSCT03TableBody"/>
              <w:spacing w:line="360" w:lineRule="auto"/>
              <w:rPr>
                <w:rFonts w:ascii="Arial" w:hAnsi="Arial" w:cs="Arial"/>
                <w:sz w:val="22"/>
                <w:vertAlign w:val="superscript"/>
              </w:rPr>
            </w:pPr>
            <w:r w:rsidRPr="00EE5230">
              <w:rPr>
                <w:rFonts w:ascii="Arial" w:hAnsi="Arial" w:cs="Arial"/>
                <w:sz w:val="22"/>
              </w:rPr>
              <w:t>5.6</w:t>
            </w:r>
          </w:p>
        </w:tc>
        <w:tc>
          <w:tcPr>
            <w:tcW w:w="1653" w:type="dxa"/>
            <w:tcBorders>
              <w:bottom w:val="single" w:sz="4" w:space="0" w:color="auto"/>
            </w:tcBorders>
            <w:vAlign w:val="center"/>
          </w:tcPr>
          <w:p w14:paraId="0504E186"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27 </w:t>
            </w:r>
            <w:r w:rsidRPr="00EE5230">
              <w:rPr>
                <w:rFonts w:ascii="Arial" w:hAnsi="Arial" w:cs="Arial"/>
              </w:rPr>
              <w:t xml:space="preserve">± </w:t>
            </w:r>
            <w:r w:rsidRPr="00EE5230">
              <w:rPr>
                <w:rFonts w:ascii="Arial" w:hAnsi="Arial" w:cs="Arial"/>
                <w:sz w:val="22"/>
              </w:rPr>
              <w:t xml:space="preserve">8 / 8 </w:t>
            </w:r>
            <w:r w:rsidRPr="00EE5230">
              <w:rPr>
                <w:rFonts w:ascii="Arial" w:hAnsi="Arial" w:cs="Arial"/>
              </w:rPr>
              <w:t xml:space="preserve">± </w:t>
            </w:r>
            <w:r w:rsidRPr="00EE5230">
              <w:rPr>
                <w:rFonts w:ascii="Arial" w:hAnsi="Arial" w:cs="Arial"/>
                <w:sz w:val="22"/>
              </w:rPr>
              <w:t>3</w:t>
            </w:r>
          </w:p>
        </w:tc>
        <w:tc>
          <w:tcPr>
            <w:tcW w:w="883" w:type="dxa"/>
            <w:tcBorders>
              <w:bottom w:val="single" w:sz="4" w:space="0" w:color="auto"/>
            </w:tcBorders>
            <w:vAlign w:val="center"/>
          </w:tcPr>
          <w:p w14:paraId="274C8E13"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color w:val="000000"/>
                <w:sz w:val="22"/>
              </w:rPr>
              <w:t>30</w:t>
            </w:r>
          </w:p>
        </w:tc>
        <w:tc>
          <w:tcPr>
            <w:tcW w:w="680" w:type="dxa"/>
            <w:tcBorders>
              <w:bottom w:val="single" w:sz="4" w:space="0" w:color="auto"/>
            </w:tcBorders>
            <w:vAlign w:val="center"/>
          </w:tcPr>
          <w:p w14:paraId="3EF331D0"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222</w:t>
            </w:r>
          </w:p>
        </w:tc>
      </w:tr>
      <w:tr w:rsidR="00EE5230" w:rsidRPr="00EE5230" w14:paraId="4734672A" w14:textId="77777777" w:rsidTr="00C93671">
        <w:trPr>
          <w:trHeight w:val="70"/>
          <w:jc w:val="center"/>
        </w:trPr>
        <w:tc>
          <w:tcPr>
            <w:tcW w:w="851" w:type="dxa"/>
            <w:tcBorders>
              <w:top w:val="single" w:sz="4" w:space="0" w:color="auto"/>
              <w:bottom w:val="single" w:sz="4" w:space="0" w:color="auto"/>
            </w:tcBorders>
            <w:shd w:val="clear" w:color="auto" w:fill="auto"/>
            <w:vAlign w:val="center"/>
          </w:tcPr>
          <w:p w14:paraId="0B245D84"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7</w:t>
            </w:r>
          </w:p>
        </w:tc>
        <w:tc>
          <w:tcPr>
            <w:tcW w:w="1110" w:type="dxa"/>
            <w:tcBorders>
              <w:top w:val="single" w:sz="4" w:space="0" w:color="auto"/>
              <w:bottom w:val="single" w:sz="4" w:space="0" w:color="auto"/>
            </w:tcBorders>
            <w:shd w:val="clear" w:color="auto" w:fill="auto"/>
            <w:vAlign w:val="center"/>
          </w:tcPr>
          <w:p w14:paraId="0D243945"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PH</w:t>
            </w:r>
            <w:r w:rsidRPr="00EE5230">
              <w:rPr>
                <w:rFonts w:ascii="Arial" w:hAnsi="Arial" w:cs="Arial"/>
                <w:sz w:val="22"/>
                <w:vertAlign w:val="subscript"/>
              </w:rPr>
              <w:t>0</w:t>
            </w:r>
          </w:p>
        </w:tc>
        <w:tc>
          <w:tcPr>
            <w:tcW w:w="998" w:type="dxa"/>
            <w:tcBorders>
              <w:top w:val="single" w:sz="4" w:space="0" w:color="auto"/>
              <w:bottom w:val="single" w:sz="4" w:space="0" w:color="auto"/>
            </w:tcBorders>
            <w:shd w:val="clear" w:color="auto" w:fill="auto"/>
            <w:vAlign w:val="center"/>
          </w:tcPr>
          <w:p w14:paraId="41B5B4E7"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w:t>
            </w:r>
          </w:p>
        </w:tc>
        <w:tc>
          <w:tcPr>
            <w:tcW w:w="1644" w:type="dxa"/>
            <w:tcBorders>
              <w:top w:val="single" w:sz="4" w:space="0" w:color="auto"/>
              <w:bottom w:val="single" w:sz="4" w:space="0" w:color="auto"/>
            </w:tcBorders>
            <w:vAlign w:val="center"/>
          </w:tcPr>
          <w:p w14:paraId="72E9DB88"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0</w:t>
            </w:r>
          </w:p>
        </w:tc>
        <w:tc>
          <w:tcPr>
            <w:tcW w:w="1644" w:type="dxa"/>
            <w:tcBorders>
              <w:top w:val="single" w:sz="4" w:space="0" w:color="auto"/>
              <w:bottom w:val="single" w:sz="4" w:space="0" w:color="auto"/>
            </w:tcBorders>
            <w:shd w:val="clear" w:color="auto" w:fill="auto"/>
            <w:vAlign w:val="center"/>
          </w:tcPr>
          <w:p w14:paraId="1097D38A"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ND</w:t>
            </w:r>
          </w:p>
        </w:tc>
        <w:tc>
          <w:tcPr>
            <w:tcW w:w="1653" w:type="dxa"/>
            <w:tcBorders>
              <w:top w:val="single" w:sz="4" w:space="0" w:color="auto"/>
              <w:bottom w:val="single" w:sz="4" w:space="0" w:color="auto"/>
            </w:tcBorders>
            <w:vAlign w:val="center"/>
          </w:tcPr>
          <w:p w14:paraId="2B9B1499"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 xml:space="preserve">34 </w:t>
            </w:r>
            <w:r w:rsidRPr="00EE5230">
              <w:rPr>
                <w:rFonts w:ascii="Arial" w:hAnsi="Arial" w:cs="Arial"/>
              </w:rPr>
              <w:t xml:space="preserve">± </w:t>
            </w:r>
            <w:r w:rsidRPr="00EE5230">
              <w:rPr>
                <w:rFonts w:ascii="Arial" w:hAnsi="Arial" w:cs="Arial"/>
                <w:sz w:val="22"/>
              </w:rPr>
              <w:t xml:space="preserve">11 / 9 </w:t>
            </w:r>
            <w:r w:rsidRPr="00EE5230">
              <w:rPr>
                <w:rFonts w:ascii="Arial" w:hAnsi="Arial" w:cs="Arial"/>
              </w:rPr>
              <w:t xml:space="preserve">± </w:t>
            </w:r>
            <w:r w:rsidRPr="00EE5230">
              <w:rPr>
                <w:rFonts w:ascii="Arial" w:hAnsi="Arial" w:cs="Arial"/>
                <w:sz w:val="22"/>
              </w:rPr>
              <w:t>4</w:t>
            </w:r>
          </w:p>
        </w:tc>
        <w:tc>
          <w:tcPr>
            <w:tcW w:w="883" w:type="dxa"/>
            <w:tcBorders>
              <w:top w:val="single" w:sz="4" w:space="0" w:color="auto"/>
              <w:bottom w:val="single" w:sz="4" w:space="0" w:color="auto"/>
            </w:tcBorders>
            <w:vAlign w:val="center"/>
          </w:tcPr>
          <w:p w14:paraId="777205A6" w14:textId="77777777" w:rsidR="00EE5230" w:rsidRPr="00EE5230" w:rsidRDefault="00EE5230" w:rsidP="00C93671">
            <w:pPr>
              <w:pStyle w:val="RSCT03TableBody"/>
              <w:spacing w:line="360" w:lineRule="auto"/>
              <w:rPr>
                <w:rFonts w:ascii="Arial" w:hAnsi="Arial" w:cs="Arial"/>
                <w:color w:val="000000"/>
                <w:sz w:val="22"/>
              </w:rPr>
            </w:pPr>
            <w:r w:rsidRPr="00EE5230">
              <w:rPr>
                <w:rFonts w:ascii="Arial" w:hAnsi="Arial" w:cs="Arial"/>
                <w:color w:val="000000"/>
                <w:sz w:val="22"/>
              </w:rPr>
              <w:t>18</w:t>
            </w:r>
          </w:p>
        </w:tc>
        <w:tc>
          <w:tcPr>
            <w:tcW w:w="680" w:type="dxa"/>
            <w:tcBorders>
              <w:top w:val="single" w:sz="4" w:space="0" w:color="auto"/>
              <w:bottom w:val="single" w:sz="4" w:space="0" w:color="auto"/>
            </w:tcBorders>
            <w:vAlign w:val="center"/>
          </w:tcPr>
          <w:p w14:paraId="6C4FA9DD" w14:textId="77777777" w:rsidR="00EE5230" w:rsidRPr="00EE5230" w:rsidRDefault="00EE5230" w:rsidP="00C93671">
            <w:pPr>
              <w:pStyle w:val="RSCT03TableBody"/>
              <w:spacing w:line="360" w:lineRule="auto"/>
              <w:rPr>
                <w:rFonts w:ascii="Arial" w:hAnsi="Arial" w:cs="Arial"/>
                <w:sz w:val="22"/>
              </w:rPr>
            </w:pPr>
            <w:r w:rsidRPr="00EE5230">
              <w:rPr>
                <w:rFonts w:ascii="Arial" w:hAnsi="Arial" w:cs="Arial"/>
                <w:sz w:val="22"/>
              </w:rPr>
              <w:t>114</w:t>
            </w:r>
          </w:p>
        </w:tc>
      </w:tr>
    </w:tbl>
    <w:p w14:paraId="4066950B" w14:textId="77777777" w:rsidR="00EE5230" w:rsidRPr="00EE5230" w:rsidRDefault="00EE5230" w:rsidP="00EE5230">
      <w:pPr>
        <w:pStyle w:val="RSCT03TableBody"/>
        <w:spacing w:before="120" w:line="360" w:lineRule="auto"/>
        <w:jc w:val="both"/>
        <w:rPr>
          <w:rFonts w:ascii="Arial" w:hAnsi="Arial" w:cs="Arial"/>
          <w:sz w:val="22"/>
          <w:szCs w:val="22"/>
        </w:rPr>
      </w:pPr>
      <w:r w:rsidRPr="00EE5230">
        <w:rPr>
          <w:rFonts w:ascii="Arial" w:hAnsi="Arial" w:cs="Arial"/>
          <w:sz w:val="22"/>
          <w:szCs w:val="22"/>
        </w:rPr>
        <w:t xml:space="preserve">ND stand for not determined </w:t>
      </w:r>
      <w:r w:rsidRPr="00EE5230">
        <w:rPr>
          <w:rFonts w:ascii="Arial" w:hAnsi="Arial" w:cs="Arial"/>
          <w:sz w:val="22"/>
          <w:szCs w:val="22"/>
          <w:vertAlign w:val="superscript"/>
        </w:rPr>
        <w:t>a</w:t>
      </w:r>
      <w:r w:rsidRPr="00EE5230">
        <w:rPr>
          <w:rFonts w:ascii="Arial" w:hAnsi="Arial" w:cs="Arial"/>
          <w:sz w:val="22"/>
          <w:szCs w:val="22"/>
        </w:rPr>
        <w:t xml:space="preserve"> Theoretical value based on the reagents engaged in the reaction. </w:t>
      </w:r>
      <w:r w:rsidRPr="00EE5230">
        <w:rPr>
          <w:rFonts w:ascii="Arial" w:hAnsi="Arial" w:cs="Arial"/>
          <w:sz w:val="22"/>
          <w:szCs w:val="22"/>
          <w:vertAlign w:val="superscript"/>
        </w:rPr>
        <w:t>b</w:t>
      </w:r>
      <w:r w:rsidRPr="00EE5230">
        <w:rPr>
          <w:rFonts w:ascii="Arial" w:hAnsi="Arial" w:cs="Arial"/>
          <w:sz w:val="22"/>
          <w:szCs w:val="22"/>
        </w:rPr>
        <w:t xml:space="preserve"> Determined by elemental analyses of the PHs-TFSI. </w:t>
      </w:r>
      <w:r w:rsidRPr="00EE5230">
        <w:rPr>
          <w:rFonts w:ascii="Arial" w:hAnsi="Arial" w:cs="Arial"/>
          <w:sz w:val="22"/>
          <w:szCs w:val="22"/>
          <w:vertAlign w:val="superscript"/>
        </w:rPr>
        <w:t xml:space="preserve">c </w:t>
      </w:r>
      <w:r w:rsidRPr="00EE5230">
        <w:rPr>
          <w:rFonts w:ascii="Arial" w:hAnsi="Arial" w:cs="Arial"/>
          <w:sz w:val="22"/>
          <w:szCs w:val="22"/>
        </w:rPr>
        <w:t xml:space="preserve">Determined by SEM. </w:t>
      </w:r>
      <w:r w:rsidRPr="00EE5230">
        <w:rPr>
          <w:rFonts w:ascii="Arial" w:hAnsi="Arial" w:cs="Arial"/>
          <w:sz w:val="22"/>
          <w:szCs w:val="22"/>
          <w:vertAlign w:val="superscript"/>
        </w:rPr>
        <w:t>d</w:t>
      </w:r>
      <w:r w:rsidRPr="00EE5230">
        <w:rPr>
          <w:rFonts w:ascii="Arial" w:hAnsi="Arial" w:cs="Arial"/>
          <w:sz w:val="22"/>
          <w:szCs w:val="22"/>
        </w:rPr>
        <w:t xml:space="preserve"> Determined by gravimetry. </w:t>
      </w:r>
      <w:r w:rsidRPr="00EE5230">
        <w:rPr>
          <w:rFonts w:ascii="Arial" w:hAnsi="Arial" w:cs="Arial"/>
          <w:sz w:val="22"/>
          <w:szCs w:val="22"/>
          <w:vertAlign w:val="superscript"/>
        </w:rPr>
        <w:t>e</w:t>
      </w:r>
      <w:r w:rsidRPr="00EE5230">
        <w:rPr>
          <w:rFonts w:ascii="Arial" w:hAnsi="Arial" w:cs="Arial"/>
          <w:sz w:val="22"/>
          <w:szCs w:val="22"/>
        </w:rPr>
        <w:t xml:space="preserve"> </w:t>
      </w:r>
      <w:proofErr w:type="gramStart"/>
      <w:r w:rsidRPr="00EE5230">
        <w:rPr>
          <w:rFonts w:ascii="Arial" w:hAnsi="Arial" w:cs="Arial"/>
          <w:sz w:val="22"/>
          <w:szCs w:val="22"/>
        </w:rPr>
        <w:t>An</w:t>
      </w:r>
      <w:proofErr w:type="gramEnd"/>
      <w:r w:rsidRPr="00EE5230">
        <w:rPr>
          <w:rFonts w:ascii="Arial" w:hAnsi="Arial" w:cs="Arial"/>
          <w:sz w:val="22"/>
          <w:szCs w:val="22"/>
        </w:rPr>
        <w:t xml:space="preserve"> imidazolium content of 16% was calculated value based on the sulfur content </w:t>
      </w:r>
    </w:p>
    <w:p w14:paraId="3A709838" w14:textId="77777777" w:rsidR="00EE5230" w:rsidRPr="00EE5230" w:rsidRDefault="00EE5230" w:rsidP="00EE5230">
      <w:pPr>
        <w:spacing w:after="120" w:line="480" w:lineRule="auto"/>
        <w:rPr>
          <w:rFonts w:cs="Arial"/>
          <w:b/>
          <w:i/>
        </w:rPr>
      </w:pPr>
    </w:p>
    <w:p w14:paraId="0C8C724A" w14:textId="77777777" w:rsidR="00EE5230" w:rsidRPr="00EE5230" w:rsidRDefault="00EE5230" w:rsidP="00EE5230">
      <w:pPr>
        <w:spacing w:after="120" w:line="480" w:lineRule="auto"/>
        <w:rPr>
          <w:rFonts w:cs="Arial"/>
          <w:b/>
          <w:i/>
        </w:rPr>
      </w:pPr>
      <w:r w:rsidRPr="00EE5230">
        <w:rPr>
          <w:rFonts w:cs="Arial"/>
          <w:b/>
          <w:i/>
        </w:rPr>
        <w:lastRenderedPageBreak/>
        <w:t xml:space="preserve">3.3. Morphology and properties of </w:t>
      </w:r>
      <w:proofErr w:type="gramStart"/>
      <w:r w:rsidRPr="00EE5230">
        <w:rPr>
          <w:rFonts w:cs="Arial"/>
          <w:b/>
          <w:i/>
        </w:rPr>
        <w:t>emulsion-templated</w:t>
      </w:r>
      <w:proofErr w:type="gramEnd"/>
      <w:r w:rsidRPr="00EE5230">
        <w:rPr>
          <w:rFonts w:cs="Arial"/>
          <w:b/>
          <w:i/>
        </w:rPr>
        <w:t xml:space="preserve"> PHs</w:t>
      </w:r>
    </w:p>
    <w:p w14:paraId="0309417A" w14:textId="77777777" w:rsidR="00EE5230" w:rsidRPr="00EE5230" w:rsidRDefault="00EE5230" w:rsidP="00EE5230">
      <w:pPr>
        <w:spacing w:after="120"/>
        <w:rPr>
          <w:rFonts w:cs="Arial"/>
        </w:rPr>
      </w:pPr>
      <w:r w:rsidRPr="00EE5230">
        <w:rPr>
          <w:rFonts w:cs="Arial"/>
        </w:rPr>
        <w:t xml:space="preserve">The HIPE-templated </w:t>
      </w:r>
      <w:proofErr w:type="spellStart"/>
      <w:r w:rsidRPr="00EE5230">
        <w:rPr>
          <w:rFonts w:cs="Arial"/>
        </w:rPr>
        <w:t>macroporous</w:t>
      </w:r>
      <w:proofErr w:type="spellEnd"/>
      <w:r w:rsidRPr="00EE5230">
        <w:rPr>
          <w:rFonts w:cs="Arial"/>
        </w:rPr>
        <w:t xml:space="preserve"> structures of the dried PHs were characterized using scanning electron microscopy (SEM). The porous structures of these PHs are shown in Figure 2.  </w:t>
      </w:r>
      <w:bookmarkStart w:id="12" w:name="_Hlk90903976"/>
      <w:r w:rsidRPr="00EE5230">
        <w:rPr>
          <w:rFonts w:cs="Arial"/>
        </w:rPr>
        <w:t>All of them exhibit the typical 3D-interconnected microcellular morphology of PHs with some variance in the void and window diameters, probably due to the nature of the counterion</w:t>
      </w:r>
      <w:bookmarkEnd w:id="12"/>
      <w:r w:rsidRPr="00EE5230">
        <w:rPr>
          <w:rFonts w:cs="Arial"/>
        </w:rPr>
        <w:t>. For example, PH</w:t>
      </w:r>
      <w:r w:rsidRPr="00EE5230">
        <w:rPr>
          <w:rFonts w:cs="Arial"/>
          <w:vertAlign w:val="subscript"/>
        </w:rPr>
        <w:t>100-OAc</w:t>
      </w:r>
      <w:r w:rsidRPr="00EE5230">
        <w:rPr>
          <w:rFonts w:cs="Arial"/>
        </w:rPr>
        <w:t xml:space="preserve"> exhibits larger voids (cavities) with an average diameter of 20 ± 7 µm compared to PH</w:t>
      </w:r>
      <w:r w:rsidRPr="00EE5230">
        <w:rPr>
          <w:rFonts w:cs="Arial"/>
          <w:vertAlign w:val="subscript"/>
        </w:rPr>
        <w:t xml:space="preserve">100-TFSI </w:t>
      </w:r>
      <w:r w:rsidRPr="00EE5230">
        <w:rPr>
          <w:rFonts w:cs="Arial"/>
        </w:rPr>
        <w:t>that</w:t>
      </w:r>
      <w:r w:rsidRPr="00EE5230">
        <w:rPr>
          <w:rFonts w:cs="Arial"/>
          <w:vertAlign w:val="subscript"/>
        </w:rPr>
        <w:t xml:space="preserve"> </w:t>
      </w:r>
      <w:r w:rsidRPr="00EE5230">
        <w:rPr>
          <w:rFonts w:cs="Arial"/>
        </w:rPr>
        <w:t>have voids diameter of around 12 ± 3 µm (Table 1, entries 1 and 4). The window sizes follow the same trend, with average diameters of 7 ± 2 and 3 ± 1 µm for PH</w:t>
      </w:r>
      <w:r w:rsidRPr="00EE5230">
        <w:rPr>
          <w:rFonts w:cs="Arial"/>
          <w:vertAlign w:val="subscript"/>
        </w:rPr>
        <w:t xml:space="preserve">100-OAc </w:t>
      </w:r>
      <w:r w:rsidRPr="00EE5230">
        <w:rPr>
          <w:rFonts w:cs="Arial"/>
        </w:rPr>
        <w:t>and PH</w:t>
      </w:r>
      <w:r w:rsidRPr="00EE5230">
        <w:rPr>
          <w:rFonts w:cs="Arial"/>
          <w:vertAlign w:val="subscript"/>
        </w:rPr>
        <w:t>100-TFSI</w:t>
      </w:r>
      <w:r w:rsidRPr="00EE5230">
        <w:rPr>
          <w:rFonts w:cs="Arial"/>
        </w:rPr>
        <w:t xml:space="preserve">, respectively. </w:t>
      </w:r>
      <w:bookmarkStart w:id="13" w:name="_Hlk90904295"/>
      <w:r w:rsidRPr="00EE5230">
        <w:rPr>
          <w:rFonts w:cs="Arial"/>
        </w:rPr>
        <w:t>SEM analysis also confirmed the open-porous morphology of the bifunctional amino/imidazolium PH</w:t>
      </w:r>
      <w:r w:rsidRPr="00EE5230">
        <w:rPr>
          <w:rFonts w:cs="Arial"/>
          <w:vertAlign w:val="subscript"/>
        </w:rPr>
        <w:t xml:space="preserve">33 </w:t>
      </w:r>
      <w:r w:rsidRPr="00EE5230">
        <w:rPr>
          <w:rFonts w:cs="Arial"/>
        </w:rPr>
        <w:t>and PH</w:t>
      </w:r>
      <w:r w:rsidRPr="00EE5230">
        <w:rPr>
          <w:rFonts w:cs="Arial"/>
          <w:vertAlign w:val="subscript"/>
        </w:rPr>
        <w:t>11</w:t>
      </w:r>
      <w:r w:rsidRPr="00EE5230">
        <w:rPr>
          <w:rFonts w:cs="Arial"/>
          <w:b/>
        </w:rPr>
        <w:t xml:space="preserve"> </w:t>
      </w:r>
      <w:r w:rsidRPr="00EE5230">
        <w:rPr>
          <w:rFonts w:cs="Arial"/>
        </w:rPr>
        <w:t xml:space="preserve">(Figure 2). </w:t>
      </w:r>
      <w:bookmarkEnd w:id="13"/>
      <w:r w:rsidRPr="00EE5230">
        <w:rPr>
          <w:rFonts w:cs="Arial"/>
        </w:rPr>
        <w:t>Again, voids and window sizes of PH</w:t>
      </w:r>
      <w:r w:rsidRPr="00EE5230">
        <w:rPr>
          <w:rFonts w:cs="Arial"/>
          <w:vertAlign w:val="subscript"/>
        </w:rPr>
        <w:t xml:space="preserve">33-OAc </w:t>
      </w:r>
      <w:r w:rsidRPr="00EE5230">
        <w:rPr>
          <w:rFonts w:cs="Arial"/>
        </w:rPr>
        <w:t>were slightly higher than PH</w:t>
      </w:r>
      <w:r w:rsidRPr="00EE5230">
        <w:rPr>
          <w:rFonts w:cs="Arial"/>
          <w:vertAlign w:val="subscript"/>
        </w:rPr>
        <w:t>33-TFSI</w:t>
      </w:r>
      <w:r w:rsidRPr="00EE5230">
        <w:rPr>
          <w:rFonts w:cs="Arial"/>
        </w:rPr>
        <w:t xml:space="preserve"> (32 ± 7 µm and 21 ± 5 µm as average void diameter, 7 ± </w:t>
      </w:r>
      <w:proofErr w:type="gramStart"/>
      <w:r w:rsidRPr="00EE5230">
        <w:rPr>
          <w:rFonts w:cs="Arial"/>
        </w:rPr>
        <w:t>3  and</w:t>
      </w:r>
      <w:proofErr w:type="gramEnd"/>
      <w:r w:rsidRPr="00EE5230">
        <w:rPr>
          <w:rFonts w:cs="Arial"/>
        </w:rPr>
        <w:t xml:space="preserve"> 5 ± 1 µm for average pores diameter, for acetate and TFSI, respectively) (Table 1, entries 2 and 5). In contrast, </w:t>
      </w:r>
      <w:proofErr w:type="gramStart"/>
      <w:r w:rsidRPr="00EE5230">
        <w:rPr>
          <w:rFonts w:cs="Arial"/>
        </w:rPr>
        <w:t>void</w:t>
      </w:r>
      <w:proofErr w:type="gramEnd"/>
      <w:r w:rsidRPr="00EE5230">
        <w:rPr>
          <w:rFonts w:cs="Arial"/>
        </w:rPr>
        <w:t xml:space="preserve"> and window diameters of the PH</w:t>
      </w:r>
      <w:r w:rsidRPr="00EE5230">
        <w:rPr>
          <w:rFonts w:cs="Arial"/>
          <w:vertAlign w:val="subscript"/>
        </w:rPr>
        <w:t xml:space="preserve">11 </w:t>
      </w:r>
      <w:r w:rsidRPr="00EE5230">
        <w:rPr>
          <w:rFonts w:cs="Arial"/>
        </w:rPr>
        <w:t>stay fairly constant with respect to the nature of the counterions (</w:t>
      </w:r>
      <w:proofErr w:type="spellStart"/>
      <w:r w:rsidRPr="00EE5230">
        <w:rPr>
          <w:rFonts w:cs="Arial"/>
        </w:rPr>
        <w:t>diam</w:t>
      </w:r>
      <w:r w:rsidRPr="00EE5230">
        <w:rPr>
          <w:rFonts w:cs="Arial"/>
          <w:vertAlign w:val="subscript"/>
        </w:rPr>
        <w:t>voids</w:t>
      </w:r>
      <w:proofErr w:type="spellEnd"/>
      <w:r w:rsidRPr="00EE5230">
        <w:rPr>
          <w:rFonts w:cs="Arial"/>
        </w:rPr>
        <w:t xml:space="preserve"> ~</w:t>
      </w:r>
      <w:r w:rsidRPr="00EE5230">
        <w:rPr>
          <w:rFonts w:cs="Arial"/>
          <w:vertAlign w:val="subscript"/>
        </w:rPr>
        <w:t xml:space="preserve"> </w:t>
      </w:r>
      <w:r w:rsidRPr="00EE5230">
        <w:rPr>
          <w:rFonts w:cs="Arial"/>
        </w:rPr>
        <w:t xml:space="preserve">27 ± 8 µm and </w:t>
      </w:r>
      <w:proofErr w:type="spellStart"/>
      <w:r w:rsidRPr="00EE5230">
        <w:rPr>
          <w:rFonts w:cs="Arial"/>
        </w:rPr>
        <w:t>diam</w:t>
      </w:r>
      <w:r w:rsidRPr="00EE5230">
        <w:rPr>
          <w:rFonts w:cs="Arial"/>
          <w:vertAlign w:val="subscript"/>
        </w:rPr>
        <w:t>pores</w:t>
      </w:r>
      <w:proofErr w:type="spellEnd"/>
      <w:r w:rsidRPr="00EE5230">
        <w:rPr>
          <w:rFonts w:cs="Arial"/>
          <w:vertAlign w:val="subscript"/>
        </w:rPr>
        <w:t xml:space="preserve"> </w:t>
      </w:r>
      <w:r w:rsidRPr="00EE5230">
        <w:rPr>
          <w:rFonts w:cs="Arial"/>
        </w:rPr>
        <w:t>~</w:t>
      </w:r>
      <w:r w:rsidRPr="00EE5230">
        <w:rPr>
          <w:rFonts w:cs="Arial"/>
          <w:vertAlign w:val="subscript"/>
        </w:rPr>
        <w:t xml:space="preserve"> </w:t>
      </w:r>
      <w:r w:rsidRPr="00EE5230">
        <w:rPr>
          <w:rFonts w:cs="Arial"/>
        </w:rPr>
        <w:t xml:space="preserve">7 ± 2 µm for acetate and </w:t>
      </w:r>
      <w:proofErr w:type="spellStart"/>
      <w:r w:rsidRPr="00EE5230">
        <w:rPr>
          <w:rFonts w:cs="Arial"/>
        </w:rPr>
        <w:t>diam</w:t>
      </w:r>
      <w:r w:rsidRPr="00EE5230">
        <w:rPr>
          <w:rFonts w:cs="Arial"/>
          <w:vertAlign w:val="subscript"/>
        </w:rPr>
        <w:t>voids</w:t>
      </w:r>
      <w:proofErr w:type="spellEnd"/>
      <w:r w:rsidRPr="00EE5230">
        <w:rPr>
          <w:rFonts w:cs="Arial"/>
        </w:rPr>
        <w:t xml:space="preserve"> ~</w:t>
      </w:r>
      <w:r w:rsidRPr="00EE5230">
        <w:rPr>
          <w:rFonts w:cs="Arial"/>
          <w:vertAlign w:val="subscript"/>
        </w:rPr>
        <w:t xml:space="preserve"> </w:t>
      </w:r>
      <w:r w:rsidRPr="00EE5230">
        <w:rPr>
          <w:rFonts w:cs="Arial"/>
        </w:rPr>
        <w:t xml:space="preserve">27 ± 8 µm and </w:t>
      </w:r>
      <w:proofErr w:type="spellStart"/>
      <w:r w:rsidRPr="00EE5230">
        <w:rPr>
          <w:rFonts w:cs="Arial"/>
        </w:rPr>
        <w:t>diam</w:t>
      </w:r>
      <w:r w:rsidRPr="00EE5230">
        <w:rPr>
          <w:rFonts w:cs="Arial"/>
          <w:vertAlign w:val="subscript"/>
        </w:rPr>
        <w:t>pores</w:t>
      </w:r>
      <w:proofErr w:type="spellEnd"/>
      <w:r w:rsidRPr="00EE5230">
        <w:rPr>
          <w:rFonts w:cs="Arial"/>
          <w:vertAlign w:val="subscript"/>
        </w:rPr>
        <w:t xml:space="preserve"> </w:t>
      </w:r>
      <w:r w:rsidRPr="00EE5230">
        <w:rPr>
          <w:rFonts w:cs="Arial"/>
        </w:rPr>
        <w:t>~</w:t>
      </w:r>
      <w:r w:rsidRPr="00EE5230">
        <w:rPr>
          <w:rFonts w:cs="Arial"/>
          <w:vertAlign w:val="subscript"/>
        </w:rPr>
        <w:t xml:space="preserve"> </w:t>
      </w:r>
      <w:r w:rsidRPr="00EE5230">
        <w:rPr>
          <w:rFonts w:cs="Arial"/>
        </w:rPr>
        <w:t xml:space="preserve">8 ± 3 µm for TFSI, Table 1 entries 3 and 6). </w:t>
      </w:r>
      <w:bookmarkStart w:id="14" w:name="_Hlk90904636"/>
      <w:r w:rsidRPr="00EE5230">
        <w:rPr>
          <w:rFonts w:cs="Arial"/>
        </w:rPr>
        <w:t xml:space="preserve">It can be concluded that the morphological </w:t>
      </w:r>
      <w:bookmarkStart w:id="15" w:name="_Hlk90904624"/>
      <w:bookmarkEnd w:id="14"/>
      <w:r w:rsidRPr="00EE5230">
        <w:rPr>
          <w:rFonts w:cs="Arial"/>
        </w:rPr>
        <w:t xml:space="preserve">disparities between PHs with different counterions are more pronounced in imidazolium-rich materials, which underlines the great influence of the anion on their structure and properties. </w:t>
      </w:r>
      <w:bookmarkEnd w:id="15"/>
      <w:r w:rsidRPr="00EE5230">
        <w:rPr>
          <w:rFonts w:cs="Arial"/>
        </w:rPr>
        <w:t>Finally, the imidazolium-free PH</w:t>
      </w:r>
      <w:r w:rsidRPr="00EE5230">
        <w:rPr>
          <w:rFonts w:cs="Arial"/>
          <w:vertAlign w:val="subscript"/>
        </w:rPr>
        <w:t>0</w:t>
      </w:r>
      <w:r w:rsidRPr="00EE5230">
        <w:rPr>
          <w:rFonts w:cs="Arial"/>
        </w:rPr>
        <w:t xml:space="preserve"> exhibit a comparable 3D morphology (Figure 2, Table 1 entry 7). The porosity properties of the PH foams were further analysed by means of gas adsorption using nitrogen as the probe molecule. The </w:t>
      </w:r>
      <w:bookmarkStart w:id="16" w:name="_Hlk89328821"/>
      <w:proofErr w:type="spellStart"/>
      <w:r w:rsidRPr="00EE5230">
        <w:rPr>
          <w:rFonts w:cs="Arial"/>
        </w:rPr>
        <w:t>Brunauer</w:t>
      </w:r>
      <w:proofErr w:type="spellEnd"/>
      <w:r w:rsidRPr="00EE5230">
        <w:rPr>
          <w:rFonts w:cs="Arial"/>
        </w:rPr>
        <w:t xml:space="preserve">–Emmett–Teller (BET) measurements revealed negligible specific surface </w:t>
      </w:r>
      <w:bookmarkEnd w:id="16"/>
      <w:r w:rsidRPr="00EE5230">
        <w:rPr>
          <w:rFonts w:cs="Arial"/>
        </w:rPr>
        <w:t xml:space="preserve">areas indicating that polymer walls do not exhibit any measurable meso-/microporosity (Table S3). </w:t>
      </w:r>
    </w:p>
    <w:p w14:paraId="15218877" w14:textId="77777777" w:rsidR="00EE5230" w:rsidRPr="00EE5230" w:rsidRDefault="00EE5230" w:rsidP="00EE5230">
      <w:pPr>
        <w:spacing w:line="480" w:lineRule="auto"/>
        <w:jc w:val="center"/>
        <w:rPr>
          <w:rFonts w:cs="Arial"/>
        </w:rPr>
      </w:pPr>
      <w:r w:rsidRPr="00EE5230">
        <w:rPr>
          <w:rFonts w:cs="Arial"/>
          <w:noProof/>
          <w:lang w:val="sl-SI" w:eastAsia="sl-SI"/>
        </w:rPr>
        <w:lastRenderedPageBreak/>
        <w:drawing>
          <wp:inline distT="0" distB="0" distL="0" distR="0" wp14:anchorId="5FE6E434" wp14:editId="10EC948C">
            <wp:extent cx="3968158" cy="66997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hqprint">
                      <a:extLst>
                        <a:ext uri="{28A0092B-C50C-407E-A947-70E740481C1C}">
                          <a14:useLocalDpi xmlns:a14="http://schemas.microsoft.com/office/drawing/2010/main"/>
                        </a:ext>
                      </a:extLst>
                    </a:blip>
                    <a:stretch>
                      <a:fillRect/>
                    </a:stretch>
                  </pic:blipFill>
                  <pic:spPr bwMode="auto">
                    <a:xfrm>
                      <a:off x="0" y="0"/>
                      <a:ext cx="3997545" cy="6749356"/>
                    </a:xfrm>
                    <a:prstGeom prst="rect">
                      <a:avLst/>
                    </a:prstGeom>
                    <a:noFill/>
                    <a:ln>
                      <a:noFill/>
                    </a:ln>
                  </pic:spPr>
                </pic:pic>
              </a:graphicData>
            </a:graphic>
          </wp:inline>
        </w:drawing>
      </w:r>
    </w:p>
    <w:p w14:paraId="427CF7FA" w14:textId="77777777" w:rsidR="00EE5230" w:rsidRPr="00EE5230" w:rsidRDefault="00EE5230" w:rsidP="00EE5230">
      <w:pPr>
        <w:spacing w:after="120" w:line="480" w:lineRule="auto"/>
        <w:jc w:val="center"/>
        <w:rPr>
          <w:rStyle w:val="RSCB02ArticleTextChar"/>
          <w:rFonts w:ascii="Arial" w:hAnsi="Arial" w:cs="Arial"/>
          <w:w w:val="100"/>
          <w:sz w:val="24"/>
          <w:szCs w:val="24"/>
        </w:rPr>
      </w:pPr>
      <w:r w:rsidRPr="00EE5230">
        <w:rPr>
          <w:rStyle w:val="RSCB02ArticleTextChar"/>
          <w:rFonts w:ascii="Arial" w:hAnsi="Arial" w:cs="Arial"/>
          <w:b/>
          <w:w w:val="100"/>
          <w:sz w:val="24"/>
          <w:szCs w:val="24"/>
        </w:rPr>
        <w:t>Figure 2.</w:t>
      </w:r>
      <w:r w:rsidRPr="00EE5230">
        <w:rPr>
          <w:rStyle w:val="RSCB02ArticleTextChar"/>
          <w:rFonts w:ascii="Arial" w:hAnsi="Arial" w:cs="Arial"/>
          <w:w w:val="100"/>
          <w:sz w:val="24"/>
          <w:szCs w:val="24"/>
        </w:rPr>
        <w:t xml:space="preserve"> SEM micrographs of the </w:t>
      </w:r>
      <w:proofErr w:type="spellStart"/>
      <w:r w:rsidRPr="00EE5230">
        <w:rPr>
          <w:rStyle w:val="RSCB02ArticleTextChar"/>
          <w:rFonts w:ascii="Arial" w:hAnsi="Arial" w:cs="Arial"/>
          <w:w w:val="100"/>
          <w:sz w:val="24"/>
          <w:szCs w:val="24"/>
        </w:rPr>
        <w:t>macroporous</w:t>
      </w:r>
      <w:proofErr w:type="spellEnd"/>
      <w:r w:rsidRPr="00EE5230">
        <w:rPr>
          <w:rStyle w:val="RSCB02ArticleTextChar"/>
          <w:rFonts w:ascii="Arial" w:hAnsi="Arial" w:cs="Arial"/>
          <w:w w:val="100"/>
          <w:sz w:val="24"/>
          <w:szCs w:val="24"/>
        </w:rPr>
        <w:t xml:space="preserve"> PH</w:t>
      </w:r>
      <w:r w:rsidRPr="00EE5230">
        <w:rPr>
          <w:rStyle w:val="RSCB02ArticleTextChar"/>
          <w:rFonts w:ascii="Arial" w:hAnsi="Arial" w:cs="Arial"/>
          <w:w w:val="100"/>
          <w:sz w:val="24"/>
          <w:szCs w:val="24"/>
          <w:vertAlign w:val="subscript"/>
        </w:rPr>
        <w:t>S</w:t>
      </w:r>
      <w:r w:rsidRPr="00EE5230">
        <w:rPr>
          <w:rStyle w:val="RSCB02ArticleTextChar"/>
          <w:rFonts w:ascii="Arial" w:hAnsi="Arial" w:cs="Arial"/>
          <w:w w:val="100"/>
          <w:sz w:val="24"/>
          <w:szCs w:val="24"/>
        </w:rPr>
        <w:t>.</w:t>
      </w:r>
    </w:p>
    <w:p w14:paraId="4F420BE2" w14:textId="77777777" w:rsidR="00EE5230" w:rsidRPr="00EE5230" w:rsidRDefault="00EE5230" w:rsidP="00EE5230">
      <w:pPr>
        <w:spacing w:after="120" w:line="480" w:lineRule="auto"/>
        <w:rPr>
          <w:rFonts w:cs="Arial"/>
        </w:rPr>
      </w:pPr>
    </w:p>
    <w:p w14:paraId="33CEC3AE" w14:textId="77777777" w:rsidR="00EE5230" w:rsidRPr="00EE5230" w:rsidRDefault="00EE5230" w:rsidP="00EE5230">
      <w:pPr>
        <w:spacing w:after="120"/>
        <w:rPr>
          <w:rFonts w:cs="Arial"/>
        </w:rPr>
      </w:pPr>
      <w:r w:rsidRPr="00EE5230">
        <w:rPr>
          <w:rFonts w:cs="Arial"/>
        </w:rPr>
        <w:lastRenderedPageBreak/>
        <w:t>Important requirements for efficient capture materials are their tolerance to other components in the gas stream, such as water, and thermal stability, which is required during the regeneration phase when CO</w:t>
      </w:r>
      <w:r w:rsidRPr="00EE5230">
        <w:rPr>
          <w:rFonts w:cs="Arial"/>
          <w:vertAlign w:val="subscript"/>
        </w:rPr>
        <w:t>2</w:t>
      </w:r>
      <w:r w:rsidRPr="00EE5230">
        <w:rPr>
          <w:rFonts w:cs="Arial"/>
        </w:rPr>
        <w:t xml:space="preserve"> is desorbed. Therefore, the water uptake (WU) and the thermal stability of the different PHs were further evaluated. The WU in PHs was found strongly influenced by both the imidazolium content and the nature of the counterion. In general, the higher the imidazolium content, the higher the nominal degree of crosslinking, which reflects in limited swelling and thus lower water absorption. The water uptake of 29 g·g</w:t>
      </w:r>
      <w:r w:rsidRPr="00EE5230">
        <w:rPr>
          <w:rFonts w:cs="Arial"/>
          <w:vertAlign w:val="superscript"/>
        </w:rPr>
        <w:t xml:space="preserve">-1 </w:t>
      </w:r>
      <w:r w:rsidRPr="00EE5230">
        <w:rPr>
          <w:rFonts w:cs="Arial"/>
        </w:rPr>
        <w:t>in PH</w:t>
      </w:r>
      <w:r w:rsidRPr="00EE5230">
        <w:rPr>
          <w:rFonts w:cs="Arial"/>
          <w:vertAlign w:val="subscript"/>
        </w:rPr>
        <w:t>100-OAc</w:t>
      </w:r>
      <w:r w:rsidRPr="00EE5230">
        <w:rPr>
          <w:rFonts w:cs="Arial"/>
        </w:rPr>
        <w:t xml:space="preserve"> was significantly reduced to only 4 g·g</w:t>
      </w:r>
      <w:r w:rsidRPr="00EE5230">
        <w:rPr>
          <w:rFonts w:cs="Arial"/>
          <w:vertAlign w:val="superscript"/>
        </w:rPr>
        <w:t xml:space="preserve">-1 </w:t>
      </w:r>
      <w:r w:rsidRPr="00EE5230">
        <w:rPr>
          <w:rFonts w:cs="Arial"/>
        </w:rPr>
        <w:t>in PH</w:t>
      </w:r>
      <w:r w:rsidRPr="00EE5230">
        <w:rPr>
          <w:rFonts w:cs="Arial"/>
          <w:vertAlign w:val="subscript"/>
        </w:rPr>
        <w:t>100-TFSI</w:t>
      </w:r>
      <w:r w:rsidRPr="00EE5230">
        <w:rPr>
          <w:rFonts w:cs="Arial"/>
        </w:rPr>
        <w:t xml:space="preserve"> bearing the hydrophobic TFSI counterion (Table 1, entries 1 and 4)</w:t>
      </w:r>
      <w:r w:rsidRPr="00EE5230">
        <w:rPr>
          <w:rFonts w:cs="Arial"/>
          <w:vertAlign w:val="subscript"/>
        </w:rPr>
        <w:t>.</w:t>
      </w:r>
      <w:r w:rsidRPr="00EE5230">
        <w:rPr>
          <w:rFonts w:cs="Arial"/>
        </w:rPr>
        <w:t xml:space="preserve"> Similarly, water uptake varied with the imidazolium content. For the PH</w:t>
      </w:r>
      <w:r w:rsidRPr="00EE5230">
        <w:rPr>
          <w:rFonts w:cs="Arial"/>
          <w:vertAlign w:val="subscript"/>
        </w:rPr>
        <w:t xml:space="preserve">TFSI </w:t>
      </w:r>
      <w:r w:rsidRPr="00EE5230">
        <w:rPr>
          <w:rFonts w:cs="Arial"/>
        </w:rPr>
        <w:t>series, the water uptake decreases with increasing imidazolium content from 44 to 29 g·g</w:t>
      </w:r>
      <w:r w:rsidRPr="00EE5230">
        <w:rPr>
          <w:rFonts w:cs="Arial"/>
          <w:vertAlign w:val="superscript"/>
        </w:rPr>
        <w:t>-1</w:t>
      </w:r>
      <w:r w:rsidRPr="00EE5230">
        <w:rPr>
          <w:rFonts w:cs="Arial"/>
        </w:rPr>
        <w:t xml:space="preserve"> (Table 1), because a higher imidazolium content in PH means a more crosslinked ​material on the one hand and a higher content of hydrophobic TFSI counterion on the other, two factors being unfavourable for WU. In the case of the </w:t>
      </w:r>
      <w:proofErr w:type="spellStart"/>
      <w:r w:rsidRPr="00EE5230">
        <w:rPr>
          <w:rFonts w:cs="Arial"/>
        </w:rPr>
        <w:t>PH</w:t>
      </w:r>
      <w:r w:rsidRPr="00EE5230">
        <w:rPr>
          <w:rFonts w:cs="Arial"/>
          <w:vertAlign w:val="subscript"/>
        </w:rPr>
        <w:t>OAc</w:t>
      </w:r>
      <w:proofErr w:type="spellEnd"/>
      <w:r w:rsidRPr="00EE5230">
        <w:rPr>
          <w:rFonts w:cs="Arial"/>
        </w:rPr>
        <w:t xml:space="preserve"> series, the situation is more complex. Since </w:t>
      </w:r>
      <w:proofErr w:type="spellStart"/>
      <w:r w:rsidRPr="00EE5230">
        <w:rPr>
          <w:rFonts w:cs="Arial"/>
        </w:rPr>
        <w:t>OAc</w:t>
      </w:r>
      <w:proofErr w:type="spellEnd"/>
      <w:r w:rsidRPr="00EE5230">
        <w:rPr>
          <w:rFonts w:cs="Arial"/>
        </w:rPr>
        <w:t xml:space="preserve"> counterion is more hydrophilic than the TFSI, increasing the imidazolium acetate content (</w:t>
      </w:r>
      <w:proofErr w:type="spellStart"/>
      <w:r w:rsidRPr="00EE5230">
        <w:rPr>
          <w:rFonts w:cs="Arial"/>
        </w:rPr>
        <w:t>ImOAc</w:t>
      </w:r>
      <w:proofErr w:type="spellEnd"/>
      <w:r w:rsidRPr="00EE5230">
        <w:rPr>
          <w:rFonts w:cs="Arial"/>
        </w:rPr>
        <w:t>) would mean higher WU. On the other hand, however, a higher imidazolium content also increases the degree of crosslinking, which would limit swelling of the PHs, thus WU. Consequently, the highest degree of crosslinking of PH</w:t>
      </w:r>
      <w:r w:rsidRPr="00EE5230">
        <w:rPr>
          <w:rFonts w:cs="Arial"/>
          <w:vertAlign w:val="subscript"/>
        </w:rPr>
        <w:t>100-OAc</w:t>
      </w:r>
      <w:r w:rsidRPr="00EE5230">
        <w:rPr>
          <w:rFonts w:cs="Arial"/>
        </w:rPr>
        <w:t xml:space="preserve"> (100% of </w:t>
      </w:r>
      <w:proofErr w:type="spellStart"/>
      <w:r w:rsidRPr="00EE5230">
        <w:rPr>
          <w:rFonts w:cs="Arial"/>
        </w:rPr>
        <w:t>ImOAc</w:t>
      </w:r>
      <w:proofErr w:type="spellEnd"/>
      <w:r w:rsidRPr="00EE5230">
        <w:rPr>
          <w:rFonts w:cs="Arial"/>
        </w:rPr>
        <w:t>) is somewhat compensated by the highest hydrophilic imidazolium content leading to water uptake in the same range as PH</w:t>
      </w:r>
      <w:r w:rsidRPr="00EE5230">
        <w:rPr>
          <w:rFonts w:cs="Arial"/>
          <w:vertAlign w:val="subscript"/>
        </w:rPr>
        <w:t>33-OAc</w:t>
      </w:r>
      <w:r w:rsidRPr="00EE5230">
        <w:rPr>
          <w:rFonts w:cs="Arial"/>
        </w:rPr>
        <w:t xml:space="preserve"> (33% of </w:t>
      </w:r>
      <w:proofErr w:type="spellStart"/>
      <w:r w:rsidRPr="00EE5230">
        <w:rPr>
          <w:rFonts w:cs="Arial"/>
        </w:rPr>
        <w:t>ImOAc</w:t>
      </w:r>
      <w:proofErr w:type="spellEnd"/>
      <w:r w:rsidRPr="00EE5230">
        <w:rPr>
          <w:rFonts w:cs="Arial"/>
        </w:rPr>
        <w:t>) (29 and 28 g·g</w:t>
      </w:r>
      <w:r w:rsidRPr="00EE5230">
        <w:rPr>
          <w:rFonts w:cs="Arial"/>
          <w:vertAlign w:val="superscript"/>
        </w:rPr>
        <w:t>-1</w:t>
      </w:r>
      <w:r w:rsidRPr="00EE5230">
        <w:rPr>
          <w:rFonts w:cs="Arial"/>
        </w:rPr>
        <w:t>, respectively). Eventually, the low degree of crosslinking of PH</w:t>
      </w:r>
      <w:r w:rsidRPr="00EE5230">
        <w:rPr>
          <w:rFonts w:cs="Arial"/>
          <w:vertAlign w:val="subscript"/>
        </w:rPr>
        <w:t>11-OAc</w:t>
      </w:r>
      <w:r w:rsidRPr="00EE5230">
        <w:rPr>
          <w:rFonts w:cs="Arial"/>
        </w:rPr>
        <w:t xml:space="preserve"> is responsible for the highest WU in the </w:t>
      </w:r>
      <w:proofErr w:type="spellStart"/>
      <w:r w:rsidRPr="00EE5230">
        <w:rPr>
          <w:rFonts w:cs="Arial"/>
        </w:rPr>
        <w:t>PH</w:t>
      </w:r>
      <w:r w:rsidRPr="00EE5230">
        <w:rPr>
          <w:rFonts w:cs="Arial"/>
          <w:vertAlign w:val="subscript"/>
        </w:rPr>
        <w:t>OAc</w:t>
      </w:r>
      <w:proofErr w:type="spellEnd"/>
      <w:r w:rsidRPr="00EE5230">
        <w:rPr>
          <w:rFonts w:cs="Arial"/>
        </w:rPr>
        <w:t xml:space="preserve"> series, i.e., 44 g·g</w:t>
      </w:r>
      <w:r w:rsidRPr="00EE5230">
        <w:rPr>
          <w:rFonts w:cs="Arial"/>
          <w:vertAlign w:val="superscript"/>
        </w:rPr>
        <w:t>-1</w:t>
      </w:r>
      <w:r w:rsidRPr="00EE5230">
        <w:rPr>
          <w:rFonts w:cs="Arial"/>
        </w:rPr>
        <w:t xml:space="preserve">. </w:t>
      </w:r>
    </w:p>
    <w:p w14:paraId="1E35B73D" w14:textId="77777777" w:rsidR="00EE5230" w:rsidRPr="00EE5230" w:rsidRDefault="00EE5230" w:rsidP="00EE5230">
      <w:pPr>
        <w:spacing w:after="120"/>
        <w:rPr>
          <w:rFonts w:cs="Arial"/>
        </w:rPr>
      </w:pPr>
      <w:r w:rsidRPr="00EE5230">
        <w:rPr>
          <w:rFonts w:cs="Arial"/>
        </w:rPr>
        <w:t>Next, the thermal stability of the different PHs was evaluated by thermogravimetric analysis (TGA) (Table 1, Figure S11). The PH</w:t>
      </w:r>
      <w:r w:rsidRPr="00EE5230">
        <w:rPr>
          <w:rFonts w:cs="Arial"/>
          <w:vertAlign w:val="subscript"/>
        </w:rPr>
        <w:t>TFSI</w:t>
      </w:r>
      <w:r w:rsidRPr="00EE5230">
        <w:rPr>
          <w:rFonts w:cs="Arial"/>
        </w:rPr>
        <w:t xml:space="preserve"> series exhibits significantly higher degradation temperatures (TODs) compared to the </w:t>
      </w:r>
      <w:proofErr w:type="spellStart"/>
      <w:r w:rsidRPr="00EE5230">
        <w:rPr>
          <w:rFonts w:cs="Arial"/>
        </w:rPr>
        <w:t>PH</w:t>
      </w:r>
      <w:r w:rsidRPr="00EE5230">
        <w:rPr>
          <w:rFonts w:cs="Arial"/>
          <w:vertAlign w:val="subscript"/>
        </w:rPr>
        <w:t>OAc</w:t>
      </w:r>
      <w:proofErr w:type="spellEnd"/>
      <w:r w:rsidRPr="00EE5230">
        <w:rPr>
          <w:rFonts w:cs="Arial"/>
        </w:rPr>
        <w:t xml:space="preserve"> series. For example, the TOD of PH</w:t>
      </w:r>
      <w:r w:rsidRPr="00EE5230">
        <w:rPr>
          <w:rFonts w:cs="Arial"/>
          <w:vertAlign w:val="subscript"/>
        </w:rPr>
        <w:t>100-TFSI</w:t>
      </w:r>
      <w:r w:rsidRPr="00EE5230">
        <w:rPr>
          <w:rFonts w:cs="Arial"/>
        </w:rPr>
        <w:t xml:space="preserve"> (338 °C) is 118 °C higher than that of PH</w:t>
      </w:r>
      <w:r w:rsidRPr="00EE5230">
        <w:rPr>
          <w:rFonts w:cs="Arial"/>
          <w:vertAlign w:val="subscript"/>
        </w:rPr>
        <w:t>100-OAc</w:t>
      </w:r>
      <w:r w:rsidRPr="00EE5230">
        <w:rPr>
          <w:rFonts w:cs="Arial"/>
        </w:rPr>
        <w:t xml:space="preserve"> (220 °C) and also decreases with the imidazolium content, e.g. PH</w:t>
      </w:r>
      <w:r w:rsidRPr="00EE5230">
        <w:rPr>
          <w:rFonts w:cs="Arial"/>
          <w:vertAlign w:val="subscript"/>
        </w:rPr>
        <w:t>100-TFSI</w:t>
      </w:r>
      <w:r w:rsidRPr="00EE5230">
        <w:rPr>
          <w:rFonts w:cs="Arial"/>
        </w:rPr>
        <w:t>: 338 &gt; PH</w:t>
      </w:r>
      <w:r w:rsidRPr="00EE5230">
        <w:rPr>
          <w:rFonts w:cs="Arial"/>
          <w:vertAlign w:val="subscript"/>
        </w:rPr>
        <w:t>33-</w:t>
      </w:r>
      <w:proofErr w:type="gramStart"/>
      <w:r w:rsidRPr="00EE5230">
        <w:rPr>
          <w:rFonts w:cs="Arial"/>
          <w:vertAlign w:val="subscript"/>
        </w:rPr>
        <w:t>TFSI</w:t>
      </w:r>
      <w:r w:rsidRPr="00EE5230">
        <w:rPr>
          <w:rFonts w:cs="Arial"/>
        </w:rPr>
        <w:t xml:space="preserve"> :</w:t>
      </w:r>
      <w:proofErr w:type="gramEnd"/>
      <w:r w:rsidRPr="00EE5230">
        <w:rPr>
          <w:rFonts w:cs="Arial"/>
        </w:rPr>
        <w:t xml:space="preserve"> 269 &gt; PH</w:t>
      </w:r>
      <w:r w:rsidRPr="00EE5230">
        <w:rPr>
          <w:rFonts w:cs="Arial"/>
          <w:vertAlign w:val="subscript"/>
        </w:rPr>
        <w:t>11-TFSI</w:t>
      </w:r>
      <w:r w:rsidRPr="00EE5230">
        <w:rPr>
          <w:rFonts w:cs="Arial"/>
        </w:rPr>
        <w:t xml:space="preserve"> : 222 °C. The pure amine PH</w:t>
      </w:r>
      <w:r w:rsidRPr="00EE5230">
        <w:rPr>
          <w:rFonts w:cs="Arial"/>
          <w:vertAlign w:val="subscript"/>
        </w:rPr>
        <w:t>0</w:t>
      </w:r>
      <w:r w:rsidRPr="00EE5230">
        <w:rPr>
          <w:rFonts w:cs="Arial"/>
        </w:rPr>
        <w:t xml:space="preserve"> has the lowest TOD, </w:t>
      </w:r>
      <w:proofErr w:type="gramStart"/>
      <w:r w:rsidRPr="00EE5230">
        <w:rPr>
          <w:rFonts w:cs="Arial"/>
        </w:rPr>
        <w:t>i.e.</w:t>
      </w:r>
      <w:proofErr w:type="gramEnd"/>
      <w:r w:rsidRPr="00EE5230">
        <w:rPr>
          <w:rFonts w:cs="Arial"/>
        </w:rPr>
        <w:t xml:space="preserve"> 114 °C. Due to the high TODs, the PH</w:t>
      </w:r>
      <w:r w:rsidRPr="00EE5230">
        <w:rPr>
          <w:rFonts w:cs="Arial"/>
          <w:vertAlign w:val="subscript"/>
        </w:rPr>
        <w:t>TFSI</w:t>
      </w:r>
      <w:r w:rsidRPr="00EE5230">
        <w:rPr>
          <w:rFonts w:cs="Arial"/>
        </w:rPr>
        <w:t xml:space="preserve"> series is obviously best suited for efficient CO</w:t>
      </w:r>
      <w:r w:rsidRPr="00EE5230">
        <w:rPr>
          <w:rFonts w:cs="Arial"/>
          <w:vertAlign w:val="subscript"/>
        </w:rPr>
        <w:t>2</w:t>
      </w:r>
      <w:r w:rsidRPr="00EE5230">
        <w:rPr>
          <w:rFonts w:cs="Arial"/>
        </w:rPr>
        <w:t xml:space="preserve"> sorption at elevated temperatures, the latter being crucial for the solid-porous sorbent in real applications, such as the post-combustion capture (PCC).  </w:t>
      </w:r>
    </w:p>
    <w:p w14:paraId="0DC36E83" w14:textId="77777777" w:rsidR="00EE5230" w:rsidRPr="00EE5230" w:rsidRDefault="00EE5230" w:rsidP="00EE5230">
      <w:pPr>
        <w:spacing w:after="120"/>
        <w:rPr>
          <w:rFonts w:cs="Arial"/>
          <w:b/>
        </w:rPr>
      </w:pPr>
    </w:p>
    <w:p w14:paraId="1D7358C8" w14:textId="77777777" w:rsidR="00EE5230" w:rsidRPr="00EE5230" w:rsidRDefault="00EE5230" w:rsidP="00EE5230">
      <w:pPr>
        <w:spacing w:after="120"/>
        <w:rPr>
          <w:rFonts w:cs="Arial"/>
          <w:b/>
          <w:i/>
        </w:rPr>
      </w:pPr>
      <w:r w:rsidRPr="00EE5230">
        <w:rPr>
          <w:rFonts w:cs="Arial"/>
          <w:b/>
          <w:i/>
        </w:rPr>
        <w:t>3.4. CO</w:t>
      </w:r>
      <w:r w:rsidRPr="00EE5230">
        <w:rPr>
          <w:rFonts w:cs="Arial"/>
          <w:b/>
          <w:i/>
          <w:vertAlign w:val="subscript"/>
        </w:rPr>
        <w:t xml:space="preserve">2 </w:t>
      </w:r>
      <w:r w:rsidRPr="00EE5230">
        <w:rPr>
          <w:rFonts w:cs="Arial"/>
          <w:b/>
          <w:i/>
        </w:rPr>
        <w:t>uptake of the porous PHs</w:t>
      </w:r>
    </w:p>
    <w:p w14:paraId="6D21A52E" w14:textId="77777777" w:rsidR="00EE5230" w:rsidRPr="00EE5230" w:rsidRDefault="00EE5230" w:rsidP="00EE5230">
      <w:pPr>
        <w:spacing w:after="120"/>
        <w:rPr>
          <w:rFonts w:cs="Arial"/>
        </w:rPr>
      </w:pPr>
      <w:r w:rsidRPr="00EE5230">
        <w:rPr>
          <w:rFonts w:cs="Arial"/>
        </w:rPr>
        <w:t>The CO</w:t>
      </w:r>
      <w:r w:rsidRPr="00EE5230">
        <w:rPr>
          <w:rFonts w:cs="Arial"/>
          <w:vertAlign w:val="subscript"/>
        </w:rPr>
        <w:t>2</w:t>
      </w:r>
      <w:r w:rsidRPr="00EE5230">
        <w:rPr>
          <w:rFonts w:cs="Arial"/>
        </w:rPr>
        <w:t xml:space="preserve"> adsorption capacities of the PH</w:t>
      </w:r>
      <w:r w:rsidRPr="00EE5230">
        <w:rPr>
          <w:rFonts w:cs="Arial"/>
          <w:vertAlign w:val="subscript"/>
        </w:rPr>
        <w:t>TFSI</w:t>
      </w:r>
      <w:r w:rsidRPr="00EE5230">
        <w:rPr>
          <w:rFonts w:cs="Arial"/>
        </w:rPr>
        <w:t xml:space="preserve"> and </w:t>
      </w:r>
      <w:proofErr w:type="spellStart"/>
      <w:r w:rsidRPr="00EE5230">
        <w:rPr>
          <w:rFonts w:cs="Arial"/>
        </w:rPr>
        <w:t>PH</w:t>
      </w:r>
      <w:r w:rsidRPr="00EE5230">
        <w:rPr>
          <w:rFonts w:cs="Arial"/>
          <w:vertAlign w:val="subscript"/>
        </w:rPr>
        <w:t>OAc</w:t>
      </w:r>
      <w:proofErr w:type="spellEnd"/>
      <w:r w:rsidRPr="00EE5230">
        <w:rPr>
          <w:rFonts w:cs="Arial"/>
        </w:rPr>
        <w:t xml:space="preserve"> series were examined by recording the equilibrium isotherms at 25 °C and different pressures up to 1 bar (Figure 3a, Table S3). All isotherms are generally of the Langmuir-type at pressures up to about 0.4 bar and evolve to a nearly linear trend in CO</w:t>
      </w:r>
      <w:r w:rsidRPr="00EE5230">
        <w:rPr>
          <w:rFonts w:cs="Arial"/>
          <w:vertAlign w:val="subscript"/>
        </w:rPr>
        <w:t>2</w:t>
      </w:r>
      <w:r w:rsidRPr="00EE5230">
        <w:rPr>
          <w:rFonts w:cs="Arial"/>
        </w:rPr>
        <w:t xml:space="preserve"> uptake at higher pressures. The isotherms also show distinct desorption hysteresis loops. This indicates a strong binding </w:t>
      </w:r>
      <w:r w:rsidRPr="00EE5230">
        <w:rPr>
          <w:rFonts w:cs="Arial"/>
        </w:rPr>
        <w:lastRenderedPageBreak/>
        <w:t>affinity of the CO</w:t>
      </w:r>
      <w:r w:rsidRPr="00EE5230">
        <w:rPr>
          <w:rFonts w:cs="Arial"/>
          <w:vertAlign w:val="subscript"/>
        </w:rPr>
        <w:t>2</w:t>
      </w:r>
      <w:r w:rsidRPr="00EE5230">
        <w:rPr>
          <w:rFonts w:cs="Arial"/>
        </w:rPr>
        <w:t xml:space="preserve"> molecules to the sorption sites at low surface coverage. The sorption kinetics from vacuum up to 1 bar at 25 °C were also determined and fitted with a linear-driving force model, as it is a simple, physically consistent theory with a minimal number of process-dependent variables (Figure 3b). Equilibrium times are shorter for the lower uptake samples and longer for the higher uptake samples (indicated by vertical dashed lines in Figure 3b), suggesting that the 3D-interconnected microcellular morphology of PHs provides low resistance pathways for the diffusion of CO</w:t>
      </w:r>
      <w:r w:rsidRPr="00EE5230">
        <w:rPr>
          <w:rFonts w:cs="Arial"/>
          <w:vertAlign w:val="subscript"/>
        </w:rPr>
        <w:t>2</w:t>
      </w:r>
      <w:r w:rsidRPr="00EE5230">
        <w:rPr>
          <w:rFonts w:cs="Arial"/>
        </w:rPr>
        <w:t xml:space="preserve"> molecules and that the sorption process is mainly determined by the available sorption sites. </w:t>
      </w:r>
    </w:p>
    <w:p w14:paraId="3ECABC37" w14:textId="77777777" w:rsidR="00EE5230" w:rsidRPr="00EE5230" w:rsidRDefault="00EE5230" w:rsidP="00EE5230">
      <w:pPr>
        <w:spacing w:after="120"/>
        <w:jc w:val="center"/>
        <w:rPr>
          <w:rFonts w:cs="Arial"/>
        </w:rPr>
      </w:pPr>
      <w:r w:rsidRPr="00EE5230">
        <w:rPr>
          <w:rFonts w:cs="Arial"/>
          <w:noProof/>
          <w:lang w:val="sl-SI" w:eastAsia="sl-SI"/>
        </w:rPr>
        <w:drawing>
          <wp:inline distT="0" distB="0" distL="0" distR="0" wp14:anchorId="6407484A" wp14:editId="066D2577">
            <wp:extent cx="3491908" cy="5209095"/>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jpg.jpg"/>
                    <pic:cNvPicPr/>
                  </pic:nvPicPr>
                  <pic:blipFill>
                    <a:blip r:embed="rId15" cstate="print">
                      <a:extLst>
                        <a:ext uri="{28A0092B-C50C-407E-A947-70E740481C1C}">
                          <a14:useLocalDpi xmlns:a14="http://schemas.microsoft.com/office/drawing/2010/main"/>
                        </a:ext>
                      </a:extLst>
                    </a:blip>
                    <a:stretch>
                      <a:fillRect/>
                    </a:stretch>
                  </pic:blipFill>
                  <pic:spPr>
                    <a:xfrm>
                      <a:off x="0" y="0"/>
                      <a:ext cx="3524547" cy="5257785"/>
                    </a:xfrm>
                    <a:prstGeom prst="rect">
                      <a:avLst/>
                    </a:prstGeom>
                  </pic:spPr>
                </pic:pic>
              </a:graphicData>
            </a:graphic>
          </wp:inline>
        </w:drawing>
      </w:r>
    </w:p>
    <w:p w14:paraId="02A3500B" w14:textId="77777777" w:rsidR="00EE5230" w:rsidRPr="00EE5230" w:rsidRDefault="00EE5230" w:rsidP="00EE5230">
      <w:pPr>
        <w:pStyle w:val="RSCB02ArticleText"/>
        <w:spacing w:line="276" w:lineRule="auto"/>
        <w:rPr>
          <w:rFonts w:ascii="Arial" w:hAnsi="Arial" w:cs="Arial"/>
          <w:w w:val="100"/>
          <w:sz w:val="24"/>
          <w:szCs w:val="24"/>
        </w:rPr>
      </w:pPr>
      <w:r w:rsidRPr="00EE5230">
        <w:rPr>
          <w:rStyle w:val="RSCB02ArticleTextChar"/>
          <w:rFonts w:ascii="Arial" w:hAnsi="Arial" w:cs="Arial"/>
          <w:b/>
          <w:w w:val="100"/>
          <w:sz w:val="24"/>
          <w:szCs w:val="24"/>
        </w:rPr>
        <w:t>Figure 3</w:t>
      </w:r>
      <w:r w:rsidRPr="00EE5230">
        <w:rPr>
          <w:rStyle w:val="RSCB02ArticleTextChar"/>
          <w:rFonts w:ascii="Arial" w:hAnsi="Arial" w:cs="Arial"/>
          <w:w w:val="100"/>
          <w:sz w:val="24"/>
          <w:szCs w:val="24"/>
        </w:rPr>
        <w:t>. (a) Equilibrium CO</w:t>
      </w:r>
      <w:r w:rsidRPr="00EE5230">
        <w:rPr>
          <w:rStyle w:val="RSCB02ArticleTextChar"/>
          <w:rFonts w:ascii="Arial" w:hAnsi="Arial" w:cs="Arial"/>
          <w:w w:val="100"/>
          <w:sz w:val="24"/>
          <w:szCs w:val="24"/>
          <w:vertAlign w:val="subscript"/>
        </w:rPr>
        <w:t>2</w:t>
      </w:r>
      <w:r w:rsidRPr="00EE5230">
        <w:rPr>
          <w:rStyle w:val="RSCB02ArticleTextChar"/>
          <w:rFonts w:ascii="Arial" w:hAnsi="Arial" w:cs="Arial"/>
          <w:w w:val="100"/>
          <w:sz w:val="24"/>
          <w:szCs w:val="24"/>
        </w:rPr>
        <w:t xml:space="preserve"> isotherms of the indicated materials measured at 25 °C up to 1 bar. Full circles – sorption, empty circles –</w:t>
      </w:r>
      <w:r w:rsidRPr="00EE5230">
        <w:rPr>
          <w:rFonts w:ascii="Arial" w:hAnsi="Arial" w:cs="Arial"/>
          <w:w w:val="100"/>
          <w:sz w:val="24"/>
          <w:szCs w:val="24"/>
        </w:rPr>
        <w:t xml:space="preserve"> desorption; (b) Kinetics of CO</w:t>
      </w:r>
      <w:r w:rsidRPr="00EE5230">
        <w:rPr>
          <w:rFonts w:ascii="Arial" w:hAnsi="Arial" w:cs="Arial"/>
          <w:w w:val="100"/>
          <w:sz w:val="24"/>
          <w:szCs w:val="24"/>
          <w:vertAlign w:val="subscript"/>
        </w:rPr>
        <w:t>2</w:t>
      </w:r>
      <w:r w:rsidRPr="00EE5230">
        <w:rPr>
          <w:rFonts w:ascii="Arial" w:hAnsi="Arial" w:cs="Arial"/>
          <w:w w:val="100"/>
          <w:sz w:val="24"/>
          <w:szCs w:val="24"/>
        </w:rPr>
        <w:t xml:space="preserve"> sorption of the indicated materials loaded up to 1 bar. Circles – experimental data, line – linear driving force model fit, vertical dashed lines indicate the time required for 99% of equilibrium values.</w:t>
      </w:r>
    </w:p>
    <w:p w14:paraId="4E42631A" w14:textId="77777777" w:rsidR="00EE5230" w:rsidRPr="00EE5230" w:rsidRDefault="00EE5230" w:rsidP="00EE5230">
      <w:pPr>
        <w:spacing w:after="120"/>
        <w:rPr>
          <w:rFonts w:cs="Arial"/>
        </w:rPr>
      </w:pPr>
    </w:p>
    <w:p w14:paraId="63E0C39F" w14:textId="77777777" w:rsidR="00EE5230" w:rsidRPr="00EE5230" w:rsidRDefault="00EE5230" w:rsidP="00EE5230">
      <w:pPr>
        <w:spacing w:after="120"/>
        <w:rPr>
          <w:rFonts w:cs="Arial"/>
        </w:rPr>
      </w:pPr>
      <w:r w:rsidRPr="00EE5230">
        <w:rPr>
          <w:rFonts w:cs="Arial"/>
        </w:rPr>
        <w:t xml:space="preserve">The gas sorption capacity of these PHs was found highly dependent of their chemical nature. First, the counter anion (TFSI vs </w:t>
      </w:r>
      <w:proofErr w:type="spellStart"/>
      <w:r w:rsidRPr="00EE5230">
        <w:rPr>
          <w:rFonts w:cs="Arial"/>
        </w:rPr>
        <w:t>OAc</w:t>
      </w:r>
      <w:proofErr w:type="spellEnd"/>
      <w:r w:rsidRPr="00EE5230">
        <w:rPr>
          <w:rFonts w:cs="Arial"/>
        </w:rPr>
        <w:t>) clearly impacts the CO</w:t>
      </w:r>
      <w:r w:rsidRPr="00EE5230">
        <w:rPr>
          <w:rFonts w:cs="Arial"/>
          <w:vertAlign w:val="subscript"/>
        </w:rPr>
        <w:t>2</w:t>
      </w:r>
      <w:r w:rsidRPr="00EE5230">
        <w:rPr>
          <w:rFonts w:cs="Arial"/>
        </w:rPr>
        <w:t xml:space="preserve"> uptake capacity of these materials. In the case of pure imidazolium PHs, the lower CO</w:t>
      </w:r>
      <w:r w:rsidRPr="00EE5230">
        <w:rPr>
          <w:rFonts w:cs="Arial"/>
          <w:vertAlign w:val="subscript"/>
        </w:rPr>
        <w:t>2</w:t>
      </w:r>
      <w:r w:rsidRPr="00EE5230">
        <w:rPr>
          <w:rFonts w:cs="Arial"/>
        </w:rPr>
        <w:t xml:space="preserve"> uptake of PH</w:t>
      </w:r>
      <w:r w:rsidRPr="00EE5230">
        <w:rPr>
          <w:rFonts w:cs="Arial"/>
          <w:vertAlign w:val="subscript"/>
        </w:rPr>
        <w:t>100-TFSI</w:t>
      </w:r>
      <w:r w:rsidRPr="00EE5230">
        <w:rPr>
          <w:rFonts w:cs="Arial"/>
        </w:rPr>
        <w:t xml:space="preserve"> compared to PH</w:t>
      </w:r>
      <w:r w:rsidRPr="00EE5230">
        <w:rPr>
          <w:rFonts w:cs="Arial"/>
          <w:vertAlign w:val="subscript"/>
        </w:rPr>
        <w:t xml:space="preserve">100-OAc </w:t>
      </w:r>
      <w:r w:rsidRPr="00EE5230">
        <w:rPr>
          <w:rFonts w:cs="Arial"/>
        </w:rPr>
        <w:t>(0.1 and 0.5 mmol</w:t>
      </w:r>
      <w:r w:rsidRPr="00EE5230">
        <w:rPr>
          <w:rFonts w:cs="Arial"/>
          <w:vertAlign w:val="subscript"/>
        </w:rPr>
        <w:t xml:space="preserve"> </w:t>
      </w:r>
      <w:r w:rsidRPr="00EE5230">
        <w:rPr>
          <w:rFonts w:cs="Arial"/>
        </w:rPr>
        <w:t>g</w:t>
      </w:r>
      <w:r w:rsidRPr="00EE5230">
        <w:rPr>
          <w:rFonts w:cs="Arial"/>
          <w:vertAlign w:val="superscript"/>
        </w:rPr>
        <w:t>-1</w:t>
      </w:r>
      <w:r w:rsidRPr="00EE5230">
        <w:rPr>
          <w:rFonts w:cs="Arial"/>
        </w:rPr>
        <w:t>, respectively) can be attributed to the bulkiness of the TFSI anion, which prevents access of CO</w:t>
      </w:r>
      <w:r w:rsidRPr="00EE5230">
        <w:rPr>
          <w:rFonts w:cs="Arial"/>
          <w:vertAlign w:val="subscript"/>
        </w:rPr>
        <w:t>2</w:t>
      </w:r>
      <w:r w:rsidRPr="00EE5230">
        <w:rPr>
          <w:rFonts w:cs="Arial"/>
        </w:rPr>
        <w:t xml:space="preserve"> to the cationic imidazolium sites by steric hindrance. This behaviour is well documented for PILs and supported ILs.</w:t>
      </w:r>
      <w:r w:rsidRPr="00EE5230">
        <w:rPr>
          <w:rFonts w:cs="Arial"/>
        </w:rPr>
        <w:fldChar w:fldCharType="begin" w:fldLock="1"/>
      </w:r>
      <w:r w:rsidRPr="00EE5230">
        <w:rPr>
          <w:rFonts w:cs="Arial"/>
        </w:rPr>
        <w:instrText>ADDIN CSL_CITATION {"citationItems":[{"id":"ITEM-1","itemData":{"DOI":"https://doi.org/10.1002/cssc.201300120","ISSN":"1864-5631","abstract":"Abstract Solid imidazolium-based poly(ionic liquid)s with variable molecular weights that contain the poly[2-(1-butylimidazolium-3-yl)ethyl methacrylate] (BIEMA) cation and different counter anions were evaluated in terms of CO2 capture and compared with classical ionic liquids with similar counter anions. In addition to poly(ionic liquid)s with often-applied ions such as BF4?, PF6?, NTf2?, trifluoromethanesulfonate (OTf?) and Br?, for the first time [BIEMA][acetate] was synthesised, which revealed a remarkably high CO2 sorption performance that exceeded the poly(ionic liquid)s studied previously on average by a factor of four (12.46?mg?gPIL?1). This study provides an understanding of the factors that affect CO2 sorption and a comparison of the CO2 capture efficiency with the frequently used sorbents. Moreover, all the studied sorbents were reusable if regenerated under carefully selected conditions and can be considered as suitable candidates for CO2 sorption.","author":[{"dropping-particle":"","family":"Privalova","given":"Elena I","non-dropping-particle":"","parse-names":false,"suffix":""},{"dropping-particle":"","family":"Karjalainen","given":"Erno","non-dropping-particle":"","parse-names":false,"suffix":""},{"dropping-particle":"","family":"Nurmi","given":"Mari","non-dropping-particle":"","parse-names":false,"suffix":""},{"dropping-particle":"","family":"Mäki-Arvela","given":"Päivi","non-dropping-particle":"","parse-names":false,"suffix":""},{"dropping-particle":"","family":"Eränen","given":"Kari","non-dropping-particle":"","parse-names":false,"suffix":""},{"dropping-particle":"","family":"Tenhu","given":"Heikki","non-dropping-particle":"","parse-names":false,"suffix":""},{"dropping-particle":"","family":"Murzin","given":"Dmitry Yu.","non-dropping-particle":"","parse-names":false,"suffix":""},{"dropping-particle":"","family":"Mikkola","given":"Jyri-Pekka","non-dropping-particle":"","parse-names":false,"suffix":""}],"container-title":"ChemSusChem","id":"ITEM-1","issue":"8","issued":{"date-parts":[["2013","8","1"]]},"note":"https://doi.org/10.1002/cssc.201300120","page":"1500-1509","publisher":"John Wiley &amp; Sons, Ltd","title":"Imidazolium-Based Poly(ionic liquid)s as New Alternatives for CO2 Capture","type":"article-journal","volume":"6"},"uris":["http://www.mendeley.com/documents/?uuid=0b98fc21-3e3c-4f68-b313-0bddcc39429e"]},{"id":"ITEM-2","itemData":{"DOI":"10.1039/C5RA07561K","abstract":"Covalently supported ionic liquids in mesoporous materials were prepared by grafting 1-methyl-3-(3-trimethoxysylilpropyl)imidazolium chloride in MCM-41. Subsequently, the [Cl−] anion was changed to [BF4−], [PF6−] or [Tf2N−]. These materials that present an advantageous combination of the properties of mesoporous solid materials and ionic liquids were evaluated for CO2 sorption as well as catalysts for CO2 conversion into cyclic carbonate using propylene oxide. The material with the [Cl−] anion had the best performance for both CO2 sorption and conversion. A CO2 sorption of 11 w/w% on the adsorbent was achieved and the cycloaddition reaction exhibited a conversion of 67% with 82% selectivity with the catalyst remaining active after 5 cycles, proving that the same sorbent/catalyst setup can be used for both CO2 capture and conversion. Based on the experimental data and electronic-structure numerical simulations, we have hypothesized two major reasons why chloride out performs other anions when adsorbed on MCM-41 unlike unsupported ionic liquids.","author":[{"dropping-particle":"","family":"Aquino","given":"A S","non-dropping-particle":"","parse-names":false,"suffix":""},{"dropping-particle":"","family":"Bernard","given":"F L","non-dropping-particle":"","parse-names":false,"suffix":""},{"dropping-particle":"V","family":"Borges","given":"J","non-dropping-particle":"","parse-names":false,"suffix":""},{"dropping-particle":"","family":"Mafra","given":"L","non-dropping-particle":"","parse-names":false,"suffix":""},{"dropping-particle":"","family":"Vecchia","given":"F Dalla","non-dropping-particle":"","parse-names":false,"suffix":""},{"dropping-particle":"","family":"Vieira","given":"M O","non-dropping-particle":"","parse-names":false,"suffix":""},{"dropping-particle":"","family":"Ligabue","given":"R","non-dropping-particle":"","parse-names":false,"suffix":""},{"dropping-particle":"","family":"Seferin","given":"M","non-dropping-particle":"","parse-names":false,"suffix":""},{"dropping-particle":"V","family":"Chaban","given":"Vitaly","non-dropping-particle":"","parse-names":false,"suffix":""},{"dropping-particle":"","family":"Cabrita","given":"E J","non-dropping-particle":"","parse-names":false,"suffix":""},{"dropping-particle":"","family":"Einloft","given":"S","non-dropping-particle":"","parse-names":false,"suffix":""}],"container-title":"RSC Advances","id":"ITEM-2","issue":"79","issued":{"date-parts":[["2015"]]},"page":"64220-64227","publisher":"The Royal Society of Chemistry","title":"Rationalizing the role of the anion in CO2 capture and conversion using imidazolium-based ionic liquid modified mesoporous silica","type":"article-journal","volume":"5"},"uris":["http://www.mendeley.com/documents/?uuid=7f790484-d64a-4652-83e8-56e03937c333"]}],"mendeley":{"formattedCitation":"[49,50]","plainTextFormattedCitation":"[49,50]","previouslyFormattedCitation":"[49,50]"},"properties":{"noteIndex":0},"schema":"https://github.com/citation-style-language/schema/raw/master/csl-citation.json"}</w:instrText>
      </w:r>
      <w:r w:rsidRPr="00EE5230">
        <w:rPr>
          <w:rFonts w:cs="Arial"/>
        </w:rPr>
        <w:fldChar w:fldCharType="separate"/>
      </w:r>
      <w:r w:rsidRPr="00EE5230">
        <w:rPr>
          <w:rFonts w:cs="Arial"/>
          <w:noProof/>
        </w:rPr>
        <w:t>[49,50]</w:t>
      </w:r>
      <w:r w:rsidRPr="00EE5230">
        <w:rPr>
          <w:rFonts w:cs="Arial"/>
        </w:rPr>
        <w:fldChar w:fldCharType="end"/>
      </w:r>
      <w:r w:rsidRPr="00EE5230">
        <w:rPr>
          <w:rFonts w:cs="Arial"/>
        </w:rPr>
        <w:t xml:space="preserve">   </w:t>
      </w:r>
      <w:bookmarkStart w:id="17" w:name="_Hlk91060418"/>
      <w:r w:rsidRPr="00EE5230">
        <w:rPr>
          <w:rFonts w:cs="Arial"/>
        </w:rPr>
        <w:t>Note that the CO</w:t>
      </w:r>
      <w:r w:rsidRPr="00EE5230">
        <w:rPr>
          <w:rFonts w:cs="Arial"/>
          <w:vertAlign w:val="subscript"/>
        </w:rPr>
        <w:t>2</w:t>
      </w:r>
      <w:r w:rsidRPr="00EE5230">
        <w:rPr>
          <w:rFonts w:cs="Arial"/>
        </w:rPr>
        <w:t xml:space="preserve"> isotherm of PH</w:t>
      </w:r>
      <w:r w:rsidRPr="00EE5230">
        <w:rPr>
          <w:rFonts w:cs="Arial"/>
          <w:vertAlign w:val="subscript"/>
        </w:rPr>
        <w:t>100-OAc</w:t>
      </w:r>
      <w:r w:rsidRPr="00EE5230">
        <w:rPr>
          <w:rFonts w:cs="Arial"/>
        </w:rPr>
        <w:t xml:space="preserve"> measured at 25 °C exhibits pronounced desorption hysteresis and retains 30% of the totally </w:t>
      </w:r>
      <w:proofErr w:type="spellStart"/>
      <w:r w:rsidRPr="00EE5230">
        <w:rPr>
          <w:rFonts w:cs="Arial"/>
        </w:rPr>
        <w:t>sorbed</w:t>
      </w:r>
      <w:proofErr w:type="spellEnd"/>
      <w:r w:rsidRPr="00EE5230">
        <w:rPr>
          <w:rFonts w:cs="Arial"/>
        </w:rPr>
        <w:t xml:space="preserve"> CO</w:t>
      </w:r>
      <w:r w:rsidRPr="00EE5230">
        <w:rPr>
          <w:rFonts w:cs="Arial"/>
          <w:vertAlign w:val="subscript"/>
        </w:rPr>
        <w:t>2</w:t>
      </w:r>
      <w:r w:rsidRPr="00EE5230">
        <w:rPr>
          <w:rFonts w:cs="Arial"/>
        </w:rPr>
        <w:t xml:space="preserve"> at 10 mbar, consistent with the CO</w:t>
      </w:r>
      <w:r w:rsidRPr="00EE5230">
        <w:rPr>
          <w:rFonts w:cs="Arial"/>
          <w:vertAlign w:val="subscript"/>
        </w:rPr>
        <w:t>2</w:t>
      </w:r>
      <w:r w:rsidRPr="00EE5230">
        <w:rPr>
          <w:rFonts w:cs="Arial"/>
        </w:rPr>
        <w:t xml:space="preserve"> sorption profiles observed for poly(imidazolium acetate)</w:t>
      </w:r>
      <w:bookmarkEnd w:id="17"/>
      <w:r w:rsidRPr="00EE5230">
        <w:rPr>
          <w:rFonts w:cs="Arial"/>
        </w:rPr>
        <w:t>.</w:t>
      </w:r>
      <w:r w:rsidRPr="00EE5230">
        <w:rPr>
          <w:rFonts w:cs="Arial"/>
        </w:rPr>
        <w:fldChar w:fldCharType="begin" w:fldLock="1"/>
      </w:r>
      <w:r w:rsidRPr="00EE5230">
        <w:rPr>
          <w:rFonts w:cs="Arial"/>
        </w:rPr>
        <w:instrText>ADDIN CSL_CITATION {"citationItems":[{"id":"ITEM-1","itemData":{"DOI":"https://doi.org/10.1002/cssc.201300120","ISSN":"1864-5631","abstract":"Abstract Solid imidazolium-based poly(ionic liquid)s with variable molecular weights that contain the poly[2-(1-butylimidazolium-3-yl)ethyl methacrylate] (BIEMA) cation and different counter anions were evaluated in terms of CO2 capture and compared with classical ionic liquids with similar counter anions. In addition to poly(ionic liquid)s with often-applied ions such as BF4?, PF6?, NTf2?, trifluoromethanesulfonate (OTf?) and Br?, for the first time [BIEMA][acetate] was synthesised, which revealed a remarkably high CO2 sorption performance that exceeded the poly(ionic liquid)s studied previously on average by a factor of four (12.46?mg?gPIL?1). This study provides an understanding of the factors that affect CO2 sorption and a comparison of the CO2 capture efficiency with the frequently used sorbents. Moreover, all the studied sorbents were reusable if regenerated under carefully selected conditions and can be considered as suitable candidates for CO2 sorption.","author":[{"dropping-particle":"","family":"Privalova","given":"Elena I","non-dropping-particle":"","parse-names":false,"suffix":""},{"dropping-particle":"","family":"Karjalainen","given":"Erno","non-dropping-particle":"","parse-names":false,"suffix":""},{"dropping-particle":"","family":"Nurmi","given":"Mari","non-dropping-particle":"","parse-names":false,"suffix":""},{"dropping-particle":"","family":"Mäki-Arvela","given":"Päivi","non-dropping-particle":"","parse-names":false,"suffix":""},{"dropping-particle":"","family":"Eränen","given":"Kari","non-dropping-particle":"","parse-names":false,"suffix":""},{"dropping-particle":"","family":"Tenhu","given":"Heikki","non-dropping-particle":"","parse-names":false,"suffix":""},{"dropping-particle":"","family":"Murzin","given":"Dmitry Yu.","non-dropping-particle":"","parse-names":false,"suffix":""},{"dropping-particle":"","family":"Mikkola","given":"Jyri-Pekka","non-dropping-particle":"","parse-names":false,"suffix":""}],"container-title":"ChemSusChem","id":"ITEM-1","issue":"8","issued":{"date-parts":[["2013","8","1"]]},"note":"https://doi.org/10.1002/cssc.201300120","page":"1500-1509","publisher":"John Wiley &amp; Sons, Ltd","title":"Imidazolium-Based Poly(ionic liquid)s as New Alternatives for CO2 Capture","type":"article-journal","volume":"6"},"uris":["http://www.mendeley.com/documents/?uuid=0b98fc21-3e3c-4f68-b313-0bddcc39429e"]}],"mendeley":{"formattedCitation":"[49]","plainTextFormattedCitation":"[49]","previouslyFormattedCitation":"[49]"},"properties":{"noteIndex":0},"schema":"https://github.com/citation-style-language/schema/raw/master/csl-citation.json"}</w:instrText>
      </w:r>
      <w:r w:rsidRPr="00EE5230">
        <w:rPr>
          <w:rFonts w:cs="Arial"/>
        </w:rPr>
        <w:fldChar w:fldCharType="separate"/>
      </w:r>
      <w:r w:rsidRPr="00EE5230">
        <w:rPr>
          <w:rFonts w:cs="Arial"/>
          <w:noProof/>
        </w:rPr>
        <w:t>[49]</w:t>
      </w:r>
      <w:r w:rsidRPr="00EE5230">
        <w:rPr>
          <w:rFonts w:cs="Arial"/>
        </w:rPr>
        <w:fldChar w:fldCharType="end"/>
      </w:r>
      <w:r w:rsidRPr="00EE5230">
        <w:rPr>
          <w:rFonts w:cs="Arial"/>
        </w:rPr>
        <w:t xml:space="preserve"> This suggests strong interactions with CO</w:t>
      </w:r>
      <w:r w:rsidRPr="00EE5230">
        <w:rPr>
          <w:rFonts w:cs="Arial"/>
          <w:vertAlign w:val="subscript"/>
        </w:rPr>
        <w:t>2</w:t>
      </w:r>
      <w:r w:rsidRPr="00EE5230">
        <w:rPr>
          <w:rFonts w:cs="Arial"/>
        </w:rPr>
        <w:t>, which could be due to the carboxylation of imidazolium as demonstrated for ILs.</w:t>
      </w:r>
      <w:r w:rsidRPr="00EE5230">
        <w:rPr>
          <w:rFonts w:cs="Arial"/>
        </w:rPr>
        <w:fldChar w:fldCharType="begin" w:fldLock="1"/>
      </w:r>
      <w:r w:rsidRPr="00EE5230">
        <w:rPr>
          <w:rFonts w:cs="Arial"/>
        </w:rPr>
        <w:instrText>ADDIN CSL_CITATION {"citationItems":[{"id":"ITEM-1","itemData":{"DOI":"10.1039/C1CC16702B","ISSN":"1359-7345","abstract":"The formation of 1-butyl-3-methylimidazolium-2-carboxylate in the mixture of CO2 with 1-butyl-3-methylimidazolium acetate under mild conditions (298 K, 0.1 MPa) has been put in evidence in the liquid phase using Raman and infrared spectroscopy complemented by DFT calculations and NMR (1H, 13C, 15N) spectroscopy.","author":[{"dropping-particle":"","family":"Besnard","given":"Marcel","non-dropping-particle":"","parse-names":false,"suffix":""},{"dropping-particle":"","family":"Cabaço","given":"M Isabel","non-dropping-particle":"","parse-names":false,"suffix":""},{"dropping-particle":"","family":"Chávez","given":"Fabián Vaca","non-dropping-particle":"","parse-names":false,"suffix":""},{"dropping-particle":"","family":"Pinaud","given":"Noël","non-dropping-particle":"","parse-names":false,"suffix":""},{"dropping-particle":"","family":"Sebastião","given":"Pedro J","non-dropping-particle":"","parse-names":false,"suffix":""},{"dropping-particle":"","family":"Coutinho","given":"João A P","non-dropping-particle":"","parse-names":false,"suffix":""},{"dropping-particle":"","family":"Danten","given":"Yann","non-dropping-particle":"","parse-names":false,"suffix":""}],"container-title":"Chemical Communications","id":"ITEM-1","issue":"9","issued":{"date-parts":[["2012"]]},"page":"1245-1247","publisher":"The Royal Society of Chemistry","title":"On the spontaneous carboxylation of 1-butyl-3-methylimidazolium acetate by carbon dioxide","type":"article-journal","volume":"48"},"uris":["http://www.mendeley.com/documents/?uuid=84432a51-986c-4045-9e4a-1802b57b2549"]}],"mendeley":{"formattedCitation":"[51]","plainTextFormattedCitation":"[51]","previouslyFormattedCitation":"[51]"},"properties":{"noteIndex":0},"schema":"https://github.com/citation-style-language/schema/raw/master/csl-citation.json"}</w:instrText>
      </w:r>
      <w:r w:rsidRPr="00EE5230">
        <w:rPr>
          <w:rFonts w:cs="Arial"/>
        </w:rPr>
        <w:fldChar w:fldCharType="separate"/>
      </w:r>
      <w:r w:rsidRPr="00EE5230">
        <w:rPr>
          <w:rFonts w:cs="Arial"/>
          <w:noProof/>
        </w:rPr>
        <w:t>[51]</w:t>
      </w:r>
      <w:r w:rsidRPr="00EE5230">
        <w:rPr>
          <w:rFonts w:cs="Arial"/>
        </w:rPr>
        <w:fldChar w:fldCharType="end"/>
      </w:r>
    </w:p>
    <w:p w14:paraId="40BDA02D" w14:textId="77777777" w:rsidR="00EE5230" w:rsidRPr="00EE5230" w:rsidRDefault="00EE5230" w:rsidP="00EE5230">
      <w:pPr>
        <w:spacing w:after="120"/>
        <w:rPr>
          <w:rFonts w:cs="Arial"/>
        </w:rPr>
      </w:pPr>
      <w:r w:rsidRPr="00EE5230">
        <w:rPr>
          <w:rFonts w:cs="Arial"/>
        </w:rPr>
        <w:t>The influence of the counter anion is also very clear in the case of the bifunctional amine/imidazolium PHs. The TFSI-based bifunctional PHs provide much higher CO</w:t>
      </w:r>
      <w:r w:rsidRPr="00EE5230">
        <w:rPr>
          <w:rFonts w:cs="Arial"/>
          <w:vertAlign w:val="subscript"/>
        </w:rPr>
        <w:t>2</w:t>
      </w:r>
      <w:r w:rsidRPr="00EE5230">
        <w:rPr>
          <w:rFonts w:cs="Arial"/>
        </w:rPr>
        <w:t xml:space="preserve"> sorption capacities than their pure imidazolium counterpart, with PH</w:t>
      </w:r>
      <w:r w:rsidRPr="00EE5230">
        <w:rPr>
          <w:rFonts w:cs="Arial"/>
          <w:vertAlign w:val="subscript"/>
        </w:rPr>
        <w:t>11-TFSI</w:t>
      </w:r>
      <w:r w:rsidRPr="00EE5230">
        <w:rPr>
          <w:rFonts w:cs="Arial"/>
        </w:rPr>
        <w:t xml:space="preserve"> having the highest CO</w:t>
      </w:r>
      <w:r w:rsidRPr="00EE5230">
        <w:rPr>
          <w:rFonts w:cs="Arial"/>
          <w:vertAlign w:val="subscript"/>
        </w:rPr>
        <w:t>2</w:t>
      </w:r>
      <w:r w:rsidRPr="00EE5230">
        <w:rPr>
          <w:rFonts w:cs="Arial"/>
        </w:rPr>
        <w:t xml:space="preserve"> uptake of 2 </w:t>
      </w:r>
      <w:proofErr w:type="gramStart"/>
      <w:r w:rsidRPr="00EE5230">
        <w:rPr>
          <w:rFonts w:cs="Arial"/>
        </w:rPr>
        <w:t>mmol.g</w:t>
      </w:r>
      <w:proofErr w:type="gramEnd"/>
      <w:r w:rsidRPr="00EE5230">
        <w:rPr>
          <w:rFonts w:cs="Arial"/>
          <w:vertAlign w:val="superscript"/>
        </w:rPr>
        <w:t>-1</w:t>
      </w:r>
      <w:r w:rsidRPr="00EE5230">
        <w:rPr>
          <w:rFonts w:cs="Arial"/>
        </w:rPr>
        <w:t>, slightly higher than PH</w:t>
      </w:r>
      <w:r w:rsidRPr="00EE5230">
        <w:rPr>
          <w:rFonts w:cs="Arial"/>
          <w:vertAlign w:val="subscript"/>
        </w:rPr>
        <w:t>33-TFSI</w:t>
      </w:r>
      <w:r w:rsidRPr="00EE5230">
        <w:rPr>
          <w:rFonts w:cs="Arial"/>
        </w:rPr>
        <w:t xml:space="preserve"> with 1.8 mmol.g</w:t>
      </w:r>
      <w:r w:rsidRPr="00EE5230">
        <w:rPr>
          <w:rFonts w:cs="Arial"/>
          <w:vertAlign w:val="superscript"/>
        </w:rPr>
        <w:t>-1</w:t>
      </w:r>
      <w:r w:rsidRPr="00EE5230">
        <w:rPr>
          <w:rFonts w:cs="Arial"/>
        </w:rPr>
        <w:t>. CO</w:t>
      </w:r>
      <w:r w:rsidRPr="00EE5230">
        <w:rPr>
          <w:rFonts w:cs="Arial"/>
          <w:vertAlign w:val="subscript"/>
        </w:rPr>
        <w:t>2</w:t>
      </w:r>
      <w:r w:rsidRPr="00EE5230">
        <w:rPr>
          <w:rFonts w:cs="Arial"/>
        </w:rPr>
        <w:t xml:space="preserve"> affinity also increases with the amine content, suggesting that the amine is an important contributor to the CO</w:t>
      </w:r>
      <w:r w:rsidRPr="00EE5230">
        <w:rPr>
          <w:rFonts w:cs="Arial"/>
          <w:vertAlign w:val="subscript"/>
        </w:rPr>
        <w:t>2</w:t>
      </w:r>
      <w:r w:rsidRPr="00EE5230">
        <w:rPr>
          <w:rFonts w:cs="Arial"/>
        </w:rPr>
        <w:t xml:space="preserve"> sorption process. Evidence for the latter is that in the case of PH</w:t>
      </w:r>
      <w:r w:rsidRPr="00EE5230">
        <w:rPr>
          <w:rFonts w:cs="Arial"/>
          <w:vertAlign w:val="subscript"/>
        </w:rPr>
        <w:t>11-TFSI</w:t>
      </w:r>
      <w:r w:rsidRPr="00EE5230">
        <w:rPr>
          <w:rFonts w:cs="Arial"/>
        </w:rPr>
        <w:t>, which has the highest amount of amine functions, almost 75% of CO</w:t>
      </w:r>
      <w:r w:rsidRPr="00EE5230">
        <w:rPr>
          <w:rFonts w:cs="Arial"/>
          <w:vertAlign w:val="subscript"/>
        </w:rPr>
        <w:t>2</w:t>
      </w:r>
      <w:r w:rsidRPr="00EE5230">
        <w:rPr>
          <w:rFonts w:cs="Arial"/>
        </w:rPr>
        <w:t xml:space="preserve"> was retained during the desorption process (Figure 3a), likely due to extensive chemisorption through the formation of carbamic acid by reaction between an amine and CO</w:t>
      </w:r>
      <w:r w:rsidRPr="00EE5230">
        <w:rPr>
          <w:rFonts w:cs="Arial"/>
          <w:vertAlign w:val="subscript"/>
        </w:rPr>
        <w:t>2</w:t>
      </w:r>
      <w:r w:rsidRPr="00EE5230">
        <w:rPr>
          <w:rFonts w:cs="Arial"/>
        </w:rPr>
        <w:t>.</w:t>
      </w:r>
      <w:r w:rsidRPr="00EE5230">
        <w:rPr>
          <w:rFonts w:cs="Arial"/>
        </w:rPr>
        <w:fldChar w:fldCharType="begin" w:fldLock="1"/>
      </w:r>
      <w:r w:rsidRPr="00EE5230">
        <w:rPr>
          <w:rFonts w:cs="Arial"/>
        </w:rPr>
        <w:instrText>ADDIN CSL_CITATION {"citationItems":[{"id":"ITEM-1","itemData":{"DOI":"10.1021/jp810564z","ISSN":"1089-5639","author":[{"dropping-particle":"","family":"McCann","given":"Nichola","non-dropping-particle":"","parse-names":false,"suffix":""},{"dropping-particle":"","family":"Phan","given":"Duong","non-dropping-particle":"","parse-names":false,"suffix":""},{"dropping-particle":"","family":"Wang","given":"Xiaoguang","non-dropping-particle":"","parse-names":false,"suffix":""},{"dropping-particle":"","family":"Conway","given":"William","non-dropping-particle":"","parse-names":false,"suffix":""},{"dropping-particle":"","family":"Burns","given":"Robert","non-dropping-particle":"","parse-names":false,"suffix":""},{"dropping-particle":"","family":"Attalla","given":"Moetaz","non-dropping-particle":"","parse-names":false,"suffix":""},{"dropping-particle":"","family":"Puxty","given":"Graeme","non-dropping-particle":"","parse-names":false,"suffix":""},{"dropping-particle":"","family":"Maeder","given":"Marcel","non-dropping-particle":"","parse-names":false,"suffix":""}],"container-title":"The Journal of Physical Chemistry A","id":"ITEM-1","issue":"17","issued":{"date-parts":[["2009","4","30"]]},"note":"doi: 10.1021/jp810564z","page":"5022-5029","publisher":"American Chemical Society","title":"Kinetics and Mechanism of Carbamate Formation from CO2(aq), Carbonate Species, and Monoethanolamine in Aqueous Solution","type":"article-journal","volume":"113"},"uris":["http://www.mendeley.com/documents/?uuid=ea77e3c4-d10e-466e-8b40-624d6cbf4c47"]}],"mendeley":{"formattedCitation":"[52]","plainTextFormattedCitation":"[52]","previouslyFormattedCitation":"[52]"},"properties":{"noteIndex":0},"schema":"https://github.com/citation-style-language/schema/raw/master/csl-citation.json"}</w:instrText>
      </w:r>
      <w:r w:rsidRPr="00EE5230">
        <w:rPr>
          <w:rFonts w:cs="Arial"/>
        </w:rPr>
        <w:fldChar w:fldCharType="separate"/>
      </w:r>
      <w:r w:rsidRPr="00EE5230">
        <w:rPr>
          <w:rFonts w:cs="Arial"/>
          <w:noProof/>
        </w:rPr>
        <w:t>[52]</w:t>
      </w:r>
      <w:r w:rsidRPr="00EE5230">
        <w:rPr>
          <w:rFonts w:cs="Arial"/>
        </w:rPr>
        <w:fldChar w:fldCharType="end"/>
      </w:r>
      <w:r w:rsidRPr="00EE5230">
        <w:rPr>
          <w:rFonts w:cs="Arial"/>
        </w:rPr>
        <w:t xml:space="preserve"> </w:t>
      </w:r>
      <w:bookmarkStart w:id="18" w:name="_Hlk91063787"/>
      <w:r w:rsidRPr="00EE5230">
        <w:rPr>
          <w:rFonts w:cs="Arial"/>
        </w:rPr>
        <w:t>PH</w:t>
      </w:r>
      <w:r w:rsidRPr="00EE5230">
        <w:rPr>
          <w:rFonts w:cs="Arial"/>
          <w:vertAlign w:val="subscript"/>
        </w:rPr>
        <w:t>33-TFSI</w:t>
      </w:r>
      <w:r w:rsidRPr="00EE5230">
        <w:rPr>
          <w:rFonts w:cs="Arial"/>
        </w:rPr>
        <w:t>, which contains</w:t>
      </w:r>
      <w:bookmarkEnd w:id="18"/>
      <w:r w:rsidRPr="00EE5230">
        <w:rPr>
          <w:rFonts w:cs="Arial"/>
        </w:rPr>
        <w:t xml:space="preserve"> smaller</w:t>
      </w:r>
      <w:r w:rsidRPr="00EE5230" w:rsidDel="003A3E72">
        <w:rPr>
          <w:rFonts w:cs="Arial"/>
        </w:rPr>
        <w:t xml:space="preserve"> </w:t>
      </w:r>
      <w:r w:rsidRPr="00EE5230">
        <w:rPr>
          <w:rFonts w:cs="Arial"/>
        </w:rPr>
        <w:t>amount of amine than PH</w:t>
      </w:r>
      <w:r w:rsidRPr="00EE5230">
        <w:rPr>
          <w:rFonts w:cs="Arial"/>
          <w:vertAlign w:val="subscript"/>
        </w:rPr>
        <w:t>11-TFSI</w:t>
      </w:r>
      <w:r w:rsidRPr="00EE5230">
        <w:rPr>
          <w:rFonts w:cs="Arial"/>
        </w:rPr>
        <w:t>, retained less CO</w:t>
      </w:r>
      <w:r w:rsidRPr="00EE5230">
        <w:rPr>
          <w:rFonts w:cs="Arial"/>
          <w:vertAlign w:val="subscript"/>
        </w:rPr>
        <w:t>2</w:t>
      </w:r>
      <w:r w:rsidRPr="00EE5230">
        <w:rPr>
          <w:rFonts w:cs="Arial"/>
        </w:rPr>
        <w:t xml:space="preserve"> during depressurization, about 40%. </w:t>
      </w:r>
      <w:proofErr w:type="gramStart"/>
      <w:r w:rsidRPr="00EE5230">
        <w:rPr>
          <w:rFonts w:cs="Arial"/>
        </w:rPr>
        <w:t>In order to</w:t>
      </w:r>
      <w:proofErr w:type="gramEnd"/>
      <w:r w:rsidRPr="00EE5230">
        <w:rPr>
          <w:rFonts w:cs="Arial"/>
        </w:rPr>
        <w:t xml:space="preserve"> determine the strength of the interaction between CO</w:t>
      </w:r>
      <w:r w:rsidRPr="00EE5230">
        <w:rPr>
          <w:rFonts w:cs="Arial"/>
          <w:vertAlign w:val="subscript"/>
        </w:rPr>
        <w:t>2</w:t>
      </w:r>
      <w:r w:rsidRPr="00EE5230">
        <w:rPr>
          <w:rFonts w:cs="Arial"/>
        </w:rPr>
        <w:t xml:space="preserve"> molecules and the</w:t>
      </w:r>
      <w:r w:rsidRPr="00EE5230" w:rsidDel="003A3E72">
        <w:rPr>
          <w:rFonts w:cs="Arial"/>
        </w:rPr>
        <w:t xml:space="preserve"> </w:t>
      </w:r>
      <w:r w:rsidRPr="00EE5230">
        <w:rPr>
          <w:rFonts w:cs="Arial"/>
        </w:rPr>
        <w:t>PHs, the isosteric heat of sorption was calculated using Clausius-Clapeyron equation.</w:t>
      </w:r>
      <w:r w:rsidRPr="00EE5230" w:rsidDel="003A3E72">
        <w:rPr>
          <w:rFonts w:cs="Arial"/>
        </w:rPr>
        <w:t xml:space="preserve"> </w:t>
      </w:r>
      <w:r w:rsidRPr="00EE5230">
        <w:rPr>
          <w:rFonts w:cs="Arial"/>
        </w:rPr>
        <w:t>The PH</w:t>
      </w:r>
      <w:r w:rsidRPr="00EE5230">
        <w:rPr>
          <w:rFonts w:cs="Arial"/>
          <w:vertAlign w:val="subscript"/>
        </w:rPr>
        <w:t>11-TFSI</w:t>
      </w:r>
      <w:r w:rsidRPr="00EE5230">
        <w:rPr>
          <w:rFonts w:cs="Arial"/>
        </w:rPr>
        <w:t xml:space="preserve"> and PH</w:t>
      </w:r>
      <w:r w:rsidRPr="00EE5230">
        <w:rPr>
          <w:rFonts w:cs="Arial"/>
          <w:vertAlign w:val="subscript"/>
        </w:rPr>
        <w:t>33-TFSI</w:t>
      </w:r>
      <w:r w:rsidRPr="00EE5230">
        <w:rPr>
          <w:rFonts w:cs="Arial"/>
        </w:rPr>
        <w:t xml:space="preserve"> exhibit enthalpy of sorption of about 70-60 kJ/mol at low surface coverage, which is typical for covalent interactions between CO</w:t>
      </w:r>
      <w:r w:rsidRPr="00EE5230">
        <w:rPr>
          <w:rFonts w:cs="Arial"/>
          <w:vertAlign w:val="subscript"/>
        </w:rPr>
        <w:t>2</w:t>
      </w:r>
      <w:r w:rsidRPr="00EE5230">
        <w:rPr>
          <w:rFonts w:cs="Arial"/>
        </w:rPr>
        <w:t xml:space="preserve"> and amine (Figure S12). This value decreases to 25-30 kJ/mol at higher surface coverages, indicating that the primary sorption sites are rapidly saturated with the gradual increase in CO</w:t>
      </w:r>
      <w:r w:rsidRPr="00EE5230">
        <w:rPr>
          <w:rFonts w:cs="Arial"/>
          <w:vertAlign w:val="subscript"/>
        </w:rPr>
        <w:t>2</w:t>
      </w:r>
      <w:r w:rsidRPr="00EE5230">
        <w:rPr>
          <w:rFonts w:cs="Arial"/>
        </w:rPr>
        <w:t xml:space="preserve"> loading. Interestingly, the CO</w:t>
      </w:r>
      <w:r w:rsidRPr="00EE5230">
        <w:rPr>
          <w:rFonts w:cs="Arial"/>
          <w:vertAlign w:val="subscript"/>
        </w:rPr>
        <w:t>2</w:t>
      </w:r>
      <w:r w:rsidRPr="00EE5230">
        <w:rPr>
          <w:rFonts w:cs="Arial"/>
        </w:rPr>
        <w:t xml:space="preserve"> sorption capacities of the bifunctional PHs were much higher when TFSI was used as </w:t>
      </w:r>
      <w:proofErr w:type="spellStart"/>
      <w:r w:rsidRPr="00EE5230">
        <w:rPr>
          <w:rFonts w:cs="Arial"/>
        </w:rPr>
        <w:t>counteranion</w:t>
      </w:r>
      <w:proofErr w:type="spellEnd"/>
      <w:r w:rsidRPr="00EE5230">
        <w:rPr>
          <w:rFonts w:cs="Arial"/>
        </w:rPr>
        <w:t xml:space="preserve"> rather than acetate (PH</w:t>
      </w:r>
      <w:r w:rsidRPr="00EE5230">
        <w:rPr>
          <w:rFonts w:cs="Arial"/>
          <w:vertAlign w:val="subscript"/>
        </w:rPr>
        <w:t xml:space="preserve">11-TFSI </w:t>
      </w:r>
      <w:r w:rsidRPr="00EE5230">
        <w:rPr>
          <w:rFonts w:cs="Arial"/>
        </w:rPr>
        <w:t>&gt; PH</w:t>
      </w:r>
      <w:r w:rsidRPr="00EE5230">
        <w:rPr>
          <w:rFonts w:cs="Arial"/>
          <w:vertAlign w:val="subscript"/>
        </w:rPr>
        <w:t xml:space="preserve">11-OAc </w:t>
      </w:r>
      <w:r w:rsidRPr="00EE5230">
        <w:rPr>
          <w:rFonts w:cs="Arial"/>
        </w:rPr>
        <w:t>and PH</w:t>
      </w:r>
      <w:r w:rsidRPr="00EE5230">
        <w:rPr>
          <w:rFonts w:cs="Arial"/>
          <w:vertAlign w:val="subscript"/>
        </w:rPr>
        <w:t xml:space="preserve">33-TFSI </w:t>
      </w:r>
      <w:r w:rsidRPr="00EE5230">
        <w:rPr>
          <w:rFonts w:cs="Arial"/>
        </w:rPr>
        <w:t>&gt; PH</w:t>
      </w:r>
      <w:r w:rsidRPr="00EE5230">
        <w:rPr>
          <w:rFonts w:cs="Arial"/>
          <w:vertAlign w:val="subscript"/>
        </w:rPr>
        <w:t>33-OAc</w:t>
      </w:r>
      <w:r w:rsidRPr="00EE5230">
        <w:rPr>
          <w:rFonts w:cs="Arial"/>
        </w:rPr>
        <w:t xml:space="preserve">). An explanation for this is that the fluorinated TFSI </w:t>
      </w:r>
      <w:proofErr w:type="spellStart"/>
      <w:r w:rsidRPr="00EE5230">
        <w:rPr>
          <w:rFonts w:cs="Arial"/>
        </w:rPr>
        <w:t>counteranions</w:t>
      </w:r>
      <w:proofErr w:type="spellEnd"/>
      <w:r w:rsidRPr="00EE5230">
        <w:rPr>
          <w:rFonts w:cs="Arial"/>
        </w:rPr>
        <w:t xml:space="preserve"> make the polymer network somewhat more hydrophobic and CO</w:t>
      </w:r>
      <w:r w:rsidRPr="00EE5230">
        <w:rPr>
          <w:rFonts w:cs="Arial"/>
          <w:vertAlign w:val="subscript"/>
        </w:rPr>
        <w:t>2</w:t>
      </w:r>
      <w:r w:rsidRPr="00EE5230">
        <w:rPr>
          <w:rFonts w:cs="Arial"/>
        </w:rPr>
        <w:t xml:space="preserve">-philic compared to </w:t>
      </w:r>
      <w:proofErr w:type="spellStart"/>
      <w:r w:rsidRPr="00EE5230">
        <w:rPr>
          <w:rFonts w:cs="Arial"/>
        </w:rPr>
        <w:t>OAc</w:t>
      </w:r>
      <w:proofErr w:type="spellEnd"/>
      <w:r w:rsidRPr="00EE5230">
        <w:rPr>
          <w:rFonts w:cs="Arial"/>
        </w:rPr>
        <w:t>, facilitating the diffusion of CO</w:t>
      </w:r>
      <w:r w:rsidRPr="00EE5230">
        <w:rPr>
          <w:rFonts w:cs="Arial"/>
          <w:vertAlign w:val="subscript"/>
        </w:rPr>
        <w:t>2</w:t>
      </w:r>
      <w:r w:rsidRPr="00EE5230">
        <w:rPr>
          <w:rFonts w:cs="Arial"/>
        </w:rPr>
        <w:t xml:space="preserve"> in the void-walls of the PHs. </w:t>
      </w:r>
    </w:p>
    <w:p w14:paraId="45B6AA06" w14:textId="77777777" w:rsidR="00EE5230" w:rsidRPr="00EE5230" w:rsidRDefault="00EE5230" w:rsidP="00EE5230">
      <w:pPr>
        <w:spacing w:after="120"/>
        <w:rPr>
          <w:rFonts w:cs="Arial"/>
        </w:rPr>
      </w:pPr>
      <w:r w:rsidRPr="00EE5230">
        <w:rPr>
          <w:rFonts w:cs="Arial"/>
        </w:rPr>
        <w:t>Since these bifunctional PH</w:t>
      </w:r>
      <w:r w:rsidRPr="00EE5230">
        <w:rPr>
          <w:rFonts w:cs="Arial"/>
          <w:vertAlign w:val="subscript"/>
        </w:rPr>
        <w:t>TFSI</w:t>
      </w:r>
      <w:r w:rsidRPr="00EE5230">
        <w:rPr>
          <w:rFonts w:cs="Arial"/>
        </w:rPr>
        <w:t xml:space="preserve"> materials have a low to moderate degree of crosslinking and TFSI content, this occurs without the detrimental steric hindrance from the anion encountered for PH</w:t>
      </w:r>
      <w:r w:rsidRPr="00EE5230">
        <w:rPr>
          <w:rFonts w:cs="Arial"/>
          <w:vertAlign w:val="subscript"/>
        </w:rPr>
        <w:t>100-TFSI</w:t>
      </w:r>
      <w:r w:rsidRPr="00EE5230">
        <w:rPr>
          <w:rFonts w:cs="Arial"/>
        </w:rPr>
        <w:t>. The CO</w:t>
      </w:r>
      <w:r w:rsidRPr="00EE5230">
        <w:rPr>
          <w:rFonts w:cs="Arial"/>
          <w:vertAlign w:val="subscript"/>
        </w:rPr>
        <w:t>2</w:t>
      </w:r>
      <w:r w:rsidRPr="00EE5230">
        <w:rPr>
          <w:rFonts w:cs="Arial"/>
        </w:rPr>
        <w:t xml:space="preserve"> sorption capacity of the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xml:space="preserve"> was further investigated at higher isothermal temperature up to 50 °C (Figure S13). The CO</w:t>
      </w:r>
      <w:r w:rsidRPr="00EE5230">
        <w:rPr>
          <w:rFonts w:cs="Arial"/>
          <w:vertAlign w:val="subscript"/>
        </w:rPr>
        <w:t>2</w:t>
      </w:r>
      <w:r w:rsidRPr="00EE5230">
        <w:rPr>
          <w:rFonts w:cs="Arial"/>
        </w:rPr>
        <w:t xml:space="preserve"> sorption capacity of both materials was almost completely preserved in an entire </w:t>
      </w:r>
      <w:r w:rsidRPr="00EE5230">
        <w:rPr>
          <w:rFonts w:cs="Arial"/>
        </w:rPr>
        <w:lastRenderedPageBreak/>
        <w:t xml:space="preserve">temperature range, i.e., between 25 °C and 50 °C (Figure 4a), which is very promising for a real-life PCC application.  </w:t>
      </w:r>
    </w:p>
    <w:p w14:paraId="0BA5938E" w14:textId="77777777" w:rsidR="00EE5230" w:rsidRPr="00EE5230" w:rsidRDefault="00EE5230" w:rsidP="00EE5230">
      <w:pPr>
        <w:spacing w:after="120"/>
        <w:rPr>
          <w:rFonts w:cs="Arial"/>
        </w:rPr>
      </w:pPr>
      <w:r w:rsidRPr="00EE5230">
        <w:rPr>
          <w:rFonts w:cs="Arial"/>
        </w:rPr>
        <w:t>The CO</w:t>
      </w:r>
      <w:r w:rsidRPr="00EE5230">
        <w:rPr>
          <w:rFonts w:cs="Arial"/>
          <w:vertAlign w:val="subscript"/>
        </w:rPr>
        <w:t xml:space="preserve">2 </w:t>
      </w:r>
      <w:r w:rsidRPr="00EE5230">
        <w:rPr>
          <w:rFonts w:cs="Arial"/>
        </w:rPr>
        <w:t>capture performance of the most promising materials of this study, namely PH</w:t>
      </w:r>
      <w:r w:rsidRPr="00EE5230">
        <w:rPr>
          <w:rFonts w:cs="Arial"/>
          <w:vertAlign w:val="subscript"/>
        </w:rPr>
        <w:t>11-TFSI</w:t>
      </w:r>
      <w:r w:rsidRPr="00EE5230">
        <w:rPr>
          <w:rFonts w:cs="Arial"/>
        </w:rPr>
        <w:t xml:space="preserve"> and PH</w:t>
      </w:r>
      <w:r w:rsidRPr="00EE5230">
        <w:rPr>
          <w:rFonts w:cs="Arial"/>
          <w:vertAlign w:val="subscript"/>
        </w:rPr>
        <w:t>33-TFSI</w:t>
      </w:r>
      <w:r w:rsidRPr="00EE5230">
        <w:rPr>
          <w:rFonts w:cs="Arial"/>
        </w:rPr>
        <w:t xml:space="preserve">, were benchmarked with those of previously reported </w:t>
      </w:r>
      <w:proofErr w:type="spellStart"/>
      <w:r w:rsidRPr="00EE5230">
        <w:rPr>
          <w:rFonts w:cs="Arial"/>
        </w:rPr>
        <w:t>polyHIPEs</w:t>
      </w:r>
      <w:proofErr w:type="spellEnd"/>
      <w:r w:rsidRPr="00EE5230">
        <w:rPr>
          <w:rFonts w:cs="Arial"/>
        </w:rPr>
        <w:t xml:space="preserve"> that also beneficiate from the high flow through properties of their </w:t>
      </w:r>
      <w:proofErr w:type="spellStart"/>
      <w:r w:rsidRPr="00EE5230">
        <w:rPr>
          <w:rFonts w:cs="Arial"/>
        </w:rPr>
        <w:t>macroporosity</w:t>
      </w:r>
      <w:proofErr w:type="spellEnd"/>
      <w:r w:rsidRPr="00EE5230">
        <w:rPr>
          <w:rFonts w:cs="Arial"/>
        </w:rPr>
        <w:t>. Despite their negligible N</w:t>
      </w:r>
      <w:r w:rsidRPr="00EE5230">
        <w:rPr>
          <w:rFonts w:cs="Arial"/>
          <w:vertAlign w:val="subscript"/>
        </w:rPr>
        <w:t>2</w:t>
      </w:r>
      <w:r w:rsidRPr="00EE5230">
        <w:rPr>
          <w:rFonts w:cs="Arial"/>
        </w:rPr>
        <w:t>-detectable BET surface areas (Table S3), it is worth noting that PH</w:t>
      </w:r>
      <w:r w:rsidRPr="00EE5230">
        <w:rPr>
          <w:rFonts w:cs="Arial"/>
          <w:vertAlign w:val="subscript"/>
        </w:rPr>
        <w:t>11-TFSI</w:t>
      </w:r>
      <w:r w:rsidRPr="00EE5230">
        <w:rPr>
          <w:rFonts w:cs="Arial"/>
        </w:rPr>
        <w:t xml:space="preserve"> and PH</w:t>
      </w:r>
      <w:r w:rsidRPr="00EE5230">
        <w:rPr>
          <w:rFonts w:cs="Arial"/>
          <w:vertAlign w:val="subscript"/>
        </w:rPr>
        <w:t>33-TFSI</w:t>
      </w:r>
      <w:r w:rsidRPr="00EE5230">
        <w:rPr>
          <w:rFonts w:cs="Arial"/>
        </w:rPr>
        <w:t xml:space="preserve"> exhibit CO</w:t>
      </w:r>
      <w:r w:rsidRPr="00EE5230">
        <w:rPr>
          <w:rFonts w:cs="Arial"/>
          <w:vertAlign w:val="subscript"/>
        </w:rPr>
        <w:t>2</w:t>
      </w:r>
      <w:r w:rsidRPr="00EE5230">
        <w:rPr>
          <w:rFonts w:cs="Arial"/>
        </w:rPr>
        <w:t xml:space="preserve"> capture rivalling that of porous poly(imidazolium)s and amine-based PHs, including organic-inorganic hybrid materials with much larger specific surface areas (Table S4). Such a comparison further supports the great interest of combining imidazolium and amine within porous structures for this application.</w:t>
      </w:r>
    </w:p>
    <w:p w14:paraId="6A1A6D39" w14:textId="77777777" w:rsidR="00EE5230" w:rsidRPr="00EE5230" w:rsidRDefault="00EE5230" w:rsidP="00EE5230">
      <w:pPr>
        <w:spacing w:after="120"/>
        <w:rPr>
          <w:rFonts w:cs="Arial"/>
        </w:rPr>
      </w:pPr>
      <w:r w:rsidRPr="00EE5230">
        <w:rPr>
          <w:rFonts w:cs="Arial"/>
        </w:rPr>
        <w:t>Finally, the reference material PH</w:t>
      </w:r>
      <w:r w:rsidRPr="00EE5230">
        <w:rPr>
          <w:rFonts w:cs="Arial"/>
          <w:vertAlign w:val="subscript"/>
        </w:rPr>
        <w:t xml:space="preserve">0, </w:t>
      </w:r>
      <w:r w:rsidRPr="00EE5230">
        <w:rPr>
          <w:rFonts w:cs="Arial"/>
        </w:rPr>
        <w:t>deprived of imidazolium groups and composed only of amine functions, exhibits a very low CO</w:t>
      </w:r>
      <w:r w:rsidRPr="00EE5230">
        <w:rPr>
          <w:rFonts w:cs="Arial"/>
          <w:vertAlign w:val="subscript"/>
        </w:rPr>
        <w:t>2</w:t>
      </w:r>
      <w:r w:rsidRPr="00EE5230">
        <w:rPr>
          <w:rFonts w:cs="Arial"/>
        </w:rPr>
        <w:t xml:space="preserve"> uptake (0.09 </w:t>
      </w:r>
      <w:proofErr w:type="gramStart"/>
      <w:r w:rsidRPr="00EE5230">
        <w:rPr>
          <w:rFonts w:cs="Arial"/>
        </w:rPr>
        <w:t>mmol.g</w:t>
      </w:r>
      <w:proofErr w:type="gramEnd"/>
      <w:r w:rsidRPr="00EE5230">
        <w:rPr>
          <w:rFonts w:cs="Arial"/>
          <w:vertAlign w:val="superscript"/>
        </w:rPr>
        <w:t>-1</w:t>
      </w:r>
      <w:r w:rsidRPr="00EE5230">
        <w:rPr>
          <w:rFonts w:cs="Arial"/>
        </w:rPr>
        <w:t>, Figure 3a, Table S3 entry 7). Again, this further highlights the synergy between the amine and imidazolium functions in the CO</w:t>
      </w:r>
      <w:r w:rsidRPr="00EE5230">
        <w:rPr>
          <w:rFonts w:cs="Arial"/>
          <w:vertAlign w:val="subscript"/>
        </w:rPr>
        <w:t>2</w:t>
      </w:r>
      <w:r w:rsidRPr="00EE5230">
        <w:rPr>
          <w:rFonts w:cs="Arial"/>
        </w:rPr>
        <w:t xml:space="preserve"> sorption process of the bifunctional materials (PH</w:t>
      </w:r>
      <w:r w:rsidRPr="00EE5230">
        <w:rPr>
          <w:rFonts w:cs="Arial"/>
          <w:vertAlign w:val="subscript"/>
        </w:rPr>
        <w:t>11-TFSI</w:t>
      </w:r>
      <w:r w:rsidRPr="00EE5230">
        <w:rPr>
          <w:rFonts w:cs="Arial"/>
        </w:rPr>
        <w:t xml:space="preserve"> and PH</w:t>
      </w:r>
      <w:r w:rsidRPr="00EE5230">
        <w:rPr>
          <w:rFonts w:cs="Arial"/>
          <w:vertAlign w:val="subscript"/>
        </w:rPr>
        <w:t>33-TFSI</w:t>
      </w:r>
      <w:r w:rsidRPr="00EE5230">
        <w:rPr>
          <w:rFonts w:cs="Arial"/>
        </w:rPr>
        <w:t xml:space="preserve">). Although the </w:t>
      </w:r>
      <w:proofErr w:type="gramStart"/>
      <w:r w:rsidRPr="00EE5230">
        <w:rPr>
          <w:rFonts w:cs="Arial"/>
        </w:rPr>
        <w:t>reasons</w:t>
      </w:r>
      <w:proofErr w:type="gramEnd"/>
      <w:r w:rsidRPr="00EE5230">
        <w:rPr>
          <w:rFonts w:cs="Arial"/>
        </w:rPr>
        <w:t xml:space="preserve"> behind this synergy is still not fully elucidated, a reasonable hypothesis could be that the fluorinated imidazolium-TFSI functions could facilitate the diffusion of the CO</w:t>
      </w:r>
      <w:r w:rsidRPr="00EE5230">
        <w:rPr>
          <w:rFonts w:cs="Arial"/>
          <w:vertAlign w:val="subscript"/>
        </w:rPr>
        <w:t>2</w:t>
      </w:r>
      <w:r w:rsidRPr="00EE5230">
        <w:rPr>
          <w:rFonts w:cs="Arial"/>
        </w:rPr>
        <w:t xml:space="preserve"> within the wall of the foam and enable access amines inside the wall of the foams.</w:t>
      </w:r>
    </w:p>
    <w:p w14:paraId="12DD1E38" w14:textId="77777777" w:rsidR="00EE5230" w:rsidRPr="00EE5230" w:rsidRDefault="00EE5230" w:rsidP="00EE5230">
      <w:pPr>
        <w:spacing w:after="120"/>
        <w:rPr>
          <w:rFonts w:cs="Arial"/>
        </w:rPr>
      </w:pPr>
    </w:p>
    <w:p w14:paraId="47DCFD25" w14:textId="77777777" w:rsidR="00EE5230" w:rsidRPr="00EE5230" w:rsidRDefault="00EE5230" w:rsidP="00EE5230">
      <w:pPr>
        <w:jc w:val="center"/>
        <w:rPr>
          <w:rFonts w:cs="Arial"/>
        </w:rPr>
      </w:pPr>
      <w:r w:rsidRPr="00EE5230">
        <w:rPr>
          <w:rFonts w:cs="Arial"/>
          <w:noProof/>
        </w:rPr>
        <w:lastRenderedPageBreak/>
        <w:drawing>
          <wp:inline distT="0" distB="0" distL="0" distR="0" wp14:anchorId="2442ECE5" wp14:editId="1C784BED">
            <wp:extent cx="3315471" cy="7162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814" cy="7226194"/>
                    </a:xfrm>
                    <a:prstGeom prst="rect">
                      <a:avLst/>
                    </a:prstGeom>
                    <a:noFill/>
                    <a:ln>
                      <a:noFill/>
                    </a:ln>
                  </pic:spPr>
                </pic:pic>
              </a:graphicData>
            </a:graphic>
          </wp:inline>
        </w:drawing>
      </w:r>
    </w:p>
    <w:p w14:paraId="03E85421" w14:textId="4E058F86" w:rsidR="00EE5230" w:rsidRDefault="00EE5230" w:rsidP="00EE5230">
      <w:pPr>
        <w:spacing w:after="120"/>
        <w:rPr>
          <w:rFonts w:cs="Arial"/>
        </w:rPr>
      </w:pPr>
      <w:r w:rsidRPr="00EE5230">
        <w:rPr>
          <w:rFonts w:cs="Arial"/>
          <w:b/>
        </w:rPr>
        <w:t>Figure 4.</w:t>
      </w:r>
      <w:r w:rsidRPr="00EE5230">
        <w:rPr>
          <w:rFonts w:cs="Arial"/>
        </w:rPr>
        <w:t xml:space="preserve"> </w:t>
      </w:r>
      <w:r w:rsidRPr="00EE5230">
        <w:rPr>
          <w:rFonts w:cs="Arial"/>
          <w:b/>
        </w:rPr>
        <w:t>(A)</w:t>
      </w:r>
      <w:r w:rsidRPr="00EE5230">
        <w:rPr>
          <w:rFonts w:cs="Arial"/>
        </w:rPr>
        <w:t xml:space="preserve"> Equilibrium CO</w:t>
      </w:r>
      <w:r w:rsidRPr="00EE5230">
        <w:rPr>
          <w:rFonts w:cs="Arial"/>
          <w:vertAlign w:val="subscript"/>
        </w:rPr>
        <w:t>2</w:t>
      </w:r>
      <w:r w:rsidRPr="00EE5230">
        <w:rPr>
          <w:rFonts w:cs="Arial"/>
        </w:rPr>
        <w:t xml:space="preserve"> uptakes reached at 1 bar at different temperatures for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xml:space="preserve">, </w:t>
      </w:r>
      <w:r w:rsidRPr="00EE5230">
        <w:rPr>
          <w:rFonts w:cs="Arial"/>
          <w:b/>
        </w:rPr>
        <w:t>(B)</w:t>
      </w:r>
      <w:r w:rsidRPr="00EE5230">
        <w:rPr>
          <w:rFonts w:cs="Arial"/>
        </w:rPr>
        <w:t xml:space="preserve"> CO</w:t>
      </w:r>
      <w:r w:rsidRPr="00EE5230">
        <w:rPr>
          <w:rFonts w:cs="Arial"/>
          <w:vertAlign w:val="subscript"/>
        </w:rPr>
        <w:t>2</w:t>
      </w:r>
      <w:r w:rsidRPr="00EE5230">
        <w:rPr>
          <w:rFonts w:cs="Arial"/>
        </w:rPr>
        <w:t xml:space="preserve"> isotherms at 25 °C for the non-porous networks and </w:t>
      </w:r>
      <w:r w:rsidRPr="00EE5230">
        <w:rPr>
          <w:rFonts w:cs="Arial"/>
          <w:b/>
        </w:rPr>
        <w:t>(C)</w:t>
      </w:r>
      <w:r w:rsidRPr="00EE5230">
        <w:rPr>
          <w:rFonts w:cs="Arial"/>
        </w:rPr>
        <w:t xml:space="preserve"> IAST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as a function of CO</w:t>
      </w:r>
      <w:r w:rsidRPr="00EE5230">
        <w:rPr>
          <w:rFonts w:cs="Arial"/>
          <w:vertAlign w:val="subscript"/>
        </w:rPr>
        <w:t>2</w:t>
      </w:r>
      <w:r w:rsidRPr="00EE5230">
        <w:rPr>
          <w:rFonts w:cs="Arial"/>
        </w:rPr>
        <w:t xml:space="preserve"> partial pressure at CO</w:t>
      </w:r>
      <w:r w:rsidRPr="00EE5230">
        <w:rPr>
          <w:rFonts w:cs="Arial"/>
          <w:vertAlign w:val="subscript"/>
        </w:rPr>
        <w:t>2</w:t>
      </w:r>
      <w:r w:rsidRPr="00EE5230">
        <w:rPr>
          <w:rFonts w:cs="Arial"/>
        </w:rPr>
        <w:t>/N</w:t>
      </w:r>
      <w:r w:rsidRPr="00EE5230">
        <w:rPr>
          <w:rFonts w:cs="Arial"/>
          <w:vertAlign w:val="subscript"/>
        </w:rPr>
        <w:t>2</w:t>
      </w:r>
      <w:r w:rsidRPr="00EE5230">
        <w:rPr>
          <w:rFonts w:cs="Arial"/>
        </w:rPr>
        <w:t>=15:85 binary mixture.</w:t>
      </w:r>
    </w:p>
    <w:p w14:paraId="465FEC02" w14:textId="77777777" w:rsidR="00375D2B" w:rsidRPr="00EE5230" w:rsidRDefault="00375D2B" w:rsidP="00EE5230">
      <w:pPr>
        <w:spacing w:after="120"/>
        <w:rPr>
          <w:rFonts w:cs="Arial"/>
        </w:rPr>
      </w:pPr>
    </w:p>
    <w:p w14:paraId="02F027BF" w14:textId="77777777" w:rsidR="00EE5230" w:rsidRPr="00EE5230" w:rsidRDefault="00EE5230" w:rsidP="00EE5230">
      <w:pPr>
        <w:spacing w:after="120"/>
        <w:rPr>
          <w:rFonts w:cs="Arial"/>
          <w:b/>
          <w:i/>
        </w:rPr>
      </w:pPr>
      <w:r w:rsidRPr="00EE5230">
        <w:rPr>
          <w:rFonts w:cs="Arial"/>
          <w:b/>
          <w:i/>
        </w:rPr>
        <w:t>3.5. CO</w:t>
      </w:r>
      <w:r w:rsidRPr="00EE5230">
        <w:rPr>
          <w:rFonts w:cs="Arial"/>
          <w:b/>
          <w:i/>
          <w:vertAlign w:val="subscript"/>
        </w:rPr>
        <w:t xml:space="preserve">2 </w:t>
      </w:r>
      <w:r w:rsidRPr="00EE5230">
        <w:rPr>
          <w:rFonts w:cs="Arial"/>
          <w:b/>
          <w:i/>
        </w:rPr>
        <w:t>uptake of the non-porous networks</w:t>
      </w:r>
    </w:p>
    <w:p w14:paraId="52316EE0" w14:textId="77777777" w:rsidR="00EE5230" w:rsidRPr="00EE5230" w:rsidRDefault="00EE5230" w:rsidP="00EE5230">
      <w:pPr>
        <w:spacing w:after="120"/>
        <w:rPr>
          <w:rFonts w:cs="Arial"/>
        </w:rPr>
      </w:pPr>
      <w:r w:rsidRPr="00EE5230">
        <w:rPr>
          <w:rFonts w:cs="Arial"/>
        </w:rPr>
        <w:t>To explore and understand the role of the 3D-interconnected microcellular morphology of PHs on CO</w:t>
      </w:r>
      <w:r w:rsidRPr="00EE5230">
        <w:rPr>
          <w:rFonts w:cs="Arial"/>
          <w:vertAlign w:val="subscript"/>
        </w:rPr>
        <w:t xml:space="preserve">2 </w:t>
      </w:r>
      <w:r w:rsidRPr="00EE5230">
        <w:rPr>
          <w:rFonts w:cs="Arial"/>
        </w:rPr>
        <w:t xml:space="preserve">uptake and sorption kinetics, a series of referenced nonporous networks (NPNs) with amine and imidazolium contents </w:t>
      </w:r>
      <w:proofErr w:type="gramStart"/>
      <w:r w:rsidRPr="00EE5230">
        <w:rPr>
          <w:rFonts w:cs="Arial"/>
        </w:rPr>
        <w:t>similar to</w:t>
      </w:r>
      <w:proofErr w:type="gramEnd"/>
      <w:r w:rsidRPr="00EE5230">
        <w:rPr>
          <w:rFonts w:cs="Arial"/>
        </w:rPr>
        <w:t xml:space="preserve"> those of the above PH were prepared and studied. In this context, pure imidazolium (NPN</w:t>
      </w:r>
      <w:r w:rsidRPr="00EE5230">
        <w:rPr>
          <w:rFonts w:cs="Arial"/>
          <w:vertAlign w:val="subscript"/>
        </w:rPr>
        <w:t>100-TFSI</w:t>
      </w:r>
      <w:r w:rsidRPr="00EE5230">
        <w:rPr>
          <w:rFonts w:cs="Arial"/>
        </w:rPr>
        <w:t>), bifunctional imidazolium/amine (NPN</w:t>
      </w:r>
      <w:r w:rsidRPr="00EE5230">
        <w:rPr>
          <w:rFonts w:cs="Arial"/>
          <w:vertAlign w:val="subscript"/>
        </w:rPr>
        <w:t>33-TFSI</w:t>
      </w:r>
      <w:r w:rsidRPr="00EE5230">
        <w:rPr>
          <w:rFonts w:cs="Arial"/>
        </w:rPr>
        <w:t xml:space="preserve"> and NPN</w:t>
      </w:r>
      <w:r w:rsidRPr="00EE5230">
        <w:rPr>
          <w:rFonts w:cs="Arial"/>
          <w:vertAlign w:val="subscript"/>
        </w:rPr>
        <w:t>11-TFSI</w:t>
      </w:r>
      <w:r w:rsidRPr="00EE5230">
        <w:rPr>
          <w:rFonts w:cs="Arial"/>
        </w:rPr>
        <w:t>) and pure amine (NPN</w:t>
      </w:r>
      <w:r w:rsidRPr="00EE5230">
        <w:rPr>
          <w:rFonts w:cs="Arial"/>
          <w:vertAlign w:val="subscript"/>
        </w:rPr>
        <w:t>0</w:t>
      </w:r>
      <w:r w:rsidRPr="00EE5230">
        <w:rPr>
          <w:rFonts w:cs="Arial"/>
        </w:rPr>
        <w:t xml:space="preserve">) gels were synthesized by curing aqueous monomer solutions </w:t>
      </w:r>
      <w:proofErr w:type="gramStart"/>
      <w:r w:rsidRPr="00EE5230">
        <w:rPr>
          <w:rFonts w:cs="Arial"/>
        </w:rPr>
        <w:t>similar to</w:t>
      </w:r>
      <w:proofErr w:type="gramEnd"/>
      <w:r w:rsidRPr="00EE5230">
        <w:rPr>
          <w:rFonts w:cs="Arial"/>
        </w:rPr>
        <w:t xml:space="preserve"> the external phase of PHs only without the surfactant. After curing, the NPNs were subjected to an anion exchange and freeze drying. The sorption isotherms recorded at 25 °C for the different NPNs are shown in Figure 4b. All samples revealed very low CO</w:t>
      </w:r>
      <w:r w:rsidRPr="00EE5230">
        <w:rPr>
          <w:rFonts w:cs="Arial"/>
          <w:vertAlign w:val="subscript"/>
        </w:rPr>
        <w:t>2</w:t>
      </w:r>
      <w:r w:rsidRPr="00EE5230">
        <w:rPr>
          <w:rFonts w:cs="Arial"/>
        </w:rPr>
        <w:t xml:space="preserve"> uptake between 0.10 and 0.06 </w:t>
      </w:r>
      <w:proofErr w:type="gramStart"/>
      <w:r w:rsidRPr="00EE5230">
        <w:rPr>
          <w:rFonts w:cs="Arial"/>
        </w:rPr>
        <w:t>mmol.g</w:t>
      </w:r>
      <w:proofErr w:type="gramEnd"/>
      <w:r w:rsidRPr="00EE5230">
        <w:rPr>
          <w:rFonts w:cs="Arial"/>
          <w:vertAlign w:val="superscript"/>
        </w:rPr>
        <w:t>-1</w:t>
      </w:r>
      <w:r w:rsidRPr="00EE5230">
        <w:rPr>
          <w:rFonts w:cs="Arial"/>
        </w:rPr>
        <w:t xml:space="preserve"> at 25 °C and 1 bar with near-linear uptake increase with the pressure. Moreover, no plateau was reached in any of the isotherms, indicating a very limited diffusion process within the nonporous polymers. Such a discrepancy in CO</w:t>
      </w:r>
      <w:r w:rsidRPr="00EE5230">
        <w:rPr>
          <w:rFonts w:cs="Arial"/>
          <w:vertAlign w:val="subscript"/>
        </w:rPr>
        <w:t>2</w:t>
      </w:r>
      <w:r w:rsidRPr="00EE5230">
        <w:rPr>
          <w:rFonts w:cs="Arial"/>
        </w:rPr>
        <w:t xml:space="preserve"> uptake between the PHs and the corresponding NPNs highlights the importance of the 3D-interconnected microcellular morphology in the PHs,</w:t>
      </w:r>
      <w:r w:rsidRPr="00EE5230" w:rsidDel="00EC366F">
        <w:rPr>
          <w:rFonts w:cs="Arial"/>
        </w:rPr>
        <w:t xml:space="preserve"> </w:t>
      </w:r>
      <w:r w:rsidRPr="00EE5230">
        <w:rPr>
          <w:rFonts w:cs="Arial"/>
        </w:rPr>
        <w:t>which allows an easy diffusion of gas molecules and accessibility of the CO</w:t>
      </w:r>
      <w:r w:rsidRPr="00EE5230">
        <w:rPr>
          <w:rFonts w:cs="Arial"/>
          <w:vertAlign w:val="subscript"/>
        </w:rPr>
        <w:t>2</w:t>
      </w:r>
      <w:r w:rsidRPr="00EE5230">
        <w:rPr>
          <w:rFonts w:cs="Arial"/>
        </w:rPr>
        <w:t xml:space="preserve"> sorption sites even inside the polymer matrix.</w:t>
      </w:r>
    </w:p>
    <w:p w14:paraId="4D7772D3" w14:textId="77777777" w:rsidR="00EE5230" w:rsidRPr="00EE5230" w:rsidRDefault="00EE5230" w:rsidP="00EE5230">
      <w:pPr>
        <w:spacing w:after="120"/>
        <w:rPr>
          <w:rFonts w:cs="Arial"/>
        </w:rPr>
      </w:pPr>
    </w:p>
    <w:p w14:paraId="7A7CE543" w14:textId="77777777" w:rsidR="00EE5230" w:rsidRPr="00EE5230" w:rsidRDefault="00EE5230" w:rsidP="00EE5230">
      <w:pPr>
        <w:spacing w:after="120"/>
        <w:rPr>
          <w:rFonts w:cs="Arial"/>
          <w:b/>
          <w:i/>
        </w:rPr>
      </w:pPr>
      <w:r w:rsidRPr="00EE5230">
        <w:rPr>
          <w:rFonts w:cs="Arial"/>
          <w:b/>
          <w:i/>
        </w:rPr>
        <w:t xml:space="preserve">3.6. Sorption selectivity </w:t>
      </w:r>
    </w:p>
    <w:p w14:paraId="247428AA" w14:textId="77777777" w:rsidR="00EE5230" w:rsidRPr="00EE5230" w:rsidRDefault="00EE5230" w:rsidP="00EE5230">
      <w:pPr>
        <w:spacing w:after="120"/>
        <w:rPr>
          <w:rFonts w:cs="Arial"/>
          <w:vertAlign w:val="subscript"/>
        </w:rPr>
      </w:pPr>
      <w:r w:rsidRPr="00EE5230">
        <w:rPr>
          <w:rFonts w:cs="Arial"/>
        </w:rPr>
        <w:t>The PHs sorption selectivity of CO</w:t>
      </w:r>
      <w:r w:rsidRPr="00EE5230">
        <w:rPr>
          <w:rFonts w:cs="Arial"/>
          <w:vertAlign w:val="subscript"/>
        </w:rPr>
        <w:t>2</w:t>
      </w:r>
      <w:r w:rsidRPr="00EE5230">
        <w:rPr>
          <w:rFonts w:cs="Arial"/>
        </w:rPr>
        <w:t xml:space="preserve"> against the major component in the flue gas, i.e. N</w:t>
      </w:r>
      <w:r w:rsidRPr="00EE5230">
        <w:rPr>
          <w:rFonts w:cs="Arial"/>
          <w:vertAlign w:val="subscript"/>
        </w:rPr>
        <w:t>2</w:t>
      </w:r>
      <w:r w:rsidRPr="00EE5230">
        <w:rPr>
          <w:rFonts w:cs="Arial"/>
        </w:rPr>
        <w:t xml:space="preserve"> (&gt; 70%),</w:t>
      </w:r>
      <w:r w:rsidRPr="00EE5230">
        <w:rPr>
          <w:rFonts w:cs="Arial"/>
        </w:rPr>
        <w:fldChar w:fldCharType="begin" w:fldLock="1"/>
      </w:r>
      <w:r w:rsidRPr="00EE5230">
        <w:rPr>
          <w:rFonts w:cs="Arial"/>
        </w:rPr>
        <w:instrText>ADDIN CSL_CITATION {"citationItems":[{"id":"ITEM-1","itemData":{"DOI":"10.1039/C2JM12592G","ISSN":"0959-9428","abstract":"In an effort to reduce the energy penalty and cost associated with state-of-the-art carbon capture technologies, a range of 2nd and 3rd generation CO2 capture technologies are being developed. One of these technologies, based on solid sorbents for the gas separation in carbon capture, has the potential to significantly reduce the energy penalty and avoid some of the problems associated with the current technologies. However to realise this potential, two main developments are required: new porous materials and new plant integration processes. This application note describes the performance requirements and challenges associated with the development of functional materials for this application. We describe the key challenges for materials development and the requirements in terms of operating conditions, gas composition, stability, and lifetime to make solid sorbents a viable large scale CO2 capture process. Examples of potential future research and breakthrough materials currently being developed are also discussed.","author":[{"dropping-particle":"","family":"Drage","given":"Trevor C","non-dropping-particle":"","parse-names":false,"suffix":""},{"dropping-particle":"","family":"Snape","given":"Colin E","non-dropping-particle":"","parse-names":false,"suffix":""},{"dropping-particle":"","family":"Stevens","given":"Lee A","non-dropping-particle":"","parse-names":false,"suffix":""},{"dropping-particle":"","family":"Wood","given":"Joseph","non-dropping-particle":"","parse-names":false,"suffix":""},{"dropping-particle":"","family":"Wang","given":"Jiawei","non-dropping-particle":"","parse-names":false,"suffix":""},{"dropping-particle":"","family":"Cooper","given":"Andrew I","non-dropping-particle":"","parse-names":false,"suffix":""},{"dropping-particle":"","family":"Dawson","given":"Robert","non-dropping-particle":"","parse-names":false,"suffix":""},{"dropping-particle":"","family":"Guo","given":"Xiao","non-dropping-particle":"","parse-names":false,"suffix":""},{"dropping-particle":"","family":"Satterley","given":"Christopher","non-dropping-particle":"","parse-names":false,"suffix":""},{"dropping-particle":"","family":"Irons","given":"Robin","non-dropping-particle":"","parse-names":false,"suffix":""}],"container-title":"Journal of Materials Chemistry","id":"ITEM-1","issue":"7","issued":{"date-parts":[["2012"]]},"page":"2815-2823","publisher":"The Royal Society of Chemistry","title":"Materials challenges for the development of solid sorbents for post-combustion carbon capture","type":"article-journal","volume":"22"},"uris":["http://www.mendeley.com/documents/?uuid=5157e8a2-ee04-4944-a70b-c78dd9d0de84"]}],"mendeley":{"formattedCitation":"[53]","plainTextFormattedCitation":"[53]","previouslyFormattedCitation":"[53]"},"properties":{"noteIndex":0},"schema":"https://github.com/citation-style-language/schema/raw/master/csl-citation.json"}</w:instrText>
      </w:r>
      <w:r w:rsidRPr="00EE5230">
        <w:rPr>
          <w:rFonts w:cs="Arial"/>
        </w:rPr>
        <w:fldChar w:fldCharType="separate"/>
      </w:r>
      <w:r w:rsidRPr="00EE5230">
        <w:rPr>
          <w:rFonts w:cs="Arial"/>
          <w:noProof/>
        </w:rPr>
        <w:t>[53]</w:t>
      </w:r>
      <w:r w:rsidRPr="00EE5230">
        <w:rPr>
          <w:rFonts w:cs="Arial"/>
        </w:rPr>
        <w:fldChar w:fldCharType="end"/>
      </w:r>
      <w:r w:rsidRPr="00EE5230">
        <w:rPr>
          <w:rFonts w:cs="Arial"/>
        </w:rPr>
        <w:t xml:space="preserve"> was evaluated by the ideal adsorbed solution theory (IAST) and plotted as a function of the partial pressure of CO</w:t>
      </w:r>
      <w:r w:rsidRPr="00EE5230">
        <w:rPr>
          <w:rFonts w:cs="Arial"/>
          <w:vertAlign w:val="subscript"/>
        </w:rPr>
        <w:t>2</w:t>
      </w:r>
      <w:r w:rsidRPr="00EE5230">
        <w:rPr>
          <w:rFonts w:cs="Arial"/>
        </w:rPr>
        <w:t xml:space="preserve"> in binary mixtures of CO</w:t>
      </w:r>
      <w:r w:rsidRPr="00EE5230">
        <w:rPr>
          <w:rFonts w:cs="Arial"/>
          <w:vertAlign w:val="subscript"/>
        </w:rPr>
        <w:t>2</w:t>
      </w:r>
      <w:r w:rsidRPr="00EE5230">
        <w:rPr>
          <w:rFonts w:cs="Arial"/>
        </w:rPr>
        <w:t xml:space="preserve"> in N</w:t>
      </w:r>
      <w:r w:rsidRPr="00EE5230">
        <w:rPr>
          <w:rFonts w:cs="Arial"/>
          <w:vertAlign w:val="subscript"/>
        </w:rPr>
        <w:t>2</w:t>
      </w:r>
      <w:r w:rsidRPr="00EE5230">
        <w:rPr>
          <w:rFonts w:cs="Arial"/>
        </w:rPr>
        <w:t xml:space="preserve"> gas at 25 °C (Figure 4c). N</w:t>
      </w:r>
      <w:r w:rsidRPr="00EE5230">
        <w:rPr>
          <w:rFonts w:cs="Arial"/>
          <w:vertAlign w:val="subscript"/>
        </w:rPr>
        <w:t>2</w:t>
      </w:r>
      <w:r w:rsidRPr="00EE5230">
        <w:rPr>
          <w:rFonts w:cs="Arial"/>
        </w:rPr>
        <w:t xml:space="preserve"> isotherms recorded at 25 °C and 1 bar showed very small amount of </w:t>
      </w:r>
      <w:proofErr w:type="spellStart"/>
      <w:r w:rsidRPr="00EE5230">
        <w:rPr>
          <w:rFonts w:cs="Arial"/>
        </w:rPr>
        <w:t>sorbed</w:t>
      </w:r>
      <w:proofErr w:type="spellEnd"/>
      <w:r w:rsidRPr="00EE5230">
        <w:rPr>
          <w:rFonts w:cs="Arial"/>
        </w:rPr>
        <w:t xml:space="preserve"> nitrogen (Figure S14). The bifunctional PH</w:t>
      </w:r>
      <w:r w:rsidRPr="00EE5230">
        <w:rPr>
          <w:rFonts w:cs="Arial"/>
          <w:vertAlign w:val="subscript"/>
        </w:rPr>
        <w:t>33-TFSI</w:t>
      </w:r>
      <w:r w:rsidRPr="00EE5230">
        <w:rPr>
          <w:rFonts w:cs="Arial"/>
        </w:rPr>
        <w:t xml:space="preserve"> exhibited exceptionally high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namely 176 CO</w:t>
      </w:r>
      <w:r w:rsidRPr="00EE5230">
        <w:rPr>
          <w:rFonts w:cs="Arial"/>
          <w:vertAlign w:val="subscript"/>
        </w:rPr>
        <w:t>2</w:t>
      </w:r>
      <w:r w:rsidRPr="00EE5230">
        <w:rPr>
          <w:rFonts w:cs="Arial"/>
        </w:rPr>
        <w:t xml:space="preserve"> molecules to one N</w:t>
      </w:r>
      <w:r w:rsidRPr="00EE5230">
        <w:rPr>
          <w:rFonts w:cs="Arial"/>
          <w:vertAlign w:val="subscript"/>
        </w:rPr>
        <w:t>2</w:t>
      </w:r>
      <w:r w:rsidRPr="00EE5230">
        <w:rPr>
          <w:rFonts w:cs="Arial"/>
        </w:rPr>
        <w:t xml:space="preserve"> molecule at a partial pressure of 0.15 bar (pressure corresponding to the partial pressure of CO</w:t>
      </w:r>
      <w:r w:rsidRPr="00EE5230">
        <w:rPr>
          <w:rFonts w:cs="Arial"/>
          <w:vertAlign w:val="subscript"/>
        </w:rPr>
        <w:t>2</w:t>
      </w:r>
      <w:r w:rsidRPr="00EE5230">
        <w:rPr>
          <w:rFonts w:cs="Arial"/>
        </w:rPr>
        <w:t xml:space="preserve"> in fumes of power station plants), while this value dropped to 50 and 20 for PH</w:t>
      </w:r>
      <w:r w:rsidRPr="00EE5230">
        <w:rPr>
          <w:rFonts w:cs="Arial"/>
          <w:vertAlign w:val="subscript"/>
        </w:rPr>
        <w:t>11-TFSI</w:t>
      </w:r>
      <w:r w:rsidRPr="00EE5230">
        <w:rPr>
          <w:rFonts w:cs="Arial"/>
        </w:rPr>
        <w:t xml:space="preserve"> and PH</w:t>
      </w:r>
      <w:r w:rsidRPr="00EE5230">
        <w:rPr>
          <w:rFonts w:cs="Arial"/>
          <w:vertAlign w:val="subscript"/>
        </w:rPr>
        <w:t>100-TFSI</w:t>
      </w:r>
      <w:r w:rsidRPr="00EE5230">
        <w:rPr>
          <w:rFonts w:cs="Arial"/>
        </w:rPr>
        <w:t xml:space="preserve">, respectively. The corresponding </w:t>
      </w:r>
      <w:proofErr w:type="spellStart"/>
      <w:r w:rsidRPr="00EE5230">
        <w:rPr>
          <w:rFonts w:cs="Arial"/>
        </w:rPr>
        <w:t>PH</w:t>
      </w:r>
      <w:r w:rsidRPr="00EE5230">
        <w:rPr>
          <w:rFonts w:cs="Arial"/>
          <w:vertAlign w:val="subscript"/>
        </w:rPr>
        <w:t>OAc</w:t>
      </w:r>
      <w:proofErr w:type="spellEnd"/>
      <w:r w:rsidRPr="00EE5230">
        <w:rPr>
          <w:rFonts w:cs="Arial"/>
        </w:rPr>
        <w:t xml:space="preserve"> series showed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between 68 and 13. The unusually high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of the PH</w:t>
      </w:r>
      <w:r w:rsidRPr="00EE5230">
        <w:rPr>
          <w:rFonts w:cs="Arial"/>
          <w:vertAlign w:val="subscript"/>
        </w:rPr>
        <w:t>33-TFSI</w:t>
      </w:r>
      <w:r w:rsidRPr="00EE5230">
        <w:rPr>
          <w:rFonts w:cs="Arial"/>
        </w:rPr>
        <w:t xml:space="preserve"> material reiterates the importance of both the synergy between amine and imidazolium functions and the role of the </w:t>
      </w:r>
      <w:proofErr w:type="spellStart"/>
      <w:r w:rsidRPr="00EE5230">
        <w:rPr>
          <w:rFonts w:cs="Arial"/>
        </w:rPr>
        <w:t>counteranion</w:t>
      </w:r>
      <w:proofErr w:type="spellEnd"/>
      <w:r w:rsidRPr="00EE5230">
        <w:rPr>
          <w:rFonts w:cs="Arial"/>
        </w:rPr>
        <w:t xml:space="preserve"> in the CO</w:t>
      </w:r>
      <w:r w:rsidRPr="00EE5230">
        <w:rPr>
          <w:rFonts w:cs="Arial"/>
          <w:vertAlign w:val="subscript"/>
        </w:rPr>
        <w:t>2</w:t>
      </w:r>
      <w:r w:rsidRPr="00EE5230">
        <w:rPr>
          <w:rFonts w:cs="Arial"/>
        </w:rPr>
        <w:t xml:space="preserve"> sorption process.</w:t>
      </w:r>
    </w:p>
    <w:p w14:paraId="1748B5D6" w14:textId="77777777" w:rsidR="00EE5230" w:rsidRPr="00EE5230" w:rsidRDefault="00EE5230" w:rsidP="00EE5230">
      <w:pPr>
        <w:spacing w:after="120"/>
        <w:rPr>
          <w:rFonts w:cs="Arial"/>
          <w:b/>
          <w:i/>
        </w:rPr>
      </w:pPr>
    </w:p>
    <w:p w14:paraId="5B748F6F" w14:textId="77777777" w:rsidR="00EE5230" w:rsidRPr="00EE5230" w:rsidRDefault="00EE5230" w:rsidP="00EE5230">
      <w:pPr>
        <w:spacing w:after="120"/>
        <w:rPr>
          <w:rFonts w:cs="Arial"/>
          <w:b/>
          <w:i/>
        </w:rPr>
      </w:pPr>
      <w:r w:rsidRPr="00EE5230">
        <w:rPr>
          <w:rFonts w:cs="Arial"/>
          <w:b/>
          <w:i/>
        </w:rPr>
        <w:t>3.7. CO</w:t>
      </w:r>
      <w:r w:rsidRPr="00EE5230">
        <w:rPr>
          <w:rFonts w:cs="Arial"/>
          <w:b/>
          <w:i/>
          <w:vertAlign w:val="subscript"/>
        </w:rPr>
        <w:t>2</w:t>
      </w:r>
      <w:r w:rsidRPr="00EE5230">
        <w:rPr>
          <w:rFonts w:cs="Arial"/>
          <w:b/>
          <w:i/>
        </w:rPr>
        <w:t xml:space="preserve"> capture under humidity </w:t>
      </w:r>
    </w:p>
    <w:p w14:paraId="21AF741C" w14:textId="77777777" w:rsidR="00EE5230" w:rsidRPr="00EE5230" w:rsidRDefault="00EE5230" w:rsidP="00EE5230">
      <w:pPr>
        <w:spacing w:after="120"/>
        <w:rPr>
          <w:rFonts w:cs="Arial"/>
        </w:rPr>
      </w:pPr>
      <w:r w:rsidRPr="00EE5230">
        <w:rPr>
          <w:rFonts w:cs="Arial"/>
        </w:rPr>
        <w:t>In general, the environment of flue and landfill gases also contains other components such as acid gases and especially 5-7 vol% water vapour,</w:t>
      </w:r>
      <w:r w:rsidRPr="00EE5230">
        <w:rPr>
          <w:rFonts w:cs="Arial"/>
        </w:rPr>
        <w:fldChar w:fldCharType="begin" w:fldLock="1"/>
      </w:r>
      <w:r w:rsidRPr="00EE5230">
        <w:rPr>
          <w:rFonts w:cs="Arial"/>
        </w:rPr>
        <w:instrText>ADDIN CSL_CITATION {"citationItems":[{"id":"ITEM-1","itemData":{"DOI":"10.1039/C2JM12592G","ISSN":"0959-9428","abstract":"In an effort to reduce the energy penalty and cost associated with state-of-the-art carbon capture technologies, a range of 2nd and 3rd generation CO2 capture technologies are being developed. One of these technologies, based on solid sorbents for the gas separation in carbon capture, has the potential to significantly reduce the energy penalty and avoid some of the problems associated with the current technologies. However to realise this potential, two main developments are required: new porous materials and new plant integration processes. This application note describes the performance requirements and challenges associated with the development of functional materials for this application. We describe the key challenges for materials development and the requirements in terms of operating conditions, gas composition, stability, and lifetime to make solid sorbents a viable large scale CO2 capture process. Examples of potential future research and breakthrough materials currently being developed are also discussed.","author":[{"dropping-particle":"","family":"Drage","given":"Trevor C","non-dropping-particle":"","parse-names":false,"suffix":""},{"dropping-particle":"","family":"Snape","given":"Colin E","non-dropping-particle":"","parse-names":false,"suffix":""},{"dropping-particle":"","family":"Stevens","given":"Lee A","non-dropping-particle":"","parse-names":false,"suffix":""},{"dropping-particle":"","family":"Wood","given":"Joseph","non-dropping-particle":"","parse-names":false,"suffix":""},{"dropping-particle":"","family":"Wang","given":"Jiawei","non-dropping-particle":"","parse-names":false,"suffix":""},{"dropping-particle":"","family":"Cooper","given":"Andrew I","non-dropping-particle":"","parse-names":false,"suffix":""},{"dropping-particle":"","family":"Dawson","given":"Robert","non-dropping-particle":"","parse-names":false,"suffix":""},{"dropping-particle":"","family":"Guo","given":"Xiao","non-dropping-particle":"","parse-names":false,"suffix":""},{"dropping-particle":"","family":"Satterley","given":"Christopher","non-dropping-particle":"","parse-names":false,"suffix":""},{"dropping-particle":"","family":"Irons","given":"Robin","non-dropping-particle":"","parse-names":false,"suffix":""}],"container-title":"Journal of Materials Chemistry","id":"ITEM-1","issue":"7","issued":{"date-parts":[["2012"]]},"page":"2815-2823","publisher":"The Royal Society of Chemistry","title":"Materials challenges for the development of solid sorbents for post-combustion carbon capture","type":"article-journal","volume":"22"},"uris":["http://www.mendeley.com/documents/?uuid=5157e8a2-ee04-4944-a70b-c78dd9d0de84"]}],"mendeley":{"formattedCitation":"[53]","plainTextFormattedCitation":"[53]","previouslyFormattedCitation":"[53]"},"properties":{"noteIndex":0},"schema":"https://github.com/citation-style-language/schema/raw/master/csl-citation.json"}</w:instrText>
      </w:r>
      <w:r w:rsidRPr="00EE5230">
        <w:rPr>
          <w:rFonts w:cs="Arial"/>
        </w:rPr>
        <w:fldChar w:fldCharType="separate"/>
      </w:r>
      <w:r w:rsidRPr="00EE5230">
        <w:rPr>
          <w:rFonts w:cs="Arial"/>
          <w:noProof/>
        </w:rPr>
        <w:t>[53]</w:t>
      </w:r>
      <w:r w:rsidRPr="00EE5230">
        <w:rPr>
          <w:rFonts w:cs="Arial"/>
        </w:rPr>
        <w:fldChar w:fldCharType="end"/>
      </w:r>
      <w:r w:rsidRPr="00EE5230">
        <w:rPr>
          <w:rFonts w:cs="Arial"/>
        </w:rPr>
        <w:t xml:space="preserve"> which require sorbents with excellent stability. While the presence of water vapour significantly reduces the CO</w:t>
      </w:r>
      <w:r w:rsidRPr="00EE5230">
        <w:rPr>
          <w:rFonts w:cs="Arial"/>
          <w:vertAlign w:val="subscript"/>
        </w:rPr>
        <w:t>2</w:t>
      </w:r>
      <w:r w:rsidRPr="00EE5230">
        <w:rPr>
          <w:rFonts w:cs="Arial"/>
        </w:rPr>
        <w:t xml:space="preserve"> sorption capacity of the promising porous materials and our best performing materials, </w:t>
      </w:r>
      <w:proofErr w:type="gramStart"/>
      <w:r w:rsidRPr="00EE5230">
        <w:rPr>
          <w:rFonts w:cs="Arial"/>
        </w:rPr>
        <w:t>i.e.</w:t>
      </w:r>
      <w:proofErr w:type="gramEnd"/>
      <w:r w:rsidRPr="00EE5230">
        <w:rPr>
          <w:rFonts w:cs="Arial"/>
        </w:rPr>
        <w:t xml:space="preserve"> </w:t>
      </w:r>
      <w:r w:rsidRPr="00EE5230">
        <w:rPr>
          <w:rFonts w:cs="Arial"/>
        </w:rPr>
        <w:lastRenderedPageBreak/>
        <w:t>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revealed a WU of 10 and 30 g·g</w:t>
      </w:r>
      <w:r w:rsidRPr="00EE5230">
        <w:rPr>
          <w:rFonts w:cs="Arial"/>
          <w:vertAlign w:val="superscript"/>
        </w:rPr>
        <w:t>-1</w:t>
      </w:r>
      <w:r w:rsidRPr="00EE5230">
        <w:rPr>
          <w:rFonts w:cs="Arial"/>
        </w:rPr>
        <w:t>, respectively, their CO</w:t>
      </w:r>
      <w:r w:rsidRPr="00EE5230">
        <w:rPr>
          <w:rFonts w:cs="Arial"/>
          <w:vertAlign w:val="subscript"/>
        </w:rPr>
        <w:t>2</w:t>
      </w:r>
      <w:r w:rsidRPr="00EE5230">
        <w:rPr>
          <w:rFonts w:cs="Arial"/>
        </w:rPr>
        <w:t xml:space="preserve"> sorption kinetics and capacities were evaluated under humid conditions</w:t>
      </w:r>
      <w:r w:rsidRPr="00EE5230" w:rsidDel="002D7562">
        <w:rPr>
          <w:rFonts w:cs="Arial"/>
        </w:rPr>
        <w:t xml:space="preserve"> </w:t>
      </w:r>
      <w:r w:rsidRPr="00EE5230">
        <w:rPr>
          <w:rFonts w:cs="Arial"/>
        </w:rPr>
        <w:t>(Figure 5). In practice, CO</w:t>
      </w:r>
      <w:r w:rsidRPr="00EE5230">
        <w:rPr>
          <w:rFonts w:cs="Arial"/>
          <w:vertAlign w:val="subscript"/>
        </w:rPr>
        <w:t>2</w:t>
      </w:r>
      <w:r w:rsidRPr="00EE5230">
        <w:rPr>
          <w:rFonts w:cs="Arial"/>
        </w:rPr>
        <w:t xml:space="preserve"> uptake experiments were performed by exposure to 50% relative humidity. Both materials showed an initial mass increase due to water sorption, consistent with their WU ability (Table 1). This water absorption was lower for PH</w:t>
      </w:r>
      <w:r w:rsidRPr="00EE5230">
        <w:rPr>
          <w:rFonts w:cs="Arial"/>
          <w:vertAlign w:val="subscript"/>
        </w:rPr>
        <w:t>33-TFSI</w:t>
      </w:r>
      <w:r w:rsidRPr="00EE5230">
        <w:rPr>
          <w:rFonts w:cs="Arial"/>
        </w:rPr>
        <w:t xml:space="preserve"> due to its higher content of hydrophobic TFSI counter anion (Figures 5c and 5d). The CO</w:t>
      </w:r>
      <w:r w:rsidRPr="00EE5230">
        <w:rPr>
          <w:rFonts w:cs="Arial"/>
          <w:vertAlign w:val="subscript"/>
        </w:rPr>
        <w:t>2</w:t>
      </w:r>
      <w:r w:rsidRPr="00EE5230">
        <w:rPr>
          <w:rFonts w:cs="Arial"/>
        </w:rPr>
        <w:t xml:space="preserve"> sorption was measured up to a total pressure of 1 bar per step of 100 mbar. Several conclusions can be drawn from the kinetic and the sorption curves. After exposure to moisture, CO</w:t>
      </w:r>
      <w:r w:rsidRPr="00EE5230">
        <w:rPr>
          <w:rFonts w:cs="Arial"/>
          <w:vertAlign w:val="subscript"/>
        </w:rPr>
        <w:t>2</w:t>
      </w:r>
      <w:r w:rsidRPr="00EE5230">
        <w:rPr>
          <w:rFonts w:cs="Arial"/>
        </w:rPr>
        <w:t xml:space="preserve"> equilibrium capacities decreased by about 30% in both cases (from 1.8 to 1.2 </w:t>
      </w:r>
      <w:proofErr w:type="gramStart"/>
      <w:r w:rsidRPr="00EE5230">
        <w:rPr>
          <w:rFonts w:cs="Arial"/>
        </w:rPr>
        <w:t>mmol.g</w:t>
      </w:r>
      <w:proofErr w:type="gramEnd"/>
      <w:r w:rsidRPr="00EE5230">
        <w:rPr>
          <w:rFonts w:cs="Arial"/>
          <w:vertAlign w:val="superscript"/>
        </w:rPr>
        <w:t>-1</w:t>
      </w:r>
      <w:r w:rsidRPr="00EE5230">
        <w:rPr>
          <w:rFonts w:cs="Arial"/>
        </w:rPr>
        <w:t xml:space="preserve"> and from 2.0 to 1.4 mmol.g</w:t>
      </w:r>
      <w:r w:rsidRPr="00EE5230">
        <w:rPr>
          <w:rFonts w:cs="Arial"/>
          <w:vertAlign w:val="superscript"/>
        </w:rPr>
        <w:t>-1</w:t>
      </w:r>
      <w:r w:rsidRPr="00EE5230">
        <w:rPr>
          <w:rFonts w:cs="Arial"/>
        </w:rPr>
        <w:t xml:space="preserve"> for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respectively), but, most importantly, both are still functional materials that retain significant sorption capacities in the presence of 50% relative humidity</w:t>
      </w:r>
      <w:r w:rsidRPr="00EE5230" w:rsidDel="00CA3122">
        <w:rPr>
          <w:rFonts w:cs="Arial"/>
        </w:rPr>
        <w:t xml:space="preserve"> </w:t>
      </w:r>
      <w:r w:rsidRPr="00EE5230">
        <w:rPr>
          <w:rFonts w:cs="Arial"/>
        </w:rPr>
        <w:t>(Figures 5a and 5b). On the other hand, when considering the kinetic curves (Figures 5c and 5d), the CO</w:t>
      </w:r>
      <w:r w:rsidRPr="00EE5230">
        <w:rPr>
          <w:rFonts w:cs="Arial"/>
          <w:vertAlign w:val="subscript"/>
        </w:rPr>
        <w:t>2</w:t>
      </w:r>
      <w:r w:rsidRPr="00EE5230">
        <w:rPr>
          <w:rFonts w:cs="Arial"/>
        </w:rPr>
        <w:t xml:space="preserve"> sorption is significantly faster for the imidazolium-rich PH</w:t>
      </w:r>
      <w:r w:rsidRPr="00EE5230">
        <w:rPr>
          <w:rFonts w:cs="Arial"/>
          <w:vertAlign w:val="subscript"/>
        </w:rPr>
        <w:t>33-TFSI</w:t>
      </w:r>
      <w:r w:rsidRPr="00EE5230">
        <w:rPr>
          <w:rFonts w:cs="Arial"/>
        </w:rPr>
        <w:t xml:space="preserve"> compared to PH</w:t>
      </w:r>
      <w:r w:rsidRPr="00EE5230">
        <w:rPr>
          <w:rFonts w:cs="Arial"/>
          <w:vertAlign w:val="subscript"/>
        </w:rPr>
        <w:t>11-TFSI</w:t>
      </w:r>
      <w:r w:rsidRPr="00EE5230">
        <w:rPr>
          <w:rFonts w:cs="Arial"/>
        </w:rPr>
        <w:t xml:space="preserve">. </w:t>
      </w:r>
      <w:bookmarkStart w:id="19" w:name="_Hlk91142357"/>
      <w:r w:rsidRPr="00EE5230">
        <w:rPr>
          <w:rFonts w:cs="Arial"/>
        </w:rPr>
        <w:t>The better sorption kinetic of the former could be due to its higher content of TFSI ions, which limits water uptake and favour CO</w:t>
      </w:r>
      <w:r w:rsidRPr="00EE5230">
        <w:rPr>
          <w:rFonts w:cs="Arial"/>
          <w:vertAlign w:val="subscript"/>
        </w:rPr>
        <w:t>2</w:t>
      </w:r>
      <w:r w:rsidRPr="00EE5230">
        <w:rPr>
          <w:rFonts w:cs="Arial"/>
        </w:rPr>
        <w:t xml:space="preserve"> diffusion in the polymer matrix</w:t>
      </w:r>
      <w:bookmarkEnd w:id="19"/>
      <w:r w:rsidRPr="00EE5230">
        <w:rPr>
          <w:rFonts w:cs="Arial"/>
        </w:rPr>
        <w:t>. As can be seen from the desorption isotherms, similar CO</w:t>
      </w:r>
      <w:r w:rsidRPr="00EE5230">
        <w:rPr>
          <w:rFonts w:cs="Arial"/>
          <w:vertAlign w:val="subscript"/>
        </w:rPr>
        <w:t xml:space="preserve">2 </w:t>
      </w:r>
      <w:r w:rsidRPr="00EE5230">
        <w:rPr>
          <w:rFonts w:cs="Arial"/>
        </w:rPr>
        <w:t>retentions under vacuum swing were observed for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xml:space="preserve"> under dry and humid conditions, i.e., about 40 and 75 %, respectively.  PH</w:t>
      </w:r>
      <w:r w:rsidRPr="00EE5230">
        <w:rPr>
          <w:rFonts w:cs="Arial"/>
          <w:vertAlign w:val="subscript"/>
        </w:rPr>
        <w:t>33-TFSI</w:t>
      </w:r>
      <w:r w:rsidRPr="00EE5230">
        <w:rPr>
          <w:rFonts w:cs="Arial"/>
        </w:rPr>
        <w:t xml:space="preserve"> has thus demonstrated the best CO</w:t>
      </w:r>
      <w:r w:rsidRPr="00EE5230">
        <w:rPr>
          <w:rFonts w:cs="Arial"/>
          <w:vertAlign w:val="subscript"/>
        </w:rPr>
        <w:t>2</w:t>
      </w:r>
      <w:r w:rsidRPr="00EE5230">
        <w:rPr>
          <w:rFonts w:cs="Arial"/>
        </w:rPr>
        <w:t xml:space="preserve"> capture performance under humid conditions, combined with the most efficient regeneration properties.  </w:t>
      </w:r>
    </w:p>
    <w:p w14:paraId="63062764" w14:textId="77777777" w:rsidR="00EE5230" w:rsidRPr="00EE5230" w:rsidRDefault="00EE5230" w:rsidP="00EE5230">
      <w:pPr>
        <w:spacing w:after="120"/>
        <w:rPr>
          <w:rFonts w:cs="Arial"/>
        </w:rPr>
      </w:pPr>
      <w:r w:rsidRPr="00EE5230">
        <w:rPr>
          <w:rFonts w:cs="Arial"/>
          <w:noProof/>
        </w:rPr>
        <w:lastRenderedPageBreak/>
        <w:drawing>
          <wp:inline distT="0" distB="0" distL="0" distR="0" wp14:anchorId="6EC781AE" wp14:editId="76C6F176">
            <wp:extent cx="5760720" cy="4467085"/>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a:ext>
                      </a:extLst>
                    </a:blip>
                    <a:stretch>
                      <a:fillRect/>
                    </a:stretch>
                  </pic:blipFill>
                  <pic:spPr>
                    <a:xfrm>
                      <a:off x="0" y="0"/>
                      <a:ext cx="5760720" cy="4467085"/>
                    </a:xfrm>
                    <a:prstGeom prst="rect">
                      <a:avLst/>
                    </a:prstGeom>
                  </pic:spPr>
                </pic:pic>
              </a:graphicData>
            </a:graphic>
          </wp:inline>
        </w:drawing>
      </w:r>
    </w:p>
    <w:p w14:paraId="7E2223A1" w14:textId="77777777" w:rsidR="00EE5230" w:rsidRPr="00EE5230" w:rsidRDefault="00EE5230" w:rsidP="00EE5230">
      <w:pPr>
        <w:spacing w:after="120"/>
        <w:rPr>
          <w:rFonts w:cs="Arial"/>
        </w:rPr>
      </w:pPr>
      <w:r w:rsidRPr="00EE5230">
        <w:rPr>
          <w:rFonts w:cs="Arial"/>
          <w:b/>
        </w:rPr>
        <w:t>Figure 5.</w:t>
      </w:r>
      <w:r w:rsidRPr="00EE5230">
        <w:rPr>
          <w:rFonts w:cs="Arial"/>
        </w:rPr>
        <w:t xml:space="preserve"> CO</w:t>
      </w:r>
      <w:r w:rsidRPr="00EE5230">
        <w:rPr>
          <w:rFonts w:cs="Arial"/>
          <w:vertAlign w:val="subscript"/>
        </w:rPr>
        <w:t>2</w:t>
      </w:r>
      <w:r w:rsidRPr="00EE5230">
        <w:rPr>
          <w:rFonts w:cs="Arial"/>
        </w:rPr>
        <w:t xml:space="preserve"> sorption isotherms under dry conditions and exposure to 16 mbar of water vapour corresponding to 50% RH at 25 °C before isothermal CO</w:t>
      </w:r>
      <w:r w:rsidRPr="00EE5230">
        <w:rPr>
          <w:rFonts w:cs="Arial"/>
          <w:vertAlign w:val="subscript"/>
        </w:rPr>
        <w:t>2</w:t>
      </w:r>
      <w:r w:rsidRPr="00EE5230">
        <w:rPr>
          <w:rFonts w:cs="Arial"/>
        </w:rPr>
        <w:t xml:space="preserve"> loading for samples PH</w:t>
      </w:r>
      <w:r w:rsidRPr="00EE5230">
        <w:rPr>
          <w:rFonts w:cs="Arial"/>
          <w:vertAlign w:val="subscript"/>
        </w:rPr>
        <w:t>11-TFSI</w:t>
      </w:r>
      <w:r w:rsidRPr="00EE5230">
        <w:rPr>
          <w:rFonts w:cs="Arial"/>
        </w:rPr>
        <w:t xml:space="preserve"> (A) and PH</w:t>
      </w:r>
      <w:r w:rsidRPr="00EE5230">
        <w:rPr>
          <w:rFonts w:cs="Arial"/>
          <w:vertAlign w:val="subscript"/>
        </w:rPr>
        <w:t xml:space="preserve">33-TFSI </w:t>
      </w:r>
      <w:r w:rsidRPr="00EE5230">
        <w:rPr>
          <w:rFonts w:cs="Arial"/>
        </w:rPr>
        <w:t>(B). The corresponding kinetic profiles of the isotherms are shown in (C) and (D).</w:t>
      </w:r>
    </w:p>
    <w:p w14:paraId="7EBDE4CD" w14:textId="77777777" w:rsidR="00EE5230" w:rsidRPr="00EE5230" w:rsidRDefault="00EE5230" w:rsidP="00EE5230">
      <w:pPr>
        <w:spacing w:after="120"/>
        <w:rPr>
          <w:rFonts w:cs="Arial"/>
          <w:b/>
        </w:rPr>
      </w:pPr>
    </w:p>
    <w:p w14:paraId="55FF7C7D" w14:textId="77777777" w:rsidR="00EE5230" w:rsidRPr="00EE5230" w:rsidRDefault="00EE5230" w:rsidP="00EE5230">
      <w:pPr>
        <w:spacing w:after="120"/>
        <w:rPr>
          <w:rFonts w:cs="Arial"/>
          <w:b/>
          <w:i/>
        </w:rPr>
      </w:pPr>
      <w:r w:rsidRPr="00EE5230">
        <w:rPr>
          <w:rFonts w:cs="Arial"/>
          <w:b/>
          <w:i/>
        </w:rPr>
        <w:t xml:space="preserve">3.8. Reversible cycling test </w:t>
      </w:r>
    </w:p>
    <w:p w14:paraId="4557B687" w14:textId="77777777" w:rsidR="00EE5230" w:rsidRPr="00EE5230" w:rsidRDefault="00EE5230" w:rsidP="00EE5230">
      <w:pPr>
        <w:spacing w:after="120"/>
        <w:rPr>
          <w:rFonts w:cs="Arial"/>
        </w:rPr>
      </w:pPr>
      <w:r w:rsidRPr="00EE5230">
        <w:rPr>
          <w:rFonts w:cs="Arial"/>
        </w:rPr>
        <w:t>Finally, in addition to the uncompromised CO</w:t>
      </w:r>
      <w:r w:rsidRPr="00EE5230">
        <w:rPr>
          <w:rFonts w:cs="Arial"/>
          <w:vertAlign w:val="subscript"/>
        </w:rPr>
        <w:t>2</w:t>
      </w:r>
      <w:r w:rsidRPr="00EE5230">
        <w:rPr>
          <w:rFonts w:cs="Arial"/>
        </w:rPr>
        <w:t xml:space="preserve"> capture under humid conditions, durability is another important property of capture materials. </w:t>
      </w:r>
      <w:proofErr w:type="gramStart"/>
      <w:r w:rsidRPr="00EE5230">
        <w:rPr>
          <w:rFonts w:cs="Arial"/>
        </w:rPr>
        <w:t>In order to</w:t>
      </w:r>
      <w:proofErr w:type="gramEnd"/>
      <w:r w:rsidRPr="00EE5230">
        <w:rPr>
          <w:rFonts w:cs="Arial"/>
        </w:rPr>
        <w:t xml:space="preserve"> evaluate the long-term stability of the bifunctional PH</w:t>
      </w:r>
      <w:r w:rsidRPr="00EE5230">
        <w:rPr>
          <w:rFonts w:cs="Arial"/>
          <w:vertAlign w:val="subscript"/>
        </w:rPr>
        <w:t>33-TFSI</w:t>
      </w:r>
      <w:r w:rsidRPr="00EE5230">
        <w:rPr>
          <w:rFonts w:cs="Arial"/>
        </w:rPr>
        <w:t xml:space="preserve"> and PH</w:t>
      </w:r>
      <w:r w:rsidRPr="00EE5230">
        <w:rPr>
          <w:rFonts w:cs="Arial"/>
          <w:vertAlign w:val="subscript"/>
        </w:rPr>
        <w:t xml:space="preserve">11-TFSI </w:t>
      </w:r>
      <w:r w:rsidRPr="00EE5230">
        <w:rPr>
          <w:rFonts w:cs="Arial"/>
        </w:rPr>
        <w:t>sorbents, CO</w:t>
      </w:r>
      <w:r w:rsidRPr="00EE5230">
        <w:rPr>
          <w:rFonts w:cs="Arial"/>
          <w:vertAlign w:val="subscript"/>
        </w:rPr>
        <w:t>2</w:t>
      </w:r>
      <w:r w:rsidRPr="00EE5230">
        <w:rPr>
          <w:rFonts w:cs="Arial"/>
        </w:rPr>
        <w:t xml:space="preserve"> cycling experiments were carried out under sequential CO</w:t>
      </w:r>
      <w:r w:rsidRPr="00EE5230">
        <w:rPr>
          <w:rFonts w:cs="Arial"/>
          <w:vertAlign w:val="subscript"/>
        </w:rPr>
        <w:t>2</w:t>
      </w:r>
      <w:r w:rsidRPr="00EE5230">
        <w:rPr>
          <w:rFonts w:cs="Arial"/>
        </w:rPr>
        <w:t xml:space="preserve"> sorption/desorption at 1 bar and 25 °C. As shown in Figure 6, the CO</w:t>
      </w:r>
      <w:r w:rsidRPr="00EE5230">
        <w:rPr>
          <w:rFonts w:cs="Arial"/>
          <w:vertAlign w:val="subscript"/>
        </w:rPr>
        <w:t>2</w:t>
      </w:r>
      <w:r w:rsidRPr="00EE5230">
        <w:rPr>
          <w:rFonts w:cs="Arial"/>
        </w:rPr>
        <w:t xml:space="preserve"> uptake capacity of both PHs was mostly maintained after 10 cycles (with some fluctuations, up to 2.2 mmol g</w:t>
      </w:r>
      <w:r w:rsidRPr="00EE5230">
        <w:rPr>
          <w:rFonts w:cs="Arial"/>
          <w:vertAlign w:val="superscript"/>
        </w:rPr>
        <w:t>-1</w:t>
      </w:r>
      <w:r w:rsidRPr="00EE5230">
        <w:rPr>
          <w:rFonts w:cs="Arial"/>
        </w:rPr>
        <w:t xml:space="preserve"> for PH</w:t>
      </w:r>
      <w:r w:rsidRPr="00EE5230">
        <w:rPr>
          <w:rFonts w:cs="Arial"/>
          <w:vertAlign w:val="subscript"/>
        </w:rPr>
        <w:t>11-TFSI</w:t>
      </w:r>
      <w:r w:rsidRPr="00EE5230">
        <w:rPr>
          <w:rFonts w:cs="Arial"/>
        </w:rPr>
        <w:t>), indicating the high chemical stability of the sorption sites in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xml:space="preserve"> samples and the efficient regeneration by temperature and pressure swing desorption. </w:t>
      </w:r>
    </w:p>
    <w:p w14:paraId="51024131" w14:textId="77777777" w:rsidR="00EE5230" w:rsidRPr="00EE5230" w:rsidRDefault="00EE5230" w:rsidP="00EE5230">
      <w:pPr>
        <w:spacing w:after="120"/>
        <w:rPr>
          <w:rFonts w:cs="Arial"/>
        </w:rPr>
      </w:pPr>
    </w:p>
    <w:p w14:paraId="5E8BE112" w14:textId="77777777" w:rsidR="00EE5230" w:rsidRPr="00EE5230" w:rsidRDefault="00EE5230" w:rsidP="00EE5230">
      <w:pPr>
        <w:spacing w:after="120"/>
        <w:jc w:val="center"/>
        <w:rPr>
          <w:rFonts w:cs="Arial"/>
        </w:rPr>
      </w:pPr>
      <w:r w:rsidRPr="00EE5230">
        <w:rPr>
          <w:rFonts w:cs="Arial"/>
          <w:noProof/>
        </w:rPr>
        <w:lastRenderedPageBreak/>
        <w:drawing>
          <wp:inline distT="0" distB="0" distL="0" distR="0" wp14:anchorId="492A2272" wp14:editId="70783C83">
            <wp:extent cx="3462655" cy="5483975"/>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a:ext>
                      </a:extLst>
                    </a:blip>
                    <a:stretch>
                      <a:fillRect/>
                    </a:stretch>
                  </pic:blipFill>
                  <pic:spPr>
                    <a:xfrm>
                      <a:off x="0" y="0"/>
                      <a:ext cx="3508212" cy="5556127"/>
                    </a:xfrm>
                    <a:prstGeom prst="rect">
                      <a:avLst/>
                    </a:prstGeom>
                  </pic:spPr>
                </pic:pic>
              </a:graphicData>
            </a:graphic>
          </wp:inline>
        </w:drawing>
      </w:r>
    </w:p>
    <w:p w14:paraId="37465B70" w14:textId="77777777" w:rsidR="00EE5230" w:rsidRPr="00EE5230" w:rsidRDefault="00EE5230" w:rsidP="00EE5230">
      <w:pPr>
        <w:spacing w:after="120"/>
        <w:rPr>
          <w:rFonts w:cs="Arial"/>
        </w:rPr>
      </w:pPr>
      <w:r w:rsidRPr="00EE5230">
        <w:rPr>
          <w:rFonts w:cs="Arial"/>
          <w:b/>
        </w:rPr>
        <w:t>Figure 6.</w:t>
      </w:r>
      <w:r w:rsidRPr="00EE5230">
        <w:rPr>
          <w:rFonts w:cs="Arial"/>
        </w:rPr>
        <w:t xml:space="preserve"> CO</w:t>
      </w:r>
      <w:r w:rsidRPr="00EE5230">
        <w:rPr>
          <w:rFonts w:cs="Arial"/>
          <w:vertAlign w:val="subscript"/>
        </w:rPr>
        <w:t>2</w:t>
      </w:r>
      <w:r w:rsidRPr="00EE5230">
        <w:rPr>
          <w:rFonts w:cs="Arial"/>
        </w:rPr>
        <w:t xml:space="preserve"> sorption/desorption cycles for PH</w:t>
      </w:r>
      <w:r w:rsidRPr="00EE5230">
        <w:rPr>
          <w:rFonts w:cs="Arial"/>
          <w:vertAlign w:val="subscript"/>
        </w:rPr>
        <w:t>33-TFSI</w:t>
      </w:r>
      <w:r w:rsidRPr="00EE5230">
        <w:rPr>
          <w:rFonts w:cs="Arial"/>
        </w:rPr>
        <w:t xml:space="preserve"> and PH</w:t>
      </w:r>
      <w:r w:rsidRPr="00EE5230">
        <w:rPr>
          <w:rFonts w:cs="Arial"/>
          <w:vertAlign w:val="subscript"/>
        </w:rPr>
        <w:t>11-TFSI</w:t>
      </w:r>
      <w:r w:rsidRPr="00EE5230">
        <w:rPr>
          <w:rFonts w:cs="Arial"/>
        </w:rPr>
        <w:t xml:space="preserve"> </w:t>
      </w:r>
      <w:r w:rsidRPr="00EE5230">
        <w:rPr>
          <w:rFonts w:cs="Arial"/>
          <w:i/>
        </w:rPr>
        <w:t>via</w:t>
      </w:r>
      <w:r w:rsidRPr="00EE5230">
        <w:rPr>
          <w:rFonts w:cs="Arial"/>
        </w:rPr>
        <w:t xml:space="preserve"> sequential degassing at 100 °C and CO</w:t>
      </w:r>
      <w:r w:rsidRPr="00EE5230">
        <w:rPr>
          <w:rFonts w:cs="Arial"/>
          <w:vertAlign w:val="subscript"/>
        </w:rPr>
        <w:t>2</w:t>
      </w:r>
      <w:r w:rsidRPr="00EE5230">
        <w:rPr>
          <w:rFonts w:cs="Arial"/>
        </w:rPr>
        <w:t xml:space="preserve"> sorption at 25 °C and 1 bar.</w:t>
      </w:r>
    </w:p>
    <w:p w14:paraId="212EA0BF" w14:textId="77777777" w:rsidR="00EE5230" w:rsidRPr="00EE5230" w:rsidRDefault="00EE5230" w:rsidP="00EE5230">
      <w:pPr>
        <w:spacing w:after="120"/>
        <w:rPr>
          <w:rFonts w:cs="Arial"/>
          <w:b/>
        </w:rPr>
      </w:pPr>
    </w:p>
    <w:p w14:paraId="14D976B0" w14:textId="77777777" w:rsidR="00EE5230" w:rsidRPr="00EE5230" w:rsidRDefault="00EE5230" w:rsidP="00EE5230">
      <w:pPr>
        <w:spacing w:after="120"/>
        <w:rPr>
          <w:rFonts w:cs="Arial"/>
          <w:b/>
        </w:rPr>
      </w:pPr>
      <w:r w:rsidRPr="00EE5230">
        <w:rPr>
          <w:rFonts w:cs="Arial"/>
          <w:b/>
        </w:rPr>
        <w:t>4. Conclusions</w:t>
      </w:r>
    </w:p>
    <w:p w14:paraId="75AAF35C" w14:textId="77777777" w:rsidR="00EE5230" w:rsidRPr="00EE5230" w:rsidRDefault="00EE5230" w:rsidP="00EE5230">
      <w:pPr>
        <w:spacing w:after="120"/>
        <w:rPr>
          <w:rFonts w:cs="Arial"/>
        </w:rPr>
      </w:pPr>
      <w:r w:rsidRPr="00EE5230">
        <w:rPr>
          <w:rFonts w:cs="Arial"/>
        </w:rPr>
        <w:t>Our study reports the synthesis and CO</w:t>
      </w:r>
      <w:r w:rsidRPr="00EE5230">
        <w:rPr>
          <w:rFonts w:cs="Arial"/>
          <w:vertAlign w:val="subscript"/>
        </w:rPr>
        <w:t>2</w:t>
      </w:r>
      <w:r w:rsidRPr="00EE5230">
        <w:rPr>
          <w:rFonts w:cs="Arial"/>
        </w:rPr>
        <w:t xml:space="preserve"> capture behaviour of bifunctional imidazolium/amine polymeric foams. The 3D-interconnected microcellular morphology and bi-functionality of materials were achieved by an innovative and facile one-pot process through a combination of Radziszewski MCR and emulsion-templating radical polymerization. This process allows to fine tune the imidazolium/amine ratio within the matrix. The CO</w:t>
      </w:r>
      <w:r w:rsidRPr="00EE5230">
        <w:rPr>
          <w:rFonts w:cs="Arial"/>
          <w:vertAlign w:val="subscript"/>
        </w:rPr>
        <w:t>2</w:t>
      </w:r>
      <w:r w:rsidRPr="00EE5230">
        <w:rPr>
          <w:rFonts w:cs="Arial"/>
        </w:rPr>
        <w:t xml:space="preserve"> capture performances of the bifunctional PH</w:t>
      </w:r>
      <w:r w:rsidRPr="00EE5230">
        <w:rPr>
          <w:rFonts w:cs="Arial"/>
          <w:vertAlign w:val="subscript"/>
        </w:rPr>
        <w:t>33</w:t>
      </w:r>
      <w:r w:rsidRPr="00EE5230">
        <w:rPr>
          <w:rFonts w:cs="Arial"/>
        </w:rPr>
        <w:t xml:space="preserve"> and PH</w:t>
      </w:r>
      <w:r w:rsidRPr="00EE5230">
        <w:rPr>
          <w:rFonts w:cs="Arial"/>
          <w:vertAlign w:val="subscript"/>
        </w:rPr>
        <w:t>11</w:t>
      </w:r>
      <w:r w:rsidRPr="00EE5230">
        <w:rPr>
          <w:rFonts w:cs="Arial"/>
        </w:rPr>
        <w:t xml:space="preserve"> porous materials were evaluated and compared with their reference materials, </w:t>
      </w:r>
      <w:proofErr w:type="gramStart"/>
      <w:r w:rsidRPr="00EE5230">
        <w:rPr>
          <w:rFonts w:cs="Arial"/>
        </w:rPr>
        <w:t>i.e.</w:t>
      </w:r>
      <w:proofErr w:type="gramEnd"/>
      <w:r w:rsidRPr="00EE5230">
        <w:rPr>
          <w:rFonts w:cs="Arial"/>
        </w:rPr>
        <w:t xml:space="preserve"> the pure imidazolium </w:t>
      </w:r>
      <w:r w:rsidRPr="00EE5230">
        <w:rPr>
          <w:rFonts w:cs="Arial"/>
        </w:rPr>
        <w:lastRenderedPageBreak/>
        <w:t>PH</w:t>
      </w:r>
      <w:r w:rsidRPr="00EE5230">
        <w:rPr>
          <w:rFonts w:cs="Arial"/>
          <w:vertAlign w:val="subscript"/>
        </w:rPr>
        <w:t>100</w:t>
      </w:r>
      <w:r w:rsidRPr="00EE5230">
        <w:rPr>
          <w:rFonts w:cs="Arial"/>
        </w:rPr>
        <w:t xml:space="preserve"> or pure amine PH</w:t>
      </w:r>
      <w:r w:rsidRPr="00EE5230">
        <w:rPr>
          <w:rFonts w:cs="Arial"/>
          <w:vertAlign w:val="subscript"/>
        </w:rPr>
        <w:t>0</w:t>
      </w:r>
      <w:r w:rsidRPr="00EE5230">
        <w:rPr>
          <w:rFonts w:cs="Arial"/>
        </w:rPr>
        <w:t>, and with bulk nonporous materials. It appears that combining a highly porous morphology with an imidazolium/amine bifunctionality is a solution with clear benefits, ensuring excellent CO</w:t>
      </w:r>
      <w:r w:rsidRPr="00EE5230">
        <w:rPr>
          <w:rFonts w:cs="Arial"/>
          <w:vertAlign w:val="subscript"/>
        </w:rPr>
        <w:t>2</w:t>
      </w:r>
      <w:r w:rsidRPr="00EE5230">
        <w:rPr>
          <w:rFonts w:cs="Arial"/>
        </w:rPr>
        <w:t xml:space="preserve"> sorption capacity even in humid environments, excellent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fast sorption/desorption kinetics and multi-cycle performance at 0.15 bar. </w:t>
      </w:r>
      <w:bookmarkStart w:id="20" w:name="_Hlk98937384"/>
      <w:r w:rsidRPr="00EE5230">
        <w:rPr>
          <w:rFonts w:cs="Arial"/>
        </w:rPr>
        <w:t>The CO</w:t>
      </w:r>
      <w:r w:rsidRPr="00EE5230">
        <w:rPr>
          <w:rFonts w:cs="Arial"/>
          <w:vertAlign w:val="subscript"/>
        </w:rPr>
        <w:t>2</w:t>
      </w:r>
      <w:r w:rsidRPr="00EE5230">
        <w:rPr>
          <w:rFonts w:cs="Arial"/>
        </w:rPr>
        <w:t xml:space="preserve"> uptake of the bifunctional PH</w:t>
      </w:r>
      <w:r w:rsidRPr="00EE5230">
        <w:rPr>
          <w:rFonts w:cs="Arial"/>
          <w:vertAlign w:val="subscript"/>
        </w:rPr>
        <w:t>33-TFSI</w:t>
      </w:r>
      <w:r w:rsidRPr="00EE5230">
        <w:rPr>
          <w:rFonts w:cs="Arial"/>
        </w:rPr>
        <w:t xml:space="preserve"> (1.8 mmol g</w:t>
      </w:r>
      <w:r w:rsidRPr="00EE5230">
        <w:rPr>
          <w:rFonts w:cs="Arial"/>
          <w:vertAlign w:val="superscript"/>
        </w:rPr>
        <w:t>-1</w:t>
      </w:r>
      <w:r w:rsidRPr="00EE5230">
        <w:rPr>
          <w:rFonts w:cs="Arial"/>
        </w:rPr>
        <w:t>) and PH</w:t>
      </w:r>
      <w:r w:rsidRPr="00EE5230">
        <w:rPr>
          <w:rFonts w:cs="Arial"/>
          <w:vertAlign w:val="subscript"/>
        </w:rPr>
        <w:t>11-TFSI</w:t>
      </w:r>
      <w:r w:rsidRPr="00EE5230">
        <w:rPr>
          <w:rFonts w:cs="Arial"/>
        </w:rPr>
        <w:t xml:space="preserve"> (2.2 mmol g</w:t>
      </w:r>
      <w:r w:rsidRPr="00EE5230">
        <w:rPr>
          <w:rFonts w:cs="Arial"/>
          <w:vertAlign w:val="superscript"/>
        </w:rPr>
        <w:t>-1</w:t>
      </w:r>
      <w:r w:rsidRPr="00EE5230">
        <w:rPr>
          <w:rFonts w:cs="Arial"/>
        </w:rPr>
        <w:t>) largely outperform those of their monofunctional counterparts PH</w:t>
      </w:r>
      <w:r w:rsidRPr="00EE5230">
        <w:rPr>
          <w:rFonts w:cs="Arial"/>
          <w:vertAlign w:val="subscript"/>
        </w:rPr>
        <w:t>100</w:t>
      </w:r>
      <w:r w:rsidRPr="00EE5230">
        <w:rPr>
          <w:rFonts w:cs="Arial"/>
        </w:rPr>
        <w:t xml:space="preserve"> and PH</w:t>
      </w:r>
      <w:r w:rsidRPr="00EE5230">
        <w:rPr>
          <w:rFonts w:cs="Arial"/>
          <w:vertAlign w:val="subscript"/>
        </w:rPr>
        <w:t>0</w:t>
      </w:r>
      <w:r w:rsidRPr="00EE5230">
        <w:rPr>
          <w:rFonts w:cs="Arial"/>
        </w:rPr>
        <w:t>, highlighting the positive synergistic effect of the amine/imidazolium functions for the CO</w:t>
      </w:r>
      <w:r w:rsidRPr="00EE5230">
        <w:rPr>
          <w:rFonts w:cs="Arial"/>
          <w:vertAlign w:val="subscript"/>
        </w:rPr>
        <w:t>2</w:t>
      </w:r>
      <w:r w:rsidRPr="00EE5230">
        <w:rPr>
          <w:rFonts w:cs="Arial"/>
        </w:rPr>
        <w:t xml:space="preserve"> capture application</w:t>
      </w:r>
      <w:bookmarkEnd w:id="20"/>
      <w:r w:rsidRPr="00EE5230">
        <w:rPr>
          <w:rFonts w:cs="Arial"/>
        </w:rPr>
        <w:t>. Repeated sorption/desorption cycles proved the long-term stability of both supports as well as their valuable performance for CO</w:t>
      </w:r>
      <w:r w:rsidRPr="00EE5230">
        <w:rPr>
          <w:rFonts w:cs="Arial"/>
          <w:vertAlign w:val="subscript"/>
        </w:rPr>
        <w:t>2</w:t>
      </w:r>
      <w:r w:rsidRPr="00EE5230">
        <w:rPr>
          <w:rFonts w:cs="Arial"/>
        </w:rPr>
        <w:t xml:space="preserve"> capture under humid conditions. Compared to PH</w:t>
      </w:r>
      <w:r w:rsidRPr="00EE5230">
        <w:rPr>
          <w:rFonts w:cs="Arial"/>
          <w:vertAlign w:val="subscript"/>
        </w:rPr>
        <w:t>11-TFSI</w:t>
      </w:r>
      <w:r w:rsidRPr="00EE5230">
        <w:rPr>
          <w:rFonts w:cs="Arial"/>
        </w:rPr>
        <w:t>, the imidazolium-rich PH</w:t>
      </w:r>
      <w:r w:rsidRPr="00EE5230">
        <w:rPr>
          <w:rFonts w:cs="Arial"/>
          <w:vertAlign w:val="subscript"/>
        </w:rPr>
        <w:t xml:space="preserve">33-TFSI </w:t>
      </w:r>
      <w:r w:rsidRPr="00EE5230">
        <w:rPr>
          <w:rFonts w:cs="Arial"/>
        </w:rPr>
        <w:t>exhibits a higher CO</w:t>
      </w:r>
      <w:r w:rsidRPr="00EE5230">
        <w:rPr>
          <w:rFonts w:cs="Arial"/>
          <w:vertAlign w:val="subscript"/>
        </w:rPr>
        <w:t>2</w:t>
      </w:r>
      <w:r w:rsidRPr="00EE5230">
        <w:rPr>
          <w:rFonts w:cs="Arial"/>
        </w:rPr>
        <w:t>/N</w:t>
      </w:r>
      <w:r w:rsidRPr="00EE5230">
        <w:rPr>
          <w:rFonts w:cs="Arial"/>
          <w:vertAlign w:val="subscript"/>
        </w:rPr>
        <w:t>2</w:t>
      </w:r>
      <w:r w:rsidRPr="00EE5230">
        <w:rPr>
          <w:rFonts w:cs="Arial"/>
        </w:rPr>
        <w:t xml:space="preserve"> selectivity (</w:t>
      </w:r>
      <w:proofErr w:type="gramStart"/>
      <w:r w:rsidRPr="00EE5230">
        <w:rPr>
          <w:rFonts w:cs="Arial"/>
        </w:rPr>
        <w:t>i.e.</w:t>
      </w:r>
      <w:proofErr w:type="gramEnd"/>
      <w:r w:rsidRPr="00EE5230">
        <w:rPr>
          <w:rFonts w:cs="Arial"/>
        </w:rPr>
        <w:t xml:space="preserve"> 176 at 15 vol% of CO</w:t>
      </w:r>
      <w:r w:rsidRPr="00EE5230">
        <w:rPr>
          <w:rFonts w:cs="Arial"/>
          <w:vertAlign w:val="subscript"/>
        </w:rPr>
        <w:t>2</w:t>
      </w:r>
      <w:r w:rsidRPr="00EE5230">
        <w:rPr>
          <w:rFonts w:cs="Arial"/>
        </w:rPr>
        <w:t xml:space="preserve"> in N</w:t>
      </w:r>
      <w:r w:rsidRPr="00EE5230">
        <w:rPr>
          <w:rFonts w:cs="Arial"/>
          <w:vertAlign w:val="subscript"/>
        </w:rPr>
        <w:t>2</w:t>
      </w:r>
      <w:r w:rsidRPr="00EE5230">
        <w:rPr>
          <w:rFonts w:cs="Arial"/>
        </w:rPr>
        <w:t xml:space="preserve"> at 1 bar), a more reversible sorption process as well as a faster sorption of CO</w:t>
      </w:r>
      <w:r w:rsidRPr="00EE5230">
        <w:rPr>
          <w:rFonts w:cs="Arial"/>
          <w:vertAlign w:val="subscript"/>
        </w:rPr>
        <w:t>2</w:t>
      </w:r>
      <w:r w:rsidRPr="00EE5230">
        <w:rPr>
          <w:rFonts w:cs="Arial"/>
        </w:rPr>
        <w:t xml:space="preserve"> under humid conditions. Overall, the improvement in CO</w:t>
      </w:r>
      <w:r w:rsidRPr="00EE5230">
        <w:rPr>
          <w:rFonts w:cs="Arial"/>
          <w:vertAlign w:val="subscript"/>
        </w:rPr>
        <w:t>2</w:t>
      </w:r>
      <w:r w:rsidRPr="00EE5230">
        <w:rPr>
          <w:rFonts w:cs="Arial"/>
        </w:rPr>
        <w:t xml:space="preserve"> uptake properties is not only due to the amine/imidazolium combination but also to the synergy of the highly porous structure of the </w:t>
      </w:r>
      <w:proofErr w:type="spellStart"/>
      <w:r w:rsidRPr="00EE5230">
        <w:rPr>
          <w:rFonts w:cs="Arial"/>
        </w:rPr>
        <w:t>polyHIPE</w:t>
      </w:r>
      <w:proofErr w:type="spellEnd"/>
      <w:r w:rsidRPr="00EE5230">
        <w:rPr>
          <w:rFonts w:cs="Arial"/>
        </w:rPr>
        <w:t xml:space="preserve"> foam and the amine/imidazolium chemistry since the bifunctional amine/imidazolium </w:t>
      </w:r>
      <w:proofErr w:type="spellStart"/>
      <w:r w:rsidRPr="00EE5230">
        <w:rPr>
          <w:rFonts w:cs="Arial"/>
        </w:rPr>
        <w:t>polyHIPE</w:t>
      </w:r>
      <w:proofErr w:type="spellEnd"/>
      <w:r w:rsidRPr="00EE5230">
        <w:rPr>
          <w:rFonts w:cs="Arial"/>
        </w:rPr>
        <w:t xml:space="preserve"> foams exhibits superior CO</w:t>
      </w:r>
      <w:r w:rsidRPr="00EE5230">
        <w:rPr>
          <w:rFonts w:cs="Arial"/>
          <w:vertAlign w:val="subscript"/>
        </w:rPr>
        <w:t>2</w:t>
      </w:r>
      <w:r w:rsidRPr="00EE5230">
        <w:rPr>
          <w:rFonts w:cs="Arial"/>
        </w:rPr>
        <w:t xml:space="preserve"> capture performance compared to the bifunctional non-porous materials. Moreover, the CO</w:t>
      </w:r>
      <w:r w:rsidRPr="00EE5230">
        <w:rPr>
          <w:rFonts w:cs="Arial"/>
          <w:vertAlign w:val="subscript"/>
        </w:rPr>
        <w:t>2</w:t>
      </w:r>
      <w:r w:rsidRPr="00EE5230">
        <w:rPr>
          <w:rFonts w:cs="Arial"/>
        </w:rPr>
        <w:t xml:space="preserve"> uptake performance of these bifunctional </w:t>
      </w:r>
      <w:proofErr w:type="spellStart"/>
      <w:r w:rsidRPr="00EE5230">
        <w:rPr>
          <w:rFonts w:cs="Arial"/>
        </w:rPr>
        <w:t>macroporous</w:t>
      </w:r>
      <w:proofErr w:type="spellEnd"/>
      <w:r w:rsidRPr="00EE5230">
        <w:rPr>
          <w:rFonts w:cs="Arial"/>
        </w:rPr>
        <w:t xml:space="preserve"> materials is remarkable given their limited specific surface area. It is also worth noting that this amine/imidazolium synergy goes beyond the scope of </w:t>
      </w:r>
      <w:proofErr w:type="spellStart"/>
      <w:r w:rsidRPr="00EE5230">
        <w:rPr>
          <w:rFonts w:cs="Arial"/>
        </w:rPr>
        <w:t>polyHIPEs</w:t>
      </w:r>
      <w:proofErr w:type="spellEnd"/>
      <w:r w:rsidRPr="00EE5230">
        <w:rPr>
          <w:rFonts w:cs="Arial"/>
        </w:rPr>
        <w:t xml:space="preserve"> and could be extended to other type of materials involving amines. In summary, our study demonstrates how to design and develop innovative highly porous bifunctional materials that are likely to initiate further combinations of functional groups and applications in sustainable processes, such as thermal energy storage, water remediation, or catalysis to convert CO</w:t>
      </w:r>
      <w:r w:rsidRPr="00EE5230">
        <w:rPr>
          <w:rFonts w:cs="Arial"/>
          <w:vertAlign w:val="subscript"/>
        </w:rPr>
        <w:t>2</w:t>
      </w:r>
      <w:r w:rsidRPr="00EE5230">
        <w:rPr>
          <w:rFonts w:cs="Arial"/>
        </w:rPr>
        <w:t xml:space="preserve"> into valuable chemicals. </w:t>
      </w:r>
    </w:p>
    <w:p w14:paraId="3A46FDD1" w14:textId="77777777" w:rsidR="00EE5230" w:rsidRPr="00EE5230" w:rsidRDefault="00EE5230" w:rsidP="00EE5230">
      <w:pPr>
        <w:tabs>
          <w:tab w:val="left" w:pos="8079"/>
        </w:tabs>
        <w:rPr>
          <w:rFonts w:cs="Arial"/>
          <w:b/>
          <w:bCs/>
        </w:rPr>
      </w:pPr>
    </w:p>
    <w:p w14:paraId="50841C42" w14:textId="77777777" w:rsidR="00EE5230" w:rsidRPr="00EE5230" w:rsidRDefault="00EE5230" w:rsidP="00EE5230">
      <w:pPr>
        <w:tabs>
          <w:tab w:val="left" w:pos="8079"/>
        </w:tabs>
        <w:rPr>
          <w:rFonts w:cs="Arial"/>
          <w:b/>
          <w:bCs/>
        </w:rPr>
      </w:pPr>
      <w:r w:rsidRPr="00EE5230">
        <w:rPr>
          <w:rFonts w:cs="Arial"/>
          <w:b/>
          <w:bCs/>
        </w:rPr>
        <w:t xml:space="preserve">5. Acknowledgments. </w:t>
      </w:r>
    </w:p>
    <w:p w14:paraId="773CE7F0" w14:textId="77777777" w:rsidR="00EE5230" w:rsidRPr="00EE5230" w:rsidRDefault="00EE5230" w:rsidP="00EE5230">
      <w:pPr>
        <w:rPr>
          <w:rFonts w:cs="Arial"/>
        </w:rPr>
      </w:pPr>
      <w:bookmarkStart w:id="21" w:name="_Hlk25089551"/>
      <w:bookmarkStart w:id="22" w:name="_Hlk25127977"/>
      <w:bookmarkEnd w:id="4"/>
      <w:r w:rsidRPr="00EE5230">
        <w:rPr>
          <w:rFonts w:cs="Arial"/>
        </w:rPr>
        <w:t xml:space="preserve">The authors are grateful to the Belgian National Fund for Scientific Research (F.R.S.-FNRS) in Belgium for their financial support. P. </w:t>
      </w:r>
      <w:proofErr w:type="spellStart"/>
      <w:r w:rsidRPr="00EE5230">
        <w:rPr>
          <w:rFonts w:cs="Arial"/>
        </w:rPr>
        <w:t>Stiernet</w:t>
      </w:r>
      <w:proofErr w:type="spellEnd"/>
      <w:r w:rsidRPr="00EE5230">
        <w:rPr>
          <w:rFonts w:cs="Arial"/>
        </w:rPr>
        <w:t xml:space="preserve"> and A. Debuigne are FNRS Research fellow and FNRS </w:t>
      </w:r>
      <w:r w:rsidRPr="00EE5230">
        <w:rPr>
          <w:rFonts w:cs="Arial"/>
          <w:bCs/>
        </w:rPr>
        <w:t>Senior Research Associate</w:t>
      </w:r>
      <w:r w:rsidRPr="00EE5230">
        <w:rPr>
          <w:rFonts w:cs="Arial"/>
        </w:rPr>
        <w:t xml:space="preserve">, respectively. AD and P.S. are also grateful to V. Collard for skilful assistance. S. </w:t>
      </w:r>
      <w:proofErr w:type="spellStart"/>
      <w:r w:rsidRPr="00EE5230">
        <w:rPr>
          <w:rFonts w:cs="Arial"/>
        </w:rPr>
        <w:t>Kovačič</w:t>
      </w:r>
      <w:proofErr w:type="spellEnd"/>
      <w:r w:rsidRPr="00EE5230">
        <w:rPr>
          <w:rFonts w:cs="Arial"/>
        </w:rPr>
        <w:t xml:space="preserve"> and M. </w:t>
      </w:r>
      <w:proofErr w:type="spellStart"/>
      <w:r w:rsidRPr="00EE5230">
        <w:rPr>
          <w:rFonts w:cs="Arial"/>
        </w:rPr>
        <w:t>Mazaj</w:t>
      </w:r>
      <w:proofErr w:type="spellEnd"/>
      <w:r w:rsidRPr="00EE5230">
        <w:rPr>
          <w:rFonts w:cs="Arial"/>
        </w:rPr>
        <w:t xml:space="preserve"> gratefully acknowledge the financial support of the Ministry of Education, Science and Technology of the Republic of Slovenia, and the Slovenian Research Agency (Grants P2-0145, P1-0021 and N2-0166).</w:t>
      </w:r>
    </w:p>
    <w:p w14:paraId="769AEBD4" w14:textId="77777777" w:rsidR="00EE5230" w:rsidRPr="00EE5230" w:rsidRDefault="00EE5230" w:rsidP="00EE5230">
      <w:pPr>
        <w:rPr>
          <w:rFonts w:cs="Arial"/>
          <w:b/>
        </w:rPr>
      </w:pPr>
    </w:p>
    <w:p w14:paraId="305617C8" w14:textId="77777777" w:rsidR="00EE5230" w:rsidRPr="00EE5230" w:rsidRDefault="00EE5230" w:rsidP="00EE5230">
      <w:pPr>
        <w:rPr>
          <w:rFonts w:cs="Arial"/>
          <w:b/>
        </w:rPr>
      </w:pPr>
      <w:r w:rsidRPr="00EE5230">
        <w:rPr>
          <w:rFonts w:cs="Arial"/>
          <w:b/>
        </w:rPr>
        <w:t>6. References</w:t>
      </w:r>
    </w:p>
    <w:bookmarkEnd w:id="21"/>
    <w:p w14:paraId="71DB1F8E"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rPr>
        <w:fldChar w:fldCharType="begin" w:fldLock="1"/>
      </w:r>
      <w:r w:rsidRPr="00EE5230">
        <w:rPr>
          <w:rFonts w:cs="Arial"/>
        </w:rPr>
        <w:instrText xml:space="preserve">ADDIN Mendeley Bibliography CSL_BIBLIOGRAPHY </w:instrText>
      </w:r>
      <w:r w:rsidRPr="00EE5230">
        <w:rPr>
          <w:rFonts w:cs="Arial"/>
        </w:rPr>
        <w:fldChar w:fldCharType="separate"/>
      </w:r>
      <w:r w:rsidRPr="00EE5230">
        <w:rPr>
          <w:rFonts w:cs="Arial"/>
          <w:noProof/>
        </w:rPr>
        <w:t>[1]</w:t>
      </w:r>
      <w:r w:rsidRPr="00EE5230">
        <w:rPr>
          <w:rFonts w:cs="Arial"/>
          <w:noProof/>
        </w:rPr>
        <w:tab/>
        <w:t xml:space="preserve">L. Zou, Y. Sun, S. Che, X. Yang, X. Wang, M. Bosch, Q. Wang, H. Li, M. Smith, S. </w:t>
      </w:r>
      <w:r w:rsidRPr="00EE5230">
        <w:rPr>
          <w:rFonts w:cs="Arial"/>
          <w:noProof/>
        </w:rPr>
        <w:lastRenderedPageBreak/>
        <w:t>Yuan, Z. Perry, H.-C. Zhou, Porous Organic Polymers for Post-Combustion Carbon Capture, Adv. Mater. 29 (2017) 1700229. https://doi.org/https://doi.org/10.1002/adma.201700229.</w:t>
      </w:r>
    </w:p>
    <w:p w14:paraId="7E568ADC"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w:t>
      </w:r>
      <w:r w:rsidRPr="00EE5230">
        <w:rPr>
          <w:rFonts w:cs="Arial"/>
          <w:noProof/>
        </w:rPr>
        <w:tab/>
        <w:t>S.D. Kimmins, N.R. Cameron, Functional porous polymers by emulsion templating: Recent advances, Adv. Funct. Mater. 21 (2011) 211–225. https://doi.org/10.1002/adfm.201001330.</w:t>
      </w:r>
    </w:p>
    <w:p w14:paraId="591A18ED"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w:t>
      </w:r>
      <w:r w:rsidRPr="00EE5230">
        <w:rPr>
          <w:rFonts w:cs="Arial"/>
          <w:noProof/>
        </w:rPr>
        <w:tab/>
        <w:t>M.S. Silverstein, Emulsion-templated porous polymers: A retrospective perspective, Polymer. 55 (2014) 304–320. https://doi.org/10.1016/j.polymer.2013.08.068.</w:t>
      </w:r>
    </w:p>
    <w:p w14:paraId="593B1171"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w:t>
      </w:r>
      <w:r w:rsidRPr="00EE5230">
        <w:rPr>
          <w:rFonts w:cs="Arial"/>
          <w:noProof/>
        </w:rPr>
        <w:tab/>
        <w:t>M.S. Silverstein, PolyHIPEs: Recent advances in emulsion-templated porous polymers, Prog. Polym. Sci. 39 (2014) 199–234. https://doi.org/10.1016/j.progpolymsci.2013.07.003.</w:t>
      </w:r>
    </w:p>
    <w:p w14:paraId="4A18F19E"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[5]</w:t>
      </w:r>
      <w:r w:rsidRPr="00EE5230">
        <w:rPr>
          <w:rFonts w:cs="Arial"/>
          <w:noProof/>
        </w:rPr>
        <w:tab/>
        <w:t>S. Jurjevec, A. Debuigne, E. Žagar, S. Kovačič, An environmentally benign post-polymerization functionalization strategy towards unprecedented poly(vinylamine) polyHIPEs, Polym. Chem. 12 (2021) 1155–1164. https://doi.org/10.1039/d0py01677b.</w:t>
      </w:r>
    </w:p>
    <w:p w14:paraId="39FA24D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[6]</w:t>
      </w:r>
      <w:r w:rsidRPr="00EE5230">
        <w:rPr>
          <w:rFonts w:cs="Arial"/>
          <w:noProof/>
        </w:rPr>
        <w:tab/>
        <w:t>D. Nikjoo, F. Akhtar, Structured emulsion-templated porous copolymer based on photopolymerization for carbon capture, J. CO2 Util. 21 (2017) 473–479. https://doi.org/https://doi.org/10.1016/j.jcou.2017.08.007.</w:t>
      </w:r>
    </w:p>
    <w:p w14:paraId="4C655D1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[7]</w:t>
      </w:r>
      <w:r w:rsidRPr="00EE5230">
        <w:rPr>
          <w:rFonts w:cs="Arial"/>
          <w:noProof/>
        </w:rPr>
        <w:tab/>
        <w:t>S. Jurjevec, E. Žagar, S. Kovačič, Functional macroporous amphoteric polyelectrolyte monoliths with tunable structures and properties through emulsion-templated synthesis, J. Colloid Interface Sci. 575 (2020) 480–488. https://doi.org/https://doi.org/10.1016/j.jcis.2020.05.016.</w:t>
      </w:r>
    </w:p>
    <w:p w14:paraId="67B24D7E"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[8]</w:t>
      </w:r>
      <w:r w:rsidRPr="00EE5230">
        <w:rPr>
          <w:rFonts w:cs="Arial"/>
          <w:noProof/>
        </w:rPr>
        <w:tab/>
        <w:t>R. Wang, W. Li, R. Lu, J. Peng, X. Liu, K. Liu, H. Peng, A facile synthesis of cationic and super-hydrophobic polyHIPEs as precursors to carbon foam and adsorbents for removal of non-aqueous-phase dye, Colloids Surfaces A Physicochem. Eng. Asp. 605 (2020) 125334. https://doi.org/10.1016/j.colsurfa.2020.125334.</w:t>
      </w:r>
    </w:p>
    <w:p w14:paraId="3E53D5CE"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[9]</w:t>
      </w:r>
      <w:r w:rsidRPr="00EE5230">
        <w:rPr>
          <w:rFonts w:cs="Arial"/>
          <w:noProof/>
        </w:rPr>
        <w:tab/>
        <w:t>S. Kovačič, F. Preishuber-Pflügl, D. Pahovnik, E. Žagar, C. Slugovc, Covalent incorporation of the surfactant into high internal phase emulsion templated polymeric foams, Chem. Commun. 51 (2015) 7725–7728. https://doi.org/10.1039/C4CC09199J.</w:t>
      </w:r>
    </w:p>
    <w:p w14:paraId="313E236B"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[10]</w:t>
      </w:r>
      <w:r w:rsidRPr="00EE5230">
        <w:rPr>
          <w:rFonts w:cs="Arial"/>
          <w:noProof/>
        </w:rPr>
        <w:tab/>
        <w:t>K. Mathieu, C. Jérôme, A. Debuigne, Influence of the Macromolecular Surfactant Features and Reactivity on Morphology and Surface Properties of Emulsion-Templated Porous Polymers, Macromolecules. 48 (2015) 6489–6498. https://doi.org/10.1021/acs.macromol.5b00858.</w:t>
      </w:r>
    </w:p>
    <w:p w14:paraId="37E182B5"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lastRenderedPageBreak/>
        <w:t>[11]</w:t>
      </w:r>
      <w:r w:rsidRPr="00EE5230">
        <w:rPr>
          <w:rFonts w:cs="Arial"/>
          <w:noProof/>
        </w:rPr>
        <w:tab/>
        <w:t>A. Khodabandeh, R.D. Arrua, B.R. Coad, T. Rodemann, T. Ohigashi, N. Kosugi, S.C. Thickett, E.F. Hilder, Morphology control in polymerised high internal phase emulsion templated via macro-RAFT agent composition: visualizing surface chemistry, Polym. Chem. 9 (2018) 213–220. https://doi.org/10.1039/C7PY01770G.</w:t>
      </w:r>
    </w:p>
    <w:p w14:paraId="6160347E"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[12]</w:t>
      </w:r>
      <w:r w:rsidRPr="00EE5230">
        <w:rPr>
          <w:rFonts w:cs="Arial"/>
          <w:noProof/>
        </w:rPr>
        <w:tab/>
        <w:t>K. Mathieu, C. Jérôme, A. Debuigne, Macro- and near-mesoporous monoliths by medium internal phase emulsion polymerization: A systematic study, Polymer (Guildf). 99 (2016) 157–165. https://doi.org/https://doi.org/10.1016/j.polymer.2016.07.012.</w:t>
      </w:r>
    </w:p>
    <w:p w14:paraId="42CA9E57"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[13]</w:t>
      </w:r>
      <w:r w:rsidRPr="00EE5230">
        <w:rPr>
          <w:rFonts w:cs="Arial"/>
          <w:noProof/>
        </w:rPr>
        <w:tab/>
        <w:t>K. Mathieu, J. De Winter, C. Jérôme, A. Debuigne, Simultaneous synthesis and chemical functionalization of emulsion-templated porous polymers using nitroxide-terminated macromolecular surfactants, Polym. Chem. 8 (2017) 1850–1861. https://doi.org/10.1039/c7py00128b.</w:t>
      </w:r>
    </w:p>
    <w:p w14:paraId="72293DE7"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[14]</w:t>
      </w:r>
      <w:r w:rsidRPr="00EE5230">
        <w:rPr>
          <w:rFonts w:cs="Arial"/>
          <w:noProof/>
        </w:rPr>
        <w:tab/>
        <w:t>T. Zhang, R.A. Sanguramath, S. Israel, M.S. Silverstein, Emulsion Templating: Porous Polymers and Beyond, Macromolecules. 52 (2019) 5445–5479. https://doi.org/10.1021/acs.macromol.8b02576.</w:t>
      </w:r>
    </w:p>
    <w:p w14:paraId="3338C001"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[15]</w:t>
      </w:r>
      <w:r w:rsidRPr="00EE5230">
        <w:rPr>
          <w:rFonts w:cs="Arial"/>
          <w:noProof/>
        </w:rPr>
        <w:tab/>
        <w:t>P. Nugent, E.G. Giannopoulou, S.D. Burd, O. Elemento, E.G. Giannopoulou, K. Forrest, T. Pham, S. Ma, B. Space, L. Wojtas, M. Eddaoudi, M.J. Zaworotko, Porous materials with optimal adsorption thermodynamics and kinetics for co2 separation, Nature. 495 (2013) 80–84. https://doi.org/10.1038/nature11893.</w:t>
      </w:r>
    </w:p>
    <w:p w14:paraId="232AAE39"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[16]</w:t>
      </w:r>
      <w:r w:rsidRPr="00EE5230">
        <w:rPr>
          <w:rFonts w:cs="Arial"/>
          <w:noProof/>
        </w:rPr>
        <w:tab/>
        <w:t>C. Saiwan, P. Muchan, D. De Montigny, P. Tontiwachwutikul, New poly(vinylbenzylchloride/divinylbenzene) adsorbent for carbon dioxide adsorption. Ii. Effect of amine functionalization, Energy Procedia. 63 (2014) 2317–2322. https://doi.org/10.1016/j.egypro.2014.11.251.</w:t>
      </w:r>
    </w:p>
    <w:p w14:paraId="376A7B9A"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[17]</w:t>
      </w:r>
      <w:r w:rsidRPr="00EE5230">
        <w:rPr>
          <w:rFonts w:cs="Arial"/>
          <w:noProof/>
        </w:rPr>
        <w:tab/>
        <w:t>P. Muchan, C. Saiwan, D. DeMontigny, P. Tontiwachwuthikul, Functionalisation of poly(high internal phase emulsion) with amine for CO2 capture, Chem. Eng. Trans. 35 (2013) 391–396. https://doi.org/10.3303/CET1335065.</w:t>
      </w:r>
    </w:p>
    <w:p w14:paraId="0B1493F2"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[18]</w:t>
      </w:r>
      <w:r w:rsidRPr="00EE5230">
        <w:rPr>
          <w:rFonts w:cs="Arial"/>
          <w:noProof/>
        </w:rPr>
        <w:tab/>
        <w:t>H. He, W. Li, M. Zhong, D. Konkolewicz, D. Wu, K. Yaccato, T. Rappold, G. Sugar, N.E. David, K. Matyjaszewski, Reversible CO2 capture with porous polymers using the humidity swing, Energy Environ. Sci. 6 (2013) 488–493. https://doi.org/10.1039/c2ee24139k.</w:t>
      </w:r>
    </w:p>
    <w:p w14:paraId="2F7C6BF4"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[19]</w:t>
      </w:r>
      <w:r w:rsidRPr="00EE5230">
        <w:rPr>
          <w:rFonts w:cs="Arial"/>
          <w:noProof/>
        </w:rPr>
        <w:tab/>
        <w:t>H. He, W. Li, M. Lamson, M. Zhong, D. Konkolewicz, C.M. Hui, K. Yaccato, T. Rappold, G. Sugar, N.E. David, K. Damodaran, S. Natesakhawat, H. Nulwala, K. Matyjaszewski, Porous polymers prepared via high internal phase emulsion polymerization for reversible CO2 capture, Polymer. 55 (2014) 385–394. https://doi.org/10.1016/j.polymer.2013.08.002.</w:t>
      </w:r>
    </w:p>
    <w:p w14:paraId="53463C97"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lastRenderedPageBreak/>
        <w:t>[20]</w:t>
      </w:r>
      <w:r w:rsidRPr="00EE5230">
        <w:rPr>
          <w:rFonts w:cs="Arial"/>
          <w:noProof/>
        </w:rPr>
        <w:tab/>
        <w:t>J. Zhu, L. Wu, Z. Bu, S. Jie, B.G. Li, Synthesis and CO2 Capture Behavior of Porous Cross-Linked Polymers Containing Pendant Triazole Groups, Ind. Eng. Chem. Res. 56 (2017) 10155–10163. https://doi.org/10.1021/acs.iecr.7b01961.</w:t>
      </w:r>
    </w:p>
    <w:p w14:paraId="488F5B99"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[21]</w:t>
      </w:r>
      <w:r w:rsidRPr="00EE5230">
        <w:rPr>
          <w:rFonts w:cs="Arial"/>
          <w:noProof/>
        </w:rPr>
        <w:tab/>
        <w:t>P. Dejburum, C. Saiwan, P. Tontiwachwuthikul, Polyethyleneimine loading into high internal phase emulsion polymer for CO2 adsorption: Synthesis and characterization of the PolyHIPE, Chem. Eng. Trans. 29 (2012) 193–198. https://doi.org/10.3303/CET1229033.</w:t>
      </w:r>
    </w:p>
    <w:p w14:paraId="3EB9E841"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[22]</w:t>
      </w:r>
      <w:r w:rsidRPr="00EE5230">
        <w:rPr>
          <w:rFonts w:cs="Arial"/>
          <w:noProof/>
        </w:rPr>
        <w:tab/>
        <w:t>J. Yin, T. Zhang, E. Schulman, D. Liu, J. Meng, Hierarchical porous metallized poly-melamine-formaldehyde (PMF) as a low-cost and high-efficiency catalyst for cyclic carbonate synthesis from CO2 and epoxides, J. Mater. Chem. A. 6 (2018) 8441–8448. https://doi.org/10.1039/C8TA00625C.</w:t>
      </w:r>
    </w:p>
    <w:p w14:paraId="7D0FE020"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[23]</w:t>
      </w:r>
      <w:r w:rsidRPr="00EE5230">
        <w:rPr>
          <w:rFonts w:cs="Arial"/>
          <w:noProof/>
        </w:rPr>
        <w:tab/>
        <w:t>J. Han, Z. Du, W. Zou, H. Li, C. Zhang, Moisture-Responsive Hydrogel Impregnated in Porous Polymer Foam as CO2 Adsorbent in High-Humidity Flue Gas, Ind. Eng. Chem. Res. 54 (2015) 7623–7631. https://doi.org/10.1021/acs.iecr.5b01305.</w:t>
      </w:r>
    </w:p>
    <w:p w14:paraId="651615A6"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[24]</w:t>
      </w:r>
      <w:r w:rsidRPr="00EE5230">
        <w:rPr>
          <w:rFonts w:cs="Arial"/>
          <w:noProof/>
        </w:rPr>
        <w:tab/>
        <w:t>Q. Wang, Y. Liu, J. Chen, Z. Du, J. Mi, Control of Uniform and Interconnected Macroporous Structure in PolyHIPE for Enhanced CO2 Adsorption/Desorption Kinetics, Environ. Sci. Technol. 50 (2016) 7879–7888. https://doi.org/10.1021/acs.est.6b00579.</w:t>
      </w:r>
    </w:p>
    <w:p w14:paraId="1B495C0C"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[25]</w:t>
      </w:r>
      <w:r w:rsidRPr="00EE5230">
        <w:rPr>
          <w:rFonts w:cs="Arial"/>
          <w:noProof/>
        </w:rPr>
        <w:tab/>
        <w:t>M. Irani, A.T. Jacobson, K.A.M. Gasem, M. Fan, Facilely synthesized porous polymer as support of poly(ethyleneimine) for effective CO2 capture, Energy. 157 (2018) 1–9. https://doi.org/10.1016/j.energy.2018.05.141.</w:t>
      </w:r>
    </w:p>
    <w:p w14:paraId="685CEA8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[26]</w:t>
      </w:r>
      <w:r w:rsidRPr="00EE5230">
        <w:rPr>
          <w:rFonts w:cs="Arial"/>
          <w:noProof/>
        </w:rPr>
        <w:tab/>
        <w:t>Q. Wang, H. Ma, J. Chen, Z. Du, J. Mi, Interfacial control of polyHIPE with nano-TiO2 particles and polyethylenimine toward actual application in CO2 capture, J. Environ. Chem. Eng. 5 (2017) 2807–2814. https://doi.org/10.1016/j.jece.2017.05.034.</w:t>
      </w:r>
    </w:p>
    <w:p w14:paraId="4F9F649D"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[27]</w:t>
      </w:r>
      <w:r w:rsidRPr="00EE5230">
        <w:rPr>
          <w:rFonts w:cs="Arial"/>
          <w:noProof/>
        </w:rPr>
        <w:tab/>
        <w:t>Q. Wang, H. Ma, J. Chen, Z. Du, J. Mi, Facile Synthesis of Polyethylenimine and Nano-TiO2 Particles Functionalized PolyHIPE Beads for CO2 Capture, Polym. Sci. - Ser. B. 60 (2018) 380–386. https://doi.org/10.1134/S1560090418030181.</w:t>
      </w:r>
    </w:p>
    <w:p w14:paraId="30E3ADC2"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[28]</w:t>
      </w:r>
      <w:r w:rsidRPr="00EE5230">
        <w:rPr>
          <w:rFonts w:cs="Arial"/>
          <w:noProof/>
        </w:rPr>
        <w:tab/>
        <w:t>J. Zhu, L. Wu, Z. Bu, S. Jie, B.G. Li, Polyethylenimine-Grafted HKUST-Type MOF/PolyHIPE Porous Composites (PEI@PGD-H) as Highly Efficient CO2 Adsorbents, Ind. Eng. Chem. Res. 58 (2019) 4257–4266. https://doi.org/10.1021/acs.iecr.9b00213.</w:t>
      </w:r>
    </w:p>
    <w:p w14:paraId="298DB356"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[29]</w:t>
      </w:r>
      <w:r w:rsidRPr="00EE5230">
        <w:rPr>
          <w:rFonts w:cs="Arial"/>
          <w:noProof/>
        </w:rPr>
        <w:tab/>
        <w:t xml:space="preserve">M. Mazaj, N.Z. Logar, E. Žagar, S. Kovačič, A facile strategy towards a highly accessible and hydrostable MOF-phase within hybrid polyHIPEs through in situ </w:t>
      </w:r>
      <w:r w:rsidRPr="00EE5230">
        <w:rPr>
          <w:rFonts w:cs="Arial"/>
          <w:noProof/>
        </w:rPr>
        <w:lastRenderedPageBreak/>
        <w:t>metal-oxide recrystallization, J. Mater. Chem. A. 5 (2017) 1967–1971. https://doi.org/10.1039/C6TA10886E.</w:t>
      </w:r>
    </w:p>
    <w:p w14:paraId="3C25A523"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[30]</w:t>
      </w:r>
      <w:r w:rsidRPr="00EE5230">
        <w:rPr>
          <w:rFonts w:cs="Arial"/>
          <w:noProof/>
        </w:rPr>
        <w:tab/>
        <w:t>M. Mazaj, M. Bjelica, E. Žagar, N.Z. Logar, S. Kovačič, Zeolite Nanocrystals Embedded in Microcellular Carbon Foam as a High-Performance CO2 Capture Adsorbent with Energy-Saving Regeneration Properties, ChemSusChem. 13 (2020) 2089–2097. https://doi.org/https://doi.org/10.1002/cssc.201903116.</w:t>
      </w:r>
    </w:p>
    <w:p w14:paraId="0B3D00B7"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[31]</w:t>
      </w:r>
      <w:r w:rsidRPr="00EE5230">
        <w:rPr>
          <w:rFonts w:cs="Arial"/>
          <w:noProof/>
        </w:rPr>
        <w:tab/>
        <w:t>W. Qian, J. Texter, F. Yan, Frontiers in poly(ionic liquid)s: syntheses and applications, Chem. Soc. Rev. 46 (2017) 1124–1159. https://doi.org/10.1039/C6CS00620E.</w:t>
      </w:r>
    </w:p>
    <w:p w14:paraId="3E512D85"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[32]</w:t>
      </w:r>
      <w:r w:rsidRPr="00EE5230">
        <w:rPr>
          <w:rFonts w:cs="Arial"/>
          <w:noProof/>
        </w:rPr>
        <w:tab/>
        <w:t>S. Zhang, K. Dokko, M. Watanabe, Porous ionic liquids: synthesis and application, Chem. Sci. 6 (2015) 3684–3691. https://doi.org/10.1039/C5SC01374G.</w:t>
      </w:r>
    </w:p>
    <w:p w14:paraId="4B4C1444"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[33]</w:t>
      </w:r>
      <w:r w:rsidRPr="00EE5230">
        <w:rPr>
          <w:rFonts w:cs="Arial"/>
          <w:noProof/>
        </w:rPr>
        <w:tab/>
        <w:t>S. Zulfiqar, M.I. Sarwar, D. Mecerreyes, Polymeric ionic liquids for CO 2 capture and separation: potential, progress and challenges, Polym. Chem. 6 (2015) 6435–6451. https://doi.org/10.1039/C5PY00842E.</w:t>
      </w:r>
    </w:p>
    <w:p w14:paraId="40B26373"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[34]</w:t>
      </w:r>
      <w:r w:rsidRPr="00EE5230">
        <w:rPr>
          <w:rFonts w:cs="Arial"/>
          <w:noProof/>
        </w:rPr>
        <w:tab/>
        <w:t xml:space="preserve">X. Wang, Y. Zhou, Z. Guo, G. Chen, J. Li, Y. Shi, Y. Liu, J. Wang, Heterogeneous conversion of CO </w:t>
      </w:r>
      <w:r w:rsidRPr="00EE5230">
        <w:rPr>
          <w:rFonts w:cs="Arial"/>
          <w:noProof/>
          <w:vertAlign w:val="subscript"/>
        </w:rPr>
        <w:t>2</w:t>
      </w:r>
      <w:r w:rsidRPr="00EE5230">
        <w:rPr>
          <w:rFonts w:cs="Arial"/>
          <w:noProof/>
        </w:rPr>
        <w:t xml:space="preserve"> into cyclic carbonates at ambient pressure catalyzed by ionothermal-derived meso-macroporous hierarchical poly(ionic liquid)s, Chem. Sci. 6 (2015) 6916–6924. https://doi.org/10.1039/C5SC02050F.</w:t>
      </w:r>
    </w:p>
    <w:p w14:paraId="169DF817"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[35]</w:t>
      </w:r>
      <w:r w:rsidRPr="00EE5230">
        <w:rPr>
          <w:rFonts w:cs="Arial"/>
          <w:noProof/>
        </w:rPr>
        <w:tab/>
        <w:t>J.-K. Sun, M. Antonietti, J. Yuan, Nanoporous ionic organic networks: from synthesis to materials applications, Chem. Soc. Rev. 45 (2016) 6627–6656. https://doi.org/10.1039/C6CS00597G.</w:t>
      </w:r>
    </w:p>
    <w:p w14:paraId="45433E81"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[36]</w:t>
      </w:r>
      <w:r w:rsidRPr="00EE5230">
        <w:rPr>
          <w:rFonts w:cs="Arial"/>
          <w:noProof/>
        </w:rPr>
        <w:tab/>
        <w:t>Z. Guo, Q. Jiang, Y. Shi, J. Li, X. Yang, W. Hou, Y. Zhou, J. Wang, Tethering dual hydroxyls into mesoporous poly(ionic liquid)s for chemical fixation of CO2at ambient conditions: A combined experimental and theoretical study, ACS Catal. 7 (2017) 6770–6780. https://doi.org/10.1021/acscatal.7b02399.</w:t>
      </w:r>
    </w:p>
    <w:p w14:paraId="3FC1C4E3"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[37]</w:t>
      </w:r>
      <w:r w:rsidRPr="00EE5230">
        <w:rPr>
          <w:rFonts w:cs="Arial"/>
          <w:noProof/>
        </w:rPr>
        <w:tab/>
        <w:t>S. Soll, Q. Zhao, J. Weber, J. Yuan, Activated CO2 Sorption in Mesoporous Imidazolium-Type Poly(ionic liquid)-Based Polyampholytes, Chem. Mater. 25 (2013) 3003–3010. https://doi.org/10.1021/cm4009128.</w:t>
      </w:r>
    </w:p>
    <w:p w14:paraId="07AB1322"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[38]</w:t>
      </w:r>
      <w:r w:rsidRPr="00EE5230">
        <w:rPr>
          <w:rFonts w:cs="Arial"/>
          <w:noProof/>
        </w:rPr>
        <w:tab/>
        <w:t>A. Wilke, J. Yuan, M. Antonietti, J. Weber, Enhanced Carbon Dioxide Adsorption by a Mesoporous Poly(ionic liquid), ACS Macro Lett. 1 (2012) 1028–1031. https://doi.org/10.1021/mz3003352.</w:t>
      </w:r>
    </w:p>
    <w:p w14:paraId="4909AA96"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[39]</w:t>
      </w:r>
      <w:r w:rsidRPr="00EE5230">
        <w:rPr>
          <w:rFonts w:cs="Arial"/>
          <w:noProof/>
        </w:rPr>
        <w:tab/>
        <w:t xml:space="preserve">X. Feng, C. Gao, Z. Guo, Y. Zhou, J. Wang, Pore structure controllable synthesis of mesoporous poly(ionic liquid)s by copolymerization of alkylvinylimidazolium salts </w:t>
      </w:r>
      <w:r w:rsidRPr="00EE5230">
        <w:rPr>
          <w:rFonts w:cs="Arial"/>
          <w:noProof/>
        </w:rPr>
        <w:lastRenderedPageBreak/>
        <w:t>and divinylbenzene, RSC Adv. 4 (2014) 23389–23395. https://doi.org/10.1039/c4ra03163f.</w:t>
      </w:r>
    </w:p>
    <w:p w14:paraId="12E20EEB"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[40]</w:t>
      </w:r>
      <w:r w:rsidRPr="00EE5230">
        <w:rPr>
          <w:rFonts w:cs="Arial"/>
          <w:noProof/>
        </w:rPr>
        <w:tab/>
        <w:t>A. Dani, V. Crocellà, C. Magistris, V. Santoro, J. Yuan, S. Bordiga, Click-based porous cationic polymers for enhanced carbon dioxide capture, J. Mater. Chem. A. 5 (2017) 372–383. https://doi.org/10.1039/C6TA08574A.</w:t>
      </w:r>
    </w:p>
    <w:p w14:paraId="0562F95C"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[41]</w:t>
      </w:r>
      <w:r w:rsidRPr="00EE5230">
        <w:rPr>
          <w:rFonts w:cs="Arial"/>
          <w:noProof/>
        </w:rPr>
        <w:tab/>
        <w:t>C. Boyère, A. Favrelle, A.F. Léonard, F. Boury, C. Jérôme, A. Debuigne, Macroporous poly(ionic liquid) and poly(acrylamide) monoliths from CO 2-in-water emulsion templates stabilized by sugar-based surfactants, J. Mater. Chem. A. 1 (2013) 8479–8487. https://doi.org/10.1039/c3ta11073g.</w:t>
      </w:r>
    </w:p>
    <w:p w14:paraId="4104E370"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[42]</w:t>
      </w:r>
      <w:r w:rsidRPr="00EE5230">
        <w:rPr>
          <w:rFonts w:cs="Arial"/>
          <w:noProof/>
        </w:rPr>
        <w:tab/>
        <w:t>K. Mathieu, C. Jérôme, A. Debuigne, Macroporous poly(ionic liquid)/ionic liquid gels via CO2-based emulsion-templating polymerization, Polym. Chem. 9 (2018) 428–437. https://doi.org/10.1039/C7PY01952A.</w:t>
      </w:r>
    </w:p>
    <w:p w14:paraId="73960F2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[43]</w:t>
      </w:r>
      <w:r w:rsidRPr="00EE5230">
        <w:rPr>
          <w:rFonts w:cs="Arial"/>
          <w:noProof/>
        </w:rPr>
        <w:tab/>
        <w:t>P. Stiernet, A. Aqil, X. Zhu, A. Debuigne, Multicomponent Radziszewski Emulsion Polymerization toward Macroporous Poly(ionic liquid) Catalysts, ACS Macro Lett. 9 (2020) 134–139. https://doi.org/10.1021/acsmacrolett.9b00942.</w:t>
      </w:r>
    </w:p>
    <w:p w14:paraId="5ED1738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[44]</w:t>
      </w:r>
      <w:r w:rsidRPr="00EE5230">
        <w:rPr>
          <w:rFonts w:cs="Arial"/>
          <w:noProof/>
        </w:rPr>
        <w:tab/>
        <w:t>S. Saxer, C. Marestin, R. Mercier, J. Dupuy, The multicomponent Debus-Radziszewski reaction in macromolecular chemistry, Polym. Chem. 9 (2018) 1927–1933. https://doi.org/10.1039/c8py00173a.</w:t>
      </w:r>
    </w:p>
    <w:p w14:paraId="244B2DF6"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[45]</w:t>
      </w:r>
      <w:r w:rsidRPr="00EE5230">
        <w:rPr>
          <w:rFonts w:cs="Arial"/>
          <w:noProof/>
        </w:rPr>
        <w:tab/>
        <w:t>A. Llevot, A.C. Boukis, S. Oelmann, K. Wetzel, M.A.R. Meier, An Update on Isocyanide-Based Multicomponent Reactions in Polymer Science, Top. Curr. Chem. 375 (2017) 1–29. https://doi.org/10.1007/s41061-017-0153-4.</w:t>
      </w:r>
    </w:p>
    <w:p w14:paraId="732EF741"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[46]</w:t>
      </w:r>
      <w:r w:rsidRPr="00EE5230">
        <w:rPr>
          <w:rFonts w:cs="Arial"/>
          <w:noProof/>
        </w:rPr>
        <w:tab/>
        <w:t>B. Yang, Y. Zhao, Y. Wei, C. Fu, L. Tao, The Ugi reaction in polymer chemistry: syntheses, applications and perspectives, Polym. Chem. 6 (2015) 8233–8239. https://doi.org/10.1039/C5PY01398D.</w:t>
      </w:r>
    </w:p>
    <w:p w14:paraId="6BD05DFD"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[47]</w:t>
      </w:r>
      <w:r w:rsidRPr="00EE5230">
        <w:rPr>
          <w:rFonts w:cs="Arial"/>
          <w:noProof/>
        </w:rPr>
        <w:tab/>
        <w:t>R. Kakuchi, Multicomponent reactions in polymer synthesis, Angew. Chemie - Int. Ed. 53 (2014) 46–48. https://doi.org/10.1002/anie.201305538.</w:t>
      </w:r>
    </w:p>
    <w:p w14:paraId="33B2A9F9"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[48]</w:t>
      </w:r>
      <w:r w:rsidRPr="00EE5230">
        <w:rPr>
          <w:rFonts w:cs="Arial"/>
          <w:noProof/>
        </w:rPr>
        <w:tab/>
        <w:t>D. Esposito, S. Kirchhecker, M. Antonietti, A Sustainable Route towards Imidazolium Building Blocks Based on Biomass Molecules, Chem. – A Eur. J. 19 (2013) 15097–15100. https://doi.org/10.1002/chem.201302806.</w:t>
      </w:r>
    </w:p>
    <w:p w14:paraId="682F810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[49]</w:t>
      </w:r>
      <w:r w:rsidRPr="00EE5230">
        <w:rPr>
          <w:rFonts w:cs="Arial"/>
          <w:noProof/>
        </w:rPr>
        <w:tab/>
        <w:t>E.I. Privalova, E. Karjalainen, M. Nurmi, P. Mäki-Arvela, K. Eränen, H. Tenhu, D.Y. Murzin, J.-P. Mikkola, Imidazolium-Based Poly(ionic liquid)s as New Alternatives for CO2 Capture, ChemSusChem. 6 (2013) 1500–1509. https://doi.org/https://doi.org/10.1002/cssc.201300120.</w:t>
      </w:r>
    </w:p>
    <w:p w14:paraId="017700DB"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lastRenderedPageBreak/>
        <w:t>[50]</w:t>
      </w:r>
      <w:r w:rsidRPr="00EE5230">
        <w:rPr>
          <w:rFonts w:cs="Arial"/>
          <w:noProof/>
        </w:rPr>
        <w:tab/>
        <w:t>A.S. Aquino, F.L. Bernard, J. V Borges, L. Mafra, F.D. Vecchia, M.O. Vieira, R. Ligabue, M. Seferin, V. V Chaban, E.J. Cabrita, S. Einloft, Rationalizing the role of the anion in CO2 capture and conversion using imidazolium-based ionic liquid modified mesoporous silica, RSC Adv. 5 (2015) 64220–64227. https://doi.org/10.1039/C5RA07561K.</w:t>
      </w:r>
    </w:p>
    <w:p w14:paraId="4D689452"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[51]</w:t>
      </w:r>
      <w:r w:rsidRPr="00EE5230">
        <w:rPr>
          <w:rFonts w:cs="Arial"/>
          <w:noProof/>
        </w:rPr>
        <w:tab/>
        <w:t>M. Besnard, M.I. Cabaço, F.V. Chávez, N. Pinaud, P.J. Sebastião, J.A.P. Coutinho, Y. Danten, On the spontaneous carboxylation of 1-butyl-3-methylimidazolium acetate by carbon dioxide, Chem. Commun. 48 (2012) 1245–1247. https://doi.org/10.1039/C1CC16702B.</w:t>
      </w:r>
    </w:p>
    <w:p w14:paraId="400EE18F"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[52]</w:t>
      </w:r>
      <w:r w:rsidRPr="00EE5230">
        <w:rPr>
          <w:rFonts w:cs="Arial"/>
          <w:noProof/>
        </w:rPr>
        <w:tab/>
        <w:t>N. McCann, D. Phan, X. Wang, W. Conway, R. Burns, M. Attalla, G. Puxty, M. Maeder, Kinetics and Mechanism of Carbamate Formation from CO2(aq), Carbonate Species, and Monoethanolamine in Aqueous Solution, J. Phys. Chem. A. 113 (2009) 5022–5029. https://doi.org/10.1021/jp810564z.</w:t>
      </w:r>
    </w:p>
    <w:p w14:paraId="15F0131A" w14:textId="77777777" w:rsidR="00EE5230" w:rsidRPr="00EE5230" w:rsidRDefault="00EE5230" w:rsidP="00EE5230">
      <w:pPr>
        <w:widowControl w:val="0"/>
        <w:autoSpaceDE w:val="0"/>
        <w:autoSpaceDN w:val="0"/>
        <w:adjustRightInd w:val="0"/>
        <w:ind w:left="640" w:hanging="640"/>
        <w:rPr>
          <w:rFonts w:cs="Arial"/>
          <w:noProof/>
        </w:rPr>
      </w:pPr>
      <w:r w:rsidRPr="00EE5230">
        <w:rPr>
          <w:rFonts w:cs="Arial"/>
          <w:noProof/>
        </w:rPr>
        <w:t>[53]</w:t>
      </w:r>
      <w:r w:rsidRPr="00EE5230">
        <w:rPr>
          <w:rFonts w:cs="Arial"/>
          <w:noProof/>
        </w:rPr>
        <w:tab/>
        <w:t>T.C. Drage, C.E. Snape, L.A. Stevens, J. Wood, J. Wang, A.I. Cooper, R. Dawson, X. Guo, C. Satterley, R. Irons, Materials challenges for the development of solid sorbents for post-combustion carbon capture, J. Mater. Chem. 22 (2012) 2815–2823. https://doi.org/10.1039/C2JM12592G.</w:t>
      </w:r>
    </w:p>
    <w:p w14:paraId="3619925B" w14:textId="77777777" w:rsidR="00EE5230" w:rsidRPr="00A42478" w:rsidRDefault="00EE5230" w:rsidP="00EE5230">
      <w:r w:rsidRPr="00EE5230">
        <w:rPr>
          <w:rFonts w:cs="Arial"/>
        </w:rPr>
        <w:fldChar w:fldCharType="end"/>
      </w:r>
    </w:p>
    <w:p w14:paraId="0E107298" w14:textId="77777777" w:rsidR="00EE5230" w:rsidRPr="00A42478" w:rsidRDefault="00EE5230" w:rsidP="00EE5230">
      <w:pPr>
        <w:ind w:left="964"/>
      </w:pPr>
    </w:p>
    <w:p w14:paraId="2808FA47" w14:textId="77777777" w:rsidR="00EE5230" w:rsidRPr="00A42478" w:rsidRDefault="00EE5230" w:rsidP="00EE5230">
      <w:pPr>
        <w:ind w:left="964"/>
      </w:pPr>
    </w:p>
    <w:bookmarkEnd w:id="22"/>
    <w:p w14:paraId="7B762D16" w14:textId="77777777" w:rsidR="00EE5230" w:rsidRPr="00A42478" w:rsidRDefault="00EE5230" w:rsidP="00EE5230"/>
    <w:p w14:paraId="62D9DA05" w14:textId="77777777" w:rsidR="00EE5230" w:rsidRPr="00EE5230" w:rsidRDefault="00EE5230" w:rsidP="00EE5230"/>
    <w:sectPr w:rsidR="00EE5230" w:rsidRPr="00EE5230" w:rsidSect="00EE5230">
      <w:head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A11F0" w14:textId="77777777" w:rsidR="0005245D" w:rsidRDefault="0005245D" w:rsidP="00BD5D30">
      <w:pPr>
        <w:spacing w:after="0" w:line="240" w:lineRule="auto"/>
      </w:pPr>
      <w:r>
        <w:separator/>
      </w:r>
    </w:p>
  </w:endnote>
  <w:endnote w:type="continuationSeparator" w:id="0">
    <w:p w14:paraId="0160116D" w14:textId="77777777" w:rsidR="0005245D" w:rsidRDefault="0005245D" w:rsidP="00BD5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1C489" w14:textId="77777777" w:rsidR="0005245D" w:rsidRDefault="0005245D" w:rsidP="00BD5D30">
      <w:pPr>
        <w:spacing w:after="0" w:line="240" w:lineRule="auto"/>
      </w:pPr>
      <w:r>
        <w:separator/>
      </w:r>
    </w:p>
  </w:footnote>
  <w:footnote w:type="continuationSeparator" w:id="0">
    <w:p w14:paraId="6D5A757C" w14:textId="77777777" w:rsidR="0005245D" w:rsidRDefault="0005245D" w:rsidP="00BD5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94A5" w14:textId="6DF2AA6E" w:rsidR="00BC082E" w:rsidRDefault="00BC082E" w:rsidP="00BC3741">
    <w:pPr>
      <w:pStyle w:val="En-tte"/>
      <w:pBdr>
        <w:bottom w:val="single" w:sz="4" w:space="1" w:color="auto"/>
      </w:pBdr>
      <w:rPr>
        <w:rFonts w:cs="Arial"/>
        <w:szCs w:val="24"/>
      </w:rPr>
    </w:pPr>
    <w:r>
      <w:rPr>
        <w:sz w:val="20"/>
        <w:szCs w:val="20"/>
      </w:rPr>
      <w:t xml:space="preserve">This is the authors’ version of the article published in </w:t>
    </w:r>
    <w:r w:rsidR="00C60885" w:rsidRPr="00C60885">
      <w:rPr>
        <w:sz w:val="20"/>
        <w:szCs w:val="20"/>
      </w:rPr>
      <w:t>Chemical Engineering Journal</w:t>
    </w:r>
    <w:r w:rsidRPr="00C60885">
      <w:rPr>
        <w:sz w:val="20"/>
        <w:szCs w:val="20"/>
      </w:rPr>
      <w:t>. Changes</w:t>
    </w:r>
    <w:r>
      <w:rPr>
        <w:sz w:val="20"/>
        <w:szCs w:val="20"/>
      </w:rPr>
      <w:t xml:space="preserve"> were made to this version by the publisher prior to publication. The final version is available at </w:t>
    </w:r>
    <w:hyperlink r:id="rId1" w:tgtFrame="_blank" w:tooltip="Persistent link using digital object identifier" w:history="1">
      <w:r>
        <w:rPr>
          <w:rStyle w:val="Lienhypertexte"/>
          <w:rFonts w:cs="Arial"/>
          <w:color w:val="FF6C00"/>
          <w:sz w:val="21"/>
          <w:szCs w:val="21"/>
        </w:rPr>
        <w:t>https://doi.org/10.10</w:t>
      </w:r>
      <w:r>
        <w:rPr>
          <w:rStyle w:val="Lienhypertexte"/>
          <w:rFonts w:cs="Arial"/>
          <w:color w:val="FF6C00"/>
          <w:sz w:val="21"/>
          <w:szCs w:val="21"/>
        </w:rPr>
        <w:t>1</w:t>
      </w:r>
      <w:r>
        <w:rPr>
          <w:rStyle w:val="Lienhypertexte"/>
          <w:rFonts w:cs="Arial"/>
          <w:color w:val="FF6C00"/>
          <w:sz w:val="21"/>
          <w:szCs w:val="21"/>
        </w:rPr>
        <w:t>6/j.cej.2022.137012</w:t>
      </w:r>
    </w:hyperlink>
    <w:r>
      <w:t xml:space="preserve"> </w:t>
    </w:r>
  </w:p>
  <w:p w14:paraId="5202FC06" w14:textId="77777777" w:rsidR="00860E8C" w:rsidRDefault="00860E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030ED"/>
    <w:multiLevelType w:val="hybridMultilevel"/>
    <w:tmpl w:val="7CE4A57A"/>
    <w:lvl w:ilvl="0" w:tplc="C5F4D47E">
      <w:start w:val="201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32C04"/>
    <w:multiLevelType w:val="hybridMultilevel"/>
    <w:tmpl w:val="B20CFE1A"/>
    <w:lvl w:ilvl="0" w:tplc="2FA4048C">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0C71CDA"/>
    <w:multiLevelType w:val="hybridMultilevel"/>
    <w:tmpl w:val="41EC8DE4"/>
    <w:lvl w:ilvl="0" w:tplc="17D81D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D1111"/>
    <w:multiLevelType w:val="hybridMultilevel"/>
    <w:tmpl w:val="BBA8BF9E"/>
    <w:lvl w:ilvl="0" w:tplc="8062D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CA83D77"/>
    <w:multiLevelType w:val="multilevel"/>
    <w:tmpl w:val="5FF4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25264A6"/>
    <w:multiLevelType w:val="hybridMultilevel"/>
    <w:tmpl w:val="C6DA3886"/>
    <w:lvl w:ilvl="0" w:tplc="E8AA76E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2824061"/>
    <w:multiLevelType w:val="hybridMultilevel"/>
    <w:tmpl w:val="C66A4D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94A711B"/>
    <w:multiLevelType w:val="hybridMultilevel"/>
    <w:tmpl w:val="07BAAF60"/>
    <w:lvl w:ilvl="0" w:tplc="B5529330">
      <w:start w:val="1"/>
      <w:numFmt w:val="bullet"/>
      <w:lvlText w:val=""/>
      <w:lvlJc w:val="left"/>
      <w:pPr>
        <w:ind w:left="1070" w:hanging="360"/>
      </w:pPr>
      <w:rPr>
        <w:rFonts w:ascii="Wingdings" w:eastAsiaTheme="minorHAnsi" w:hAnsi="Wingdings" w:cstheme="minorBidi"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num w:numId="1" w16cid:durableId="78521341">
    <w:abstractNumId w:val="4"/>
  </w:num>
  <w:num w:numId="2" w16cid:durableId="1753432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2673116">
    <w:abstractNumId w:val="6"/>
  </w:num>
  <w:num w:numId="4" w16cid:durableId="1636249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2332143">
    <w:abstractNumId w:val="7"/>
  </w:num>
  <w:num w:numId="6" w16cid:durableId="1289892927">
    <w:abstractNumId w:val="9"/>
  </w:num>
  <w:num w:numId="7" w16cid:durableId="1236013779">
    <w:abstractNumId w:val="1"/>
  </w:num>
  <w:num w:numId="8" w16cid:durableId="2042243512">
    <w:abstractNumId w:val="0"/>
  </w:num>
  <w:num w:numId="9" w16cid:durableId="515584285">
    <w:abstractNumId w:val="5"/>
  </w:num>
  <w:num w:numId="10" w16cid:durableId="763259848">
    <w:abstractNumId w:val="2"/>
  </w:num>
  <w:num w:numId="11" w16cid:durableId="527911474">
    <w:abstractNumId w:val="3"/>
  </w:num>
  <w:num w:numId="12" w16cid:durableId="12599434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87E"/>
    <w:rsid w:val="0005245D"/>
    <w:rsid w:val="0007098C"/>
    <w:rsid w:val="00113C37"/>
    <w:rsid w:val="00113ECB"/>
    <w:rsid w:val="001352F8"/>
    <w:rsid w:val="00153AFC"/>
    <w:rsid w:val="00157820"/>
    <w:rsid w:val="001A1BD3"/>
    <w:rsid w:val="001E0B2C"/>
    <w:rsid w:val="001F5E87"/>
    <w:rsid w:val="00241EB4"/>
    <w:rsid w:val="00285A70"/>
    <w:rsid w:val="00297ABA"/>
    <w:rsid w:val="002C1F1F"/>
    <w:rsid w:val="003420D4"/>
    <w:rsid w:val="00375D2B"/>
    <w:rsid w:val="00395049"/>
    <w:rsid w:val="003A256C"/>
    <w:rsid w:val="003C6F53"/>
    <w:rsid w:val="00402D09"/>
    <w:rsid w:val="00436C51"/>
    <w:rsid w:val="00437B45"/>
    <w:rsid w:val="004A297F"/>
    <w:rsid w:val="00582E3F"/>
    <w:rsid w:val="0060273B"/>
    <w:rsid w:val="006E6B26"/>
    <w:rsid w:val="006F079D"/>
    <w:rsid w:val="00716602"/>
    <w:rsid w:val="00731FAE"/>
    <w:rsid w:val="00734BFA"/>
    <w:rsid w:val="00776A62"/>
    <w:rsid w:val="007777AD"/>
    <w:rsid w:val="007E31B3"/>
    <w:rsid w:val="00845678"/>
    <w:rsid w:val="00860E8C"/>
    <w:rsid w:val="008B7F35"/>
    <w:rsid w:val="008E77C7"/>
    <w:rsid w:val="008F37C1"/>
    <w:rsid w:val="00906439"/>
    <w:rsid w:val="009609D4"/>
    <w:rsid w:val="009A62A9"/>
    <w:rsid w:val="00A00DE4"/>
    <w:rsid w:val="00A32997"/>
    <w:rsid w:val="00A42346"/>
    <w:rsid w:val="00A544BB"/>
    <w:rsid w:val="00A61F77"/>
    <w:rsid w:val="00AE587E"/>
    <w:rsid w:val="00B00A08"/>
    <w:rsid w:val="00B00B17"/>
    <w:rsid w:val="00B0310A"/>
    <w:rsid w:val="00B96B69"/>
    <w:rsid w:val="00BC082E"/>
    <w:rsid w:val="00BC3741"/>
    <w:rsid w:val="00BD5D30"/>
    <w:rsid w:val="00C05CFA"/>
    <w:rsid w:val="00C30F51"/>
    <w:rsid w:val="00C60885"/>
    <w:rsid w:val="00C6260C"/>
    <w:rsid w:val="00C91A77"/>
    <w:rsid w:val="00D30BA9"/>
    <w:rsid w:val="00EE0B5F"/>
    <w:rsid w:val="00EE5230"/>
    <w:rsid w:val="00EF08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55529"/>
  <w15:docId w15:val="{7C2EC226-E4D8-415E-A10C-5D0B331B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230"/>
    <w:pPr>
      <w:spacing w:after="200" w:line="276" w:lineRule="auto"/>
      <w:jc w:val="both"/>
    </w:pPr>
    <w:rPr>
      <w:rFonts w:ascii="Arial" w:hAnsi="Arial"/>
      <w:sz w:val="24"/>
      <w:lang w:val="en-GB"/>
    </w:rPr>
  </w:style>
  <w:style w:type="paragraph" w:styleId="Titre1">
    <w:name w:val="heading 1"/>
    <w:basedOn w:val="Normal"/>
    <w:next w:val="Normal"/>
    <w:link w:val="Titre1Car"/>
    <w:uiPriority w:val="9"/>
    <w:qFormat/>
    <w:rsid w:val="006E6B26"/>
    <w:pPr>
      <w:keepNext/>
      <w:keepLines/>
      <w:spacing w:before="240" w:after="0"/>
      <w:outlineLvl w:val="0"/>
    </w:pPr>
    <w:rPr>
      <w:rFonts w:eastAsiaTheme="majorEastAsia" w:cstheme="majorBidi"/>
      <w:b/>
      <w:color w:val="000000" w:themeColor="text1"/>
      <w:sz w:val="32"/>
      <w:szCs w:val="32"/>
    </w:rPr>
  </w:style>
  <w:style w:type="paragraph" w:styleId="Titre2">
    <w:name w:val="heading 2"/>
    <w:basedOn w:val="Normal"/>
    <w:next w:val="Normal"/>
    <w:link w:val="Titre2Car"/>
    <w:uiPriority w:val="9"/>
    <w:unhideWhenUsed/>
    <w:qFormat/>
    <w:rsid w:val="006E6B26"/>
    <w:pPr>
      <w:keepNext/>
      <w:keepLines/>
      <w:spacing w:before="40" w:after="0"/>
      <w:outlineLvl w:val="1"/>
    </w:pPr>
    <w:rPr>
      <w:rFonts w:eastAsiaTheme="majorEastAsia" w:cstheme="majorBidi"/>
      <w:b/>
      <w:color w:val="000000" w:themeColor="text1"/>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6B26"/>
    <w:rPr>
      <w:color w:val="0563C1" w:themeColor="hyperlink"/>
      <w:u w:val="single"/>
    </w:rPr>
  </w:style>
  <w:style w:type="character" w:styleId="Lienhypertextesuivivisit">
    <w:name w:val="FollowedHyperlink"/>
    <w:basedOn w:val="Policepardfaut"/>
    <w:uiPriority w:val="99"/>
    <w:semiHidden/>
    <w:unhideWhenUsed/>
    <w:rsid w:val="006E6B26"/>
    <w:rPr>
      <w:color w:val="954F72" w:themeColor="followedHyperlink"/>
      <w:u w:val="single"/>
    </w:rPr>
  </w:style>
  <w:style w:type="paragraph" w:customStyle="1" w:styleId="msonormal0">
    <w:name w:val="msonormal"/>
    <w:basedOn w:val="Normal"/>
    <w:uiPriority w:val="99"/>
    <w:semiHidden/>
    <w:rsid w:val="006E6B2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6E6B2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tedebasdepage">
    <w:name w:val="footnote text"/>
    <w:basedOn w:val="Normal"/>
    <w:link w:val="NotedebasdepageCar"/>
    <w:uiPriority w:val="99"/>
    <w:semiHidden/>
    <w:unhideWhenUsed/>
    <w:rsid w:val="006E6B2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6B26"/>
    <w:rPr>
      <w:sz w:val="20"/>
      <w:szCs w:val="20"/>
      <w:lang w:val="en-GB"/>
    </w:rPr>
  </w:style>
  <w:style w:type="paragraph" w:styleId="Commentaire">
    <w:name w:val="annotation text"/>
    <w:basedOn w:val="Normal"/>
    <w:link w:val="CommentaireCar"/>
    <w:uiPriority w:val="99"/>
    <w:unhideWhenUsed/>
    <w:rsid w:val="006E6B26"/>
    <w:pPr>
      <w:spacing w:line="240" w:lineRule="auto"/>
    </w:pPr>
    <w:rPr>
      <w:sz w:val="20"/>
      <w:szCs w:val="20"/>
    </w:rPr>
  </w:style>
  <w:style w:type="character" w:customStyle="1" w:styleId="CommentaireCar">
    <w:name w:val="Commentaire Car"/>
    <w:basedOn w:val="Policepardfaut"/>
    <w:link w:val="Commentaire"/>
    <w:uiPriority w:val="99"/>
    <w:rsid w:val="006E6B26"/>
    <w:rPr>
      <w:sz w:val="20"/>
      <w:szCs w:val="20"/>
      <w:lang w:val="en-GB"/>
    </w:rPr>
  </w:style>
  <w:style w:type="paragraph" w:styleId="En-tte">
    <w:name w:val="header"/>
    <w:basedOn w:val="Normal"/>
    <w:link w:val="En-tteCar"/>
    <w:uiPriority w:val="99"/>
    <w:unhideWhenUsed/>
    <w:rsid w:val="006E6B26"/>
    <w:pPr>
      <w:tabs>
        <w:tab w:val="center" w:pos="4513"/>
        <w:tab w:val="right" w:pos="9026"/>
      </w:tabs>
      <w:spacing w:after="0" w:line="240" w:lineRule="auto"/>
    </w:pPr>
  </w:style>
  <w:style w:type="character" w:customStyle="1" w:styleId="En-tteCar">
    <w:name w:val="En-tête Car"/>
    <w:basedOn w:val="Policepardfaut"/>
    <w:link w:val="En-tte"/>
    <w:uiPriority w:val="99"/>
    <w:rsid w:val="006E6B26"/>
    <w:rPr>
      <w:lang w:val="en-GB"/>
    </w:rPr>
  </w:style>
  <w:style w:type="paragraph" w:styleId="Pieddepage">
    <w:name w:val="footer"/>
    <w:basedOn w:val="Normal"/>
    <w:link w:val="PieddepageCar"/>
    <w:uiPriority w:val="99"/>
    <w:unhideWhenUsed/>
    <w:rsid w:val="006E6B2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E6B26"/>
    <w:rPr>
      <w:lang w:val="en-GB"/>
    </w:rPr>
  </w:style>
  <w:style w:type="paragraph" w:styleId="Lgende">
    <w:name w:val="caption"/>
    <w:basedOn w:val="Normal"/>
    <w:next w:val="Normal"/>
    <w:uiPriority w:val="35"/>
    <w:semiHidden/>
    <w:unhideWhenUsed/>
    <w:qFormat/>
    <w:rsid w:val="006E6B26"/>
    <w:pPr>
      <w:spacing w:line="200" w:lineRule="exact"/>
    </w:pPr>
    <w:rPr>
      <w:bCs/>
      <w:sz w:val="14"/>
      <w:szCs w:val="18"/>
    </w:rPr>
  </w:style>
  <w:style w:type="paragraph" w:styleId="Objetducommentaire">
    <w:name w:val="annotation subject"/>
    <w:basedOn w:val="Commentaire"/>
    <w:next w:val="Commentaire"/>
    <w:link w:val="ObjetducommentaireCar"/>
    <w:uiPriority w:val="99"/>
    <w:semiHidden/>
    <w:unhideWhenUsed/>
    <w:rsid w:val="006E6B26"/>
    <w:rPr>
      <w:b/>
      <w:bCs/>
    </w:rPr>
  </w:style>
  <w:style w:type="character" w:customStyle="1" w:styleId="ObjetducommentaireCar">
    <w:name w:val="Objet du commentaire Car"/>
    <w:basedOn w:val="CommentaireCar"/>
    <w:link w:val="Objetducommentaire"/>
    <w:uiPriority w:val="99"/>
    <w:semiHidden/>
    <w:rsid w:val="006E6B26"/>
    <w:rPr>
      <w:b/>
      <w:bCs/>
      <w:sz w:val="20"/>
      <w:szCs w:val="20"/>
      <w:lang w:val="en-GB"/>
    </w:rPr>
  </w:style>
  <w:style w:type="paragraph" w:styleId="Textedebulles">
    <w:name w:val="Balloon Text"/>
    <w:basedOn w:val="Normal"/>
    <w:link w:val="TextedebullesCar"/>
    <w:uiPriority w:val="99"/>
    <w:semiHidden/>
    <w:unhideWhenUsed/>
    <w:rsid w:val="006E6B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B26"/>
    <w:rPr>
      <w:rFonts w:ascii="Tahoma" w:hAnsi="Tahoma" w:cs="Tahoma"/>
      <w:sz w:val="16"/>
      <w:szCs w:val="16"/>
      <w:lang w:val="en-GB"/>
    </w:rPr>
  </w:style>
  <w:style w:type="paragraph" w:styleId="Sansinterligne">
    <w:name w:val="No Spacing"/>
    <w:uiPriority w:val="1"/>
    <w:qFormat/>
    <w:rsid w:val="006E6B26"/>
    <w:pPr>
      <w:spacing w:after="0" w:line="240" w:lineRule="auto"/>
    </w:pPr>
    <w:rPr>
      <w:lang w:val="en-GB"/>
    </w:rPr>
  </w:style>
  <w:style w:type="paragraph" w:styleId="Rvision">
    <w:name w:val="Revision"/>
    <w:uiPriority w:val="99"/>
    <w:semiHidden/>
    <w:rsid w:val="006E6B26"/>
    <w:pPr>
      <w:spacing w:after="0" w:line="240" w:lineRule="auto"/>
    </w:pPr>
    <w:rPr>
      <w:lang w:val="en-GB"/>
    </w:rPr>
  </w:style>
  <w:style w:type="paragraph" w:styleId="Paragraphedeliste">
    <w:name w:val="List Paragraph"/>
    <w:basedOn w:val="Normal"/>
    <w:qFormat/>
    <w:rsid w:val="006E6B26"/>
    <w:pPr>
      <w:ind w:left="720"/>
      <w:contextualSpacing/>
    </w:pPr>
  </w:style>
  <w:style w:type="character" w:customStyle="1" w:styleId="RSCH01PaperTitleChar">
    <w:name w:val="RSC H01 Paper Title Char"/>
    <w:basedOn w:val="Policepardfaut"/>
    <w:link w:val="RSCH01PaperTitle"/>
    <w:semiHidden/>
    <w:locked/>
    <w:rsid w:val="006E6B26"/>
    <w:rPr>
      <w:rFonts w:ascii="Times New Roman" w:hAnsi="Times New Roman" w:cs="Times New Roman"/>
      <w:b/>
      <w:sz w:val="29"/>
      <w:szCs w:val="32"/>
    </w:rPr>
  </w:style>
  <w:style w:type="paragraph" w:customStyle="1" w:styleId="RSCH01PaperTitle">
    <w:name w:val="RSC H01 Paper Title"/>
    <w:basedOn w:val="Normal"/>
    <w:next w:val="Normal"/>
    <w:link w:val="RSCH01PaperTitleChar"/>
    <w:semiHidden/>
    <w:qFormat/>
    <w:rsid w:val="006E6B26"/>
    <w:pPr>
      <w:tabs>
        <w:tab w:val="left" w:pos="284"/>
      </w:tabs>
      <w:spacing w:before="400" w:after="160" w:line="240" w:lineRule="auto"/>
    </w:pPr>
    <w:rPr>
      <w:rFonts w:ascii="Times New Roman" w:hAnsi="Times New Roman" w:cs="Times New Roman"/>
      <w:b/>
      <w:sz w:val="29"/>
      <w:szCs w:val="32"/>
      <w:lang w:val="en-US"/>
    </w:rPr>
  </w:style>
  <w:style w:type="character" w:customStyle="1" w:styleId="RSCH02PaperAuthorsandBylineChar">
    <w:name w:val="RSC H02 Paper Authors and Byline Char"/>
    <w:basedOn w:val="Policepardfaut"/>
    <w:link w:val="RSCH02PaperAuthorsandByline"/>
    <w:semiHidden/>
    <w:locked/>
    <w:rsid w:val="006E6B26"/>
    <w:rPr>
      <w:rFonts w:ascii="Times New Roman" w:hAnsi="Times New Roman" w:cs="Times New Roman"/>
      <w:sz w:val="20"/>
    </w:rPr>
  </w:style>
  <w:style w:type="paragraph" w:customStyle="1" w:styleId="RSCH02PaperAuthorsandByline">
    <w:name w:val="RSC H02 Paper Authors and Byline"/>
    <w:basedOn w:val="Normal"/>
    <w:link w:val="RSCH02PaperAuthorsandBylineChar"/>
    <w:semiHidden/>
    <w:qFormat/>
    <w:rsid w:val="006E6B26"/>
    <w:pPr>
      <w:spacing w:after="120" w:line="240" w:lineRule="exact"/>
    </w:pPr>
    <w:rPr>
      <w:rFonts w:ascii="Times New Roman" w:hAnsi="Times New Roman" w:cs="Times New Roman"/>
      <w:sz w:val="20"/>
      <w:lang w:val="en-US"/>
    </w:rPr>
  </w:style>
  <w:style w:type="character" w:customStyle="1" w:styleId="RSCB01ARTAbstractChar">
    <w:name w:val="RSC B01 ART Abstract Char"/>
    <w:basedOn w:val="Policepardfaut"/>
    <w:link w:val="RSCB01ARTAbstract"/>
    <w:semiHidden/>
    <w:locked/>
    <w:rsid w:val="006E6B26"/>
    <w:rPr>
      <w:noProof/>
      <w:sz w:val="16"/>
      <w:lang w:eastAsia="en-GB"/>
    </w:rPr>
  </w:style>
  <w:style w:type="paragraph" w:customStyle="1" w:styleId="RSCB01ARTAbstract">
    <w:name w:val="RSC B01 ART Abstract"/>
    <w:basedOn w:val="Normal"/>
    <w:link w:val="RSCB01ARTAbstractChar"/>
    <w:semiHidden/>
    <w:qFormat/>
    <w:rsid w:val="006E6B26"/>
    <w:pPr>
      <w:spacing w:line="240" w:lineRule="exact"/>
    </w:pPr>
    <w:rPr>
      <w:noProof/>
      <w:sz w:val="16"/>
      <w:lang w:val="en-US" w:eastAsia="en-GB"/>
    </w:rPr>
  </w:style>
  <w:style w:type="character" w:customStyle="1" w:styleId="RSCB02ArticleTextChar">
    <w:name w:val="RSC B02 Article Text Char"/>
    <w:basedOn w:val="Policepardfaut"/>
    <w:link w:val="RSCB02ArticleText"/>
    <w:locked/>
    <w:rsid w:val="006E6B26"/>
    <w:rPr>
      <w:rFonts w:ascii="Times New Roman" w:hAnsi="Times New Roman" w:cs="Times New Roman"/>
      <w:w w:val="108"/>
      <w:sz w:val="18"/>
      <w:szCs w:val="18"/>
    </w:rPr>
  </w:style>
  <w:style w:type="paragraph" w:customStyle="1" w:styleId="RSCB02ArticleText">
    <w:name w:val="RSC B02 Article Text"/>
    <w:basedOn w:val="Normal"/>
    <w:link w:val="RSCB02ArticleTextChar"/>
    <w:qFormat/>
    <w:rsid w:val="006E6B26"/>
    <w:pPr>
      <w:spacing w:after="0" w:line="240" w:lineRule="exact"/>
    </w:pPr>
    <w:rPr>
      <w:rFonts w:ascii="Times New Roman" w:hAnsi="Times New Roman" w:cs="Times New Roman"/>
      <w:w w:val="108"/>
      <w:sz w:val="18"/>
      <w:szCs w:val="18"/>
      <w:lang w:val="en-US"/>
    </w:rPr>
  </w:style>
  <w:style w:type="character" w:customStyle="1" w:styleId="09ListTextChar">
    <w:name w:val="09 List Text Char"/>
    <w:basedOn w:val="RSCB02ArticleTextChar"/>
    <w:link w:val="09ListText"/>
    <w:semiHidden/>
    <w:locked/>
    <w:rsid w:val="006E6B26"/>
    <w:rPr>
      <w:rFonts w:ascii="Times New Roman" w:eastAsia="Times New Roman" w:hAnsi="Times New Roman" w:cs="Times New Roman"/>
      <w:w w:val="108"/>
      <w:sz w:val="18"/>
      <w:szCs w:val="18"/>
      <w:lang w:eastAsia="en-GB"/>
    </w:rPr>
  </w:style>
  <w:style w:type="paragraph" w:customStyle="1" w:styleId="09ListText">
    <w:name w:val="09 List Text"/>
    <w:basedOn w:val="RSCB02ArticleText"/>
    <w:link w:val="09ListTextChar"/>
    <w:semiHidden/>
    <w:rsid w:val="006E6B26"/>
    <w:pPr>
      <w:widowControl w:val="0"/>
      <w:spacing w:line="230" w:lineRule="exact"/>
      <w:ind w:left="284" w:hanging="284"/>
    </w:pPr>
    <w:rPr>
      <w:rFonts w:eastAsia="Times New Roman"/>
      <w:lang w:eastAsia="en-GB"/>
    </w:rPr>
  </w:style>
  <w:style w:type="character" w:customStyle="1" w:styleId="RSCF01FootnoteAuthorAddressChar">
    <w:name w:val="RSC F01 Footnote Author Address Char"/>
    <w:basedOn w:val="Policepardfaut"/>
    <w:link w:val="RSCF01FootnoteAuthorAddress"/>
    <w:semiHidden/>
    <w:locked/>
    <w:rsid w:val="006E6B26"/>
    <w:rPr>
      <w:rFonts w:ascii="Times New Roman" w:hAnsi="Times New Roman" w:cs="Times New Roman"/>
      <w:i/>
      <w:w w:val="105"/>
      <w:sz w:val="14"/>
      <w:szCs w:val="14"/>
    </w:rPr>
  </w:style>
  <w:style w:type="paragraph" w:customStyle="1" w:styleId="RSCF01FootnoteAuthorAddress">
    <w:name w:val="RSC F01 Footnote Author Address"/>
    <w:link w:val="RSCF01FootnoteAuthorAddressChar"/>
    <w:semiHidden/>
    <w:qFormat/>
    <w:rsid w:val="006E6B26"/>
    <w:pPr>
      <w:numPr>
        <w:numId w:val="1"/>
      </w:numPr>
      <w:pBdr>
        <w:top w:val="single" w:sz="12" w:space="1" w:color="A6A6A6" w:themeColor="background1" w:themeShade="A6"/>
      </w:pBdr>
      <w:spacing w:after="0" w:line="240" w:lineRule="auto"/>
      <w:ind w:left="85" w:hanging="85"/>
    </w:pPr>
    <w:rPr>
      <w:rFonts w:ascii="Times New Roman" w:hAnsi="Times New Roman" w:cs="Times New Roman"/>
      <w:i/>
      <w:w w:val="105"/>
      <w:sz w:val="14"/>
      <w:szCs w:val="14"/>
    </w:rPr>
  </w:style>
  <w:style w:type="character" w:customStyle="1" w:styleId="RSCI02FigureSchemeChartwithtopbarChar">
    <w:name w:val="RSC I02 Figure/Scheme/Chart with top bar Char"/>
    <w:basedOn w:val="Policepardfaut"/>
    <w:link w:val="RSCI02FigureSchemeChartwithtopbar"/>
    <w:semiHidden/>
    <w:locked/>
    <w:rsid w:val="006E6B26"/>
    <w:rPr>
      <w:rFonts w:ascii="Times New Roman" w:hAnsi="Times New Roman" w:cs="Times New Roman"/>
      <w:w w:val="108"/>
      <w:sz w:val="14"/>
      <w:szCs w:val="18"/>
    </w:rPr>
  </w:style>
  <w:style w:type="paragraph" w:customStyle="1" w:styleId="RSCI02FigureSchemeChartwithtopbar">
    <w:name w:val="RSC I02 Figure/Scheme/Chart with top bar"/>
    <w:basedOn w:val="Normal"/>
    <w:link w:val="RSCI02FigureSchemeChartwithtopbarChar"/>
    <w:semiHidden/>
    <w:qFormat/>
    <w:rsid w:val="006E6B26"/>
    <w:pPr>
      <w:pBdr>
        <w:top w:val="single" w:sz="12" w:space="5" w:color="999999"/>
      </w:pBdr>
      <w:spacing w:before="120" w:after="40" w:line="240" w:lineRule="auto"/>
    </w:pPr>
    <w:rPr>
      <w:rFonts w:ascii="Times New Roman" w:hAnsi="Times New Roman" w:cs="Times New Roman"/>
      <w:w w:val="108"/>
      <w:sz w:val="14"/>
      <w:szCs w:val="18"/>
      <w:lang w:val="en-US"/>
    </w:rPr>
  </w:style>
  <w:style w:type="character" w:customStyle="1" w:styleId="RSCI01FigureSchemeChartwithbottombarChar">
    <w:name w:val="RSC I01 Figure/Scheme/Chart with bottom bar Char"/>
    <w:basedOn w:val="Policepardfaut"/>
    <w:link w:val="RSCI01FigureSchemeChartwithbottombar"/>
    <w:semiHidden/>
    <w:locked/>
    <w:rsid w:val="006E6B26"/>
    <w:rPr>
      <w:rFonts w:ascii="Calibri" w:hAnsi="Calibri" w:cstheme="minorHAnsi"/>
      <w:w w:val="108"/>
      <w:sz w:val="14"/>
      <w:szCs w:val="14"/>
    </w:rPr>
  </w:style>
  <w:style w:type="paragraph" w:customStyle="1" w:styleId="RSCI01FigureSchemeChartwithbottombar">
    <w:name w:val="RSC I01 Figure/Scheme/Chart with bottom bar"/>
    <w:basedOn w:val="Normal"/>
    <w:link w:val="RSCI01FigureSchemeChartwithbottombarChar"/>
    <w:semiHidden/>
    <w:qFormat/>
    <w:rsid w:val="006E6B26"/>
    <w:pPr>
      <w:pBdr>
        <w:bottom w:val="single" w:sz="12" w:space="5" w:color="999999"/>
      </w:pBdr>
      <w:spacing w:before="40" w:after="120" w:line="120" w:lineRule="exact"/>
    </w:pPr>
    <w:rPr>
      <w:rFonts w:ascii="Calibri" w:hAnsi="Calibri" w:cstheme="minorHAnsi"/>
      <w:w w:val="108"/>
      <w:sz w:val="14"/>
      <w:szCs w:val="14"/>
      <w:lang w:val="en-US"/>
    </w:rPr>
  </w:style>
  <w:style w:type="character" w:customStyle="1" w:styleId="RSCI03FigureSchemeChartUncaptionedChar">
    <w:name w:val="RSC I03 Figure/Scheme/Chart Uncaptioned Char"/>
    <w:basedOn w:val="Policepardfaut"/>
    <w:link w:val="RSCI03FigureSchemeChartUncaptioned"/>
    <w:semiHidden/>
    <w:locked/>
    <w:rsid w:val="006E6B26"/>
    <w:rPr>
      <w:rFonts w:ascii="Times New Roman" w:hAnsi="Times New Roman" w:cs="Times New Roman"/>
      <w:sz w:val="16"/>
      <w:szCs w:val="16"/>
    </w:rPr>
  </w:style>
  <w:style w:type="paragraph" w:customStyle="1" w:styleId="RSCI03FigureSchemeChartUncaptioned">
    <w:name w:val="RSC I03 Figure/Scheme/Chart Uncaptioned"/>
    <w:basedOn w:val="Normal"/>
    <w:link w:val="RSCI03FigureSchemeChartUncaptionedChar"/>
    <w:semiHidden/>
    <w:qFormat/>
    <w:rsid w:val="006E6B26"/>
    <w:pPr>
      <w:spacing w:before="160" w:after="160" w:line="240" w:lineRule="auto"/>
      <w:jc w:val="center"/>
    </w:pPr>
    <w:rPr>
      <w:rFonts w:ascii="Times New Roman" w:hAnsi="Times New Roman" w:cs="Times New Roman"/>
      <w:sz w:val="16"/>
      <w:szCs w:val="16"/>
      <w:lang w:val="en-US"/>
    </w:rPr>
  </w:style>
  <w:style w:type="character" w:customStyle="1" w:styleId="RSCB03MathematicsGreeketcChar">
    <w:name w:val="RSC B03 Mathematics/Greek etc Char"/>
    <w:basedOn w:val="Policepardfaut"/>
    <w:link w:val="RSCB03MathematicsGreeketc"/>
    <w:semiHidden/>
    <w:locked/>
    <w:rsid w:val="006E6B26"/>
    <w:rPr>
      <w:rFonts w:ascii="Times New Roman" w:hAnsi="Times New Roman" w:cs="Times New Roman"/>
      <w:sz w:val="18"/>
    </w:rPr>
  </w:style>
  <w:style w:type="paragraph" w:customStyle="1" w:styleId="RSCB03MathematicsGreeketc">
    <w:name w:val="RSC B03 Mathematics/Greek etc"/>
    <w:basedOn w:val="Normal"/>
    <w:link w:val="RSCB03MathematicsGreeketcChar"/>
    <w:semiHidden/>
    <w:qFormat/>
    <w:rsid w:val="006E6B26"/>
    <w:pPr>
      <w:tabs>
        <w:tab w:val="center" w:pos="2268"/>
        <w:tab w:val="right" w:pos="4536"/>
      </w:tabs>
      <w:spacing w:before="160" w:after="160" w:line="240" w:lineRule="auto"/>
    </w:pPr>
    <w:rPr>
      <w:rFonts w:ascii="Times New Roman" w:hAnsi="Times New Roman" w:cs="Times New Roman"/>
      <w:sz w:val="18"/>
      <w:lang w:val="en-US"/>
    </w:rPr>
  </w:style>
  <w:style w:type="character" w:customStyle="1" w:styleId="RSCB09BiographyChar">
    <w:name w:val="RSC B09 Biography Char"/>
    <w:basedOn w:val="RSCB02ArticleTextChar"/>
    <w:link w:val="RSCB09Biography"/>
    <w:semiHidden/>
    <w:locked/>
    <w:rsid w:val="006E6B26"/>
    <w:rPr>
      <w:rFonts w:ascii="Times New Roman" w:hAnsi="Times New Roman" w:cs="Times New Roman"/>
      <w:i/>
      <w:w w:val="108"/>
      <w:sz w:val="18"/>
      <w:szCs w:val="18"/>
    </w:rPr>
  </w:style>
  <w:style w:type="paragraph" w:customStyle="1" w:styleId="RSCB09Biography">
    <w:name w:val="RSC B09 Biography"/>
    <w:basedOn w:val="RSCB02ArticleText"/>
    <w:link w:val="RSCB09BiographyChar"/>
    <w:semiHidden/>
    <w:qFormat/>
    <w:rsid w:val="006E6B26"/>
    <w:pPr>
      <w:pBdr>
        <w:top w:val="single" w:sz="6" w:space="1" w:color="auto"/>
      </w:pBdr>
    </w:pPr>
    <w:rPr>
      <w:i/>
    </w:rPr>
  </w:style>
  <w:style w:type="character" w:customStyle="1" w:styleId="RSCF02FootnotestoTitleAuthorsChar">
    <w:name w:val="RSC F02 Footnotes to Title/Authors Char"/>
    <w:basedOn w:val="Policepardfaut"/>
    <w:link w:val="RSCF02FootnotestoTitleAuthors"/>
    <w:semiHidden/>
    <w:locked/>
    <w:rsid w:val="006E6B26"/>
    <w:rPr>
      <w:rFonts w:ascii="Times New Roman" w:hAnsi="Times New Roman" w:cs="Times New Roman"/>
      <w:w w:val="105"/>
      <w:sz w:val="14"/>
      <w:szCs w:val="14"/>
    </w:rPr>
  </w:style>
  <w:style w:type="paragraph" w:customStyle="1" w:styleId="RSCF02FootnotestoTitleAuthors">
    <w:name w:val="RSC F02 Footnotes to Title/Authors"/>
    <w:basedOn w:val="Normal"/>
    <w:link w:val="RSCF02FootnotestoTitleAuthorsChar"/>
    <w:semiHidden/>
    <w:qFormat/>
    <w:rsid w:val="006E6B26"/>
    <w:pPr>
      <w:tabs>
        <w:tab w:val="left" w:pos="284"/>
      </w:tabs>
      <w:spacing w:after="0" w:line="240" w:lineRule="auto"/>
    </w:pPr>
    <w:rPr>
      <w:rFonts w:ascii="Times New Roman" w:hAnsi="Times New Roman" w:cs="Times New Roman"/>
      <w:w w:val="105"/>
      <w:sz w:val="14"/>
      <w:szCs w:val="14"/>
      <w:lang w:val="en-US"/>
    </w:rPr>
  </w:style>
  <w:style w:type="character" w:customStyle="1" w:styleId="RSCR02ReferencesChar">
    <w:name w:val="RSC R02 References Char"/>
    <w:basedOn w:val="Policepardfaut"/>
    <w:link w:val="RSCR02References"/>
    <w:semiHidden/>
    <w:locked/>
    <w:rsid w:val="006E6B26"/>
    <w:rPr>
      <w:rFonts w:ascii="Times New Roman" w:hAnsi="Times New Roman" w:cs="Times New Roman"/>
      <w:w w:val="105"/>
      <w:sz w:val="18"/>
      <w:szCs w:val="18"/>
    </w:rPr>
  </w:style>
  <w:style w:type="paragraph" w:customStyle="1" w:styleId="RSCR02References">
    <w:name w:val="RSC R02 References"/>
    <w:basedOn w:val="RSCB02ArticleText"/>
    <w:link w:val="RSCR02ReferencesChar"/>
    <w:semiHidden/>
    <w:qFormat/>
    <w:rsid w:val="006E6B26"/>
    <w:pPr>
      <w:numPr>
        <w:numId w:val="3"/>
      </w:numPr>
      <w:spacing w:line="200" w:lineRule="exact"/>
      <w:ind w:left="284" w:hanging="284"/>
    </w:pPr>
    <w:rPr>
      <w:w w:val="105"/>
    </w:rPr>
  </w:style>
  <w:style w:type="character" w:customStyle="1" w:styleId="RSCB04AHeadingSectionChar">
    <w:name w:val="RSC B04 A Heading (Section) Char"/>
    <w:basedOn w:val="Policepardfaut"/>
    <w:link w:val="RSCB04AHeadingSection"/>
    <w:semiHidden/>
    <w:locked/>
    <w:rsid w:val="006E6B26"/>
    <w:rPr>
      <w:b/>
      <w:sz w:val="24"/>
    </w:rPr>
  </w:style>
  <w:style w:type="paragraph" w:customStyle="1" w:styleId="RSCB04AHeadingSection">
    <w:name w:val="RSC B04 A Heading (Section)"/>
    <w:basedOn w:val="Normal"/>
    <w:link w:val="RSCB04AHeadingSectionChar"/>
    <w:semiHidden/>
    <w:qFormat/>
    <w:rsid w:val="006E6B26"/>
    <w:pPr>
      <w:spacing w:before="400" w:after="80" w:line="240" w:lineRule="auto"/>
    </w:pPr>
    <w:rPr>
      <w:b/>
      <w:lang w:val="en-US"/>
    </w:rPr>
  </w:style>
  <w:style w:type="character" w:customStyle="1" w:styleId="RSCT01TableTitlewithtopbarChar">
    <w:name w:val="RSC T01 Table Title with top bar Char"/>
    <w:basedOn w:val="Policepardfaut"/>
    <w:link w:val="RSCT01TableTitlewithtopbar"/>
    <w:locked/>
    <w:rsid w:val="006E6B26"/>
    <w:rPr>
      <w:rFonts w:ascii="Times New Roman" w:eastAsia="Times New Roman" w:hAnsi="Times New Roman" w:cs="Times New Roman"/>
      <w:sz w:val="14"/>
      <w:szCs w:val="20"/>
      <w:lang w:eastAsia="en-GB"/>
    </w:rPr>
  </w:style>
  <w:style w:type="paragraph" w:customStyle="1" w:styleId="RSCT01TableTitlewithtopbar">
    <w:name w:val="RSC T01 Table Title with top bar"/>
    <w:basedOn w:val="Normal"/>
    <w:link w:val="RSCT01TableTitlewithtopbarChar"/>
    <w:qFormat/>
    <w:rsid w:val="006E6B26"/>
    <w:pPr>
      <w:keepNext/>
      <w:keepLines/>
      <w:pBdr>
        <w:top w:val="single" w:sz="12" w:space="1" w:color="999999"/>
        <w:bottom w:val="single" w:sz="6" w:space="1" w:color="auto"/>
      </w:pBdr>
      <w:spacing w:before="120" w:after="120" w:line="200" w:lineRule="exact"/>
    </w:pPr>
    <w:rPr>
      <w:rFonts w:ascii="Times New Roman" w:eastAsia="Times New Roman" w:hAnsi="Times New Roman" w:cs="Times New Roman"/>
      <w:sz w:val="14"/>
      <w:szCs w:val="20"/>
      <w:lang w:val="en-US" w:eastAsia="en-GB"/>
    </w:rPr>
  </w:style>
  <w:style w:type="character" w:customStyle="1" w:styleId="RSCT03TableBodyChar">
    <w:name w:val="RSC T03 Table Body Char"/>
    <w:basedOn w:val="Policepardfaut"/>
    <w:link w:val="RSCT03TableBody"/>
    <w:locked/>
    <w:rsid w:val="006E6B26"/>
    <w:rPr>
      <w:rFonts w:ascii="Times New Roman" w:eastAsia="Times New Roman" w:hAnsi="Times New Roman" w:cs="Times New Roman"/>
      <w:sz w:val="16"/>
      <w:szCs w:val="16"/>
      <w:lang w:eastAsia="en-GB"/>
    </w:rPr>
  </w:style>
  <w:style w:type="paragraph" w:customStyle="1" w:styleId="RSCT03TableBody">
    <w:name w:val="RSC T03 Table Body"/>
    <w:basedOn w:val="Normal"/>
    <w:link w:val="RSCT03TableBodyChar"/>
    <w:qFormat/>
    <w:rsid w:val="006E6B26"/>
    <w:pPr>
      <w:keepNext/>
      <w:keepLines/>
      <w:spacing w:after="0" w:line="220" w:lineRule="exact"/>
      <w:jc w:val="center"/>
    </w:pPr>
    <w:rPr>
      <w:rFonts w:ascii="Times New Roman" w:eastAsia="Times New Roman" w:hAnsi="Times New Roman" w:cs="Times New Roman"/>
      <w:sz w:val="16"/>
      <w:szCs w:val="16"/>
      <w:lang w:val="en-US" w:eastAsia="en-GB"/>
    </w:rPr>
  </w:style>
  <w:style w:type="character" w:customStyle="1" w:styleId="RSCT04TableFootnotewithbottombarChar">
    <w:name w:val="RSC T04 Table Footnote with bottom bar Char"/>
    <w:basedOn w:val="Policepardfaut"/>
    <w:link w:val="RSCT04TableFootnotewithbottombar"/>
    <w:semiHidden/>
    <w:locked/>
    <w:rsid w:val="006E6B26"/>
    <w:rPr>
      <w:rFonts w:ascii="Times New Roman" w:eastAsia="Times New Roman" w:hAnsi="Times New Roman" w:cs="Times New Roman"/>
      <w:sz w:val="15"/>
      <w:szCs w:val="20"/>
      <w:lang w:eastAsia="en-GB"/>
    </w:rPr>
  </w:style>
  <w:style w:type="paragraph" w:customStyle="1" w:styleId="RSCT04TableFootnotewithbottombar">
    <w:name w:val="RSC T04 Table Footnote with bottom bar"/>
    <w:basedOn w:val="Normal"/>
    <w:link w:val="RSCT04TableFootnotewithbottombarChar"/>
    <w:semiHidden/>
    <w:qFormat/>
    <w:rsid w:val="006E6B26"/>
    <w:pPr>
      <w:keepLines/>
      <w:pBdr>
        <w:bottom w:val="single" w:sz="12" w:space="1" w:color="999999"/>
      </w:pBdr>
      <w:spacing w:before="120" w:after="160" w:line="200" w:lineRule="exact"/>
    </w:pPr>
    <w:rPr>
      <w:rFonts w:ascii="Times New Roman" w:eastAsia="Times New Roman" w:hAnsi="Times New Roman" w:cs="Times New Roman"/>
      <w:sz w:val="15"/>
      <w:szCs w:val="20"/>
      <w:lang w:val="en-US" w:eastAsia="en-GB"/>
    </w:rPr>
  </w:style>
  <w:style w:type="character" w:customStyle="1" w:styleId="Style1Char">
    <w:name w:val="Style1 Char"/>
    <w:basedOn w:val="RSCB02ArticleTextChar"/>
    <w:link w:val="Style1"/>
    <w:semiHidden/>
    <w:locked/>
    <w:rsid w:val="006E6B26"/>
    <w:rPr>
      <w:rFonts w:ascii="Times New Roman" w:hAnsi="Times New Roman" w:cs="Times New Roman"/>
      <w:w w:val="108"/>
      <w:sz w:val="18"/>
      <w:szCs w:val="18"/>
    </w:rPr>
  </w:style>
  <w:style w:type="paragraph" w:customStyle="1" w:styleId="Style1">
    <w:name w:val="Style1"/>
    <w:basedOn w:val="RSCB02ArticleText"/>
    <w:link w:val="Style1Char"/>
    <w:semiHidden/>
    <w:rsid w:val="006E6B26"/>
  </w:style>
  <w:style w:type="character" w:customStyle="1" w:styleId="RSCT05TableFootnotewithoutbottombarChar">
    <w:name w:val="RSC T05 Table Footnote without bottom bar Char"/>
    <w:basedOn w:val="RSCT04TableFootnotewithbottombarChar"/>
    <w:link w:val="RSCT05TableFootnotewithoutbottombar"/>
    <w:semiHidden/>
    <w:locked/>
    <w:rsid w:val="006E6B26"/>
    <w:rPr>
      <w:rFonts w:ascii="Times New Roman" w:eastAsia="Times New Roman" w:hAnsi="Times New Roman" w:cs="Times New Roman"/>
      <w:sz w:val="15"/>
      <w:szCs w:val="20"/>
      <w:lang w:eastAsia="en-GB"/>
    </w:rPr>
  </w:style>
  <w:style w:type="paragraph" w:customStyle="1" w:styleId="RSCT05TableFootnotewithoutbottombar">
    <w:name w:val="RSC T05 Table Footnote without bottom bar"/>
    <w:basedOn w:val="RSCT04TableFootnotewithbottombar"/>
    <w:link w:val="RSCT05TableFootnotewithoutbottombarChar"/>
    <w:semiHidden/>
    <w:qFormat/>
    <w:rsid w:val="006E6B26"/>
    <w:pPr>
      <w:pBdr>
        <w:bottom w:val="none" w:sz="0" w:space="0" w:color="auto"/>
      </w:pBdr>
    </w:pPr>
  </w:style>
  <w:style w:type="character" w:customStyle="1" w:styleId="RSCT02TabletitlewithouttopbarChar">
    <w:name w:val="RSC T02 Table title without top bar Char"/>
    <w:basedOn w:val="RSCT01TableTitlewithtopbarChar"/>
    <w:link w:val="RSCT02Tabletitlewithouttopbar"/>
    <w:semiHidden/>
    <w:locked/>
    <w:rsid w:val="006E6B26"/>
    <w:rPr>
      <w:rFonts w:ascii="Times New Roman" w:eastAsia="Times New Roman" w:hAnsi="Times New Roman" w:cs="Times New Roman"/>
      <w:sz w:val="14"/>
      <w:szCs w:val="20"/>
      <w:lang w:eastAsia="en-GB"/>
    </w:rPr>
  </w:style>
  <w:style w:type="paragraph" w:customStyle="1" w:styleId="RSCT02Tabletitlewithouttopbar">
    <w:name w:val="RSC T02 Table title without top bar"/>
    <w:basedOn w:val="RSCT01TableTitlewithtopbar"/>
    <w:link w:val="RSCT02TabletitlewithouttopbarChar"/>
    <w:semiHidden/>
    <w:qFormat/>
    <w:rsid w:val="006E6B26"/>
    <w:pPr>
      <w:pBdr>
        <w:top w:val="none" w:sz="0" w:space="0" w:color="auto"/>
      </w:pBdr>
    </w:pPr>
  </w:style>
  <w:style w:type="character" w:customStyle="1" w:styleId="RSCI04CaptiontoFigureSchemeChartChar">
    <w:name w:val="RSC I04 Caption to Figure/Scheme/Chart Char"/>
    <w:basedOn w:val="Policepardfaut"/>
    <w:link w:val="RSCI04CaptiontoFigureSchemeChart"/>
    <w:semiHidden/>
    <w:locked/>
    <w:rsid w:val="006E6B26"/>
    <w:rPr>
      <w:bCs/>
      <w:sz w:val="14"/>
      <w:szCs w:val="18"/>
    </w:rPr>
  </w:style>
  <w:style w:type="paragraph" w:customStyle="1" w:styleId="RSCI04CaptiontoFigureSchemeChart">
    <w:name w:val="RSC I04 Caption to Figure/Scheme/Chart"/>
    <w:link w:val="RSCI04CaptiontoFigureSchemeChartChar"/>
    <w:semiHidden/>
    <w:qFormat/>
    <w:rsid w:val="006E6B26"/>
    <w:pPr>
      <w:spacing w:after="200" w:line="200" w:lineRule="exact"/>
      <w:jc w:val="both"/>
    </w:pPr>
    <w:rPr>
      <w:bCs/>
      <w:sz w:val="14"/>
      <w:szCs w:val="18"/>
    </w:rPr>
  </w:style>
  <w:style w:type="character" w:customStyle="1" w:styleId="RSCR01FootnotestomaintextChar">
    <w:name w:val="RSC R01 Footnotes to main text Char"/>
    <w:basedOn w:val="RSCI04CaptiontoFigureSchemeChartChar"/>
    <w:link w:val="RSCR01Footnotestomaintext"/>
    <w:semiHidden/>
    <w:locked/>
    <w:rsid w:val="006E6B26"/>
    <w:rPr>
      <w:bCs/>
      <w:sz w:val="18"/>
      <w:szCs w:val="18"/>
    </w:rPr>
  </w:style>
  <w:style w:type="paragraph" w:customStyle="1" w:styleId="RSCR01Footnotestomaintext">
    <w:name w:val="RSC R01 Footnotes to main text"/>
    <w:link w:val="RSCR01FootnotestomaintextChar"/>
    <w:semiHidden/>
    <w:qFormat/>
    <w:rsid w:val="006E6B26"/>
    <w:pPr>
      <w:spacing w:after="200" w:line="200" w:lineRule="exact"/>
      <w:jc w:val="both"/>
    </w:pPr>
    <w:rPr>
      <w:bCs/>
      <w:sz w:val="18"/>
      <w:szCs w:val="18"/>
    </w:rPr>
  </w:style>
  <w:style w:type="character" w:customStyle="1" w:styleId="RSCM01ReceivedAcceptedChar">
    <w:name w:val="RSC M01 Received/Accepted Char"/>
    <w:basedOn w:val="Policepardfaut"/>
    <w:link w:val="RSCM01ReceivedAccepted"/>
    <w:semiHidden/>
    <w:locked/>
    <w:rsid w:val="006E6B26"/>
    <w:rPr>
      <w:rFonts w:ascii="Times New Roman" w:eastAsiaTheme="minorEastAsia" w:hAnsi="Times New Roman" w:cs="Times New Roman"/>
      <w:noProof/>
      <w:sz w:val="14"/>
      <w:szCs w:val="14"/>
      <w:lang w:eastAsia="en-GB"/>
    </w:rPr>
  </w:style>
  <w:style w:type="paragraph" w:customStyle="1" w:styleId="RSCM01ReceivedAccepted">
    <w:name w:val="RSC M01 Received/Accepted"/>
    <w:basedOn w:val="Normal"/>
    <w:link w:val="RSCM01ReceivedAcceptedChar"/>
    <w:semiHidden/>
    <w:qFormat/>
    <w:rsid w:val="006E6B26"/>
    <w:pPr>
      <w:spacing w:before="960" w:after="0" w:line="180" w:lineRule="exact"/>
      <w:contextualSpacing/>
    </w:pPr>
    <w:rPr>
      <w:rFonts w:ascii="Times New Roman" w:eastAsiaTheme="minorEastAsia" w:hAnsi="Times New Roman" w:cs="Times New Roman"/>
      <w:noProof/>
      <w:sz w:val="14"/>
      <w:szCs w:val="14"/>
      <w:lang w:val="en-US" w:eastAsia="en-GB"/>
    </w:rPr>
  </w:style>
  <w:style w:type="character" w:customStyle="1" w:styleId="RSCM02DOIChar">
    <w:name w:val="RSC M02 DOI Char"/>
    <w:basedOn w:val="Policepardfaut"/>
    <w:link w:val="RSCM02DOI"/>
    <w:semiHidden/>
    <w:locked/>
    <w:rsid w:val="006E6B26"/>
    <w:rPr>
      <w:sz w:val="14"/>
      <w:szCs w:val="14"/>
    </w:rPr>
  </w:style>
  <w:style w:type="paragraph" w:customStyle="1" w:styleId="RSCM02DOI">
    <w:name w:val="RSC M02 DOI"/>
    <w:basedOn w:val="Normal"/>
    <w:link w:val="RSCM02DOIChar"/>
    <w:semiHidden/>
    <w:qFormat/>
    <w:rsid w:val="006E6B26"/>
    <w:pPr>
      <w:spacing w:before="180" w:after="0" w:line="180" w:lineRule="exact"/>
    </w:pPr>
    <w:rPr>
      <w:sz w:val="14"/>
      <w:szCs w:val="14"/>
      <w:lang w:val="en-US"/>
    </w:rPr>
  </w:style>
  <w:style w:type="character" w:customStyle="1" w:styleId="RSCM03WebsiteChar">
    <w:name w:val="RSC M03 Website Char"/>
    <w:basedOn w:val="Policepardfaut"/>
    <w:link w:val="RSCM03Website"/>
    <w:semiHidden/>
    <w:locked/>
    <w:rsid w:val="006E6B26"/>
    <w:rPr>
      <w:b/>
      <w:sz w:val="14"/>
      <w:szCs w:val="14"/>
    </w:rPr>
  </w:style>
  <w:style w:type="paragraph" w:customStyle="1" w:styleId="RSCM03Website">
    <w:name w:val="RSC M03 Website"/>
    <w:basedOn w:val="Normal"/>
    <w:link w:val="RSCM03WebsiteChar"/>
    <w:semiHidden/>
    <w:qFormat/>
    <w:rsid w:val="006E6B26"/>
    <w:pPr>
      <w:spacing w:line="400" w:lineRule="exact"/>
    </w:pPr>
    <w:rPr>
      <w:b/>
      <w:sz w:val="14"/>
      <w:szCs w:val="14"/>
      <w:lang w:val="en-US"/>
    </w:rPr>
  </w:style>
  <w:style w:type="character" w:customStyle="1" w:styleId="RSCB05AHeadingSection-standaloneChar">
    <w:name w:val="RSC B05 A Heading (Section - stand alone) Char"/>
    <w:basedOn w:val="RSCH02PaperAuthorsandBylineChar"/>
    <w:link w:val="RSCB05AHeadingSection-standalone"/>
    <w:semiHidden/>
    <w:locked/>
    <w:rsid w:val="006E6B26"/>
    <w:rPr>
      <w:rFonts w:ascii="Times New Roman" w:hAnsi="Times New Roman" w:cs="Times New Roman"/>
      <w:sz w:val="24"/>
    </w:rPr>
  </w:style>
  <w:style w:type="paragraph" w:customStyle="1" w:styleId="RSCB05AHeadingSection-standalone">
    <w:name w:val="RSC B05 A Heading (Section - stand alone)"/>
    <w:link w:val="RSCB05AHeadingSection-standaloneChar"/>
    <w:semiHidden/>
    <w:qFormat/>
    <w:rsid w:val="006E6B26"/>
    <w:pPr>
      <w:spacing w:before="400" w:line="240" w:lineRule="auto"/>
    </w:pPr>
    <w:rPr>
      <w:rFonts w:ascii="Times New Roman" w:hAnsi="Times New Roman" w:cs="Times New Roman"/>
      <w:sz w:val="24"/>
    </w:rPr>
  </w:style>
  <w:style w:type="character" w:customStyle="1" w:styleId="RSCB06BHeadingSub-SectionChar">
    <w:name w:val="RSC B06 B Heading (Sub-Section) Char"/>
    <w:basedOn w:val="Policepardfaut"/>
    <w:link w:val="RSCB06BHeadingSub-Section"/>
    <w:semiHidden/>
    <w:locked/>
    <w:rsid w:val="006E6B26"/>
    <w:rPr>
      <w:b/>
      <w:sz w:val="18"/>
    </w:rPr>
  </w:style>
  <w:style w:type="paragraph" w:customStyle="1" w:styleId="RSCB06BHeadingSub-Section">
    <w:name w:val="RSC B06 B Heading (Sub-Section)"/>
    <w:link w:val="RSCB06BHeadingSub-SectionChar"/>
    <w:semiHidden/>
    <w:qFormat/>
    <w:rsid w:val="006E6B26"/>
    <w:pPr>
      <w:spacing w:after="80" w:line="240" w:lineRule="exact"/>
    </w:pPr>
    <w:rPr>
      <w:b/>
      <w:sz w:val="18"/>
    </w:rPr>
  </w:style>
  <w:style w:type="character" w:customStyle="1" w:styleId="RSCB07BHeadingSub-Section-standaloneChar">
    <w:name w:val="RSC B07 B Heading (Sub-Section - stand alone) Char"/>
    <w:basedOn w:val="Policepardfaut"/>
    <w:link w:val="RSCB07BHeadingSub-Section-standalone"/>
    <w:semiHidden/>
    <w:locked/>
    <w:rsid w:val="006E6B26"/>
    <w:rPr>
      <w:b/>
      <w:sz w:val="18"/>
    </w:rPr>
  </w:style>
  <w:style w:type="paragraph" w:customStyle="1" w:styleId="RSCB07BHeadingSub-Section-standalone">
    <w:name w:val="RSC B07 B Heading (Sub-Section - stand alone)"/>
    <w:link w:val="RSCB07BHeadingSub-Section-standaloneChar"/>
    <w:semiHidden/>
    <w:qFormat/>
    <w:rsid w:val="006E6B26"/>
    <w:pPr>
      <w:spacing w:before="160" w:after="80" w:line="240" w:lineRule="exact"/>
    </w:pPr>
    <w:rPr>
      <w:b/>
      <w:sz w:val="18"/>
    </w:rPr>
  </w:style>
  <w:style w:type="character" w:customStyle="1" w:styleId="RSCB08CHeadingIn-lineChar">
    <w:name w:val="RSC B08 C Heading (In-line) Char"/>
    <w:basedOn w:val="Policepardfaut"/>
    <w:link w:val="RSCB08CHeadingIn-line"/>
    <w:semiHidden/>
    <w:locked/>
    <w:rsid w:val="006E6B26"/>
    <w:rPr>
      <w:b/>
      <w:sz w:val="18"/>
    </w:rPr>
  </w:style>
  <w:style w:type="paragraph" w:customStyle="1" w:styleId="RSCB08CHeadingIn-line">
    <w:name w:val="RSC B08 C Heading (In-line)"/>
    <w:link w:val="RSCB08CHeadingIn-lineChar"/>
    <w:semiHidden/>
    <w:qFormat/>
    <w:rsid w:val="006E6B26"/>
    <w:pPr>
      <w:spacing w:after="0" w:line="276" w:lineRule="auto"/>
    </w:pPr>
    <w:rPr>
      <w:b/>
      <w:sz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semiHidden/>
    <w:locked/>
    <w:rsid w:val="006E6B26"/>
    <w:rPr>
      <w:bCs/>
      <w:sz w:val="14"/>
      <w:szCs w:val="18"/>
    </w:rPr>
  </w:style>
  <w:style w:type="paragraph" w:customStyle="1" w:styleId="RSCI05CaptiontoFigureSchemeChartwithbottombar">
    <w:name w:val="RSC I05 Caption to Figure/Scheme/Chart with bottom bar"/>
    <w:link w:val="RSCI05CaptiontoFigureSchemeChartwithbottombarChar"/>
    <w:semiHidden/>
    <w:qFormat/>
    <w:rsid w:val="006E6B26"/>
    <w:pPr>
      <w:pBdr>
        <w:bottom w:val="single" w:sz="12" w:space="1" w:color="A6A6A6" w:themeColor="background1" w:themeShade="A6"/>
      </w:pBdr>
      <w:spacing w:after="200" w:line="276" w:lineRule="auto"/>
      <w:jc w:val="both"/>
    </w:pPr>
    <w:rPr>
      <w:bCs/>
      <w:sz w:val="14"/>
      <w:szCs w:val="18"/>
    </w:rPr>
  </w:style>
  <w:style w:type="character" w:customStyle="1" w:styleId="04AHeadingChar">
    <w:name w:val="04 A Heading Char"/>
    <w:link w:val="04AHeading"/>
    <w:semiHidden/>
    <w:locked/>
    <w:rsid w:val="006E6B26"/>
    <w:rPr>
      <w:rFonts w:ascii="Calibri" w:eastAsia="Calibri" w:hAnsi="Calibri" w:cs="Times New Roman"/>
      <w:b/>
    </w:rPr>
  </w:style>
  <w:style w:type="paragraph" w:customStyle="1" w:styleId="04AHeading">
    <w:name w:val="04 A Heading"/>
    <w:basedOn w:val="Normal"/>
    <w:next w:val="Normal"/>
    <w:link w:val="04AHeadingChar"/>
    <w:semiHidden/>
    <w:rsid w:val="006E6B26"/>
    <w:pPr>
      <w:spacing w:before="240" w:after="120" w:line="240" w:lineRule="auto"/>
    </w:pPr>
    <w:rPr>
      <w:rFonts w:ascii="Calibri" w:eastAsia="Calibri" w:hAnsi="Calibri" w:cs="Times New Roman"/>
      <w:b/>
      <w:lang w:val="en-US"/>
    </w:rPr>
  </w:style>
  <w:style w:type="character" w:customStyle="1" w:styleId="08ArticleTextChar">
    <w:name w:val="08 Article Text Char"/>
    <w:link w:val="08ArticleText"/>
    <w:semiHidden/>
    <w:locked/>
    <w:rsid w:val="006E6B26"/>
    <w:rPr>
      <w:rFonts w:ascii="Times New Roman" w:eastAsia="Calibri" w:hAnsi="Times New Roman" w:cs="Times New Roman"/>
      <w:w w:val="108"/>
      <w:sz w:val="18"/>
      <w:szCs w:val="18"/>
    </w:rPr>
  </w:style>
  <w:style w:type="paragraph" w:customStyle="1" w:styleId="08ArticleText">
    <w:name w:val="08 Article Text"/>
    <w:basedOn w:val="Normal"/>
    <w:link w:val="08ArticleTextChar"/>
    <w:semiHidden/>
    <w:rsid w:val="006E6B26"/>
    <w:pPr>
      <w:tabs>
        <w:tab w:val="left" w:pos="284"/>
      </w:tabs>
      <w:spacing w:after="0" w:line="240" w:lineRule="exact"/>
    </w:pPr>
    <w:rPr>
      <w:rFonts w:ascii="Times New Roman" w:eastAsia="Calibri" w:hAnsi="Times New Roman" w:cs="Times New Roman"/>
      <w:w w:val="108"/>
      <w:sz w:val="18"/>
      <w:szCs w:val="18"/>
      <w:lang w:val="en-US"/>
    </w:rPr>
  </w:style>
  <w:style w:type="paragraph" w:customStyle="1" w:styleId="Default">
    <w:name w:val="Default"/>
    <w:rsid w:val="006E6B26"/>
    <w:pPr>
      <w:autoSpaceDE w:val="0"/>
      <w:autoSpaceDN w:val="0"/>
      <w:adjustRightInd w:val="0"/>
      <w:spacing w:after="0" w:line="240" w:lineRule="auto"/>
    </w:pPr>
    <w:rPr>
      <w:rFonts w:ascii="Times New Roman" w:hAnsi="Times New Roman" w:cs="Times New Roman"/>
      <w:color w:val="000000"/>
      <w:sz w:val="24"/>
      <w:szCs w:val="24"/>
      <w:lang w:val="fr-BE"/>
    </w:rPr>
  </w:style>
  <w:style w:type="character" w:customStyle="1" w:styleId="IOPH1Char">
    <w:name w:val="IOPH1 Char"/>
    <w:link w:val="IOPH1"/>
    <w:semiHidden/>
    <w:locked/>
    <w:rsid w:val="006E6B26"/>
    <w:rPr>
      <w:rFonts w:ascii="Calibri" w:eastAsia="Calibri" w:hAnsi="Calibri" w:cs="Times New Roman"/>
      <w:b/>
      <w:szCs w:val="18"/>
    </w:rPr>
  </w:style>
  <w:style w:type="paragraph" w:customStyle="1" w:styleId="IOPH1">
    <w:name w:val="IOPH1"/>
    <w:basedOn w:val="Normal"/>
    <w:link w:val="IOPH1Char"/>
    <w:semiHidden/>
    <w:qFormat/>
    <w:rsid w:val="006E6B26"/>
    <w:pPr>
      <w:spacing w:before="200" w:after="120" w:line="256" w:lineRule="auto"/>
    </w:pPr>
    <w:rPr>
      <w:rFonts w:ascii="Calibri" w:eastAsia="Calibri" w:hAnsi="Calibri" w:cs="Times New Roman"/>
      <w:b/>
      <w:szCs w:val="18"/>
      <w:lang w:val="en-US"/>
    </w:rPr>
  </w:style>
  <w:style w:type="character" w:styleId="Appelnotedebasdep">
    <w:name w:val="footnote reference"/>
    <w:basedOn w:val="Policepardfaut"/>
    <w:uiPriority w:val="99"/>
    <w:semiHidden/>
    <w:unhideWhenUsed/>
    <w:rsid w:val="006E6B26"/>
    <w:rPr>
      <w:vertAlign w:val="superscript"/>
    </w:rPr>
  </w:style>
  <w:style w:type="character" w:styleId="Marquedecommentaire">
    <w:name w:val="annotation reference"/>
    <w:basedOn w:val="Policepardfaut"/>
    <w:uiPriority w:val="99"/>
    <w:semiHidden/>
    <w:unhideWhenUsed/>
    <w:rsid w:val="006E6B26"/>
    <w:rPr>
      <w:sz w:val="16"/>
      <w:szCs w:val="16"/>
    </w:rPr>
  </w:style>
  <w:style w:type="character" w:styleId="Textedelespacerserv">
    <w:name w:val="Placeholder Text"/>
    <w:basedOn w:val="Policepardfaut"/>
    <w:uiPriority w:val="99"/>
    <w:semiHidden/>
    <w:rsid w:val="006E6B26"/>
    <w:rPr>
      <w:color w:val="808080"/>
    </w:rPr>
  </w:style>
  <w:style w:type="character" w:customStyle="1" w:styleId="06CHeading">
    <w:name w:val="06 C Heading"/>
    <w:basedOn w:val="RSCB02ArticleTextChar"/>
    <w:uiPriority w:val="1"/>
    <w:rsid w:val="006E6B26"/>
    <w:rPr>
      <w:rFonts w:ascii="Times New Roman" w:hAnsi="Times New Roman" w:cs="Times New Roman"/>
      <w:b/>
      <w:bCs w:val="0"/>
      <w:smallCaps/>
      <w:w w:val="108"/>
      <w:sz w:val="18"/>
      <w:szCs w:val="18"/>
    </w:rPr>
  </w:style>
  <w:style w:type="paragraph" w:customStyle="1" w:styleId="05BHeading">
    <w:name w:val="05 B Heading"/>
    <w:basedOn w:val="RSCB04AHeadingSection"/>
    <w:link w:val="05BHeadingChar"/>
    <w:rsid w:val="006E6B26"/>
    <w:pPr>
      <w:spacing w:before="160" w:line="240" w:lineRule="exact"/>
    </w:pPr>
    <w:rPr>
      <w:rFonts w:ascii="Times New Roman" w:hAnsi="Times New Roman" w:cs="Times New Roman"/>
      <w:sz w:val="18"/>
      <w:szCs w:val="18"/>
    </w:rPr>
  </w:style>
  <w:style w:type="character" w:customStyle="1" w:styleId="05BHeadingChar">
    <w:name w:val="05 B Heading Char"/>
    <w:basedOn w:val="RSCB04AHeadingSectionChar"/>
    <w:link w:val="05BHeading"/>
    <w:locked/>
    <w:rsid w:val="006E6B26"/>
    <w:rPr>
      <w:rFonts w:ascii="Times New Roman" w:hAnsi="Times New Roman" w:cs="Times New Roman"/>
      <w:b/>
      <w:sz w:val="18"/>
      <w:szCs w:val="18"/>
    </w:rPr>
  </w:style>
  <w:style w:type="character" w:customStyle="1" w:styleId="cit-title">
    <w:name w:val="cit-title"/>
    <w:basedOn w:val="Policepardfaut"/>
    <w:rsid w:val="006E6B26"/>
  </w:style>
  <w:style w:type="character" w:customStyle="1" w:styleId="cit-year-info">
    <w:name w:val="cit-year-info"/>
    <w:basedOn w:val="Policepardfaut"/>
    <w:rsid w:val="006E6B26"/>
  </w:style>
  <w:style w:type="character" w:customStyle="1" w:styleId="cit-volume">
    <w:name w:val="cit-volume"/>
    <w:basedOn w:val="Policepardfaut"/>
    <w:rsid w:val="006E6B26"/>
  </w:style>
  <w:style w:type="character" w:customStyle="1" w:styleId="cit-issue">
    <w:name w:val="cit-issue"/>
    <w:basedOn w:val="Policepardfaut"/>
    <w:rsid w:val="006E6B26"/>
  </w:style>
  <w:style w:type="character" w:customStyle="1" w:styleId="cit-pagerange">
    <w:name w:val="cit-pagerange"/>
    <w:basedOn w:val="Policepardfaut"/>
    <w:rsid w:val="006E6B26"/>
  </w:style>
  <w:style w:type="table" w:styleId="Grilledutableau">
    <w:name w:val="Table Grid"/>
    <w:basedOn w:val="TableauNormal"/>
    <w:uiPriority w:val="39"/>
    <w:rsid w:val="006E6B2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auNormal"/>
    <w:uiPriority w:val="60"/>
    <w:rsid w:val="006E6B26"/>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uiPriority w:val="9"/>
    <w:rsid w:val="006E6B26"/>
    <w:rPr>
      <w:rFonts w:ascii="Arial" w:eastAsiaTheme="majorEastAsia" w:hAnsi="Arial" w:cstheme="majorBidi"/>
      <w:b/>
      <w:color w:val="000000" w:themeColor="text1"/>
      <w:sz w:val="32"/>
      <w:szCs w:val="32"/>
      <w:lang w:val="en-GB"/>
    </w:rPr>
  </w:style>
  <w:style w:type="character" w:customStyle="1" w:styleId="Titre2Car">
    <w:name w:val="Titre 2 Car"/>
    <w:basedOn w:val="Policepardfaut"/>
    <w:link w:val="Titre2"/>
    <w:uiPriority w:val="9"/>
    <w:rsid w:val="006E6B26"/>
    <w:rPr>
      <w:rFonts w:ascii="Arial" w:eastAsiaTheme="majorEastAsia" w:hAnsi="Arial" w:cstheme="majorBidi"/>
      <w:b/>
      <w:color w:val="000000" w:themeColor="text1"/>
      <w:sz w:val="28"/>
      <w:szCs w:val="26"/>
      <w:lang w:val="en-GB"/>
    </w:rPr>
  </w:style>
  <w:style w:type="table" w:customStyle="1" w:styleId="TableauGrille4-Accentuation11">
    <w:name w:val="Tableau Grille 4 - Accentuation 11"/>
    <w:basedOn w:val="TableauNormal"/>
    <w:uiPriority w:val="49"/>
    <w:rsid w:val="003950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rticleauthor-affiliation">
    <w:name w:val="article__author-affiliation"/>
    <w:basedOn w:val="Normal"/>
    <w:rsid w:val="00BD5D30"/>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styleId="Mentionnonrsolue">
    <w:name w:val="Unresolved Mention"/>
    <w:basedOn w:val="Policepardfaut"/>
    <w:uiPriority w:val="99"/>
    <w:semiHidden/>
    <w:unhideWhenUsed/>
    <w:rsid w:val="00EE5230"/>
    <w:rPr>
      <w:color w:val="605E5C"/>
      <w:shd w:val="clear" w:color="auto" w:fill="E1DFDD"/>
    </w:rPr>
  </w:style>
  <w:style w:type="table" w:styleId="Tableausimple2">
    <w:name w:val="Plain Table 2"/>
    <w:basedOn w:val="TableauNormal"/>
    <w:uiPriority w:val="42"/>
    <w:rsid w:val="00EE5230"/>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nonrsolue1">
    <w:name w:val="Mention non résolue1"/>
    <w:basedOn w:val="Policepardfaut"/>
    <w:uiPriority w:val="99"/>
    <w:semiHidden/>
    <w:unhideWhenUsed/>
    <w:rsid w:val="00EE5230"/>
    <w:rPr>
      <w:color w:val="605E5C"/>
      <w:shd w:val="clear" w:color="auto" w:fill="E1DFDD"/>
    </w:rPr>
  </w:style>
  <w:style w:type="character" w:customStyle="1" w:styleId="fontstyle01">
    <w:name w:val="fontstyle01"/>
    <w:basedOn w:val="Policepardfaut"/>
    <w:rsid w:val="00EE523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3816">
      <w:bodyDiv w:val="1"/>
      <w:marLeft w:val="0"/>
      <w:marRight w:val="0"/>
      <w:marTop w:val="0"/>
      <w:marBottom w:val="0"/>
      <w:divBdr>
        <w:top w:val="none" w:sz="0" w:space="0" w:color="auto"/>
        <w:left w:val="none" w:sz="0" w:space="0" w:color="auto"/>
        <w:bottom w:val="none" w:sz="0" w:space="0" w:color="auto"/>
        <w:right w:val="none" w:sz="0" w:space="0" w:color="auto"/>
      </w:divBdr>
    </w:div>
    <w:div w:id="434060246">
      <w:bodyDiv w:val="1"/>
      <w:marLeft w:val="0"/>
      <w:marRight w:val="0"/>
      <w:marTop w:val="0"/>
      <w:marBottom w:val="0"/>
      <w:divBdr>
        <w:top w:val="none" w:sz="0" w:space="0" w:color="auto"/>
        <w:left w:val="none" w:sz="0" w:space="0" w:color="auto"/>
        <w:bottom w:val="none" w:sz="0" w:space="0" w:color="auto"/>
        <w:right w:val="none" w:sz="0" w:space="0" w:color="auto"/>
      </w:divBdr>
    </w:div>
    <w:div w:id="943148775">
      <w:bodyDiv w:val="1"/>
      <w:marLeft w:val="0"/>
      <w:marRight w:val="0"/>
      <w:marTop w:val="0"/>
      <w:marBottom w:val="0"/>
      <w:divBdr>
        <w:top w:val="none" w:sz="0" w:space="0" w:color="auto"/>
        <w:left w:val="none" w:sz="0" w:space="0" w:color="auto"/>
        <w:bottom w:val="none" w:sz="0" w:space="0" w:color="auto"/>
        <w:right w:val="none" w:sz="0" w:space="0" w:color="auto"/>
      </w:divBdr>
    </w:div>
    <w:div w:id="1390493893">
      <w:bodyDiv w:val="1"/>
      <w:marLeft w:val="0"/>
      <w:marRight w:val="0"/>
      <w:marTop w:val="0"/>
      <w:marBottom w:val="0"/>
      <w:divBdr>
        <w:top w:val="none" w:sz="0" w:space="0" w:color="auto"/>
        <w:left w:val="none" w:sz="0" w:space="0" w:color="auto"/>
        <w:bottom w:val="none" w:sz="0" w:space="0" w:color="auto"/>
        <w:right w:val="none" w:sz="0" w:space="0" w:color="auto"/>
      </w:divBdr>
    </w:div>
    <w:div w:id="1599558537">
      <w:bodyDiv w:val="1"/>
      <w:marLeft w:val="0"/>
      <w:marRight w:val="0"/>
      <w:marTop w:val="0"/>
      <w:marBottom w:val="0"/>
      <w:divBdr>
        <w:top w:val="none" w:sz="0" w:space="0" w:color="auto"/>
        <w:left w:val="none" w:sz="0" w:space="0" w:color="auto"/>
        <w:bottom w:val="none" w:sz="0" w:space="0" w:color="auto"/>
        <w:right w:val="none" w:sz="0" w:space="0" w:color="auto"/>
      </w:divBdr>
      <w:divsChild>
        <w:div w:id="1529372465">
          <w:marLeft w:val="0"/>
          <w:marRight w:val="0"/>
          <w:marTop w:val="0"/>
          <w:marBottom w:val="0"/>
          <w:divBdr>
            <w:top w:val="none" w:sz="0" w:space="0" w:color="auto"/>
            <w:left w:val="none" w:sz="0" w:space="0" w:color="auto"/>
            <w:bottom w:val="none" w:sz="0" w:space="0" w:color="auto"/>
            <w:right w:val="none" w:sz="0" w:space="0" w:color="auto"/>
          </w:divBdr>
        </w:div>
        <w:div w:id="427384036">
          <w:marLeft w:val="0"/>
          <w:marRight w:val="0"/>
          <w:marTop w:val="0"/>
          <w:marBottom w:val="200"/>
          <w:divBdr>
            <w:top w:val="none" w:sz="0" w:space="0" w:color="auto"/>
            <w:left w:val="none" w:sz="0" w:space="0" w:color="auto"/>
            <w:bottom w:val="none" w:sz="0" w:space="0" w:color="auto"/>
            <w:right w:val="none" w:sz="0" w:space="0" w:color="auto"/>
          </w:divBdr>
        </w:div>
        <w:div w:id="1887134430">
          <w:marLeft w:val="0"/>
          <w:marRight w:val="0"/>
          <w:marTop w:val="0"/>
          <w:marBottom w:val="200"/>
          <w:divBdr>
            <w:top w:val="none" w:sz="0" w:space="0" w:color="auto"/>
            <w:left w:val="none" w:sz="0" w:space="0" w:color="auto"/>
            <w:bottom w:val="none" w:sz="0" w:space="0" w:color="auto"/>
            <w:right w:val="none" w:sz="0" w:space="0" w:color="auto"/>
          </w:divBdr>
        </w:div>
        <w:div w:id="1232470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buigne@uliege.be" TargetMode="External"/><Relationship Id="rId13" Type="http://schemas.openxmlformats.org/officeDocument/2006/relationships/image" Target="media/image3.ti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bastijan.kovacic@ki.si" TargetMode="Externa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hyperlink" Target="https://doi.org/10.1016/j.cej.2022.1370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E4077-2A74-4C18-9D52-F3790258B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32354</Words>
  <Characters>184422</Characters>
  <Application>Microsoft Office Word</Application>
  <DocSecurity>0</DocSecurity>
  <Lines>1536</Lines>
  <Paragraphs>432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Lecomte Philippe</dc:creator>
  <cp:lastModifiedBy>Lecomte Philippe</cp:lastModifiedBy>
  <cp:revision>3</cp:revision>
  <cp:lastPrinted>2022-03-31T13:10:00Z</cp:lastPrinted>
  <dcterms:created xsi:type="dcterms:W3CDTF">2022-05-23T12:49:00Z</dcterms:created>
  <dcterms:modified xsi:type="dcterms:W3CDTF">2022-05-23T12:54:00Z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http://www.zotero.org/styles/angewandte-chemie</vt:lpwstr>
  </property>
  <property fmtid="{D5CDD505-2E9C-101B-9397-08002B2CF9AE}" pid="3" name="Mendeley Recent Style Name 0_1">
    <vt:lpwstr>Angewandte Chemie International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http://www.zotero.org/styles/molecules</vt:lpwstr>
  </property>
  <property fmtid="{D5CDD505-2E9C-101B-9397-08002B2CF9AE}" pid="13" name="Mendeley Recent Style Name 5_1">
    <vt:lpwstr>Molecules</vt:lpwstr>
  </property>
  <property fmtid="{D5CDD505-2E9C-101B-9397-08002B2CF9AE}" pid="14" name="Mendeley Recent Style Id 6_1">
    <vt:lpwstr>http://csl.mendeley.com/styles/191036051/PHLE</vt:lpwstr>
  </property>
  <property fmtid="{D5CDD505-2E9C-101B-9397-08002B2CF9AE}" pid="15" name="Mendeley Recent Style Name 6_1">
    <vt:lpwstr>Multidisciplinary Digital Publishing Institute - Philippe Lecomte</vt:lpwstr>
  </property>
  <property fmtid="{D5CDD505-2E9C-101B-9397-08002B2CF9AE}" pid="16" name="Mendeley Recent Style Id 7_1">
    <vt:lpwstr>https://csl.mendeley.com/styles/191036051/PHLE</vt:lpwstr>
  </property>
  <property fmtid="{D5CDD505-2E9C-101B-9397-08002B2CF9AE}" pid="17" name="Mendeley Recent Style Name 7_1">
    <vt:lpwstr>Multidisciplinary Digital Publishing Institute - Philippe Lecomte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http://www.zotero.org/styles/polymers</vt:lpwstr>
  </property>
  <property fmtid="{D5CDD505-2E9C-101B-9397-08002B2CF9AE}" pid="21" name="Mendeley Recent Style Name 9_1">
    <vt:lpwstr>Polymers</vt:lpwstr>
  </property>
</Properties>
</file>