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D42E" w14:textId="77777777" w:rsidR="007C2EFE" w:rsidRPr="00EA6461" w:rsidRDefault="007C2EFE" w:rsidP="007C2EFE">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A6A6A6" w:themeFill="background1" w:themeFillShade="A6"/>
        <w:jc w:val="center"/>
        <w:rPr>
          <w:rFonts w:cstheme="minorHAnsi"/>
          <w:b/>
          <w:bCs/>
          <w:sz w:val="32"/>
          <w:szCs w:val="32"/>
          <w:lang w:val="en-US"/>
        </w:rPr>
      </w:pPr>
      <w:r w:rsidRPr="00EA6461">
        <w:rPr>
          <w:rFonts w:cstheme="minorHAnsi"/>
          <w:b/>
          <w:bCs/>
          <w:sz w:val="32"/>
          <w:szCs w:val="32"/>
          <w:lang w:val="en-US"/>
        </w:rPr>
        <w:t xml:space="preserve">The influence of growth and development on shoulder rotators strength in young male and female elite tennis players. </w:t>
      </w:r>
    </w:p>
    <w:p w14:paraId="0A07D3B6" w14:textId="77777777" w:rsidR="007C2EFE" w:rsidRPr="00EA6461" w:rsidRDefault="007C2EFE" w:rsidP="007C2EFE">
      <w:pPr>
        <w:jc w:val="center"/>
        <w:rPr>
          <w:rFonts w:cstheme="minorHAnsi"/>
          <w:sz w:val="24"/>
          <w:szCs w:val="24"/>
          <w:lang w:val="en-US"/>
        </w:rPr>
      </w:pPr>
    </w:p>
    <w:p w14:paraId="6951AF47" w14:textId="77777777" w:rsidR="007C2EFE" w:rsidRPr="00EA6461" w:rsidRDefault="007C2EFE" w:rsidP="007C2EFE">
      <w:pPr>
        <w:tabs>
          <w:tab w:val="left" w:pos="3885"/>
        </w:tabs>
        <w:jc w:val="center"/>
        <w:rPr>
          <w:rFonts w:cstheme="minorHAnsi"/>
          <w:b/>
          <w:i/>
          <w:sz w:val="24"/>
          <w:szCs w:val="24"/>
          <w:lang w:val="en-US"/>
        </w:rPr>
      </w:pPr>
      <w:r w:rsidRPr="00EA6461">
        <w:rPr>
          <w:rFonts w:cstheme="minorHAnsi"/>
          <w:b/>
          <w:i/>
          <w:sz w:val="24"/>
          <w:szCs w:val="24"/>
          <w:lang w:val="en-US"/>
        </w:rPr>
        <w:t xml:space="preserve">Camille Tooth </w:t>
      </w:r>
      <w:r w:rsidRPr="00EA6461">
        <w:rPr>
          <w:rFonts w:cstheme="minorHAnsi"/>
          <w:b/>
          <w:sz w:val="24"/>
          <w:szCs w:val="24"/>
          <w:lang w:val="en-US"/>
        </w:rPr>
        <w:t>(PT)</w:t>
      </w:r>
      <w:r w:rsidRPr="00EA6461">
        <w:rPr>
          <w:rFonts w:cstheme="minorHAnsi"/>
          <w:b/>
          <w:i/>
          <w:sz w:val="24"/>
          <w:szCs w:val="24"/>
          <w:lang w:val="en-US"/>
        </w:rPr>
        <w:t xml:space="preserve"> </w:t>
      </w:r>
      <w:proofErr w:type="spellStart"/>
      <w:proofErr w:type="gramStart"/>
      <w:r w:rsidRPr="00EA6461">
        <w:rPr>
          <w:rFonts w:cstheme="minorHAnsi"/>
          <w:b/>
          <w:i/>
          <w:sz w:val="24"/>
          <w:szCs w:val="24"/>
          <w:vertAlign w:val="superscript"/>
          <w:lang w:val="en-US"/>
        </w:rPr>
        <w:t>a,b</w:t>
      </w:r>
      <w:proofErr w:type="spellEnd"/>
      <w:proofErr w:type="gramEnd"/>
      <w:r w:rsidRPr="00EA6461">
        <w:rPr>
          <w:rFonts w:cstheme="minorHAnsi"/>
          <w:b/>
          <w:i/>
          <w:sz w:val="24"/>
          <w:szCs w:val="24"/>
          <w:lang w:val="en-US"/>
        </w:rPr>
        <w:t xml:space="preserve">, Jean-Louis </w:t>
      </w:r>
      <w:proofErr w:type="spellStart"/>
      <w:r w:rsidRPr="00EA6461">
        <w:rPr>
          <w:rFonts w:cstheme="minorHAnsi"/>
          <w:b/>
          <w:sz w:val="24"/>
          <w:szCs w:val="24"/>
          <w:lang w:val="en-US"/>
        </w:rPr>
        <w:t>Croisier</w:t>
      </w:r>
      <w:proofErr w:type="spellEnd"/>
      <w:r w:rsidRPr="00EA6461">
        <w:rPr>
          <w:rFonts w:cstheme="minorHAnsi"/>
          <w:b/>
          <w:sz w:val="24"/>
          <w:szCs w:val="24"/>
          <w:lang w:val="en-US"/>
        </w:rPr>
        <w:t xml:space="preserve"> (PT, PhD) </w:t>
      </w:r>
      <w:proofErr w:type="spellStart"/>
      <w:r w:rsidRPr="00EA6461">
        <w:rPr>
          <w:rFonts w:cstheme="minorHAnsi"/>
          <w:b/>
          <w:sz w:val="24"/>
          <w:szCs w:val="24"/>
          <w:vertAlign w:val="superscript"/>
          <w:lang w:val="en-US"/>
        </w:rPr>
        <w:t>a</w:t>
      </w:r>
      <w:r w:rsidRPr="00EA6461">
        <w:rPr>
          <w:rFonts w:cstheme="minorHAnsi"/>
          <w:b/>
          <w:i/>
          <w:sz w:val="24"/>
          <w:szCs w:val="24"/>
          <w:vertAlign w:val="superscript"/>
          <w:lang w:val="en-US"/>
        </w:rPr>
        <w:t>,b</w:t>
      </w:r>
      <w:proofErr w:type="spellEnd"/>
      <w:r w:rsidRPr="00EA6461">
        <w:rPr>
          <w:rFonts w:cstheme="minorHAnsi"/>
          <w:b/>
          <w:i/>
          <w:sz w:val="24"/>
          <w:szCs w:val="24"/>
          <w:lang w:val="en-US"/>
        </w:rPr>
        <w:t xml:space="preserve"> ,Cédric Schwartz </w:t>
      </w:r>
      <w:r w:rsidRPr="00EA6461">
        <w:rPr>
          <w:rFonts w:cstheme="minorHAnsi"/>
          <w:b/>
          <w:sz w:val="24"/>
          <w:szCs w:val="24"/>
          <w:lang w:val="en-US"/>
        </w:rPr>
        <w:t>(PhD)</w:t>
      </w:r>
      <w:r w:rsidRPr="00EA6461">
        <w:rPr>
          <w:rFonts w:cstheme="minorHAnsi"/>
          <w:b/>
          <w:i/>
          <w:sz w:val="24"/>
          <w:szCs w:val="24"/>
          <w:vertAlign w:val="superscript"/>
          <w:lang w:val="en-US"/>
        </w:rPr>
        <w:t>a</w:t>
      </w:r>
      <w:r w:rsidRPr="00EA6461">
        <w:rPr>
          <w:rFonts w:cstheme="minorHAnsi"/>
          <w:b/>
          <w:i/>
          <w:sz w:val="24"/>
          <w:szCs w:val="24"/>
          <w:lang w:val="en-US"/>
        </w:rPr>
        <w:t xml:space="preserve"> ,   François </w:t>
      </w:r>
      <w:proofErr w:type="spellStart"/>
      <w:r w:rsidRPr="00EA6461">
        <w:rPr>
          <w:rFonts w:cstheme="minorHAnsi"/>
          <w:b/>
          <w:i/>
          <w:sz w:val="24"/>
          <w:szCs w:val="24"/>
          <w:lang w:val="en-US"/>
        </w:rPr>
        <w:t>Tubez</w:t>
      </w:r>
      <w:r w:rsidRPr="00EA6461">
        <w:rPr>
          <w:rFonts w:cstheme="minorHAnsi"/>
          <w:b/>
          <w:i/>
          <w:sz w:val="24"/>
          <w:szCs w:val="24"/>
          <w:vertAlign w:val="superscript"/>
          <w:lang w:val="en-US"/>
        </w:rPr>
        <w:t>a</w:t>
      </w:r>
      <w:proofErr w:type="spellEnd"/>
      <w:r w:rsidRPr="00EA6461">
        <w:rPr>
          <w:rFonts w:cstheme="minorHAnsi"/>
          <w:b/>
          <w:i/>
          <w:sz w:val="24"/>
          <w:szCs w:val="24"/>
          <w:lang w:val="en-US"/>
        </w:rPr>
        <w:t xml:space="preserve">(PT, PhD), Amandine </w:t>
      </w:r>
      <w:proofErr w:type="spellStart"/>
      <w:r w:rsidRPr="00EA6461">
        <w:rPr>
          <w:rFonts w:cstheme="minorHAnsi"/>
          <w:b/>
          <w:i/>
          <w:sz w:val="24"/>
          <w:szCs w:val="24"/>
          <w:lang w:val="en-US"/>
        </w:rPr>
        <w:t>Gofflot</w:t>
      </w:r>
      <w:proofErr w:type="spellEnd"/>
      <w:r w:rsidRPr="00EA6461">
        <w:rPr>
          <w:rFonts w:cstheme="minorHAnsi"/>
          <w:b/>
          <w:i/>
          <w:sz w:val="24"/>
          <w:szCs w:val="24"/>
          <w:lang w:val="en-US"/>
        </w:rPr>
        <w:t xml:space="preserve"> </w:t>
      </w:r>
      <w:r w:rsidRPr="00EA6461">
        <w:rPr>
          <w:rFonts w:cstheme="minorHAnsi"/>
          <w:b/>
          <w:sz w:val="24"/>
          <w:szCs w:val="24"/>
          <w:lang w:val="en-US"/>
        </w:rPr>
        <w:t>(PT)</w:t>
      </w:r>
      <w:r w:rsidRPr="00EA6461">
        <w:rPr>
          <w:rFonts w:cstheme="minorHAnsi"/>
          <w:b/>
          <w:i/>
          <w:sz w:val="24"/>
          <w:szCs w:val="24"/>
          <w:vertAlign w:val="superscript"/>
          <w:lang w:val="en-US"/>
        </w:rPr>
        <w:t>b</w:t>
      </w:r>
      <w:r w:rsidRPr="00EA6461">
        <w:rPr>
          <w:rFonts w:cstheme="minorHAnsi"/>
          <w:b/>
          <w:i/>
          <w:sz w:val="24"/>
          <w:szCs w:val="24"/>
          <w:lang w:val="en-US"/>
        </w:rPr>
        <w:t xml:space="preserve">, </w:t>
      </w:r>
      <w:proofErr w:type="spellStart"/>
      <w:r w:rsidRPr="00EA6461">
        <w:rPr>
          <w:rFonts w:cstheme="minorHAnsi"/>
          <w:b/>
          <w:i/>
          <w:sz w:val="24"/>
          <w:szCs w:val="24"/>
          <w:lang w:val="en-US"/>
        </w:rPr>
        <w:t>Bornheim</w:t>
      </w:r>
      <w:proofErr w:type="spellEnd"/>
      <w:r w:rsidRPr="00EA6461">
        <w:rPr>
          <w:rFonts w:cstheme="minorHAnsi"/>
          <w:b/>
          <w:i/>
          <w:sz w:val="24"/>
          <w:szCs w:val="24"/>
          <w:lang w:val="en-US"/>
        </w:rPr>
        <w:t xml:space="preserve"> Stephen </w:t>
      </w:r>
      <w:r w:rsidRPr="00EA6461">
        <w:rPr>
          <w:rFonts w:cstheme="minorHAnsi"/>
          <w:b/>
          <w:sz w:val="24"/>
          <w:szCs w:val="24"/>
          <w:lang w:val="en-US"/>
        </w:rPr>
        <w:t>(PT, PhD)</w:t>
      </w:r>
      <w:r w:rsidRPr="00EA6461">
        <w:rPr>
          <w:rFonts w:cstheme="minorHAnsi"/>
          <w:b/>
          <w:sz w:val="24"/>
          <w:szCs w:val="24"/>
          <w:vertAlign w:val="superscript"/>
          <w:lang w:val="en-US"/>
        </w:rPr>
        <w:t>b</w:t>
      </w:r>
      <w:r w:rsidRPr="00EA6461">
        <w:rPr>
          <w:rFonts w:cstheme="minorHAnsi"/>
          <w:b/>
          <w:sz w:val="24"/>
          <w:szCs w:val="24"/>
          <w:lang w:val="en-US"/>
        </w:rPr>
        <w:t>,</w:t>
      </w:r>
      <w:r w:rsidRPr="00EA6461">
        <w:rPr>
          <w:rFonts w:cstheme="minorHAnsi"/>
          <w:b/>
          <w:i/>
          <w:sz w:val="24"/>
          <w:szCs w:val="24"/>
          <w:lang w:val="en-US"/>
        </w:rPr>
        <w:t xml:space="preserve"> </w:t>
      </w:r>
      <w:proofErr w:type="spellStart"/>
      <w:r w:rsidRPr="00EA6461">
        <w:rPr>
          <w:rFonts w:cstheme="minorHAnsi"/>
          <w:b/>
          <w:i/>
          <w:sz w:val="24"/>
          <w:szCs w:val="24"/>
          <w:lang w:val="en-US"/>
        </w:rPr>
        <w:t>Bénédicte</w:t>
      </w:r>
      <w:proofErr w:type="spellEnd"/>
      <w:r w:rsidRPr="00EA6461">
        <w:rPr>
          <w:rFonts w:cstheme="minorHAnsi"/>
          <w:b/>
          <w:i/>
          <w:sz w:val="24"/>
          <w:szCs w:val="24"/>
          <w:lang w:val="en-US"/>
        </w:rPr>
        <w:t xml:space="preserve"> </w:t>
      </w:r>
      <w:proofErr w:type="spellStart"/>
      <w:r w:rsidRPr="00EA6461">
        <w:rPr>
          <w:rFonts w:cstheme="minorHAnsi"/>
          <w:b/>
          <w:i/>
          <w:sz w:val="24"/>
          <w:szCs w:val="24"/>
          <w:lang w:val="en-US"/>
        </w:rPr>
        <w:t>Forthomme</w:t>
      </w:r>
      <w:proofErr w:type="spellEnd"/>
      <w:r w:rsidRPr="00EA6461">
        <w:rPr>
          <w:rFonts w:cstheme="minorHAnsi"/>
          <w:b/>
          <w:i/>
          <w:sz w:val="24"/>
          <w:szCs w:val="24"/>
          <w:lang w:val="en-US"/>
        </w:rPr>
        <w:t xml:space="preserve"> </w:t>
      </w:r>
      <w:proofErr w:type="spellStart"/>
      <w:r w:rsidRPr="00EA6461">
        <w:rPr>
          <w:rFonts w:cstheme="minorHAnsi"/>
          <w:b/>
          <w:i/>
          <w:sz w:val="24"/>
          <w:szCs w:val="24"/>
          <w:vertAlign w:val="superscript"/>
          <w:lang w:val="en-US"/>
        </w:rPr>
        <w:t>a,b</w:t>
      </w:r>
      <w:proofErr w:type="spellEnd"/>
      <w:r w:rsidRPr="00EA6461">
        <w:rPr>
          <w:rFonts w:cstheme="minorHAnsi"/>
          <w:b/>
          <w:sz w:val="24"/>
          <w:szCs w:val="24"/>
          <w:lang w:val="en-US"/>
        </w:rPr>
        <w:t>(</w:t>
      </w:r>
      <w:proofErr w:type="spellStart"/>
      <w:r w:rsidRPr="00EA6461">
        <w:rPr>
          <w:rFonts w:cstheme="minorHAnsi"/>
          <w:b/>
          <w:sz w:val="24"/>
          <w:szCs w:val="24"/>
          <w:lang w:val="en-US"/>
        </w:rPr>
        <w:t>PT,PhD</w:t>
      </w:r>
      <w:proofErr w:type="spellEnd"/>
      <w:r w:rsidRPr="00EA6461">
        <w:rPr>
          <w:rFonts w:cstheme="minorHAnsi"/>
          <w:b/>
          <w:sz w:val="24"/>
          <w:szCs w:val="24"/>
          <w:lang w:val="en-US"/>
        </w:rPr>
        <w:t>)</w:t>
      </w:r>
    </w:p>
    <w:p w14:paraId="7DBE1F8A" w14:textId="77777777" w:rsidR="007C2EFE" w:rsidRPr="00EA6461" w:rsidRDefault="007C2EFE" w:rsidP="007C2EFE">
      <w:pPr>
        <w:autoSpaceDE w:val="0"/>
        <w:autoSpaceDN w:val="0"/>
        <w:adjustRightInd w:val="0"/>
        <w:spacing w:after="0"/>
        <w:rPr>
          <w:rFonts w:cstheme="minorHAnsi"/>
          <w:sz w:val="24"/>
          <w:szCs w:val="24"/>
          <w:lang w:val="en-GB"/>
        </w:rPr>
      </w:pPr>
      <w:r w:rsidRPr="00EA6461">
        <w:rPr>
          <w:rFonts w:cstheme="minorHAnsi"/>
          <w:sz w:val="24"/>
          <w:szCs w:val="24"/>
          <w:lang w:val="en-GB"/>
        </w:rPr>
        <w:t>a Laboratory of Human Motion Analysis, University of Liège, Liège, Belgium</w:t>
      </w:r>
    </w:p>
    <w:p w14:paraId="01CCEECB" w14:textId="77777777" w:rsidR="007C2EFE" w:rsidRPr="00EA6461" w:rsidRDefault="007C2EFE" w:rsidP="007C2EFE">
      <w:pPr>
        <w:autoSpaceDE w:val="0"/>
        <w:autoSpaceDN w:val="0"/>
        <w:adjustRightInd w:val="0"/>
        <w:spacing w:after="0"/>
        <w:rPr>
          <w:rFonts w:cstheme="minorHAnsi"/>
          <w:sz w:val="24"/>
          <w:szCs w:val="24"/>
          <w:lang w:val="en-GB"/>
        </w:rPr>
      </w:pPr>
      <w:r w:rsidRPr="00EA6461">
        <w:rPr>
          <w:rFonts w:cstheme="minorHAnsi"/>
          <w:sz w:val="24"/>
          <w:szCs w:val="24"/>
          <w:lang w:val="en-GB"/>
        </w:rPr>
        <w:t>b Department of Physical Medicine and Rehabilitation, University of Liège, Liège, Belgium</w:t>
      </w:r>
    </w:p>
    <w:p w14:paraId="2DF18663" w14:textId="77777777" w:rsidR="007C2EFE" w:rsidRPr="00EA6461" w:rsidRDefault="007C2EFE" w:rsidP="007C2EFE">
      <w:pPr>
        <w:autoSpaceDE w:val="0"/>
        <w:autoSpaceDN w:val="0"/>
        <w:adjustRightInd w:val="0"/>
        <w:spacing w:after="0"/>
        <w:rPr>
          <w:rFonts w:cstheme="minorHAnsi"/>
          <w:sz w:val="24"/>
          <w:szCs w:val="24"/>
          <w:lang w:val="en-GB"/>
        </w:rPr>
      </w:pPr>
    </w:p>
    <w:p w14:paraId="25BD56FD" w14:textId="77777777" w:rsidR="007C2EFE" w:rsidRPr="00EA6461" w:rsidRDefault="007C2EFE" w:rsidP="007C2EFE">
      <w:pPr>
        <w:tabs>
          <w:tab w:val="left" w:pos="3885"/>
          <w:tab w:val="left" w:pos="7455"/>
        </w:tabs>
        <w:rPr>
          <w:rFonts w:cstheme="minorHAnsi"/>
          <w:sz w:val="24"/>
          <w:szCs w:val="24"/>
          <w:lang w:val="en-GB"/>
        </w:rPr>
      </w:pPr>
    </w:p>
    <w:p w14:paraId="6BBEFC47" w14:textId="77777777" w:rsidR="007C2EFE" w:rsidRPr="00EA6461" w:rsidRDefault="007C2EFE" w:rsidP="007C2EFE">
      <w:pPr>
        <w:tabs>
          <w:tab w:val="left" w:pos="3885"/>
        </w:tabs>
        <w:spacing w:line="240" w:lineRule="auto"/>
        <w:rPr>
          <w:rFonts w:cstheme="minorHAnsi"/>
          <w:sz w:val="24"/>
          <w:szCs w:val="24"/>
          <w:lang w:val="en-US"/>
        </w:rPr>
      </w:pPr>
    </w:p>
    <w:p w14:paraId="18E11DDE" w14:textId="77777777" w:rsidR="007C2EFE" w:rsidRPr="00EA6461" w:rsidRDefault="007C2EFE" w:rsidP="007C2EFE">
      <w:pPr>
        <w:tabs>
          <w:tab w:val="left" w:pos="3885"/>
        </w:tabs>
        <w:rPr>
          <w:rFonts w:cstheme="minorHAnsi"/>
          <w:b/>
          <w:i/>
          <w:sz w:val="24"/>
          <w:szCs w:val="24"/>
          <w:lang w:val="en-GB"/>
        </w:rPr>
      </w:pPr>
    </w:p>
    <w:p w14:paraId="0F437AAF" w14:textId="77777777" w:rsidR="007C2EFE" w:rsidRPr="00EA6461" w:rsidRDefault="007C2EFE" w:rsidP="007C2EFE">
      <w:pPr>
        <w:tabs>
          <w:tab w:val="left" w:pos="3885"/>
        </w:tabs>
        <w:rPr>
          <w:rFonts w:cstheme="minorHAnsi"/>
          <w:b/>
          <w:i/>
          <w:sz w:val="24"/>
          <w:szCs w:val="24"/>
          <w:lang w:val="en-GB"/>
        </w:rPr>
      </w:pPr>
    </w:p>
    <w:p w14:paraId="2AC6456C" w14:textId="77777777" w:rsidR="007C2EFE" w:rsidRPr="00EA6461" w:rsidRDefault="007C2EFE" w:rsidP="007C2EFE">
      <w:pPr>
        <w:tabs>
          <w:tab w:val="left" w:pos="3885"/>
        </w:tabs>
        <w:rPr>
          <w:rFonts w:cstheme="minorHAnsi"/>
          <w:b/>
          <w:i/>
          <w:sz w:val="24"/>
          <w:szCs w:val="24"/>
          <w:lang w:val="en-GB"/>
        </w:rPr>
      </w:pPr>
    </w:p>
    <w:p w14:paraId="1361FC68" w14:textId="77777777" w:rsidR="007C2EFE" w:rsidRPr="00EA6461" w:rsidRDefault="007C2EFE" w:rsidP="007C2EFE">
      <w:pPr>
        <w:rPr>
          <w:rFonts w:cstheme="minorHAnsi"/>
          <w:sz w:val="24"/>
          <w:szCs w:val="24"/>
          <w:lang w:val="en-GB"/>
        </w:rPr>
      </w:pPr>
    </w:p>
    <w:p w14:paraId="311CCFCA" w14:textId="77777777" w:rsidR="007C2EFE" w:rsidRPr="00EA6461" w:rsidRDefault="007C2EFE" w:rsidP="007C2EFE">
      <w:pPr>
        <w:rPr>
          <w:rFonts w:cstheme="minorHAnsi"/>
          <w:sz w:val="24"/>
          <w:szCs w:val="24"/>
          <w:lang w:val="en-GB"/>
        </w:rPr>
      </w:pPr>
    </w:p>
    <w:p w14:paraId="395C4017" w14:textId="77777777" w:rsidR="007C2EFE" w:rsidRPr="00EA6461" w:rsidRDefault="007C2EFE" w:rsidP="007C2EFE">
      <w:pPr>
        <w:rPr>
          <w:rFonts w:cstheme="minorHAnsi"/>
          <w:sz w:val="24"/>
          <w:szCs w:val="24"/>
          <w:lang w:val="en-GB"/>
        </w:rPr>
      </w:pPr>
    </w:p>
    <w:p w14:paraId="231385AE" w14:textId="77777777" w:rsidR="007C2EFE" w:rsidRPr="00EA6461" w:rsidRDefault="007C2EFE" w:rsidP="007C2EFE">
      <w:pPr>
        <w:jc w:val="center"/>
        <w:rPr>
          <w:rFonts w:cstheme="minorHAnsi"/>
          <w:sz w:val="24"/>
          <w:szCs w:val="24"/>
          <w:u w:val="single"/>
          <w:lang w:val="en-US"/>
        </w:rPr>
      </w:pPr>
    </w:p>
    <w:p w14:paraId="3EFC1716" w14:textId="77777777" w:rsidR="007C2EFE" w:rsidRPr="00EA6461" w:rsidRDefault="007C2EFE" w:rsidP="007C2EFE">
      <w:pPr>
        <w:jc w:val="center"/>
        <w:rPr>
          <w:rFonts w:cstheme="minorHAnsi"/>
          <w:sz w:val="24"/>
          <w:szCs w:val="24"/>
          <w:u w:val="single"/>
          <w:lang w:val="en-US"/>
        </w:rPr>
      </w:pPr>
    </w:p>
    <w:p w14:paraId="680E8DA4" w14:textId="77777777" w:rsidR="007C2EFE" w:rsidRPr="00EA6461" w:rsidRDefault="007C2EFE" w:rsidP="007C2EFE">
      <w:pPr>
        <w:jc w:val="center"/>
        <w:rPr>
          <w:rFonts w:cstheme="minorHAnsi"/>
          <w:sz w:val="24"/>
          <w:szCs w:val="24"/>
          <w:u w:val="single"/>
          <w:lang w:val="en-US"/>
        </w:rPr>
      </w:pPr>
    </w:p>
    <w:p w14:paraId="115CC6F0" w14:textId="77777777" w:rsidR="007C2EFE" w:rsidRPr="00EA6461" w:rsidRDefault="007C2EFE" w:rsidP="007C2EFE">
      <w:pPr>
        <w:jc w:val="center"/>
        <w:rPr>
          <w:rFonts w:cstheme="minorHAnsi"/>
          <w:sz w:val="24"/>
          <w:szCs w:val="24"/>
          <w:u w:val="single"/>
          <w:lang w:val="en-US"/>
        </w:rPr>
      </w:pPr>
    </w:p>
    <w:p w14:paraId="2F48B06B" w14:textId="77777777" w:rsidR="007C2EFE" w:rsidRPr="00EA6461" w:rsidRDefault="007C2EFE" w:rsidP="007C2EFE">
      <w:pPr>
        <w:jc w:val="center"/>
        <w:rPr>
          <w:rFonts w:cstheme="minorHAnsi"/>
          <w:sz w:val="24"/>
          <w:szCs w:val="24"/>
          <w:u w:val="single"/>
          <w:lang w:val="en-US"/>
        </w:rPr>
      </w:pPr>
    </w:p>
    <w:p w14:paraId="12A4BA70" w14:textId="77777777" w:rsidR="007C2EFE" w:rsidRPr="00EA6461" w:rsidRDefault="007C2EFE" w:rsidP="007C2EFE">
      <w:pPr>
        <w:jc w:val="center"/>
        <w:rPr>
          <w:rFonts w:cstheme="minorHAnsi"/>
          <w:sz w:val="24"/>
          <w:szCs w:val="24"/>
          <w:u w:val="single"/>
          <w:lang w:val="en-US"/>
        </w:rPr>
      </w:pPr>
    </w:p>
    <w:p w14:paraId="54910BB1" w14:textId="77777777" w:rsidR="007C2EFE" w:rsidRPr="00EA6461" w:rsidRDefault="007C2EFE" w:rsidP="007C2EFE">
      <w:pPr>
        <w:jc w:val="center"/>
        <w:rPr>
          <w:rFonts w:cstheme="minorHAnsi"/>
          <w:sz w:val="24"/>
          <w:szCs w:val="24"/>
          <w:u w:val="single"/>
          <w:lang w:val="en-US"/>
        </w:rPr>
      </w:pPr>
    </w:p>
    <w:p w14:paraId="5B7A5732" w14:textId="77777777" w:rsidR="007C2EFE" w:rsidRPr="00EA6461" w:rsidRDefault="007C2EFE" w:rsidP="007C2EFE">
      <w:pPr>
        <w:jc w:val="center"/>
        <w:rPr>
          <w:rFonts w:cstheme="minorHAnsi"/>
          <w:sz w:val="24"/>
          <w:szCs w:val="24"/>
          <w:u w:val="single"/>
          <w:lang w:val="en-US"/>
        </w:rPr>
      </w:pPr>
    </w:p>
    <w:p w14:paraId="7F700774" w14:textId="77777777" w:rsidR="007C2EFE" w:rsidRPr="00EA6461" w:rsidRDefault="007C2EFE" w:rsidP="007C2EFE">
      <w:pPr>
        <w:jc w:val="center"/>
        <w:rPr>
          <w:rFonts w:cstheme="minorHAnsi"/>
          <w:sz w:val="24"/>
          <w:szCs w:val="24"/>
          <w:u w:val="single"/>
          <w:lang w:val="en-US"/>
        </w:rPr>
      </w:pPr>
    </w:p>
    <w:p w14:paraId="07DAFBBC" w14:textId="77777777" w:rsidR="007C2EFE" w:rsidRPr="00EA6461" w:rsidRDefault="007C2EFE" w:rsidP="007C2EFE">
      <w:pPr>
        <w:jc w:val="center"/>
        <w:rPr>
          <w:rFonts w:cstheme="minorHAnsi"/>
          <w:sz w:val="24"/>
          <w:szCs w:val="24"/>
          <w:u w:val="single"/>
          <w:lang w:val="en-US"/>
        </w:rPr>
      </w:pPr>
    </w:p>
    <w:p w14:paraId="76F801E2" w14:textId="77777777" w:rsidR="007C2EFE" w:rsidRPr="00EA6461" w:rsidRDefault="007C2EFE" w:rsidP="007C2EFE">
      <w:pPr>
        <w:jc w:val="center"/>
        <w:rPr>
          <w:rFonts w:cstheme="minorHAnsi"/>
          <w:sz w:val="24"/>
          <w:szCs w:val="24"/>
          <w:u w:val="single"/>
          <w:lang w:val="en-US"/>
        </w:rPr>
      </w:pPr>
    </w:p>
    <w:p w14:paraId="236D29D9" w14:textId="77777777" w:rsidR="007C2EFE" w:rsidRPr="00EA6461" w:rsidRDefault="007C2EFE" w:rsidP="007C2EFE">
      <w:pPr>
        <w:jc w:val="center"/>
        <w:rPr>
          <w:rFonts w:cstheme="minorHAnsi"/>
          <w:sz w:val="24"/>
          <w:szCs w:val="24"/>
          <w:u w:val="single"/>
          <w:lang w:val="en-US"/>
        </w:rPr>
      </w:pPr>
    </w:p>
    <w:p w14:paraId="2DEB2F4B" w14:textId="77777777" w:rsidR="007C2EFE" w:rsidRPr="00EA6461" w:rsidRDefault="007C2EFE" w:rsidP="007C2EFE">
      <w:pPr>
        <w:jc w:val="center"/>
        <w:rPr>
          <w:rFonts w:cstheme="minorHAnsi"/>
          <w:sz w:val="24"/>
          <w:szCs w:val="24"/>
          <w:u w:val="single"/>
          <w:lang w:val="en-US"/>
        </w:rPr>
      </w:pPr>
    </w:p>
    <w:p w14:paraId="32821256" w14:textId="77777777" w:rsidR="007C2EFE" w:rsidRPr="00EA6461" w:rsidRDefault="007C2EFE" w:rsidP="007C2EFE">
      <w:pPr>
        <w:jc w:val="center"/>
        <w:rPr>
          <w:rFonts w:cstheme="minorHAnsi"/>
          <w:sz w:val="24"/>
          <w:szCs w:val="24"/>
          <w:u w:val="single"/>
          <w:lang w:val="en-US"/>
        </w:rPr>
      </w:pPr>
    </w:p>
    <w:p w14:paraId="430628A9" w14:textId="77777777" w:rsidR="007C2EFE" w:rsidRPr="00455A3D" w:rsidRDefault="007C2EFE" w:rsidP="007C2EFE">
      <w:pPr>
        <w:jc w:val="center"/>
        <w:rPr>
          <w:rFonts w:cstheme="minorHAnsi"/>
          <w:b/>
          <w:bCs/>
          <w:sz w:val="28"/>
          <w:szCs w:val="28"/>
          <w:u w:val="single"/>
          <w:lang w:val="en-US"/>
        </w:rPr>
      </w:pPr>
      <w:r w:rsidRPr="00455A3D">
        <w:rPr>
          <w:rFonts w:cstheme="minorHAnsi"/>
          <w:b/>
          <w:bCs/>
          <w:sz w:val="28"/>
          <w:szCs w:val="28"/>
          <w:u w:val="single"/>
          <w:lang w:val="en-US"/>
        </w:rPr>
        <w:lastRenderedPageBreak/>
        <w:t xml:space="preserve">Abstract </w:t>
      </w:r>
    </w:p>
    <w:p w14:paraId="5E52B6CE" w14:textId="77777777" w:rsidR="007C2EFE" w:rsidRPr="00EA6461" w:rsidRDefault="007C2EFE" w:rsidP="007C2EFE">
      <w:pPr>
        <w:rPr>
          <w:rFonts w:cstheme="minorHAnsi"/>
          <w:sz w:val="24"/>
          <w:szCs w:val="24"/>
          <w:u w:val="single"/>
          <w:lang w:val="en-US"/>
        </w:rPr>
      </w:pPr>
    </w:p>
    <w:p w14:paraId="263BEDC1" w14:textId="77777777" w:rsidR="007C2EFE" w:rsidRPr="00EA6461" w:rsidRDefault="007C2EFE" w:rsidP="007C2EFE">
      <w:pPr>
        <w:spacing w:line="360" w:lineRule="auto"/>
        <w:jc w:val="both"/>
        <w:rPr>
          <w:rFonts w:cstheme="minorHAnsi"/>
          <w:sz w:val="24"/>
          <w:szCs w:val="24"/>
          <w:lang w:val="en-US"/>
        </w:rPr>
      </w:pPr>
      <w:r w:rsidRPr="0094249E">
        <w:rPr>
          <w:rFonts w:cstheme="minorHAnsi"/>
          <w:b/>
          <w:bCs/>
          <w:sz w:val="24"/>
          <w:szCs w:val="24"/>
          <w:lang w:val="en-US"/>
        </w:rPr>
        <w:t>Background:</w:t>
      </w:r>
      <w:r w:rsidRPr="00EA6461">
        <w:rPr>
          <w:rFonts w:cstheme="minorHAnsi"/>
          <w:sz w:val="24"/>
          <w:szCs w:val="24"/>
          <w:lang w:val="en-US"/>
        </w:rPr>
        <w:t xml:space="preserve"> </w:t>
      </w:r>
      <w:r w:rsidRPr="00EA6461">
        <w:rPr>
          <w:rFonts w:cstheme="minorHAnsi"/>
          <w:sz w:val="24"/>
          <w:szCs w:val="24"/>
          <w:lang w:val="en-GB"/>
        </w:rPr>
        <w:t xml:space="preserve">Tennis practice requires a lot of technical, physical and mental qualities that </w:t>
      </w:r>
      <w:proofErr w:type="gramStart"/>
      <w:r w:rsidRPr="00EA6461">
        <w:rPr>
          <w:rFonts w:cstheme="minorHAnsi"/>
          <w:sz w:val="24"/>
          <w:szCs w:val="24"/>
          <w:lang w:val="en-GB"/>
        </w:rPr>
        <w:t>have to</w:t>
      </w:r>
      <w:proofErr w:type="gramEnd"/>
      <w:r w:rsidRPr="00EA6461">
        <w:rPr>
          <w:rFonts w:cstheme="minorHAnsi"/>
          <w:sz w:val="24"/>
          <w:szCs w:val="24"/>
          <w:lang w:val="en-GB"/>
        </w:rPr>
        <w:t xml:space="preserve"> be trained from the youngest age. The important number of hours spent on the court can lead, medium-to-long term to strength or flexibility adaptations, even in the youngest players. </w:t>
      </w:r>
      <w:r w:rsidRPr="00EA6461">
        <w:rPr>
          <w:rFonts w:cstheme="minorHAnsi"/>
          <w:sz w:val="24"/>
          <w:szCs w:val="24"/>
          <w:lang w:val="en-US"/>
        </w:rPr>
        <w:t xml:space="preserve">The current study aimed to explore the developmental consequences of repetitively playing tennis on shoulder range of motion and shoulder rotators’ strength in elite male and female tennis players. </w:t>
      </w:r>
    </w:p>
    <w:p w14:paraId="641CD4AF" w14:textId="77777777" w:rsidR="007C2EFE" w:rsidRPr="00EA6461" w:rsidRDefault="007C2EFE" w:rsidP="007C2EFE">
      <w:pPr>
        <w:spacing w:line="360" w:lineRule="auto"/>
        <w:jc w:val="both"/>
        <w:rPr>
          <w:rFonts w:cstheme="minorHAnsi"/>
          <w:sz w:val="24"/>
          <w:szCs w:val="24"/>
          <w:lang w:val="en-GB"/>
        </w:rPr>
      </w:pPr>
      <w:r w:rsidRPr="0094249E">
        <w:rPr>
          <w:rFonts w:cstheme="minorHAnsi"/>
          <w:b/>
          <w:bCs/>
          <w:sz w:val="24"/>
          <w:szCs w:val="24"/>
          <w:lang w:val="en-US"/>
        </w:rPr>
        <w:t>Methods:</w:t>
      </w:r>
      <w:r w:rsidRPr="00EA6461">
        <w:rPr>
          <w:rFonts w:cstheme="minorHAnsi"/>
          <w:sz w:val="24"/>
          <w:szCs w:val="24"/>
          <w:lang w:val="en-US"/>
        </w:rPr>
        <w:t xml:space="preserve"> E</w:t>
      </w:r>
      <w:r w:rsidRPr="00EA6461">
        <w:rPr>
          <w:rFonts w:cstheme="minorHAnsi"/>
          <w:noProof/>
          <w:sz w:val="24"/>
          <w:szCs w:val="24"/>
          <w:lang w:val="en-GB"/>
        </w:rPr>
        <w:t xml:space="preserve">igthy four painfree elite tennis players were assessed during preseason between 2009 and 2019. </w:t>
      </w:r>
      <w:r w:rsidRPr="00EA6461">
        <w:rPr>
          <w:rFonts w:cstheme="minorHAnsi"/>
          <w:sz w:val="24"/>
          <w:szCs w:val="24"/>
          <w:lang w:val="en-GB"/>
        </w:rPr>
        <w:t xml:space="preserve">Clinical assessment included internal and external rotation range of motion and forward shoulder posture while maximal internal and external rotators strength were assessed with an isokinetic dynamometer in concentric and in eccentric modes (at 60°/s and 240°/s). </w:t>
      </w:r>
    </w:p>
    <w:p w14:paraId="41183A08" w14:textId="77777777" w:rsidR="007C2EFE" w:rsidRPr="00EA6461" w:rsidRDefault="007C2EFE" w:rsidP="007C2EFE">
      <w:pPr>
        <w:spacing w:line="360" w:lineRule="auto"/>
        <w:jc w:val="both"/>
        <w:rPr>
          <w:rFonts w:cstheme="minorHAnsi"/>
          <w:sz w:val="24"/>
          <w:szCs w:val="24"/>
          <w:lang w:val="en-GB"/>
        </w:rPr>
      </w:pPr>
      <w:r w:rsidRPr="0094249E">
        <w:rPr>
          <w:rFonts w:cstheme="minorHAnsi"/>
          <w:b/>
          <w:bCs/>
          <w:noProof/>
          <w:sz w:val="24"/>
          <w:szCs w:val="24"/>
          <w:lang w:val="en-GB"/>
        </w:rPr>
        <w:t>Results:</w:t>
      </w:r>
      <w:r w:rsidRPr="00EA6461">
        <w:rPr>
          <w:rFonts w:cstheme="minorHAnsi"/>
          <w:noProof/>
          <w:sz w:val="24"/>
          <w:szCs w:val="24"/>
          <w:lang w:val="en-GB"/>
        </w:rPr>
        <w:t xml:space="preserve"> I</w:t>
      </w:r>
      <w:r w:rsidRPr="00EA6461">
        <w:rPr>
          <w:rFonts w:cstheme="minorHAnsi"/>
          <w:sz w:val="24"/>
          <w:szCs w:val="24"/>
          <w:lang w:val="en-GB"/>
        </w:rPr>
        <w:t xml:space="preserve">n male players, growth and maturation induced an increase in forward shoulder posture. Absolute peak torque and bodyweight peak torque of internal and external rotators in concentric and eccentric mode were also significantly increased during with age while ER/IR concentric ratios were significantly decreased. In the female players, only absolute peak torque of internal and external rotators in concentric mode and eccentric strength of external rotators were significantly influenced by the development. </w:t>
      </w:r>
    </w:p>
    <w:p w14:paraId="5977136E" w14:textId="77777777" w:rsidR="007C2EFE" w:rsidRPr="00EA6461" w:rsidRDefault="007C2EFE" w:rsidP="007C2EFE">
      <w:pPr>
        <w:spacing w:line="360" w:lineRule="auto"/>
        <w:jc w:val="both"/>
        <w:rPr>
          <w:rFonts w:cstheme="minorHAnsi"/>
          <w:sz w:val="24"/>
          <w:szCs w:val="24"/>
          <w:u w:val="single"/>
          <w:lang w:val="en-GB"/>
        </w:rPr>
      </w:pPr>
      <w:r w:rsidRPr="0094249E">
        <w:rPr>
          <w:rFonts w:cstheme="minorHAnsi"/>
          <w:b/>
          <w:bCs/>
          <w:sz w:val="24"/>
          <w:szCs w:val="24"/>
          <w:lang w:val="en-GB"/>
        </w:rPr>
        <w:t>Conclusions:</w:t>
      </w:r>
      <w:r w:rsidRPr="00EA6461">
        <w:rPr>
          <w:rFonts w:cstheme="minorHAnsi"/>
          <w:sz w:val="24"/>
          <w:szCs w:val="24"/>
          <w:lang w:val="en-GB"/>
        </w:rPr>
        <w:t xml:space="preserve"> </w:t>
      </w:r>
      <w:r w:rsidRPr="00EA6461">
        <w:rPr>
          <w:rFonts w:cstheme="minorHAnsi"/>
          <w:sz w:val="24"/>
          <w:szCs w:val="24"/>
          <w:lang w:val="en-US"/>
        </w:rPr>
        <w:t xml:space="preserve">Specific adaptations were found in male and female players with age and practice. </w:t>
      </w:r>
      <w:r w:rsidRPr="00EA6461">
        <w:rPr>
          <w:rFonts w:cstheme="minorHAnsi"/>
          <w:sz w:val="24"/>
          <w:szCs w:val="24"/>
          <w:lang w:val="en-GB"/>
        </w:rPr>
        <w:t>The important variability in the results within the different age categories and the gender strengthens the importance of regular screening (and isokinetic evaluations) in young tennis players in order to highlight potential atypical profiles, which could have a negative influence on performance or increase the risk of injuries during the development of the player.</w:t>
      </w:r>
    </w:p>
    <w:p w14:paraId="48314A96" w14:textId="77777777" w:rsidR="007C2EFE" w:rsidRDefault="007C2EFE" w:rsidP="007C2EFE">
      <w:pPr>
        <w:spacing w:line="360" w:lineRule="auto"/>
        <w:rPr>
          <w:rFonts w:cstheme="minorHAnsi"/>
          <w:sz w:val="24"/>
          <w:szCs w:val="24"/>
          <w:lang w:val="en-GB"/>
        </w:rPr>
      </w:pPr>
      <w:r w:rsidRPr="00894B14">
        <w:rPr>
          <w:rFonts w:cstheme="minorHAnsi"/>
          <w:b/>
          <w:bCs/>
          <w:sz w:val="24"/>
          <w:szCs w:val="24"/>
          <w:lang w:val="en-GB"/>
        </w:rPr>
        <w:t>Keywords:</w:t>
      </w:r>
      <w:r w:rsidRPr="00894B14">
        <w:rPr>
          <w:rFonts w:cstheme="minorHAnsi"/>
          <w:sz w:val="24"/>
          <w:szCs w:val="24"/>
          <w:lang w:val="en-GB"/>
        </w:rPr>
        <w:t xml:space="preserve"> </w:t>
      </w:r>
      <w:r w:rsidRPr="00EA6461">
        <w:rPr>
          <w:rFonts w:cstheme="minorHAnsi"/>
          <w:sz w:val="24"/>
          <w:szCs w:val="24"/>
          <w:lang w:val="en-GB"/>
        </w:rPr>
        <w:t>tennis performance, young players, strength, growth, assessment</w:t>
      </w:r>
    </w:p>
    <w:p w14:paraId="26073E5A" w14:textId="77777777" w:rsidR="007C2EFE" w:rsidRDefault="007C2EFE" w:rsidP="007C2EFE">
      <w:pPr>
        <w:spacing w:line="360" w:lineRule="auto"/>
        <w:rPr>
          <w:rFonts w:cstheme="minorHAnsi"/>
          <w:sz w:val="24"/>
          <w:szCs w:val="24"/>
          <w:lang w:val="en-GB"/>
        </w:rPr>
      </w:pPr>
    </w:p>
    <w:p w14:paraId="7EEFBEB6" w14:textId="77777777" w:rsidR="007C2EFE" w:rsidRDefault="007C2EFE" w:rsidP="007C2EFE">
      <w:pPr>
        <w:spacing w:line="360" w:lineRule="auto"/>
        <w:rPr>
          <w:rFonts w:cstheme="minorHAnsi"/>
          <w:sz w:val="24"/>
          <w:szCs w:val="24"/>
          <w:lang w:val="en-GB"/>
        </w:rPr>
      </w:pPr>
    </w:p>
    <w:p w14:paraId="3E08F211" w14:textId="77777777" w:rsidR="007C2EFE" w:rsidRDefault="007C2EFE"/>
    <w:sectPr w:rsidR="007C2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FE"/>
    <w:rsid w:val="007C2E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0F4E"/>
  <w15:chartTrackingRefBased/>
  <w15:docId w15:val="{9F4ADD8B-5561-431C-BCE4-354EBA13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E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2053</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Tooth</dc:creator>
  <cp:keywords/>
  <dc:description/>
  <cp:lastModifiedBy>Camille Tooth</cp:lastModifiedBy>
  <cp:revision>1</cp:revision>
  <dcterms:created xsi:type="dcterms:W3CDTF">2022-05-06T11:54:00Z</dcterms:created>
  <dcterms:modified xsi:type="dcterms:W3CDTF">2022-05-06T11:55:00Z</dcterms:modified>
</cp:coreProperties>
</file>