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05A86" w14:textId="5036E7A5" w:rsidR="006677C1" w:rsidRPr="00B73595" w:rsidRDefault="005D2534" w:rsidP="005D2534">
      <w:pPr>
        <w:jc w:val="center"/>
        <w:rPr>
          <w:sz w:val="28"/>
          <w:szCs w:val="28"/>
        </w:rPr>
      </w:pPr>
      <w:r w:rsidRPr="00B73595">
        <w:rPr>
          <w:sz w:val="28"/>
          <w:szCs w:val="28"/>
        </w:rPr>
        <w:t xml:space="preserve">NATURE DOES </w:t>
      </w:r>
      <w:r w:rsidRPr="00B73595">
        <w:rPr>
          <w:i/>
          <w:iCs/>
          <w:sz w:val="28"/>
          <w:szCs w:val="28"/>
        </w:rPr>
        <w:t>NOT</w:t>
      </w:r>
      <w:r w:rsidRPr="00B73595">
        <w:rPr>
          <w:sz w:val="28"/>
          <w:szCs w:val="28"/>
        </w:rPr>
        <w:t xml:space="preserve"> </w:t>
      </w:r>
      <w:r w:rsidR="00F56E9C" w:rsidRPr="00B73595">
        <w:rPr>
          <w:sz w:val="28"/>
          <w:szCs w:val="28"/>
        </w:rPr>
        <w:t xml:space="preserve">YET </w:t>
      </w:r>
      <w:r w:rsidRPr="00B73595">
        <w:rPr>
          <w:sz w:val="28"/>
          <w:szCs w:val="28"/>
        </w:rPr>
        <w:t>SAY NO TO INNER AWARENESS</w:t>
      </w:r>
      <w:r w:rsidR="00F03C1B" w:rsidRPr="00B73595">
        <w:rPr>
          <w:sz w:val="28"/>
          <w:szCs w:val="28"/>
        </w:rPr>
        <w:t>: REPLY TO STO</w:t>
      </w:r>
      <w:r w:rsidR="00AB3ECA" w:rsidRPr="00B73595">
        <w:rPr>
          <w:sz w:val="28"/>
          <w:szCs w:val="28"/>
        </w:rPr>
        <w:t>L</w:t>
      </w:r>
      <w:r w:rsidR="00F03C1B" w:rsidRPr="00B73595">
        <w:rPr>
          <w:sz w:val="28"/>
          <w:szCs w:val="28"/>
        </w:rPr>
        <w:t>JAR</w:t>
      </w:r>
    </w:p>
    <w:p w14:paraId="5D0B75D1" w14:textId="681B2104" w:rsidR="005D2534" w:rsidRPr="00B73595" w:rsidRDefault="005D2534" w:rsidP="005D2534">
      <w:pPr>
        <w:jc w:val="center"/>
      </w:pPr>
      <w:r w:rsidRPr="00B73595">
        <w:t>Anna Giustina</w:t>
      </w:r>
    </w:p>
    <w:p w14:paraId="05BB0AFB" w14:textId="77777777" w:rsidR="00E15887" w:rsidRPr="00B73595" w:rsidRDefault="00E15887"/>
    <w:p w14:paraId="534DA0D4" w14:textId="6D11522B" w:rsidR="00A46941" w:rsidRPr="00B73595" w:rsidRDefault="00A46941">
      <w:r w:rsidRPr="00B73595">
        <w:t xml:space="preserve">One of the major divides </w:t>
      </w:r>
      <w:r w:rsidR="00E15887" w:rsidRPr="00B73595">
        <w:t xml:space="preserve">in contemporary philosophy of consciousness is </w:t>
      </w:r>
      <w:r w:rsidR="001B5F07" w:rsidRPr="00B73595">
        <w:t xml:space="preserve">on </w:t>
      </w:r>
      <w:r w:rsidR="00E15887" w:rsidRPr="00B73595">
        <w:t xml:space="preserve">whether phenomenal consciousness requires some form of self-consciousness. </w:t>
      </w:r>
      <w:r w:rsidR="007E5858" w:rsidRPr="00B73595">
        <w:t>The disagreement revolves around the following principle</w:t>
      </w:r>
      <w:r w:rsidR="00C07D95" w:rsidRPr="00B73595">
        <w:t xml:space="preserve"> (or something in the vicinity)</w:t>
      </w:r>
      <w:r w:rsidR="007E5858" w:rsidRPr="00B73595">
        <w:t>:</w:t>
      </w:r>
    </w:p>
    <w:p w14:paraId="73F0AE7E" w14:textId="31135C8B" w:rsidR="007E5858" w:rsidRPr="00B73595" w:rsidRDefault="007E5858" w:rsidP="001F43C9">
      <w:pPr>
        <w:ind w:left="720" w:hanging="360"/>
      </w:pPr>
      <w:r w:rsidRPr="00B73595">
        <w:rPr>
          <w:i/>
          <w:iCs/>
        </w:rPr>
        <w:t>IA</w:t>
      </w:r>
      <w:r w:rsidRPr="00B73595">
        <w:t xml:space="preserve">: For any subject S and </w:t>
      </w:r>
      <w:r w:rsidR="00001685" w:rsidRPr="00B73595">
        <w:t xml:space="preserve">phenomenally </w:t>
      </w:r>
      <w:r w:rsidRPr="00B73595">
        <w:t>conscious mental state C</w:t>
      </w:r>
      <w:r w:rsidR="001F43C9" w:rsidRPr="00B73595">
        <w:t xml:space="preserve"> of S</w:t>
      </w:r>
      <w:r w:rsidRPr="00B73595">
        <w:t xml:space="preserve">, C is </w:t>
      </w:r>
      <w:r w:rsidR="00001685" w:rsidRPr="00B73595">
        <w:t xml:space="preserve">phenomenally </w:t>
      </w:r>
      <w:r w:rsidRPr="00B73595">
        <w:t>conscious only if S is aware of C.</w:t>
      </w:r>
    </w:p>
    <w:p w14:paraId="5486C71E" w14:textId="76777D4D" w:rsidR="00091294" w:rsidRPr="00B73595" w:rsidRDefault="007E5858" w:rsidP="00091294">
      <w:r w:rsidRPr="00B73595">
        <w:t xml:space="preserve">We may call the relevant awareness of one’s own mental states “inner awareness” and the principle “Inner Awareness Principle” (IA). First-order representationalist theories of consciousness </w:t>
      </w:r>
      <w:r w:rsidR="00EB681F" w:rsidRPr="00B73595">
        <w:fldChar w:fldCharType="begin"/>
      </w:r>
      <w:r w:rsidR="001F6CBD">
        <w:instrText xml:space="preserve"> ADDIN ZOTERO_ITEM CSL_CITATION {"citationID":"IWVRyHCJ","properties":{"formattedCitation":"(Dretske 1995)","plainCitation":"(Dretske 1995)","dontUpdate":true,"noteIndex":0},"citationItems":[{"id":149,"uris":["http://zotero.org/users/3438906/items/5D7IVHRQ"],"itemData":{"id":149,"type":"book","event-place":"Cambridge, MA","publisher":"MIT Press","publisher-place":"Cambridge, MA","source":"PhilPapers","title":"Naturalizing the Mind","author":[{"family":"Dretske","given":"Fred"}],"issued":{"date-parts":[["1995"]]}}}],"schema":"https://github.com/citation-style-language/schema/raw/master/csl-citation.json"} </w:instrText>
      </w:r>
      <w:r w:rsidR="00EB681F" w:rsidRPr="00B73595">
        <w:fldChar w:fldCharType="separate"/>
      </w:r>
      <w:r w:rsidR="00EB681F" w:rsidRPr="00B73595">
        <w:t>(Dretske 1995</w:t>
      </w:r>
      <w:r w:rsidR="00EB681F" w:rsidRPr="00B73595">
        <w:fldChar w:fldCharType="end"/>
      </w:r>
      <w:r w:rsidR="00EB681F" w:rsidRPr="00B73595">
        <w:t xml:space="preserve">; </w:t>
      </w:r>
      <w:r w:rsidR="00EB681F" w:rsidRPr="00B73595">
        <w:fldChar w:fldCharType="begin"/>
      </w:r>
      <w:r w:rsidR="001F6CBD">
        <w:instrText xml:space="preserve"> ADDIN ZOTERO_ITEM CSL_CITATION {"citationID":"lU3HjVpG","properties":{"formattedCitation":"(Tye 1995)","plainCitation":"(Tye 1995)","dontUpdate":true,"noteIndex":0},"citationItems":[{"id":148,"uris":["http://zotero.org/users/3438906/items/FWCI88FJ"],"itemData":{"id":148,"type":"book","event-place":"Cambridge, MA","publisher":"MIT Press","publisher-place":"Cambridge, MA","source":"PhilPapers","title":"Ten Problems of Consciousness: A Representational Theory of the Phenomenal Mind","title-short":"Ten Problems of Consciousness","author":[{"family":"Tye","given":"Michael"}],"issued":{"date-parts":[["1995"]]}}}],"schema":"https://github.com/citation-style-language/schema/raw/master/csl-citation.json"} </w:instrText>
      </w:r>
      <w:r w:rsidR="00EB681F" w:rsidRPr="00B73595">
        <w:fldChar w:fldCharType="separate"/>
      </w:r>
      <w:r w:rsidR="00EB681F" w:rsidRPr="00B73595">
        <w:t>Tye 1995)</w:t>
      </w:r>
      <w:r w:rsidR="00EB681F" w:rsidRPr="00B73595">
        <w:fldChar w:fldCharType="end"/>
      </w:r>
      <w:r w:rsidR="00EB681F" w:rsidRPr="00B73595">
        <w:t xml:space="preserve"> </w:t>
      </w:r>
      <w:r w:rsidRPr="00B73595">
        <w:t>reject IA, whereas meta-representationalist theories</w:t>
      </w:r>
      <w:r w:rsidR="00EB681F" w:rsidRPr="00B73595">
        <w:t>—</w:t>
      </w:r>
      <w:r w:rsidRPr="00B73595">
        <w:t>higher-order</w:t>
      </w:r>
      <w:r w:rsidR="00194FA3" w:rsidRPr="00B73595">
        <w:t xml:space="preserve"> representationalism</w:t>
      </w:r>
      <w:r w:rsidRPr="00B73595">
        <w:t xml:space="preserve"> </w:t>
      </w:r>
      <w:r w:rsidR="00EB681F" w:rsidRPr="00B73595">
        <w:fldChar w:fldCharType="begin"/>
      </w:r>
      <w:r w:rsidR="001F6CBD">
        <w:instrText xml:space="preserve"> ADDIN ZOTERO_ITEM CSL_CITATION {"citationID":"goz5bfw9","properties":{"formattedCitation":"(Lycan 1996)","plainCitation":"(Lycan 1996)","dontUpdate":true,"noteIndex":0},"citationItems":[{"id":75,"uris":["http://zotero.org/users/3438906/items/9QQGUIQJ"],"itemData":{"id":75,"type":"book","abstract":"\"The mind has no special properties that are not exhausted by its representational properties, along with or in combination with the functional organization of its components. It would follow that once representation itself is (eventually) understood, then not only consciousness in our present sense but subjectivity, qualia, what it's like, ' and every other aspect of the mental will be explicable in terms of representation together with the underlying functionally organized neurophysiology....I do not think there will be any problem of consciousness' left.\"This sequel to Lycan's \"Consciousness\" continues the elaboration of his general functionalist theory of consciousness, answers the critics of his earlier work, and expands the range of discussion to deal with the many new issues and arguments that have arisen in the intervening years -- an extraordinarily fertile period for the philosophical investigation of consciousness. Lycan not only uses the numerous arguments against materialism, and functionalist theories of mind in particular, to gain a more detailed positive view of the structure of the mind, he also targets the set of really hard problems at the center of the theory of consciousness: subjectivity, qualia, and the felt aspect of experience. The key to his own enlarged and fairly argued position, which he calls the \"hegemony of representation, \" is that there is no more to mind or consciousness than can be accounted for in terms of intentionality, functional organization, and in particular, second-order representation of one's own mental states.","event-place":"Cambridge, MA","ISBN":"978-0-262-12197-2","language":"en","note":"Google-Books-ID: buqx0Q3K1S8C","number-of-pages":"242","publisher":"MIT Press","publisher-place":"Cambridge, MA","source":"Google Books","title":"Consciousness and Experience","author":[{"family":"Lycan","given":"William G."}],"issued":{"date-parts":[["1996"]]}}}],"schema":"https://github.com/citation-style-language/schema/raw/master/csl-citation.json"} </w:instrText>
      </w:r>
      <w:r w:rsidR="00EB681F" w:rsidRPr="00B73595">
        <w:fldChar w:fldCharType="separate"/>
      </w:r>
      <w:r w:rsidR="00EB681F" w:rsidRPr="00B73595">
        <w:t>(Lycan 1996</w:t>
      </w:r>
      <w:r w:rsidR="00EB681F" w:rsidRPr="00B73595">
        <w:fldChar w:fldCharType="end"/>
      </w:r>
      <w:r w:rsidR="00EB681F" w:rsidRPr="00B73595">
        <w:t xml:space="preserve">; </w:t>
      </w:r>
      <w:r w:rsidR="00EB681F" w:rsidRPr="00B73595">
        <w:fldChar w:fldCharType="begin"/>
      </w:r>
      <w:r w:rsidR="001F6CBD">
        <w:instrText xml:space="preserve"> ADDIN ZOTERO_ITEM CSL_CITATION {"citationID":"Yg6WYCZU","properties":{"formattedCitation":"(Rosenthal 1997)","plainCitation":"(Rosenthal 1997)","dontUpdate":true,"noteIndex":0},"citationItems":[{"id":204,"uris":["http://zotero.org/users/3438906/items/NNJN2TNQ"],"itemData":{"id":204,"type":"chapter","container-title":"The Nature of Consciousness: Philosophical Debates","event-place":"Cambridge, MA","page":"729-753","publisher":"MIT Press","publisher-place":"Cambridge, MA","source":"PhilPapers","title":"A Theory of Consciousness","editor":[{"family":"Block","given":"Ned"},{"family":"Flanagan","given":"Owen J."},{"family":"Güzeldere","given":"Güven"}],"author":[{"family":"Rosenthal","given":"David M."}],"issued":{"date-parts":[["1997"]]}}}],"schema":"https://github.com/citation-style-language/schema/raw/master/csl-citation.json"} </w:instrText>
      </w:r>
      <w:r w:rsidR="00EB681F" w:rsidRPr="00B73595">
        <w:fldChar w:fldCharType="separate"/>
      </w:r>
      <w:r w:rsidR="00EB681F" w:rsidRPr="00B73595">
        <w:t>Rosenthal 1997)</w:t>
      </w:r>
      <w:r w:rsidR="00EB681F" w:rsidRPr="00B73595">
        <w:fldChar w:fldCharType="end"/>
      </w:r>
      <w:r w:rsidR="00EB681F" w:rsidRPr="00B73595">
        <w:t xml:space="preserve"> </w:t>
      </w:r>
      <w:r w:rsidRPr="00B73595">
        <w:t xml:space="preserve">and </w:t>
      </w:r>
      <w:r w:rsidR="00194FA3" w:rsidRPr="00B73595">
        <w:t>self-representationalism</w:t>
      </w:r>
      <w:r w:rsidR="00EB681F" w:rsidRPr="00B73595">
        <w:t xml:space="preserve"> </w:t>
      </w:r>
      <w:r w:rsidR="00EB681F" w:rsidRPr="00B73595">
        <w:fldChar w:fldCharType="begin"/>
      </w:r>
      <w:r w:rsidR="001F6CBD">
        <w:instrText xml:space="preserve"> ADDIN ZOTERO_ITEM CSL_CITATION {"citationID":"eUoKKWWI","properties":{"formattedCitation":"(Kriegel 2009)","plainCitation":"(Kriegel 2009)","noteIndex":0},"citationItems":[{"id":78,"uris":["http://zotero.org/users/3438906/items/8AXRNPP2"],"itemData":{"id":78,"type":"book","event-place":"Oxford","publisher":"Oxford University Press","publisher-place":"Oxford","source":"PhilPapers","title":"Subjective Consciousness: A Self-Representational Theory","title-short":"Subjective Consciousness","author":[{"family":"Kriegel","given":"Uriah"}],"issued":{"date-parts":[["2009"]]}}}],"schema":"https://github.com/citation-style-language/schema/raw/master/csl-citation.json"} </w:instrText>
      </w:r>
      <w:r w:rsidR="00EB681F" w:rsidRPr="00B73595">
        <w:fldChar w:fldCharType="separate"/>
      </w:r>
      <w:r w:rsidR="00EB681F" w:rsidRPr="00B73595">
        <w:t>(Kriegel 2009)</w:t>
      </w:r>
      <w:r w:rsidR="00EB681F" w:rsidRPr="00B73595">
        <w:fldChar w:fldCharType="end"/>
      </w:r>
      <w:r w:rsidR="00EB681F" w:rsidRPr="00B73595">
        <w:t>—</w:t>
      </w:r>
      <w:r w:rsidRPr="00B73595">
        <w:t xml:space="preserve">and some “acquaintance” theories </w:t>
      </w:r>
      <w:r w:rsidR="00EB681F" w:rsidRPr="00B73595">
        <w:fldChar w:fldCharType="begin"/>
      </w:r>
      <w:r w:rsidR="001F6CBD">
        <w:instrText xml:space="preserve"> ADDIN ZOTERO_ITEM CSL_CITATION {"citationID":"MsIFVNTU","properties":{"formattedCitation":"(Coleman 2015)","plainCitation":"(Coleman 2015)","dontUpdate":true,"noteIndex":0},"citationItems":[{"id":1096,"uris":["http://zotero.org/users/3438906/items/93A34ISJ"],"itemData":{"id":1096,"type":"article-journal","container-title":"Philosophical Studies","DOI":"10.1007/s11098-015-0441-1","issue":"10","note":"publisher: Springer Netherlands","page":"2705–2733","source":"PhilPapers","title":"Quotational Higher-Order Thought Theory","volume":"172","author":[{"family":"Coleman","given":"Sam"}],"issued":{"date-parts":[["2015"]]}}}],"schema":"https://github.com/citation-style-language/schema/raw/master/csl-citation.json"} </w:instrText>
      </w:r>
      <w:r w:rsidR="00EB681F" w:rsidRPr="00B73595">
        <w:fldChar w:fldCharType="separate"/>
      </w:r>
      <w:r w:rsidR="00EB681F" w:rsidRPr="00B73595">
        <w:t>(Coleman 2015</w:t>
      </w:r>
      <w:r w:rsidR="00EB681F" w:rsidRPr="00B73595">
        <w:fldChar w:fldCharType="end"/>
      </w:r>
      <w:r w:rsidR="00EB681F" w:rsidRPr="00B73595">
        <w:t xml:space="preserve">; </w:t>
      </w:r>
      <w:r w:rsidR="00EB681F" w:rsidRPr="00B73595">
        <w:fldChar w:fldCharType="begin"/>
      </w:r>
      <w:r w:rsidR="001F6CBD">
        <w:instrText xml:space="preserve"> ADDIN ZOTERO_ITEM CSL_CITATION {"citationID":"QAXkUvXB","properties":{"formattedCitation":"(Williford 2015)","plainCitation":"(Williford 2015)","dontUpdate":true,"noteIndex":0},"citationItems":[{"id":813,"uris":["http://zotero.org/users/3438906/items/DXRTGJU5"],"itemData":{"id":813,"type":"chapter","container-title":"Open MIND","event-place":"Frankfurt am Main","publisher":"MIND Group","publisher-place":"Frankfurt am Main","title":"Representationalisms, Subjective Character, and Self-Acquaintance","volume":"39","author":[{"family":"Williford","given":"Kenneth"}],"editor":[{"family":"Metzinger","given":"Thomas"},{"family":"Windt","given":"Jennifer M."}],"issued":{"date-parts":[["2015"]]}}}],"schema":"https://github.com/citation-style-language/schema/raw/master/csl-citation.json"} </w:instrText>
      </w:r>
      <w:r w:rsidR="00EB681F" w:rsidRPr="00B73595">
        <w:fldChar w:fldCharType="separate"/>
      </w:r>
      <w:r w:rsidR="00EB681F" w:rsidRPr="00B73595">
        <w:t>Williford 2015)</w:t>
      </w:r>
      <w:r w:rsidR="00EB681F" w:rsidRPr="00B73595">
        <w:fldChar w:fldCharType="end"/>
      </w:r>
      <w:r w:rsidR="00EB681F" w:rsidRPr="00B73595">
        <w:t xml:space="preserve"> </w:t>
      </w:r>
      <w:r w:rsidRPr="00B73595">
        <w:t>have it at the core of their account of phenomenal consciousness.</w:t>
      </w:r>
      <w:r w:rsidR="00091294" w:rsidRPr="00B73595">
        <w:t xml:space="preserve"> </w:t>
      </w:r>
      <w:r w:rsidR="00374E27" w:rsidRPr="00B73595">
        <w:t>IA is</w:t>
      </w:r>
      <w:r w:rsidR="000906FC" w:rsidRPr="00B73595">
        <w:t xml:space="preserve"> often</w:t>
      </w:r>
      <w:r w:rsidR="00374E27" w:rsidRPr="00B73595">
        <w:t xml:space="preserve"> taken for granted</w:t>
      </w:r>
      <w:r w:rsidR="00091294" w:rsidRPr="00B73595">
        <w:t xml:space="preserve"> by its advocates</w:t>
      </w:r>
      <w:r w:rsidR="00374E27" w:rsidRPr="00B73595">
        <w:t xml:space="preserve"> or supported just by phenomenological considerations</w:t>
      </w:r>
      <w:r w:rsidR="006517DC" w:rsidRPr="00B73595">
        <w:t xml:space="preserve"> </w:t>
      </w:r>
      <w:r w:rsidR="006517DC" w:rsidRPr="00B73595">
        <w:fldChar w:fldCharType="begin"/>
      </w:r>
      <w:r w:rsidR="001F6CBD">
        <w:instrText xml:space="preserve"> ADDIN ZOTERO_ITEM CSL_CITATION {"citationID":"h5q4LrJk","properties":{"formattedCitation":"(Zahavi 2005)","plainCitation":"(Zahavi 2005)","dontUpdate":true,"noteIndex":0},"citationItems":[{"id":752,"uris":["http://zotero.org/users/3438906/items/DR2VGH5G"],"itemData":{"id":752,"type":"book","abstract":"What is a self? Does it exist in reality or is it a mere social construct</w:instrText>
      </w:r>
      <w:r w:rsidR="001F6CBD">
        <w:rPr>
          <w:rFonts w:cs="Garamond"/>
        </w:rPr>
        <w:instrText></w:instrText>
      </w:r>
      <w:r w:rsidR="001F6CBD">
        <w:instrText>or is it perhaps a neurologically induced illusion? The legitimacy of the concept of the self has been questioned by both neuroscientists and philosophers in recent years. Countering this, in Subjectivity and Selfhood, Dan Zahavi argues that the notion of self is crucial for a proper understanding of consciousness. He investigates the interrelationships of experience, self-awareness, and selfhood, proposing that none of these three notions can be understood in isolation. Any investigation of the self, Zahavi argues, must take the first-person perspective seriously and focus on the experiential givenness of the self. Subjectivity and Selfhood explores a number of phenomenological analyses pertaining to the nature of consciousness, self, and self-experience in light of contemporary discussions in consciousness research.Philosophical phenomenology</w:instrText>
      </w:r>
      <w:r w:rsidR="001F6CBD">
        <w:rPr>
          <w:rFonts w:cs="Garamond"/>
        </w:rPr>
        <w:instrText></w:instrText>
      </w:r>
      <w:r w:rsidR="001F6CBD">
        <w:instrText>as developed by Husserl, Heidegger, Sartre, Merleau-Ponty, and others</w:instrText>
      </w:r>
      <w:r w:rsidR="001F6CBD">
        <w:rPr>
          <w:rFonts w:cs="Garamond"/>
        </w:rPr>
        <w:instrText></w:instrText>
      </w:r>
      <w:r w:rsidR="001F6CBD">
        <w:instrText>not only addresses crucial issues often absent from current debates over consciousness but also provides a conceptual framework for understanding subjectivity. Zahavi fills the need</w:instrText>
      </w:r>
      <w:r w:rsidR="001F6CBD">
        <w:rPr>
          <w:rFonts w:cs="Garamond"/>
        </w:rPr>
        <w:instrText></w:instrText>
      </w:r>
      <w:r w:rsidR="001F6CBD">
        <w:instrText>given the recent upsurge in theoretical and empirical interest in subjectivity</w:instrText>
      </w:r>
      <w:r w:rsidR="001F6CBD">
        <w:rPr>
          <w:rFonts w:cs="Garamond"/>
        </w:rPr>
        <w:instrText></w:instrText>
      </w:r>
      <w:r w:rsidR="001F6CBD">
        <w:instrText xml:space="preserve">for an account of the subjective or phenomenal dimension of consciousness that is accessible to researchers and students from a variety of disciplines. His aim is to use phenomenological analyses to clarify issues of central importance to philosophy of mind, cognitive science, developmental psychology, and psychiatry. By engaging in a dialogue with other philosophical and empirical positions, says Zahavi, phenomenology can demonstrate its vitality and contemporary relevance.","event-place":"Cambridge, MA","language":"Inglese","number-of-pages":"265","publisher":"MIT Press","publisher-place":"Cambridge, MA","source":"Amazon","title":"Subjectivity and Selfhood: Investigating the First-Person Perspective","title-short":"Subjectivity and Selfhood","author":[{"family":"Zahavi","given":"Dan"}],"issued":{"date-parts":[["2005"]]}}}],"schema":"https://github.com/citation-style-language/schema/raw/master/csl-citation.json"} </w:instrText>
      </w:r>
      <w:r w:rsidR="006517DC" w:rsidRPr="00B73595">
        <w:fldChar w:fldCharType="separate"/>
      </w:r>
      <w:r w:rsidR="006517DC" w:rsidRPr="00B73595">
        <w:t>(Zahavi 2005</w:t>
      </w:r>
      <w:r w:rsidR="006517DC" w:rsidRPr="00B73595">
        <w:fldChar w:fldCharType="end"/>
      </w:r>
      <w:r w:rsidR="006517DC" w:rsidRPr="00B73595">
        <w:t xml:space="preserve">; </w:t>
      </w:r>
      <w:r w:rsidR="006517DC" w:rsidRPr="00B73595">
        <w:fldChar w:fldCharType="begin"/>
      </w:r>
      <w:r w:rsidR="001F6CBD">
        <w:instrText xml:space="preserve"> ADDIN ZOTERO_ITEM CSL_CITATION {"citationID":"wE6HNTIN","properties":{"formattedCitation":"(Kriegel 2009)","plainCitation":"(Kriegel 2009)","dontUpdate":true,"noteIndex":0},"citationItems":[{"id":78,"uris":["http://zotero.org/users/3438906/items/8AXRNPP2"],"itemData":{"id":78,"type":"book","event-place":"Oxford","publisher":"Oxford University Press","publisher-place":"Oxford","source":"PhilPapers","title":"Subjective Consciousness: A Self-Representational Theory","title-short":"Subjective Consciousness","author":[{"family":"Kriegel","given":"Uriah"}],"issued":{"date-parts":[["2009"]]}}}],"schema":"https://github.com/citation-style-language/schema/raw/master/csl-citation.json"} </w:instrText>
      </w:r>
      <w:r w:rsidR="006517DC" w:rsidRPr="00B73595">
        <w:fldChar w:fldCharType="separate"/>
      </w:r>
      <w:r w:rsidR="006517DC" w:rsidRPr="00B73595">
        <w:t>Kriegel 2009)</w:t>
      </w:r>
      <w:r w:rsidR="006517DC" w:rsidRPr="00B73595">
        <w:fldChar w:fldCharType="end"/>
      </w:r>
      <w:r w:rsidR="00374E27" w:rsidRPr="00B73595">
        <w:t>. IA detractors too, however, claim phenomenology on their side—by appeal to the “transparency” of experience</w:t>
      </w:r>
      <w:r w:rsidR="00EB681F" w:rsidRPr="00B73595">
        <w:t xml:space="preserve"> </w:t>
      </w:r>
      <w:r w:rsidR="00EB681F" w:rsidRPr="00B73595">
        <w:fldChar w:fldCharType="begin"/>
      </w:r>
      <w:r w:rsidR="001F6CBD">
        <w:instrText xml:space="preserve"> ADDIN ZOTERO_ITEM CSL_CITATION {"citationID":"vr4csF9w","properties":{"formattedCitation":"(Harman 1990)","plainCitation":"(Harman 1990)","dontUpdate":true,"noteIndex":0},"citationItems":[{"id":178,"uris":["http://zotero.org/users/3438906/items/4W4R58HU"],"itemData":{"id":178,"type":"article-journal","container-title":"Philosophical Perspectives","journalAbbreviation":"Philosophical Perspectives","page":"31-52","source":"JSTOR","title":"The Intrinsic Quality of Experience","volume":"4","author":[{"family":"Harman","given":"Gilbert"}],"issued":{"date-parts":[["1990"]]}}}],"schema":"https://github.com/citation-style-language/schema/raw/master/csl-citation.json"} </w:instrText>
      </w:r>
      <w:r w:rsidR="00EB681F" w:rsidRPr="00B73595">
        <w:fldChar w:fldCharType="separate"/>
      </w:r>
      <w:r w:rsidR="00EB681F" w:rsidRPr="00B73595">
        <w:t>(Harman 1990</w:t>
      </w:r>
      <w:r w:rsidR="00EB681F" w:rsidRPr="00B73595">
        <w:fldChar w:fldCharType="end"/>
      </w:r>
      <w:r w:rsidR="00EB681F" w:rsidRPr="00B73595">
        <w:t xml:space="preserve">; </w:t>
      </w:r>
      <w:r w:rsidR="00EB681F" w:rsidRPr="00B73595">
        <w:fldChar w:fldCharType="begin"/>
      </w:r>
      <w:r w:rsidR="001F6CBD">
        <w:instrText xml:space="preserve"> ADDIN ZOTERO_ITEM CSL_CITATION {"citationID":"BHYPLk9D","properties":{"formattedCitation":"(Tye 2002)","plainCitation":"(Tye 2002)","dontUpdate":true,"noteIndex":0},"citationItems":[{"id":175,"uris":["http://zotero.org/users/3438906/items/VE293S9J"],"itemData":{"id":175,"type":"article-journal","container-title":"Noûs","issue":"1","journalAbbreviation":"Noûs","page":"137-151","source":"JSTOR","title":"Representationalism and the Transparency of Experience","volume":"36","author":[{"family":"Tye","given":"Michael"}],"issued":{"date-parts":[["2002"]]}}}],"schema":"https://github.com/citation-style-language/schema/raw/master/csl-citation.json"} </w:instrText>
      </w:r>
      <w:r w:rsidR="00EB681F" w:rsidRPr="00B73595">
        <w:fldChar w:fldCharType="separate"/>
      </w:r>
      <w:r w:rsidR="00EB681F" w:rsidRPr="00B73595">
        <w:t>Tye 2002)</w:t>
      </w:r>
      <w:r w:rsidR="00EB681F" w:rsidRPr="00B73595">
        <w:fldChar w:fldCharType="end"/>
      </w:r>
      <w:r w:rsidR="00374E27" w:rsidRPr="00B73595">
        <w:t xml:space="preserve">. Given such introspective disagreement, the quarrel </w:t>
      </w:r>
      <w:r w:rsidR="000906FC" w:rsidRPr="00B73595">
        <w:t xml:space="preserve">needs to be settled on theoretical, and not just </w:t>
      </w:r>
      <w:r w:rsidR="00374E27" w:rsidRPr="00B73595">
        <w:t>purely phenomenological</w:t>
      </w:r>
      <w:r w:rsidR="000906FC" w:rsidRPr="00B73595">
        <w:t>,</w:t>
      </w:r>
      <w:r w:rsidR="00374E27" w:rsidRPr="00B73595">
        <w:t xml:space="preserve"> grounds.</w:t>
      </w:r>
    </w:p>
    <w:p w14:paraId="4D132C4C" w14:textId="022B16D8" w:rsidR="00611AA5" w:rsidRPr="00B73595" w:rsidRDefault="00091294" w:rsidP="00611AA5">
      <w:pPr>
        <w:ind w:firstLine="360"/>
      </w:pPr>
      <w:r w:rsidRPr="00B73595">
        <w:t xml:space="preserve">In a paper recently published in this Journal, Daniel </w:t>
      </w:r>
      <w:r w:rsidRPr="00B73595">
        <w:fldChar w:fldCharType="begin"/>
      </w:r>
      <w:r w:rsidR="001F6CBD">
        <w:instrText xml:space="preserve"> ADDIN ZOTERO_ITEM CSL_CITATION {"citationID":"eek73YND","properties":{"formattedCitation":"(Stoljar forthcoming)","plainCitation":"(Stoljar forthcoming)","dontUpdate":true,"noteIndex":0},"citationItems":[{"id":1160,"uris":["http://zotero.org/users/3438906/items/VQ8EL2A7"],"itemData":{"id":1160,"type":"article-journal","container-title":"Erkenntnis","DOI":"https://doi.org/10.1007/s10670-021-00415-8","source":"PhilPapers","title":"Is There a Persuasive Argument for an Inner Awareness Theory of Consciousness?","author":[{"family":"Stoljar","given":"Daniel"}],"issued":{"date-parts":[["2021"]]}}}],"schema":"https://github.com/citation-style-language/schema/raw/master/csl-citation.json"} </w:instrText>
      </w:r>
      <w:r w:rsidRPr="00B73595">
        <w:fldChar w:fldCharType="separate"/>
      </w:r>
      <w:r w:rsidRPr="00B73595">
        <w:t>Stoljar (</w:t>
      </w:r>
      <w:r w:rsidR="00FF70F5" w:rsidRPr="00B73595">
        <w:t>2021</w:t>
      </w:r>
      <w:r w:rsidRPr="00B73595">
        <w:t>)</w:t>
      </w:r>
      <w:r w:rsidRPr="00B73595">
        <w:fldChar w:fldCharType="end"/>
      </w:r>
      <w:r w:rsidR="00E33843" w:rsidRPr="00B73595">
        <w:t xml:space="preserve"> gives a substantial boost to the debate by</w:t>
      </w:r>
      <w:r w:rsidR="003033DD" w:rsidRPr="00B73595">
        <w:t xml:space="preserve"> putting forward a massive theoretical criticism of</w:t>
      </w:r>
      <w:r w:rsidRPr="00B73595">
        <w:t xml:space="preserve"> </w:t>
      </w:r>
      <w:r w:rsidR="006236B0" w:rsidRPr="00B73595">
        <w:t>IA</w:t>
      </w:r>
      <w:r w:rsidRPr="00B73595">
        <w:t xml:space="preserve">. He addresses </w:t>
      </w:r>
      <w:r w:rsidR="001F43C9" w:rsidRPr="00B73595">
        <w:t>many extant</w:t>
      </w:r>
      <w:r w:rsidR="00E33843" w:rsidRPr="00B73595">
        <w:t xml:space="preserve"> </w:t>
      </w:r>
      <w:r w:rsidRPr="00B73595">
        <w:t xml:space="preserve">arguments for IA, and argues, for each of them, that it is unpersuasive. </w:t>
      </w:r>
      <w:r w:rsidR="00611AA5" w:rsidRPr="00B73595">
        <w:t xml:space="preserve">His challenge is important </w:t>
      </w:r>
      <w:r w:rsidRPr="00B73595">
        <w:t>and, arguably, a needed one.</w:t>
      </w:r>
      <w:r w:rsidR="00611AA5" w:rsidRPr="00B73595">
        <w:t xml:space="preserve"> </w:t>
      </w:r>
      <w:r w:rsidR="001B5F07" w:rsidRPr="00B73595">
        <w:t xml:space="preserve">But it also </w:t>
      </w:r>
      <w:r w:rsidR="00611AA5" w:rsidRPr="00B73595">
        <w:t>offers IA advocates a</w:t>
      </w:r>
      <w:r w:rsidR="001B5F07" w:rsidRPr="00B73595">
        <w:t>n</w:t>
      </w:r>
      <w:r w:rsidR="00611AA5" w:rsidRPr="00B73595">
        <w:t xml:space="preserve"> opportunity </w:t>
      </w:r>
      <w:r w:rsidR="001B5F07" w:rsidRPr="00B73595">
        <w:t>to</w:t>
      </w:r>
      <w:r w:rsidR="00E33843" w:rsidRPr="00B73595">
        <w:t xml:space="preserve"> </w:t>
      </w:r>
      <w:r w:rsidR="00611AA5" w:rsidRPr="00B73595">
        <w:t>defen</w:t>
      </w:r>
      <w:r w:rsidR="001B5F07" w:rsidRPr="00B73595">
        <w:t>d</w:t>
      </w:r>
      <w:r w:rsidR="00611AA5" w:rsidRPr="00B73595">
        <w:t xml:space="preserve"> their principle.</w:t>
      </w:r>
      <w:r w:rsidR="005E5F51" w:rsidRPr="00B73595">
        <w:t xml:space="preserve"> </w:t>
      </w:r>
    </w:p>
    <w:p w14:paraId="03033891" w14:textId="6BB2DC92" w:rsidR="00611AA5" w:rsidRPr="00B73595" w:rsidRDefault="00003854" w:rsidP="00611AA5">
      <w:pPr>
        <w:ind w:firstLine="360"/>
      </w:pPr>
      <w:r w:rsidRPr="00B73595">
        <w:t xml:space="preserve">My criticism </w:t>
      </w:r>
      <w:r w:rsidR="007F466C" w:rsidRPr="00B73595">
        <w:t xml:space="preserve">of Stoljar’s arguments </w:t>
      </w:r>
      <w:r w:rsidRPr="00B73595">
        <w:t xml:space="preserve">will rely on the same assumptions as </w:t>
      </w:r>
      <w:r w:rsidR="007F466C" w:rsidRPr="00B73595">
        <w:t>hi</w:t>
      </w:r>
      <w:r w:rsidRPr="00B73595">
        <w:t xml:space="preserve">s, </w:t>
      </w:r>
      <w:r w:rsidR="00084EA4" w:rsidRPr="00B73595">
        <w:t>even though</w:t>
      </w:r>
      <w:r w:rsidR="00A52169" w:rsidRPr="00B73595">
        <w:t xml:space="preserve"> with some of them</w:t>
      </w:r>
      <w:r w:rsidRPr="00B73595">
        <w:t xml:space="preserve"> </w:t>
      </w:r>
      <w:r w:rsidR="00084EA4" w:rsidRPr="00B73595">
        <w:t xml:space="preserve">I </w:t>
      </w:r>
      <w:r w:rsidR="00E33843" w:rsidRPr="00B73595">
        <w:t>am not fully on board</w:t>
      </w:r>
      <w:r w:rsidR="00084EA4" w:rsidRPr="00B73595">
        <w:t>.</w:t>
      </w:r>
      <w:r w:rsidR="003033DD" w:rsidRPr="00B73595">
        <w:rPr>
          <w:rStyle w:val="FootnoteReference"/>
        </w:rPr>
        <w:footnoteReference w:id="1"/>
      </w:r>
      <w:r w:rsidR="00084EA4" w:rsidRPr="00B73595">
        <w:t xml:space="preserve"> In particular, I do not think that his formulation of IA (what he calls the </w:t>
      </w:r>
      <w:r w:rsidR="00084EA4" w:rsidRPr="00B73595">
        <w:rPr>
          <w:i/>
          <w:iCs/>
        </w:rPr>
        <w:t>inner awareness theory of consciousness</w:t>
      </w:r>
      <w:r w:rsidR="00084EA4" w:rsidRPr="00B73595">
        <w:t>) is the most charitable. He characterizes IA thus:</w:t>
      </w:r>
    </w:p>
    <w:p w14:paraId="1DBFE49E" w14:textId="6181C1C5" w:rsidR="00084EA4" w:rsidRPr="00B73595" w:rsidRDefault="00084EA4" w:rsidP="00084EA4">
      <w:pPr>
        <w:ind w:left="360"/>
      </w:pPr>
      <w:r w:rsidRPr="00B73595">
        <w:rPr>
          <w:sz w:val="22"/>
          <w:szCs w:val="22"/>
        </w:rPr>
        <w:t xml:space="preserve">S is in a conscious state (phenomenal sense) C only if S is aware (phenomenal sense) of a state of affairs, viz., S’s being in C. </w:t>
      </w:r>
      <w:r w:rsidRPr="00B73595">
        <w:t>(</w:t>
      </w:r>
      <w:r w:rsidR="00AB6EAE" w:rsidRPr="00B73595">
        <w:t>2021</w:t>
      </w:r>
      <w:r w:rsidRPr="00B73595">
        <w:t>: 4)</w:t>
      </w:r>
    </w:p>
    <w:p w14:paraId="6CF3173E" w14:textId="6995F1A0" w:rsidR="00001685" w:rsidRPr="00B73595" w:rsidRDefault="0033270B" w:rsidP="00084EA4">
      <w:r w:rsidRPr="00B73595">
        <w:t xml:space="preserve">Note, however, that </w:t>
      </w:r>
      <w:r w:rsidR="00001685" w:rsidRPr="00B73595">
        <w:t xml:space="preserve">Stoljar’s </w:t>
      </w:r>
      <w:r w:rsidRPr="00B73595">
        <w:t xml:space="preserve">formulation </w:t>
      </w:r>
      <w:r w:rsidR="00001685" w:rsidRPr="00B73595">
        <w:t xml:space="preserve">is different from the one </w:t>
      </w:r>
      <w:r w:rsidRPr="00B73595">
        <w:t>I used to introduce IA</w:t>
      </w:r>
      <w:r w:rsidR="00001685" w:rsidRPr="00B73595">
        <w:t xml:space="preserve">—the latter </w:t>
      </w:r>
      <w:r w:rsidRPr="00B73595">
        <w:t>is somewhat weaker</w:t>
      </w:r>
      <w:r w:rsidR="00001685" w:rsidRPr="00B73595">
        <w:t>—in at least two respects</w:t>
      </w:r>
      <w:r w:rsidR="007145FE" w:rsidRPr="00B73595">
        <w:t xml:space="preserve">. </w:t>
      </w:r>
      <w:r w:rsidR="00001685" w:rsidRPr="00B73595">
        <w:t xml:space="preserve">First, </w:t>
      </w:r>
      <w:r w:rsidR="00F104E9" w:rsidRPr="00B73595">
        <w:t xml:space="preserve">Stoljar construes inner awareness as </w:t>
      </w:r>
      <w:r w:rsidR="00F104E9" w:rsidRPr="00B73595">
        <w:rPr>
          <w:i/>
          <w:iCs/>
        </w:rPr>
        <w:t>phenomenal</w:t>
      </w:r>
      <w:r w:rsidR="00F104E9" w:rsidRPr="00B73595">
        <w:t xml:space="preserve">. This, arguably, implies that inner awareness is </w:t>
      </w:r>
      <w:r w:rsidR="00F104E9" w:rsidRPr="00B73595">
        <w:rPr>
          <w:i/>
          <w:iCs/>
        </w:rPr>
        <w:t>phenomenally manifest</w:t>
      </w:r>
      <w:r w:rsidR="00F104E9" w:rsidRPr="00B73595">
        <w:t>, i.e., it shows up in the phenomenology of one’s experience</w:t>
      </w:r>
      <w:r w:rsidR="00714A12" w:rsidRPr="00B73595">
        <w:t xml:space="preserve">. An immediate worry for this version of IA is looming infinite regress: if inner awareness is phenomenally manifest, then it must consist of a </w:t>
      </w:r>
      <w:r w:rsidR="00714A12" w:rsidRPr="00B73595">
        <w:rPr>
          <w:i/>
          <w:iCs/>
        </w:rPr>
        <w:t>phenomenally</w:t>
      </w:r>
      <w:r w:rsidR="00714A12" w:rsidRPr="00B73595">
        <w:t xml:space="preserve"> </w:t>
      </w:r>
      <w:r w:rsidR="00714A12" w:rsidRPr="00B73595">
        <w:rPr>
          <w:i/>
          <w:iCs/>
        </w:rPr>
        <w:t>conscious</w:t>
      </w:r>
      <w:r w:rsidR="00714A12" w:rsidRPr="00B73595">
        <w:t xml:space="preserve"> state (i.e., a </w:t>
      </w:r>
      <w:r w:rsidR="00714A12" w:rsidRPr="00B73595">
        <w:rPr>
          <w:i/>
          <w:iCs/>
        </w:rPr>
        <w:t>second-order</w:t>
      </w:r>
      <w:r w:rsidR="00714A12" w:rsidRPr="00B73595">
        <w:t xml:space="preserve"> conscious state directed at C); but if so, then</w:t>
      </w:r>
      <w:r w:rsidR="0019030B" w:rsidRPr="00B73595">
        <w:t>,</w:t>
      </w:r>
      <w:r w:rsidR="00372726" w:rsidRPr="00B73595">
        <w:t xml:space="preserve"> according to IA</w:t>
      </w:r>
      <w:r w:rsidR="0019030B" w:rsidRPr="00B73595">
        <w:t>,</w:t>
      </w:r>
      <w:r w:rsidR="00714A12" w:rsidRPr="00B73595">
        <w:t xml:space="preserve"> S must </w:t>
      </w:r>
      <w:r w:rsidR="00714A12" w:rsidRPr="00B73595">
        <w:rPr>
          <w:i/>
          <w:iCs/>
        </w:rPr>
        <w:t>also</w:t>
      </w:r>
      <w:r w:rsidR="00714A12" w:rsidRPr="00B73595">
        <w:t xml:space="preserve"> be phenomenally aware of this second-order state, by being in a </w:t>
      </w:r>
      <w:r w:rsidR="00714A12" w:rsidRPr="00B73595">
        <w:rPr>
          <w:i/>
          <w:iCs/>
        </w:rPr>
        <w:t>third-order</w:t>
      </w:r>
      <w:r w:rsidR="00714A12" w:rsidRPr="00B73595">
        <w:t xml:space="preserve"> phenomenally conscious state. It’s clear how this may lead to an infinite regress. </w:t>
      </w:r>
      <w:r w:rsidR="009F60DD" w:rsidRPr="00B73595">
        <w:t xml:space="preserve">Different theorists have proposed different ways to stop the regress. Some have construed the mental state in virtue of which S is </w:t>
      </w:r>
      <w:proofErr w:type="spellStart"/>
      <w:r w:rsidR="009F60DD" w:rsidRPr="00B73595">
        <w:t>innerly</w:t>
      </w:r>
      <w:proofErr w:type="spellEnd"/>
      <w:r w:rsidR="009F60DD" w:rsidRPr="00B73595">
        <w:t xml:space="preserve"> aware of C as </w:t>
      </w:r>
      <w:r w:rsidR="009F60DD" w:rsidRPr="00B73595">
        <w:rPr>
          <w:i/>
          <w:iCs/>
        </w:rPr>
        <w:t>unconscious</w:t>
      </w:r>
      <w:r w:rsidR="009F60DD" w:rsidRPr="00B73595">
        <w:t xml:space="preserve">: on </w:t>
      </w:r>
      <w:r w:rsidR="009F60DD" w:rsidRPr="00B73595">
        <w:rPr>
          <w:i/>
          <w:iCs/>
        </w:rPr>
        <w:t>higher-order thought</w:t>
      </w:r>
      <w:r w:rsidR="009F60DD" w:rsidRPr="00B73595">
        <w:t xml:space="preserve"> theories, S is </w:t>
      </w:r>
      <w:proofErr w:type="spellStart"/>
      <w:r w:rsidR="009F60DD" w:rsidRPr="00B73595">
        <w:t>innerly</w:t>
      </w:r>
      <w:proofErr w:type="spellEnd"/>
      <w:r w:rsidR="009F60DD" w:rsidRPr="00B73595">
        <w:t xml:space="preserve"> aware of C in virtue of having an unconscious thought directed at C </w:t>
      </w:r>
      <w:r w:rsidR="009F60DD" w:rsidRPr="00B73595">
        <w:fldChar w:fldCharType="begin"/>
      </w:r>
      <w:r w:rsidR="001F6CBD">
        <w:instrText xml:space="preserve"> ADDIN ZOTERO_ITEM CSL_CITATION {"citationID":"7H3EMrCN","properties":{"formattedCitation":"(Rosenthal 1997)","plainCitation":"(Rosenthal 1997)","noteIndex":0},"citationItems":[{"id":204,"uris":["http://zotero.org/users/3438906/items/NNJN2TNQ"],"itemData":{"id":204,"type":"chapter","container-title":"The Nature of Consciousness: Philosophical Debates","event-place":"Cambridge, MA","page":"729-753","publisher":"MIT Press","publisher-place":"Cambridge, MA","source":"PhilPapers","title":"A Theory of Consciousness","editor":[{"family":"Block","given":"Ned"},{"family":"Flanagan","given":"Owen J."},{"family":"Güzeldere","given":"Güven"}],"author":[{"family":"Rosenthal","given":"David M."}],"issued":{"date-parts":[["1997"]]}}}],"schema":"https://github.com/citation-style-language/schema/raw/master/csl-citation.json"} </w:instrText>
      </w:r>
      <w:r w:rsidR="009F60DD" w:rsidRPr="00B73595">
        <w:fldChar w:fldCharType="separate"/>
      </w:r>
      <w:r w:rsidR="009F60DD" w:rsidRPr="00B73595">
        <w:t xml:space="preserve">(Rosenthal </w:t>
      </w:r>
      <w:r w:rsidR="009F60DD" w:rsidRPr="00B73595">
        <w:lastRenderedPageBreak/>
        <w:t>1997)</w:t>
      </w:r>
      <w:r w:rsidR="009F60DD" w:rsidRPr="00B73595">
        <w:fldChar w:fldCharType="end"/>
      </w:r>
      <w:r w:rsidR="009F60DD" w:rsidRPr="00B73595">
        <w:t xml:space="preserve">; on </w:t>
      </w:r>
      <w:r w:rsidR="009F60DD" w:rsidRPr="00B73595">
        <w:rPr>
          <w:i/>
          <w:iCs/>
        </w:rPr>
        <w:t>higher-order perception</w:t>
      </w:r>
      <w:r w:rsidR="009F60DD" w:rsidRPr="00B73595">
        <w:t xml:space="preserve"> theories, S is </w:t>
      </w:r>
      <w:proofErr w:type="spellStart"/>
      <w:r w:rsidR="009F60DD" w:rsidRPr="00B73595">
        <w:t>innerly</w:t>
      </w:r>
      <w:proofErr w:type="spellEnd"/>
      <w:r w:rsidR="009F60DD" w:rsidRPr="00B73595">
        <w:t xml:space="preserve"> aware of C in virtue of having an unconscious perceptual state directed at C </w:t>
      </w:r>
      <w:r w:rsidR="009F60DD" w:rsidRPr="00B73595">
        <w:fldChar w:fldCharType="begin"/>
      </w:r>
      <w:r w:rsidR="001F6CBD">
        <w:instrText xml:space="preserve"> ADDIN ZOTERO_ITEM CSL_CITATION {"citationID":"XJsQ47Eg","properties":{"formattedCitation":"(Lycan 1996)","plainCitation":"(Lycan 1996)","noteIndex":0},"citationItems":[{"id":75,"uris":["http://zotero.org/users/3438906/items/9QQGUIQJ"],"itemData":{"id":75,"type":"book","abstract":"\"The mind has no special properties that are not exhausted by its representational properties, along with or in combination with the functional organization of its components. It would follow that once representation itself is (eventually) understood, then not only consciousness in our present sense but subjectivity, qualia, what it's like, ' and every other aspect of the mental will be explicable in terms of representation together with the underlying functionally organized neurophysiology....I do not think there will be any problem of consciousness' left.\"This sequel to Lycan's \"Consciousness\" continues the elaboration of his general functionalist theory of consciousness, answers the critics of his earlier work, and expands the range of discussion to deal with the many new issues and arguments that have arisen in the intervening years -- an extraordinarily fertile period for the philosophical investigation of consciousness. Lycan not only uses the numerous arguments against materialism, and functionalist theories of mind in particular, to gain a more detailed positive view of the structure of the mind, he also targets the set of really hard problems at the center of the theory of consciousness: subjectivity, qualia, and the felt aspect of experience. The key to his own enlarged and fairly argued position, which he calls the \"hegemony of representation, \" is that there is no more to mind or consciousness than can be accounted for in terms of intentionality, functional organization, and in particular, second-order representation of one's own mental states.","event-place":"Cambridge, MA","ISBN":"978-0-262-12197-2","language":"en","note":"Google-Books-ID: buqx0Q3K1S8C","number-of-pages":"242","publisher":"MIT Press","publisher-place":"Cambridge, MA","source":"Google Books","title":"Consciousness and Experience","author":[{"family":"Lycan","given":"William G."}],"issued":{"date-parts":[["1996"]]}}}],"schema":"https://github.com/citation-style-language/schema/raw/master/csl-citation.json"} </w:instrText>
      </w:r>
      <w:r w:rsidR="009F60DD" w:rsidRPr="00B73595">
        <w:fldChar w:fldCharType="separate"/>
      </w:r>
      <w:r w:rsidR="009F60DD" w:rsidRPr="00B73595">
        <w:t>(Lycan 1996)</w:t>
      </w:r>
      <w:r w:rsidR="009F60DD" w:rsidRPr="00B73595">
        <w:fldChar w:fldCharType="end"/>
      </w:r>
      <w:r w:rsidR="009F60DD" w:rsidRPr="00B73595">
        <w:t>.</w:t>
      </w:r>
      <w:r w:rsidR="00E623B6" w:rsidRPr="00B73595">
        <w:t xml:space="preserve"> On these views, inner awareness is </w:t>
      </w:r>
      <w:r w:rsidR="00E623B6" w:rsidRPr="00B73595">
        <w:rPr>
          <w:i/>
          <w:iCs/>
        </w:rPr>
        <w:t xml:space="preserve">not </w:t>
      </w:r>
      <w:r w:rsidR="00E623B6" w:rsidRPr="00B73595">
        <w:t xml:space="preserve">phenomenally manifest—it is not </w:t>
      </w:r>
      <w:r w:rsidR="00E623B6" w:rsidRPr="00B73595">
        <w:rPr>
          <w:i/>
          <w:iCs/>
        </w:rPr>
        <w:t>phenomenal</w:t>
      </w:r>
      <w:r w:rsidR="00E623B6" w:rsidRPr="00B73595">
        <w:t xml:space="preserve"> awareness. </w:t>
      </w:r>
      <w:r w:rsidR="00967483" w:rsidRPr="00B73595">
        <w:t xml:space="preserve">Others have defended the view that inner awareness </w:t>
      </w:r>
      <w:r w:rsidR="00967483" w:rsidRPr="00B73595">
        <w:rPr>
          <w:i/>
          <w:iCs/>
        </w:rPr>
        <w:t>is</w:t>
      </w:r>
      <w:r w:rsidR="00967483" w:rsidRPr="00B73595">
        <w:t xml:space="preserve"> phenomenally manifest and does consist of a </w:t>
      </w:r>
      <w:r w:rsidR="00967483" w:rsidRPr="00B73595">
        <w:rPr>
          <w:i/>
          <w:iCs/>
        </w:rPr>
        <w:t>conscious</w:t>
      </w:r>
      <w:r w:rsidR="00967483" w:rsidRPr="00B73595">
        <w:t xml:space="preserve"> state, but one which is not distinct from C</w:t>
      </w:r>
      <w:r w:rsidR="00E0439A" w:rsidRPr="00B73595">
        <w:t>; this stops the regress because inner awareness is not higher-order, but same-order</w:t>
      </w:r>
      <w:r w:rsidR="00967483" w:rsidRPr="00B73595">
        <w:t xml:space="preserve">. Roughly, on this view, in virtue of being in C, S is aware both of </w:t>
      </w:r>
      <w:r w:rsidR="007C7BD1" w:rsidRPr="00B73595">
        <w:t>a worldly object (and its properties)</w:t>
      </w:r>
      <w:r w:rsidR="00967483" w:rsidRPr="00B73595">
        <w:t xml:space="preserve"> and of C itself </w:t>
      </w:r>
      <w:r w:rsidR="00967483" w:rsidRPr="00B73595">
        <w:fldChar w:fldCharType="begin"/>
      </w:r>
      <w:r w:rsidR="001F6CBD">
        <w:instrText xml:space="preserve"> ADDIN ZOTERO_ITEM CSL_CITATION {"citationID":"2BlZOYUV","properties":{"formattedCitation":"(Kriegel 2009)","plainCitation":"(Kriegel 2009)","noteIndex":0},"citationItems":[{"id":78,"uris":["http://zotero.org/users/3438906/items/8AXRNPP2"],"itemData":{"id":78,"type":"book","event-place":"Oxford","publisher":"Oxford University Press","publisher-place":"Oxford","source":"PhilPapers","title":"Subjective Consciousness: A Self-Representational Theory","title-short":"Subjective Consciousness","author":[{"family":"Kriegel","given":"Uriah"}],"issued":{"date-parts":[["2009"]]}}}],"schema":"https://github.com/citation-style-language/schema/raw/master/csl-citation.json"} </w:instrText>
      </w:r>
      <w:r w:rsidR="00967483" w:rsidRPr="00B73595">
        <w:fldChar w:fldCharType="separate"/>
      </w:r>
      <w:r w:rsidR="00967483" w:rsidRPr="00B73595">
        <w:t>(Kriegel 2009)</w:t>
      </w:r>
      <w:r w:rsidR="00967483" w:rsidRPr="00B73595">
        <w:fldChar w:fldCharType="end"/>
      </w:r>
      <w:r w:rsidR="00967483" w:rsidRPr="00B73595">
        <w:t>.</w:t>
      </w:r>
      <w:r w:rsidR="00E42842" w:rsidRPr="00B73595">
        <w:rPr>
          <w:rStyle w:val="FootnoteReference"/>
        </w:rPr>
        <w:footnoteReference w:id="2"/>
      </w:r>
      <w:r w:rsidR="00E42842" w:rsidRPr="00B73595">
        <w:t xml:space="preserve"> So, inner awareness theorists have put forward different proposals </w:t>
      </w:r>
      <w:r w:rsidR="00C3235F" w:rsidRPr="00B73595">
        <w:t>to</w:t>
      </w:r>
      <w:r w:rsidR="00E42842" w:rsidRPr="00B73595">
        <w:t xml:space="preserve"> overcome the infinite-regress threat. On some of those proposals, inner awareness is </w:t>
      </w:r>
      <w:r w:rsidR="00E42842" w:rsidRPr="00B73595">
        <w:rPr>
          <w:i/>
          <w:iCs/>
        </w:rPr>
        <w:t xml:space="preserve">not </w:t>
      </w:r>
      <w:r w:rsidR="00E42842" w:rsidRPr="00B73595">
        <w:t xml:space="preserve">phenomenal. Therefore, IA should be construed as neutral in this </w:t>
      </w:r>
      <w:r w:rsidR="001938B3" w:rsidRPr="00B73595">
        <w:t>respect</w:t>
      </w:r>
      <w:r w:rsidR="00E42842" w:rsidRPr="00B73595">
        <w:t xml:space="preserve">. </w:t>
      </w:r>
      <w:r w:rsidR="008179D9" w:rsidRPr="00B73595">
        <w:t xml:space="preserve">Stoljar </w:t>
      </w:r>
      <w:r w:rsidR="00C3604D" w:rsidRPr="00B73595">
        <w:t>(</w:t>
      </w:r>
      <w:r w:rsidR="00FF70F5" w:rsidRPr="00B73595">
        <w:t>2021</w:t>
      </w:r>
      <w:r w:rsidR="00C3604D" w:rsidRPr="00B73595">
        <w:t xml:space="preserve">: 3-4) </w:t>
      </w:r>
      <w:r w:rsidR="008179D9" w:rsidRPr="00B73595">
        <w:t>claims his formulation of IA to be neutral as to whether inner awareness is construed as “cognitive,” “perceptual,” or “phenomenal,” where, arguably, cognitive and perceptual awareness may be construed as non-phenomenal.</w:t>
      </w:r>
      <w:r w:rsidR="008179D9" w:rsidRPr="00B73595">
        <w:rPr>
          <w:rStyle w:val="FootnoteReference"/>
        </w:rPr>
        <w:footnoteReference w:id="3"/>
      </w:r>
      <w:r w:rsidR="008179D9" w:rsidRPr="00B73595">
        <w:t xml:space="preserve"> The</w:t>
      </w:r>
      <w:r w:rsidR="00E42842" w:rsidRPr="00B73595">
        <w:t xml:space="preserve"> characterization of IA</w:t>
      </w:r>
      <w:r w:rsidR="008179D9" w:rsidRPr="00B73595">
        <w:t xml:space="preserve"> he decides to work with</w:t>
      </w:r>
      <w:r w:rsidR="00E42842" w:rsidRPr="00B73595">
        <w:t>, however,</w:t>
      </w:r>
      <w:r w:rsidR="00E0439A" w:rsidRPr="00B73595">
        <w:t xml:space="preserve"> construes inner awareness as phenomenal and</w:t>
      </w:r>
      <w:r w:rsidR="00E42842" w:rsidRPr="00B73595">
        <w:t xml:space="preserve"> is</w:t>
      </w:r>
      <w:r w:rsidR="00E0439A" w:rsidRPr="00B73595">
        <w:t xml:space="preserve"> thereby</w:t>
      </w:r>
      <w:r w:rsidR="00E42842" w:rsidRPr="00B73595">
        <w:t xml:space="preserve"> </w:t>
      </w:r>
      <w:r w:rsidR="00E42842" w:rsidRPr="00B73595">
        <w:rPr>
          <w:i/>
          <w:iCs/>
        </w:rPr>
        <w:t>not</w:t>
      </w:r>
      <w:r w:rsidR="00E42842" w:rsidRPr="00B73595">
        <w:t xml:space="preserve"> neutral, </w:t>
      </w:r>
      <w:r w:rsidR="003D1435" w:rsidRPr="00B73595">
        <w:t xml:space="preserve">apparently </w:t>
      </w:r>
      <w:r w:rsidR="00E0439A" w:rsidRPr="00B73595">
        <w:t>ruling</w:t>
      </w:r>
      <w:r w:rsidR="00E42842" w:rsidRPr="00B73595">
        <w:t xml:space="preserve"> out </w:t>
      </w:r>
      <w:r w:rsidR="008179D9" w:rsidRPr="00B73595">
        <w:t xml:space="preserve">at least </w:t>
      </w:r>
      <w:r w:rsidR="00E42842" w:rsidRPr="00B73595">
        <w:t>two eminent theories of inner awareness</w:t>
      </w:r>
      <w:r w:rsidR="001938B3" w:rsidRPr="00B73595">
        <w:t>—i.e., higher-order thought and higher-order perception theories.</w:t>
      </w:r>
      <w:r w:rsidR="007074F6" w:rsidRPr="00B73595">
        <w:rPr>
          <w:rStyle w:val="FootnoteReference"/>
        </w:rPr>
        <w:footnoteReference w:id="4"/>
      </w:r>
      <w:r w:rsidR="008179D9" w:rsidRPr="00B73595">
        <w:t xml:space="preserve"> In what follows, I will stick to the neutral formulation</w:t>
      </w:r>
      <w:r w:rsidR="00C3235F" w:rsidRPr="00B73595">
        <w:t xml:space="preserve"> (announced by Stoljar himself)</w:t>
      </w:r>
      <w:r w:rsidR="008179D9" w:rsidRPr="00B73595">
        <w:t>.</w:t>
      </w:r>
    </w:p>
    <w:p w14:paraId="485A1598" w14:textId="68C66D41" w:rsidR="00927DBD" w:rsidRPr="00B73595" w:rsidRDefault="00E42842" w:rsidP="00E42842">
      <w:pPr>
        <w:ind w:firstLine="360"/>
      </w:pPr>
      <w:r w:rsidRPr="00B73595">
        <w:t>Second</w:t>
      </w:r>
      <w:r w:rsidR="007145FE" w:rsidRPr="00B73595">
        <w:t>,</w:t>
      </w:r>
      <w:r w:rsidR="0033270B" w:rsidRPr="00B73595">
        <w:t xml:space="preserve"> </w:t>
      </w:r>
      <w:r w:rsidRPr="00B73595">
        <w:t>my formulation of IA</w:t>
      </w:r>
      <w:r w:rsidR="0033270B" w:rsidRPr="00B73595">
        <w:t xml:space="preserve"> only requires that S be aware of the </w:t>
      </w:r>
      <w:r w:rsidR="0033270B" w:rsidRPr="00B73595">
        <w:rPr>
          <w:i/>
          <w:iCs/>
        </w:rPr>
        <w:t>mental state</w:t>
      </w:r>
      <w:r w:rsidR="0033270B" w:rsidRPr="00B73595">
        <w:t xml:space="preserve"> </w:t>
      </w:r>
      <w:r w:rsidR="0033270B" w:rsidRPr="00B73595">
        <w:rPr>
          <w:i/>
          <w:iCs/>
        </w:rPr>
        <w:t>C</w:t>
      </w:r>
      <w:r w:rsidR="0033270B" w:rsidRPr="00B73595">
        <w:t xml:space="preserve">, rather than the </w:t>
      </w:r>
      <w:r w:rsidR="0033270B" w:rsidRPr="00B73595">
        <w:rPr>
          <w:i/>
          <w:iCs/>
        </w:rPr>
        <w:t>state of affairs of S’s being in C</w:t>
      </w:r>
      <w:r w:rsidR="0033270B" w:rsidRPr="00B73595">
        <w:t>.</w:t>
      </w:r>
      <w:r w:rsidR="008348A5" w:rsidRPr="00B73595">
        <w:t xml:space="preserve"> </w:t>
      </w:r>
      <w:r w:rsidR="001D7706" w:rsidRPr="00B73595">
        <w:t>Unlike</w:t>
      </w:r>
      <w:r w:rsidR="008348A5" w:rsidRPr="00B73595">
        <w:t xml:space="preserve"> Stoljar’s, my characterization does not imply indexical reference to the subject.</w:t>
      </w:r>
      <w:r w:rsidR="0033270B" w:rsidRPr="00B73595">
        <w:t xml:space="preserve"> I will nonetheless </w:t>
      </w:r>
      <w:r w:rsidR="008348A5" w:rsidRPr="00B73595">
        <w:t xml:space="preserve">ignore this difference in what follows and </w:t>
      </w:r>
      <w:r w:rsidR="0033270B" w:rsidRPr="00B73595">
        <w:t xml:space="preserve">play on Stoljar’s grounds </w:t>
      </w:r>
      <w:r w:rsidR="00734120" w:rsidRPr="00B73595">
        <w:t>in this respect</w:t>
      </w:r>
      <w:r w:rsidR="008179D9" w:rsidRPr="00B73595">
        <w:t>:</w:t>
      </w:r>
    </w:p>
    <w:p w14:paraId="690D9EC0" w14:textId="7B1103DE" w:rsidR="00576236" w:rsidRPr="00B73595" w:rsidRDefault="0033270B" w:rsidP="00A30356">
      <w:pPr>
        <w:ind w:left="900" w:hanging="540"/>
      </w:pPr>
      <w:proofErr w:type="spellStart"/>
      <w:r w:rsidRPr="00B73595">
        <w:rPr>
          <w:i/>
          <w:iCs/>
        </w:rPr>
        <w:t>IA</w:t>
      </w:r>
      <w:r w:rsidRPr="00B73595">
        <w:rPr>
          <w:i/>
          <w:iCs/>
          <w:vertAlign w:val="subscript"/>
        </w:rPr>
        <w:t>ref</w:t>
      </w:r>
      <w:proofErr w:type="spellEnd"/>
      <w:r w:rsidRPr="00B73595">
        <w:rPr>
          <w:vertAlign w:val="subscript"/>
        </w:rPr>
        <w:t>.</w:t>
      </w:r>
      <w:r w:rsidRPr="00B73595">
        <w:t>: For any subject S and phenomenally conscious state C</w:t>
      </w:r>
      <w:r w:rsidR="001F43C9" w:rsidRPr="00B73595">
        <w:t xml:space="preserve"> of S</w:t>
      </w:r>
      <w:r w:rsidRPr="00B73595">
        <w:t xml:space="preserve">, C is </w:t>
      </w:r>
      <w:r w:rsidR="00A52169" w:rsidRPr="00B73595">
        <w:t xml:space="preserve">phenomenally </w:t>
      </w:r>
      <w:r w:rsidRPr="00B73595">
        <w:t>conscious only if S is aware of being in C.</w:t>
      </w:r>
    </w:p>
    <w:p w14:paraId="130DB9B4" w14:textId="1099DB20" w:rsidR="00576236" w:rsidRPr="00B73595" w:rsidRDefault="00576236" w:rsidP="00576236">
      <w:pPr>
        <w:jc w:val="center"/>
      </w:pPr>
      <w:r w:rsidRPr="00B73595">
        <w:t>*</w:t>
      </w:r>
    </w:p>
    <w:p w14:paraId="10489006" w14:textId="2166AC04" w:rsidR="00576236" w:rsidRPr="00B73595" w:rsidRDefault="00A33CC9" w:rsidP="007E5858">
      <w:r w:rsidRPr="00B73595">
        <w:t xml:space="preserve">Stoljar analyzes ten arguments for IA. </w:t>
      </w:r>
      <w:r w:rsidR="00747AC8" w:rsidRPr="00B73595">
        <w:t>Many</w:t>
      </w:r>
      <w:r w:rsidR="001E36BC" w:rsidRPr="00B73595">
        <w:t xml:space="preserve"> of them, however, have </w:t>
      </w:r>
      <w:r w:rsidR="001E36BC" w:rsidRPr="00B73595">
        <w:rPr>
          <w:i/>
          <w:iCs/>
        </w:rPr>
        <w:t>not</w:t>
      </w:r>
      <w:r w:rsidR="001E36BC" w:rsidRPr="00B73595">
        <w:t xml:space="preserve"> been put forward by IA advocates.</w:t>
      </w:r>
      <w:r w:rsidR="00747AC8" w:rsidRPr="00B73595">
        <w:t xml:space="preserve"> Stoljar himself attributes to extant written philosophical work only three arguments out of ten—the other seven are at most </w:t>
      </w:r>
      <w:r w:rsidR="00747AC8" w:rsidRPr="00B73595">
        <w:rPr>
          <w:i/>
          <w:iCs/>
        </w:rPr>
        <w:t>inspired by</w:t>
      </w:r>
      <w:r w:rsidR="00747AC8" w:rsidRPr="00B73595">
        <w:t xml:space="preserve"> some claim made by some IA defender</w:t>
      </w:r>
      <w:r w:rsidR="001E36BC" w:rsidRPr="00B73595">
        <w:t xml:space="preserve"> </w:t>
      </w:r>
      <w:r w:rsidR="00747AC8" w:rsidRPr="00B73595">
        <w:t xml:space="preserve">(but not used by them as an </w:t>
      </w:r>
      <w:r w:rsidR="00747AC8" w:rsidRPr="00B73595">
        <w:rPr>
          <w:i/>
          <w:iCs/>
        </w:rPr>
        <w:t>argument</w:t>
      </w:r>
      <w:r w:rsidR="00747AC8" w:rsidRPr="00B73595">
        <w:t xml:space="preserve"> for IA). </w:t>
      </w:r>
      <w:r w:rsidR="001E36BC" w:rsidRPr="00B73595">
        <w:t xml:space="preserve">Indeed, </w:t>
      </w:r>
      <w:r w:rsidR="00747AC8" w:rsidRPr="00B73595">
        <w:t>some</w:t>
      </w:r>
      <w:r w:rsidR="001E36BC" w:rsidRPr="00B73595">
        <w:t xml:space="preserve"> of the arguments considered by Stoljar are poor and unconvincing—it is thus unsurprising that they have not been appealed to by IA advocates.</w:t>
      </w:r>
      <w:r w:rsidR="00E46001" w:rsidRPr="00B73595">
        <w:rPr>
          <w:rStyle w:val="FootnoteReference"/>
        </w:rPr>
        <w:footnoteReference w:id="5"/>
      </w:r>
    </w:p>
    <w:p w14:paraId="3E0D2F9A" w14:textId="61823E98" w:rsidR="00576236" w:rsidRPr="00B73595" w:rsidRDefault="00A30356" w:rsidP="00A30356">
      <w:pPr>
        <w:ind w:firstLine="360"/>
      </w:pPr>
      <w:r w:rsidRPr="00B73595">
        <w:lastRenderedPageBreak/>
        <w:t xml:space="preserve">In what follows, I will focus on what strike me as the two most compelling arguments in Stoljar’s list: the </w:t>
      </w:r>
      <w:r w:rsidRPr="00B73595">
        <w:rPr>
          <w:i/>
          <w:iCs/>
        </w:rPr>
        <w:t>argument from memory</w:t>
      </w:r>
      <w:r w:rsidRPr="00B73595">
        <w:t xml:space="preserve"> and the </w:t>
      </w:r>
      <w:r w:rsidRPr="00B73595">
        <w:rPr>
          <w:i/>
          <w:iCs/>
        </w:rPr>
        <w:t>argument from attention</w:t>
      </w:r>
      <w:r w:rsidRPr="00B73595">
        <w:t>.</w:t>
      </w:r>
      <w:r w:rsidR="00C3235F" w:rsidRPr="00B73595">
        <w:rPr>
          <w:rStyle w:val="FootnoteReference"/>
        </w:rPr>
        <w:footnoteReference w:id="6"/>
      </w:r>
      <w:r w:rsidRPr="00B73595">
        <w:t xml:space="preserve"> As I will show, Stoljar’s objections to them can be rebutted and they promise to constitute the steadiest theoretical ground for IA.</w:t>
      </w:r>
    </w:p>
    <w:p w14:paraId="25089891" w14:textId="346795FB" w:rsidR="00576236" w:rsidRPr="00B73595" w:rsidRDefault="00A30356" w:rsidP="00A30356">
      <w:pPr>
        <w:jc w:val="center"/>
      </w:pPr>
      <w:r w:rsidRPr="00B73595">
        <w:t>*</w:t>
      </w:r>
    </w:p>
    <w:p w14:paraId="474D1902" w14:textId="40979064" w:rsidR="00A30356" w:rsidRPr="00B73595" w:rsidRDefault="00B20B63" w:rsidP="009656B7">
      <w:r w:rsidRPr="00B73595">
        <w:t xml:space="preserve">The </w:t>
      </w:r>
      <w:r w:rsidRPr="00B73595">
        <w:rPr>
          <w:i/>
          <w:iCs/>
        </w:rPr>
        <w:t>argument from memory</w:t>
      </w:r>
      <w:r w:rsidRPr="00B73595">
        <w:t xml:space="preserve"> is among those, in Stoljar’s list, </w:t>
      </w:r>
      <w:r w:rsidR="00B33D7E" w:rsidRPr="00B73595">
        <w:t>which</w:t>
      </w:r>
      <w:r w:rsidRPr="00B73595">
        <w:t xml:space="preserve"> ha</w:t>
      </w:r>
      <w:r w:rsidR="00B33D7E" w:rsidRPr="00B73595">
        <w:t>ve</w:t>
      </w:r>
      <w:r w:rsidRPr="00B73595">
        <w:t xml:space="preserve"> actually been appealed to by IA defenders. </w:t>
      </w:r>
      <w:r w:rsidR="009656B7" w:rsidRPr="00B73595">
        <w:t>Indeed, t</w:t>
      </w:r>
      <w:r w:rsidRPr="00B73595">
        <w:t>he argument has a long history: it was originally put forward by the 5</w:t>
      </w:r>
      <w:r w:rsidRPr="00B73595">
        <w:rPr>
          <w:vertAlign w:val="superscript"/>
        </w:rPr>
        <w:t>th</w:t>
      </w:r>
      <w:r w:rsidRPr="00B73595">
        <w:t>-6</w:t>
      </w:r>
      <w:r w:rsidRPr="00B73595">
        <w:rPr>
          <w:vertAlign w:val="superscript"/>
        </w:rPr>
        <w:t>th</w:t>
      </w:r>
      <w:r w:rsidRPr="00B73595">
        <w:t xml:space="preserve"> century Buddhist philosopher </w:t>
      </w:r>
      <w:proofErr w:type="spellStart"/>
      <w:r w:rsidRPr="00B73595">
        <w:t>Dignāga</w:t>
      </w:r>
      <w:proofErr w:type="spellEnd"/>
      <w:r w:rsidRPr="00B73595">
        <w:t xml:space="preserve"> and discussed extensively </w:t>
      </w:r>
      <w:r w:rsidR="007401C5" w:rsidRPr="00B73595">
        <w:t xml:space="preserve">within the Buddhist tradition. More recently, it has been developed and refined by Buddhist scholars </w:t>
      </w:r>
      <w:r w:rsidR="007401C5" w:rsidRPr="00B73595">
        <w:fldChar w:fldCharType="begin"/>
      </w:r>
      <w:r w:rsidR="001F6CBD">
        <w:instrText xml:space="preserve"> ADDIN ZOTERO_ITEM CSL_CITATION {"citationID":"JwSj3gxG","properties":{"formattedCitation":"(Ganeri 1999)","plainCitation":"(Ganeri 1999)","dontUpdate":true,"noteIndex":0},"citationItems":[{"id":1217,"uris":["http://zotero.org/users/3438906/items/CGRMZVDS"],"itemData":{"id":1217,"type":"article-journal","container-title":"Journal of Indian Philosophy","ISSN":"1573-0395","issue":"5","journalAbbreviation":"Journal of Indian Philosophy","language":"en","page":"469-483","source":"Springer Link","title":"Self-Intimation, Memory and Personal Identity","volume":"27","author":[{"family":"Ganeri","given":"Jonardon"}],"issued":{"date-parts":[["1999"]]}}}],"schema":"https://github.com/citation-style-language/schema/raw/master/csl-citation.json"} </w:instrText>
      </w:r>
      <w:r w:rsidR="007401C5" w:rsidRPr="00B73595">
        <w:fldChar w:fldCharType="separate"/>
      </w:r>
      <w:r w:rsidR="007401C5" w:rsidRPr="00B73595">
        <w:t>(Ganeri 1999</w:t>
      </w:r>
      <w:r w:rsidR="007401C5" w:rsidRPr="00B73595">
        <w:fldChar w:fldCharType="end"/>
      </w:r>
      <w:r w:rsidR="007D4228" w:rsidRPr="00B73595">
        <w:t>;</w:t>
      </w:r>
      <w:r w:rsidR="0019030B" w:rsidRPr="00B73595">
        <w:t xml:space="preserve"> </w:t>
      </w:r>
      <w:r w:rsidR="0019030B" w:rsidRPr="00B73595">
        <w:fldChar w:fldCharType="begin"/>
      </w:r>
      <w:r w:rsidR="001F6CBD">
        <w:instrText xml:space="preserve"> ADDIN ZOTERO_ITEM CSL_CITATION {"citationID":"8PaoDiIw","properties":{"formattedCitation":"(Perrett 2003)","plainCitation":"(Perrett 2003)","dontUpdate":true,"noteIndex":0},"citationItems":[{"id":1310,"uris":["http://zotero.org/users/3438906/items/DBECPPEY"],"itemData":{"id":1310,"type":"article-journal","container-title":"Ratio","issue":"3","note":"publisher: Wiley-Blackwell","page":"222–235","source":"PhilPapers","title":"Intentionality and Self-Awareness","volume":"16","author":[{"family":"Perrett","given":"Roy W."}],"issued":{"date-parts":[["2003"]]}}}],"schema":"https://github.com/citation-style-language/schema/raw/master/csl-citation.json"} </w:instrText>
      </w:r>
      <w:r w:rsidR="0019030B" w:rsidRPr="00B73595">
        <w:fldChar w:fldCharType="separate"/>
      </w:r>
      <w:r w:rsidR="0019030B" w:rsidRPr="00B73595">
        <w:t>Perrett 2003</w:t>
      </w:r>
      <w:r w:rsidR="0019030B" w:rsidRPr="00B73595">
        <w:fldChar w:fldCharType="end"/>
      </w:r>
      <w:r w:rsidR="0019030B" w:rsidRPr="00B73595">
        <w:t>;</w:t>
      </w:r>
      <w:r w:rsidR="007401C5" w:rsidRPr="00B73595">
        <w:t xml:space="preserve"> </w:t>
      </w:r>
      <w:r w:rsidR="007401C5" w:rsidRPr="00B73595">
        <w:fldChar w:fldCharType="begin"/>
      </w:r>
      <w:r w:rsidR="001F6CBD">
        <w:instrText xml:space="preserve"> ADDIN ZOTERO_ITEM CSL_CITATION {"citationID":"n7WDA1g2","properties":{"formattedCitation":"(Kellner 2010)","plainCitation":"(Kellner 2010)","dontUpdate":true,"noteIndex":0},"citationItems":[{"id":1306,"uris":["http://zotero.org/users/3438906/items/5QVML5L6"],"itemData":{"id":1306,"type":"article-journal","container-title":"Journal of Indian Philosophy","page":"203-231","title":"Self-Awareness (svasa</w:instrText>
      </w:r>
      <w:r w:rsidR="001F6CBD">
        <w:rPr>
          <w:rFonts w:ascii="Cambria" w:hAnsi="Cambria" w:cs="Cambria"/>
        </w:rPr>
        <w:instrText>ṃ</w:instrText>
      </w:r>
      <w:r w:rsidR="001F6CBD">
        <w:instrText>vedana) in Dignāga’s Pramā</w:instrText>
      </w:r>
      <w:r w:rsidR="001F6CBD">
        <w:rPr>
          <w:rFonts w:ascii="Cambria" w:hAnsi="Cambria" w:cs="Cambria"/>
        </w:rPr>
        <w:instrText>ṇ</w:instrText>
      </w:r>
      <w:r w:rsidR="001F6CBD">
        <w:instrText>asamuccaya and -v</w:instrText>
      </w:r>
      <w:r w:rsidR="001F6CBD">
        <w:rPr>
          <w:rFonts w:ascii="Cambria" w:hAnsi="Cambria" w:cs="Cambria"/>
        </w:rPr>
        <w:instrText>ṛ</w:instrText>
      </w:r>
      <w:r w:rsidR="001F6CBD">
        <w:instrText xml:space="preserve">tti: A Close Reading","volume":"38","author":[{"family":"Kellner","given":"Birgit"}],"issued":{"date-parts":[["2010"]]}}}],"schema":"https://github.com/citation-style-language/schema/raw/master/csl-citation.json"} </w:instrText>
      </w:r>
      <w:r w:rsidR="007401C5" w:rsidRPr="00B73595">
        <w:fldChar w:fldCharType="separate"/>
      </w:r>
      <w:r w:rsidR="007401C5" w:rsidRPr="00B73595">
        <w:t>Kellner 2010</w:t>
      </w:r>
      <w:r w:rsidR="007401C5" w:rsidRPr="00B73595">
        <w:fldChar w:fldCharType="end"/>
      </w:r>
      <w:r w:rsidR="007D4228" w:rsidRPr="00B73595">
        <w:t xml:space="preserve">; </w:t>
      </w:r>
      <w:r w:rsidR="007401C5" w:rsidRPr="00B73595">
        <w:fldChar w:fldCharType="begin"/>
      </w:r>
      <w:r w:rsidR="001F6CBD">
        <w:instrText xml:space="preserve"> ADDIN ZOTERO_ITEM CSL_CITATION {"citationID":"u2Iizoe6","properties":{"formattedCitation":"(Thompson 2011)","plainCitation":"(Thompson 2011)","dontUpdate":true,"noteIndex":0},"citationItems":[{"id":1168,"uris":["http://zotero.org/users/3438906/items/68Z6FKK7"],"itemData":{"id":1168,"type":"chapter","abstract":"This chapter examines the so-called ‘memory argument’ for reflexive awareness in the Yogacara-Madhyamaka school of Indo-Tibetan Buddhist philosophy. According to this argument, when one remembers one recalls both the past object and the past experience of this object, thus no additional higher-order cognition is required in order to recall the subjective side of the original experience, hence reflexive self-awareness or self-cognition belonged to the original experience. Husserlian phenomenology is used to defend the memory argument against rival Buddhist views that deny reflexive awareness, but it is also argued that such a phenomenological defense exerts pressure on certain versions of the Buddhist no-self doctrine.","container-title":"Self, No Self?: Perspectives from Analytical, Phenomenological, and Indian Traditions","event-place":"Oxford","ISBN":"978-0-19-159569-1","language":"en_US","note":"container-title: Self, No Self?\nsection: Self, No Self?","publisher":"Oxford University Press","publisher-place":"Oxford","source":"oxford.universitypressscholarship.com","title":"Self</w:instrText>
      </w:r>
      <w:r w:rsidR="001F6CBD">
        <w:rPr>
          <w:rFonts w:ascii="Times New Roman" w:hAnsi="Times New Roman" w:cs="Times New Roman"/>
        </w:rPr>
        <w:instrText>‐</w:instrText>
      </w:r>
      <w:r w:rsidR="001F6CBD">
        <w:instrText>No</w:instrText>
      </w:r>
      <w:r w:rsidR="001F6CBD">
        <w:rPr>
          <w:rFonts w:ascii="Times New Roman" w:hAnsi="Times New Roman" w:cs="Times New Roman"/>
        </w:rPr>
        <w:instrText>‐</w:instrText>
      </w:r>
      <w:r w:rsidR="001F6CBD">
        <w:instrText xml:space="preserve">Self ? Memory and Reflexive Awareness","author":[{"family":"Thompson","given":"Evan"}],"editor":[{"family":"Siderits","given":"Mark"},{"family":"Thompson","given":"Evan"},{"family":"Zahavi","given":"Dan"}],"accessed":{"date-parts":[["2021",1,31]]},"issued":{"date-parts":[["2011"]]}}}],"schema":"https://github.com/citation-style-language/schema/raw/master/csl-citation.json"} </w:instrText>
      </w:r>
      <w:r w:rsidR="007401C5" w:rsidRPr="00B73595">
        <w:fldChar w:fldCharType="separate"/>
      </w:r>
      <w:r w:rsidR="007401C5" w:rsidRPr="00B73595">
        <w:t>Thompson 2011)</w:t>
      </w:r>
      <w:r w:rsidR="007401C5" w:rsidRPr="00B73595">
        <w:fldChar w:fldCharType="end"/>
      </w:r>
      <w:r w:rsidR="007D4228" w:rsidRPr="00B73595">
        <w:t xml:space="preserve">. It has received </w:t>
      </w:r>
      <w:r w:rsidR="00BC6DC8" w:rsidRPr="00B73595">
        <w:t>less</w:t>
      </w:r>
      <w:r w:rsidR="007D4228" w:rsidRPr="00B73595">
        <w:t xml:space="preserve"> attention </w:t>
      </w:r>
      <w:r w:rsidR="00BC6DC8" w:rsidRPr="00B73595">
        <w:t xml:space="preserve">than it would deserve </w:t>
      </w:r>
      <w:r w:rsidR="007D4228" w:rsidRPr="00B73595">
        <w:t>by analytic phi</w:t>
      </w:r>
      <w:r w:rsidR="00BC6DC8" w:rsidRPr="00B73595">
        <w:t xml:space="preserve">losophy of mind IA advocates, one exception being Uriah </w:t>
      </w:r>
      <w:r w:rsidR="00BC6DC8" w:rsidRPr="00B73595">
        <w:fldChar w:fldCharType="begin"/>
      </w:r>
      <w:r w:rsidR="001F6CBD">
        <w:instrText xml:space="preserve"> ADDIN ZOTERO_ITEM CSL_CITATION {"citationID":"u89Ag0dS","properties":{"formattedCitation":"(Kriegel 2019)","plainCitation":"(Kriegel 2019)","dontUpdate":true,"noteIndex":0},"citationItems":[{"id":723,"uris":["http://zotero.org/users/3438906/items/6AKHMGRU"],"itemData":{"id":723,"type":"article-journal","container-title":"Philosophy East and West","page":"143-155","source":"PhilPapers","title":"Dignga’s Argument for the Awareness Principle: An Analytic Refinement","title-short":"Dignga’s Argument for the Awareness Principle","volume":"69","author":[{"family":"Kriegel","given":"Uriah"}],"issued":{"date-parts":[["2019"]]}}}],"schema":"https://github.com/citation-style-language/schema/raw/master/csl-citation.json"} </w:instrText>
      </w:r>
      <w:r w:rsidR="00BC6DC8" w:rsidRPr="00B73595">
        <w:fldChar w:fldCharType="separate"/>
      </w:r>
      <w:r w:rsidR="00BC6DC8" w:rsidRPr="00B73595">
        <w:t>Kriegel (2019)</w:t>
      </w:r>
      <w:r w:rsidR="00BC6DC8" w:rsidRPr="00B73595">
        <w:fldChar w:fldCharType="end"/>
      </w:r>
      <w:r w:rsidR="00BC6DC8" w:rsidRPr="00B73595">
        <w:t>, who has rigorously reconstructed and defended it.</w:t>
      </w:r>
    </w:p>
    <w:p w14:paraId="5DB8D54D" w14:textId="0BE85067" w:rsidR="009656B7" w:rsidRPr="00B73595" w:rsidRDefault="009656B7" w:rsidP="009656B7">
      <w:pPr>
        <w:ind w:firstLine="360"/>
      </w:pPr>
      <w:r w:rsidRPr="00B73595">
        <w:t xml:space="preserve">The memory argument is based on the following intuitive ideas (which are shared by all the </w:t>
      </w:r>
      <w:proofErr w:type="spellStart"/>
      <w:r w:rsidRPr="00B73595">
        <w:t>abovementioned</w:t>
      </w:r>
      <w:proofErr w:type="spellEnd"/>
      <w:r w:rsidRPr="00B73595">
        <w:t xml:space="preserve"> reconstructions): (1) for any of our conscious experiences, we can recall it at some time after its occurrence; however, (2) we can only recall something if, at the time of its occurrence, we were </w:t>
      </w:r>
      <w:r w:rsidRPr="00B73595">
        <w:rPr>
          <w:i/>
          <w:iCs/>
        </w:rPr>
        <w:t xml:space="preserve">aware </w:t>
      </w:r>
      <w:r w:rsidRPr="00B73595">
        <w:t xml:space="preserve">of it; therefore, for any of our conscious experiences, we are aware of it at the time of its occurrence. </w:t>
      </w:r>
    </w:p>
    <w:p w14:paraId="733EF2CF" w14:textId="477B1319" w:rsidR="00522AF4" w:rsidRPr="00B73595" w:rsidRDefault="001E1B42" w:rsidP="009656B7">
      <w:pPr>
        <w:ind w:firstLine="360"/>
      </w:pPr>
      <w:r w:rsidRPr="00B73595">
        <w:t>Stoljar</w:t>
      </w:r>
      <w:r w:rsidR="001F580D" w:rsidRPr="00B73595">
        <w:t>’s</w:t>
      </w:r>
      <w:r w:rsidR="009656B7" w:rsidRPr="00B73595">
        <w:t xml:space="preserve"> </w:t>
      </w:r>
      <w:r w:rsidRPr="00B73595">
        <w:t>reconstruction</w:t>
      </w:r>
      <w:r w:rsidR="001F580D" w:rsidRPr="00B73595">
        <w:t xml:space="preserve"> of</w:t>
      </w:r>
      <w:r w:rsidRPr="00B73595">
        <w:t xml:space="preserve"> the argument</w:t>
      </w:r>
      <w:r w:rsidR="001F580D" w:rsidRPr="00B73595">
        <w:t xml:space="preserve"> relies on somewhat different grounds</w:t>
      </w:r>
      <w:r w:rsidR="005B4A28" w:rsidRPr="00B73595">
        <w:t xml:space="preserve"> and </w:t>
      </w:r>
      <w:r w:rsidR="00C3235F" w:rsidRPr="00B73595">
        <w:t xml:space="preserve">is </w:t>
      </w:r>
      <w:r w:rsidR="005B4A28" w:rsidRPr="00B73595">
        <w:t>develop</w:t>
      </w:r>
      <w:r w:rsidR="00C3235F" w:rsidRPr="00B73595">
        <w:t>ed</w:t>
      </w:r>
      <w:r w:rsidR="005B4A28" w:rsidRPr="00B73595">
        <w:t xml:space="preserve"> through a more indirect route</w:t>
      </w:r>
      <w:r w:rsidR="001F580D" w:rsidRPr="00B73595">
        <w:t xml:space="preserve">. It starts from </w:t>
      </w:r>
      <w:r w:rsidRPr="00B73595">
        <w:t xml:space="preserve">the following observation. Suppose I now remember that yesterday I saw the blue sky. “Remembering” is here used </w:t>
      </w:r>
      <w:proofErr w:type="spellStart"/>
      <w:r w:rsidRPr="00B73595">
        <w:t>factive</w:t>
      </w:r>
      <w:r w:rsidR="007D31EF" w:rsidRPr="00B73595">
        <w:t>ly</w:t>
      </w:r>
      <w:proofErr w:type="spellEnd"/>
      <w:r w:rsidRPr="00B73595">
        <w:t xml:space="preserve">; </w:t>
      </w:r>
      <w:r w:rsidR="003F49F7" w:rsidRPr="00B73595">
        <w:t>accordingly</w:t>
      </w:r>
      <w:r w:rsidRPr="00B73595">
        <w:t xml:space="preserve">, my remembering implies that I now know that I saw the blue sky yesterday. Now, something must ground my current state of knowing. </w:t>
      </w:r>
      <w:r w:rsidR="00522AF4" w:rsidRPr="00B73595">
        <w:t>Stoljar outlines two models for such epistemic grounding. On</w:t>
      </w:r>
      <w:r w:rsidR="003F49F7" w:rsidRPr="00B73595">
        <w:t>e is</w:t>
      </w:r>
      <w:r w:rsidR="00522AF4" w:rsidRPr="00B73595">
        <w:t xml:space="preserve"> what he calls the “knowledge model</w:t>
      </w:r>
      <w:r w:rsidR="00B95D82" w:rsidRPr="00B73595">
        <w:t>:</w:t>
      </w:r>
      <w:r w:rsidR="00522AF4" w:rsidRPr="00B73595">
        <w:t>”</w:t>
      </w:r>
    </w:p>
    <w:p w14:paraId="564D2EC0" w14:textId="53696B88" w:rsidR="00522AF4" w:rsidRPr="00B73595" w:rsidRDefault="00522AF4" w:rsidP="00522AF4">
      <w:pPr>
        <w:ind w:left="360"/>
      </w:pPr>
      <w:r w:rsidRPr="00B73595">
        <w:rPr>
          <w:sz w:val="22"/>
          <w:szCs w:val="22"/>
        </w:rPr>
        <w:t>I remember that I saw the blue sky yesterday just in case (a) I currently know that I saw the blue sky yesterday; (b) yesterday I knew that I saw the blue sky; and (c) my current state of knowledge depends in the right way on my previous state of knowledge.</w:t>
      </w:r>
      <w:r w:rsidRPr="00B73595">
        <w:t xml:space="preserve"> (</w:t>
      </w:r>
      <w:r w:rsidR="00FF70F5" w:rsidRPr="00B73595">
        <w:t>2021</w:t>
      </w:r>
      <w:r w:rsidRPr="00B73595">
        <w:t>: 1</w:t>
      </w:r>
      <w:r w:rsidR="001B31A5" w:rsidRPr="00B73595">
        <w:t>2</w:t>
      </w:r>
      <w:r w:rsidRPr="00B73595">
        <w:t>)</w:t>
      </w:r>
    </w:p>
    <w:p w14:paraId="707ECEFE" w14:textId="3EC25754" w:rsidR="00522AF4" w:rsidRPr="00B73595" w:rsidRDefault="00522AF4" w:rsidP="00522AF4">
      <w:r w:rsidRPr="00B73595">
        <w:t>However, this model is not applicable if yesterday I did not know that I was seeing the blue sky—say, because I did not notice that</w:t>
      </w:r>
      <w:r w:rsidR="003F49F7" w:rsidRPr="00B73595">
        <w:t xml:space="preserve"> I was</w:t>
      </w:r>
      <w:r w:rsidRPr="00B73595">
        <w:t>. Therefore, Stoljar’s reconstruction goes, the only option left is the “inner awareness model</w:t>
      </w:r>
      <w:r w:rsidR="003F49F7" w:rsidRPr="00B73595">
        <w:t>:</w:t>
      </w:r>
      <w:r w:rsidRPr="00B73595">
        <w:t>”</w:t>
      </w:r>
    </w:p>
    <w:p w14:paraId="05B496C1" w14:textId="35057F6E" w:rsidR="00522AF4" w:rsidRPr="00B73595" w:rsidRDefault="00522AF4" w:rsidP="00522AF4">
      <w:pPr>
        <w:ind w:left="360"/>
      </w:pPr>
      <w:r w:rsidRPr="00B73595">
        <w:rPr>
          <w:sz w:val="22"/>
          <w:szCs w:val="22"/>
        </w:rPr>
        <w:t xml:space="preserve">I remember that I saw the blue sky yesterday just in case (a) I currently know that I saw it yesterday; (b) yesterday I was (phenomenally) aware of seeing it </w:t>
      </w:r>
      <w:r w:rsidR="007D31EF" w:rsidRPr="00B73595">
        <w:rPr>
          <w:sz w:val="22"/>
          <w:szCs w:val="22"/>
        </w:rPr>
        <w:t>[…]</w:t>
      </w:r>
      <w:r w:rsidRPr="00B73595">
        <w:rPr>
          <w:sz w:val="22"/>
          <w:szCs w:val="22"/>
        </w:rPr>
        <w:t xml:space="preserve">; and (c) my current state of knowledge depends in the right way on my previous state of inner awareness. How does my current state of knowledge depend on my previous state of awareness? Here I think the suggestion is that my current </w:t>
      </w:r>
      <w:r w:rsidRPr="00B73595">
        <w:rPr>
          <w:sz w:val="22"/>
          <w:szCs w:val="22"/>
        </w:rPr>
        <w:lastRenderedPageBreak/>
        <w:t xml:space="preserve">state of knowledge depends on the fact that I am currently (phenomenally) aware of </w:t>
      </w:r>
      <w:r w:rsidRPr="00B73595">
        <w:rPr>
          <w:i/>
          <w:iCs/>
          <w:sz w:val="22"/>
          <w:szCs w:val="22"/>
        </w:rPr>
        <w:t xml:space="preserve">having seen </w:t>
      </w:r>
      <w:r w:rsidRPr="00B73595">
        <w:rPr>
          <w:sz w:val="22"/>
          <w:szCs w:val="22"/>
        </w:rPr>
        <w:t>the blue sky yesterday, and this state of awareness is connected in the right way to the fact that yesterday I was (phenomenally) aware of my seeing the sky.</w:t>
      </w:r>
      <w:r w:rsidRPr="00B73595">
        <w:t xml:space="preserve"> (</w:t>
      </w:r>
      <w:r w:rsidRPr="00B73595">
        <w:rPr>
          <w:i/>
          <w:iCs/>
        </w:rPr>
        <w:t>ibid.</w:t>
      </w:r>
      <w:r w:rsidRPr="00B73595">
        <w:t>)</w:t>
      </w:r>
    </w:p>
    <w:p w14:paraId="370C24AD" w14:textId="6198ECF2" w:rsidR="007A62CF" w:rsidRPr="00B73595" w:rsidRDefault="001E1B42" w:rsidP="00522AF4">
      <w:r w:rsidRPr="00B73595">
        <w:t xml:space="preserve">Here is how I understand his reconstruction of the </w:t>
      </w:r>
      <w:r w:rsidR="005B4A28" w:rsidRPr="00B73595">
        <w:t>m</w:t>
      </w:r>
      <w:r w:rsidRPr="00B73595">
        <w:t>emory argument:</w:t>
      </w:r>
    </w:p>
    <w:p w14:paraId="06BFB6AB" w14:textId="77777777" w:rsidR="001E1B42" w:rsidRPr="00B73595" w:rsidRDefault="001E1B42" w:rsidP="001E1B42">
      <w:pPr>
        <w:spacing w:after="0"/>
        <w:ind w:left="720" w:hanging="360"/>
      </w:pPr>
      <w:r w:rsidRPr="00B73595">
        <w:t>P1. I remember that I saw the blue sky yesterday.</w:t>
      </w:r>
    </w:p>
    <w:p w14:paraId="03CF6BC2" w14:textId="77777777" w:rsidR="001E1B42" w:rsidRPr="00B73595" w:rsidRDefault="001E1B42" w:rsidP="001E1B42">
      <w:pPr>
        <w:spacing w:after="0"/>
        <w:ind w:left="720" w:hanging="360"/>
      </w:pPr>
      <w:r w:rsidRPr="00B73595">
        <w:t>P2. If I remember that I saw the blue sky yesterday, I know that I saw the blue sky yesterday.</w:t>
      </w:r>
    </w:p>
    <w:p w14:paraId="47659657" w14:textId="77777777" w:rsidR="001E1B42" w:rsidRPr="00B73595" w:rsidRDefault="001E1B42" w:rsidP="001E1B42">
      <w:pPr>
        <w:spacing w:after="0"/>
        <w:ind w:left="720" w:hanging="360"/>
      </w:pPr>
      <w:r w:rsidRPr="00B73595">
        <w:t>P3. I know that I saw the blue sky yesterday only if either (</w:t>
      </w:r>
      <w:proofErr w:type="spellStart"/>
      <w:r w:rsidRPr="00B73595">
        <w:t>i</w:t>
      </w:r>
      <w:proofErr w:type="spellEnd"/>
      <w:r w:rsidRPr="00B73595">
        <w:t xml:space="preserve">) yesterday I knew that I was seeing the blue sky, or (ii) yesterday I was </w:t>
      </w:r>
      <w:proofErr w:type="spellStart"/>
      <w:r w:rsidRPr="00B73595">
        <w:t>innerly</w:t>
      </w:r>
      <w:proofErr w:type="spellEnd"/>
      <w:r w:rsidRPr="00B73595">
        <w:t xml:space="preserve"> aware of seeing the blue sky.</w:t>
      </w:r>
    </w:p>
    <w:p w14:paraId="1F456F89" w14:textId="77777777" w:rsidR="001E1B42" w:rsidRPr="00B73595" w:rsidRDefault="001E1B42" w:rsidP="001E1B42">
      <w:pPr>
        <w:spacing w:after="0"/>
        <w:ind w:left="720" w:hanging="360"/>
      </w:pPr>
      <w:r w:rsidRPr="00B73595">
        <w:t>P4. Not (</w:t>
      </w:r>
      <w:proofErr w:type="spellStart"/>
      <w:r w:rsidRPr="00B73595">
        <w:t>i</w:t>
      </w:r>
      <w:proofErr w:type="spellEnd"/>
      <w:r w:rsidRPr="00B73595">
        <w:t>).</w:t>
      </w:r>
    </w:p>
    <w:p w14:paraId="45D48BC6" w14:textId="77777777" w:rsidR="001E1B42" w:rsidRPr="00B73595" w:rsidRDefault="001E1B42" w:rsidP="001E1B42">
      <w:pPr>
        <w:ind w:left="720" w:hanging="360"/>
      </w:pPr>
      <w:r w:rsidRPr="00B73595">
        <w:t>C. (ii)</w:t>
      </w:r>
    </w:p>
    <w:p w14:paraId="1CB37471" w14:textId="3E947983" w:rsidR="007D31EF" w:rsidRPr="00B73595" w:rsidRDefault="007D31EF" w:rsidP="007D31EF">
      <w:r w:rsidRPr="00B73595">
        <w:t>Stoljar’s objection targets P3. He suggests that the “knowledge model” and the “inner awareness model” do not exhaust the relevant options and proposes a third model—what he calls the “perceptual model:”</w:t>
      </w:r>
    </w:p>
    <w:p w14:paraId="2B86C3D5" w14:textId="6F5745D0" w:rsidR="007D31EF" w:rsidRPr="00B73595" w:rsidRDefault="007D31EF" w:rsidP="007D31EF">
      <w:pPr>
        <w:ind w:left="360"/>
      </w:pPr>
      <w:r w:rsidRPr="00B73595">
        <w:rPr>
          <w:sz w:val="22"/>
          <w:szCs w:val="22"/>
        </w:rPr>
        <w:t xml:space="preserve">I remember that I saw the blue sky yesterday just in case (a) I know that I saw the sky yesterday; (b) yesterday I saw the sky, and so was perceptually aware of the sky’s being blue; and (c) my current state of knowledge depends on my previous perceptual state. How does my current state of knowledge depend on my previous perceptual state? The answer is that my current state of knowledge depends on a current state of perceptual awareness, according to which the sky </w:t>
      </w:r>
      <w:r w:rsidRPr="00B73595">
        <w:rPr>
          <w:i/>
          <w:iCs/>
          <w:sz w:val="22"/>
          <w:szCs w:val="22"/>
        </w:rPr>
        <w:t xml:space="preserve">was </w:t>
      </w:r>
      <w:r w:rsidRPr="00B73595">
        <w:rPr>
          <w:sz w:val="22"/>
          <w:szCs w:val="22"/>
        </w:rPr>
        <w:t xml:space="preserve">blue yesterday, and this state in turn bears the right relation to the state of perceptual awareness I was in yesterday when I saw the sky. </w:t>
      </w:r>
      <w:r w:rsidRPr="00B73595">
        <w:t>(</w:t>
      </w:r>
      <w:r w:rsidR="00FF70F5" w:rsidRPr="00B73595">
        <w:t>2021</w:t>
      </w:r>
      <w:r w:rsidRPr="00B73595">
        <w:t>: 1</w:t>
      </w:r>
      <w:r w:rsidR="001B31A5" w:rsidRPr="00B73595">
        <w:t>2-13</w:t>
      </w:r>
      <w:r w:rsidRPr="00B73595">
        <w:t>)</w:t>
      </w:r>
    </w:p>
    <w:p w14:paraId="430A33CE" w14:textId="0E20357D" w:rsidR="007D31EF" w:rsidRPr="00B73595" w:rsidRDefault="007D31EF" w:rsidP="007D31EF">
      <w:r w:rsidRPr="00B73595">
        <w:t xml:space="preserve">Stoljar argues that his “perceptual model” is superior to the “inner awareness model” </w:t>
      </w:r>
      <w:r w:rsidR="003F49F7" w:rsidRPr="00B73595">
        <w:t>based on</w:t>
      </w:r>
      <w:r w:rsidRPr="00B73595">
        <w:t xml:space="preserve"> theoretical economy considerations: it has the same amount of explanatory power but does not entail the existence</w:t>
      </w:r>
      <w:r w:rsidR="00A30356" w:rsidRPr="00B73595">
        <w:t>, let alone</w:t>
      </w:r>
      <w:r w:rsidRPr="00B73595">
        <w:t xml:space="preserve"> ubiquity</w:t>
      </w:r>
      <w:r w:rsidR="00A30356" w:rsidRPr="00B73595">
        <w:t>,</w:t>
      </w:r>
      <w:r w:rsidRPr="00B73595">
        <w:t xml:space="preserve"> of inner awareness.</w:t>
      </w:r>
    </w:p>
    <w:p w14:paraId="460DB47A" w14:textId="3527BF83" w:rsidR="007A62CF" w:rsidRPr="00B73595" w:rsidRDefault="003F49F7" w:rsidP="0062297A">
      <w:pPr>
        <w:ind w:firstLine="360"/>
      </w:pPr>
      <w:r w:rsidRPr="00B73595">
        <w:t xml:space="preserve">There are several issues with Stoljar’s criticism. </w:t>
      </w:r>
      <w:r w:rsidR="00D87E13" w:rsidRPr="00B73595">
        <w:t>First</w:t>
      </w:r>
      <w:r w:rsidRPr="00B73595">
        <w:t xml:space="preserve">, his “perceptual model” is antecedently implausible. For it is unclear what “being </w:t>
      </w:r>
      <w:r w:rsidRPr="00B73595">
        <w:rPr>
          <w:i/>
          <w:iCs/>
        </w:rPr>
        <w:t>perceptually</w:t>
      </w:r>
      <w:r w:rsidRPr="00B73595">
        <w:t xml:space="preserve"> aware of the sky’s</w:t>
      </w:r>
      <w:r w:rsidRPr="00B73595">
        <w:rPr>
          <w:i/>
          <w:iCs/>
        </w:rPr>
        <w:t xml:space="preserve"> having been</w:t>
      </w:r>
      <w:r w:rsidRPr="00B73595">
        <w:t xml:space="preserve"> blue” amounts to.</w:t>
      </w:r>
      <w:r w:rsidR="00D05CEC" w:rsidRPr="00B73595">
        <w:t xml:space="preserve"> What we are </w:t>
      </w:r>
      <w:r w:rsidR="00D05CEC" w:rsidRPr="00B73595">
        <w:rPr>
          <w:i/>
          <w:iCs/>
        </w:rPr>
        <w:t>perceptually aware</w:t>
      </w:r>
      <w:r w:rsidR="00D05CEC" w:rsidRPr="00B73595">
        <w:t xml:space="preserve"> </w:t>
      </w:r>
      <w:r w:rsidR="00D05CEC" w:rsidRPr="00B73595">
        <w:rPr>
          <w:i/>
          <w:iCs/>
        </w:rPr>
        <w:t>of</w:t>
      </w:r>
      <w:r w:rsidR="00D05CEC" w:rsidRPr="00B73595">
        <w:t xml:space="preserve"> are objects, properties, and events that are </w:t>
      </w:r>
      <w:r w:rsidR="00D05CEC" w:rsidRPr="00B73595">
        <w:rPr>
          <w:i/>
          <w:iCs/>
        </w:rPr>
        <w:t>present</w:t>
      </w:r>
      <w:r w:rsidR="00D05CEC" w:rsidRPr="00B73595">
        <w:t xml:space="preserve">: past objects, properties, or events </w:t>
      </w:r>
      <w:r w:rsidR="00D05CEC" w:rsidRPr="00B73595">
        <w:rPr>
          <w:i/>
          <w:iCs/>
        </w:rPr>
        <w:t>cannot</w:t>
      </w:r>
      <w:r w:rsidR="00D05CEC" w:rsidRPr="00B73595">
        <w:t>, strictly speaking, be perceived</w:t>
      </w:r>
      <w:r w:rsidR="00417EF6" w:rsidRPr="00B73595">
        <w:t xml:space="preserve"> </w:t>
      </w:r>
      <w:r w:rsidR="00417EF6" w:rsidRPr="00B73595">
        <w:fldChar w:fldCharType="begin"/>
      </w:r>
      <w:r w:rsidR="001F6CBD">
        <w:instrText xml:space="preserve"> ADDIN ZOTERO_ITEM CSL_CITATION {"citationID":"se6kHbWk","properties":{"formattedCitation":"(Le Poidevin 2007)","plainCitation":"(Le Poidevin 2007)","noteIndex":0},"citationItems":[{"id":1304,"uris":["http://zotero.org/users/3438906/items/22LFMJF7"],"itemData":{"id":1304,"type":"book","abstract":"The Images of Time presents a philosophical investigation of the nature of time and the mind's ways of representing it. Robin Le Poidevin examines how we perceive time and change, the means by which memory links us with the past, the attempt to represent change and movement in art, and thenature of fictional time. These apparently disparate questions all concern the ways in which we represent aspects of time, in thought, experience, art and fiction. They also raise fundamental problems for our philosophical understanding, both of mental representation, and of the nature of timeitself. Le Poidevin brings together issues in philosophy, psychology, aesthetics, and literary theory in examining the mechanisms underlying our representation of time in various media, and brings these to bear on metaphysical debates over the real nature of time. These debates concern which aspects of timeare genuinely part of time's intrinsic nature, and which, in some sense, are mind-dependent. Arguably, the most important debate concerns time's passage: does time pass in reality, or is the division of events into past, present, and future simply a reflection of our temporal perspective--a result of the interaction between a \"static\" world and minds capable of representing it? Le Poidevinargues that, contrary to what perception and memory lead us to suppose, time does not really pass, and this surprising conclusion can be reconciled with the characteristic features of temporal experience.","edition":"1st edition","event-place":"Oxford ; New York","ISBN":"978-0-19-926589-3","language":"English","number-of-pages":"192","publisher":"Oxford University Press","publisher-place":"Oxford ; New York","source":"Amazon","title":"The Images of Time: An Essay on Temporal Representation","title-short":"The Images of Time","author":[{"family":"Le Poidevin","given":"Robin"}],"issued":{"date-parts":[["2007",12,7]]}}}],"schema":"https://github.com/citation-style-language/schema/raw/master/csl-citation.json"} </w:instrText>
      </w:r>
      <w:r w:rsidR="00417EF6" w:rsidRPr="00B73595">
        <w:fldChar w:fldCharType="separate"/>
      </w:r>
      <w:r w:rsidR="00417EF6" w:rsidRPr="00B73595">
        <w:t>(Le Poidevin 2007)</w:t>
      </w:r>
      <w:r w:rsidR="00417EF6" w:rsidRPr="00B73595">
        <w:fldChar w:fldCharType="end"/>
      </w:r>
      <w:r w:rsidR="00D05CEC" w:rsidRPr="00B73595">
        <w:t xml:space="preserve">. Perhaps what Stoljar has in mind is a broader sense of “perceiving,” something like “being outwardly aware,” or maybe just “representing.” </w:t>
      </w:r>
      <w:r w:rsidR="00F3341A" w:rsidRPr="00B73595">
        <w:t>If so, however</w:t>
      </w:r>
      <w:r w:rsidR="00D05CEC" w:rsidRPr="00B73595">
        <w:t>, it is unclear what “perceiving the sky’s having been blue” amounts to if not just “recalling</w:t>
      </w:r>
      <w:r w:rsidR="00FC4C91" w:rsidRPr="00B73595">
        <w:t xml:space="preserve"> </w:t>
      </w:r>
      <w:r w:rsidR="00F5620C" w:rsidRPr="00B73595">
        <w:t>(</w:t>
      </w:r>
      <w:r w:rsidR="00FC4C91" w:rsidRPr="00B73595">
        <w:t>or seeming to recall</w:t>
      </w:r>
      <w:r w:rsidR="00F5620C" w:rsidRPr="00B73595">
        <w:t>)</w:t>
      </w:r>
      <w:r w:rsidR="00D05CEC" w:rsidRPr="00B73595">
        <w:t xml:space="preserve"> the blue sky,” plus a commitment to a model of </w:t>
      </w:r>
      <w:r w:rsidR="00FC4C91" w:rsidRPr="00B73595">
        <w:t xml:space="preserve">(apparent) </w:t>
      </w:r>
      <w:r w:rsidR="00D05CEC" w:rsidRPr="00B73595">
        <w:t xml:space="preserve">memory such that </w:t>
      </w:r>
      <w:r w:rsidR="00FC4C91" w:rsidRPr="00B73595">
        <w:t xml:space="preserve">(apparent) </w:t>
      </w:r>
      <w:r w:rsidR="00D05CEC" w:rsidRPr="00B73595">
        <w:t>memory is a mental representation of an event and its pastness. And if “perceiving the sky’s having been blue” is just remembering</w:t>
      </w:r>
      <w:r w:rsidR="00FC4C91" w:rsidRPr="00B73595">
        <w:t xml:space="preserve"> </w:t>
      </w:r>
      <w:r w:rsidR="00F5620C" w:rsidRPr="00B73595">
        <w:t>(</w:t>
      </w:r>
      <w:r w:rsidR="00FC4C91" w:rsidRPr="00B73595">
        <w:t>or seeming to remember</w:t>
      </w:r>
      <w:r w:rsidR="00F5620C" w:rsidRPr="00B73595">
        <w:t>)</w:t>
      </w:r>
      <w:r w:rsidR="00D05CEC" w:rsidRPr="00B73595">
        <w:t xml:space="preserve"> the blue sky, it is unclear what explanatory role it is supposed to play, given that the subject’s </w:t>
      </w:r>
      <w:r w:rsidR="00FC4C91" w:rsidRPr="00B73595">
        <w:t xml:space="preserve">(apparent) </w:t>
      </w:r>
      <w:r w:rsidR="00D05CEC" w:rsidRPr="00B73595">
        <w:t>memory of the blue sky is just a datum in the argument.</w:t>
      </w:r>
      <w:r w:rsidR="00C85D59" w:rsidRPr="00B73595">
        <w:t xml:space="preserve"> So, Stoljar’s perceptual model </w:t>
      </w:r>
      <w:r w:rsidR="0047159F" w:rsidRPr="00B73595">
        <w:t>seems to be</w:t>
      </w:r>
      <w:r w:rsidR="00C85D59" w:rsidRPr="00B73595">
        <w:t xml:space="preserve"> either outlandish </w:t>
      </w:r>
      <w:r w:rsidR="0019480E" w:rsidRPr="00B73595">
        <w:t xml:space="preserve">(if it implies that we can literally </w:t>
      </w:r>
      <w:r w:rsidR="0019480E" w:rsidRPr="00B73595">
        <w:rPr>
          <w:i/>
          <w:iCs/>
        </w:rPr>
        <w:t>perceive</w:t>
      </w:r>
      <w:r w:rsidR="0019480E" w:rsidRPr="00B73595">
        <w:t xml:space="preserve"> past objects and events) </w:t>
      </w:r>
      <w:r w:rsidR="00C85D59" w:rsidRPr="00B73595">
        <w:t>or unexplanatory</w:t>
      </w:r>
      <w:r w:rsidR="0019480E" w:rsidRPr="00B73595">
        <w:t xml:space="preserve"> (if perceiving past objects or events just amounts to </w:t>
      </w:r>
      <w:r w:rsidR="0019480E" w:rsidRPr="00B73595">
        <w:rPr>
          <w:i/>
          <w:iCs/>
        </w:rPr>
        <w:t>remembering</w:t>
      </w:r>
      <w:r w:rsidR="00FC4C91" w:rsidRPr="00B73595">
        <w:t xml:space="preserve"> or </w:t>
      </w:r>
      <w:r w:rsidR="00FC4C91" w:rsidRPr="00B73595">
        <w:rPr>
          <w:i/>
          <w:iCs/>
        </w:rPr>
        <w:t>seeming to remember</w:t>
      </w:r>
      <w:r w:rsidR="0019480E" w:rsidRPr="00B73595">
        <w:t xml:space="preserve"> them)</w:t>
      </w:r>
      <w:r w:rsidR="00C85D59" w:rsidRPr="00B73595">
        <w:t>.</w:t>
      </w:r>
      <w:r w:rsidR="0047159F" w:rsidRPr="00B73595">
        <w:t xml:space="preserve"> At the very least, a fuller and more detailed account of the perceptual </w:t>
      </w:r>
      <w:r w:rsidR="00B73595" w:rsidRPr="00B73595">
        <w:t>model would be needed to dispel these worries.</w:t>
      </w:r>
      <w:r w:rsidR="001F6CBD">
        <w:rPr>
          <w:rStyle w:val="FootnoteReference"/>
        </w:rPr>
        <w:footnoteReference w:id="7"/>
      </w:r>
    </w:p>
    <w:p w14:paraId="6D107835" w14:textId="78777798" w:rsidR="00C85D59" w:rsidRPr="00B73595" w:rsidRDefault="00C85D59" w:rsidP="0062297A">
      <w:pPr>
        <w:ind w:firstLine="360"/>
      </w:pPr>
      <w:r w:rsidRPr="00B73595">
        <w:t>But the most worrying issue is that Stoljar’s reconstruction does not do justice to the original and much stronger formulation of the memory argument</w:t>
      </w:r>
      <w:r w:rsidR="005B4A28" w:rsidRPr="00B73595">
        <w:t xml:space="preserve"> (which is based on the two intuitive ideas outlined above):</w:t>
      </w:r>
    </w:p>
    <w:p w14:paraId="17ADC673" w14:textId="4EBCE438" w:rsidR="00F014FD" w:rsidRPr="00B73595" w:rsidRDefault="00F014FD" w:rsidP="00273294">
      <w:pPr>
        <w:spacing w:after="0"/>
        <w:ind w:left="720" w:hanging="360"/>
      </w:pPr>
      <w:bookmarkStart w:id="1" w:name="_Hlk92902194"/>
      <w:r w:rsidRPr="00B73595">
        <w:t xml:space="preserve">P1. </w:t>
      </w:r>
      <w:bookmarkStart w:id="2" w:name="_Hlk92902073"/>
      <w:r w:rsidRPr="00B73595">
        <w:t>A subject can remember an event E only if she was aware of E when E occurred</w:t>
      </w:r>
      <w:bookmarkEnd w:id="2"/>
      <w:r w:rsidRPr="00B73595">
        <w:t>;</w:t>
      </w:r>
    </w:p>
    <w:p w14:paraId="00A2F456" w14:textId="3F8C1781" w:rsidR="00F014FD" w:rsidRPr="00B73595" w:rsidRDefault="00F014FD" w:rsidP="00273294">
      <w:pPr>
        <w:spacing w:after="0"/>
        <w:ind w:left="720" w:hanging="360"/>
      </w:pPr>
      <w:r w:rsidRPr="00B73595">
        <w:lastRenderedPageBreak/>
        <w:t>P2. Every conscious state is such that there is some later time at which its subject can remember it; therefore,</w:t>
      </w:r>
    </w:p>
    <w:p w14:paraId="06843075" w14:textId="34112FE5" w:rsidR="00F014FD" w:rsidRPr="00B73595" w:rsidRDefault="00F014FD" w:rsidP="00273294">
      <w:pPr>
        <w:ind w:left="720" w:hanging="360"/>
      </w:pPr>
      <w:r w:rsidRPr="00B73595">
        <w:t>C. Every conscious state is such that its subject is aware of it at the time of its occurrence.</w:t>
      </w:r>
      <w:bookmarkEnd w:id="1"/>
      <w:r w:rsidR="005B4A28" w:rsidRPr="00B73595">
        <w:rPr>
          <w:rStyle w:val="FootnoteReference"/>
        </w:rPr>
        <w:footnoteReference w:id="8"/>
      </w:r>
    </w:p>
    <w:p w14:paraId="1DAEE9E7" w14:textId="77777777" w:rsidR="00184803" w:rsidRPr="00B73595" w:rsidRDefault="00A530D0" w:rsidP="00AB4FD7">
      <w:r w:rsidRPr="00B73595">
        <w:t xml:space="preserve">This reconstruction is visibly different from Stoljar’s. Its premises have nothing to do with </w:t>
      </w:r>
      <w:r w:rsidRPr="00B73595">
        <w:rPr>
          <w:i/>
          <w:iCs/>
        </w:rPr>
        <w:t>knowledge</w:t>
      </w:r>
      <w:r w:rsidRPr="00B73595">
        <w:t xml:space="preserve"> about past experiences and its epistemic grounds. Rather, they are simply </w:t>
      </w:r>
      <w:r w:rsidRPr="00B73595">
        <w:rPr>
          <w:i/>
          <w:iCs/>
        </w:rPr>
        <w:t>facts</w:t>
      </w:r>
      <w:r w:rsidRPr="00B73595">
        <w:t xml:space="preserve"> about our memory of events and experiences.</w:t>
      </w:r>
    </w:p>
    <w:p w14:paraId="1A706411" w14:textId="08D37DAB" w:rsidR="002E261C" w:rsidRPr="00B73595" w:rsidRDefault="007C429A" w:rsidP="00184803">
      <w:pPr>
        <w:ind w:firstLine="360"/>
      </w:pPr>
      <w:r w:rsidRPr="00B73595">
        <w:t xml:space="preserve">The truth of P1 </w:t>
      </w:r>
      <w:r w:rsidR="00150304" w:rsidRPr="00B73595">
        <w:t xml:space="preserve">becomes straightforwardly apparent once we distinguish </w:t>
      </w:r>
      <w:r w:rsidR="00150304" w:rsidRPr="00B73595">
        <w:rPr>
          <w:i/>
          <w:iCs/>
        </w:rPr>
        <w:t>episodic</w:t>
      </w:r>
      <w:r w:rsidR="00150304" w:rsidRPr="00B73595">
        <w:t xml:space="preserve"> from </w:t>
      </w:r>
      <w:r w:rsidR="00150304" w:rsidRPr="00B73595">
        <w:rPr>
          <w:i/>
          <w:iCs/>
        </w:rPr>
        <w:t>semantic</w:t>
      </w:r>
      <w:r w:rsidR="00150304" w:rsidRPr="00B73595">
        <w:t xml:space="preserve"> memory</w:t>
      </w:r>
      <w:r w:rsidR="00417EF6" w:rsidRPr="00B73595">
        <w:t xml:space="preserve"> </w:t>
      </w:r>
      <w:r w:rsidR="00417EF6" w:rsidRPr="00B73595">
        <w:fldChar w:fldCharType="begin"/>
      </w:r>
      <w:r w:rsidR="001F6CBD">
        <w:instrText xml:space="preserve"> ADDIN ZOTERO_ITEM CSL_CITATION {"citationID":"QIW0kJEd","properties":{"formattedCitation":"(Tulving 1972)","plainCitation":"(Tulving 1972)","noteIndex":0},"citationItems":[{"id":1197,"uris":["http://zotero.org/users/3438906/items/X9UVZRKB"],"itemData":{"id":1197,"type":"chapter","abstract":"In this chapter I discuss the possibility that semantic memory, among other things, is not the kind of memory that psychologists have been studying since the time of Ebbinghaus. I will suggest that there are sufficiently fundamental differences between the two forms of memory to recommend that we consider, at least for the time being, the two categories separately. To facilitate subsequent discussion, I will refer to this other kind of memory, the one that semantic memory is not, as 'episodic' memory. (PsycINFO Database Record (c) 2016 APA, all rights reserved)","container-title":"Organization of memory","event-place":"New York","page":"382-404","publisher":"Academic Press","publisher-place":"New York","source":"APA PsycNET","title":"Episodic and semantic memory","author":[{"family":"Tulving","given":"Endel"}],"editor":[{"family":"Tulving","given":"Endel"},{"family":"Donaldson","given":"Wayne"}],"issued":{"date-parts":[["1972"]]}}}],"schema":"https://github.com/citation-style-language/schema/raw/master/csl-citation.json"} </w:instrText>
      </w:r>
      <w:r w:rsidR="00417EF6" w:rsidRPr="00B73595">
        <w:fldChar w:fldCharType="separate"/>
      </w:r>
      <w:r w:rsidR="00417EF6" w:rsidRPr="00B73595">
        <w:t>(Tulving 1972)</w:t>
      </w:r>
      <w:r w:rsidR="00417EF6" w:rsidRPr="00B73595">
        <w:fldChar w:fldCharType="end"/>
      </w:r>
      <w:r w:rsidRPr="00B73595">
        <w:t xml:space="preserve">. The former consists in first-person </w:t>
      </w:r>
      <w:r w:rsidR="00EA7E05" w:rsidRPr="00B73595">
        <w:t xml:space="preserve">experiential </w:t>
      </w:r>
      <w:r w:rsidRPr="00B73595">
        <w:t>recollection of events of one’s personal past, while the latter is third-person memory of facts of the world.</w:t>
      </w:r>
      <w:r w:rsidR="00EA7E05" w:rsidRPr="00B73595">
        <w:t xml:space="preserve"> Whereas one can certainly have </w:t>
      </w:r>
      <w:r w:rsidR="00EA7E05" w:rsidRPr="00B73595">
        <w:rPr>
          <w:i/>
          <w:iCs/>
        </w:rPr>
        <w:t>semantic</w:t>
      </w:r>
      <w:r w:rsidR="00EA7E05" w:rsidRPr="00B73595">
        <w:t xml:space="preserve"> memory of facts one was not aware of when they occurred (I remember that French Revolution occurred in 1789, even though I could be aware of nothing in 1789), one can only have </w:t>
      </w:r>
      <w:r w:rsidR="00EA7E05" w:rsidRPr="00B73595">
        <w:rPr>
          <w:i/>
          <w:iCs/>
        </w:rPr>
        <w:t>episodic</w:t>
      </w:r>
      <w:r w:rsidR="00EA7E05" w:rsidRPr="00B73595">
        <w:t xml:space="preserve"> memory of events one </w:t>
      </w:r>
      <w:r w:rsidR="00184803" w:rsidRPr="00B73595">
        <w:t xml:space="preserve">was aware of </w:t>
      </w:r>
      <w:r w:rsidR="00EA7E05" w:rsidRPr="00B73595">
        <w:t>when they occurred</w:t>
      </w:r>
      <w:r w:rsidR="00A85C40" w:rsidRPr="00B73595">
        <w:t xml:space="preserve">. Naturally, one cannot have first-person experiential recollection of events one was unaware of. So, for example, the police will rely on my memory to reconstruct the dynamics of a car accident only if I </w:t>
      </w:r>
      <w:r w:rsidR="00A85C40" w:rsidRPr="00B73595">
        <w:rPr>
          <w:i/>
          <w:iCs/>
        </w:rPr>
        <w:t>witnessed</w:t>
      </w:r>
      <w:r w:rsidR="00A85C40" w:rsidRPr="00B73595">
        <w:t xml:space="preserve"> the accident—i.e., only if I was somehow </w:t>
      </w:r>
      <w:r w:rsidR="00A85C40" w:rsidRPr="00B73595">
        <w:rPr>
          <w:i/>
          <w:iCs/>
        </w:rPr>
        <w:t>aware of</w:t>
      </w:r>
      <w:r w:rsidR="00A85C40" w:rsidRPr="00B73595">
        <w:t xml:space="preserve"> the accident: they will make no use of my memory if I did not see, hear, or experience the accident in any way.</w:t>
      </w:r>
      <w:r w:rsidR="00184803" w:rsidRPr="00B73595">
        <w:t xml:space="preserve"> </w:t>
      </w:r>
      <w:r w:rsidR="00A85C40" w:rsidRPr="00B73595">
        <w:t xml:space="preserve">Thus, </w:t>
      </w:r>
      <w:r w:rsidR="00184803" w:rsidRPr="00B73595">
        <w:t xml:space="preserve">having </w:t>
      </w:r>
      <w:r w:rsidR="00184803" w:rsidRPr="00B73595">
        <w:rPr>
          <w:i/>
          <w:iCs/>
        </w:rPr>
        <w:t>first-personal experience</w:t>
      </w:r>
      <w:r w:rsidR="00184803" w:rsidRPr="00B73595">
        <w:t xml:space="preserve"> of an event is a necessary condition for </w:t>
      </w:r>
      <w:r w:rsidR="00520603" w:rsidRPr="00B73595">
        <w:t xml:space="preserve">having </w:t>
      </w:r>
      <w:r w:rsidR="00184803" w:rsidRPr="00B73595">
        <w:t>episodic memory</w:t>
      </w:r>
      <w:r w:rsidR="00520603" w:rsidRPr="00B73595">
        <w:t xml:space="preserve"> of it at a later time</w:t>
      </w:r>
      <w:r w:rsidR="00184803" w:rsidRPr="00B73595">
        <w:t>.</w:t>
      </w:r>
      <w:r w:rsidR="00195DC1" w:rsidRPr="00B73595">
        <w:rPr>
          <w:rStyle w:val="FootnoteReference"/>
        </w:rPr>
        <w:footnoteReference w:id="9"/>
      </w:r>
    </w:p>
    <w:p w14:paraId="02179755" w14:textId="01468031" w:rsidR="00184803" w:rsidRPr="00B73595" w:rsidRDefault="00184803" w:rsidP="00184803">
      <w:pPr>
        <w:ind w:firstLine="360"/>
      </w:pPr>
      <w:r w:rsidRPr="00B73595">
        <w:t xml:space="preserve">The idea underlying P2 is that </w:t>
      </w:r>
      <w:r w:rsidR="006B69A8" w:rsidRPr="00B73595">
        <w:t xml:space="preserve">we </w:t>
      </w:r>
      <w:r w:rsidR="00F01D89" w:rsidRPr="00B73595">
        <w:t xml:space="preserve">can </w:t>
      </w:r>
      <w:r w:rsidR="006B69A8" w:rsidRPr="00B73595">
        <w:t xml:space="preserve">recall </w:t>
      </w:r>
      <w:r w:rsidRPr="00B73595">
        <w:t xml:space="preserve">not only </w:t>
      </w:r>
      <w:r w:rsidR="006B69A8" w:rsidRPr="00B73595">
        <w:t xml:space="preserve">the external </w:t>
      </w:r>
      <w:r w:rsidR="006B69A8" w:rsidRPr="00B73595">
        <w:rPr>
          <w:i/>
          <w:iCs/>
        </w:rPr>
        <w:t>events</w:t>
      </w:r>
      <w:r w:rsidR="006B69A8" w:rsidRPr="00B73595">
        <w:t xml:space="preserve"> we experience, but also our </w:t>
      </w:r>
      <w:r w:rsidR="006B69A8" w:rsidRPr="00B73595">
        <w:rPr>
          <w:i/>
          <w:iCs/>
        </w:rPr>
        <w:t>experience</w:t>
      </w:r>
      <w:r w:rsidR="006B69A8" w:rsidRPr="00B73595">
        <w:t xml:space="preserve"> of them</w:t>
      </w:r>
      <w:r w:rsidR="00265495" w:rsidRPr="00B73595">
        <w:t>.</w:t>
      </w:r>
      <w:r w:rsidR="006B69A8" w:rsidRPr="00B73595">
        <w:t xml:space="preserve"> </w:t>
      </w:r>
      <w:r w:rsidR="00265495" w:rsidRPr="00B73595">
        <w:t>W</w:t>
      </w:r>
      <w:r w:rsidR="00C23EC7" w:rsidRPr="00B73595">
        <w:t xml:space="preserve">hen I recall </w:t>
      </w:r>
      <w:r w:rsidR="00265495" w:rsidRPr="00B73595">
        <w:t xml:space="preserve">yesterday night’s concert, I recall not only the concert (the music, the people, the </w:t>
      </w:r>
      <w:r w:rsidR="000C0DF2" w:rsidRPr="00B73595">
        <w:t>room’s stuffiness</w:t>
      </w:r>
      <w:r w:rsidR="00265495" w:rsidRPr="00B73595">
        <w:t xml:space="preserve">, etc.), but also my experience of it: the way the music </w:t>
      </w:r>
      <w:r w:rsidR="00265495" w:rsidRPr="00B73595">
        <w:rPr>
          <w:i/>
          <w:iCs/>
        </w:rPr>
        <w:t>sounded</w:t>
      </w:r>
      <w:r w:rsidR="00265495" w:rsidRPr="00B73595">
        <w:t xml:space="preserve"> to me, the way people </w:t>
      </w:r>
      <w:r w:rsidR="00265495" w:rsidRPr="00B73595">
        <w:rPr>
          <w:i/>
          <w:iCs/>
        </w:rPr>
        <w:t>looked</w:t>
      </w:r>
      <w:r w:rsidR="00265495" w:rsidRPr="00B73595">
        <w:t xml:space="preserve"> to me, the way the air </w:t>
      </w:r>
      <w:r w:rsidR="00265495" w:rsidRPr="00B73595">
        <w:rPr>
          <w:i/>
          <w:iCs/>
        </w:rPr>
        <w:t>smelled</w:t>
      </w:r>
      <w:r w:rsidR="00265495" w:rsidRPr="00B73595">
        <w:t xml:space="preserve"> to me, the </w:t>
      </w:r>
      <w:r w:rsidR="00265495" w:rsidRPr="00B73595">
        <w:rPr>
          <w:i/>
          <w:iCs/>
        </w:rPr>
        <w:t xml:space="preserve">elation </w:t>
      </w:r>
      <w:r w:rsidR="00265495" w:rsidRPr="00B73595">
        <w:t xml:space="preserve">I </w:t>
      </w:r>
      <w:r w:rsidR="000859A8" w:rsidRPr="00B73595">
        <w:rPr>
          <w:i/>
          <w:iCs/>
        </w:rPr>
        <w:t>felt</w:t>
      </w:r>
      <w:r w:rsidR="00265495" w:rsidRPr="00B73595">
        <w:t xml:space="preserve"> when my favorite song was played, etc. </w:t>
      </w:r>
      <w:r w:rsidR="006B69A8" w:rsidRPr="00B73595">
        <w:t xml:space="preserve">Of course, we do not actually recall </w:t>
      </w:r>
      <w:r w:rsidR="006B69A8" w:rsidRPr="00B73595">
        <w:rPr>
          <w:i/>
          <w:iCs/>
        </w:rPr>
        <w:t>all</w:t>
      </w:r>
      <w:r w:rsidR="006B69A8" w:rsidRPr="00B73595">
        <w:t xml:space="preserve"> the experiences we undergo. However, the reason why we do not recall them is </w:t>
      </w:r>
      <w:r w:rsidR="006B69A8" w:rsidRPr="00B73595">
        <w:rPr>
          <w:i/>
          <w:iCs/>
        </w:rPr>
        <w:t>not</w:t>
      </w:r>
      <w:r w:rsidR="006B69A8" w:rsidRPr="00B73595">
        <w:t xml:space="preserve"> that we </w:t>
      </w:r>
      <w:r w:rsidR="006B69A8" w:rsidRPr="00B73595">
        <w:rPr>
          <w:i/>
          <w:iCs/>
        </w:rPr>
        <w:t>cannot</w:t>
      </w:r>
      <w:r w:rsidR="006B69A8" w:rsidRPr="00B73595">
        <w:t xml:space="preserve"> recall them, but simply that we </w:t>
      </w:r>
      <w:r w:rsidR="006B69A8" w:rsidRPr="00B73595">
        <w:rPr>
          <w:i/>
          <w:iCs/>
        </w:rPr>
        <w:t>forgot</w:t>
      </w:r>
      <w:r w:rsidR="006B69A8" w:rsidRPr="00B73595">
        <w:t xml:space="preserve"> them. For any conscious experience is such that it is </w:t>
      </w:r>
      <w:proofErr w:type="spellStart"/>
      <w:r w:rsidR="006B69A8" w:rsidRPr="00B73595">
        <w:t>nomologically</w:t>
      </w:r>
      <w:proofErr w:type="spellEnd"/>
      <w:r w:rsidR="006B69A8" w:rsidRPr="00B73595">
        <w:t xml:space="preserve"> possible for its subject to recall it </w:t>
      </w:r>
      <w:r w:rsidR="003673CB" w:rsidRPr="00B73595">
        <w:t>later</w:t>
      </w:r>
      <w:r w:rsidR="006B69A8" w:rsidRPr="00B73595">
        <w:t>.</w:t>
      </w:r>
      <w:r w:rsidR="006B69A8" w:rsidRPr="00B73595">
        <w:rPr>
          <w:rStyle w:val="FootnoteReference"/>
        </w:rPr>
        <w:footnoteReference w:id="10"/>
      </w:r>
    </w:p>
    <w:p w14:paraId="519480B2" w14:textId="73C52AB4" w:rsidR="003673CB" w:rsidRPr="00B73595" w:rsidRDefault="003673CB" w:rsidP="00184803">
      <w:pPr>
        <w:ind w:firstLine="360"/>
      </w:pPr>
      <w:r w:rsidRPr="00B73595">
        <w:t>This reconstruction is different from, and stronger than, the one proposed by Stoljar—arguably, this is why defenders of IA have used this argument rather than Stoljar’s version.</w:t>
      </w:r>
      <w:r w:rsidR="0038124B" w:rsidRPr="00B73595">
        <w:t xml:space="preserve"> Importantly for our present purpose, this argument does not appeal to any “inner awareness model” </w:t>
      </w:r>
      <w:r w:rsidR="00917DB7" w:rsidRPr="00B73595">
        <w:t>as opposed to</w:t>
      </w:r>
      <w:r w:rsidR="0038124B" w:rsidRPr="00B73595">
        <w:t xml:space="preserve"> a</w:t>
      </w:r>
      <w:r w:rsidR="00917DB7" w:rsidRPr="00B73595">
        <w:t xml:space="preserve"> “knowledge model” or a</w:t>
      </w:r>
      <w:r w:rsidR="0038124B" w:rsidRPr="00B73595">
        <w:t xml:space="preserve"> “perceptual model</w:t>
      </w:r>
      <w:r w:rsidR="00917DB7" w:rsidRPr="00B73595">
        <w:t>,</w:t>
      </w:r>
      <w:r w:rsidR="0038124B" w:rsidRPr="00B73595">
        <w:t>”</w:t>
      </w:r>
      <w:r w:rsidR="00917DB7" w:rsidRPr="00B73595">
        <w:t xml:space="preserve"> since it is not based on any epistemic consideration about our knowledge of past events, but only on facts about episodic memory.</w:t>
      </w:r>
    </w:p>
    <w:p w14:paraId="6E043872" w14:textId="32F64D66" w:rsidR="00A30356" w:rsidRPr="00B73595" w:rsidRDefault="00A30356" w:rsidP="00A30356">
      <w:pPr>
        <w:jc w:val="center"/>
      </w:pPr>
      <w:r w:rsidRPr="00B73595">
        <w:t>*</w:t>
      </w:r>
    </w:p>
    <w:p w14:paraId="4D6A8458" w14:textId="31B6D76C" w:rsidR="008A6455" w:rsidRPr="00B73595" w:rsidRDefault="009C1761" w:rsidP="00A30356">
      <w:r w:rsidRPr="00B73595">
        <w:lastRenderedPageBreak/>
        <w:t xml:space="preserve">The </w:t>
      </w:r>
      <w:r w:rsidRPr="00B73595">
        <w:rPr>
          <w:i/>
          <w:iCs/>
        </w:rPr>
        <w:t>argument from attention</w:t>
      </w:r>
      <w:r w:rsidRPr="00B73595">
        <w:t xml:space="preserve"> is one of those for which Stoljar does not cite any actual proponent. However, if properly formulated, it can </w:t>
      </w:r>
      <w:r w:rsidR="00AD47EA" w:rsidRPr="00B73595">
        <w:t xml:space="preserve">indeed </w:t>
      </w:r>
      <w:r w:rsidRPr="00B73595">
        <w:t xml:space="preserve">constitute a compelling theoretical ground for IA. The underlying intuitive idea is the following. </w:t>
      </w:r>
      <w:r w:rsidR="00890F07" w:rsidRPr="00B73595">
        <w:t>For any cons</w:t>
      </w:r>
      <w:r w:rsidRPr="00B73595">
        <w:t>cious experience</w:t>
      </w:r>
      <w:r w:rsidR="00890F07" w:rsidRPr="00B73595">
        <w:t xml:space="preserve"> you undergo</w:t>
      </w:r>
      <w:r w:rsidRPr="00B73595">
        <w:t xml:space="preserve">, it is possible for you to draw your attention to it (we </w:t>
      </w:r>
      <w:r w:rsidR="00AD47EA" w:rsidRPr="00B73595">
        <w:t>usually</w:t>
      </w:r>
      <w:r w:rsidRPr="00B73595">
        <w:t xml:space="preserve"> attend to the </w:t>
      </w:r>
      <w:r w:rsidRPr="00B73595">
        <w:rPr>
          <w:i/>
          <w:iCs/>
        </w:rPr>
        <w:t>objects</w:t>
      </w:r>
      <w:r w:rsidRPr="00B73595">
        <w:t xml:space="preserve"> of our experiences, but, at any time, we can shift our attention to the </w:t>
      </w:r>
      <w:r w:rsidRPr="00B73595">
        <w:rPr>
          <w:i/>
          <w:iCs/>
        </w:rPr>
        <w:t>experiences</w:t>
      </w:r>
      <w:r w:rsidRPr="00B73595">
        <w:t xml:space="preserve"> themselves</w:t>
      </w:r>
      <w:r w:rsidR="00AD47EA" w:rsidRPr="00B73595">
        <w:t xml:space="preserve">—as we do when we </w:t>
      </w:r>
      <w:r w:rsidR="00AD47EA" w:rsidRPr="00B73595">
        <w:rPr>
          <w:i/>
          <w:iCs/>
        </w:rPr>
        <w:t>introspect</w:t>
      </w:r>
      <w:r w:rsidRPr="00B73595">
        <w:t xml:space="preserve">). </w:t>
      </w:r>
      <w:r w:rsidR="00AD47EA" w:rsidRPr="00B73595">
        <w:t xml:space="preserve">Now, for any </w:t>
      </w:r>
      <w:r w:rsidR="00AD47EA" w:rsidRPr="00B73595">
        <w:rPr>
          <w:i/>
          <w:iCs/>
        </w:rPr>
        <w:t>x</w:t>
      </w:r>
      <w:r w:rsidR="00AD47EA" w:rsidRPr="00B73595">
        <w:t xml:space="preserve">, you can attend to </w:t>
      </w:r>
      <w:r w:rsidR="00AD47EA" w:rsidRPr="00B73595">
        <w:rPr>
          <w:i/>
          <w:iCs/>
        </w:rPr>
        <w:t>x</w:t>
      </w:r>
      <w:r w:rsidR="00AD47EA" w:rsidRPr="00B73595">
        <w:t xml:space="preserve"> only if you are </w:t>
      </w:r>
      <w:r w:rsidR="00AD47EA" w:rsidRPr="00B73595">
        <w:rPr>
          <w:i/>
          <w:iCs/>
        </w:rPr>
        <w:t>aware</w:t>
      </w:r>
      <w:r w:rsidR="00AD47EA" w:rsidRPr="00B73595">
        <w:t xml:space="preserve"> of </w:t>
      </w:r>
      <w:r w:rsidR="00AD47EA" w:rsidRPr="00B73595">
        <w:rPr>
          <w:i/>
          <w:iCs/>
        </w:rPr>
        <w:t>x</w:t>
      </w:r>
      <w:r w:rsidR="00AD47EA" w:rsidRPr="00B73595">
        <w:t xml:space="preserve">. If </w:t>
      </w:r>
      <w:r w:rsidR="00890F07" w:rsidRPr="00B73595">
        <w:t xml:space="preserve">you want to be able to attend to </w:t>
      </w:r>
      <w:r w:rsidR="00890F07" w:rsidRPr="00B73595">
        <w:rPr>
          <w:i/>
          <w:iCs/>
        </w:rPr>
        <w:t xml:space="preserve">x </w:t>
      </w:r>
      <w:r w:rsidR="00890F07" w:rsidRPr="00B73595">
        <w:t xml:space="preserve">but </w:t>
      </w:r>
      <w:r w:rsidR="00AD47EA" w:rsidRPr="00B73595">
        <w:t xml:space="preserve">are not yet aware of </w:t>
      </w:r>
      <w:r w:rsidR="00AD47EA" w:rsidRPr="00B73595">
        <w:rPr>
          <w:i/>
          <w:iCs/>
        </w:rPr>
        <w:t>x</w:t>
      </w:r>
      <w:r w:rsidR="00AD47EA" w:rsidRPr="00B73595">
        <w:t>, you will need</w:t>
      </w:r>
      <w:r w:rsidR="00890F07" w:rsidRPr="00B73595">
        <w:t>, first,</w:t>
      </w:r>
      <w:r w:rsidR="00AD47EA" w:rsidRPr="00B73595">
        <w:t xml:space="preserve"> to </w:t>
      </w:r>
      <w:r w:rsidR="00890F07" w:rsidRPr="00B73595">
        <w:t xml:space="preserve">do something to </w:t>
      </w:r>
      <w:r w:rsidR="00890F07" w:rsidRPr="00B73595">
        <w:rPr>
          <w:i/>
          <w:iCs/>
        </w:rPr>
        <w:t>become</w:t>
      </w:r>
      <w:r w:rsidR="00890F07" w:rsidRPr="00B73595">
        <w:t xml:space="preserve"> aware of </w:t>
      </w:r>
      <w:r w:rsidR="00890F07" w:rsidRPr="00B73595">
        <w:rPr>
          <w:i/>
          <w:iCs/>
        </w:rPr>
        <w:t>x</w:t>
      </w:r>
      <w:r w:rsidR="00890F07" w:rsidRPr="00B73595">
        <w:t xml:space="preserve"> (e.g., </w:t>
      </w:r>
      <w:r w:rsidR="00890F07" w:rsidRPr="00B73595">
        <w:rPr>
          <w:i/>
          <w:iCs/>
        </w:rPr>
        <w:t>looking</w:t>
      </w:r>
      <w:r w:rsidR="00890F07" w:rsidRPr="00B73595">
        <w:t xml:space="preserve"> at </w:t>
      </w:r>
      <w:r w:rsidR="00890F07" w:rsidRPr="00B73595">
        <w:rPr>
          <w:i/>
          <w:iCs/>
        </w:rPr>
        <w:t>x</w:t>
      </w:r>
      <w:r w:rsidR="00890F07" w:rsidRPr="00B73595">
        <w:t>). To attend to an experience of yours, however, you just need to shift your attention to it—no other action aimed at making you become aware of the experience is required. Therefore, for any conscious experience you undergo, you are aware of it.</w:t>
      </w:r>
    </w:p>
    <w:p w14:paraId="08B44603" w14:textId="65AB8F9E" w:rsidR="00872CB1" w:rsidRPr="00B73595" w:rsidRDefault="00872CB1" w:rsidP="00A30356">
      <w:r w:rsidRPr="00B73595">
        <w:t xml:space="preserve">Here is </w:t>
      </w:r>
      <w:r w:rsidR="00890F07" w:rsidRPr="00B73595">
        <w:t xml:space="preserve">how </w:t>
      </w:r>
      <w:r w:rsidRPr="00B73595">
        <w:t>Stoljar</w:t>
      </w:r>
      <w:r w:rsidR="00890F07" w:rsidRPr="00B73595">
        <w:t xml:space="preserve"> reconstructs the argument</w:t>
      </w:r>
      <w:r w:rsidR="009F5A00" w:rsidRPr="00B73595">
        <w:t xml:space="preserve"> (</w:t>
      </w:r>
      <w:r w:rsidR="00FF70F5" w:rsidRPr="00B73595">
        <w:t>2021</w:t>
      </w:r>
      <w:r w:rsidR="009F5A00" w:rsidRPr="00B73595">
        <w:t>: 1</w:t>
      </w:r>
      <w:r w:rsidR="005B6F41" w:rsidRPr="00B73595">
        <w:t>3</w:t>
      </w:r>
      <w:r w:rsidR="009F5A00" w:rsidRPr="00B73595">
        <w:t>)</w:t>
      </w:r>
      <w:r w:rsidRPr="00B73595">
        <w:t>:</w:t>
      </w:r>
    </w:p>
    <w:p w14:paraId="6E877817" w14:textId="77777777" w:rsidR="00872CB1" w:rsidRPr="00B73595" w:rsidRDefault="00872CB1" w:rsidP="00872CB1">
      <w:pPr>
        <w:spacing w:after="0"/>
        <w:ind w:firstLine="360"/>
      </w:pPr>
      <w:r w:rsidRPr="00B73595">
        <w:t>P1. If I am in a conscious state C, it is possible for me to attend to my being in C.</w:t>
      </w:r>
    </w:p>
    <w:p w14:paraId="61679A1A" w14:textId="77777777" w:rsidR="00872CB1" w:rsidRPr="00B73595" w:rsidRDefault="00872CB1" w:rsidP="00872CB1">
      <w:pPr>
        <w:spacing w:after="0"/>
        <w:ind w:firstLine="360"/>
      </w:pPr>
      <w:r w:rsidRPr="00B73595">
        <w:t>P2. If it is possible to attend to my being in C, I am aware of my being in C.</w:t>
      </w:r>
    </w:p>
    <w:p w14:paraId="5C35A0CD" w14:textId="2BAB6954" w:rsidR="00872CB1" w:rsidRPr="00B73595" w:rsidRDefault="00872CB1" w:rsidP="0062297A">
      <w:pPr>
        <w:ind w:firstLine="360"/>
      </w:pPr>
      <w:r w:rsidRPr="00B73595">
        <w:t>C. Ergo, if I am in a conscious state C, I am aware of my being in C.</w:t>
      </w:r>
    </w:p>
    <w:p w14:paraId="20A4C791" w14:textId="2CF3A137" w:rsidR="00330AF6" w:rsidRPr="00B73595" w:rsidRDefault="0099600D" w:rsidP="00872CB1">
      <w:r w:rsidRPr="00B73595">
        <w:t>P1 is</w:t>
      </w:r>
      <w:r w:rsidR="009F5A00" w:rsidRPr="00B73595">
        <w:t xml:space="preserve"> antecedently plausible. Although we typically do not attend to our conscious states, all of them are in principle introspectable: they are such that we can draw our </w:t>
      </w:r>
      <w:r w:rsidR="009B1FCF" w:rsidRPr="00B73595">
        <w:t xml:space="preserve">(introspective) </w:t>
      </w:r>
      <w:r w:rsidR="009F5A00" w:rsidRPr="00B73595">
        <w:t xml:space="preserve">attention to them. Arguably, P2 falls out of a more general principle: being aware of </w:t>
      </w:r>
      <w:r w:rsidR="000B1DE4" w:rsidRPr="00B73595">
        <w:t>something</w:t>
      </w:r>
      <w:r w:rsidR="009F5A00" w:rsidRPr="00B73595">
        <w:t xml:space="preserve"> is necessary for </w:t>
      </w:r>
      <w:r w:rsidRPr="00B73595">
        <w:t xml:space="preserve">possibly </w:t>
      </w:r>
      <w:r w:rsidR="009F5A00" w:rsidRPr="00B73595">
        <w:t>attending to it</w:t>
      </w:r>
      <w:r w:rsidR="000B1DE4" w:rsidRPr="00B73595">
        <w:t xml:space="preserve">. </w:t>
      </w:r>
      <w:r w:rsidR="00890F07" w:rsidRPr="00B73595">
        <w:t xml:space="preserve">Stoljar’s formulation of P2, however, </w:t>
      </w:r>
      <w:r w:rsidR="000C5C1B" w:rsidRPr="00B73595">
        <w:t>may be undermined by s</w:t>
      </w:r>
      <w:r w:rsidR="009F5A00" w:rsidRPr="00B73595">
        <w:t>ome experimental results</w:t>
      </w:r>
      <w:r w:rsidR="00271569" w:rsidRPr="00B73595">
        <w:t xml:space="preserve">, </w:t>
      </w:r>
      <w:r w:rsidR="000C5C1B" w:rsidRPr="00B73595">
        <w:t>which</w:t>
      </w:r>
      <w:r w:rsidR="009F5A00" w:rsidRPr="00B73595">
        <w:t xml:space="preserve"> </w:t>
      </w:r>
      <w:r w:rsidR="00B24ABA" w:rsidRPr="00B73595">
        <w:t>seem to speak against th</w:t>
      </w:r>
      <w:r w:rsidR="000C5C1B" w:rsidRPr="00B73595">
        <w:t>at</w:t>
      </w:r>
      <w:r w:rsidR="00B24ABA" w:rsidRPr="00B73595">
        <w:t xml:space="preserve"> principle: blindsight patients seem to be able to attend to objects in the blind part of their visual field</w:t>
      </w:r>
      <w:r w:rsidR="0026690B" w:rsidRPr="00B73595">
        <w:t>—of which, of course, they are not phenomenally aware</w:t>
      </w:r>
      <w:r w:rsidR="00B24ABA" w:rsidRPr="00B73595">
        <w:t xml:space="preserve"> </w:t>
      </w:r>
      <w:r w:rsidR="00B24ABA" w:rsidRPr="00B73595">
        <w:fldChar w:fldCharType="begin"/>
      </w:r>
      <w:r w:rsidR="001F6CBD">
        <w:instrText xml:space="preserve"> ADDIN ZOTERO_ITEM CSL_CITATION {"citationID":"Qi4gaiUi","properties":{"formattedCitation":"(Kentridge, Heywood, and Weiskrantz 1999)","plainCitation":"(Kentridge, Heywood, and Weiskrantz 1999)","noteIndex":0},"citationItems":[{"id":40,"uris":["http://zotero.org/users/3438906/items/UQBCHJFA"],"itemData":{"id":40,"type":"article-journal","abstract":"The act of attending has frequently been equated with visual awareness. We examined this relationship in ‘blindsight’: a condition in which the latter is absent or diminished as a result of damage to the primary visual cortex. Spatially selective visual attention is demonstrated when information that stimuli are likely to appear at a specific location enhances the speed or accuracy of detection of stimuli subsequently presented at that location. In a blindsight subject, we showed that attention can confer an advantage in processing stimuli presented at an attended location, without those stimuli entering consciousness. Attention could be directed both by symbolic cues in the subject's spared field of vision or cues presented in his blind field. Cues in his blind field were even effective in directing his attention to a second location remote from that at which the cue was presented. These indirect cues were effective whether or not they themselves elicited non–visual awareness. We concluded that the spatial selection of information by an attentional mechanism and its entry into conscious experience cannot be one and the same process.","container-title":"Proceedings of the Royal Society of London B: Biological Sciences","issue":"1430","language":"en","note":"PMID: 10518327","page":"1805-1811","source":"rspb.royalsocietypublishing.org","title":"Attention without awareness in blindsight","volume":"266","author":[{"family":"Kentridge","given":"R. W."},{"family":"Heywood","given":"C. A."},{"family":"Weiskrantz","given":"L."}],"issued":{"date-parts":[["1999"]]}}}],"schema":"https://github.com/citation-style-language/schema/raw/master/csl-citation.json"} </w:instrText>
      </w:r>
      <w:r w:rsidR="00B24ABA" w:rsidRPr="00B73595">
        <w:fldChar w:fldCharType="separate"/>
      </w:r>
      <w:r w:rsidR="00B24ABA" w:rsidRPr="00B73595">
        <w:t>(Kentridge, Heywood, and Weiskrantz 1999)</w:t>
      </w:r>
      <w:r w:rsidR="00B24ABA" w:rsidRPr="00B73595">
        <w:fldChar w:fldCharType="end"/>
      </w:r>
      <w:r w:rsidR="005E4911" w:rsidRPr="00B73595">
        <w:t xml:space="preserve">. </w:t>
      </w:r>
      <w:r w:rsidR="0026690B" w:rsidRPr="00B73595">
        <w:t>T</w:t>
      </w:r>
      <w:r w:rsidR="00844F19" w:rsidRPr="00B73595">
        <w:t xml:space="preserve">o make the argument more plausible, </w:t>
      </w:r>
      <w:r w:rsidR="000C5C1B" w:rsidRPr="00B73595">
        <w:t>I propose to</w:t>
      </w:r>
      <w:r w:rsidR="005E4911" w:rsidRPr="00B73595">
        <w:t xml:space="preserve"> restrict </w:t>
      </w:r>
      <w:r w:rsidR="00844F19" w:rsidRPr="00B73595">
        <w:t>it</w:t>
      </w:r>
      <w:r w:rsidR="005E4911" w:rsidRPr="00B73595">
        <w:t xml:space="preserve"> to </w:t>
      </w:r>
      <w:r w:rsidR="005E4911" w:rsidRPr="00B73595">
        <w:rPr>
          <w:i/>
          <w:iCs/>
        </w:rPr>
        <w:t>conscious</w:t>
      </w:r>
      <w:r w:rsidR="005E4911" w:rsidRPr="00B73595">
        <w:t xml:space="preserve"> attention</w:t>
      </w:r>
      <w:r w:rsidR="000C5C1B" w:rsidRPr="00B73595">
        <w:t xml:space="preserve">. </w:t>
      </w:r>
      <w:r w:rsidR="007833A6" w:rsidRPr="00B73595">
        <w:t xml:space="preserve">Blindsight patients may acquire information about objects they are not visually aware of via </w:t>
      </w:r>
      <w:r w:rsidR="007833A6" w:rsidRPr="00B73595">
        <w:rPr>
          <w:i/>
          <w:iCs/>
        </w:rPr>
        <w:t>unconscious</w:t>
      </w:r>
      <w:r w:rsidR="007833A6" w:rsidRPr="00B73595">
        <w:t xml:space="preserve"> attention; although such information may play a role in their reported guesses about the shape and position of objects in the blind part of their visual field, such information is not available to them via any phenomenally conscious visual representation of the relevant object. Information acquired through </w:t>
      </w:r>
      <w:r w:rsidR="007833A6" w:rsidRPr="00B73595">
        <w:rPr>
          <w:i/>
          <w:iCs/>
        </w:rPr>
        <w:t>conscious</w:t>
      </w:r>
      <w:r w:rsidR="007833A6" w:rsidRPr="00B73595">
        <w:t xml:space="preserve"> attention, instead, is always available to the subject via a phenomenally conscious representation of the object attended to. </w:t>
      </w:r>
      <w:r w:rsidR="00A336CE" w:rsidRPr="00B73595">
        <w:t xml:space="preserve">Conscious attention, then, implies phenomenal awareness of its object: </w:t>
      </w:r>
      <w:r w:rsidR="000C5C1B" w:rsidRPr="00B73595">
        <w:t xml:space="preserve">for one to </w:t>
      </w:r>
      <w:r w:rsidR="000C5C1B" w:rsidRPr="00B73595">
        <w:rPr>
          <w:i/>
          <w:iCs/>
        </w:rPr>
        <w:t>consciously</w:t>
      </w:r>
      <w:r w:rsidR="000C5C1B" w:rsidRPr="00B73595">
        <w:t xml:space="preserve"> attend to some </w:t>
      </w:r>
      <w:r w:rsidR="000C5C1B" w:rsidRPr="00B73595">
        <w:rPr>
          <w:i/>
          <w:iCs/>
        </w:rPr>
        <w:t>x</w:t>
      </w:r>
      <w:r w:rsidR="000C5C1B" w:rsidRPr="00B73595">
        <w:t xml:space="preserve">, one must be aware of </w:t>
      </w:r>
      <w:r w:rsidR="000C5C1B" w:rsidRPr="00B73595">
        <w:rPr>
          <w:i/>
          <w:iCs/>
        </w:rPr>
        <w:t>x</w:t>
      </w:r>
      <w:r w:rsidR="000C5C1B" w:rsidRPr="00B73595">
        <w:t xml:space="preserve">. This is intuitive: one cannot consciously attend to </w:t>
      </w:r>
      <w:r w:rsidR="00A336CE" w:rsidRPr="00B73595">
        <w:t>something one is unaware of. I thus suggest the following more rigorous reconstruction of the argument from attention</w:t>
      </w:r>
      <w:r w:rsidR="005E4911" w:rsidRPr="00B73595">
        <w:t>:</w:t>
      </w:r>
      <w:r w:rsidR="00844F19" w:rsidRPr="00B73595">
        <w:rPr>
          <w:rStyle w:val="FootnoteReference"/>
        </w:rPr>
        <w:footnoteReference w:id="11"/>
      </w:r>
    </w:p>
    <w:p w14:paraId="24269649" w14:textId="3EC66999" w:rsidR="005E4911" w:rsidRPr="00B73595" w:rsidRDefault="005E4911" w:rsidP="005E4911">
      <w:pPr>
        <w:spacing w:after="0"/>
        <w:ind w:firstLine="360"/>
      </w:pPr>
      <w:r w:rsidRPr="00B73595">
        <w:t xml:space="preserve">P1. If I am in a conscious state C, it is possible for me to </w:t>
      </w:r>
      <w:r w:rsidRPr="00B73595">
        <w:rPr>
          <w:i/>
          <w:iCs/>
        </w:rPr>
        <w:t>consciously</w:t>
      </w:r>
      <w:r w:rsidRPr="00B73595">
        <w:t xml:space="preserve"> attend to my being in C.</w:t>
      </w:r>
      <w:r w:rsidR="00F43F69" w:rsidRPr="00B73595">
        <w:rPr>
          <w:rStyle w:val="FootnoteReference"/>
        </w:rPr>
        <w:footnoteReference w:id="12"/>
      </w:r>
    </w:p>
    <w:p w14:paraId="776039AB" w14:textId="53F13970" w:rsidR="005E4911" w:rsidRPr="00B73595" w:rsidRDefault="005E4911" w:rsidP="005E4911">
      <w:pPr>
        <w:spacing w:after="0"/>
        <w:ind w:firstLine="360"/>
      </w:pPr>
      <w:r w:rsidRPr="00B73595">
        <w:t xml:space="preserve">P2. If it is possible </w:t>
      </w:r>
      <w:r w:rsidR="005B5B38" w:rsidRPr="00B73595">
        <w:t xml:space="preserve">for me </w:t>
      </w:r>
      <w:r w:rsidRPr="00B73595">
        <w:t xml:space="preserve">to </w:t>
      </w:r>
      <w:r w:rsidRPr="00B73595">
        <w:rPr>
          <w:i/>
          <w:iCs/>
        </w:rPr>
        <w:t>consciously</w:t>
      </w:r>
      <w:r w:rsidRPr="00B73595">
        <w:t xml:space="preserve"> attend to my being in C, I am aware of my being in C.</w:t>
      </w:r>
    </w:p>
    <w:p w14:paraId="41915C71" w14:textId="77777777" w:rsidR="005E4911" w:rsidRPr="00B73595" w:rsidRDefault="005E4911" w:rsidP="005E4911">
      <w:pPr>
        <w:ind w:firstLine="360"/>
      </w:pPr>
      <w:r w:rsidRPr="00B73595">
        <w:t>C. Ergo, if I am in a conscious state C, I am aware of my being in C.</w:t>
      </w:r>
    </w:p>
    <w:p w14:paraId="4A809254" w14:textId="38BDB099" w:rsidR="00B96EF5" w:rsidRPr="00B73595" w:rsidRDefault="009B0AD8" w:rsidP="00B96EF5">
      <w:r w:rsidRPr="00B73595">
        <w:t>Stoljar argues that the argument “commits a modal fallacy, for it conflates two readings of ‘it is possible for S to attend to x’.”</w:t>
      </w:r>
      <w:r w:rsidR="00972C4A" w:rsidRPr="00B73595">
        <w:t xml:space="preserve"> On what Stoljar calls the “</w:t>
      </w:r>
      <w:r w:rsidR="00972C4A" w:rsidRPr="00B73595">
        <w:rPr>
          <w:i/>
          <w:iCs/>
        </w:rPr>
        <w:t>weak</w:t>
      </w:r>
      <w:r w:rsidR="00972C4A" w:rsidRPr="00B73595">
        <w:t xml:space="preserve"> reading,” S can attend to </w:t>
      </w:r>
      <w:r w:rsidR="00972C4A" w:rsidRPr="00B73595">
        <w:rPr>
          <w:i/>
          <w:iCs/>
        </w:rPr>
        <w:t>x</w:t>
      </w:r>
      <w:r w:rsidR="00972C4A" w:rsidRPr="00B73595">
        <w:t xml:space="preserve"> even if S is not aware of </w:t>
      </w:r>
      <w:r w:rsidR="00972C4A" w:rsidRPr="00B73595">
        <w:rPr>
          <w:i/>
          <w:iCs/>
        </w:rPr>
        <w:t>x</w:t>
      </w:r>
      <w:r w:rsidR="00972C4A" w:rsidRPr="00B73595">
        <w:t xml:space="preserve">. For example, “I don’t know what’s in my pocket; it is nevertheless possible for me to attend to what’s in my pocket </w:t>
      </w:r>
      <w:r w:rsidR="00B42F8F" w:rsidRPr="00B73595">
        <w:t>because it is possible for me to come to know what’s in my pocket, and attend to what I know.” On the “</w:t>
      </w:r>
      <w:r w:rsidR="00B42F8F" w:rsidRPr="00B73595">
        <w:rPr>
          <w:i/>
          <w:iCs/>
        </w:rPr>
        <w:t>strong</w:t>
      </w:r>
      <w:r w:rsidR="00B42F8F" w:rsidRPr="00B73595">
        <w:t xml:space="preserve"> reading, ‘it is possible for S to attend to x’ presupposes that S is aware of x.” (</w:t>
      </w:r>
      <w:r w:rsidR="00010C64" w:rsidRPr="00B73595">
        <w:t>2021: 14</w:t>
      </w:r>
      <w:r w:rsidR="00B42F8F" w:rsidRPr="00B73595">
        <w:t>).</w:t>
      </w:r>
      <w:r w:rsidR="00844F19" w:rsidRPr="00B73595">
        <w:t xml:space="preserve"> </w:t>
      </w:r>
      <w:r w:rsidR="002060C7" w:rsidRPr="00B73595">
        <w:t xml:space="preserve">Stoljar’s objection is that neither reading makes the </w:t>
      </w:r>
      <w:r w:rsidR="002060C7" w:rsidRPr="00B73595">
        <w:lastRenderedPageBreak/>
        <w:t xml:space="preserve">argument persuasive: on the weak reading P2 is false and on the strong reading </w:t>
      </w:r>
      <w:r w:rsidR="006410AD" w:rsidRPr="00B73595">
        <w:t>P1 begs the question.</w:t>
      </w:r>
    </w:p>
    <w:p w14:paraId="65D98AC2" w14:textId="2422746C" w:rsidR="00717C28" w:rsidRPr="00B73595" w:rsidRDefault="00FB381B" w:rsidP="006410AD">
      <w:pPr>
        <w:ind w:firstLine="360"/>
      </w:pPr>
      <w:r w:rsidRPr="00B73595">
        <w:t>A</w:t>
      </w:r>
      <w:r w:rsidR="00F9700A" w:rsidRPr="00B73595">
        <w:t xml:space="preserve">lthough it is true that there is a sense in which possibility to attend to </w:t>
      </w:r>
      <w:r w:rsidR="00F9700A" w:rsidRPr="00B73595">
        <w:rPr>
          <w:i/>
          <w:iCs/>
        </w:rPr>
        <w:t>x</w:t>
      </w:r>
      <w:r w:rsidR="00F9700A" w:rsidRPr="00B73595">
        <w:t xml:space="preserve"> does not entail awareness of </w:t>
      </w:r>
      <w:r w:rsidR="00F9700A" w:rsidRPr="00B73595">
        <w:rPr>
          <w:i/>
          <w:iCs/>
        </w:rPr>
        <w:t>x</w:t>
      </w:r>
      <w:r w:rsidR="00F9700A" w:rsidRPr="00B73595">
        <w:t>, that is</w:t>
      </w:r>
      <w:r w:rsidR="005B5B38" w:rsidRPr="00B73595">
        <w:t>, arguably,</w:t>
      </w:r>
      <w:r w:rsidR="00F9700A" w:rsidRPr="00B73595">
        <w:t xml:space="preserve"> not the sense at play in the argument for IA. It is indeed </w:t>
      </w:r>
      <w:proofErr w:type="spellStart"/>
      <w:r w:rsidR="00F9700A" w:rsidRPr="00B73595">
        <w:t>nomologically</w:t>
      </w:r>
      <w:proofErr w:type="spellEnd"/>
      <w:r w:rsidR="00F9700A" w:rsidRPr="00B73595">
        <w:t xml:space="preserve"> possible for me to attend to the Taj Mahal, but this possibility is conditional on the occurrence of a number of events</w:t>
      </w:r>
      <w:r w:rsidR="0021480C" w:rsidRPr="00B73595">
        <w:t xml:space="preserve"> or actions</w:t>
      </w:r>
      <w:r w:rsidR="00F9700A" w:rsidRPr="00B73595">
        <w:t xml:space="preserve"> (my taking a flight to India, </w:t>
      </w:r>
      <w:r w:rsidR="008C19B1" w:rsidRPr="00B73595">
        <w:t xml:space="preserve">etc.), that make it possible for me to become (perceptually) </w:t>
      </w:r>
      <w:r w:rsidR="008C19B1" w:rsidRPr="00B73595">
        <w:rPr>
          <w:i/>
          <w:iCs/>
        </w:rPr>
        <w:t>aware</w:t>
      </w:r>
      <w:r w:rsidR="008C19B1" w:rsidRPr="00B73595">
        <w:t xml:space="preserve"> of the temple.</w:t>
      </w:r>
      <w:r w:rsidR="0021480C" w:rsidRPr="00B73595">
        <w:t xml:space="preserve"> Once I become aware of it, the last action I have to perform is to actually </w:t>
      </w:r>
      <w:r w:rsidR="0021480C" w:rsidRPr="00B73595">
        <w:rPr>
          <w:i/>
          <w:iCs/>
        </w:rPr>
        <w:t>draw</w:t>
      </w:r>
      <w:r w:rsidR="0021480C" w:rsidRPr="00B73595">
        <w:t xml:space="preserve"> and </w:t>
      </w:r>
      <w:r w:rsidR="0021480C" w:rsidRPr="00B73595">
        <w:rPr>
          <w:i/>
          <w:iCs/>
        </w:rPr>
        <w:t>sustain</w:t>
      </w:r>
      <w:r w:rsidR="0021480C" w:rsidRPr="00B73595">
        <w:t xml:space="preserve"> my attention to the temple. </w:t>
      </w:r>
      <w:r w:rsidR="00717C28" w:rsidRPr="00B73595">
        <w:t xml:space="preserve">Likewise, it is </w:t>
      </w:r>
      <w:proofErr w:type="spellStart"/>
      <w:r w:rsidR="00717C28" w:rsidRPr="00B73595">
        <w:t>nomologically</w:t>
      </w:r>
      <w:proofErr w:type="spellEnd"/>
      <w:r w:rsidR="00717C28" w:rsidRPr="00B73595">
        <w:t xml:space="preserve"> possible for Stoljar to attend to what is in his pocket, but this possibility is conditional on his undertaking some actions to become aware of what is in his pocket—say, by </w:t>
      </w:r>
      <w:r w:rsidR="00717C28" w:rsidRPr="00B73595">
        <w:rPr>
          <w:i/>
          <w:iCs/>
        </w:rPr>
        <w:t>putting his hand</w:t>
      </w:r>
      <w:r w:rsidR="00717C28" w:rsidRPr="00B73595">
        <w:t xml:space="preserve"> in his pocket and thereby becoming </w:t>
      </w:r>
      <w:r w:rsidR="00717C28" w:rsidRPr="00B73595">
        <w:rPr>
          <w:i/>
          <w:iCs/>
        </w:rPr>
        <w:t>perceptually aware</w:t>
      </w:r>
      <w:r w:rsidR="00717C28" w:rsidRPr="00B73595">
        <w:t xml:space="preserve"> of what is in it, or perhaps by </w:t>
      </w:r>
      <w:r w:rsidR="00717C28" w:rsidRPr="00B73595">
        <w:rPr>
          <w:i/>
          <w:iCs/>
        </w:rPr>
        <w:t xml:space="preserve">asking </w:t>
      </w:r>
      <w:r w:rsidR="00717C28" w:rsidRPr="00B73595">
        <w:t xml:space="preserve">the person who slipped it in his pocket and thereby becoming </w:t>
      </w:r>
      <w:r w:rsidR="00717C28" w:rsidRPr="00B73595">
        <w:rPr>
          <w:i/>
          <w:iCs/>
        </w:rPr>
        <w:t>cognitively aware</w:t>
      </w:r>
      <w:r w:rsidR="00717C28" w:rsidRPr="00B73595">
        <w:t xml:space="preserve"> of what is in his pocket.</w:t>
      </w:r>
    </w:p>
    <w:p w14:paraId="761C5703" w14:textId="76B1E10B" w:rsidR="006410AD" w:rsidRPr="00B73595" w:rsidRDefault="0021480C" w:rsidP="006410AD">
      <w:pPr>
        <w:ind w:firstLine="360"/>
      </w:pPr>
      <w:r w:rsidRPr="00B73595">
        <w:t xml:space="preserve">When it comes to what we currently perceive in our environment and to our own conscious mental states, instead, no further action needs to be </w:t>
      </w:r>
      <w:r w:rsidR="00FB381B" w:rsidRPr="00B73595">
        <w:t>under</w:t>
      </w:r>
      <w:r w:rsidRPr="00B73595">
        <w:t xml:space="preserve">taken other than just drawing and sustaining attention to </w:t>
      </w:r>
      <w:r w:rsidRPr="00B73595">
        <w:rPr>
          <w:i/>
          <w:iCs/>
        </w:rPr>
        <w:t>x</w:t>
      </w:r>
      <w:r w:rsidRPr="00B73595">
        <w:t xml:space="preserve">. </w:t>
      </w:r>
      <w:r w:rsidR="00356A6B" w:rsidRPr="00B73595">
        <w:t>To attend to a building which is currently in your (phenomenally conscious) visual field, all you need to do is draw your perceptual attention to it. Likewise, to attend to the mild</w:t>
      </w:r>
      <w:r w:rsidR="0099600D" w:rsidRPr="00B73595">
        <w:t xml:space="preserve"> melancholic feeling</w:t>
      </w:r>
      <w:r w:rsidR="00356A6B" w:rsidRPr="00B73595">
        <w:t xml:space="preserve"> that has been occupying the fringe of your conscious</w:t>
      </w:r>
      <w:r w:rsidR="00FB381B" w:rsidRPr="00B73595">
        <w:t xml:space="preserve">ness </w:t>
      </w:r>
      <w:r w:rsidR="00356A6B" w:rsidRPr="00B73595">
        <w:t xml:space="preserve">for the past hour, while your attention was focused on your work, all you need to do is to shift your introspective attention to </w:t>
      </w:r>
      <w:r w:rsidR="00A863AC" w:rsidRPr="00B73595">
        <w:t>it</w:t>
      </w:r>
      <w:r w:rsidR="00356A6B" w:rsidRPr="00B73595">
        <w:t>.</w:t>
      </w:r>
      <w:r w:rsidR="00A863AC" w:rsidRPr="00B73595">
        <w:t xml:space="preserve"> Arguably, the best explanation of this is that</w:t>
      </w:r>
      <w:r w:rsidRPr="00B73595">
        <w:t xml:space="preserve">, in these cases, </w:t>
      </w:r>
      <w:r w:rsidR="00356A6B" w:rsidRPr="00B73595">
        <w:t>you are</w:t>
      </w:r>
      <w:r w:rsidRPr="00B73595">
        <w:t xml:space="preserve"> </w:t>
      </w:r>
      <w:r w:rsidRPr="00B73595">
        <w:rPr>
          <w:i/>
          <w:iCs/>
        </w:rPr>
        <w:t>already</w:t>
      </w:r>
      <w:r w:rsidRPr="00B73595">
        <w:t xml:space="preserve"> (perceptually or </w:t>
      </w:r>
      <w:r w:rsidR="00356A6B" w:rsidRPr="00B73595">
        <w:t>introspectively</w:t>
      </w:r>
      <w:r w:rsidRPr="00B73595">
        <w:t xml:space="preserve">) </w:t>
      </w:r>
      <w:r w:rsidRPr="00B73595">
        <w:rPr>
          <w:i/>
          <w:iCs/>
        </w:rPr>
        <w:t>aware</w:t>
      </w:r>
      <w:r w:rsidRPr="00B73595">
        <w:t xml:space="preserve"> of </w:t>
      </w:r>
      <w:r w:rsidR="00356A6B" w:rsidRPr="00B73595">
        <w:t xml:space="preserve">the building and of the </w:t>
      </w:r>
      <w:r w:rsidR="00A863AC" w:rsidRPr="00B73595">
        <w:t>melancholic feeling</w:t>
      </w:r>
      <w:r w:rsidR="00356A6B" w:rsidRPr="00B73595">
        <w:t xml:space="preserve"> respectively</w:t>
      </w:r>
      <w:r w:rsidRPr="00B73595">
        <w:t xml:space="preserve">, </w:t>
      </w:r>
      <w:r w:rsidR="00356A6B" w:rsidRPr="00B73595">
        <w:t>and</w:t>
      </w:r>
      <w:r w:rsidRPr="00B73595">
        <w:t xml:space="preserve"> the possibility for </w:t>
      </w:r>
      <w:r w:rsidR="00356A6B" w:rsidRPr="00B73595">
        <w:t>you</w:t>
      </w:r>
      <w:r w:rsidRPr="00B73595">
        <w:t xml:space="preserve"> to attend to </w:t>
      </w:r>
      <w:r w:rsidR="00356A6B" w:rsidRPr="00B73595">
        <w:t>them</w:t>
      </w:r>
      <w:r w:rsidRPr="00B73595">
        <w:t xml:space="preserve"> is conditional on </w:t>
      </w:r>
      <w:r w:rsidRPr="00B73595">
        <w:rPr>
          <w:i/>
          <w:iCs/>
        </w:rPr>
        <w:t>no</w:t>
      </w:r>
      <w:r w:rsidRPr="00B73595">
        <w:t xml:space="preserve"> further action or event conducive to </w:t>
      </w:r>
      <w:r w:rsidR="00356A6B" w:rsidRPr="00B73595">
        <w:t xml:space="preserve">your </w:t>
      </w:r>
      <w:r w:rsidRPr="00B73595">
        <w:t xml:space="preserve">awareness of </w:t>
      </w:r>
      <w:r w:rsidR="00615CAA" w:rsidRPr="00B73595">
        <w:t>them</w:t>
      </w:r>
      <w:r w:rsidRPr="00B73595">
        <w:t>.</w:t>
      </w:r>
    </w:p>
    <w:p w14:paraId="5C6E0353" w14:textId="66C303A7" w:rsidR="00422BF7" w:rsidRPr="00B73595" w:rsidRDefault="00FB381B" w:rsidP="006410AD">
      <w:pPr>
        <w:ind w:firstLine="360"/>
      </w:pPr>
      <w:r w:rsidRPr="00B73595">
        <w:t xml:space="preserve">The notion of attention at play in the argument, then, does imply that for S to </w:t>
      </w:r>
      <w:r w:rsidR="00F30A9D" w:rsidRPr="00B73595">
        <w:t xml:space="preserve">possibly </w:t>
      </w:r>
      <w:r w:rsidRPr="00B73595">
        <w:t xml:space="preserve">attend to </w:t>
      </w:r>
      <w:r w:rsidRPr="00B73595">
        <w:rPr>
          <w:i/>
          <w:iCs/>
        </w:rPr>
        <w:t>x</w:t>
      </w:r>
      <w:r w:rsidRPr="00B73595">
        <w:t xml:space="preserve">, S must be aware of </w:t>
      </w:r>
      <w:r w:rsidRPr="00B73595">
        <w:rPr>
          <w:i/>
          <w:iCs/>
        </w:rPr>
        <w:t>x</w:t>
      </w:r>
      <w:r w:rsidRPr="00B73595">
        <w:t xml:space="preserve">. But this does </w:t>
      </w:r>
      <w:r w:rsidRPr="00B73595">
        <w:rPr>
          <w:i/>
          <w:iCs/>
        </w:rPr>
        <w:t>not</w:t>
      </w:r>
      <w:r w:rsidRPr="00B73595">
        <w:t xml:space="preserve"> amount to begging the question. </w:t>
      </w:r>
      <w:bookmarkStart w:id="3" w:name="_Hlk93003963"/>
      <w:r w:rsidRPr="00B73595">
        <w:t xml:space="preserve">That possibility for S to consciously attend to </w:t>
      </w:r>
      <w:r w:rsidRPr="00B73595">
        <w:rPr>
          <w:i/>
          <w:iCs/>
        </w:rPr>
        <w:t>x</w:t>
      </w:r>
      <w:r w:rsidRPr="00B73595">
        <w:t xml:space="preserve"> requires S’s </w:t>
      </w:r>
      <w:r w:rsidRPr="00B73595">
        <w:rPr>
          <w:i/>
          <w:iCs/>
        </w:rPr>
        <w:t>being</w:t>
      </w:r>
      <w:r w:rsidRPr="00B73595">
        <w:t xml:space="preserve"> or </w:t>
      </w:r>
      <w:r w:rsidRPr="00B73595">
        <w:rPr>
          <w:i/>
          <w:iCs/>
        </w:rPr>
        <w:t>becoming</w:t>
      </w:r>
      <w:r w:rsidRPr="00B73595">
        <w:t xml:space="preserve"> aware of </w:t>
      </w:r>
      <w:r w:rsidRPr="00B73595">
        <w:rPr>
          <w:i/>
          <w:iCs/>
        </w:rPr>
        <w:t>x</w:t>
      </w:r>
      <w:r w:rsidRPr="00B73595">
        <w:t xml:space="preserve"> is just a </w:t>
      </w:r>
      <w:r w:rsidRPr="00B73595">
        <w:rPr>
          <w:i/>
          <w:iCs/>
        </w:rPr>
        <w:t>fact</w:t>
      </w:r>
      <w:r w:rsidRPr="00B73595">
        <w:t xml:space="preserve"> about conscious attention.</w:t>
      </w:r>
      <w:bookmarkEnd w:id="3"/>
      <w:r w:rsidRPr="00B73595">
        <w:t xml:space="preserve"> Again, for you to consciously attend to the</w:t>
      </w:r>
      <w:r w:rsidR="00422BF7" w:rsidRPr="00B73595">
        <w:t xml:space="preserve"> Taj Mahal you need either be </w:t>
      </w:r>
      <w:r w:rsidR="00422BF7" w:rsidRPr="00B73595">
        <w:rPr>
          <w:i/>
          <w:iCs/>
        </w:rPr>
        <w:t>already aware</w:t>
      </w:r>
      <w:r w:rsidR="00422BF7" w:rsidRPr="00B73595">
        <w:t xml:space="preserve"> of it, or else undertake some </w:t>
      </w:r>
      <w:r w:rsidR="00422BF7" w:rsidRPr="00B73595">
        <w:rPr>
          <w:i/>
          <w:iCs/>
        </w:rPr>
        <w:t>actions</w:t>
      </w:r>
      <w:r w:rsidR="00422BF7" w:rsidRPr="00B73595">
        <w:t xml:space="preserve"> (or undergo a series of events) aimed at (or leading to) your </w:t>
      </w:r>
      <w:r w:rsidR="00422BF7" w:rsidRPr="00B73595">
        <w:rPr>
          <w:i/>
          <w:iCs/>
        </w:rPr>
        <w:t>becoming aware</w:t>
      </w:r>
      <w:r w:rsidR="00422BF7" w:rsidRPr="00B73595">
        <w:t xml:space="preserve"> of it. This is because awareness of </w:t>
      </w:r>
      <w:r w:rsidR="00422BF7" w:rsidRPr="00B73595">
        <w:rPr>
          <w:i/>
          <w:iCs/>
        </w:rPr>
        <w:t>x</w:t>
      </w:r>
      <w:r w:rsidR="00422BF7" w:rsidRPr="00B73595">
        <w:t xml:space="preserve"> is a necessary condition </w:t>
      </w:r>
      <w:r w:rsidR="006E550C" w:rsidRPr="00B73595">
        <w:t>on</w:t>
      </w:r>
      <w:r w:rsidR="00422BF7" w:rsidRPr="00B73595">
        <w:t xml:space="preserve"> conscious attention directed to </w:t>
      </w:r>
      <w:r w:rsidR="00422BF7" w:rsidRPr="00B73595">
        <w:rPr>
          <w:i/>
          <w:iCs/>
        </w:rPr>
        <w:t>x</w:t>
      </w:r>
      <w:r w:rsidR="00422BF7" w:rsidRPr="00B73595">
        <w:t>.</w:t>
      </w:r>
      <w:r w:rsidR="00442B38" w:rsidRPr="00B73595">
        <w:rPr>
          <w:rStyle w:val="FootnoteReference"/>
        </w:rPr>
        <w:footnoteReference w:id="13"/>
      </w:r>
    </w:p>
    <w:p w14:paraId="16DF0E19" w14:textId="17AC0A8E" w:rsidR="00FB381B" w:rsidRPr="00B73595" w:rsidRDefault="00FB381B" w:rsidP="006410AD">
      <w:pPr>
        <w:ind w:firstLine="360"/>
      </w:pPr>
      <w:r w:rsidRPr="00B73595">
        <w:t xml:space="preserve">That one does not need to undertake any action </w:t>
      </w:r>
      <w:r w:rsidR="00422BF7" w:rsidRPr="00B73595">
        <w:t xml:space="preserve">(or undergo any event) </w:t>
      </w:r>
      <w:r w:rsidRPr="00B73595">
        <w:t>other than drawing and sustaining attention to a conscious experience of one’s for one to consciously attend to it is just another fact about human psychology.</w:t>
      </w:r>
    </w:p>
    <w:p w14:paraId="3E1D99FD" w14:textId="681D11DF" w:rsidR="00396FBD" w:rsidRPr="00B73595" w:rsidRDefault="00396FBD" w:rsidP="006410AD">
      <w:pPr>
        <w:ind w:firstLine="360"/>
      </w:pPr>
      <w:r w:rsidRPr="00B73595">
        <w:t xml:space="preserve">It may be objected that on a Shoemaker-style view of introspection, to consciously attend to one’s being in C, one must have attended to the </w:t>
      </w:r>
      <w:r w:rsidRPr="00B73595">
        <w:rPr>
          <w:i/>
          <w:iCs/>
        </w:rPr>
        <w:t>question</w:t>
      </w:r>
      <w:r w:rsidRPr="00B73595">
        <w:t xml:space="preserve"> whether one is in C (</w:t>
      </w:r>
      <w:r w:rsidRPr="00B73595">
        <w:rPr>
          <w:i/>
          <w:iCs/>
        </w:rPr>
        <w:t>cf</w:t>
      </w:r>
      <w:r w:rsidRPr="00B73595">
        <w:t xml:space="preserve">. </w:t>
      </w:r>
      <w:r w:rsidRPr="00B73595">
        <w:fldChar w:fldCharType="begin"/>
      </w:r>
      <w:r w:rsidR="001F6CBD">
        <w:instrText xml:space="preserve"> ADDIN ZOTERO_ITEM CSL_CITATION {"citationID":"8HYCNhAQ","properties":{"formattedCitation":"(Shoemaker 1996)","plainCitation":"(Shoemaker 1996)","dontUpdate":true,"noteIndex":0},"citationItems":[{"id":302,"uris":["http://zotero.org/users/3438906/items/MHICABRU"],"itemData":{"id":302,"type":"book","abstract":"Sydney Shoemaker is one of the most influential philosophers currently writing on philosophy of mind and metaphysics. The essays in this collection deal with the way in which we know our own minds, and with the nature of those mental states of which we have our most direct conscious awareness. Professor Shoemaker opposes the 'inner sense' conception of introspective self-knowledge. He defends the view that perceptual and sensory states have non-representational features - 'qualia' - that determine what it is like to have them. Amongst the other topics covered are the unity of consciousness, and the idea that the 'first-person perspective' gives a privileged route to philosophical understanding of the nature of mind. This major collection is sure to prove invaluable to all advanced students of the philosophy of mind and cognitive science.","event-place":"Cambridge","ISBN":"978-0-521-56871-5","language":"en","number-of-pages":"302","publisher":"Cambridge University Press","publisher-place":"Cambridge","source":"Google Books","title":"The First-Person Perspective and Other Essays","author":[{"family":"Shoemaker","given":"Sydney"}],"issued":{"date-parts":[["1996"]]}}}],"schema":"https://github.com/citation-style-language/schema/raw/master/csl-citation.json"} </w:instrText>
      </w:r>
      <w:r w:rsidRPr="00B73595">
        <w:fldChar w:fldCharType="separate"/>
      </w:r>
      <w:r w:rsidRPr="00B73595">
        <w:t>Shoemaker 1996</w:t>
      </w:r>
      <w:r w:rsidRPr="00B73595">
        <w:fldChar w:fldCharType="end"/>
      </w:r>
      <w:r w:rsidRPr="00B73595">
        <w:t xml:space="preserve">); if so, then some action </w:t>
      </w:r>
      <w:r w:rsidRPr="00B73595">
        <w:rPr>
          <w:i/>
          <w:iCs/>
        </w:rPr>
        <w:t>other than drawing and sustaining attention to C</w:t>
      </w:r>
      <w:r w:rsidRPr="00B73595">
        <w:t xml:space="preserve"> (i.e., attending to the question whether one is in C) is needed for one to consciously attend to C.</w:t>
      </w:r>
      <w:r w:rsidR="00B76D27">
        <w:rPr>
          <w:rStyle w:val="FootnoteReference"/>
        </w:rPr>
        <w:footnoteReference w:id="14"/>
      </w:r>
      <w:r w:rsidRPr="00B73595">
        <w:t xml:space="preserve"> However, that </w:t>
      </w:r>
      <w:r w:rsidRPr="00B73595">
        <w:rPr>
          <w:i/>
          <w:iCs/>
        </w:rPr>
        <w:t>every</w:t>
      </w:r>
      <w:r w:rsidRPr="00B73595">
        <w:t xml:space="preserve"> instance of introspection implies attending to the question whether one is in C seems intuitively </w:t>
      </w:r>
      <w:r w:rsidRPr="00B73595">
        <w:lastRenderedPageBreak/>
        <w:t xml:space="preserve">false. To be sure, </w:t>
      </w:r>
      <w:r w:rsidRPr="00B73595">
        <w:rPr>
          <w:i/>
          <w:iCs/>
        </w:rPr>
        <w:t>some</w:t>
      </w:r>
      <w:r w:rsidRPr="00B73595">
        <w:t xml:space="preserve"> instances of introspection may involve attending to the question whether one is in C. For example, I may ask myself whether I feel angry about the cashier’s being unpleasant to me, introspect, detect some anger phenomenology, and conclude that I am indeed mildly angry at the cashier. However, that it is </w:t>
      </w:r>
      <w:r w:rsidRPr="00B73595">
        <w:rPr>
          <w:i/>
          <w:iCs/>
        </w:rPr>
        <w:t>impossible</w:t>
      </w:r>
      <w:r w:rsidRPr="00B73595">
        <w:t xml:space="preserve"> to consciously attend to an experience without antecedently attending to such a question seems quite implausible. I can, for example, consciously attend to a conscious pain sensation in my stomach which is part of my current phenomenal field without antecedently asking myself whether I feel a pain sensation in my stomach—just as, in the case of visual perception, I can consciously attend to the building which is currently in my conscious visual field without asking myself whether there is a building in my visual field.</w:t>
      </w:r>
    </w:p>
    <w:p w14:paraId="746C2422" w14:textId="0876E641" w:rsidR="004857D7" w:rsidRPr="00B73595" w:rsidRDefault="00FB381B" w:rsidP="006410AD">
      <w:pPr>
        <w:ind w:firstLine="360"/>
      </w:pPr>
      <w:r w:rsidRPr="00B73595">
        <w:t xml:space="preserve">Based on </w:t>
      </w:r>
      <w:r w:rsidR="00396FBD" w:rsidRPr="00B73595">
        <w:t>the abovementioned</w:t>
      </w:r>
      <w:r w:rsidRPr="00B73595">
        <w:t xml:space="preserve"> facts</w:t>
      </w:r>
      <w:r w:rsidR="00396FBD" w:rsidRPr="00B73595">
        <w:t xml:space="preserve"> and considerations</w:t>
      </w:r>
      <w:r w:rsidR="004857D7" w:rsidRPr="00B73595">
        <w:t>, the attention argument for IA may be refined as follows:</w:t>
      </w:r>
    </w:p>
    <w:p w14:paraId="2E119C73" w14:textId="0789F98F" w:rsidR="004857D7" w:rsidRPr="00B73595" w:rsidRDefault="004857D7" w:rsidP="004857D7">
      <w:pPr>
        <w:spacing w:after="0"/>
        <w:ind w:left="720" w:hanging="360"/>
      </w:pPr>
      <w:r w:rsidRPr="00B73595">
        <w:t xml:space="preserve">P1. If I am in a conscious state C, it is possible for me to consciously attend to my being in C, </w:t>
      </w:r>
      <w:r w:rsidRPr="00B73595">
        <w:rPr>
          <w:i/>
          <w:iCs/>
        </w:rPr>
        <w:t>without undertaking any action</w:t>
      </w:r>
      <w:r w:rsidR="00422BF7" w:rsidRPr="00B73595">
        <w:rPr>
          <w:i/>
          <w:iCs/>
        </w:rPr>
        <w:t xml:space="preserve"> (or undergoing any event)</w:t>
      </w:r>
      <w:r w:rsidRPr="00B73595">
        <w:rPr>
          <w:i/>
          <w:iCs/>
        </w:rPr>
        <w:t xml:space="preserve"> other than drawing and sustaining my attention to C</w:t>
      </w:r>
      <w:r w:rsidRPr="00B73595">
        <w:t>.</w:t>
      </w:r>
    </w:p>
    <w:p w14:paraId="74ABB45A" w14:textId="74D2AA2E" w:rsidR="004857D7" w:rsidRPr="00B73595" w:rsidRDefault="004857D7" w:rsidP="004857D7">
      <w:pPr>
        <w:spacing w:after="0"/>
        <w:ind w:left="720" w:hanging="360"/>
      </w:pPr>
      <w:r w:rsidRPr="00B73595">
        <w:t xml:space="preserve">P2. If it is possible </w:t>
      </w:r>
      <w:r w:rsidR="007E18E7" w:rsidRPr="00B73595">
        <w:t xml:space="preserve">for me </w:t>
      </w:r>
      <w:r w:rsidRPr="00B73595">
        <w:t>to consciously attend to my being in C</w:t>
      </w:r>
      <w:r w:rsidRPr="00B73595">
        <w:rPr>
          <w:i/>
          <w:iCs/>
        </w:rPr>
        <w:t xml:space="preserve"> without undertaking any action </w:t>
      </w:r>
      <w:r w:rsidR="00422BF7" w:rsidRPr="00B73595">
        <w:rPr>
          <w:i/>
          <w:iCs/>
        </w:rPr>
        <w:t xml:space="preserve">(or undergoing any event) </w:t>
      </w:r>
      <w:r w:rsidRPr="00B73595">
        <w:rPr>
          <w:i/>
          <w:iCs/>
        </w:rPr>
        <w:t>other than drawing and sustaining my attention to C</w:t>
      </w:r>
      <w:r w:rsidRPr="00B73595">
        <w:t>, I am aware of my being in C.</w:t>
      </w:r>
    </w:p>
    <w:p w14:paraId="6032F889" w14:textId="1EA1467F" w:rsidR="004857D7" w:rsidRPr="00B73595" w:rsidRDefault="004857D7" w:rsidP="004857D7">
      <w:pPr>
        <w:ind w:firstLine="360"/>
      </w:pPr>
      <w:r w:rsidRPr="00B73595">
        <w:t>C. Ergo, if I am in a conscious state C, I am aware of my being in C.</w:t>
      </w:r>
    </w:p>
    <w:p w14:paraId="77400AC7" w14:textId="1038D0D3" w:rsidR="004857D7" w:rsidRPr="00B73595" w:rsidRDefault="004857D7" w:rsidP="004857D7">
      <w:r w:rsidRPr="00B73595">
        <w:t>This argument is immune to Stoljar’s criticism and does not involve any question-begging notion of attention</w:t>
      </w:r>
      <w:r w:rsidR="00F00883" w:rsidRPr="00B73595">
        <w:t>.</w:t>
      </w:r>
    </w:p>
    <w:p w14:paraId="072438E0" w14:textId="57CA7521" w:rsidR="00330AF6" w:rsidRPr="00B73595" w:rsidRDefault="00330AF6" w:rsidP="00330AF6">
      <w:pPr>
        <w:jc w:val="center"/>
      </w:pPr>
      <w:r w:rsidRPr="00B73595">
        <w:t>*</w:t>
      </w:r>
    </w:p>
    <w:p w14:paraId="1D2FA363" w14:textId="42306575" w:rsidR="00020C19" w:rsidRPr="00B73595" w:rsidRDefault="00EE3432" w:rsidP="00330AF6">
      <w:r w:rsidRPr="00B73595">
        <w:t>Stoljar concludes: “In the case of the inner awareness theory of consciousness, we have put repeated questions to nature; we have tried to formulate arguments for its truth. But nature keeps saying no; the arguments are unpersuasive.” (</w:t>
      </w:r>
      <w:r w:rsidR="00FF70F5" w:rsidRPr="00B73595">
        <w:t>2021</w:t>
      </w:r>
      <w:r w:rsidRPr="00B73595">
        <w:t xml:space="preserve">: </w:t>
      </w:r>
      <w:r w:rsidR="007E18E7" w:rsidRPr="00B73595">
        <w:t>19</w:t>
      </w:r>
      <w:r w:rsidRPr="00B73595">
        <w:t xml:space="preserve">). </w:t>
      </w:r>
      <w:r w:rsidR="00422BF7" w:rsidRPr="00B73595">
        <w:t xml:space="preserve">However, on the one hand, </w:t>
      </w:r>
      <w:r w:rsidR="00020C19" w:rsidRPr="00B73595">
        <w:t>if arguments are poor</w:t>
      </w:r>
      <w:r w:rsidR="00422BF7" w:rsidRPr="00B73595">
        <w:t>, nature will be unlikely to say yes</w:t>
      </w:r>
      <w:r w:rsidR="00020C19" w:rsidRPr="00B73595">
        <w:t xml:space="preserve"> (this is why IA advocates do not ask her via those arguments)</w:t>
      </w:r>
      <w:r w:rsidR="00422BF7" w:rsidRPr="00B73595">
        <w:t xml:space="preserve">. On the other hand, </w:t>
      </w:r>
      <w:r w:rsidR="00020C19" w:rsidRPr="00B73595">
        <w:t xml:space="preserve">as </w:t>
      </w:r>
      <w:r w:rsidRPr="00B73595">
        <w:t xml:space="preserve">I have tried to show, </w:t>
      </w:r>
      <w:r w:rsidR="00020C19" w:rsidRPr="00B73595">
        <w:t xml:space="preserve">for </w:t>
      </w:r>
      <w:r w:rsidRPr="00B73595">
        <w:t xml:space="preserve">at least </w:t>
      </w:r>
      <w:r w:rsidR="00422BF7" w:rsidRPr="00B73595">
        <w:t>two</w:t>
      </w:r>
      <w:r w:rsidRPr="00B73595">
        <w:t xml:space="preserve"> of those arguments, much more work needs to be done before sentencing them as unpersuasive. </w:t>
      </w:r>
      <w:r w:rsidR="00422BF7" w:rsidRPr="00B73595">
        <w:t xml:space="preserve">Two arguments are not ten, </w:t>
      </w:r>
      <w:r w:rsidR="00020C19" w:rsidRPr="00B73595">
        <w:t>but, arguably, two solid arguments may be enough to give a philosophical thesis some credibility.</w:t>
      </w:r>
    </w:p>
    <w:p w14:paraId="76BA0DCD" w14:textId="2F87BB97" w:rsidR="00330AF6" w:rsidRPr="00B73595" w:rsidRDefault="00EE3432" w:rsidP="004C31FF">
      <w:pPr>
        <w:ind w:firstLine="360"/>
      </w:pPr>
      <w:r w:rsidRPr="00B73595">
        <w:t>Whether nature says no to inner awareness is still an open question.</w:t>
      </w:r>
      <w:r w:rsidR="00FA3703" w:rsidRPr="00B73595">
        <w:rPr>
          <w:rStyle w:val="FootnoteReference"/>
        </w:rPr>
        <w:footnoteReference w:id="15"/>
      </w:r>
    </w:p>
    <w:p w14:paraId="3FF15AC5" w14:textId="29341DFF" w:rsidR="007E5858" w:rsidRPr="00B73595" w:rsidRDefault="007E5858" w:rsidP="007E5858"/>
    <w:p w14:paraId="4F6F7EBA" w14:textId="035D7D2A" w:rsidR="007E5858" w:rsidRPr="00B73595" w:rsidRDefault="007E5858">
      <w:pPr>
        <w:jc w:val="left"/>
      </w:pPr>
      <w:r w:rsidRPr="00B73595">
        <w:br w:type="page"/>
      </w:r>
    </w:p>
    <w:p w14:paraId="349774B2" w14:textId="3D942E20" w:rsidR="007E5858" w:rsidRPr="00B73595" w:rsidRDefault="007E5858" w:rsidP="007E5858">
      <w:r w:rsidRPr="00B73595">
        <w:rPr>
          <w:b/>
          <w:bCs/>
        </w:rPr>
        <w:lastRenderedPageBreak/>
        <w:t>References</w:t>
      </w:r>
    </w:p>
    <w:p w14:paraId="3FBFB796" w14:textId="77777777" w:rsidR="001F6CBD" w:rsidRPr="001F6CBD" w:rsidRDefault="007E5858" w:rsidP="001F6CBD">
      <w:pPr>
        <w:pStyle w:val="Bibliography"/>
      </w:pPr>
      <w:r w:rsidRPr="00B73595">
        <w:fldChar w:fldCharType="begin"/>
      </w:r>
      <w:r w:rsidR="001F6CBD">
        <w:instrText xml:space="preserve"> ADDIN ZOTERO_BIBL {"uncited":[],"omitted":[],"custom":[]} CSL_BIBLIOGRAPHY </w:instrText>
      </w:r>
      <w:r w:rsidRPr="00B73595">
        <w:fldChar w:fldCharType="separate"/>
      </w:r>
      <w:r w:rsidR="001F6CBD" w:rsidRPr="001F6CBD">
        <w:t xml:space="preserve">Carruthers, Peter. 2005. </w:t>
      </w:r>
      <w:r w:rsidR="001F6CBD" w:rsidRPr="001F6CBD">
        <w:rPr>
          <w:i/>
          <w:iCs/>
        </w:rPr>
        <w:t>Consciousness: Essays from a Higher-Order Perspective</w:t>
      </w:r>
      <w:r w:rsidR="001F6CBD" w:rsidRPr="001F6CBD">
        <w:t>. Oxford: Oxford University Press.</w:t>
      </w:r>
    </w:p>
    <w:p w14:paraId="38F2BDCC" w14:textId="363FA507" w:rsidR="001F6CBD" w:rsidRPr="001F6CBD" w:rsidRDefault="001F6CBD" w:rsidP="001F6CBD">
      <w:pPr>
        <w:pStyle w:val="Bibliography"/>
      </w:pPr>
      <w:r w:rsidRPr="001F6CBD">
        <w:t xml:space="preserve">Coleman, Sam. 2015. “Quotational Higher-Order Thought Theory.” </w:t>
      </w:r>
      <w:r w:rsidRPr="001F6CBD">
        <w:rPr>
          <w:i/>
          <w:iCs/>
        </w:rPr>
        <w:t>Philosophical Studies</w:t>
      </w:r>
      <w:r w:rsidRPr="001F6CBD">
        <w:t xml:space="preserve"> 172 (10): 2705–33. </w:t>
      </w:r>
    </w:p>
    <w:p w14:paraId="53681FD0" w14:textId="77777777" w:rsidR="001F6CBD" w:rsidRPr="001F6CBD" w:rsidRDefault="001F6CBD" w:rsidP="001F6CBD">
      <w:pPr>
        <w:pStyle w:val="Bibliography"/>
      </w:pPr>
      <w:r w:rsidRPr="001F6CBD">
        <w:t xml:space="preserve">Dretske, Fred. 1995. </w:t>
      </w:r>
      <w:r w:rsidRPr="001F6CBD">
        <w:rPr>
          <w:i/>
          <w:iCs/>
        </w:rPr>
        <w:t>Naturalizing the Mind</w:t>
      </w:r>
      <w:r w:rsidRPr="001F6CBD">
        <w:t>. Cambridge, MA: MIT Press.</w:t>
      </w:r>
    </w:p>
    <w:p w14:paraId="5C994D32" w14:textId="77777777" w:rsidR="001F6CBD" w:rsidRPr="001F6CBD" w:rsidRDefault="001F6CBD" w:rsidP="001F6CBD">
      <w:pPr>
        <w:pStyle w:val="Bibliography"/>
      </w:pPr>
      <w:r w:rsidRPr="001F6CBD">
        <w:t xml:space="preserve">Ganeri, Jonardon. 1999. “Self-Intimation, Memory and Personal Identity.” </w:t>
      </w:r>
      <w:r w:rsidRPr="001F6CBD">
        <w:rPr>
          <w:i/>
          <w:iCs/>
        </w:rPr>
        <w:t>Journal of Indian Philosophy</w:t>
      </w:r>
      <w:r w:rsidRPr="001F6CBD">
        <w:t xml:space="preserve"> 27 (5): 469–83.</w:t>
      </w:r>
    </w:p>
    <w:p w14:paraId="003360D1" w14:textId="77777777" w:rsidR="001F6CBD" w:rsidRPr="001F6CBD" w:rsidRDefault="001F6CBD" w:rsidP="001F6CBD">
      <w:pPr>
        <w:pStyle w:val="Bibliography"/>
      </w:pPr>
      <w:r w:rsidRPr="001F6CBD">
        <w:t xml:space="preserve">Giustina, Anna. 2022. “A Defense of Inner Awareness: The Memory Argument Revisited.” </w:t>
      </w:r>
      <w:r w:rsidRPr="001F6CBD">
        <w:rPr>
          <w:i/>
          <w:iCs/>
        </w:rPr>
        <w:t>Review of Philosophy and Psychology</w:t>
      </w:r>
      <w:r w:rsidRPr="001F6CBD">
        <w:t>. https://doi.org/10.1007/s13164-021-00602-0.</w:t>
      </w:r>
    </w:p>
    <w:p w14:paraId="4E15E9BF" w14:textId="77777777" w:rsidR="001F6CBD" w:rsidRPr="001F6CBD" w:rsidRDefault="001F6CBD" w:rsidP="001F6CBD">
      <w:pPr>
        <w:pStyle w:val="Bibliography"/>
      </w:pPr>
      <w:r w:rsidRPr="001F6CBD">
        <w:t xml:space="preserve">Harman, Gilbert. 1990. “The Intrinsic Quality of Experience.” </w:t>
      </w:r>
      <w:r w:rsidRPr="001F6CBD">
        <w:rPr>
          <w:i/>
          <w:iCs/>
        </w:rPr>
        <w:t>Philosophical Perspectives</w:t>
      </w:r>
      <w:r w:rsidRPr="001F6CBD">
        <w:t xml:space="preserve"> 4: 31–52.</w:t>
      </w:r>
    </w:p>
    <w:p w14:paraId="39B52A97" w14:textId="77777777" w:rsidR="001F6CBD" w:rsidRPr="001F6CBD" w:rsidRDefault="001F6CBD" w:rsidP="001F6CBD">
      <w:pPr>
        <w:pStyle w:val="Bibliography"/>
      </w:pPr>
      <w:r w:rsidRPr="001F6CBD">
        <w:t>Kellner, Birgit. 2010. “Self-Awareness (Svasa</w:t>
      </w:r>
      <w:r w:rsidRPr="001F6CBD">
        <w:rPr>
          <w:rFonts w:ascii="Cambria" w:hAnsi="Cambria" w:cs="Cambria"/>
        </w:rPr>
        <w:t>ṃ</w:t>
      </w:r>
      <w:r w:rsidRPr="001F6CBD">
        <w:t>vedana) in Dignāga’s Pramā</w:t>
      </w:r>
      <w:r w:rsidRPr="001F6CBD">
        <w:rPr>
          <w:rFonts w:ascii="Cambria" w:hAnsi="Cambria" w:cs="Cambria"/>
        </w:rPr>
        <w:t>ṇ</w:t>
      </w:r>
      <w:r w:rsidRPr="001F6CBD">
        <w:t>asamuccaya and -V</w:t>
      </w:r>
      <w:r w:rsidRPr="001F6CBD">
        <w:rPr>
          <w:rFonts w:ascii="Cambria" w:hAnsi="Cambria" w:cs="Cambria"/>
        </w:rPr>
        <w:t>ṛ</w:t>
      </w:r>
      <w:r w:rsidRPr="001F6CBD">
        <w:t xml:space="preserve">tti: A Close Reading.” </w:t>
      </w:r>
      <w:r w:rsidRPr="001F6CBD">
        <w:rPr>
          <w:i/>
          <w:iCs/>
        </w:rPr>
        <w:t>Journal of Indian Philosophy</w:t>
      </w:r>
      <w:r w:rsidRPr="001F6CBD">
        <w:t xml:space="preserve"> 38: 203–31.</w:t>
      </w:r>
    </w:p>
    <w:p w14:paraId="762FC1C9" w14:textId="77777777" w:rsidR="001F6CBD" w:rsidRPr="001F6CBD" w:rsidRDefault="001F6CBD" w:rsidP="001F6CBD">
      <w:pPr>
        <w:pStyle w:val="Bibliography"/>
      </w:pPr>
      <w:r w:rsidRPr="001F6CBD">
        <w:t xml:space="preserve">Kentridge, R. W., C. A. Heywood, and L. Weiskrantz. 1999. “Attention without Awareness in Blindsight.” </w:t>
      </w:r>
      <w:r w:rsidRPr="001F6CBD">
        <w:rPr>
          <w:i/>
          <w:iCs/>
        </w:rPr>
        <w:t>Proceedings of the Royal Society of London B: Biological Sciences</w:t>
      </w:r>
      <w:r w:rsidRPr="001F6CBD">
        <w:t xml:space="preserve"> 266 (1430): 1805–11.</w:t>
      </w:r>
    </w:p>
    <w:p w14:paraId="212A418B" w14:textId="77777777" w:rsidR="001F6CBD" w:rsidRPr="001F6CBD" w:rsidRDefault="001F6CBD" w:rsidP="001F6CBD">
      <w:pPr>
        <w:pStyle w:val="Bibliography"/>
      </w:pPr>
      <w:r w:rsidRPr="001F6CBD">
        <w:t xml:space="preserve">Kriegel, Uriah. 2009. </w:t>
      </w:r>
      <w:r w:rsidRPr="001F6CBD">
        <w:rPr>
          <w:i/>
          <w:iCs/>
        </w:rPr>
        <w:t>Subjective Consciousness: A Self-Representational Theory</w:t>
      </w:r>
      <w:r w:rsidRPr="001F6CBD">
        <w:t>. Oxford: Oxford University Press.</w:t>
      </w:r>
    </w:p>
    <w:p w14:paraId="6D213F58" w14:textId="77777777" w:rsidR="001F6CBD" w:rsidRPr="001F6CBD" w:rsidRDefault="001F6CBD" w:rsidP="001F6CBD">
      <w:pPr>
        <w:pStyle w:val="Bibliography"/>
      </w:pPr>
      <w:r w:rsidRPr="001F6CBD">
        <w:t xml:space="preserve">———. 2019. “Dignga’s Argument for the Awareness Principle: An Analytic Refinement.” </w:t>
      </w:r>
      <w:r w:rsidRPr="001F6CBD">
        <w:rPr>
          <w:i/>
          <w:iCs/>
        </w:rPr>
        <w:t>Philosophy East and West</w:t>
      </w:r>
      <w:r w:rsidRPr="001F6CBD">
        <w:t xml:space="preserve"> 69: 143–55.</w:t>
      </w:r>
    </w:p>
    <w:p w14:paraId="2F88089C" w14:textId="77777777" w:rsidR="001F6CBD" w:rsidRPr="001F6CBD" w:rsidRDefault="001F6CBD" w:rsidP="001F6CBD">
      <w:pPr>
        <w:pStyle w:val="Bibliography"/>
      </w:pPr>
      <w:r w:rsidRPr="001F6CBD">
        <w:t xml:space="preserve">Le Poidevin, Robin. 2007. </w:t>
      </w:r>
      <w:r w:rsidRPr="001F6CBD">
        <w:rPr>
          <w:i/>
          <w:iCs/>
        </w:rPr>
        <w:t>The Images of Time: An Essay on Temporal Representation</w:t>
      </w:r>
      <w:r w:rsidRPr="001F6CBD">
        <w:t>. 1st edition. Oxford</w:t>
      </w:r>
      <w:r w:rsidRPr="001F6CBD">
        <w:rPr>
          <w:rFonts w:ascii="Times New Roman" w:hAnsi="Times New Roman" w:cs="Times New Roman"/>
        </w:rPr>
        <w:t> </w:t>
      </w:r>
      <w:r w:rsidRPr="001F6CBD">
        <w:t>; New York: Oxford University Press.</w:t>
      </w:r>
    </w:p>
    <w:p w14:paraId="10BF030B" w14:textId="77777777" w:rsidR="001F6CBD" w:rsidRPr="001F6CBD" w:rsidRDefault="001F6CBD" w:rsidP="001F6CBD">
      <w:pPr>
        <w:pStyle w:val="Bibliography"/>
      </w:pPr>
      <w:r w:rsidRPr="001F6CBD">
        <w:t xml:space="preserve">Lycan, William G. 1996. </w:t>
      </w:r>
      <w:r w:rsidRPr="001F6CBD">
        <w:rPr>
          <w:i/>
          <w:iCs/>
        </w:rPr>
        <w:t>Consciousness and Experience</w:t>
      </w:r>
      <w:r w:rsidRPr="001F6CBD">
        <w:t>. Cambridge, MA: MIT Press.</w:t>
      </w:r>
    </w:p>
    <w:p w14:paraId="0AE48395" w14:textId="77777777" w:rsidR="001F6CBD" w:rsidRPr="001F6CBD" w:rsidRDefault="001F6CBD" w:rsidP="001F6CBD">
      <w:pPr>
        <w:pStyle w:val="Bibliography"/>
      </w:pPr>
      <w:r w:rsidRPr="001F6CBD">
        <w:t xml:space="preserve">Perrett, Roy W. 2003. “Intentionality and Self-Awareness.” </w:t>
      </w:r>
      <w:r w:rsidRPr="001F6CBD">
        <w:rPr>
          <w:i/>
          <w:iCs/>
        </w:rPr>
        <w:t>Ratio</w:t>
      </w:r>
      <w:r w:rsidRPr="001F6CBD">
        <w:t xml:space="preserve"> 16 (3): 222–35.</w:t>
      </w:r>
    </w:p>
    <w:p w14:paraId="7B98A2A6" w14:textId="77777777" w:rsidR="001F6CBD" w:rsidRPr="001F6CBD" w:rsidRDefault="001F6CBD" w:rsidP="001F6CBD">
      <w:pPr>
        <w:pStyle w:val="Bibliography"/>
      </w:pPr>
      <w:r w:rsidRPr="001F6CBD">
        <w:t xml:space="preserve">Rosenthal, David M. 1997. “A Theory of Consciousness.” In </w:t>
      </w:r>
      <w:r w:rsidRPr="001F6CBD">
        <w:rPr>
          <w:i/>
          <w:iCs/>
        </w:rPr>
        <w:t>The Nature of Consciousness: Philosophical Debates</w:t>
      </w:r>
      <w:r w:rsidRPr="001F6CBD">
        <w:t>, edited by Ned Block, Owen J. Flanagan, and Güven Güzeldere, 729–53. Cambridge, MA: MIT Press.</w:t>
      </w:r>
    </w:p>
    <w:p w14:paraId="29A4AB00" w14:textId="77777777" w:rsidR="001F6CBD" w:rsidRPr="001F6CBD" w:rsidRDefault="001F6CBD" w:rsidP="001F6CBD">
      <w:pPr>
        <w:pStyle w:val="Bibliography"/>
      </w:pPr>
      <w:r w:rsidRPr="001F6CBD">
        <w:t xml:space="preserve">———. 2005. </w:t>
      </w:r>
      <w:r w:rsidRPr="001F6CBD">
        <w:rPr>
          <w:i/>
          <w:iCs/>
        </w:rPr>
        <w:t>Consciousness and Mind</w:t>
      </w:r>
      <w:r w:rsidRPr="001F6CBD">
        <w:t>. Oxford: Clarendon Press.</w:t>
      </w:r>
    </w:p>
    <w:p w14:paraId="2D40D9AC" w14:textId="77777777" w:rsidR="001F6CBD" w:rsidRPr="001F6CBD" w:rsidRDefault="001F6CBD" w:rsidP="001F6CBD">
      <w:pPr>
        <w:pStyle w:val="Bibliography"/>
      </w:pPr>
      <w:r w:rsidRPr="001F6CBD">
        <w:t xml:space="preserve">Schacter, Daniel L., Alexis C Carpenter, Aleea L. Devitt, and Preston P. Thakral. Forthcoming. “Memory Errors and Distortion.” In </w:t>
      </w:r>
      <w:r w:rsidRPr="001F6CBD">
        <w:rPr>
          <w:i/>
          <w:iCs/>
        </w:rPr>
        <w:t>The Oxford Handbook of Human Memory</w:t>
      </w:r>
      <w:r w:rsidRPr="001F6CBD">
        <w:t>, edited by M.J. Kahana and A.D. Wagner. New York: Oxford University Press.</w:t>
      </w:r>
    </w:p>
    <w:p w14:paraId="2BEB5794" w14:textId="77777777" w:rsidR="001F6CBD" w:rsidRPr="001F6CBD" w:rsidRDefault="001F6CBD" w:rsidP="001F6CBD">
      <w:pPr>
        <w:pStyle w:val="Bibliography"/>
      </w:pPr>
      <w:r w:rsidRPr="001F6CBD">
        <w:t xml:space="preserve">Shoemaker, Sydney. 1996. </w:t>
      </w:r>
      <w:r w:rsidRPr="001F6CBD">
        <w:rPr>
          <w:i/>
          <w:iCs/>
        </w:rPr>
        <w:t>The First-Person Perspective and Other Essays</w:t>
      </w:r>
      <w:r w:rsidRPr="001F6CBD">
        <w:t>. Cambridge: Cambridge University Press.</w:t>
      </w:r>
    </w:p>
    <w:p w14:paraId="7E8B962A" w14:textId="77777777" w:rsidR="001F6CBD" w:rsidRPr="001F6CBD" w:rsidRDefault="001F6CBD" w:rsidP="001F6CBD">
      <w:pPr>
        <w:pStyle w:val="Bibliography"/>
      </w:pPr>
      <w:r w:rsidRPr="001F6CBD">
        <w:t xml:space="preserve">Stoljar, Daniel. 2021. “Is There a Persuasive Argument for an Inner Awareness Theory of Consciousness?” </w:t>
      </w:r>
      <w:r w:rsidRPr="001F6CBD">
        <w:rPr>
          <w:i/>
          <w:iCs/>
        </w:rPr>
        <w:t>Erkenntnis</w:t>
      </w:r>
      <w:r w:rsidRPr="001F6CBD">
        <w:t>. https://doi.org/10.1007/s10670-021-00415-8.</w:t>
      </w:r>
    </w:p>
    <w:p w14:paraId="4C0CBB73" w14:textId="77777777" w:rsidR="001F6CBD" w:rsidRPr="001F6CBD" w:rsidRDefault="001F6CBD" w:rsidP="001F6CBD">
      <w:pPr>
        <w:pStyle w:val="Bibliography"/>
      </w:pPr>
      <w:r w:rsidRPr="001F6CBD">
        <w:t>Thompson, Evan. 2011. “Self</w:t>
      </w:r>
      <w:r w:rsidRPr="001F6CBD">
        <w:rPr>
          <w:rFonts w:ascii="Times New Roman" w:hAnsi="Times New Roman" w:cs="Times New Roman"/>
        </w:rPr>
        <w:t>‐</w:t>
      </w:r>
      <w:r w:rsidRPr="001F6CBD">
        <w:t>No</w:t>
      </w:r>
      <w:r w:rsidRPr="001F6CBD">
        <w:rPr>
          <w:rFonts w:ascii="Times New Roman" w:hAnsi="Times New Roman" w:cs="Times New Roman"/>
        </w:rPr>
        <w:t>‐</w:t>
      </w:r>
      <w:r w:rsidRPr="001F6CBD">
        <w:t>Self</w:t>
      </w:r>
      <w:r w:rsidRPr="001F6CBD">
        <w:rPr>
          <w:rFonts w:ascii="Times New Roman" w:hAnsi="Times New Roman" w:cs="Times New Roman"/>
        </w:rPr>
        <w:t> </w:t>
      </w:r>
      <w:r w:rsidRPr="001F6CBD">
        <w:t>? Memory and Reflexive Awareness.</w:t>
      </w:r>
      <w:r w:rsidRPr="001F6CBD">
        <w:rPr>
          <w:rFonts w:cs="Garamond"/>
        </w:rPr>
        <w:t>”</w:t>
      </w:r>
      <w:r w:rsidRPr="001F6CBD">
        <w:t xml:space="preserve"> In </w:t>
      </w:r>
      <w:r w:rsidRPr="001F6CBD">
        <w:rPr>
          <w:i/>
          <w:iCs/>
        </w:rPr>
        <w:t>Self, No Self?: Perspectives from Analytical, Phenomenological, and Indian Traditions</w:t>
      </w:r>
      <w:r w:rsidRPr="001F6CBD">
        <w:t>, edited by Mark Siderits, Evan Thompson, and Dan Zahavi. Oxford: Oxford University Press.</w:t>
      </w:r>
    </w:p>
    <w:p w14:paraId="1F7FFDBA" w14:textId="77777777" w:rsidR="001F6CBD" w:rsidRPr="001F6CBD" w:rsidRDefault="001F6CBD" w:rsidP="001F6CBD">
      <w:pPr>
        <w:pStyle w:val="Bibliography"/>
      </w:pPr>
      <w:r w:rsidRPr="001F6CBD">
        <w:t xml:space="preserve">Tulving, Endel. 1972. “Episodic and Semantic Memory.” In </w:t>
      </w:r>
      <w:r w:rsidRPr="001F6CBD">
        <w:rPr>
          <w:i/>
          <w:iCs/>
        </w:rPr>
        <w:t>Organization of Memory</w:t>
      </w:r>
      <w:r w:rsidRPr="001F6CBD">
        <w:t>, edited by Endel Tulving and Wayne Donaldson, 382–404. New York: Academic Press.</w:t>
      </w:r>
    </w:p>
    <w:p w14:paraId="0C357EF9" w14:textId="77777777" w:rsidR="001F6CBD" w:rsidRPr="001F6CBD" w:rsidRDefault="001F6CBD" w:rsidP="001F6CBD">
      <w:pPr>
        <w:pStyle w:val="Bibliography"/>
      </w:pPr>
      <w:r w:rsidRPr="001F6CBD">
        <w:t xml:space="preserve">Tye, Michael. 1995. </w:t>
      </w:r>
      <w:r w:rsidRPr="001F6CBD">
        <w:rPr>
          <w:i/>
          <w:iCs/>
        </w:rPr>
        <w:t>Ten Problems of Consciousness: A Representational Theory of the Phenomenal Mind</w:t>
      </w:r>
      <w:r w:rsidRPr="001F6CBD">
        <w:t>. Cambridge, MA: MIT Press.</w:t>
      </w:r>
    </w:p>
    <w:p w14:paraId="7B54C4FC" w14:textId="77777777" w:rsidR="001F6CBD" w:rsidRPr="001F6CBD" w:rsidRDefault="001F6CBD" w:rsidP="001F6CBD">
      <w:pPr>
        <w:pStyle w:val="Bibliography"/>
      </w:pPr>
      <w:r w:rsidRPr="001F6CBD">
        <w:t xml:space="preserve">———. 2002. “Representationalism and the Transparency of Experience.” </w:t>
      </w:r>
      <w:r w:rsidRPr="001F6CBD">
        <w:rPr>
          <w:i/>
          <w:iCs/>
        </w:rPr>
        <w:t>Noûs</w:t>
      </w:r>
      <w:r w:rsidRPr="001F6CBD">
        <w:t xml:space="preserve"> 36 (1): 137–51.</w:t>
      </w:r>
    </w:p>
    <w:p w14:paraId="7E15F007" w14:textId="77777777" w:rsidR="001F6CBD" w:rsidRPr="001F6CBD" w:rsidRDefault="001F6CBD" w:rsidP="001F6CBD">
      <w:pPr>
        <w:pStyle w:val="Bibliography"/>
      </w:pPr>
      <w:r w:rsidRPr="001F6CBD">
        <w:t xml:space="preserve">Williford, Kenneth. 2015. “Representationalisms, Subjective Character, and Self-Acquaintance.” In </w:t>
      </w:r>
      <w:r w:rsidRPr="001F6CBD">
        <w:rPr>
          <w:i/>
          <w:iCs/>
        </w:rPr>
        <w:t>Open MIND</w:t>
      </w:r>
      <w:r w:rsidRPr="001F6CBD">
        <w:t>, edited by Thomas Metzinger and Jennifer M. Windt. Vol. 39. Frankfurt am Main: MIND Group.</w:t>
      </w:r>
    </w:p>
    <w:p w14:paraId="2AA63FBE" w14:textId="3C1112FF" w:rsidR="001F6CBD" w:rsidRPr="004C31FF" w:rsidRDefault="001F6CBD" w:rsidP="001F6CBD">
      <w:pPr>
        <w:pStyle w:val="Bibliography"/>
      </w:pPr>
      <w:r w:rsidRPr="001F6CBD">
        <w:t xml:space="preserve">———. 2019. “Self-Acquaintance and Three Regress Arguments.” </w:t>
      </w:r>
      <w:r w:rsidRPr="004C31FF">
        <w:rPr>
          <w:i/>
          <w:iCs/>
        </w:rPr>
        <w:t>ProtoSociology</w:t>
      </w:r>
      <w:r w:rsidRPr="004C31FF">
        <w:t xml:space="preserve"> 36: 368–412.</w:t>
      </w:r>
    </w:p>
    <w:p w14:paraId="46E837F6" w14:textId="77777777" w:rsidR="001F6CBD" w:rsidRPr="001F6CBD" w:rsidRDefault="001F6CBD" w:rsidP="001F6CBD">
      <w:pPr>
        <w:pStyle w:val="Bibliography"/>
      </w:pPr>
      <w:r w:rsidRPr="001F6CBD">
        <w:t xml:space="preserve">Zahavi, Dan. 2005. </w:t>
      </w:r>
      <w:r w:rsidRPr="001F6CBD">
        <w:rPr>
          <w:i/>
          <w:iCs/>
        </w:rPr>
        <w:t>Subjectivity and Selfhood: Investigating the First-Person Perspective</w:t>
      </w:r>
      <w:r w:rsidRPr="001F6CBD">
        <w:t>. Cambridge, MA: MIT Press.</w:t>
      </w:r>
    </w:p>
    <w:p w14:paraId="336AAC64" w14:textId="02819556" w:rsidR="00A46941" w:rsidRPr="00B73595" w:rsidRDefault="007E5858">
      <w:r w:rsidRPr="00B73595">
        <w:fldChar w:fldCharType="end"/>
      </w:r>
    </w:p>
    <w:sectPr w:rsidR="00A46941" w:rsidRPr="00B73595" w:rsidSect="007E5858">
      <w:foot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9ACF" w14:textId="77777777" w:rsidR="00E15688" w:rsidRDefault="00E15688" w:rsidP="00C571BC">
      <w:pPr>
        <w:spacing w:after="0" w:line="240" w:lineRule="auto"/>
      </w:pPr>
      <w:r>
        <w:separator/>
      </w:r>
    </w:p>
  </w:endnote>
  <w:endnote w:type="continuationSeparator" w:id="0">
    <w:p w14:paraId="310C85B2" w14:textId="77777777" w:rsidR="00E15688" w:rsidRDefault="00E15688" w:rsidP="00C57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349556"/>
      <w:docPartObj>
        <w:docPartGallery w:val="Page Numbers (Bottom of Page)"/>
        <w:docPartUnique/>
      </w:docPartObj>
    </w:sdtPr>
    <w:sdtEndPr>
      <w:rPr>
        <w:noProof/>
      </w:rPr>
    </w:sdtEndPr>
    <w:sdtContent>
      <w:p w14:paraId="4D217FDA" w14:textId="4645BFE0" w:rsidR="00C571BC" w:rsidRDefault="00C571BC">
        <w:pPr>
          <w:pStyle w:val="Footer"/>
          <w:jc w:val="center"/>
        </w:pPr>
        <w:r>
          <w:fldChar w:fldCharType="begin"/>
        </w:r>
        <w:r>
          <w:instrText xml:space="preserve"> PAGE   \* MERGEFORMAT </w:instrText>
        </w:r>
        <w:r>
          <w:fldChar w:fldCharType="separate"/>
        </w:r>
        <w:r w:rsidR="00FD2B10">
          <w:rPr>
            <w:noProof/>
          </w:rPr>
          <w:t>7</w:t>
        </w:r>
        <w:r>
          <w:rPr>
            <w:noProof/>
          </w:rPr>
          <w:fldChar w:fldCharType="end"/>
        </w:r>
      </w:p>
    </w:sdtContent>
  </w:sdt>
  <w:p w14:paraId="467A9802" w14:textId="77777777" w:rsidR="00C571BC" w:rsidRDefault="00C57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50B00" w14:textId="77777777" w:rsidR="00E15688" w:rsidRDefault="00E15688" w:rsidP="00C571BC">
      <w:pPr>
        <w:spacing w:after="0" w:line="240" w:lineRule="auto"/>
      </w:pPr>
      <w:r>
        <w:separator/>
      </w:r>
    </w:p>
  </w:footnote>
  <w:footnote w:type="continuationSeparator" w:id="0">
    <w:p w14:paraId="5166FC25" w14:textId="77777777" w:rsidR="00E15688" w:rsidRDefault="00E15688" w:rsidP="00C571BC">
      <w:pPr>
        <w:spacing w:after="0" w:line="240" w:lineRule="auto"/>
      </w:pPr>
      <w:r>
        <w:continuationSeparator/>
      </w:r>
    </w:p>
  </w:footnote>
  <w:footnote w:id="1">
    <w:p w14:paraId="47C4AE25" w14:textId="55AC542E" w:rsidR="003033DD" w:rsidRPr="00B73595" w:rsidRDefault="003033DD">
      <w:pPr>
        <w:pStyle w:val="FootnoteText"/>
      </w:pPr>
      <w:r w:rsidRPr="00B73595">
        <w:rPr>
          <w:rStyle w:val="FootnoteReference"/>
        </w:rPr>
        <w:footnoteRef/>
      </w:r>
      <w:r w:rsidRPr="00B73595">
        <w:t xml:space="preserve"> My disagreement on those assumptions, however, will not play a role in my criticism of his arguments.</w:t>
      </w:r>
    </w:p>
  </w:footnote>
  <w:footnote w:id="2">
    <w:p w14:paraId="5B41D83A" w14:textId="4335E6F2" w:rsidR="00E42842" w:rsidRPr="00B73595" w:rsidRDefault="00E42842">
      <w:pPr>
        <w:pStyle w:val="FootnoteText"/>
      </w:pPr>
      <w:r w:rsidRPr="00B73595">
        <w:rPr>
          <w:rStyle w:val="FootnoteReference"/>
        </w:rPr>
        <w:footnoteRef/>
      </w:r>
      <w:r w:rsidRPr="00B73595">
        <w:t xml:space="preserve"> See also </w:t>
      </w:r>
      <w:r w:rsidRPr="00B73595">
        <w:fldChar w:fldCharType="begin"/>
      </w:r>
      <w:r w:rsidR="001F6CBD">
        <w:instrText xml:space="preserve"> ADDIN ZOTERO_ITEM CSL_CITATION {"citationID":"0WWBj6uL","properties":{"formattedCitation":"(Williford 2019)","plainCitation":"(Williford 2019)","dontUpdate":true,"noteIndex":2},"citationItems":[{"id":1284,"uris":["http://zotero.org/users/3438906/items/BC5S2CPI"],"itemData":{"id":1284,"type":"article-journal","container-title":"ProtoSociology","DOI":"10.5840/protosociology20193615","page":"368–412","source":"PhilPapers","title":"Self-Acquaintance and Three Regress Arguments","volume":"36","author":[{"family":"Williford","given":"Kenneth"}],"issued":{"date-parts":[["2019"]]}}}],"schema":"https://github.com/citation-style-language/schema/raw/master/csl-citation.json"} </w:instrText>
      </w:r>
      <w:r w:rsidRPr="00B73595">
        <w:fldChar w:fldCharType="separate"/>
      </w:r>
      <w:r w:rsidRPr="00B73595">
        <w:t>Williford (2019)</w:t>
      </w:r>
      <w:r w:rsidRPr="00B73595">
        <w:fldChar w:fldCharType="end"/>
      </w:r>
      <w:r w:rsidRPr="00B73595">
        <w:t>, who shows how a self-acquaintance view of consciousness can overcome the infinite-regress problem.</w:t>
      </w:r>
    </w:p>
  </w:footnote>
  <w:footnote w:id="3">
    <w:p w14:paraId="52E9F7C4" w14:textId="29BC62D0" w:rsidR="008179D9" w:rsidRPr="00B73595" w:rsidRDefault="008179D9" w:rsidP="008179D9">
      <w:pPr>
        <w:pStyle w:val="FootnoteText"/>
      </w:pPr>
      <w:r w:rsidRPr="00B73595">
        <w:rPr>
          <w:rStyle w:val="FootnoteReference"/>
        </w:rPr>
        <w:footnoteRef/>
      </w:r>
      <w:r w:rsidRPr="00B73595">
        <w:t xml:space="preserve"> Where: “S is (cognitively) aware of a’s being F </w:t>
      </w:r>
      <w:proofErr w:type="spellStart"/>
      <w:r w:rsidRPr="00B73595">
        <w:t>iff</w:t>
      </w:r>
      <w:proofErr w:type="spellEnd"/>
      <w:r w:rsidRPr="00B73595">
        <w:t xml:space="preserve"> S knows (or believes) that a is F.” “S is (perceptually) aware of a’s being F </w:t>
      </w:r>
      <w:proofErr w:type="spellStart"/>
      <w:r w:rsidRPr="00B73595">
        <w:t>iff</w:t>
      </w:r>
      <w:proofErr w:type="spellEnd"/>
      <w:r w:rsidRPr="00B73595">
        <w:t xml:space="preserve"> S perceives (e.g. via the senses) a’s being F”. “S is (phenomenally) aware of a’s being F </w:t>
      </w:r>
      <w:proofErr w:type="spellStart"/>
      <w:r w:rsidRPr="00B73595">
        <w:t>iff</w:t>
      </w:r>
      <w:proofErr w:type="spellEnd"/>
      <w:r w:rsidRPr="00B73595">
        <w:t xml:space="preserve"> (a) S is aware of a’s being F and (b) it is possible that S is not (cognitively) aware of a’s being F and is not (perceptually) aware of a’s being F.” (</w:t>
      </w:r>
      <w:r w:rsidR="00FF70F5" w:rsidRPr="00B73595">
        <w:t>2021</w:t>
      </w:r>
      <w:r w:rsidR="006C3B20" w:rsidRPr="00B73595">
        <w:t>:</w:t>
      </w:r>
      <w:r w:rsidRPr="00B73595">
        <w:t xml:space="preserve"> 3-4)</w:t>
      </w:r>
      <w:r w:rsidR="009B372E" w:rsidRPr="00B73595">
        <w:t>.</w:t>
      </w:r>
    </w:p>
  </w:footnote>
  <w:footnote w:id="4">
    <w:p w14:paraId="4B82E7FD" w14:textId="5B021C55" w:rsidR="007074F6" w:rsidRPr="00B73595" w:rsidRDefault="007074F6">
      <w:pPr>
        <w:pStyle w:val="FootnoteText"/>
      </w:pPr>
      <w:r w:rsidRPr="00B73595">
        <w:rPr>
          <w:rStyle w:val="FootnoteReference"/>
        </w:rPr>
        <w:footnoteRef/>
      </w:r>
      <w:r w:rsidRPr="00B73595">
        <w:t xml:space="preserve"> </w:t>
      </w:r>
      <w:r w:rsidR="005F0239" w:rsidRPr="00B73595">
        <w:t xml:space="preserve">Stoljar characterizes “phenomenal awareness” only negatively (i.e., as awareness that is neither cognitive nor perceptual; </w:t>
      </w:r>
      <w:r w:rsidR="005F0239" w:rsidRPr="00B73595">
        <w:rPr>
          <w:i/>
          <w:iCs/>
        </w:rPr>
        <w:t>cf</w:t>
      </w:r>
      <w:r w:rsidR="005F0239" w:rsidRPr="00B73595">
        <w:t xml:space="preserve">. fn. </w:t>
      </w:r>
      <w:r w:rsidR="00B22710" w:rsidRPr="00B73595">
        <w:t>3</w:t>
      </w:r>
      <w:r w:rsidR="005F0239" w:rsidRPr="00B73595">
        <w:t xml:space="preserve">) without offering any positive construal of it. </w:t>
      </w:r>
      <w:r w:rsidR="00B22710" w:rsidRPr="00B73595">
        <w:t xml:space="preserve">Thus, it may be that the notion at work in his argument does </w:t>
      </w:r>
      <w:r w:rsidR="00B22710" w:rsidRPr="00B73595">
        <w:rPr>
          <w:i/>
          <w:iCs/>
        </w:rPr>
        <w:t>not</w:t>
      </w:r>
      <w:r w:rsidR="00B22710" w:rsidRPr="00B73595">
        <w:t xml:space="preserve"> imply that phenomenal awareness is conscious and thereby phenomenally manifest. </w:t>
      </w:r>
      <w:r w:rsidRPr="00B73595">
        <w:t xml:space="preserve">If by “phenomenal awareness” Stoljar means </w:t>
      </w:r>
      <w:r w:rsidR="003249EB" w:rsidRPr="00B73595">
        <w:t>a notion that entails “</w:t>
      </w:r>
      <w:r w:rsidRPr="00B73595">
        <w:t xml:space="preserve">possibly </w:t>
      </w:r>
      <w:r w:rsidRPr="00B73595">
        <w:rPr>
          <w:i/>
          <w:iCs/>
        </w:rPr>
        <w:t>unconscious</w:t>
      </w:r>
      <w:r w:rsidRPr="00B73595">
        <w:t xml:space="preserve"> awareness,</w:t>
      </w:r>
      <w:r w:rsidR="003249EB" w:rsidRPr="00B73595">
        <w:t>”</w:t>
      </w:r>
      <w:r w:rsidRPr="00B73595">
        <w:t xml:space="preserve"> then his notion of phenomenal awareness is indeed compatible with higher-order thought and higher-order perception theories. </w:t>
      </w:r>
      <w:r w:rsidR="00B22710" w:rsidRPr="00B73595">
        <w:t>However, alt</w:t>
      </w:r>
      <w:r w:rsidRPr="00B73595">
        <w:t xml:space="preserve">hough some authors maintain that there can be unconscious </w:t>
      </w:r>
      <w:r w:rsidR="003249EB" w:rsidRPr="00B73595">
        <w:t>phenomenology</w:t>
      </w:r>
      <w:r w:rsidRPr="00B73595">
        <w:t xml:space="preserve"> </w:t>
      </w:r>
      <w:r w:rsidR="001F4147" w:rsidRPr="00B73595">
        <w:t>(</w:t>
      </w:r>
      <w:r w:rsidR="001F4147" w:rsidRPr="00B73595">
        <w:fldChar w:fldCharType="begin"/>
      </w:r>
      <w:r w:rsidR="001F6CBD">
        <w:instrText xml:space="preserve"> ADDIN ZOTERO_ITEM CSL_CITATION {"citationID":"m5bpr3K3","properties":{"formattedCitation":"(Rosenthal 2005)","plainCitation":"(Rosenthal 2005)","dontUpdate":true,"noteIndex":4},"citationItems":[{"id":652,"uris":["http://zotero.org/users/3438906/items/U8SJ8EQ6"],"itemData":{"id":652,"type":"book","event-place":"Oxford","publisher":"Clarendon Press","publisher-place":"Oxford","title":"Consciousness and Mind","author":[{"family":"Rosenthal","given":"David M."}],"issued":{"date-parts":[["2005"]]}}}],"schema":"https://github.com/citation-style-language/schema/raw/master/csl-citation.json"} </w:instrText>
      </w:r>
      <w:r w:rsidR="001F4147" w:rsidRPr="00B73595">
        <w:fldChar w:fldCharType="separate"/>
      </w:r>
      <w:r w:rsidR="001F4147" w:rsidRPr="00B73595">
        <w:t>Rosenthal 2005</w:t>
      </w:r>
      <w:r w:rsidR="001F4147" w:rsidRPr="00B73595">
        <w:fldChar w:fldCharType="end"/>
      </w:r>
      <w:r w:rsidR="001F4147" w:rsidRPr="00B73595">
        <w:t xml:space="preserve">; </w:t>
      </w:r>
      <w:r w:rsidR="001F4147" w:rsidRPr="00B73595">
        <w:fldChar w:fldCharType="begin"/>
      </w:r>
      <w:r w:rsidR="001F6CBD">
        <w:instrText xml:space="preserve"> ADDIN ZOTERO_ITEM CSL_CITATION {"citationID":"U6z1BnSu","properties":{"formattedCitation":"(Carruthers 2005)","plainCitation":"(Carruthers 2005)","dontUpdate":true,"noteIndex":4},"citationItems":[{"id":649,"uris":["http://zotero.org/users/3438906/items/SSEY8X2G"],"itemData":{"id":649,"type":"book","event-place":"Oxford","publisher":"Oxford University Press","publisher-place":"Oxford","title":"Consciousness: Essays from a Higher-Order Perspective","author":[{"family":"Carruthers","given":"Peter"}],"issued":{"date-parts":[["2005"]]}}}],"schema":"https://github.com/citation-style-language/schema/raw/master/csl-citation.json"} </w:instrText>
      </w:r>
      <w:r w:rsidR="001F4147" w:rsidRPr="00B73595">
        <w:fldChar w:fldCharType="separate"/>
      </w:r>
      <w:r w:rsidR="001F4147" w:rsidRPr="00B73595">
        <w:t>Carruthers 2005)</w:t>
      </w:r>
      <w:r w:rsidR="001F4147" w:rsidRPr="00B73595">
        <w:fldChar w:fldCharType="end"/>
      </w:r>
      <w:r w:rsidRPr="00B73595">
        <w:t xml:space="preserve">, </w:t>
      </w:r>
      <w:bookmarkStart w:id="0" w:name="_Hlk92901205"/>
      <w:r w:rsidR="001F4147" w:rsidRPr="00B73595">
        <w:t>this is arguably not the orthodox view</w:t>
      </w:r>
      <w:bookmarkEnd w:id="0"/>
      <w:r w:rsidR="001F4147" w:rsidRPr="00B73595">
        <w:t xml:space="preserve"> and indeed most philosophers seem to agree that phenomenal awareness is always conscious and </w:t>
      </w:r>
      <w:r w:rsidRPr="00B73595">
        <w:t>phenomenally manifest.</w:t>
      </w:r>
      <w:r w:rsidR="003249EB" w:rsidRPr="00B73595">
        <w:t xml:space="preserve"> For this reason, the more neutral formulation of IA </w:t>
      </w:r>
      <w:r w:rsidR="00B1134B" w:rsidRPr="00B73595">
        <w:t>I propose</w:t>
      </w:r>
      <w:r w:rsidR="003249EB" w:rsidRPr="00B73595">
        <w:t xml:space="preserve"> in the main text is preferable.</w:t>
      </w:r>
      <w:r w:rsidR="009B372E" w:rsidRPr="00B73595">
        <w:t xml:space="preserve"> </w:t>
      </w:r>
      <w:r w:rsidR="001C4A83" w:rsidRPr="00B73595">
        <w:t xml:space="preserve">At any rate, </w:t>
      </w:r>
      <w:r w:rsidR="004956D4" w:rsidRPr="00B73595">
        <w:t>neither Stoljar’s arguments nor my criticism of them rely on a specific characterization of “phenomenal awareness.”</w:t>
      </w:r>
    </w:p>
  </w:footnote>
  <w:footnote w:id="5">
    <w:p w14:paraId="7AE1E673" w14:textId="0F214284" w:rsidR="00E46001" w:rsidRPr="00B73595" w:rsidRDefault="00E46001" w:rsidP="009B78A5">
      <w:pPr>
        <w:pStyle w:val="FootnoteText"/>
        <w:spacing w:after="120"/>
      </w:pPr>
      <w:r w:rsidRPr="00B73595">
        <w:rPr>
          <w:rStyle w:val="FootnoteReference"/>
        </w:rPr>
        <w:footnoteRef/>
      </w:r>
      <w:r w:rsidRPr="00B73595">
        <w:t xml:space="preserve"> </w:t>
      </w:r>
      <w:r w:rsidR="00CF2117" w:rsidRPr="00B73595">
        <w:t xml:space="preserve">The argument from </w:t>
      </w:r>
      <w:r w:rsidR="00CF2117" w:rsidRPr="00B73595">
        <w:rPr>
          <w:i/>
          <w:iCs/>
        </w:rPr>
        <w:t>transitivity</w:t>
      </w:r>
      <w:r w:rsidR="00CF2117" w:rsidRPr="00B73595">
        <w:t xml:space="preserve"> and the related </w:t>
      </w:r>
      <w:r w:rsidR="00CF2117" w:rsidRPr="00B73595">
        <w:rPr>
          <w:i/>
          <w:iCs/>
        </w:rPr>
        <w:t>reductio</w:t>
      </w:r>
      <w:r w:rsidR="00CF2117" w:rsidRPr="00B73595">
        <w:t xml:space="preserve"> argument (number 3 and 4 respectively in Stoljar’s list), for example, are manifestly question-begging.</w:t>
      </w:r>
      <w:r w:rsidR="000911F5" w:rsidRPr="00B73595">
        <w:t xml:space="preserve"> Here is the </w:t>
      </w:r>
      <w:r w:rsidR="000911F5" w:rsidRPr="00B73595">
        <w:rPr>
          <w:i/>
          <w:iCs/>
        </w:rPr>
        <w:t>argument from transitivity</w:t>
      </w:r>
      <w:r w:rsidR="000911F5" w:rsidRPr="00B73595">
        <w:t xml:space="preserve"> (Stoljar 2021: 8):</w:t>
      </w:r>
    </w:p>
    <w:p w14:paraId="611AF1F8" w14:textId="70822486" w:rsidR="000911F5" w:rsidRPr="000911F5" w:rsidRDefault="000911F5" w:rsidP="00A23409">
      <w:pPr>
        <w:pStyle w:val="FootnoteText"/>
        <w:ind w:left="360"/>
      </w:pPr>
      <w:r w:rsidRPr="000911F5">
        <w:t xml:space="preserve">P1. I am in a (phenomenally) conscious state C </w:t>
      </w:r>
      <w:proofErr w:type="spellStart"/>
      <w:r w:rsidRPr="000911F5">
        <w:t>iff</w:t>
      </w:r>
      <w:proofErr w:type="spellEnd"/>
      <w:r w:rsidRPr="000911F5">
        <w:t xml:space="preserve"> I am conscious </w:t>
      </w:r>
      <w:r w:rsidRPr="000911F5">
        <w:rPr>
          <w:i/>
          <w:iCs/>
        </w:rPr>
        <w:t xml:space="preserve">of </w:t>
      </w:r>
      <w:r w:rsidRPr="000911F5">
        <w:t>my</w:t>
      </w:r>
      <w:r w:rsidRPr="00B73595">
        <w:t xml:space="preserve"> </w:t>
      </w:r>
      <w:r w:rsidRPr="000911F5">
        <w:t>being in C.</w:t>
      </w:r>
    </w:p>
    <w:p w14:paraId="5A5AAD10" w14:textId="25A83AF4" w:rsidR="000911F5" w:rsidRPr="000911F5" w:rsidRDefault="000911F5" w:rsidP="00A23409">
      <w:pPr>
        <w:pStyle w:val="FootnoteText"/>
        <w:ind w:left="360"/>
      </w:pPr>
      <w:r w:rsidRPr="000911F5">
        <w:t xml:space="preserve">P2. I am conscious of my being in C </w:t>
      </w:r>
      <w:proofErr w:type="spellStart"/>
      <w:r w:rsidRPr="000911F5">
        <w:t>iff</w:t>
      </w:r>
      <w:proofErr w:type="spellEnd"/>
      <w:r w:rsidRPr="000911F5">
        <w:t xml:space="preserve"> I am aware (in some way) of my</w:t>
      </w:r>
      <w:r w:rsidRPr="00B73595">
        <w:t xml:space="preserve"> </w:t>
      </w:r>
      <w:r w:rsidRPr="000911F5">
        <w:t>being in C.</w:t>
      </w:r>
    </w:p>
    <w:p w14:paraId="22701234" w14:textId="6A20BC8D" w:rsidR="000911F5" w:rsidRPr="00B73595" w:rsidRDefault="000911F5" w:rsidP="009B78A5">
      <w:pPr>
        <w:pStyle w:val="FootnoteText"/>
        <w:spacing w:after="120"/>
        <w:ind w:left="360"/>
      </w:pPr>
      <w:r w:rsidRPr="000911F5">
        <w:t>C. Ergo, I am in a conscious state C only if I am aware (in some way) of my being</w:t>
      </w:r>
      <w:r w:rsidRPr="00B73595">
        <w:t xml:space="preserve"> in C.</w:t>
      </w:r>
    </w:p>
    <w:p w14:paraId="04EE57D9" w14:textId="12944E5B" w:rsidR="000911F5" w:rsidRPr="00B73595" w:rsidRDefault="000911F5" w:rsidP="00520272">
      <w:pPr>
        <w:pStyle w:val="FootnoteText"/>
        <w:spacing w:after="120"/>
      </w:pPr>
      <w:r w:rsidRPr="00B73595">
        <w:t xml:space="preserve">Arguably, </w:t>
      </w:r>
      <w:r w:rsidR="00A23409" w:rsidRPr="00B73595">
        <w:t xml:space="preserve">P1 of this argument </w:t>
      </w:r>
      <w:r w:rsidR="009B78A5" w:rsidRPr="00B73595">
        <w:t>directly entails</w:t>
      </w:r>
      <w:r w:rsidR="00A23409" w:rsidRPr="00B73595">
        <w:t xml:space="preserve"> IA. </w:t>
      </w:r>
      <w:r w:rsidR="00520272">
        <w:t>Similar considerations apply to</w:t>
      </w:r>
      <w:r w:rsidR="00A23409" w:rsidRPr="00B73595">
        <w:t xml:space="preserve"> the </w:t>
      </w:r>
      <w:r w:rsidR="00A23409" w:rsidRPr="00B73595">
        <w:rPr>
          <w:i/>
          <w:iCs/>
        </w:rPr>
        <w:t>reductio argument</w:t>
      </w:r>
      <w:r w:rsidR="00A23409" w:rsidRPr="00B73595">
        <w:t xml:space="preserve"> (Stoljar 2021: 9):</w:t>
      </w:r>
    </w:p>
    <w:p w14:paraId="76605277" w14:textId="7E7F6001" w:rsidR="00A23409" w:rsidRPr="00A23409" w:rsidRDefault="009B78A5" w:rsidP="009B78A5">
      <w:pPr>
        <w:pStyle w:val="FootnoteText"/>
        <w:ind w:left="360"/>
      </w:pPr>
      <w:r w:rsidRPr="00B73595">
        <w:t>[</w:t>
      </w:r>
      <w:r w:rsidR="00A23409" w:rsidRPr="00A23409">
        <w:t>S</w:t>
      </w:r>
      <w:r w:rsidRPr="00B73595">
        <w:t>]</w:t>
      </w:r>
      <w:proofErr w:type="spellStart"/>
      <w:r w:rsidR="00A23409" w:rsidRPr="00A23409">
        <w:t>uppose</w:t>
      </w:r>
      <w:proofErr w:type="spellEnd"/>
      <w:r w:rsidR="00A23409" w:rsidRPr="00A23409">
        <w:t xml:space="preserve"> (a) I am in conscious state C and (b) I am</w:t>
      </w:r>
      <w:r w:rsidRPr="00B73595">
        <w:t xml:space="preserve"> </w:t>
      </w:r>
      <w:r w:rsidR="00A23409" w:rsidRPr="00A23409">
        <w:t>not aware (in any way) of my being in C</w:t>
      </w:r>
      <w:r w:rsidRPr="00B73595">
        <w:t xml:space="preserve"> […]</w:t>
      </w:r>
      <w:r w:rsidR="00A23409" w:rsidRPr="00A23409">
        <w:t>:</w:t>
      </w:r>
    </w:p>
    <w:p w14:paraId="43644ABB" w14:textId="1A84EDC0" w:rsidR="00A23409" w:rsidRPr="00A23409" w:rsidRDefault="00A23409" w:rsidP="009B78A5">
      <w:pPr>
        <w:pStyle w:val="FootnoteText"/>
        <w:ind w:left="360"/>
      </w:pPr>
      <w:r w:rsidRPr="00A23409">
        <w:t>P1. If I am not aware (in any way) of my being in C, then C is not a conscious</w:t>
      </w:r>
      <w:r w:rsidR="009B78A5" w:rsidRPr="00B73595">
        <w:t xml:space="preserve"> </w:t>
      </w:r>
      <w:r w:rsidRPr="00A23409">
        <w:t>state.</w:t>
      </w:r>
    </w:p>
    <w:p w14:paraId="7993AE83" w14:textId="77777777" w:rsidR="00A23409" w:rsidRPr="00A23409" w:rsidRDefault="00A23409" w:rsidP="009B78A5">
      <w:pPr>
        <w:pStyle w:val="FootnoteText"/>
        <w:ind w:left="360"/>
      </w:pPr>
      <w:r w:rsidRPr="00A23409">
        <w:t>C1. Ergo, C is not a conscious state (from P1 and (b))</w:t>
      </w:r>
    </w:p>
    <w:p w14:paraId="319ADBD7" w14:textId="77777777" w:rsidR="00A23409" w:rsidRPr="00A23409" w:rsidRDefault="00A23409" w:rsidP="009B78A5">
      <w:pPr>
        <w:pStyle w:val="FootnoteText"/>
        <w:ind w:left="360"/>
      </w:pPr>
      <w:r w:rsidRPr="00A23409">
        <w:t>P2. But C is a conscious state (from a).</w:t>
      </w:r>
    </w:p>
    <w:p w14:paraId="7ECCEF2A" w14:textId="30EFFCE0" w:rsidR="00A23409" w:rsidRPr="00B73595" w:rsidRDefault="00A23409" w:rsidP="009B78A5">
      <w:pPr>
        <w:pStyle w:val="FootnoteText"/>
        <w:spacing w:after="120"/>
        <w:ind w:left="360"/>
      </w:pPr>
      <w:r w:rsidRPr="00B73595">
        <w:t>C2 Ergo, C both is a conscious state and is not a conscious state. Contradiction.</w:t>
      </w:r>
    </w:p>
    <w:p w14:paraId="01C4EBFB" w14:textId="6C006C07" w:rsidR="009B78A5" w:rsidRPr="00B73595" w:rsidRDefault="00510FA2" w:rsidP="00A23409">
      <w:pPr>
        <w:pStyle w:val="FootnoteText"/>
      </w:pPr>
      <w:r w:rsidRPr="00B73595">
        <w:t xml:space="preserve">As noted by Stoljar himself, here </w:t>
      </w:r>
      <w:r w:rsidR="009B78A5" w:rsidRPr="00B73595">
        <w:t xml:space="preserve">P1 is just </w:t>
      </w:r>
      <w:r w:rsidRPr="00B73595">
        <w:t>the contrapositive of</w:t>
      </w:r>
      <w:r w:rsidR="009B78A5" w:rsidRPr="00B73595">
        <w:t xml:space="preserve"> IA.</w:t>
      </w:r>
    </w:p>
  </w:footnote>
  <w:footnote w:id="6">
    <w:p w14:paraId="5CA82868" w14:textId="1E8AB0A2" w:rsidR="00C3235F" w:rsidRPr="00B73595" w:rsidRDefault="00C3235F">
      <w:pPr>
        <w:pStyle w:val="FootnoteText"/>
      </w:pPr>
      <w:r w:rsidRPr="00B73595">
        <w:rPr>
          <w:rStyle w:val="FootnoteReference"/>
        </w:rPr>
        <w:footnoteRef/>
      </w:r>
      <w:r w:rsidRPr="00B73595">
        <w:t xml:space="preserve"> There are some other arguments in Stoljar’s list that I think could be convincing if properly developed. However, due to space constraints, I focus on the two that strike me as most compelling.</w:t>
      </w:r>
    </w:p>
  </w:footnote>
  <w:footnote w:id="7">
    <w:p w14:paraId="6097ADDD" w14:textId="30548A05" w:rsidR="001F6CBD" w:rsidRDefault="001F6CBD">
      <w:pPr>
        <w:pStyle w:val="FootnoteText"/>
      </w:pPr>
      <w:r>
        <w:rPr>
          <w:rStyle w:val="FootnoteReference"/>
        </w:rPr>
        <w:footnoteRef/>
      </w:r>
      <w:r>
        <w:t xml:space="preserve"> For a fuller and more developed criticism of Stoljar’s “perceptual model,” see </w:t>
      </w:r>
      <w:r>
        <w:fldChar w:fldCharType="begin"/>
      </w:r>
      <w:r>
        <w:instrText xml:space="preserve"> ADDIN ZOTERO_ITEM CSL_CITATION {"citationID":"b69ibkuC","properties":{"formattedCitation":"(Giustina 2022)","plainCitation":"(Giustina 2022)","dontUpdate":true,"noteIndex":7},"citationItems":[{"id":1370,"uris":["http://zotero.org/users/3438906/items/864B72IE"],"itemData":{"id":1370,"type":"article-journal","abstract":"The psychological reality of an inner awareness built into conscious experience has traditionally been a central element of philosophy of consciousness, from Aristotle, to Descartes, Brentano, the phenomenological tradition, and early and contemporary analytic philosophy. Its existence, however, has recently been called into question, especially by defenders of so-called transparency of experience and first-order representationalists about phenomenal consciousness. In this paper, I put forward a defense of inner awareness based on an argument from memory. Roughly, the idea is that since we can only recall something if we were aware of it at the time of its occurrence, and since we can recall our own experiences, we must be aware of our own experiences at the time of their occurrence. The argument is far from new: it goes back to the Buddhist tradition and has been revived more recently in Buddhist Scholarship but also in contemporary analytic philosophy of mind, in particular by Uriah Kriegel. However, I believe that, since it is the best extant argument for inner awareness, it deserves more extensive treatment. My goal is to strengthen the memory argument by (i) making some conceptual distinctions as to the exact thesis about inner awareness that the argument is supposed to support, (ii) considering different ways the argument may be reconstructed depending on the exact thesis to be supported, and (iii) defending the argument from a new objection, raised very recently by Daniel Stoljar.","container-title":"Review of Philosophy and Psychology","DOI":"https://doi.org/10.1007/s13164-021-00602-0","ISSN":"1878-5166","journalAbbreviation":"Rev.Phil.Psych.","language":"en","source":"Springer Link","title":"A Defense of Inner Awareness: The Memory Argument Revisited","title-short":"A Defense of Inner Awareness","author":[{"family":"Giustina","given":"Anna"}],"accessed":{"date-parts":[["2022",1,31]]},"issued":{"date-parts":[["2022"]]}}}],"schema":"https://github.com/citation-style-language/schema/raw/master/csl-citation.json"} </w:instrText>
      </w:r>
      <w:r>
        <w:fldChar w:fldCharType="separate"/>
      </w:r>
      <w:r w:rsidRPr="001F6CBD">
        <w:t xml:space="preserve">Giustina </w:t>
      </w:r>
      <w:r>
        <w:t>(</w:t>
      </w:r>
      <w:r w:rsidRPr="001F6CBD">
        <w:t>2022)</w:t>
      </w:r>
      <w:r>
        <w:fldChar w:fldCharType="end"/>
      </w:r>
      <w:r>
        <w:t>.</w:t>
      </w:r>
    </w:p>
  </w:footnote>
  <w:footnote w:id="8">
    <w:p w14:paraId="12673857" w14:textId="7307E423" w:rsidR="005B4A28" w:rsidRPr="00B73595" w:rsidRDefault="005B4A28">
      <w:pPr>
        <w:pStyle w:val="FootnoteText"/>
      </w:pPr>
      <w:r w:rsidRPr="00B73595">
        <w:rPr>
          <w:rStyle w:val="FootnoteReference"/>
        </w:rPr>
        <w:footnoteRef/>
      </w:r>
      <w:r w:rsidRPr="00B73595">
        <w:t xml:space="preserve"> This is how </w:t>
      </w:r>
      <w:r w:rsidRPr="00B73595">
        <w:fldChar w:fldCharType="begin"/>
      </w:r>
      <w:r w:rsidR="001F6CBD">
        <w:instrText xml:space="preserve"> ADDIN ZOTERO_ITEM CSL_CITATION {"citationID":"SB9vZCZY","properties":{"formattedCitation":"(Kriegel 2019)","plainCitation":"(Kriegel 2019)","dontUpdate":true,"noteIndex":8},"citationItems":[{"id":723,"uris":["http://zotero.org/users/3438906/items/6AKHMGRU"],"itemData":{"id":723,"type":"article-journal","container-title":"Philosophy East and West","page":"143-155","source":"PhilPapers","title":"Dignga’s Argument for the Awareness Principle: An Analytic Refinement","title-short":"Dignga’s Argument for the Awareness Principle","volume":"69","author":[{"family":"Kriegel","given":"Uriah"}],"issued":{"date-parts":[["2019"]]}}}],"schema":"https://github.com/citation-style-language/schema/raw/master/csl-citation.json"} </w:instrText>
      </w:r>
      <w:r w:rsidRPr="00B73595">
        <w:fldChar w:fldCharType="separate"/>
      </w:r>
      <w:r w:rsidRPr="00B73595">
        <w:t>Kriegel (2019: 146)</w:t>
      </w:r>
      <w:r w:rsidRPr="00B73595">
        <w:fldChar w:fldCharType="end"/>
      </w:r>
      <w:r w:rsidRPr="00B73595">
        <w:t xml:space="preserve"> reconstructs it. The other reconstructions are based on similar premises.</w:t>
      </w:r>
    </w:p>
  </w:footnote>
  <w:footnote w:id="9">
    <w:p w14:paraId="652EEC09" w14:textId="1F1A2B8E" w:rsidR="00195DC1" w:rsidRPr="00B73595" w:rsidRDefault="00195DC1">
      <w:pPr>
        <w:pStyle w:val="FootnoteText"/>
        <w:rPr>
          <w:i/>
          <w:iCs/>
        </w:rPr>
      </w:pPr>
      <w:r w:rsidRPr="00B73595">
        <w:rPr>
          <w:rStyle w:val="FootnoteReference"/>
        </w:rPr>
        <w:footnoteRef/>
      </w:r>
      <w:r w:rsidRPr="00B73595">
        <w:t xml:space="preserve"> An anonymous referee objected to P1 that, according to some recent empirical research on memory, episodic memories </w:t>
      </w:r>
      <w:r w:rsidR="00EE4C0F" w:rsidRPr="00B73595">
        <w:t>systematically misrepresent the event that originated them</w:t>
      </w:r>
      <w:r w:rsidR="008D15F7" w:rsidRPr="00B73595">
        <w:t xml:space="preserve"> </w:t>
      </w:r>
      <w:r w:rsidR="008D15F7" w:rsidRPr="00B73595">
        <w:fldChar w:fldCharType="begin"/>
      </w:r>
      <w:r w:rsidR="001F6CBD">
        <w:instrText xml:space="preserve"> ADDIN ZOTERO_ITEM CSL_CITATION {"citationID":"dTowVv5H","properties":{"formattedCitation":"(Schacter et al. Forthcoming)","plainCitation":"(Schacter et al. Forthcoming)","dontUpdate":true,"noteIndex":9},"citationItems":[{"id":1358,"uris":["http://zotero.org/users/3438906/items/VT9QVQ5F"],"itemData":{"id":1358,"type":"chapter","container-title":"The Oxford Handbook of Human Memory","event-place":"New York","publisher":"Oxford University Press","publisher-place":"New York","title":"Memory Errors and Distortion","author":[{"family":"Schacter","given":"Daniel L."},{"family":"Carpenter","given":"Alexis C"},{"family":"Devitt","given":"Aleea L."},{"family":"Thakral","given":"Preston P."}],"editor":[{"family":"Kahana","given":"M.J."},{"family":"Wagner","given":"A.D."}],"issued":{"literal":"Forthcoming"}}}],"schema":"https://github.com/citation-style-language/schema/raw/master/csl-citation.json"} </w:instrText>
      </w:r>
      <w:r w:rsidR="008D15F7" w:rsidRPr="00B73595">
        <w:fldChar w:fldCharType="separate"/>
      </w:r>
      <w:r w:rsidR="008D15F7" w:rsidRPr="00B73595">
        <w:t>(see, e.g., Schacter et al. forthcoming)</w:t>
      </w:r>
      <w:r w:rsidR="008D15F7" w:rsidRPr="00B73595">
        <w:fldChar w:fldCharType="end"/>
      </w:r>
      <w:r w:rsidR="008D15F7" w:rsidRPr="00B73595">
        <w:t xml:space="preserve">. </w:t>
      </w:r>
      <w:r w:rsidR="00034D3F" w:rsidRPr="00B73595">
        <w:t>The idea is that</w:t>
      </w:r>
      <w:r w:rsidR="00EE4C0F" w:rsidRPr="00B73595">
        <w:t xml:space="preserve"> only some</w:t>
      </w:r>
      <w:r w:rsidR="008D15F7" w:rsidRPr="00B73595">
        <w:t xml:space="preserve"> salient</w:t>
      </w:r>
      <w:r w:rsidR="00EE4C0F" w:rsidRPr="00B73595">
        <w:t xml:space="preserve"> properties </w:t>
      </w:r>
      <w:r w:rsidR="008D15F7" w:rsidRPr="00B73595">
        <w:t xml:space="preserve">and objects </w:t>
      </w:r>
      <w:r w:rsidR="00EE4C0F" w:rsidRPr="00B73595">
        <w:t xml:space="preserve">are actually </w:t>
      </w:r>
      <w:r w:rsidR="00883EE9" w:rsidRPr="00B73595">
        <w:t>recalled</w:t>
      </w:r>
      <w:r w:rsidR="00EE4C0F" w:rsidRPr="00B73595">
        <w:t xml:space="preserve">; the </w:t>
      </w:r>
      <w:r w:rsidR="00034D3F" w:rsidRPr="00B73595">
        <w:t>rest of the</w:t>
      </w:r>
      <w:r w:rsidR="008D15F7" w:rsidRPr="00B73595">
        <w:t xml:space="preserve"> memory</w:t>
      </w:r>
      <w:r w:rsidR="00883EE9" w:rsidRPr="00B73595">
        <w:t xml:space="preserve"> experience</w:t>
      </w:r>
      <w:r w:rsidR="00EE4C0F" w:rsidRPr="00B73595">
        <w:t xml:space="preserve"> is the</w:t>
      </w:r>
      <w:r w:rsidR="00883EE9" w:rsidRPr="00B73595">
        <w:t xml:space="preserve"> result of the</w:t>
      </w:r>
      <w:r w:rsidR="00EE4C0F" w:rsidRPr="00B73595">
        <w:t xml:space="preserve"> subject’s</w:t>
      </w:r>
      <w:r w:rsidR="008D15F7" w:rsidRPr="00B73595">
        <w:t xml:space="preserve"> a posteriori</w:t>
      </w:r>
      <w:r w:rsidR="00EE4C0F" w:rsidRPr="00B73595">
        <w:t xml:space="preserve"> “reconstruction</w:t>
      </w:r>
      <w:r w:rsidR="008D15F7" w:rsidRPr="00B73595">
        <w:t xml:space="preserve"> of the scene,</w:t>
      </w:r>
      <w:r w:rsidR="00EE4C0F" w:rsidRPr="00B73595">
        <w:t>”</w:t>
      </w:r>
      <w:r w:rsidR="008D15F7" w:rsidRPr="00B73595">
        <w:t xml:space="preserve"> </w:t>
      </w:r>
      <w:r w:rsidR="00883EE9" w:rsidRPr="00B73595">
        <w:t>formed on the basis of</w:t>
      </w:r>
      <w:r w:rsidR="00EE4C0F" w:rsidRPr="00B73595">
        <w:t xml:space="preserve"> </w:t>
      </w:r>
      <w:r w:rsidR="008D15F7" w:rsidRPr="00B73595">
        <w:t>the subject’s</w:t>
      </w:r>
      <w:r w:rsidR="00EE4C0F" w:rsidRPr="00B73595">
        <w:t xml:space="preserve"> context, needs</w:t>
      </w:r>
      <w:r w:rsidR="005B6F41" w:rsidRPr="00B73595">
        <w:t>,</w:t>
      </w:r>
      <w:r w:rsidR="00EE4C0F" w:rsidRPr="00B73595">
        <w:t xml:space="preserve"> and interests.</w:t>
      </w:r>
      <w:r w:rsidR="00883EE9" w:rsidRPr="00B73595">
        <w:t xml:space="preserve"> </w:t>
      </w:r>
      <w:r w:rsidR="00034D3F" w:rsidRPr="00B73595">
        <w:t>H</w:t>
      </w:r>
      <w:r w:rsidR="00883EE9" w:rsidRPr="00B73595">
        <w:t xml:space="preserve">owever, </w:t>
      </w:r>
      <w:r w:rsidR="00D65DD0" w:rsidRPr="00B73595">
        <w:t>even if all memories were “reconstructions of the scene” in the sense just described, this would</w:t>
      </w:r>
      <w:r w:rsidR="00883EE9" w:rsidRPr="00B73595">
        <w:t xml:space="preserve"> not threaten the </w:t>
      </w:r>
      <w:r w:rsidR="00034D3F" w:rsidRPr="00B73595">
        <w:t xml:space="preserve">memory </w:t>
      </w:r>
      <w:r w:rsidR="00883EE9" w:rsidRPr="00B73595">
        <w:t>argument. For</w:t>
      </w:r>
      <w:r w:rsidR="00D65DD0" w:rsidRPr="00B73595">
        <w:t xml:space="preserve"> one thing,</w:t>
      </w:r>
      <w:r w:rsidR="00883EE9" w:rsidRPr="00B73595">
        <w:t xml:space="preserve"> what P1 says is that being aware of E is a </w:t>
      </w:r>
      <w:r w:rsidR="00883EE9" w:rsidRPr="00B73595">
        <w:rPr>
          <w:i/>
          <w:iCs/>
        </w:rPr>
        <w:t>necessary</w:t>
      </w:r>
      <w:r w:rsidR="00883EE9" w:rsidRPr="00B73595">
        <w:t xml:space="preserve"> condition for S to episodically recall E—</w:t>
      </w:r>
      <w:r w:rsidR="00883EE9" w:rsidRPr="00B73595">
        <w:rPr>
          <w:i/>
          <w:iCs/>
        </w:rPr>
        <w:t>not</w:t>
      </w:r>
      <w:r w:rsidR="00883EE9" w:rsidRPr="00B73595">
        <w:t xml:space="preserve"> that it is (also) a </w:t>
      </w:r>
      <w:r w:rsidR="00883EE9" w:rsidRPr="00B73595">
        <w:rPr>
          <w:i/>
          <w:iCs/>
        </w:rPr>
        <w:t>sufficient</w:t>
      </w:r>
      <w:r w:rsidR="00883EE9" w:rsidRPr="00B73595">
        <w:t xml:space="preserve"> condition</w:t>
      </w:r>
      <w:r w:rsidR="00D65DD0" w:rsidRPr="00B73595">
        <w:t xml:space="preserve"> for S to veridically episodically recall E</w:t>
      </w:r>
      <w:r w:rsidR="00883EE9" w:rsidRPr="00B73595">
        <w:t xml:space="preserve">. So, P1 </w:t>
      </w:r>
      <w:r w:rsidR="00D65DD0" w:rsidRPr="00B73595">
        <w:t>is compatible with all of S’s memories being (partial) misrepresentations</w:t>
      </w:r>
      <w:r w:rsidR="00883EE9" w:rsidRPr="00B73595">
        <w:t xml:space="preserve">. Moreover, </w:t>
      </w:r>
      <w:r w:rsidR="00034D3F" w:rsidRPr="00B73595">
        <w:t xml:space="preserve">as pointed out by </w:t>
      </w:r>
      <w:r w:rsidR="00883EE9" w:rsidRPr="00B73595">
        <w:t>the referee</w:t>
      </w:r>
      <w:r w:rsidR="00034D3F" w:rsidRPr="00B73595">
        <w:t>,</w:t>
      </w:r>
      <w:r w:rsidR="00883EE9" w:rsidRPr="00B73595">
        <w:t xml:space="preserve"> although (some) episodic memories misrepresent the relevant past event, there are at least </w:t>
      </w:r>
      <w:r w:rsidR="00883EE9" w:rsidRPr="00B73595">
        <w:rPr>
          <w:i/>
          <w:iCs/>
        </w:rPr>
        <w:t xml:space="preserve">some </w:t>
      </w:r>
      <w:r w:rsidR="00883EE9" w:rsidRPr="00B73595">
        <w:t xml:space="preserve">elements of </w:t>
      </w:r>
      <w:r w:rsidR="00F25F9D" w:rsidRPr="00B73595">
        <w:rPr>
          <w:i/>
          <w:iCs/>
        </w:rPr>
        <w:t>some</w:t>
      </w:r>
      <w:r w:rsidR="00883EE9" w:rsidRPr="00B73595">
        <w:t xml:space="preserve"> event</w:t>
      </w:r>
      <w:r w:rsidR="00F25F9D" w:rsidRPr="00B73595">
        <w:t>s</w:t>
      </w:r>
      <w:r w:rsidR="00883EE9" w:rsidRPr="00B73595">
        <w:t xml:space="preserve"> (some properties and objects that were salient to the subject at the time of </w:t>
      </w:r>
      <w:r w:rsidR="00F25F9D" w:rsidRPr="00B73595">
        <w:t>the event’s</w:t>
      </w:r>
      <w:r w:rsidR="00883EE9" w:rsidRPr="00B73595">
        <w:t xml:space="preserve"> occurrence) that the subject </w:t>
      </w:r>
      <w:r w:rsidR="00883EE9" w:rsidRPr="00B73595">
        <w:rPr>
          <w:i/>
          <w:iCs/>
        </w:rPr>
        <w:t>can</w:t>
      </w:r>
      <w:r w:rsidR="00883EE9" w:rsidRPr="00B73595">
        <w:t xml:space="preserve"> correctly recall. If the subject can recall them, according to P1, the subject must have been aware of them.</w:t>
      </w:r>
    </w:p>
  </w:footnote>
  <w:footnote w:id="10">
    <w:p w14:paraId="284F0E25" w14:textId="532A2E0B" w:rsidR="006B69A8" w:rsidRPr="00B73595" w:rsidRDefault="006B69A8">
      <w:pPr>
        <w:pStyle w:val="FootnoteText"/>
      </w:pPr>
      <w:r w:rsidRPr="00B73595">
        <w:rPr>
          <w:rStyle w:val="FootnoteReference"/>
        </w:rPr>
        <w:footnoteRef/>
      </w:r>
      <w:r w:rsidRPr="00B73595">
        <w:t xml:space="preserve"> For a much more extensive defense of P1 and P2 see </w:t>
      </w:r>
      <w:r w:rsidRPr="00B73595">
        <w:fldChar w:fldCharType="begin"/>
      </w:r>
      <w:r w:rsidR="001F6CBD">
        <w:instrText xml:space="preserve"> ADDIN ZOTERO_ITEM CSL_CITATION {"citationID":"yU7dyBd7","properties":{"formattedCitation":"(Kriegel 2019)","plainCitation":"(Kriegel 2019)","dontUpdate":true,"noteIndex":10},"citationItems":[{"id":723,"uris":["http://zotero.org/users/3438906/items/6AKHMGRU"],"itemData":{"id":723,"type":"article-journal","container-title":"Philosophy East and West","page":"143-155","source":"PhilPapers","title":"Dignga’s Argument for the Awareness Principle: An Analytic Refinement","title-short":"Dignga’s Argument for the Awareness Principle","volume":"69","author":[{"family":"Kriegel","given":"Uriah"}],"issued":{"date-parts":[["2019"]]}}}],"schema":"https://github.com/citation-style-language/schema/raw/master/csl-citation.json"} </w:instrText>
      </w:r>
      <w:r w:rsidRPr="00B73595">
        <w:fldChar w:fldCharType="separate"/>
      </w:r>
      <w:r w:rsidRPr="00B73595">
        <w:t>Kriegel (2019)</w:t>
      </w:r>
      <w:r w:rsidRPr="00B73595">
        <w:fldChar w:fldCharType="end"/>
      </w:r>
      <w:r w:rsidRPr="00B73595">
        <w:t>.</w:t>
      </w:r>
    </w:p>
  </w:footnote>
  <w:footnote w:id="11">
    <w:p w14:paraId="3EB0BB1D" w14:textId="503DC979" w:rsidR="00844F19" w:rsidRPr="00B73595" w:rsidRDefault="00844F19">
      <w:pPr>
        <w:pStyle w:val="FootnoteText"/>
      </w:pPr>
      <w:r w:rsidRPr="00B73595">
        <w:rPr>
          <w:rStyle w:val="FootnoteReference"/>
        </w:rPr>
        <w:footnoteRef/>
      </w:r>
      <w:r w:rsidRPr="00B73595">
        <w:t xml:space="preserve"> Although Stoljar works with the previous, unrefined version of the argument, his objection applies to the refined and more charitable version as well.</w:t>
      </w:r>
    </w:p>
  </w:footnote>
  <w:footnote w:id="12">
    <w:p w14:paraId="5CCDD98A" w14:textId="5DF4B0B9" w:rsidR="00F43F69" w:rsidRPr="00B73595" w:rsidRDefault="00F43F69">
      <w:pPr>
        <w:pStyle w:val="FootnoteText"/>
      </w:pPr>
      <w:r w:rsidRPr="00B73595">
        <w:rPr>
          <w:rStyle w:val="FootnoteReference"/>
        </w:rPr>
        <w:footnoteRef/>
      </w:r>
      <w:r w:rsidRPr="00B73595">
        <w:t xml:space="preserve"> This formulation of P1 is also straightforwardly true, since introspection does imply conscious attention to the experience.</w:t>
      </w:r>
    </w:p>
  </w:footnote>
  <w:footnote w:id="13">
    <w:p w14:paraId="3794AE93" w14:textId="06F5854A" w:rsidR="00442B38" w:rsidRPr="00B73595" w:rsidRDefault="00442B38">
      <w:pPr>
        <w:pStyle w:val="FootnoteText"/>
      </w:pPr>
      <w:r w:rsidRPr="00B73595">
        <w:rPr>
          <w:rStyle w:val="FootnoteReference"/>
        </w:rPr>
        <w:footnoteRef/>
      </w:r>
      <w:r w:rsidRPr="00B73595">
        <w:t xml:space="preserve"> </w:t>
      </w:r>
      <w:bookmarkStart w:id="4" w:name="_Hlk93003316"/>
      <w:r w:rsidRPr="00B73595">
        <w:t xml:space="preserve">The argument </w:t>
      </w:r>
      <w:r w:rsidRPr="00B73595">
        <w:rPr>
          <w:i/>
          <w:iCs/>
        </w:rPr>
        <w:t>would</w:t>
      </w:r>
      <w:r w:rsidRPr="00B73595">
        <w:t xml:space="preserve"> be question-begging if P1 was “For any conscious state C I am in, I consciously attend to C,” since </w:t>
      </w:r>
      <w:r w:rsidRPr="00B73595">
        <w:rPr>
          <w:i/>
          <w:iCs/>
        </w:rPr>
        <w:t>consciously attending to C</w:t>
      </w:r>
      <w:r w:rsidRPr="00B73595">
        <w:t xml:space="preserve"> is just a way of being aware of C</w:t>
      </w:r>
      <w:r w:rsidR="00051D3D" w:rsidRPr="00B73595">
        <w:t>; such a premise, besides being false, would implicitly state the argument’s conclusion.</w:t>
      </w:r>
      <w:r w:rsidRPr="00B73595">
        <w:t xml:space="preserve"> </w:t>
      </w:r>
      <w:bookmarkEnd w:id="4"/>
      <w:r w:rsidR="008F1B95" w:rsidRPr="00B73595">
        <w:rPr>
          <w:i/>
          <w:iCs/>
        </w:rPr>
        <w:t>It being possible</w:t>
      </w:r>
      <w:r w:rsidR="008F1B95" w:rsidRPr="00B73595">
        <w:t xml:space="preserve"> </w:t>
      </w:r>
      <w:r w:rsidR="008F1B95" w:rsidRPr="00B73595">
        <w:rPr>
          <w:i/>
          <w:iCs/>
        </w:rPr>
        <w:t>for one to consciously attend to C</w:t>
      </w:r>
      <w:r w:rsidR="00D04D2A" w:rsidRPr="00B73595">
        <w:t xml:space="preserve"> (which is all it is stated by P1 of the attention argument as I articulate it)</w:t>
      </w:r>
      <w:r w:rsidR="008F1B95" w:rsidRPr="00B73595">
        <w:t xml:space="preserve">, instead, is </w:t>
      </w:r>
      <w:r w:rsidR="008F1B95" w:rsidRPr="00B73595">
        <w:rPr>
          <w:i/>
          <w:iCs/>
        </w:rPr>
        <w:t>not</w:t>
      </w:r>
      <w:r w:rsidR="008F1B95" w:rsidRPr="00B73595">
        <w:t xml:space="preserve"> a way of </w:t>
      </w:r>
      <w:r w:rsidR="00D04D2A" w:rsidRPr="00B73595">
        <w:t xml:space="preserve">being aware to C. As noted, that for it being possible for one to consciously attend to </w:t>
      </w:r>
      <w:r w:rsidR="00D04D2A" w:rsidRPr="00B73595">
        <w:rPr>
          <w:i/>
          <w:iCs/>
        </w:rPr>
        <w:t>x</w:t>
      </w:r>
      <w:r w:rsidR="00D04D2A" w:rsidRPr="00B73595">
        <w:t xml:space="preserve"> requires S’s </w:t>
      </w:r>
      <w:r w:rsidR="00D04D2A" w:rsidRPr="00B73595">
        <w:rPr>
          <w:i/>
          <w:iCs/>
        </w:rPr>
        <w:t>being</w:t>
      </w:r>
      <w:r w:rsidR="00D04D2A" w:rsidRPr="00B73595">
        <w:t xml:space="preserve"> or </w:t>
      </w:r>
      <w:r w:rsidR="00D04D2A" w:rsidRPr="00B73595">
        <w:rPr>
          <w:i/>
          <w:iCs/>
        </w:rPr>
        <w:t>becoming</w:t>
      </w:r>
      <w:r w:rsidR="00D04D2A" w:rsidRPr="00B73595">
        <w:t xml:space="preserve"> aware of </w:t>
      </w:r>
      <w:r w:rsidR="00D04D2A" w:rsidRPr="00B73595">
        <w:rPr>
          <w:i/>
          <w:iCs/>
        </w:rPr>
        <w:t>x</w:t>
      </w:r>
      <w:r w:rsidR="00D04D2A" w:rsidRPr="00B73595">
        <w:t xml:space="preserve"> is just a </w:t>
      </w:r>
      <w:r w:rsidR="00D04D2A" w:rsidRPr="00B73595">
        <w:rPr>
          <w:i/>
          <w:iCs/>
        </w:rPr>
        <w:t>fact</w:t>
      </w:r>
      <w:r w:rsidR="00D04D2A" w:rsidRPr="00B73595">
        <w:t xml:space="preserve"> about conscious attention.</w:t>
      </w:r>
      <w:r w:rsidR="00051D3D" w:rsidRPr="00B73595">
        <w:t xml:space="preserve"> Therefore, P1 of my argument does not implicitly state the conclusion and does not make the argument question-begging.</w:t>
      </w:r>
    </w:p>
  </w:footnote>
  <w:footnote w:id="14">
    <w:p w14:paraId="7A73108C" w14:textId="6F709DC8" w:rsidR="00B76D27" w:rsidRDefault="00B76D27">
      <w:pPr>
        <w:pStyle w:val="FootnoteText"/>
      </w:pPr>
      <w:r>
        <w:rPr>
          <w:rStyle w:val="FootnoteReference"/>
        </w:rPr>
        <w:footnoteRef/>
      </w:r>
      <w:r>
        <w:t xml:space="preserve"> This objection was raised by an anonymous referee.</w:t>
      </w:r>
    </w:p>
  </w:footnote>
  <w:footnote w:id="15">
    <w:p w14:paraId="05346DF8" w14:textId="60C8A11D" w:rsidR="00FA3703" w:rsidRPr="00B73595" w:rsidRDefault="00FA3703">
      <w:pPr>
        <w:pStyle w:val="FootnoteText"/>
      </w:pPr>
      <w:r w:rsidRPr="00B73595">
        <w:rPr>
          <w:rStyle w:val="FootnoteReference"/>
        </w:rPr>
        <w:footnoteRef/>
      </w:r>
      <w:r w:rsidRPr="00B73595">
        <w:t xml:space="preserve"> </w:t>
      </w:r>
      <w:r w:rsidR="00BC0C77" w:rsidRPr="00B73595">
        <w:t>This paper benefitted from very helpful discussions with Davide Bordini, Arnaud Dewalque, and Uriah Kriegel. I am particularly grateful to Uriah Kriegel for his comments on a previous draft.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534"/>
    <w:rsid w:val="00001685"/>
    <w:rsid w:val="00003854"/>
    <w:rsid w:val="00010C64"/>
    <w:rsid w:val="00020BD2"/>
    <w:rsid w:val="00020C19"/>
    <w:rsid w:val="00034D3F"/>
    <w:rsid w:val="00051D3D"/>
    <w:rsid w:val="00061DED"/>
    <w:rsid w:val="00084EA4"/>
    <w:rsid w:val="000859A8"/>
    <w:rsid w:val="000906FC"/>
    <w:rsid w:val="000911F5"/>
    <w:rsid w:val="00091294"/>
    <w:rsid w:val="000A6673"/>
    <w:rsid w:val="000B1DE4"/>
    <w:rsid w:val="000C0DF2"/>
    <w:rsid w:val="000C2573"/>
    <w:rsid w:val="000C5C1B"/>
    <w:rsid w:val="000D07C9"/>
    <w:rsid w:val="000E2F06"/>
    <w:rsid w:val="000F5180"/>
    <w:rsid w:val="000F6A1D"/>
    <w:rsid w:val="001016F5"/>
    <w:rsid w:val="00116DEE"/>
    <w:rsid w:val="0012132C"/>
    <w:rsid w:val="00124A9D"/>
    <w:rsid w:val="00126027"/>
    <w:rsid w:val="001326E2"/>
    <w:rsid w:val="0013460D"/>
    <w:rsid w:val="001478E2"/>
    <w:rsid w:val="00150304"/>
    <w:rsid w:val="001605B5"/>
    <w:rsid w:val="0016329A"/>
    <w:rsid w:val="00167E0F"/>
    <w:rsid w:val="00182105"/>
    <w:rsid w:val="00184803"/>
    <w:rsid w:val="0019030B"/>
    <w:rsid w:val="001938B3"/>
    <w:rsid w:val="0019480E"/>
    <w:rsid w:val="00194FA3"/>
    <w:rsid w:val="00195DC1"/>
    <w:rsid w:val="00197CCF"/>
    <w:rsid w:val="00197E9C"/>
    <w:rsid w:val="001B18D5"/>
    <w:rsid w:val="001B31A5"/>
    <w:rsid w:val="001B335A"/>
    <w:rsid w:val="001B5F07"/>
    <w:rsid w:val="001C4A83"/>
    <w:rsid w:val="001D7706"/>
    <w:rsid w:val="001E1B42"/>
    <w:rsid w:val="001E33A1"/>
    <w:rsid w:val="001E36BC"/>
    <w:rsid w:val="001F4147"/>
    <w:rsid w:val="001F43C9"/>
    <w:rsid w:val="001F580D"/>
    <w:rsid w:val="001F6CBD"/>
    <w:rsid w:val="00203E03"/>
    <w:rsid w:val="002060C7"/>
    <w:rsid w:val="0021480C"/>
    <w:rsid w:val="0023459E"/>
    <w:rsid w:val="002441E6"/>
    <w:rsid w:val="00255651"/>
    <w:rsid w:val="00262313"/>
    <w:rsid w:val="00265495"/>
    <w:rsid w:val="0026690B"/>
    <w:rsid w:val="00271569"/>
    <w:rsid w:val="00273294"/>
    <w:rsid w:val="00284258"/>
    <w:rsid w:val="0028440A"/>
    <w:rsid w:val="00286574"/>
    <w:rsid w:val="00286750"/>
    <w:rsid w:val="00294687"/>
    <w:rsid w:val="002A29A4"/>
    <w:rsid w:val="002A7182"/>
    <w:rsid w:val="002B5FA1"/>
    <w:rsid w:val="002E261C"/>
    <w:rsid w:val="003033DD"/>
    <w:rsid w:val="0030750D"/>
    <w:rsid w:val="00316C8B"/>
    <w:rsid w:val="003249EB"/>
    <w:rsid w:val="00330AF6"/>
    <w:rsid w:val="0033270B"/>
    <w:rsid w:val="00356A6B"/>
    <w:rsid w:val="003605E0"/>
    <w:rsid w:val="00365E53"/>
    <w:rsid w:val="003673CB"/>
    <w:rsid w:val="003677EA"/>
    <w:rsid w:val="00372726"/>
    <w:rsid w:val="00374E27"/>
    <w:rsid w:val="00380A0A"/>
    <w:rsid w:val="0038124B"/>
    <w:rsid w:val="00396FBD"/>
    <w:rsid w:val="003B165E"/>
    <w:rsid w:val="003B26E8"/>
    <w:rsid w:val="003B4207"/>
    <w:rsid w:val="003C013B"/>
    <w:rsid w:val="003D1435"/>
    <w:rsid w:val="003E2489"/>
    <w:rsid w:val="003E2997"/>
    <w:rsid w:val="003F49F7"/>
    <w:rsid w:val="00403CB6"/>
    <w:rsid w:val="00411281"/>
    <w:rsid w:val="00417EF6"/>
    <w:rsid w:val="00422BF7"/>
    <w:rsid w:val="00442B38"/>
    <w:rsid w:val="0046652B"/>
    <w:rsid w:val="0047159F"/>
    <w:rsid w:val="004857D7"/>
    <w:rsid w:val="004956D4"/>
    <w:rsid w:val="004A34E8"/>
    <w:rsid w:val="004A6019"/>
    <w:rsid w:val="004C31FF"/>
    <w:rsid w:val="004D2AF4"/>
    <w:rsid w:val="004F5892"/>
    <w:rsid w:val="0050258A"/>
    <w:rsid w:val="00510FA2"/>
    <w:rsid w:val="00520272"/>
    <w:rsid w:val="00520603"/>
    <w:rsid w:val="00522697"/>
    <w:rsid w:val="00522AF4"/>
    <w:rsid w:val="00526DF3"/>
    <w:rsid w:val="00531271"/>
    <w:rsid w:val="00544D12"/>
    <w:rsid w:val="00545F03"/>
    <w:rsid w:val="005609B4"/>
    <w:rsid w:val="005729FF"/>
    <w:rsid w:val="00576236"/>
    <w:rsid w:val="00595A4C"/>
    <w:rsid w:val="005B4A28"/>
    <w:rsid w:val="005B5B38"/>
    <w:rsid w:val="005B6F41"/>
    <w:rsid w:val="005B77DE"/>
    <w:rsid w:val="005D2534"/>
    <w:rsid w:val="005D2A31"/>
    <w:rsid w:val="005E34EF"/>
    <w:rsid w:val="005E4911"/>
    <w:rsid w:val="005E5F51"/>
    <w:rsid w:val="005E61CC"/>
    <w:rsid w:val="005F0239"/>
    <w:rsid w:val="005F0B7C"/>
    <w:rsid w:val="0060243A"/>
    <w:rsid w:val="00607BDA"/>
    <w:rsid w:val="00611AA5"/>
    <w:rsid w:val="00615CAA"/>
    <w:rsid w:val="0062297A"/>
    <w:rsid w:val="006236B0"/>
    <w:rsid w:val="00631244"/>
    <w:rsid w:val="00633905"/>
    <w:rsid w:val="00633E8E"/>
    <w:rsid w:val="006410AD"/>
    <w:rsid w:val="00645188"/>
    <w:rsid w:val="006517DC"/>
    <w:rsid w:val="00664291"/>
    <w:rsid w:val="006677C1"/>
    <w:rsid w:val="006754BB"/>
    <w:rsid w:val="006774E8"/>
    <w:rsid w:val="00684C8E"/>
    <w:rsid w:val="006A30A9"/>
    <w:rsid w:val="006B69A8"/>
    <w:rsid w:val="006C0EE5"/>
    <w:rsid w:val="006C3B20"/>
    <w:rsid w:val="006D237D"/>
    <w:rsid w:val="006E3EDD"/>
    <w:rsid w:val="006E550C"/>
    <w:rsid w:val="006E5D27"/>
    <w:rsid w:val="006F07E0"/>
    <w:rsid w:val="007074F6"/>
    <w:rsid w:val="007145FE"/>
    <w:rsid w:val="00714A12"/>
    <w:rsid w:val="00717C28"/>
    <w:rsid w:val="00725CB4"/>
    <w:rsid w:val="00734120"/>
    <w:rsid w:val="007349E2"/>
    <w:rsid w:val="007349F6"/>
    <w:rsid w:val="007401C5"/>
    <w:rsid w:val="00744B69"/>
    <w:rsid w:val="00747AC8"/>
    <w:rsid w:val="00751B96"/>
    <w:rsid w:val="007833A6"/>
    <w:rsid w:val="007A2F2C"/>
    <w:rsid w:val="007A62CF"/>
    <w:rsid w:val="007C3755"/>
    <w:rsid w:val="007C429A"/>
    <w:rsid w:val="007C7BD1"/>
    <w:rsid w:val="007D31EF"/>
    <w:rsid w:val="007D4228"/>
    <w:rsid w:val="007D7758"/>
    <w:rsid w:val="007E18E7"/>
    <w:rsid w:val="007E4824"/>
    <w:rsid w:val="007E5858"/>
    <w:rsid w:val="007F466C"/>
    <w:rsid w:val="008179D9"/>
    <w:rsid w:val="008348A5"/>
    <w:rsid w:val="00844F19"/>
    <w:rsid w:val="00853DFD"/>
    <w:rsid w:val="00865922"/>
    <w:rsid w:val="00872CB1"/>
    <w:rsid w:val="00876C6C"/>
    <w:rsid w:val="00882B14"/>
    <w:rsid w:val="00883EE9"/>
    <w:rsid w:val="008851CB"/>
    <w:rsid w:val="008907EB"/>
    <w:rsid w:val="00890F07"/>
    <w:rsid w:val="00897C34"/>
    <w:rsid w:val="008A5A90"/>
    <w:rsid w:val="008A6455"/>
    <w:rsid w:val="008C19B1"/>
    <w:rsid w:val="008C1C35"/>
    <w:rsid w:val="008D15F7"/>
    <w:rsid w:val="008D7C25"/>
    <w:rsid w:val="008E1C39"/>
    <w:rsid w:val="008E72F5"/>
    <w:rsid w:val="008F0EC5"/>
    <w:rsid w:val="008F1B95"/>
    <w:rsid w:val="00917DB7"/>
    <w:rsid w:val="00921A28"/>
    <w:rsid w:val="00927DBD"/>
    <w:rsid w:val="00950C02"/>
    <w:rsid w:val="00952997"/>
    <w:rsid w:val="00952AD9"/>
    <w:rsid w:val="009656B7"/>
    <w:rsid w:val="00967483"/>
    <w:rsid w:val="00972C4A"/>
    <w:rsid w:val="00980D71"/>
    <w:rsid w:val="009860E0"/>
    <w:rsid w:val="0099600D"/>
    <w:rsid w:val="009B0AD8"/>
    <w:rsid w:val="009B1FCF"/>
    <w:rsid w:val="009B372E"/>
    <w:rsid w:val="009B78A5"/>
    <w:rsid w:val="009C1761"/>
    <w:rsid w:val="009D5718"/>
    <w:rsid w:val="009D712C"/>
    <w:rsid w:val="009F5A00"/>
    <w:rsid w:val="009F60DD"/>
    <w:rsid w:val="009F6753"/>
    <w:rsid w:val="00A00C97"/>
    <w:rsid w:val="00A1496E"/>
    <w:rsid w:val="00A23409"/>
    <w:rsid w:val="00A30356"/>
    <w:rsid w:val="00A336CE"/>
    <w:rsid w:val="00A33CC9"/>
    <w:rsid w:val="00A4342B"/>
    <w:rsid w:val="00A43C2A"/>
    <w:rsid w:val="00A4573E"/>
    <w:rsid w:val="00A46941"/>
    <w:rsid w:val="00A52169"/>
    <w:rsid w:val="00A530D0"/>
    <w:rsid w:val="00A56755"/>
    <w:rsid w:val="00A84FE1"/>
    <w:rsid w:val="00A8527B"/>
    <w:rsid w:val="00A85C40"/>
    <w:rsid w:val="00A863AC"/>
    <w:rsid w:val="00AA0E85"/>
    <w:rsid w:val="00AA15A6"/>
    <w:rsid w:val="00AB06C8"/>
    <w:rsid w:val="00AB3ECA"/>
    <w:rsid w:val="00AB4FD7"/>
    <w:rsid w:val="00AB56EC"/>
    <w:rsid w:val="00AB6EAE"/>
    <w:rsid w:val="00AD47EA"/>
    <w:rsid w:val="00AF2C37"/>
    <w:rsid w:val="00B102CF"/>
    <w:rsid w:val="00B1134B"/>
    <w:rsid w:val="00B1297B"/>
    <w:rsid w:val="00B147B0"/>
    <w:rsid w:val="00B20B63"/>
    <w:rsid w:val="00B22710"/>
    <w:rsid w:val="00B24ABA"/>
    <w:rsid w:val="00B30790"/>
    <w:rsid w:val="00B33D18"/>
    <w:rsid w:val="00B33D7E"/>
    <w:rsid w:val="00B42F8F"/>
    <w:rsid w:val="00B57491"/>
    <w:rsid w:val="00B625FA"/>
    <w:rsid w:val="00B64319"/>
    <w:rsid w:val="00B73595"/>
    <w:rsid w:val="00B75524"/>
    <w:rsid w:val="00B765AC"/>
    <w:rsid w:val="00B76D27"/>
    <w:rsid w:val="00B95D82"/>
    <w:rsid w:val="00B96EF5"/>
    <w:rsid w:val="00BC0C77"/>
    <w:rsid w:val="00BC6DC8"/>
    <w:rsid w:val="00BE6BEA"/>
    <w:rsid w:val="00C02342"/>
    <w:rsid w:val="00C0341B"/>
    <w:rsid w:val="00C07D95"/>
    <w:rsid w:val="00C11BF4"/>
    <w:rsid w:val="00C23EC7"/>
    <w:rsid w:val="00C25256"/>
    <w:rsid w:val="00C3235F"/>
    <w:rsid w:val="00C35254"/>
    <w:rsid w:val="00C3604D"/>
    <w:rsid w:val="00C571BC"/>
    <w:rsid w:val="00C85D59"/>
    <w:rsid w:val="00C93D6A"/>
    <w:rsid w:val="00CB34D9"/>
    <w:rsid w:val="00CB7D0F"/>
    <w:rsid w:val="00CC6D8E"/>
    <w:rsid w:val="00CD4B6D"/>
    <w:rsid w:val="00CF2117"/>
    <w:rsid w:val="00D04D2A"/>
    <w:rsid w:val="00D05CEC"/>
    <w:rsid w:val="00D417CB"/>
    <w:rsid w:val="00D571A3"/>
    <w:rsid w:val="00D60C8E"/>
    <w:rsid w:val="00D65DD0"/>
    <w:rsid w:val="00D87E13"/>
    <w:rsid w:val="00D92D63"/>
    <w:rsid w:val="00DB334B"/>
    <w:rsid w:val="00DC341E"/>
    <w:rsid w:val="00DE4129"/>
    <w:rsid w:val="00DF2CFF"/>
    <w:rsid w:val="00E0439A"/>
    <w:rsid w:val="00E071B4"/>
    <w:rsid w:val="00E15688"/>
    <w:rsid w:val="00E15887"/>
    <w:rsid w:val="00E26F09"/>
    <w:rsid w:val="00E33843"/>
    <w:rsid w:val="00E423A1"/>
    <w:rsid w:val="00E42842"/>
    <w:rsid w:val="00E46001"/>
    <w:rsid w:val="00E57546"/>
    <w:rsid w:val="00E622F0"/>
    <w:rsid w:val="00E623B6"/>
    <w:rsid w:val="00E6526C"/>
    <w:rsid w:val="00E72D3F"/>
    <w:rsid w:val="00E906D3"/>
    <w:rsid w:val="00EA10CE"/>
    <w:rsid w:val="00EA7E05"/>
    <w:rsid w:val="00EB681F"/>
    <w:rsid w:val="00EC4446"/>
    <w:rsid w:val="00ED4DC3"/>
    <w:rsid w:val="00EE3432"/>
    <w:rsid w:val="00EE4C0F"/>
    <w:rsid w:val="00EF527C"/>
    <w:rsid w:val="00F00883"/>
    <w:rsid w:val="00F014FD"/>
    <w:rsid w:val="00F01D89"/>
    <w:rsid w:val="00F03C1B"/>
    <w:rsid w:val="00F104E9"/>
    <w:rsid w:val="00F14BE1"/>
    <w:rsid w:val="00F2406E"/>
    <w:rsid w:val="00F251DE"/>
    <w:rsid w:val="00F257E1"/>
    <w:rsid w:val="00F25F9D"/>
    <w:rsid w:val="00F30A9D"/>
    <w:rsid w:val="00F3341A"/>
    <w:rsid w:val="00F43B45"/>
    <w:rsid w:val="00F43F69"/>
    <w:rsid w:val="00F47062"/>
    <w:rsid w:val="00F5620C"/>
    <w:rsid w:val="00F56E9C"/>
    <w:rsid w:val="00F75525"/>
    <w:rsid w:val="00F83457"/>
    <w:rsid w:val="00F9700A"/>
    <w:rsid w:val="00FA3703"/>
    <w:rsid w:val="00FB381B"/>
    <w:rsid w:val="00FC4C91"/>
    <w:rsid w:val="00FD2B10"/>
    <w:rsid w:val="00FF7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594476"/>
  <w15:docId w15:val="{8147BCA2-9233-48E2-B7EE-50A91F49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C02"/>
    <w:pPr>
      <w:jc w:val="both"/>
    </w:pPr>
    <w:rPr>
      <w:rFonts w:ascii="Garamond" w:hAnsi="Garamond"/>
      <w:sz w:val="24"/>
      <w:szCs w:val="24"/>
    </w:rPr>
  </w:style>
  <w:style w:type="paragraph" w:styleId="Heading1">
    <w:name w:val="heading 1"/>
    <w:basedOn w:val="Normal"/>
    <w:next w:val="Normal"/>
    <w:link w:val="Heading1Char"/>
    <w:uiPriority w:val="9"/>
    <w:qFormat/>
    <w:rsid w:val="00545F03"/>
    <w:pPr>
      <w:keepNext/>
      <w:keepLines/>
      <w:outlineLvl w:val="0"/>
    </w:pPr>
    <w:rPr>
      <w:b/>
      <w:bCs/>
    </w:rPr>
  </w:style>
  <w:style w:type="paragraph" w:styleId="Heading2">
    <w:name w:val="heading 2"/>
    <w:basedOn w:val="Normal"/>
    <w:next w:val="Normal"/>
    <w:link w:val="Heading2Char"/>
    <w:uiPriority w:val="9"/>
    <w:unhideWhenUsed/>
    <w:qFormat/>
    <w:rsid w:val="00545F03"/>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F03"/>
    <w:rPr>
      <w:rFonts w:ascii="Garamond" w:hAnsi="Garamond"/>
      <w:b/>
      <w:bCs/>
      <w:sz w:val="24"/>
      <w:szCs w:val="24"/>
    </w:rPr>
  </w:style>
  <w:style w:type="character" w:customStyle="1" w:styleId="Heading2Char">
    <w:name w:val="Heading 2 Char"/>
    <w:basedOn w:val="DefaultParagraphFont"/>
    <w:link w:val="Heading2"/>
    <w:uiPriority w:val="9"/>
    <w:rsid w:val="00545F03"/>
    <w:rPr>
      <w:rFonts w:ascii="Garamond" w:hAnsi="Garamond"/>
      <w:i/>
      <w:iCs/>
      <w:sz w:val="24"/>
      <w:szCs w:val="24"/>
    </w:rPr>
  </w:style>
  <w:style w:type="paragraph" w:styleId="Bibliography">
    <w:name w:val="Bibliography"/>
    <w:basedOn w:val="Normal"/>
    <w:next w:val="Normal"/>
    <w:uiPriority w:val="37"/>
    <w:unhideWhenUsed/>
    <w:rsid w:val="007E5858"/>
    <w:pPr>
      <w:spacing w:after="0" w:line="240" w:lineRule="auto"/>
      <w:ind w:left="720" w:hanging="720"/>
    </w:pPr>
  </w:style>
  <w:style w:type="paragraph" w:styleId="ListParagraph">
    <w:name w:val="List Paragraph"/>
    <w:basedOn w:val="Normal"/>
    <w:uiPriority w:val="34"/>
    <w:qFormat/>
    <w:rsid w:val="0062297A"/>
    <w:pPr>
      <w:ind w:left="720"/>
      <w:contextualSpacing/>
    </w:pPr>
  </w:style>
  <w:style w:type="paragraph" w:styleId="Header">
    <w:name w:val="header"/>
    <w:basedOn w:val="Normal"/>
    <w:link w:val="HeaderChar"/>
    <w:uiPriority w:val="99"/>
    <w:unhideWhenUsed/>
    <w:rsid w:val="00C57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1BC"/>
    <w:rPr>
      <w:rFonts w:ascii="Garamond" w:hAnsi="Garamond"/>
      <w:sz w:val="24"/>
      <w:szCs w:val="24"/>
    </w:rPr>
  </w:style>
  <w:style w:type="paragraph" w:styleId="Footer">
    <w:name w:val="footer"/>
    <w:basedOn w:val="Normal"/>
    <w:link w:val="FooterChar"/>
    <w:uiPriority w:val="99"/>
    <w:unhideWhenUsed/>
    <w:rsid w:val="00C57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1BC"/>
    <w:rPr>
      <w:rFonts w:ascii="Garamond" w:hAnsi="Garamond"/>
      <w:sz w:val="24"/>
      <w:szCs w:val="24"/>
    </w:rPr>
  </w:style>
  <w:style w:type="paragraph" w:styleId="FootnoteText">
    <w:name w:val="footnote text"/>
    <w:basedOn w:val="Normal"/>
    <w:link w:val="FootnoteTextChar"/>
    <w:uiPriority w:val="99"/>
    <w:unhideWhenUsed/>
    <w:rsid w:val="00664291"/>
    <w:pPr>
      <w:spacing w:after="0" w:line="240" w:lineRule="auto"/>
    </w:pPr>
    <w:rPr>
      <w:sz w:val="20"/>
      <w:szCs w:val="20"/>
    </w:rPr>
  </w:style>
  <w:style w:type="character" w:customStyle="1" w:styleId="FootnoteTextChar">
    <w:name w:val="Footnote Text Char"/>
    <w:basedOn w:val="DefaultParagraphFont"/>
    <w:link w:val="FootnoteText"/>
    <w:uiPriority w:val="99"/>
    <w:rsid w:val="00664291"/>
    <w:rPr>
      <w:rFonts w:ascii="Garamond" w:hAnsi="Garamond"/>
      <w:sz w:val="20"/>
      <w:szCs w:val="20"/>
    </w:rPr>
  </w:style>
  <w:style w:type="character" w:styleId="FootnoteReference">
    <w:name w:val="footnote reference"/>
    <w:basedOn w:val="DefaultParagraphFont"/>
    <w:uiPriority w:val="99"/>
    <w:semiHidden/>
    <w:unhideWhenUsed/>
    <w:rsid w:val="00664291"/>
    <w:rPr>
      <w:vertAlign w:val="superscript"/>
    </w:rPr>
  </w:style>
  <w:style w:type="character" w:styleId="EndnoteReference">
    <w:name w:val="endnote reference"/>
    <w:basedOn w:val="DefaultParagraphFont"/>
    <w:uiPriority w:val="99"/>
    <w:semiHidden/>
    <w:unhideWhenUsed/>
    <w:rsid w:val="00F2406E"/>
    <w:rPr>
      <w:vertAlign w:val="superscript"/>
    </w:rPr>
  </w:style>
  <w:style w:type="character" w:styleId="CommentReference">
    <w:name w:val="annotation reference"/>
    <w:basedOn w:val="DefaultParagraphFont"/>
    <w:uiPriority w:val="99"/>
    <w:semiHidden/>
    <w:unhideWhenUsed/>
    <w:rsid w:val="001B5F07"/>
    <w:rPr>
      <w:sz w:val="18"/>
      <w:szCs w:val="18"/>
    </w:rPr>
  </w:style>
  <w:style w:type="paragraph" w:styleId="CommentText">
    <w:name w:val="annotation text"/>
    <w:basedOn w:val="Normal"/>
    <w:link w:val="CommentTextChar"/>
    <w:uiPriority w:val="99"/>
    <w:semiHidden/>
    <w:unhideWhenUsed/>
    <w:rsid w:val="001B5F07"/>
    <w:pPr>
      <w:spacing w:line="240" w:lineRule="auto"/>
    </w:pPr>
  </w:style>
  <w:style w:type="character" w:customStyle="1" w:styleId="CommentTextChar">
    <w:name w:val="Comment Text Char"/>
    <w:basedOn w:val="DefaultParagraphFont"/>
    <w:link w:val="CommentText"/>
    <w:uiPriority w:val="99"/>
    <w:semiHidden/>
    <w:rsid w:val="001B5F07"/>
    <w:rPr>
      <w:rFonts w:ascii="Garamond" w:hAnsi="Garamond"/>
      <w:sz w:val="24"/>
      <w:szCs w:val="24"/>
    </w:rPr>
  </w:style>
  <w:style w:type="paragraph" w:styleId="CommentSubject">
    <w:name w:val="annotation subject"/>
    <w:basedOn w:val="CommentText"/>
    <w:next w:val="CommentText"/>
    <w:link w:val="CommentSubjectChar"/>
    <w:uiPriority w:val="99"/>
    <w:semiHidden/>
    <w:unhideWhenUsed/>
    <w:rsid w:val="001B5F07"/>
    <w:rPr>
      <w:b/>
      <w:bCs/>
      <w:sz w:val="20"/>
      <w:szCs w:val="20"/>
    </w:rPr>
  </w:style>
  <w:style w:type="character" w:customStyle="1" w:styleId="CommentSubjectChar">
    <w:name w:val="Comment Subject Char"/>
    <w:basedOn w:val="CommentTextChar"/>
    <w:link w:val="CommentSubject"/>
    <w:uiPriority w:val="99"/>
    <w:semiHidden/>
    <w:rsid w:val="001B5F07"/>
    <w:rPr>
      <w:rFonts w:ascii="Garamond" w:hAnsi="Garamond"/>
      <w:b/>
      <w:bCs/>
      <w:sz w:val="20"/>
      <w:szCs w:val="20"/>
    </w:rPr>
  </w:style>
  <w:style w:type="paragraph" w:styleId="BalloonText">
    <w:name w:val="Balloon Text"/>
    <w:basedOn w:val="Normal"/>
    <w:link w:val="BalloonTextChar"/>
    <w:uiPriority w:val="99"/>
    <w:semiHidden/>
    <w:unhideWhenUsed/>
    <w:rsid w:val="001B5F0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5F0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1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1AA51-50D3-804A-B985-DE422866E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8633</TotalTime>
  <Pages>9</Pages>
  <Words>8185</Words>
  <Characters>46659</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Giustina</dc:creator>
  <cp:keywords/>
  <dc:description/>
  <cp:lastModifiedBy>Giustina Anna</cp:lastModifiedBy>
  <cp:revision>97</cp:revision>
  <cp:lastPrinted>2021-09-07T19:24:00Z</cp:lastPrinted>
  <dcterms:created xsi:type="dcterms:W3CDTF">2021-08-12T13:03:00Z</dcterms:created>
  <dcterms:modified xsi:type="dcterms:W3CDTF">2022-03-31T16:43:00Z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zotero-version="6.0.4"&gt;&lt;session id="czLjmD7d"/&gt;&lt;style id="http://www.zotero.org/styles/chicago-author-date" locale="en-US"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