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0028" w14:textId="7AF3E807" w:rsidR="00FF5242" w:rsidRPr="00223D01" w:rsidRDefault="001917C2" w:rsidP="005E28A1">
      <w:pPr>
        <w:pStyle w:val="Titre1"/>
        <w:rPr>
          <w:caps w:val="0"/>
          <w:sz w:val="28"/>
          <w:szCs w:val="16"/>
          <w:lang w:val="fr-CH"/>
        </w:rPr>
      </w:pPr>
      <w:r w:rsidRPr="00223D01">
        <w:rPr>
          <w:lang w:val="fr-CH"/>
        </w:rPr>
        <w:t>9. </w:t>
      </w:r>
      <w:r w:rsidR="00287AFC" w:rsidRPr="00223D01">
        <w:rPr>
          <w:lang w:val="fr-CH"/>
        </w:rPr>
        <w:t xml:space="preserve">Le point de vue de Champollion </w:t>
      </w:r>
      <w:r w:rsidR="005B23DC">
        <w:rPr>
          <w:lang w:val="fr-CH"/>
        </w:rPr>
        <w:br/>
      </w:r>
      <w:r w:rsidR="00287AFC" w:rsidRPr="00223D01">
        <w:rPr>
          <w:lang w:val="fr-CH"/>
        </w:rPr>
        <w:t xml:space="preserve">sur </w:t>
      </w:r>
      <w:r w:rsidR="00E63B4F" w:rsidRPr="00223D01">
        <w:rPr>
          <w:lang w:val="fr-CH"/>
        </w:rPr>
        <w:t>son</w:t>
      </w:r>
      <w:r w:rsidR="00287AFC" w:rsidRPr="00223D01">
        <w:rPr>
          <w:lang w:val="fr-CH"/>
        </w:rPr>
        <w:t xml:space="preserve"> déchiffrement</w:t>
      </w:r>
      <w:r w:rsidR="000537E7" w:rsidRPr="00223D01">
        <w:rPr>
          <w:lang w:val="fr-CH"/>
        </w:rPr>
        <w:t> :</w:t>
      </w:r>
      <w:r w:rsidR="00D20655">
        <w:rPr>
          <w:lang w:val="fr-CH"/>
        </w:rPr>
        <w:br/>
      </w:r>
      <w:r w:rsidR="00D20655" w:rsidRPr="00223D01">
        <w:rPr>
          <w:lang w:val="fr-CH"/>
        </w:rPr>
        <w:t xml:space="preserve"> </w:t>
      </w:r>
      <w:r w:rsidR="00C810A5" w:rsidRPr="00223D01">
        <w:rPr>
          <w:lang w:val="fr-CH"/>
        </w:rPr>
        <w:t>H</w:t>
      </w:r>
      <w:r w:rsidR="00A647C4" w:rsidRPr="00223D01">
        <w:rPr>
          <w:lang w:val="fr-CH"/>
        </w:rPr>
        <w:t>istoricisation de</w:t>
      </w:r>
      <w:r w:rsidR="00962BDE" w:rsidRPr="00223D01">
        <w:rPr>
          <w:lang w:val="fr-CH"/>
        </w:rPr>
        <w:t xml:space="preserve"> se</w:t>
      </w:r>
      <w:r w:rsidR="00A647C4" w:rsidRPr="00223D01">
        <w:rPr>
          <w:lang w:val="fr-CH"/>
        </w:rPr>
        <w:t>s p</w:t>
      </w:r>
      <w:r w:rsidR="000B4CF1" w:rsidRPr="00223D01">
        <w:rPr>
          <w:lang w:val="fr-CH"/>
        </w:rPr>
        <w:t>r</w:t>
      </w:r>
      <w:r w:rsidR="00060AF6" w:rsidRPr="00223D01">
        <w:rPr>
          <w:lang w:val="fr-CH"/>
        </w:rPr>
        <w:t>é</w:t>
      </w:r>
      <w:r w:rsidR="000B4CF1" w:rsidRPr="00223D01">
        <w:rPr>
          <w:lang w:val="fr-CH"/>
        </w:rPr>
        <w:t>décesseurs</w:t>
      </w:r>
      <w:r w:rsidR="005A7A99" w:rsidRPr="00223D01">
        <w:rPr>
          <w:lang w:val="fr-CH"/>
        </w:rPr>
        <w:t xml:space="preserve"> </w:t>
      </w:r>
      <w:r w:rsidR="00E80C54" w:rsidRPr="00223D01">
        <w:rPr>
          <w:lang w:val="fr-CH"/>
        </w:rPr>
        <w:t xml:space="preserve">et </w:t>
      </w:r>
      <w:r w:rsidR="00991C0C" w:rsidRPr="00223D01">
        <w:rPr>
          <w:lang w:val="fr-CH"/>
        </w:rPr>
        <w:t>narration de son</w:t>
      </w:r>
      <w:r w:rsidR="00207A0D" w:rsidRPr="00223D01">
        <w:rPr>
          <w:lang w:val="fr-CH"/>
        </w:rPr>
        <w:t xml:space="preserve"> </w:t>
      </w:r>
      <w:r w:rsidR="008807BC" w:rsidRPr="00223D01">
        <w:rPr>
          <w:lang w:val="fr-CH"/>
        </w:rPr>
        <w:t>œuvre</w:t>
      </w:r>
      <w:r w:rsidR="005E28A1" w:rsidRPr="00223D01">
        <w:rPr>
          <w:lang w:val="fr-CH"/>
        </w:rPr>
        <w:br/>
      </w:r>
      <w:r w:rsidR="00FF5242" w:rsidRPr="00223D01">
        <w:rPr>
          <w:caps w:val="0"/>
          <w:sz w:val="28"/>
          <w:szCs w:val="16"/>
          <w:lang w:val="fr-CH"/>
        </w:rPr>
        <w:t>Stéphane Polis (F.R.S.</w:t>
      </w:r>
      <w:r w:rsidR="00FB3E6F" w:rsidRPr="00223D01">
        <w:rPr>
          <w:caps w:val="0"/>
          <w:sz w:val="28"/>
          <w:szCs w:val="16"/>
          <w:lang w:val="fr-CH"/>
        </w:rPr>
        <w:t>-</w:t>
      </w:r>
      <w:r w:rsidR="005E28A1" w:rsidRPr="00223D01">
        <w:rPr>
          <w:caps w:val="0"/>
          <w:sz w:val="28"/>
          <w:szCs w:val="16"/>
          <w:lang w:val="fr-CH"/>
        </w:rPr>
        <w:t>FNRS,</w:t>
      </w:r>
      <w:r w:rsidR="00FF5242" w:rsidRPr="00223D01">
        <w:rPr>
          <w:caps w:val="0"/>
          <w:sz w:val="28"/>
          <w:szCs w:val="16"/>
          <w:lang w:val="fr-CH"/>
        </w:rPr>
        <w:t xml:space="preserve"> ULiège)</w:t>
      </w:r>
    </w:p>
    <w:p w14:paraId="48194CE0" w14:textId="73ED1E71" w:rsidR="00B50E0C" w:rsidRPr="00223D01" w:rsidRDefault="008C3C5A" w:rsidP="004B0026">
      <w:pPr>
        <w:rPr>
          <w:lang w:val="fr-CH"/>
        </w:rPr>
      </w:pPr>
      <w:r w:rsidRPr="00223D01">
        <w:rPr>
          <w:lang w:val="fr-CH"/>
        </w:rPr>
        <w:t>L</w:t>
      </w:r>
      <w:r w:rsidR="00EC1CB7" w:rsidRPr="00223D01">
        <w:rPr>
          <w:lang w:val="fr-CH"/>
        </w:rPr>
        <w:t>es textes</w:t>
      </w:r>
      <w:r w:rsidRPr="00223D01">
        <w:rPr>
          <w:lang w:val="fr-CH"/>
        </w:rPr>
        <w:t xml:space="preserve"> </w:t>
      </w:r>
      <w:r w:rsidR="00446196" w:rsidRPr="00223D01">
        <w:rPr>
          <w:lang w:val="fr-CH"/>
        </w:rPr>
        <w:t xml:space="preserve">de </w:t>
      </w:r>
      <w:r w:rsidR="0029583C" w:rsidRPr="00223D01">
        <w:rPr>
          <w:lang w:val="fr-CH"/>
        </w:rPr>
        <w:t xml:space="preserve">Jean-François Champollion (1790–1832) </w:t>
      </w:r>
      <w:r w:rsidRPr="00223D01">
        <w:rPr>
          <w:lang w:val="fr-CH"/>
        </w:rPr>
        <w:t>fourmille</w:t>
      </w:r>
      <w:r w:rsidR="009649CD" w:rsidRPr="00223D01">
        <w:rPr>
          <w:lang w:val="fr-CH"/>
        </w:rPr>
        <w:t>nt</w:t>
      </w:r>
      <w:r w:rsidRPr="00223D01">
        <w:rPr>
          <w:lang w:val="fr-CH"/>
        </w:rPr>
        <w:t xml:space="preserve"> </w:t>
      </w:r>
      <w:r w:rsidR="005A7A99" w:rsidRPr="00223D01">
        <w:rPr>
          <w:lang w:val="fr-CH"/>
        </w:rPr>
        <w:t>d</w:t>
      </w:r>
      <w:r w:rsidR="00C4105D" w:rsidRPr="00223D01">
        <w:rPr>
          <w:lang w:val="fr-CH"/>
        </w:rPr>
        <w:t xml:space="preserve">e remarques, de </w:t>
      </w:r>
      <w:r w:rsidR="002F7A48" w:rsidRPr="00223D01">
        <w:rPr>
          <w:lang w:val="fr-CH"/>
        </w:rPr>
        <w:t xml:space="preserve">commentaires </w:t>
      </w:r>
      <w:r w:rsidR="00C4105D" w:rsidRPr="00223D01">
        <w:rPr>
          <w:lang w:val="fr-CH"/>
        </w:rPr>
        <w:t xml:space="preserve">et d’exposés </w:t>
      </w:r>
      <w:r w:rsidR="005A7A99" w:rsidRPr="00223D01">
        <w:rPr>
          <w:lang w:val="fr-CH"/>
        </w:rPr>
        <w:t xml:space="preserve">plus ou moins </w:t>
      </w:r>
      <w:r w:rsidR="00E458D1" w:rsidRPr="00223D01">
        <w:rPr>
          <w:lang w:val="fr-CH"/>
        </w:rPr>
        <w:t>élaborés</w:t>
      </w:r>
      <w:r w:rsidR="005A7A99" w:rsidRPr="00223D01">
        <w:rPr>
          <w:lang w:val="fr-CH"/>
        </w:rPr>
        <w:t xml:space="preserve"> sur </w:t>
      </w:r>
      <w:r w:rsidR="00DB74BD" w:rsidRPr="00223D01">
        <w:rPr>
          <w:lang w:val="fr-CH"/>
        </w:rPr>
        <w:t xml:space="preserve">les </w:t>
      </w:r>
      <w:r w:rsidR="009F580E" w:rsidRPr="00223D01">
        <w:rPr>
          <w:lang w:val="fr-CH"/>
        </w:rPr>
        <w:t xml:space="preserve">tentatives </w:t>
      </w:r>
      <w:r w:rsidR="00DB74BD" w:rsidRPr="00223D01">
        <w:rPr>
          <w:lang w:val="fr-CH"/>
        </w:rPr>
        <w:t>antérieur</w:t>
      </w:r>
      <w:r w:rsidR="009F580E" w:rsidRPr="00223D01">
        <w:rPr>
          <w:lang w:val="fr-CH"/>
        </w:rPr>
        <w:t>e</w:t>
      </w:r>
      <w:r w:rsidR="00DB74BD" w:rsidRPr="00223D01">
        <w:rPr>
          <w:lang w:val="fr-CH"/>
        </w:rPr>
        <w:t>s et contemporain</w:t>
      </w:r>
      <w:r w:rsidR="009F580E" w:rsidRPr="00223D01">
        <w:rPr>
          <w:lang w:val="fr-CH"/>
        </w:rPr>
        <w:t>e</w:t>
      </w:r>
      <w:r w:rsidR="00DB74BD" w:rsidRPr="00223D01">
        <w:rPr>
          <w:lang w:val="fr-CH"/>
        </w:rPr>
        <w:t xml:space="preserve">s </w:t>
      </w:r>
      <w:r w:rsidR="001D781A" w:rsidRPr="00223D01">
        <w:rPr>
          <w:lang w:val="fr-CH"/>
        </w:rPr>
        <w:t>de déchiffrement de l’écriture hiéroglyphique</w:t>
      </w:r>
      <w:r w:rsidR="007B5132" w:rsidRPr="00223D01">
        <w:rPr>
          <w:lang w:val="fr-CH"/>
        </w:rPr>
        <w:t xml:space="preserve"> égyptienne</w:t>
      </w:r>
      <w:r w:rsidR="00B27332" w:rsidRPr="00223D01">
        <w:rPr>
          <w:rStyle w:val="Appelnotedebasdep"/>
          <w:lang w:val="fr-CH"/>
        </w:rPr>
        <w:footnoteReference w:id="1"/>
      </w:r>
      <w:r w:rsidR="001D781A" w:rsidRPr="00223D01">
        <w:rPr>
          <w:lang w:val="fr-CH"/>
        </w:rPr>
        <w:t xml:space="preserve">. C’est en suivant ce fil rouge que je </w:t>
      </w:r>
      <w:r w:rsidR="00007946" w:rsidRPr="00223D01">
        <w:rPr>
          <w:lang w:val="fr-CH"/>
        </w:rPr>
        <w:t>propose de</w:t>
      </w:r>
      <w:r w:rsidR="001D781A" w:rsidRPr="00223D01">
        <w:rPr>
          <w:lang w:val="fr-CH"/>
        </w:rPr>
        <w:t xml:space="preserve"> </w:t>
      </w:r>
      <w:r w:rsidR="007752C8" w:rsidRPr="00223D01">
        <w:rPr>
          <w:lang w:val="fr-CH"/>
        </w:rPr>
        <w:t xml:space="preserve">détailler </w:t>
      </w:r>
      <w:r w:rsidR="00957086" w:rsidRPr="00223D01">
        <w:rPr>
          <w:lang w:val="fr-CH"/>
        </w:rPr>
        <w:t xml:space="preserve">ici </w:t>
      </w:r>
      <w:r w:rsidR="007752C8" w:rsidRPr="00223D01">
        <w:rPr>
          <w:lang w:val="fr-CH"/>
        </w:rPr>
        <w:t xml:space="preserve">les </w:t>
      </w:r>
      <w:r w:rsidR="00FC0C86" w:rsidRPr="00223D01">
        <w:rPr>
          <w:lang w:val="fr-CH"/>
        </w:rPr>
        <w:t xml:space="preserve">conditions </w:t>
      </w:r>
      <w:r w:rsidR="00430564" w:rsidRPr="00223D01">
        <w:rPr>
          <w:lang w:val="fr-CH"/>
        </w:rPr>
        <w:t xml:space="preserve">historiques </w:t>
      </w:r>
      <w:r w:rsidR="00FC0C86" w:rsidRPr="00223D01">
        <w:rPr>
          <w:lang w:val="fr-CH"/>
        </w:rPr>
        <w:t xml:space="preserve">et </w:t>
      </w:r>
      <w:r w:rsidR="007752C8" w:rsidRPr="00223D01">
        <w:rPr>
          <w:lang w:val="fr-CH"/>
        </w:rPr>
        <w:t xml:space="preserve">modalités </w:t>
      </w:r>
      <w:r w:rsidR="00BF7917" w:rsidRPr="00223D01">
        <w:rPr>
          <w:lang w:val="fr-CH"/>
        </w:rPr>
        <w:t xml:space="preserve">pratiques </w:t>
      </w:r>
      <w:r w:rsidR="007752C8" w:rsidRPr="00223D01">
        <w:rPr>
          <w:lang w:val="fr-CH"/>
        </w:rPr>
        <w:t>de ce qui demeure</w:t>
      </w:r>
      <w:r w:rsidR="00B41A5A" w:rsidRPr="00223D01">
        <w:rPr>
          <w:lang w:val="fr-CH"/>
        </w:rPr>
        <w:t xml:space="preserve">, deux siècles plus tard, un véritable exploit intellectuel et une </w:t>
      </w:r>
      <w:r w:rsidR="004E12BC" w:rsidRPr="00223D01">
        <w:rPr>
          <w:lang w:val="fr-CH"/>
        </w:rPr>
        <w:t xml:space="preserve">authentique </w:t>
      </w:r>
      <w:r w:rsidR="00B41A5A" w:rsidRPr="00223D01">
        <w:rPr>
          <w:lang w:val="fr-CH"/>
        </w:rPr>
        <w:t>révolution pour tou</w:t>
      </w:r>
      <w:r w:rsidR="005E28A1" w:rsidRPr="00223D01">
        <w:rPr>
          <w:lang w:val="fr-CH"/>
        </w:rPr>
        <w:t>s ceux</w:t>
      </w:r>
      <w:r w:rsidR="00B41A5A" w:rsidRPr="00223D01">
        <w:rPr>
          <w:lang w:val="fr-CH"/>
        </w:rPr>
        <w:t xml:space="preserve"> qui s’intéresse</w:t>
      </w:r>
      <w:r w:rsidR="005E28A1" w:rsidRPr="00223D01">
        <w:rPr>
          <w:lang w:val="fr-CH"/>
        </w:rPr>
        <w:t>nt</w:t>
      </w:r>
      <w:r w:rsidR="00B41A5A" w:rsidRPr="00223D01">
        <w:rPr>
          <w:lang w:val="fr-CH"/>
        </w:rPr>
        <w:t xml:space="preserve"> à la terre </w:t>
      </w:r>
      <w:r w:rsidR="00716725" w:rsidRPr="00223D01">
        <w:rPr>
          <w:lang w:val="fr-CH"/>
        </w:rPr>
        <w:t>des Pharaons</w:t>
      </w:r>
      <w:r w:rsidR="00A45237" w:rsidRPr="00223D01">
        <w:rPr>
          <w:rStyle w:val="Appelnotedebasdep"/>
          <w:lang w:val="fr-CH"/>
        </w:rPr>
        <w:footnoteReference w:id="2"/>
      </w:r>
      <w:r w:rsidR="00716725" w:rsidRPr="00223D01">
        <w:rPr>
          <w:lang w:val="fr-CH"/>
        </w:rPr>
        <w:t>.</w:t>
      </w:r>
    </w:p>
    <w:p w14:paraId="6900B918" w14:textId="3F8FCA72" w:rsidR="00854BEE" w:rsidRPr="00223D01" w:rsidRDefault="00716725" w:rsidP="004B0026">
      <w:pPr>
        <w:rPr>
          <w:lang w:val="fr-CH"/>
        </w:rPr>
      </w:pPr>
      <w:r w:rsidRPr="00223D01">
        <w:rPr>
          <w:lang w:val="fr-CH"/>
        </w:rPr>
        <w:t xml:space="preserve">Précisons d’emblée que, si l’histoire a retenu </w:t>
      </w:r>
      <w:r w:rsidR="002D3A29" w:rsidRPr="00223D01">
        <w:rPr>
          <w:lang w:val="fr-CH"/>
        </w:rPr>
        <w:t xml:space="preserve">le </w:t>
      </w:r>
      <w:r w:rsidRPr="00223D01">
        <w:rPr>
          <w:lang w:val="fr-CH"/>
        </w:rPr>
        <w:t>2</w:t>
      </w:r>
      <w:r w:rsidR="003673B1" w:rsidRPr="00223D01">
        <w:rPr>
          <w:lang w:val="fr-CH"/>
        </w:rPr>
        <w:t>7</w:t>
      </w:r>
      <w:r w:rsidRPr="00223D01">
        <w:rPr>
          <w:lang w:val="fr-CH"/>
        </w:rPr>
        <w:t xml:space="preserve"> </w:t>
      </w:r>
      <w:r w:rsidR="002D3A29" w:rsidRPr="00223D01">
        <w:rPr>
          <w:lang w:val="fr-CH"/>
        </w:rPr>
        <w:t xml:space="preserve">septembre </w:t>
      </w:r>
      <w:r w:rsidR="002A33EF" w:rsidRPr="00223D01">
        <w:rPr>
          <w:lang w:val="fr-CH"/>
        </w:rPr>
        <w:t>18</w:t>
      </w:r>
      <w:r w:rsidR="002D3A29" w:rsidRPr="00223D01">
        <w:rPr>
          <w:lang w:val="fr-CH"/>
        </w:rPr>
        <w:t>22 comme date</w:t>
      </w:r>
      <w:r w:rsidR="00385794" w:rsidRPr="00223D01">
        <w:rPr>
          <w:lang w:val="fr-CH"/>
        </w:rPr>
        <w:t xml:space="preserve"> officiel</w:t>
      </w:r>
      <w:r w:rsidR="007212B0" w:rsidRPr="00223D01">
        <w:rPr>
          <w:lang w:val="fr-CH"/>
        </w:rPr>
        <w:t>le</w:t>
      </w:r>
      <w:r w:rsidR="002D3A29" w:rsidRPr="00223D01">
        <w:rPr>
          <w:lang w:val="fr-CH"/>
        </w:rPr>
        <w:t xml:space="preserve"> du déchiffrement, </w:t>
      </w:r>
      <w:r w:rsidR="00752007" w:rsidRPr="00223D01">
        <w:rPr>
          <w:lang w:val="fr-CH"/>
        </w:rPr>
        <w:t>soit</w:t>
      </w:r>
      <w:r w:rsidR="00832732" w:rsidRPr="00223D01">
        <w:rPr>
          <w:lang w:val="fr-CH"/>
        </w:rPr>
        <w:t xml:space="preserve"> le </w:t>
      </w:r>
      <w:r w:rsidR="002D3A29" w:rsidRPr="00223D01">
        <w:rPr>
          <w:lang w:val="fr-CH"/>
        </w:rPr>
        <w:t xml:space="preserve">jour </w:t>
      </w:r>
      <w:r w:rsidR="00B772C4" w:rsidRPr="00223D01">
        <w:rPr>
          <w:lang w:val="fr-CH"/>
        </w:rPr>
        <w:t>où Champollion a lu</w:t>
      </w:r>
      <w:r w:rsidR="002D3A29" w:rsidRPr="00223D01">
        <w:rPr>
          <w:lang w:val="fr-CH"/>
        </w:rPr>
        <w:t xml:space="preserve"> à l’Académie des Inscriptions et Belles-Lettres la célèbre </w:t>
      </w:r>
      <w:r w:rsidR="002D3A29" w:rsidRPr="00223D01">
        <w:rPr>
          <w:i/>
          <w:iCs/>
          <w:lang w:val="fr-CH"/>
        </w:rPr>
        <w:t>Lettre à M</w:t>
      </w:r>
      <w:r w:rsidR="00FE59D8">
        <w:rPr>
          <w:i/>
          <w:iCs/>
          <w:lang w:val="fr-CH"/>
        </w:rPr>
        <w:t>. </w:t>
      </w:r>
      <w:r w:rsidR="002D3A29" w:rsidRPr="00223D01">
        <w:rPr>
          <w:i/>
          <w:iCs/>
          <w:lang w:val="fr-CH"/>
        </w:rPr>
        <w:t>Dacier</w:t>
      </w:r>
      <w:r w:rsidR="00710BD5" w:rsidRPr="00223D01">
        <w:rPr>
          <w:rStyle w:val="Appelnotedebasdep"/>
          <w:lang w:val="fr-CH"/>
        </w:rPr>
        <w:footnoteReference w:id="3"/>
      </w:r>
      <w:r w:rsidR="006B1812" w:rsidRPr="00223D01">
        <w:rPr>
          <w:lang w:val="fr-CH"/>
        </w:rPr>
        <w:t xml:space="preserve">, </w:t>
      </w:r>
      <w:r w:rsidR="002D3A29" w:rsidRPr="00223D01">
        <w:rPr>
          <w:lang w:val="fr-CH"/>
        </w:rPr>
        <w:t xml:space="preserve">sur laquelle nous </w:t>
      </w:r>
      <w:r w:rsidR="001E695C" w:rsidRPr="00223D01">
        <w:rPr>
          <w:lang w:val="fr-CH"/>
        </w:rPr>
        <w:t>aurons</w:t>
      </w:r>
      <w:r w:rsidR="002D3A29" w:rsidRPr="00223D01">
        <w:rPr>
          <w:lang w:val="fr-CH"/>
        </w:rPr>
        <w:t xml:space="preserve"> </w:t>
      </w:r>
      <w:r w:rsidR="00D239FD" w:rsidRPr="00223D01">
        <w:rPr>
          <w:lang w:val="fr-CH"/>
        </w:rPr>
        <w:t xml:space="preserve">amplement </w:t>
      </w:r>
      <w:r w:rsidR="001E695C" w:rsidRPr="00223D01">
        <w:rPr>
          <w:lang w:val="fr-CH"/>
        </w:rPr>
        <w:t xml:space="preserve">l’occasion de revenir </w:t>
      </w:r>
      <w:r w:rsidR="002D3A29" w:rsidRPr="00223D01">
        <w:rPr>
          <w:lang w:val="fr-CH"/>
        </w:rPr>
        <w:t>(</w:t>
      </w:r>
      <w:r w:rsidR="008A2D4F" w:rsidRPr="008A2D4F">
        <w:rPr>
          <w:highlight w:val="yellow"/>
          <w:lang w:val="fr-CH"/>
        </w:rPr>
        <w:t>cf. </w:t>
      </w:r>
      <w:r w:rsidR="008A2D4F" w:rsidRPr="008A2D4F">
        <w:rPr>
          <w:i/>
          <w:iCs/>
          <w:highlight w:val="yellow"/>
          <w:lang w:val="fr-CH"/>
        </w:rPr>
        <w:t>infra</w:t>
      </w:r>
      <w:r w:rsidR="008A2D4F" w:rsidRPr="008A2D4F">
        <w:rPr>
          <w:highlight w:val="yellow"/>
          <w:lang w:val="fr-CH"/>
        </w:rPr>
        <w:t>,</w:t>
      </w:r>
      <w:r w:rsidR="002029BF" w:rsidRPr="008A2D4F">
        <w:rPr>
          <w:highlight w:val="yellow"/>
          <w:lang w:val="fr-CH"/>
        </w:rPr>
        <w:t xml:space="preserve"> </w:t>
      </w:r>
      <w:r w:rsidR="00EC7ACE" w:rsidRPr="008A2D4F">
        <w:rPr>
          <w:highlight w:val="yellow"/>
          <w:lang w:val="fr-CH"/>
        </w:rPr>
        <w:t>9.</w:t>
      </w:r>
      <w:r w:rsidR="008A2D4F" w:rsidRPr="008A2D4F">
        <w:rPr>
          <w:highlight w:val="yellow"/>
          <w:lang w:val="fr-CH"/>
        </w:rPr>
        <w:t>5–6</w:t>
      </w:r>
      <w:r w:rsidR="002D3A29" w:rsidRPr="00223D01">
        <w:rPr>
          <w:lang w:val="fr-CH"/>
        </w:rPr>
        <w:t xml:space="preserve">), </w:t>
      </w:r>
      <w:r w:rsidR="00E67B83" w:rsidRPr="00223D01">
        <w:rPr>
          <w:lang w:val="fr-CH"/>
        </w:rPr>
        <w:t xml:space="preserve">il s’agit de l’affaire d’une vie </w:t>
      </w:r>
      <w:r w:rsidR="00670255" w:rsidRPr="00223D01">
        <w:rPr>
          <w:lang w:val="fr-CH"/>
        </w:rPr>
        <w:t xml:space="preserve">qui </w:t>
      </w:r>
      <w:r w:rsidR="00E67B83" w:rsidRPr="00223D01">
        <w:rPr>
          <w:lang w:val="fr-CH"/>
        </w:rPr>
        <w:t xml:space="preserve">s’est concrétisée en plusieurs étapes, chacune décisive, </w:t>
      </w:r>
      <w:r w:rsidR="00B74B61">
        <w:rPr>
          <w:lang w:val="fr-CH"/>
        </w:rPr>
        <w:t xml:space="preserve">et après de nombreux revirements et changements d’opinion </w:t>
      </w:r>
      <w:r w:rsidR="00E67B83" w:rsidRPr="00223D01">
        <w:rPr>
          <w:lang w:val="fr-CH"/>
        </w:rPr>
        <w:t xml:space="preserve">entre 1821 et </w:t>
      </w:r>
      <w:r w:rsidR="00E67B83" w:rsidRPr="00223D01">
        <w:rPr>
          <w:lang w:val="fr-CH"/>
        </w:rPr>
        <w:lastRenderedPageBreak/>
        <w:t>1824</w:t>
      </w:r>
      <w:r w:rsidR="00911879" w:rsidRPr="00223D01">
        <w:rPr>
          <w:rStyle w:val="Appelnotedebasdep"/>
          <w:lang w:val="fr-CH"/>
        </w:rPr>
        <w:footnoteReference w:id="4"/>
      </w:r>
      <w:r w:rsidR="003D112F" w:rsidRPr="00223D01">
        <w:rPr>
          <w:lang w:val="fr-CH"/>
        </w:rPr>
        <w:t xml:space="preserve">. L’aboutissement </w:t>
      </w:r>
      <w:r w:rsidR="004C57E8">
        <w:rPr>
          <w:lang w:val="fr-CH"/>
        </w:rPr>
        <w:t>— </w:t>
      </w:r>
      <w:r w:rsidR="003D112F" w:rsidRPr="00223D01">
        <w:rPr>
          <w:lang w:val="fr-CH"/>
        </w:rPr>
        <w:t xml:space="preserve">en </w:t>
      </w:r>
      <w:r w:rsidR="00353626" w:rsidRPr="00223D01">
        <w:rPr>
          <w:lang w:val="fr-CH"/>
        </w:rPr>
        <w:t>terme</w:t>
      </w:r>
      <w:r w:rsidR="003D112F" w:rsidRPr="00223D01">
        <w:rPr>
          <w:lang w:val="fr-CH"/>
        </w:rPr>
        <w:t xml:space="preserve"> de déchiffrement </w:t>
      </w:r>
      <w:r w:rsidR="00C4098F" w:rsidRPr="00223D01">
        <w:rPr>
          <w:lang w:val="fr-CH"/>
        </w:rPr>
        <w:t>s’entend</w:t>
      </w:r>
      <w:r w:rsidR="007924E5" w:rsidRPr="00223D01">
        <w:rPr>
          <w:lang w:val="fr-CH"/>
        </w:rPr>
        <w:t>, car ses progrès seront par la suite nombreux dans tous les champs de l’égyptologie, de la grammaire à l’histoire</w:t>
      </w:r>
      <w:r w:rsidR="00B70EA7" w:rsidRPr="00223D01">
        <w:rPr>
          <w:lang w:val="fr-CH"/>
        </w:rPr>
        <w:t xml:space="preserve"> et l’archéologie</w:t>
      </w:r>
      <w:r w:rsidR="004C57E8">
        <w:rPr>
          <w:lang w:val="fr-CH"/>
        </w:rPr>
        <w:t>—</w:t>
      </w:r>
      <w:r w:rsidR="003D112F" w:rsidRPr="00223D01">
        <w:rPr>
          <w:lang w:val="fr-CH"/>
        </w:rPr>
        <w:t xml:space="preserve"> en est le </w:t>
      </w:r>
      <w:r w:rsidR="003D112F" w:rsidRPr="00223D01">
        <w:rPr>
          <w:i/>
          <w:iCs/>
          <w:lang w:val="fr-CH"/>
        </w:rPr>
        <w:t>Précis du système hiéroglyphique</w:t>
      </w:r>
      <w:r w:rsidR="00E92FC0" w:rsidRPr="00223D01">
        <w:rPr>
          <w:rStyle w:val="Appelnotedebasdep"/>
          <w:lang w:val="fr-CH"/>
        </w:rPr>
        <w:footnoteReference w:id="5"/>
      </w:r>
      <w:r w:rsidR="003D112F" w:rsidRPr="00223D01">
        <w:rPr>
          <w:i/>
          <w:iCs/>
          <w:lang w:val="fr-CH"/>
        </w:rPr>
        <w:t xml:space="preserve"> </w:t>
      </w:r>
      <w:r w:rsidR="003D112F" w:rsidRPr="00223D01">
        <w:rPr>
          <w:lang w:val="fr-CH"/>
        </w:rPr>
        <w:t xml:space="preserve">publié </w:t>
      </w:r>
      <w:r w:rsidR="00C457AE" w:rsidRPr="00223D01">
        <w:rPr>
          <w:lang w:val="fr-CH"/>
        </w:rPr>
        <w:t>début</w:t>
      </w:r>
      <w:r w:rsidR="003D112F" w:rsidRPr="00223D01">
        <w:rPr>
          <w:lang w:val="fr-CH"/>
        </w:rPr>
        <w:t xml:space="preserve"> 1824.</w:t>
      </w:r>
    </w:p>
    <w:p w14:paraId="5B8BE179" w14:textId="57B8422A" w:rsidR="00181F10" w:rsidRPr="00223D01" w:rsidRDefault="00D23F41" w:rsidP="004B0026">
      <w:pPr>
        <w:rPr>
          <w:lang w:val="fr-CH"/>
        </w:rPr>
      </w:pPr>
      <w:r w:rsidRPr="00223D01">
        <w:rPr>
          <w:lang w:val="fr-CH"/>
        </w:rPr>
        <w:t>Le</w:t>
      </w:r>
      <w:r w:rsidR="003D112F" w:rsidRPr="00223D01">
        <w:rPr>
          <w:lang w:val="fr-CH"/>
        </w:rPr>
        <w:t xml:space="preserve"> premier chapitre de ce</w:t>
      </w:r>
      <w:r w:rsidR="001905AD" w:rsidRPr="00223D01">
        <w:rPr>
          <w:lang w:val="fr-CH"/>
        </w:rPr>
        <w:t>t</w:t>
      </w:r>
      <w:r w:rsidR="008D5A38" w:rsidRPr="00223D01">
        <w:rPr>
          <w:lang w:val="fr-CH"/>
        </w:rPr>
        <w:t xml:space="preserve"> </w:t>
      </w:r>
      <w:r w:rsidR="003D112F" w:rsidRPr="00223D01">
        <w:rPr>
          <w:lang w:val="fr-CH"/>
        </w:rPr>
        <w:t>essai</w:t>
      </w:r>
      <w:r w:rsidR="001905AD" w:rsidRPr="00223D01">
        <w:rPr>
          <w:lang w:val="fr-CH"/>
        </w:rPr>
        <w:t xml:space="preserve"> magistral</w:t>
      </w:r>
      <w:r w:rsidR="003D112F" w:rsidRPr="00223D01">
        <w:rPr>
          <w:lang w:val="fr-CH"/>
        </w:rPr>
        <w:t xml:space="preserve"> </w:t>
      </w:r>
      <w:r w:rsidR="00940B81" w:rsidRPr="00223D01">
        <w:rPr>
          <w:lang w:val="fr-CH"/>
        </w:rPr>
        <w:t xml:space="preserve">est </w:t>
      </w:r>
      <w:r w:rsidR="003D112F" w:rsidRPr="00223D01">
        <w:rPr>
          <w:lang w:val="fr-CH"/>
        </w:rPr>
        <w:t>une synthèse</w:t>
      </w:r>
      <w:r w:rsidR="008939B6" w:rsidRPr="00223D01">
        <w:rPr>
          <w:lang w:val="fr-CH"/>
        </w:rPr>
        <w:t xml:space="preserve"> </w:t>
      </w:r>
      <w:r w:rsidR="00626073" w:rsidRPr="00223D01">
        <w:rPr>
          <w:lang w:val="fr-CH"/>
        </w:rPr>
        <w:t>résumant</w:t>
      </w:r>
      <w:r w:rsidR="00ED63E9" w:rsidRPr="00223D01">
        <w:rPr>
          <w:lang w:val="fr-CH"/>
        </w:rPr>
        <w:t xml:space="preserve"> la</w:t>
      </w:r>
      <w:r w:rsidR="003D112F" w:rsidRPr="00223D01">
        <w:rPr>
          <w:lang w:val="fr-CH"/>
        </w:rPr>
        <w:t xml:space="preserve"> </w:t>
      </w:r>
      <w:proofErr w:type="spellStart"/>
      <w:r w:rsidR="003D112F" w:rsidRPr="00223D01">
        <w:rPr>
          <w:lang w:val="fr-CH"/>
        </w:rPr>
        <w:t>pré-histoire</w:t>
      </w:r>
      <w:proofErr w:type="spellEnd"/>
      <w:r w:rsidR="003D112F" w:rsidRPr="00223D01">
        <w:rPr>
          <w:lang w:val="fr-CH"/>
        </w:rPr>
        <w:t xml:space="preserve"> de la discipline égyptologique</w:t>
      </w:r>
      <w:r w:rsidR="00DF6159" w:rsidRPr="00223D01">
        <w:rPr>
          <w:lang w:val="fr-CH"/>
        </w:rPr>
        <w:t xml:space="preserve"> et les débats contemporains </w:t>
      </w:r>
      <w:r w:rsidR="00E263BF" w:rsidRPr="00223D01">
        <w:rPr>
          <w:lang w:val="fr-CH"/>
        </w:rPr>
        <w:t>concernant les questions</w:t>
      </w:r>
      <w:r w:rsidR="00C072EB" w:rsidRPr="00223D01">
        <w:rPr>
          <w:lang w:val="fr-CH"/>
        </w:rPr>
        <w:t xml:space="preserve"> de</w:t>
      </w:r>
      <w:r w:rsidR="00DF6159" w:rsidRPr="00223D01">
        <w:rPr>
          <w:lang w:val="fr-CH"/>
        </w:rPr>
        <w:t xml:space="preserve"> priorité en matière de déchiffrement</w:t>
      </w:r>
      <w:r w:rsidR="00600D43" w:rsidRPr="00223D01">
        <w:rPr>
          <w:lang w:val="fr-CH"/>
        </w:rPr>
        <w:t xml:space="preserve"> (</w:t>
      </w:r>
      <w:r w:rsidR="008A2D4F" w:rsidRPr="008A2D4F">
        <w:rPr>
          <w:highlight w:val="yellow"/>
          <w:lang w:val="fr-CH"/>
        </w:rPr>
        <w:t>cf. </w:t>
      </w:r>
      <w:r w:rsidR="008A2D4F" w:rsidRPr="008A2D4F">
        <w:rPr>
          <w:i/>
          <w:iCs/>
          <w:highlight w:val="yellow"/>
          <w:lang w:val="fr-CH"/>
        </w:rPr>
        <w:t>infra</w:t>
      </w:r>
      <w:r w:rsidR="008A2D4F" w:rsidRPr="008A2D4F">
        <w:rPr>
          <w:highlight w:val="yellow"/>
          <w:lang w:val="fr-CH"/>
        </w:rPr>
        <w:t xml:space="preserve">, </w:t>
      </w:r>
      <w:r w:rsidR="00600D43" w:rsidRPr="00676E89">
        <w:rPr>
          <w:highlight w:val="yellow"/>
          <w:lang w:val="fr-CH"/>
        </w:rPr>
        <w:t>9.</w:t>
      </w:r>
      <w:r w:rsidR="008A2D4F" w:rsidRPr="00676E89">
        <w:rPr>
          <w:highlight w:val="yellow"/>
          <w:lang w:val="fr-CH"/>
        </w:rPr>
        <w:t>8</w:t>
      </w:r>
      <w:r w:rsidR="00600D43" w:rsidRPr="00223D01">
        <w:rPr>
          <w:lang w:val="fr-CH"/>
        </w:rPr>
        <w:t>)</w:t>
      </w:r>
      <w:r w:rsidR="006E3CD9" w:rsidRPr="00223D01">
        <w:rPr>
          <w:lang w:val="fr-CH"/>
        </w:rPr>
        <w:t>. Il est</w:t>
      </w:r>
      <w:r w:rsidR="003D112F" w:rsidRPr="00223D01">
        <w:rPr>
          <w:lang w:val="fr-CH"/>
        </w:rPr>
        <w:t xml:space="preserve"> </w:t>
      </w:r>
      <w:r w:rsidR="00E336C9" w:rsidRPr="00223D01">
        <w:rPr>
          <w:lang w:val="fr-CH"/>
        </w:rPr>
        <w:t xml:space="preserve">intitulé </w:t>
      </w:r>
      <w:r w:rsidR="00DB7157" w:rsidRPr="00223D01">
        <w:rPr>
          <w:lang w:val="fr-CH"/>
        </w:rPr>
        <w:t>« État actuel des études sur les Hiéroglyphes, et sur l’Écriture phonétique égyptienne employée dans la transcription des noms propres de Rois grecs ou d’Empereurs romains »</w:t>
      </w:r>
      <w:r w:rsidR="00636C02" w:rsidRPr="00223D01">
        <w:rPr>
          <w:lang w:val="fr-CH"/>
        </w:rPr>
        <w:t xml:space="preserve">. La narration que Champollion y propose des </w:t>
      </w:r>
      <w:r w:rsidR="00150CD6" w:rsidRPr="00223D01">
        <w:rPr>
          <w:lang w:val="fr-CH"/>
        </w:rPr>
        <w:t xml:space="preserve">(quelques) </w:t>
      </w:r>
      <w:r w:rsidR="00636C02" w:rsidRPr="00223D01">
        <w:rPr>
          <w:lang w:val="fr-CH"/>
        </w:rPr>
        <w:t xml:space="preserve">mérites et </w:t>
      </w:r>
      <w:r w:rsidR="00DD10DA" w:rsidRPr="00223D01">
        <w:rPr>
          <w:lang w:val="fr-CH"/>
        </w:rPr>
        <w:t xml:space="preserve">des </w:t>
      </w:r>
      <w:r w:rsidR="00150CD6" w:rsidRPr="00223D01">
        <w:rPr>
          <w:lang w:val="fr-CH"/>
        </w:rPr>
        <w:t xml:space="preserve">(nombreuses) </w:t>
      </w:r>
      <w:r w:rsidR="00636C02" w:rsidRPr="00223D01">
        <w:rPr>
          <w:lang w:val="fr-CH"/>
        </w:rPr>
        <w:t>déficiences de</w:t>
      </w:r>
      <w:r w:rsidR="00150CD6" w:rsidRPr="00223D01">
        <w:rPr>
          <w:lang w:val="fr-CH"/>
        </w:rPr>
        <w:t>s</w:t>
      </w:r>
      <w:r w:rsidR="00636C02" w:rsidRPr="00223D01">
        <w:rPr>
          <w:lang w:val="fr-CH"/>
        </w:rPr>
        <w:t xml:space="preserve"> </w:t>
      </w:r>
      <w:r w:rsidR="00150CD6" w:rsidRPr="00223D01">
        <w:rPr>
          <w:lang w:val="fr-CH"/>
        </w:rPr>
        <w:t xml:space="preserve">études de </w:t>
      </w:r>
      <w:r w:rsidR="00636C02" w:rsidRPr="00223D01">
        <w:rPr>
          <w:lang w:val="fr-CH"/>
        </w:rPr>
        <w:t xml:space="preserve">ses prédécesseurs et </w:t>
      </w:r>
      <w:r w:rsidR="004B3AA3" w:rsidRPr="00223D01">
        <w:rPr>
          <w:lang w:val="fr-CH"/>
        </w:rPr>
        <w:t xml:space="preserve">de ses </w:t>
      </w:r>
      <w:r w:rsidR="00DE05B7" w:rsidRPr="00223D01">
        <w:rPr>
          <w:lang w:val="fr-CH"/>
        </w:rPr>
        <w:t xml:space="preserve">concurrents </w:t>
      </w:r>
      <w:r w:rsidR="00772C61" w:rsidRPr="00223D01">
        <w:rPr>
          <w:lang w:val="fr-CH"/>
        </w:rPr>
        <w:t xml:space="preserve">directs </w:t>
      </w:r>
      <w:r w:rsidR="003D112F" w:rsidRPr="00223D01">
        <w:rPr>
          <w:lang w:val="fr-CH"/>
        </w:rPr>
        <w:t>contribue</w:t>
      </w:r>
      <w:r w:rsidR="0096185F" w:rsidRPr="00223D01">
        <w:rPr>
          <w:lang w:val="fr-CH"/>
        </w:rPr>
        <w:t>ra</w:t>
      </w:r>
      <w:r w:rsidR="003D112F" w:rsidRPr="00223D01">
        <w:rPr>
          <w:lang w:val="fr-CH"/>
        </w:rPr>
        <w:t xml:space="preserve"> </w:t>
      </w:r>
      <w:r w:rsidR="00794DBC" w:rsidRPr="00223D01">
        <w:rPr>
          <w:lang w:val="fr-CH"/>
        </w:rPr>
        <w:t>directement</w:t>
      </w:r>
      <w:r w:rsidR="006F2002" w:rsidRPr="00223D01">
        <w:rPr>
          <w:lang w:val="fr-CH"/>
        </w:rPr>
        <w:t xml:space="preserve">, de concert avec le </w:t>
      </w:r>
      <w:r w:rsidR="00E66ED8" w:rsidRPr="00223D01">
        <w:rPr>
          <w:lang w:val="fr-CH"/>
        </w:rPr>
        <w:t>substantiel</w:t>
      </w:r>
      <w:r w:rsidR="00537545" w:rsidRPr="00223D01">
        <w:rPr>
          <w:lang w:val="fr-CH"/>
        </w:rPr>
        <w:t xml:space="preserve"> </w:t>
      </w:r>
      <w:r w:rsidR="006F2002" w:rsidRPr="00223D01">
        <w:rPr>
          <w:lang w:val="fr-CH"/>
        </w:rPr>
        <w:t xml:space="preserve">passage consacré à ses devanciers </w:t>
      </w:r>
      <w:r w:rsidR="000019A6" w:rsidRPr="00223D01">
        <w:rPr>
          <w:lang w:val="fr-CH"/>
        </w:rPr>
        <w:t>lors de</w:t>
      </w:r>
      <w:r w:rsidR="001D4746" w:rsidRPr="00223D01">
        <w:rPr>
          <w:lang w:val="fr-CH"/>
        </w:rPr>
        <w:t xml:space="preserve"> </w:t>
      </w:r>
      <w:r w:rsidR="006F2002" w:rsidRPr="00223D01">
        <w:rPr>
          <w:lang w:val="fr-CH"/>
        </w:rPr>
        <w:t xml:space="preserve">son </w:t>
      </w:r>
      <w:r w:rsidR="006F2002" w:rsidRPr="00223D01">
        <w:rPr>
          <w:i/>
          <w:iCs/>
          <w:lang w:val="fr-CH"/>
        </w:rPr>
        <w:t>Discours d’ouverture du cours</w:t>
      </w:r>
      <w:r w:rsidR="001D4746" w:rsidRPr="00223D01">
        <w:rPr>
          <w:i/>
          <w:iCs/>
          <w:lang w:val="fr-CH"/>
        </w:rPr>
        <w:t xml:space="preserve"> d’archéologie au collège </w:t>
      </w:r>
      <w:r w:rsidR="002B0447" w:rsidRPr="00223D01">
        <w:rPr>
          <w:i/>
          <w:iCs/>
          <w:lang w:val="fr-CH"/>
        </w:rPr>
        <w:t xml:space="preserve">royal </w:t>
      </w:r>
      <w:r w:rsidR="001D4746" w:rsidRPr="00223D01">
        <w:rPr>
          <w:i/>
          <w:iCs/>
          <w:lang w:val="fr-CH"/>
        </w:rPr>
        <w:t xml:space="preserve">de </w:t>
      </w:r>
      <w:r w:rsidR="00970B69" w:rsidRPr="00223D01">
        <w:rPr>
          <w:i/>
          <w:iCs/>
          <w:lang w:val="fr-CH"/>
        </w:rPr>
        <w:t>France</w:t>
      </w:r>
      <w:r w:rsidR="00D24E4F" w:rsidRPr="00223D01">
        <w:rPr>
          <w:rStyle w:val="Appelnotedebasdep"/>
          <w:lang w:val="fr-CH"/>
        </w:rPr>
        <w:footnoteReference w:id="6"/>
      </w:r>
      <w:r w:rsidR="00970B69" w:rsidRPr="00223D01">
        <w:rPr>
          <w:lang w:val="fr-CH"/>
        </w:rPr>
        <w:t xml:space="preserve"> </w:t>
      </w:r>
      <w:r w:rsidR="00AB789E" w:rsidRPr="00223D01">
        <w:rPr>
          <w:lang w:val="fr-CH"/>
        </w:rPr>
        <w:t xml:space="preserve">prononcé </w:t>
      </w:r>
      <w:r w:rsidR="00970B69" w:rsidRPr="00223D01">
        <w:rPr>
          <w:lang w:val="fr-CH"/>
        </w:rPr>
        <w:t>le 10 mai 1831</w:t>
      </w:r>
      <w:r w:rsidR="00D8589D" w:rsidRPr="00223D01">
        <w:rPr>
          <w:lang w:val="fr-CH"/>
        </w:rPr>
        <w:t xml:space="preserve"> peu avant sa mort</w:t>
      </w:r>
      <w:r w:rsidR="001D4746" w:rsidRPr="00223D01">
        <w:rPr>
          <w:lang w:val="fr-CH"/>
        </w:rPr>
        <w:t>,</w:t>
      </w:r>
      <w:r w:rsidR="001D4746" w:rsidRPr="00223D01">
        <w:rPr>
          <w:i/>
          <w:iCs/>
          <w:lang w:val="fr-CH"/>
        </w:rPr>
        <w:t xml:space="preserve"> </w:t>
      </w:r>
      <w:r w:rsidR="003D112F" w:rsidRPr="00223D01">
        <w:rPr>
          <w:lang w:val="fr-CH"/>
        </w:rPr>
        <w:t>à l’établissement d’un premier canon de</w:t>
      </w:r>
      <w:r w:rsidR="00794DBC" w:rsidRPr="00223D01">
        <w:rPr>
          <w:lang w:val="fr-CH"/>
        </w:rPr>
        <w:t>s pères fondateurs de l</w:t>
      </w:r>
      <w:r w:rsidR="00027BAF" w:rsidRPr="00223D01">
        <w:rPr>
          <w:lang w:val="fr-CH"/>
        </w:rPr>
        <w:t>’égyptologie</w:t>
      </w:r>
      <w:r w:rsidR="001E7E19" w:rsidRPr="00223D01">
        <w:rPr>
          <w:lang w:val="fr-CH"/>
        </w:rPr>
        <w:t>. U</w:t>
      </w:r>
      <w:r w:rsidR="00B46282" w:rsidRPr="00223D01">
        <w:rPr>
          <w:lang w:val="fr-CH"/>
        </w:rPr>
        <w:t xml:space="preserve">n seul </w:t>
      </w:r>
      <w:r w:rsidR="00BE2A4F" w:rsidRPr="00223D01">
        <w:rPr>
          <w:lang w:val="fr-CH"/>
        </w:rPr>
        <w:t xml:space="preserve">d’entre eux </w:t>
      </w:r>
      <w:r w:rsidR="009F678B">
        <w:rPr>
          <w:lang w:val="fr-CH"/>
        </w:rPr>
        <w:t xml:space="preserve">y </w:t>
      </w:r>
      <w:r w:rsidR="00B46282" w:rsidRPr="00223D01">
        <w:rPr>
          <w:lang w:val="fr-CH"/>
        </w:rPr>
        <w:t>trouve</w:t>
      </w:r>
      <w:r w:rsidR="00996D60" w:rsidRPr="00223D01">
        <w:rPr>
          <w:lang w:val="fr-CH"/>
        </w:rPr>
        <w:t xml:space="preserve"> véritablement</w:t>
      </w:r>
      <w:r w:rsidR="00B46282" w:rsidRPr="00223D01">
        <w:rPr>
          <w:lang w:val="fr-CH"/>
        </w:rPr>
        <w:t xml:space="preserve"> </w:t>
      </w:r>
      <w:r w:rsidR="00190E85" w:rsidRPr="00223D01">
        <w:rPr>
          <w:lang w:val="fr-CH"/>
        </w:rPr>
        <w:t xml:space="preserve">grâce à ses yeux : lui-même. C’est qu’il lui </w:t>
      </w:r>
      <w:r w:rsidR="007301A6" w:rsidRPr="00223D01">
        <w:rPr>
          <w:lang w:val="fr-CH"/>
        </w:rPr>
        <w:t xml:space="preserve">a </w:t>
      </w:r>
      <w:r w:rsidR="00190E85" w:rsidRPr="00223D01">
        <w:rPr>
          <w:lang w:val="fr-CH"/>
        </w:rPr>
        <w:t xml:space="preserve">fallu </w:t>
      </w:r>
      <w:r w:rsidR="007F5E33" w:rsidRPr="00223D01">
        <w:rPr>
          <w:lang w:val="fr-CH"/>
        </w:rPr>
        <w:t xml:space="preserve">investir les </w:t>
      </w:r>
      <w:r w:rsidR="00DE0431" w:rsidRPr="00223D01">
        <w:rPr>
          <w:lang w:val="fr-CH"/>
        </w:rPr>
        <w:t>do</w:t>
      </w:r>
      <w:r w:rsidR="00CF708E" w:rsidRPr="00223D01">
        <w:rPr>
          <w:lang w:val="fr-CH"/>
        </w:rPr>
        <w:t>c</w:t>
      </w:r>
      <w:r w:rsidR="00DE0431" w:rsidRPr="00223D01">
        <w:rPr>
          <w:lang w:val="fr-CH"/>
        </w:rPr>
        <w:t>uments</w:t>
      </w:r>
      <w:r w:rsidR="007F5E33" w:rsidRPr="00223D01">
        <w:rPr>
          <w:lang w:val="fr-CH"/>
        </w:rPr>
        <w:t xml:space="preserve"> disponibles d’une telle passion et </w:t>
      </w:r>
      <w:r w:rsidR="00A42B15" w:rsidRPr="00223D01">
        <w:rPr>
          <w:lang w:val="fr-CH"/>
        </w:rPr>
        <w:t>faire montre d’un tel acharnement</w:t>
      </w:r>
      <w:r w:rsidR="00335F37" w:rsidRPr="00223D01">
        <w:rPr>
          <w:lang w:val="fr-CH"/>
        </w:rPr>
        <w:t xml:space="preserve"> </w:t>
      </w:r>
      <w:r w:rsidR="00904029" w:rsidRPr="00223D01">
        <w:rPr>
          <w:lang w:val="fr-CH"/>
        </w:rPr>
        <w:t>scientifique</w:t>
      </w:r>
      <w:r w:rsidR="00A42B15" w:rsidRPr="00223D01">
        <w:rPr>
          <w:lang w:val="fr-CH"/>
        </w:rPr>
        <w:t xml:space="preserve"> pour arriver à percer les </w:t>
      </w:r>
      <w:r w:rsidR="00673A43" w:rsidRPr="00223D01">
        <w:rPr>
          <w:lang w:val="fr-CH"/>
        </w:rPr>
        <w:t>secret</w:t>
      </w:r>
      <w:r w:rsidR="00C003C0" w:rsidRPr="00223D01">
        <w:rPr>
          <w:lang w:val="fr-CH"/>
        </w:rPr>
        <w:t>s</w:t>
      </w:r>
      <w:r w:rsidR="00A42B15" w:rsidRPr="00223D01">
        <w:rPr>
          <w:lang w:val="fr-CH"/>
        </w:rPr>
        <w:t xml:space="preserve"> de l’écriture hiéroglyphique</w:t>
      </w:r>
      <w:r w:rsidR="00AE6390" w:rsidRPr="00223D01">
        <w:rPr>
          <w:lang w:val="fr-CH"/>
        </w:rPr>
        <w:t xml:space="preserve">, qu’il lui était vraisemblablement impossible </w:t>
      </w:r>
      <w:r w:rsidR="005D7F28" w:rsidRPr="00223D01">
        <w:rPr>
          <w:lang w:val="fr-CH"/>
        </w:rPr>
        <w:t>d’apercevoir</w:t>
      </w:r>
      <w:r w:rsidR="00AE6390" w:rsidRPr="00223D01">
        <w:rPr>
          <w:lang w:val="fr-CH"/>
        </w:rPr>
        <w:t xml:space="preserve"> </w:t>
      </w:r>
      <w:r w:rsidR="005D7F28" w:rsidRPr="00223D01">
        <w:rPr>
          <w:lang w:val="fr-CH"/>
        </w:rPr>
        <w:t xml:space="preserve">les épaules des géants sur lesquelles </w:t>
      </w:r>
      <w:r w:rsidR="00DA001C" w:rsidRPr="00223D01">
        <w:rPr>
          <w:lang w:val="fr-CH"/>
        </w:rPr>
        <w:t xml:space="preserve">il </w:t>
      </w:r>
      <w:r w:rsidR="005D7F28" w:rsidRPr="00223D01">
        <w:rPr>
          <w:lang w:val="fr-CH"/>
        </w:rPr>
        <w:t>se tenait</w:t>
      </w:r>
      <w:r w:rsidR="00DA001C" w:rsidRPr="00223D01">
        <w:rPr>
          <w:lang w:val="fr-CH"/>
        </w:rPr>
        <w:t xml:space="preserve"> lui-même</w:t>
      </w:r>
      <w:r w:rsidR="005D7F28" w:rsidRPr="00223D01">
        <w:rPr>
          <w:lang w:val="fr-CH"/>
        </w:rPr>
        <w:t>.</w:t>
      </w:r>
    </w:p>
    <w:p w14:paraId="4A01E131" w14:textId="5A3F9E81" w:rsidR="00A6416E" w:rsidRPr="00223D01" w:rsidRDefault="002E106E" w:rsidP="00D03E01">
      <w:pPr>
        <w:pStyle w:val="Titre2"/>
        <w:ind w:left="284" w:firstLine="0"/>
        <w:jc w:val="left"/>
        <w:rPr>
          <w:lang w:val="fr-CH"/>
        </w:rPr>
      </w:pPr>
      <w:r w:rsidRPr="00223D01">
        <w:rPr>
          <w:lang w:val="fr-CH"/>
        </w:rPr>
        <w:t>9.</w:t>
      </w:r>
      <w:r w:rsidR="002108B3" w:rsidRPr="00223D01">
        <w:rPr>
          <w:lang w:val="fr-CH"/>
        </w:rPr>
        <w:t>1. </w:t>
      </w:r>
      <w:r w:rsidR="00E01852" w:rsidRPr="00223D01">
        <w:rPr>
          <w:lang w:val="fr-CH"/>
        </w:rPr>
        <w:t xml:space="preserve">Le </w:t>
      </w:r>
      <w:proofErr w:type="spellStart"/>
      <w:r w:rsidR="00E01852" w:rsidRPr="00223D01">
        <w:rPr>
          <w:lang w:val="fr-CH"/>
        </w:rPr>
        <w:t>xvii</w:t>
      </w:r>
      <w:r w:rsidR="00E01852" w:rsidRPr="00223D01">
        <w:rPr>
          <w:vertAlign w:val="superscript"/>
          <w:lang w:val="fr-CH"/>
        </w:rPr>
        <w:t>e</w:t>
      </w:r>
      <w:proofErr w:type="spellEnd"/>
      <w:r w:rsidR="00E01852" w:rsidRPr="00223D01">
        <w:rPr>
          <w:lang w:val="fr-CH"/>
        </w:rPr>
        <w:t xml:space="preserve"> siècle : Athanase Kircher et son charlatanisme.</w:t>
      </w:r>
      <w:r w:rsidR="006F148B" w:rsidRPr="00223D01">
        <w:rPr>
          <w:lang w:val="fr-CH"/>
        </w:rPr>
        <w:t xml:space="preserve"> </w:t>
      </w:r>
      <w:r w:rsidR="00D03E01">
        <w:rPr>
          <w:lang w:val="fr-CH"/>
        </w:rPr>
        <w:br/>
      </w:r>
      <w:r w:rsidR="00E01852" w:rsidRPr="00223D01">
        <w:rPr>
          <w:lang w:val="fr-CH"/>
        </w:rPr>
        <w:t>Accès aux sources, mésinterprétation des auteurs classiques et redécouverte du copte</w:t>
      </w:r>
    </w:p>
    <w:p w14:paraId="434038CF" w14:textId="77AE638B" w:rsidR="00F05578" w:rsidRPr="00223D01" w:rsidRDefault="002251CE" w:rsidP="004B0026">
      <w:pPr>
        <w:rPr>
          <w:lang w:val="fr-CH"/>
        </w:rPr>
      </w:pPr>
      <w:r w:rsidRPr="00223D01">
        <w:rPr>
          <w:lang w:val="fr-CH"/>
        </w:rPr>
        <w:t>Pour Champollion (</w:t>
      </w:r>
      <w:r w:rsidRPr="00223D01">
        <w:rPr>
          <w:i/>
          <w:iCs/>
          <w:lang w:val="fr-CH"/>
        </w:rPr>
        <w:t>Discours</w:t>
      </w:r>
      <w:r w:rsidRPr="00223D01">
        <w:rPr>
          <w:lang w:val="fr-CH"/>
        </w:rPr>
        <w:t>, p</w:t>
      </w:r>
      <w:r w:rsidR="00A928B2">
        <w:rPr>
          <w:lang w:val="fr-CH"/>
        </w:rPr>
        <w:t>p</w:t>
      </w:r>
      <w:r w:rsidRPr="00223D01">
        <w:rPr>
          <w:lang w:val="fr-CH"/>
        </w:rPr>
        <w:t>. </w:t>
      </w:r>
      <w:proofErr w:type="spellStart"/>
      <w:r w:rsidRPr="00223D01">
        <w:rPr>
          <w:lang w:val="fr-CH"/>
        </w:rPr>
        <w:t>vj</w:t>
      </w:r>
      <w:proofErr w:type="spellEnd"/>
      <w:r w:rsidRPr="00223D01">
        <w:rPr>
          <w:lang w:val="fr-CH"/>
        </w:rPr>
        <w:t>-</w:t>
      </w:r>
      <w:r w:rsidR="00CA67C3" w:rsidRPr="00223D01">
        <w:rPr>
          <w:lang w:val="fr-CH"/>
        </w:rPr>
        <w:t>ix)</w:t>
      </w:r>
      <w:r w:rsidRPr="00223D01">
        <w:rPr>
          <w:lang w:val="fr-CH"/>
        </w:rPr>
        <w:t xml:space="preserve">, le progrès des études sur </w:t>
      </w:r>
      <w:r w:rsidR="00CD38F0" w:rsidRPr="00223D01">
        <w:rPr>
          <w:lang w:val="fr-CH"/>
        </w:rPr>
        <w:t>l’Égypte en général et</w:t>
      </w:r>
      <w:r w:rsidR="00B36DA1" w:rsidRPr="00223D01">
        <w:rPr>
          <w:lang w:val="fr-CH"/>
        </w:rPr>
        <w:t xml:space="preserve"> sur</w:t>
      </w:r>
      <w:r w:rsidR="00CD38F0" w:rsidRPr="00223D01">
        <w:rPr>
          <w:lang w:val="fr-CH"/>
        </w:rPr>
        <w:t xml:space="preserve"> </w:t>
      </w:r>
      <w:r w:rsidRPr="00223D01">
        <w:rPr>
          <w:lang w:val="fr-CH"/>
        </w:rPr>
        <w:t xml:space="preserve">les écritures égyptiennes </w:t>
      </w:r>
      <w:r w:rsidR="00F3151E" w:rsidRPr="00223D01">
        <w:rPr>
          <w:lang w:val="fr-CH"/>
        </w:rPr>
        <w:t xml:space="preserve">en particulier </w:t>
      </w:r>
      <w:r w:rsidRPr="00223D01">
        <w:rPr>
          <w:lang w:val="fr-CH"/>
        </w:rPr>
        <w:t>a lo</w:t>
      </w:r>
      <w:r w:rsidR="00BB2668" w:rsidRPr="00223D01">
        <w:rPr>
          <w:lang w:val="fr-CH"/>
        </w:rPr>
        <w:t xml:space="preserve">ngtemps été retardé par la rareté des monuments originaux à étudier et l’ignorance complète de la langue des </w:t>
      </w:r>
      <w:r w:rsidR="00D635F8">
        <w:rPr>
          <w:lang w:val="fr-CH"/>
        </w:rPr>
        <w:t>Égyptiens</w:t>
      </w:r>
      <w:r w:rsidR="00DB7F2F" w:rsidRPr="00223D01">
        <w:rPr>
          <w:lang w:val="fr-CH"/>
        </w:rPr>
        <w:t xml:space="preserve">. Dans les deux domaines, </w:t>
      </w:r>
      <w:r w:rsidR="003F017E" w:rsidRPr="00223D01">
        <w:rPr>
          <w:lang w:val="fr-CH"/>
        </w:rPr>
        <w:t xml:space="preserve">il estime que </w:t>
      </w:r>
      <w:r w:rsidR="000025AA" w:rsidRPr="00223D01">
        <w:rPr>
          <w:lang w:val="fr-CH"/>
        </w:rPr>
        <w:t xml:space="preserve">les choses </w:t>
      </w:r>
      <w:r w:rsidR="005975D5" w:rsidRPr="00223D01">
        <w:rPr>
          <w:lang w:val="fr-CH"/>
        </w:rPr>
        <w:t xml:space="preserve">se mettent </w:t>
      </w:r>
      <w:r w:rsidR="0006399B" w:rsidRPr="00223D01">
        <w:rPr>
          <w:lang w:val="fr-CH"/>
        </w:rPr>
        <w:t xml:space="preserve">à bouger </w:t>
      </w:r>
      <w:r w:rsidR="000025AA" w:rsidRPr="00223D01">
        <w:rPr>
          <w:lang w:val="fr-CH"/>
        </w:rPr>
        <w:t xml:space="preserve">au </w:t>
      </w:r>
      <w:proofErr w:type="spellStart"/>
      <w:r w:rsidR="000025AA" w:rsidRPr="00223D01">
        <w:rPr>
          <w:smallCaps/>
          <w:lang w:val="fr-CH"/>
        </w:rPr>
        <w:t>xvii</w:t>
      </w:r>
      <w:r w:rsidR="000025AA" w:rsidRPr="00223D01">
        <w:rPr>
          <w:vertAlign w:val="superscript"/>
          <w:lang w:val="fr-CH"/>
        </w:rPr>
        <w:t>e</w:t>
      </w:r>
      <w:proofErr w:type="spellEnd"/>
      <w:r w:rsidR="000025AA" w:rsidRPr="00223D01">
        <w:rPr>
          <w:lang w:val="fr-CH"/>
        </w:rPr>
        <w:t xml:space="preserve"> siècle (</w:t>
      </w:r>
      <w:r w:rsidR="006F148B" w:rsidRPr="00223D01">
        <w:rPr>
          <w:rFonts w:eastAsia="Times New Roman"/>
          <w:bCs/>
          <w:szCs w:val="24"/>
          <w:highlight w:val="yellow"/>
          <w:lang w:val="fr-CH"/>
        </w:rPr>
        <w:t xml:space="preserve">cf. </w:t>
      </w:r>
      <w:r w:rsidR="006F148B" w:rsidRPr="00223D01">
        <w:rPr>
          <w:rFonts w:eastAsia="Times New Roman"/>
          <w:bCs/>
          <w:i/>
          <w:iCs/>
          <w:szCs w:val="24"/>
          <w:highlight w:val="yellow"/>
          <w:lang w:val="fr-CH"/>
        </w:rPr>
        <w:t>supra</w:t>
      </w:r>
      <w:r w:rsidR="006F148B" w:rsidRPr="00223D01">
        <w:rPr>
          <w:rFonts w:eastAsia="Times New Roman"/>
          <w:bCs/>
          <w:szCs w:val="24"/>
          <w:highlight w:val="yellow"/>
          <w:lang w:val="fr-CH"/>
        </w:rPr>
        <w:t xml:space="preserve">, </w:t>
      </w:r>
      <w:r w:rsidR="000025AA" w:rsidRPr="00223D01">
        <w:rPr>
          <w:highlight w:val="yellow"/>
          <w:lang w:val="fr-CH"/>
        </w:rPr>
        <w:t>7</w:t>
      </w:r>
      <w:r w:rsidR="000025AA" w:rsidRPr="00223D01">
        <w:rPr>
          <w:lang w:val="fr-CH"/>
        </w:rPr>
        <w:t>).</w:t>
      </w:r>
    </w:p>
    <w:p w14:paraId="4883DF0C" w14:textId="54BE1372" w:rsidR="009923E9" w:rsidRPr="00223D01" w:rsidRDefault="00456876" w:rsidP="004B0026">
      <w:pPr>
        <w:rPr>
          <w:lang w:val="fr-CH"/>
        </w:rPr>
      </w:pPr>
      <w:r w:rsidRPr="00223D01">
        <w:rPr>
          <w:lang w:val="fr-CH"/>
        </w:rPr>
        <w:t>Q</w:t>
      </w:r>
      <w:r w:rsidR="00881EC3" w:rsidRPr="00223D01">
        <w:rPr>
          <w:lang w:val="fr-CH"/>
        </w:rPr>
        <w:t xml:space="preserve">uelques </w:t>
      </w:r>
      <w:r w:rsidR="00F05578" w:rsidRPr="00223D01">
        <w:rPr>
          <w:lang w:val="fr-CH"/>
        </w:rPr>
        <w:t>cabinets de curiosités</w:t>
      </w:r>
      <w:r w:rsidRPr="00223D01">
        <w:rPr>
          <w:lang w:val="fr-CH"/>
        </w:rPr>
        <w:t>, rappelle-t-il,</w:t>
      </w:r>
      <w:r w:rsidR="00F05578" w:rsidRPr="00223D01">
        <w:rPr>
          <w:lang w:val="fr-CH"/>
        </w:rPr>
        <w:t xml:space="preserve"> commencent alors à </w:t>
      </w:r>
      <w:r w:rsidR="00B1485E" w:rsidRPr="00223D01">
        <w:rPr>
          <w:lang w:val="fr-CH"/>
        </w:rPr>
        <w:t xml:space="preserve">renfermer des objets </w:t>
      </w:r>
      <w:r w:rsidR="00162860" w:rsidRPr="00223D01">
        <w:rPr>
          <w:lang w:val="fr-CH"/>
        </w:rPr>
        <w:t xml:space="preserve">d’art </w:t>
      </w:r>
      <w:r w:rsidR="00B1485E" w:rsidRPr="00223D01">
        <w:rPr>
          <w:lang w:val="fr-CH"/>
        </w:rPr>
        <w:t xml:space="preserve">égyptiens </w:t>
      </w:r>
      <w:r w:rsidR="00162860" w:rsidRPr="00223D01">
        <w:rPr>
          <w:lang w:val="fr-CH"/>
        </w:rPr>
        <w:t>de différents genre</w:t>
      </w:r>
      <w:r w:rsidR="00A37DC0" w:rsidRPr="00223D01">
        <w:rPr>
          <w:lang w:val="fr-CH"/>
        </w:rPr>
        <w:t>s</w:t>
      </w:r>
      <w:r w:rsidR="00162860" w:rsidRPr="00223D01">
        <w:rPr>
          <w:lang w:val="fr-CH"/>
        </w:rPr>
        <w:t xml:space="preserve"> —</w:t>
      </w:r>
      <w:r w:rsidR="006163AE" w:rsidRPr="00223D01">
        <w:rPr>
          <w:lang w:val="fr-CH"/>
        </w:rPr>
        <w:t> </w:t>
      </w:r>
      <w:r w:rsidR="00162860" w:rsidRPr="00223D01">
        <w:rPr>
          <w:lang w:val="fr-CH"/>
        </w:rPr>
        <w:t>généralement envoyés en Europe par des agents consulaires</w:t>
      </w:r>
      <w:r w:rsidR="00621764" w:rsidRPr="00223D01">
        <w:rPr>
          <w:lang w:val="fr-CH"/>
        </w:rPr>
        <w:t>. D</w:t>
      </w:r>
      <w:r w:rsidR="006C0211" w:rsidRPr="00223D01">
        <w:rPr>
          <w:lang w:val="fr-CH"/>
        </w:rPr>
        <w:t>ébut</w:t>
      </w:r>
      <w:r w:rsidR="006163AE" w:rsidRPr="00223D01">
        <w:rPr>
          <w:lang w:val="fr-CH"/>
        </w:rPr>
        <w:t>e</w:t>
      </w:r>
      <w:r w:rsidR="006C0211" w:rsidRPr="00223D01">
        <w:rPr>
          <w:lang w:val="fr-CH"/>
        </w:rPr>
        <w:t xml:space="preserve"> également </w:t>
      </w:r>
      <w:r w:rsidR="00161293" w:rsidRPr="00223D01">
        <w:rPr>
          <w:lang w:val="fr-CH"/>
        </w:rPr>
        <w:t xml:space="preserve">à cette époque </w:t>
      </w:r>
      <w:r w:rsidR="006C0211" w:rsidRPr="00223D01">
        <w:rPr>
          <w:lang w:val="fr-CH"/>
        </w:rPr>
        <w:t xml:space="preserve">la collection de manuscrits </w:t>
      </w:r>
      <w:r w:rsidR="003A09EC" w:rsidRPr="00223D01">
        <w:rPr>
          <w:lang w:val="fr-CH"/>
        </w:rPr>
        <w:t xml:space="preserve">funéraires </w:t>
      </w:r>
      <w:r w:rsidR="006C0211" w:rsidRPr="00223D01">
        <w:rPr>
          <w:lang w:val="fr-CH"/>
        </w:rPr>
        <w:t xml:space="preserve">égyptiens </w:t>
      </w:r>
      <w:r w:rsidR="00D52473" w:rsidRPr="00223D01">
        <w:rPr>
          <w:lang w:val="fr-CH"/>
        </w:rPr>
        <w:t xml:space="preserve">sur tissus et bandelettes ainsi que de cercueils chargés de longues inscriptions hiéroglyphiques. </w:t>
      </w:r>
      <w:r w:rsidR="009923E9" w:rsidRPr="00223D01">
        <w:rPr>
          <w:lang w:val="fr-CH"/>
        </w:rPr>
        <w:t xml:space="preserve">Les obélisques de Rome, récemment exhumés ou relevés par les pontifes, contribuent </w:t>
      </w:r>
      <w:r w:rsidR="00305672" w:rsidRPr="00223D01">
        <w:rPr>
          <w:lang w:val="fr-CH"/>
        </w:rPr>
        <w:t xml:space="preserve">en outre </w:t>
      </w:r>
      <w:r w:rsidR="009923E9" w:rsidRPr="00223D01">
        <w:rPr>
          <w:lang w:val="fr-CH"/>
        </w:rPr>
        <w:t>à l’</w:t>
      </w:r>
      <w:r w:rsidR="00C616BE" w:rsidRPr="00223D01">
        <w:rPr>
          <w:lang w:val="fr-CH"/>
        </w:rPr>
        <w:t xml:space="preserve">accroissement </w:t>
      </w:r>
      <w:r w:rsidR="002B320E" w:rsidRPr="00223D01">
        <w:rPr>
          <w:lang w:val="fr-CH"/>
        </w:rPr>
        <w:t xml:space="preserve">significatif </w:t>
      </w:r>
      <w:r w:rsidR="00C616BE" w:rsidRPr="00223D01">
        <w:rPr>
          <w:lang w:val="fr-CH"/>
        </w:rPr>
        <w:t>du nombre de</w:t>
      </w:r>
      <w:r w:rsidR="009923E9" w:rsidRPr="00223D01">
        <w:rPr>
          <w:lang w:val="fr-CH"/>
        </w:rPr>
        <w:t xml:space="preserve"> sources primaires</w:t>
      </w:r>
      <w:r w:rsidR="00C616BE" w:rsidRPr="00223D01">
        <w:rPr>
          <w:lang w:val="fr-CH"/>
        </w:rPr>
        <w:t xml:space="preserve"> </w:t>
      </w:r>
      <w:r w:rsidR="00CD6D83" w:rsidRPr="00223D01">
        <w:rPr>
          <w:lang w:val="fr-CH"/>
        </w:rPr>
        <w:t>accessibles</w:t>
      </w:r>
      <w:r w:rsidR="009923E9" w:rsidRPr="00223D01">
        <w:rPr>
          <w:lang w:val="fr-CH"/>
        </w:rPr>
        <w:t>.</w:t>
      </w:r>
    </w:p>
    <w:p w14:paraId="0B5280F8" w14:textId="53150CF1" w:rsidR="002975F0" w:rsidRPr="00223D01" w:rsidRDefault="00D52473" w:rsidP="004B0026">
      <w:pPr>
        <w:rPr>
          <w:lang w:val="fr-CH"/>
        </w:rPr>
      </w:pPr>
      <w:r w:rsidRPr="00223D01">
        <w:rPr>
          <w:lang w:val="fr-CH"/>
        </w:rPr>
        <w:lastRenderedPageBreak/>
        <w:t>Si ces documents atti</w:t>
      </w:r>
      <w:r w:rsidR="00980B13" w:rsidRPr="00223D01">
        <w:rPr>
          <w:lang w:val="fr-CH"/>
        </w:rPr>
        <w:t>r</w:t>
      </w:r>
      <w:r w:rsidRPr="00223D01">
        <w:rPr>
          <w:lang w:val="fr-CH"/>
        </w:rPr>
        <w:t xml:space="preserve">ent l’attention des savants, Champollion </w:t>
      </w:r>
      <w:r w:rsidR="003E3C2E" w:rsidRPr="00223D01">
        <w:rPr>
          <w:lang w:val="fr-CH"/>
        </w:rPr>
        <w:t xml:space="preserve">voit dans </w:t>
      </w:r>
      <w:r w:rsidRPr="00223D01">
        <w:rPr>
          <w:lang w:val="fr-CH"/>
        </w:rPr>
        <w:t>la mésinterprétation des écrits des auteurs grecs et latins relatifs à la nature des signes d’écriture égyptiens (</w:t>
      </w:r>
      <w:r w:rsidR="006F148B" w:rsidRPr="00181326">
        <w:rPr>
          <w:rFonts w:eastAsia="Times New Roman"/>
          <w:bCs/>
          <w:szCs w:val="24"/>
          <w:highlight w:val="yellow"/>
          <w:lang w:val="fr-CH"/>
        </w:rPr>
        <w:t xml:space="preserve">cf. </w:t>
      </w:r>
      <w:r w:rsidR="006F148B" w:rsidRPr="00181326">
        <w:rPr>
          <w:rFonts w:eastAsia="Times New Roman"/>
          <w:bCs/>
          <w:i/>
          <w:iCs/>
          <w:szCs w:val="24"/>
          <w:highlight w:val="yellow"/>
          <w:lang w:val="fr-CH"/>
        </w:rPr>
        <w:t>supra</w:t>
      </w:r>
      <w:r w:rsidR="006F148B" w:rsidRPr="00181326">
        <w:rPr>
          <w:rFonts w:eastAsia="Times New Roman"/>
          <w:bCs/>
          <w:szCs w:val="24"/>
          <w:highlight w:val="yellow"/>
          <w:lang w:val="fr-CH"/>
        </w:rPr>
        <w:t xml:space="preserve">, </w:t>
      </w:r>
      <w:r w:rsidR="00173C78" w:rsidRPr="00181326">
        <w:rPr>
          <w:highlight w:val="yellow"/>
          <w:lang w:val="fr-CH"/>
        </w:rPr>
        <w:t>3</w:t>
      </w:r>
      <w:r w:rsidR="00173C78" w:rsidRPr="00223D01">
        <w:rPr>
          <w:lang w:val="fr-CH"/>
        </w:rPr>
        <w:t>)</w:t>
      </w:r>
      <w:r w:rsidR="000F36D3" w:rsidRPr="00223D01">
        <w:rPr>
          <w:lang w:val="fr-CH"/>
        </w:rPr>
        <w:t xml:space="preserve"> une source </w:t>
      </w:r>
      <w:r w:rsidR="005B1C59" w:rsidRPr="00223D01">
        <w:rPr>
          <w:lang w:val="fr-CH"/>
        </w:rPr>
        <w:t>de méprise</w:t>
      </w:r>
      <w:r w:rsidR="00061A02" w:rsidRPr="00223D01">
        <w:rPr>
          <w:lang w:val="fr-CH"/>
        </w:rPr>
        <w:t xml:space="preserve"> ayant conduit à l</w:t>
      </w:r>
      <w:r w:rsidR="00D701B7" w:rsidRPr="00223D01">
        <w:rPr>
          <w:lang w:val="fr-CH"/>
        </w:rPr>
        <w:t xml:space="preserve">’interprétation </w:t>
      </w:r>
      <w:r w:rsidR="009923E9" w:rsidRPr="00223D01">
        <w:rPr>
          <w:lang w:val="fr-CH"/>
        </w:rPr>
        <w:t>strictement symbolique des hiéro</w:t>
      </w:r>
      <w:r w:rsidR="00175F1E" w:rsidRPr="00223D01">
        <w:rPr>
          <w:lang w:val="fr-CH"/>
        </w:rPr>
        <w:softHyphen/>
      </w:r>
      <w:r w:rsidR="009923E9" w:rsidRPr="00223D01">
        <w:rPr>
          <w:lang w:val="fr-CH"/>
        </w:rPr>
        <w:t>glyphes égyptiens</w:t>
      </w:r>
      <w:r w:rsidR="00EB6579" w:rsidRPr="00223D01">
        <w:rPr>
          <w:lang w:val="fr-CH"/>
        </w:rPr>
        <w:t> : « [o]n ne saisit point alors les impor</w:t>
      </w:r>
      <w:r w:rsidR="00B76AE3" w:rsidRPr="00223D01">
        <w:rPr>
          <w:lang w:val="fr-CH"/>
        </w:rPr>
        <w:t>ta</w:t>
      </w:r>
      <w:r w:rsidR="00EB6579" w:rsidRPr="00223D01">
        <w:rPr>
          <w:lang w:val="fr-CH"/>
        </w:rPr>
        <w:t xml:space="preserve">ntes distinctions formellement établies par les auteurs anciens entre les différents systèmes d’écriture usités </w:t>
      </w:r>
      <w:r w:rsidR="00096B0C" w:rsidRPr="00223D01">
        <w:rPr>
          <w:lang w:val="fr-CH"/>
        </w:rPr>
        <w:t>chez les Égyptiens. On généralisa trop ce que ces auteurs n’avaient affirmé que d’une certaine classe de signes seulement</w:t>
      </w:r>
      <w:r w:rsidR="00EB6579" w:rsidRPr="00223D01">
        <w:rPr>
          <w:lang w:val="fr-CH"/>
        </w:rPr>
        <w:t> » (</w:t>
      </w:r>
      <w:r w:rsidR="00EB6579" w:rsidRPr="00223D01">
        <w:rPr>
          <w:i/>
          <w:iCs/>
          <w:lang w:val="fr-CH"/>
        </w:rPr>
        <w:t>Discours</w:t>
      </w:r>
      <w:r w:rsidR="00EB6579" w:rsidRPr="00223D01">
        <w:rPr>
          <w:lang w:val="fr-CH"/>
        </w:rPr>
        <w:t>, p. </w:t>
      </w:r>
      <w:proofErr w:type="spellStart"/>
      <w:r w:rsidR="00EB6579" w:rsidRPr="00223D01">
        <w:rPr>
          <w:lang w:val="fr-CH"/>
        </w:rPr>
        <w:t>vij</w:t>
      </w:r>
      <w:proofErr w:type="spellEnd"/>
      <w:r w:rsidR="00EB6579" w:rsidRPr="00223D01">
        <w:rPr>
          <w:lang w:val="fr-CH"/>
        </w:rPr>
        <w:t>).</w:t>
      </w:r>
      <w:r w:rsidR="00CF2191" w:rsidRPr="00223D01">
        <w:rPr>
          <w:lang w:val="fr-CH"/>
        </w:rPr>
        <w:t xml:space="preserve"> </w:t>
      </w:r>
      <w:r w:rsidR="00C660F5" w:rsidRPr="00223D01">
        <w:rPr>
          <w:lang w:val="fr-CH"/>
        </w:rPr>
        <w:t>Et i</w:t>
      </w:r>
      <w:r w:rsidR="00CF2191" w:rsidRPr="00223D01">
        <w:rPr>
          <w:lang w:val="fr-CH"/>
        </w:rPr>
        <w:t xml:space="preserve">l s’agit effectivement </w:t>
      </w:r>
      <w:r w:rsidR="001A2998" w:rsidRPr="00223D01">
        <w:rPr>
          <w:lang w:val="fr-CH"/>
        </w:rPr>
        <w:t xml:space="preserve">de </w:t>
      </w:r>
      <w:r w:rsidR="00CF2191" w:rsidRPr="00223D01">
        <w:rPr>
          <w:lang w:val="fr-CH"/>
        </w:rPr>
        <w:t>deux point</w:t>
      </w:r>
      <w:r w:rsidR="006F148B" w:rsidRPr="00223D01">
        <w:rPr>
          <w:lang w:val="fr-CH"/>
        </w:rPr>
        <w:t>s</w:t>
      </w:r>
      <w:r w:rsidR="00CF2191" w:rsidRPr="00223D01">
        <w:rPr>
          <w:lang w:val="fr-CH"/>
        </w:rPr>
        <w:t xml:space="preserve"> essentiel</w:t>
      </w:r>
      <w:r w:rsidR="00867ECA" w:rsidRPr="00223D01">
        <w:rPr>
          <w:lang w:val="fr-CH"/>
        </w:rPr>
        <w:t xml:space="preserve">s : lorsque l’on connaît les </w:t>
      </w:r>
      <w:r w:rsidR="00B51593" w:rsidRPr="00223D01">
        <w:rPr>
          <w:lang w:val="fr-CH"/>
        </w:rPr>
        <w:t>relations</w:t>
      </w:r>
      <w:r w:rsidR="00867ECA" w:rsidRPr="00223D01">
        <w:rPr>
          <w:lang w:val="fr-CH"/>
        </w:rPr>
        <w:t xml:space="preserve"> (diachroniques et fonctionne</w:t>
      </w:r>
      <w:r w:rsidR="007D4EBD" w:rsidRPr="00223D01">
        <w:rPr>
          <w:lang w:val="fr-CH"/>
        </w:rPr>
        <w:t>l</w:t>
      </w:r>
      <w:r w:rsidR="00867ECA" w:rsidRPr="00223D01">
        <w:rPr>
          <w:lang w:val="fr-CH"/>
        </w:rPr>
        <w:t>l</w:t>
      </w:r>
      <w:r w:rsidR="007D4EBD" w:rsidRPr="00223D01">
        <w:rPr>
          <w:lang w:val="fr-CH"/>
        </w:rPr>
        <w:t>e</w:t>
      </w:r>
      <w:r w:rsidR="00867ECA" w:rsidRPr="00223D01">
        <w:rPr>
          <w:lang w:val="fr-CH"/>
        </w:rPr>
        <w:t>s) entre les écritures d’Égypte</w:t>
      </w:r>
      <w:r w:rsidR="006F148B" w:rsidRPr="00223D01">
        <w:rPr>
          <w:rStyle w:val="Appelnotedebasdep"/>
          <w:lang w:val="fr-CH"/>
        </w:rPr>
        <w:footnoteReference w:id="7"/>
      </w:r>
      <w:r w:rsidR="00867ECA" w:rsidRPr="00223D01">
        <w:rPr>
          <w:lang w:val="fr-CH"/>
        </w:rPr>
        <w:t xml:space="preserve"> </w:t>
      </w:r>
      <w:r w:rsidR="00E53375" w:rsidRPr="00223D01">
        <w:rPr>
          <w:lang w:val="fr-CH"/>
        </w:rPr>
        <w:t>ainsi que</w:t>
      </w:r>
      <w:r w:rsidR="00132D61" w:rsidRPr="00223D01">
        <w:rPr>
          <w:lang w:val="fr-CH"/>
        </w:rPr>
        <w:t xml:space="preserve"> </w:t>
      </w:r>
      <w:r w:rsidR="00256AFC" w:rsidRPr="00223D01">
        <w:rPr>
          <w:lang w:val="fr-CH"/>
        </w:rPr>
        <w:t xml:space="preserve">les subtilités du </w:t>
      </w:r>
      <w:r w:rsidR="00132D61" w:rsidRPr="00223D01">
        <w:rPr>
          <w:lang w:val="fr-CH"/>
        </w:rPr>
        <w:t>fonctionnement du système hiéroglyphique (</w:t>
      </w:r>
      <w:r w:rsidR="006F148B" w:rsidRPr="00223D01">
        <w:rPr>
          <w:rFonts w:eastAsia="Times New Roman"/>
          <w:bCs/>
          <w:szCs w:val="24"/>
          <w:highlight w:val="yellow"/>
          <w:lang w:val="fr-CH"/>
        </w:rPr>
        <w:t>cf.</w:t>
      </w:r>
      <w:r w:rsidR="00ED4241" w:rsidRPr="00223D01">
        <w:rPr>
          <w:rFonts w:eastAsia="Times New Roman"/>
          <w:bCs/>
          <w:szCs w:val="24"/>
          <w:highlight w:val="yellow"/>
          <w:lang w:val="fr-CH"/>
        </w:rPr>
        <w:t> </w:t>
      </w:r>
      <w:r w:rsidR="006F148B" w:rsidRPr="00223D01">
        <w:rPr>
          <w:rFonts w:eastAsia="Times New Roman"/>
          <w:bCs/>
          <w:i/>
          <w:iCs/>
          <w:szCs w:val="24"/>
          <w:highlight w:val="yellow"/>
          <w:lang w:val="fr-CH"/>
        </w:rPr>
        <w:t>supra</w:t>
      </w:r>
      <w:r w:rsidR="006F148B" w:rsidRPr="00223D01">
        <w:rPr>
          <w:rFonts w:eastAsia="Times New Roman"/>
          <w:bCs/>
          <w:szCs w:val="24"/>
          <w:highlight w:val="yellow"/>
          <w:lang w:val="fr-CH"/>
        </w:rPr>
        <w:t xml:space="preserve">, </w:t>
      </w:r>
      <w:r w:rsidR="00132D61" w:rsidRPr="00223D01">
        <w:rPr>
          <w:highlight w:val="yellow"/>
          <w:lang w:val="fr-CH"/>
        </w:rPr>
        <w:t>2</w:t>
      </w:r>
      <w:r w:rsidR="00132D61" w:rsidRPr="00223D01">
        <w:rPr>
          <w:lang w:val="fr-CH"/>
        </w:rPr>
        <w:t xml:space="preserve">), </w:t>
      </w:r>
      <w:r w:rsidR="00AA3EFD" w:rsidRPr="00223D01">
        <w:rPr>
          <w:lang w:val="fr-CH"/>
        </w:rPr>
        <w:t xml:space="preserve">il ne fait pas de doute que les textes des auteurs classiques avaient </w:t>
      </w:r>
      <w:r w:rsidR="00217289" w:rsidRPr="00223D01">
        <w:rPr>
          <w:lang w:val="fr-CH"/>
        </w:rPr>
        <w:t xml:space="preserve">conservé la connaissance de </w:t>
      </w:r>
      <w:r w:rsidR="00D43B7E" w:rsidRPr="00223D01">
        <w:rPr>
          <w:lang w:val="fr-CH"/>
        </w:rPr>
        <w:t>plusieurs</w:t>
      </w:r>
      <w:r w:rsidR="00D67ED8" w:rsidRPr="00223D01">
        <w:rPr>
          <w:lang w:val="fr-CH"/>
        </w:rPr>
        <w:t xml:space="preserve"> </w:t>
      </w:r>
      <w:r w:rsidR="00217289" w:rsidRPr="00223D01">
        <w:rPr>
          <w:lang w:val="fr-CH"/>
        </w:rPr>
        <w:t>vérités</w:t>
      </w:r>
      <w:r w:rsidR="00313DD9" w:rsidRPr="00223D01">
        <w:rPr>
          <w:lang w:val="fr-CH"/>
        </w:rPr>
        <w:t xml:space="preserve"> concernant les différentes écritures égyptiennes</w:t>
      </w:r>
      <w:r w:rsidR="00294A08" w:rsidRPr="00223D01">
        <w:rPr>
          <w:lang w:val="fr-CH"/>
        </w:rPr>
        <w:t xml:space="preserve"> et leu</w:t>
      </w:r>
      <w:r w:rsidR="00700E0B" w:rsidRPr="00223D01">
        <w:rPr>
          <w:lang w:val="fr-CH"/>
        </w:rPr>
        <w:t>rs modes de signification</w:t>
      </w:r>
      <w:r w:rsidR="00294A08" w:rsidRPr="00223D01">
        <w:rPr>
          <w:lang w:val="fr-CH"/>
        </w:rPr>
        <w:t>.</w:t>
      </w:r>
    </w:p>
    <w:p w14:paraId="60F39675" w14:textId="42112539" w:rsidR="00867ECA" w:rsidRPr="00223D01" w:rsidRDefault="00217289" w:rsidP="004B0026">
      <w:pPr>
        <w:rPr>
          <w:lang w:val="fr-CH"/>
        </w:rPr>
      </w:pPr>
      <w:r w:rsidRPr="00223D01">
        <w:rPr>
          <w:lang w:val="fr-CH"/>
        </w:rPr>
        <w:t xml:space="preserve">Encore fallait-il </w:t>
      </w:r>
      <w:r w:rsidR="00684AEB" w:rsidRPr="00223D01">
        <w:rPr>
          <w:lang w:val="fr-CH"/>
        </w:rPr>
        <w:t>séparer</w:t>
      </w:r>
      <w:r w:rsidR="009B3491" w:rsidRPr="00223D01">
        <w:rPr>
          <w:lang w:val="fr-CH"/>
        </w:rPr>
        <w:t xml:space="preserve"> </w:t>
      </w:r>
      <w:r w:rsidRPr="00223D01">
        <w:rPr>
          <w:lang w:val="fr-CH"/>
        </w:rPr>
        <w:t xml:space="preserve">le bon grain de l’ivraie, ce qui est aisé </w:t>
      </w:r>
      <w:r w:rsidR="002D5196" w:rsidRPr="00223D01">
        <w:rPr>
          <w:i/>
          <w:iCs/>
          <w:lang w:val="fr-CH"/>
        </w:rPr>
        <w:t>a</w:t>
      </w:r>
      <w:r w:rsidRPr="00223D01">
        <w:rPr>
          <w:i/>
          <w:iCs/>
          <w:lang w:val="fr-CH"/>
        </w:rPr>
        <w:t xml:space="preserve"> posteriori</w:t>
      </w:r>
      <w:r w:rsidRPr="00223D01">
        <w:rPr>
          <w:lang w:val="fr-CH"/>
        </w:rPr>
        <w:t xml:space="preserve"> mais </w:t>
      </w:r>
      <w:r w:rsidR="00BE50CC" w:rsidRPr="00223D01">
        <w:rPr>
          <w:lang w:val="fr-CH"/>
        </w:rPr>
        <w:t>n’a pas été possible</w:t>
      </w:r>
      <w:r w:rsidR="00C44CAC" w:rsidRPr="00223D01">
        <w:rPr>
          <w:lang w:val="fr-CH"/>
        </w:rPr>
        <w:t xml:space="preserve"> </w:t>
      </w:r>
      <w:r w:rsidR="00ED66EF" w:rsidRPr="00223D01">
        <w:rPr>
          <w:lang w:val="fr-CH"/>
        </w:rPr>
        <w:t>alors</w:t>
      </w:r>
      <w:r w:rsidR="00AA72CA" w:rsidRPr="00223D01">
        <w:rPr>
          <w:lang w:val="fr-CH"/>
        </w:rPr>
        <w:t xml:space="preserve">. </w:t>
      </w:r>
      <w:r w:rsidR="005D12EE" w:rsidRPr="00223D01">
        <w:rPr>
          <w:lang w:val="fr-CH"/>
        </w:rPr>
        <w:t>Faute d’une étude critique de ces textes, l</w:t>
      </w:r>
      <w:r w:rsidR="00AA72CA" w:rsidRPr="00223D01">
        <w:rPr>
          <w:lang w:val="fr-CH"/>
        </w:rPr>
        <w:t xml:space="preserve">e point de vue qui s’est </w:t>
      </w:r>
      <w:r w:rsidR="0009518E" w:rsidRPr="00223D01">
        <w:rPr>
          <w:lang w:val="fr-CH"/>
        </w:rPr>
        <w:t xml:space="preserve">dès lors </w:t>
      </w:r>
      <w:r w:rsidR="00AA72CA" w:rsidRPr="00223D01">
        <w:rPr>
          <w:lang w:val="fr-CH"/>
        </w:rPr>
        <w:t>imposé est que les hiéroglyphes ne représentaient nullement le son des mots, mais étai</w:t>
      </w:r>
      <w:r w:rsidR="009B3B3E" w:rsidRPr="00223D01">
        <w:rPr>
          <w:lang w:val="fr-CH"/>
        </w:rPr>
        <w:t>en</w:t>
      </w:r>
      <w:r w:rsidR="00AA72CA" w:rsidRPr="00223D01">
        <w:rPr>
          <w:lang w:val="fr-CH"/>
        </w:rPr>
        <w:t xml:space="preserve">t </w:t>
      </w:r>
      <w:r w:rsidR="009B3B3E" w:rsidRPr="00223D01">
        <w:rPr>
          <w:lang w:val="fr-CH"/>
        </w:rPr>
        <w:t xml:space="preserve">chacun </w:t>
      </w:r>
      <w:r w:rsidR="00AA72CA" w:rsidRPr="00223D01">
        <w:rPr>
          <w:lang w:val="fr-CH"/>
        </w:rPr>
        <w:t>le signe d’une idée distincte, et que le</w:t>
      </w:r>
      <w:r w:rsidR="00BA7025" w:rsidRPr="00223D01">
        <w:rPr>
          <w:lang w:val="fr-CH"/>
        </w:rPr>
        <w:t>s</w:t>
      </w:r>
      <w:r w:rsidR="00AA72CA" w:rsidRPr="00223D01">
        <w:rPr>
          <w:lang w:val="fr-CH"/>
        </w:rPr>
        <w:t xml:space="preserve"> lien</w:t>
      </w:r>
      <w:r w:rsidR="00BA7025" w:rsidRPr="00223D01">
        <w:rPr>
          <w:lang w:val="fr-CH"/>
        </w:rPr>
        <w:t>s</w:t>
      </w:r>
      <w:r w:rsidR="00AA72CA" w:rsidRPr="00223D01">
        <w:rPr>
          <w:lang w:val="fr-CH"/>
        </w:rPr>
        <w:t xml:space="preserve"> entre hiéroglyphes et idées représentées étai</w:t>
      </w:r>
      <w:r w:rsidR="00BA7025" w:rsidRPr="00223D01">
        <w:rPr>
          <w:lang w:val="fr-CH"/>
        </w:rPr>
        <w:t>en</w:t>
      </w:r>
      <w:r w:rsidR="00AA72CA" w:rsidRPr="00223D01">
        <w:rPr>
          <w:lang w:val="fr-CH"/>
        </w:rPr>
        <w:t>t de nature symbolique ou emblématique</w:t>
      </w:r>
      <w:r w:rsidR="009F678B" w:rsidRPr="00223D01">
        <w:rPr>
          <w:rStyle w:val="Appelnotedebasdep"/>
          <w:lang w:val="fr-CH"/>
        </w:rPr>
        <w:footnoteReference w:id="8"/>
      </w:r>
      <w:r w:rsidR="00AA72CA" w:rsidRPr="00223D01">
        <w:rPr>
          <w:lang w:val="fr-CH"/>
        </w:rPr>
        <w:t>.</w:t>
      </w:r>
      <w:r w:rsidR="0062625B" w:rsidRPr="00223D01">
        <w:rPr>
          <w:lang w:val="fr-CH"/>
        </w:rPr>
        <w:t xml:space="preserve"> Ces principes, </w:t>
      </w:r>
      <w:r w:rsidR="00A61B2B" w:rsidRPr="00223D01">
        <w:rPr>
          <w:lang w:val="fr-CH"/>
        </w:rPr>
        <w:t xml:space="preserve">dont </w:t>
      </w:r>
      <w:r w:rsidR="0062625B" w:rsidRPr="00223D01">
        <w:rPr>
          <w:lang w:val="fr-CH"/>
        </w:rPr>
        <w:t xml:space="preserve">Champollion lui-même a très longtemps </w:t>
      </w:r>
      <w:r w:rsidR="00A61B2B" w:rsidRPr="00223D01">
        <w:rPr>
          <w:lang w:val="fr-CH"/>
        </w:rPr>
        <w:t xml:space="preserve">eu bien du mal à s’extraire </w:t>
      </w:r>
      <w:r w:rsidR="0062625B" w:rsidRPr="00223D01">
        <w:rPr>
          <w:lang w:val="fr-CH"/>
        </w:rPr>
        <w:t>(</w:t>
      </w:r>
      <w:r w:rsidR="006F148B" w:rsidRPr="00223D01">
        <w:rPr>
          <w:rFonts w:eastAsia="Times New Roman"/>
          <w:bCs/>
          <w:szCs w:val="24"/>
          <w:highlight w:val="yellow"/>
          <w:lang w:val="fr-CH"/>
        </w:rPr>
        <w:t xml:space="preserve">cf. </w:t>
      </w:r>
      <w:r w:rsidR="006F148B" w:rsidRPr="00223D01">
        <w:rPr>
          <w:rFonts w:eastAsia="Times New Roman"/>
          <w:bCs/>
          <w:i/>
          <w:iCs/>
          <w:szCs w:val="24"/>
          <w:highlight w:val="yellow"/>
          <w:lang w:val="fr-CH"/>
        </w:rPr>
        <w:t>infra</w:t>
      </w:r>
      <w:r w:rsidR="006F148B" w:rsidRPr="00223D01">
        <w:rPr>
          <w:rFonts w:eastAsia="Times New Roman"/>
          <w:bCs/>
          <w:szCs w:val="24"/>
          <w:highlight w:val="yellow"/>
          <w:lang w:val="fr-CH"/>
        </w:rPr>
        <w:t xml:space="preserve">, </w:t>
      </w:r>
      <w:r w:rsidR="0062625B" w:rsidRPr="00B50C19">
        <w:rPr>
          <w:highlight w:val="yellow"/>
          <w:lang w:val="fr-CH"/>
        </w:rPr>
        <w:t>9.</w:t>
      </w:r>
      <w:r w:rsidR="00B23601" w:rsidRPr="00B50C19">
        <w:rPr>
          <w:highlight w:val="yellow"/>
          <w:lang w:val="fr-CH"/>
        </w:rPr>
        <w:t>5</w:t>
      </w:r>
      <w:r w:rsidR="0062625B" w:rsidRPr="00223D01">
        <w:rPr>
          <w:lang w:val="fr-CH"/>
        </w:rPr>
        <w:t>)</w:t>
      </w:r>
      <w:r w:rsidR="00634EB4" w:rsidRPr="00223D01">
        <w:rPr>
          <w:lang w:val="fr-CH"/>
        </w:rPr>
        <w:t xml:space="preserve">, </w:t>
      </w:r>
      <w:r w:rsidR="003E1992" w:rsidRPr="00223D01">
        <w:rPr>
          <w:lang w:val="fr-CH"/>
        </w:rPr>
        <w:t>« </w:t>
      </w:r>
      <w:r w:rsidR="00634EB4" w:rsidRPr="00223D01">
        <w:rPr>
          <w:lang w:val="fr-CH"/>
        </w:rPr>
        <w:t xml:space="preserve">ouvraient à l’imagination un champ bien vaste, ou plutôt une carrière sans limites. Le jésuite </w:t>
      </w:r>
      <w:r w:rsidR="00634EB4" w:rsidRPr="00223D01">
        <w:rPr>
          <w:i/>
          <w:iCs/>
          <w:lang w:val="fr-CH"/>
        </w:rPr>
        <w:t>Kircher</w:t>
      </w:r>
      <w:r w:rsidR="00634EB4" w:rsidRPr="00223D01">
        <w:rPr>
          <w:lang w:val="fr-CH"/>
        </w:rPr>
        <w:t xml:space="preserve"> s’y jeta, et, ne gardant aucune réserve, abusa de la bonne foi de ses contemporains » (</w:t>
      </w:r>
      <w:r w:rsidR="00634EB4" w:rsidRPr="00223D01">
        <w:rPr>
          <w:i/>
          <w:iCs/>
          <w:lang w:val="fr-CH"/>
        </w:rPr>
        <w:t>Discours</w:t>
      </w:r>
      <w:r w:rsidR="00634EB4" w:rsidRPr="00223D01">
        <w:rPr>
          <w:lang w:val="fr-CH"/>
        </w:rPr>
        <w:t>, p</w:t>
      </w:r>
      <w:r w:rsidR="004956A8">
        <w:rPr>
          <w:lang w:val="fr-CH"/>
        </w:rPr>
        <w:t>p</w:t>
      </w:r>
      <w:r w:rsidR="00634EB4" w:rsidRPr="00223D01">
        <w:rPr>
          <w:lang w:val="fr-CH"/>
        </w:rPr>
        <w:t>. </w:t>
      </w:r>
      <w:proofErr w:type="spellStart"/>
      <w:r w:rsidR="00634EB4" w:rsidRPr="00223D01">
        <w:rPr>
          <w:lang w:val="fr-CH"/>
        </w:rPr>
        <w:t>vij</w:t>
      </w:r>
      <w:proofErr w:type="spellEnd"/>
      <w:r w:rsidR="00634EB4" w:rsidRPr="00223D01">
        <w:rPr>
          <w:lang w:val="fr-CH"/>
        </w:rPr>
        <w:t>–</w:t>
      </w:r>
      <w:proofErr w:type="spellStart"/>
      <w:r w:rsidR="00634EB4" w:rsidRPr="00223D01">
        <w:rPr>
          <w:lang w:val="fr-CH"/>
        </w:rPr>
        <w:t>viij</w:t>
      </w:r>
      <w:proofErr w:type="spellEnd"/>
      <w:r w:rsidR="00634EB4" w:rsidRPr="00223D01">
        <w:rPr>
          <w:lang w:val="fr-CH"/>
        </w:rPr>
        <w:t>)</w:t>
      </w:r>
      <w:r w:rsidR="00DC7DC1" w:rsidRPr="00223D01">
        <w:rPr>
          <w:lang w:val="fr-CH"/>
        </w:rPr>
        <w:t>.</w:t>
      </w:r>
    </w:p>
    <w:p w14:paraId="39AE5DF2" w14:textId="508C6F37" w:rsidR="007768A0" w:rsidRPr="00223D01" w:rsidRDefault="00633A40" w:rsidP="004B0026">
      <w:pPr>
        <w:spacing w:after="240"/>
        <w:rPr>
          <w:lang w:val="fr-CH"/>
        </w:rPr>
      </w:pPr>
      <w:r w:rsidRPr="00223D01">
        <w:rPr>
          <w:lang w:val="fr-CH"/>
        </w:rPr>
        <w:t xml:space="preserve">Champollion </w:t>
      </w:r>
      <w:r w:rsidR="001F0927" w:rsidRPr="00223D01">
        <w:rPr>
          <w:lang w:val="fr-CH"/>
        </w:rPr>
        <w:t xml:space="preserve">n’est </w:t>
      </w:r>
      <w:r w:rsidR="00B645C7" w:rsidRPr="00223D01">
        <w:rPr>
          <w:lang w:val="fr-CH"/>
        </w:rPr>
        <w:t>jamais</w:t>
      </w:r>
      <w:r w:rsidR="001F0927" w:rsidRPr="00223D01">
        <w:rPr>
          <w:lang w:val="fr-CH"/>
        </w:rPr>
        <w:t xml:space="preserve"> tendre avec Athanase Kircher</w:t>
      </w:r>
      <w:r w:rsidR="007768A0" w:rsidRPr="00223D01">
        <w:rPr>
          <w:rStyle w:val="Appelnotedebasdep"/>
          <w:lang w:val="fr-CH"/>
        </w:rPr>
        <w:footnoteReference w:id="9"/>
      </w:r>
      <w:r w:rsidR="001F0927" w:rsidRPr="00223D01">
        <w:rPr>
          <w:lang w:val="fr-CH"/>
        </w:rPr>
        <w:t xml:space="preserve"> </w:t>
      </w:r>
      <w:r w:rsidR="00776F9A" w:rsidRPr="00223D01">
        <w:rPr>
          <w:lang w:val="fr-CH"/>
        </w:rPr>
        <w:t>(</w:t>
      </w:r>
      <w:r w:rsidR="00776F9A" w:rsidRPr="002B5941">
        <w:rPr>
          <w:rFonts w:eastAsia="Times New Roman"/>
          <w:bCs/>
          <w:szCs w:val="24"/>
          <w:highlight w:val="yellow"/>
          <w:lang w:val="fr-CH"/>
        </w:rPr>
        <w:t xml:space="preserve">cf. </w:t>
      </w:r>
      <w:r w:rsidR="00776F9A" w:rsidRPr="002B5941">
        <w:rPr>
          <w:rFonts w:eastAsia="Times New Roman"/>
          <w:bCs/>
          <w:i/>
          <w:iCs/>
          <w:szCs w:val="24"/>
          <w:highlight w:val="yellow"/>
          <w:lang w:val="fr-CH"/>
        </w:rPr>
        <w:t>supra</w:t>
      </w:r>
      <w:r w:rsidR="00776F9A" w:rsidRPr="002B5941">
        <w:rPr>
          <w:rFonts w:eastAsia="Times New Roman"/>
          <w:bCs/>
          <w:szCs w:val="24"/>
          <w:highlight w:val="yellow"/>
          <w:lang w:val="fr-CH"/>
        </w:rPr>
        <w:t xml:space="preserve">, </w:t>
      </w:r>
      <w:r w:rsidR="001F0927" w:rsidRPr="002B5941">
        <w:rPr>
          <w:highlight w:val="yellow"/>
          <w:lang w:val="fr-CH"/>
        </w:rPr>
        <w:t>7</w:t>
      </w:r>
      <w:r w:rsidR="001F0927" w:rsidRPr="00223D01">
        <w:rPr>
          <w:lang w:val="fr-CH"/>
        </w:rPr>
        <w:t xml:space="preserve">), </w:t>
      </w:r>
      <w:r w:rsidR="00846EE5" w:rsidRPr="00223D01">
        <w:rPr>
          <w:lang w:val="fr-CH"/>
        </w:rPr>
        <w:t xml:space="preserve">première figure historique à laquelle il remonte dans ses </w:t>
      </w:r>
      <w:r w:rsidR="00CD3945" w:rsidRPr="00223D01">
        <w:rPr>
          <w:lang w:val="fr-CH"/>
        </w:rPr>
        <w:t>mises en récit</w:t>
      </w:r>
      <w:r w:rsidR="00846EE5" w:rsidRPr="00223D01">
        <w:rPr>
          <w:lang w:val="fr-CH"/>
        </w:rPr>
        <w:t xml:space="preserve"> du déchiffrement</w:t>
      </w:r>
      <w:r w:rsidR="00B458F8" w:rsidRPr="00223D01">
        <w:rPr>
          <w:lang w:val="fr-CH"/>
        </w:rPr>
        <w:t xml:space="preserve"> (</w:t>
      </w:r>
      <w:r w:rsidR="00B458F8" w:rsidRPr="002B5941">
        <w:rPr>
          <w:highlight w:val="yellow"/>
          <w:lang w:val="fr-CH"/>
        </w:rPr>
        <w:t>Fig. 1</w:t>
      </w:r>
      <w:r w:rsidR="00B458F8" w:rsidRPr="00223D01">
        <w:rPr>
          <w:lang w:val="fr-CH"/>
        </w:rPr>
        <w:t>)</w:t>
      </w:r>
      <w:r w:rsidR="00846EE5" w:rsidRPr="00223D01">
        <w:rPr>
          <w:lang w:val="fr-CH"/>
        </w:rPr>
        <w:t xml:space="preserve">. Il </w:t>
      </w:r>
      <w:r w:rsidR="00571A0F" w:rsidRPr="00223D01">
        <w:rPr>
          <w:lang w:val="fr-CH"/>
        </w:rPr>
        <w:t>affirme sans ambages que « [l]a science égyptologique n’avait retiré aucun f</w:t>
      </w:r>
      <w:r w:rsidR="00FA1A82" w:rsidRPr="00223D01">
        <w:rPr>
          <w:lang w:val="fr-CH"/>
        </w:rPr>
        <w:t>r</w:t>
      </w:r>
      <w:r w:rsidR="00571A0F" w:rsidRPr="00223D01">
        <w:rPr>
          <w:lang w:val="fr-CH"/>
        </w:rPr>
        <w:t>uit des immense</w:t>
      </w:r>
      <w:r w:rsidR="00274AEE" w:rsidRPr="00223D01">
        <w:rPr>
          <w:lang w:val="fr-CH"/>
        </w:rPr>
        <w:t>s</w:t>
      </w:r>
      <w:r w:rsidR="00571A0F" w:rsidRPr="00223D01">
        <w:rPr>
          <w:lang w:val="fr-CH"/>
        </w:rPr>
        <w:t xml:space="preserve"> travaux de </w:t>
      </w:r>
      <w:r w:rsidR="00571A0F" w:rsidRPr="00223D01">
        <w:rPr>
          <w:i/>
          <w:iCs/>
          <w:lang w:val="fr-CH"/>
        </w:rPr>
        <w:t xml:space="preserve">Kircher </w:t>
      </w:r>
      <w:r w:rsidR="00571A0F" w:rsidRPr="00223D01">
        <w:rPr>
          <w:lang w:val="fr-CH"/>
        </w:rPr>
        <w:t>sur les hiéroglyphes » (</w:t>
      </w:r>
      <w:r w:rsidR="00571A0F" w:rsidRPr="00223D01">
        <w:rPr>
          <w:i/>
          <w:iCs/>
          <w:lang w:val="fr-CH"/>
        </w:rPr>
        <w:t>Précis</w:t>
      </w:r>
      <w:r w:rsidR="00571A0F" w:rsidRPr="00223D01">
        <w:rPr>
          <w:lang w:val="fr-CH"/>
        </w:rPr>
        <w:t>, p. 12)</w:t>
      </w:r>
      <w:r w:rsidR="00115CB3" w:rsidRPr="00223D01">
        <w:rPr>
          <w:lang w:val="fr-CH"/>
        </w:rPr>
        <w:t xml:space="preserve">. </w:t>
      </w:r>
      <w:r w:rsidR="005B0650" w:rsidRPr="00223D01">
        <w:rPr>
          <w:lang w:val="fr-CH"/>
        </w:rPr>
        <w:t xml:space="preserve">Et </w:t>
      </w:r>
      <w:r w:rsidR="009336C0" w:rsidRPr="00223D01">
        <w:rPr>
          <w:lang w:val="fr-CH"/>
        </w:rPr>
        <w:t xml:space="preserve">il </w:t>
      </w:r>
      <w:r w:rsidR="005B0650" w:rsidRPr="00223D01">
        <w:rPr>
          <w:lang w:val="fr-CH"/>
        </w:rPr>
        <w:t xml:space="preserve">ajoute que les « rêveries de </w:t>
      </w:r>
      <w:r w:rsidR="005B0650" w:rsidRPr="00223D01">
        <w:rPr>
          <w:i/>
          <w:iCs/>
          <w:lang w:val="fr-CH"/>
        </w:rPr>
        <w:t xml:space="preserve">Kircher </w:t>
      </w:r>
      <w:r w:rsidR="005B0650" w:rsidRPr="00223D01">
        <w:rPr>
          <w:lang w:val="fr-CH"/>
        </w:rPr>
        <w:t>contribuèrent aussi à répandre dans le monde savant ce singulier préjugé (…) d’après lequel les inscriptions hiéroglyphiques sculptées sur tous les monuments, sans exception, étaient jadis comprises par ceux-là seuls d’entre les Égyptiens que leurs lumières avaient appelés aux grade</w:t>
      </w:r>
      <w:r w:rsidR="000D4B43" w:rsidRPr="00223D01">
        <w:rPr>
          <w:lang w:val="fr-CH"/>
        </w:rPr>
        <w:t>s</w:t>
      </w:r>
      <w:r w:rsidR="005B0650" w:rsidRPr="00223D01">
        <w:rPr>
          <w:lang w:val="fr-CH"/>
        </w:rPr>
        <w:t xml:space="preserve"> avancés de l’initiation religieuse. » (</w:t>
      </w:r>
      <w:r w:rsidR="005B0650" w:rsidRPr="00223D01">
        <w:rPr>
          <w:i/>
          <w:iCs/>
          <w:lang w:val="fr-CH"/>
        </w:rPr>
        <w:t>Discours</w:t>
      </w:r>
      <w:r w:rsidR="005B0650" w:rsidRPr="00223D01">
        <w:rPr>
          <w:lang w:val="fr-CH"/>
        </w:rPr>
        <w:t>, p. </w:t>
      </w:r>
      <w:proofErr w:type="spellStart"/>
      <w:r w:rsidR="005B0650" w:rsidRPr="00223D01">
        <w:rPr>
          <w:lang w:val="fr-CH"/>
        </w:rPr>
        <w:t>viij</w:t>
      </w:r>
      <w:proofErr w:type="spellEnd"/>
      <w:r w:rsidR="005B0650" w:rsidRPr="00223D01">
        <w:rPr>
          <w:lang w:val="fr-CH"/>
        </w:rPr>
        <w:t xml:space="preserve">). </w:t>
      </w:r>
      <w:r w:rsidR="009336C0" w:rsidRPr="00223D01">
        <w:rPr>
          <w:lang w:val="fr-CH"/>
        </w:rPr>
        <w:t xml:space="preserve">L’impasse </w:t>
      </w:r>
      <w:r w:rsidR="002355D0" w:rsidRPr="00223D01">
        <w:rPr>
          <w:lang w:val="fr-CH"/>
        </w:rPr>
        <w:t>es</w:t>
      </w:r>
      <w:r w:rsidR="009336C0" w:rsidRPr="00223D01">
        <w:rPr>
          <w:lang w:val="fr-CH"/>
        </w:rPr>
        <w:t xml:space="preserve">t donc double : </w:t>
      </w:r>
      <w:r w:rsidR="000C738F" w:rsidRPr="00223D01">
        <w:rPr>
          <w:lang w:val="fr-CH"/>
        </w:rPr>
        <w:t xml:space="preserve">les signes de l’écriture hiéroglyphique sont </w:t>
      </w:r>
      <w:r w:rsidR="00A76198" w:rsidRPr="00223D01">
        <w:rPr>
          <w:lang w:val="fr-CH"/>
        </w:rPr>
        <w:t>envisagés</w:t>
      </w:r>
      <w:r w:rsidR="00656E76" w:rsidRPr="00223D01">
        <w:rPr>
          <w:lang w:val="fr-CH"/>
        </w:rPr>
        <w:t xml:space="preserve"> non seulement</w:t>
      </w:r>
      <w:r w:rsidR="00A76198" w:rsidRPr="00223D01">
        <w:rPr>
          <w:lang w:val="fr-CH"/>
        </w:rPr>
        <w:t xml:space="preserve"> comme </w:t>
      </w:r>
      <w:r w:rsidR="000C738F" w:rsidRPr="00223D01">
        <w:rPr>
          <w:lang w:val="fr-CH"/>
        </w:rPr>
        <w:t xml:space="preserve">purement idéographiques, mais </w:t>
      </w:r>
      <w:r w:rsidR="00A77216">
        <w:rPr>
          <w:lang w:val="fr-CH"/>
        </w:rPr>
        <w:t xml:space="preserve">également </w:t>
      </w:r>
      <w:r w:rsidR="00656E76" w:rsidRPr="00223D01">
        <w:rPr>
          <w:lang w:val="fr-CH"/>
        </w:rPr>
        <w:t xml:space="preserve">comme </w:t>
      </w:r>
      <w:r w:rsidR="00160087" w:rsidRPr="00223D01">
        <w:rPr>
          <w:lang w:val="fr-CH"/>
        </w:rPr>
        <w:t xml:space="preserve">la </w:t>
      </w:r>
      <w:r w:rsidR="00656E76" w:rsidRPr="00223D01">
        <w:rPr>
          <w:lang w:val="fr-CH"/>
        </w:rPr>
        <w:t xml:space="preserve">manifestation </w:t>
      </w:r>
      <w:r w:rsidR="00312630" w:rsidRPr="00223D01">
        <w:rPr>
          <w:lang w:val="fr-CH"/>
        </w:rPr>
        <w:t>de profonds mystère</w:t>
      </w:r>
      <w:r w:rsidR="00656E76" w:rsidRPr="00223D01">
        <w:rPr>
          <w:lang w:val="fr-CH"/>
        </w:rPr>
        <w:t>s, « comme la doctrine sacerdotale la plus secrète expliquée par des énigmes</w:t>
      </w:r>
      <w:r w:rsidR="00A1714B" w:rsidRPr="00223D01">
        <w:rPr>
          <w:lang w:val="fr-CH"/>
        </w:rPr>
        <w:t> »</w:t>
      </w:r>
      <w:r w:rsidR="00656E76" w:rsidRPr="00223D01">
        <w:rPr>
          <w:lang w:val="fr-CH"/>
        </w:rPr>
        <w:t>.</w:t>
      </w:r>
    </w:p>
    <w:p w14:paraId="2CE1F6E7" w14:textId="5D04147C" w:rsidR="00135A42" w:rsidRPr="00223D01" w:rsidRDefault="00135A42" w:rsidP="00676E89">
      <w:pPr>
        <w:spacing w:after="120"/>
        <w:ind w:left="284" w:right="561" w:firstLine="0"/>
        <w:rPr>
          <w:sz w:val="20"/>
          <w:lang w:val="fr-CH"/>
        </w:rPr>
      </w:pPr>
      <w:r w:rsidRPr="00223D01">
        <w:rPr>
          <w:sz w:val="20"/>
          <w:highlight w:val="yellow"/>
          <w:lang w:val="fr-CH"/>
        </w:rPr>
        <w:t>Fig. </w:t>
      </w:r>
      <w:r w:rsidR="002B1CD5" w:rsidRPr="00223D01">
        <w:rPr>
          <w:sz w:val="20"/>
          <w:highlight w:val="yellow"/>
          <w:lang w:val="fr-CH"/>
        </w:rPr>
        <w:t>1</w:t>
      </w:r>
      <w:r w:rsidRPr="00223D01">
        <w:rPr>
          <w:sz w:val="20"/>
          <w:highlight w:val="yellow"/>
          <w:lang w:val="fr-CH"/>
        </w:rPr>
        <w:t>.</w:t>
      </w:r>
      <w:r w:rsidRPr="00223D01">
        <w:rPr>
          <w:sz w:val="20"/>
          <w:lang w:val="fr-CH"/>
        </w:rPr>
        <w:t> Paragraphe du manuscrit de la première leçon de Champollion au Collège de France consacré à Athanase Kircher (</w:t>
      </w:r>
      <w:proofErr w:type="spellStart"/>
      <w:r w:rsidRPr="00223D01">
        <w:rPr>
          <w:sz w:val="20"/>
          <w:lang w:val="fr-CH"/>
        </w:rPr>
        <w:t>BnF</w:t>
      </w:r>
      <w:proofErr w:type="spellEnd"/>
      <w:r w:rsidRPr="00223D01">
        <w:rPr>
          <w:sz w:val="20"/>
          <w:lang w:val="fr-CH"/>
        </w:rPr>
        <w:t>, NAF</w:t>
      </w:r>
      <w:r w:rsidR="005F4304" w:rsidRPr="00223D01">
        <w:rPr>
          <w:sz w:val="20"/>
          <w:lang w:val="fr-CH"/>
        </w:rPr>
        <w:t xml:space="preserve"> </w:t>
      </w:r>
      <w:r w:rsidR="00A913B4" w:rsidRPr="00223D01">
        <w:rPr>
          <w:sz w:val="20"/>
          <w:lang w:val="fr-CH"/>
        </w:rPr>
        <w:t>20343</w:t>
      </w:r>
      <w:r w:rsidRPr="00223D01">
        <w:rPr>
          <w:sz w:val="20"/>
          <w:lang w:val="fr-CH"/>
        </w:rPr>
        <w:t xml:space="preserve">, </w:t>
      </w:r>
      <w:r w:rsidR="005F4304" w:rsidRPr="00223D01">
        <w:rPr>
          <w:sz w:val="20"/>
          <w:lang w:val="fr-CH"/>
        </w:rPr>
        <w:t>p. 7/12 [</w:t>
      </w:r>
      <w:r w:rsidR="005E2297" w:rsidRPr="00223D01">
        <w:rPr>
          <w:sz w:val="20"/>
          <w:lang w:val="fr-CH"/>
        </w:rPr>
        <w:t>= p. 17]</w:t>
      </w:r>
      <w:r w:rsidR="005F4304" w:rsidRPr="00223D01">
        <w:rPr>
          <w:sz w:val="20"/>
          <w:lang w:val="fr-CH"/>
        </w:rPr>
        <w:t>)</w:t>
      </w:r>
      <w:r w:rsidR="00A1714B" w:rsidRPr="00223D01">
        <w:rPr>
          <w:rStyle w:val="Appelnotedebasdep"/>
          <w:sz w:val="20"/>
          <w:lang w:val="fr-CH"/>
        </w:rPr>
        <w:footnoteReference w:id="10"/>
      </w:r>
    </w:p>
    <w:p w14:paraId="2834E695" w14:textId="4D4DFA10" w:rsidR="004F0D5B" w:rsidRPr="00223D01" w:rsidRDefault="00B7348A" w:rsidP="004B0026">
      <w:pPr>
        <w:rPr>
          <w:lang w:val="fr-CH"/>
        </w:rPr>
      </w:pPr>
      <w:r w:rsidRPr="00223D01">
        <w:rPr>
          <w:lang w:val="fr-CH"/>
        </w:rPr>
        <w:t>Pour cette raison</w:t>
      </w:r>
      <w:r w:rsidR="00382C52" w:rsidRPr="00223D01">
        <w:rPr>
          <w:lang w:val="fr-CH"/>
        </w:rPr>
        <w:t xml:space="preserve">, le lien entre hiéroglyphes </w:t>
      </w:r>
      <w:r w:rsidR="00864A78" w:rsidRPr="00223D01">
        <w:rPr>
          <w:lang w:val="fr-CH"/>
        </w:rPr>
        <w:t>et langue parlée n’est pas même envisagé</w:t>
      </w:r>
      <w:r w:rsidR="00586EE4" w:rsidRPr="00223D01">
        <w:rPr>
          <w:lang w:val="fr-CH"/>
        </w:rPr>
        <w:t xml:space="preserve"> par </w:t>
      </w:r>
      <w:r w:rsidR="00DD0FBA" w:rsidRPr="00223D01">
        <w:rPr>
          <w:lang w:val="fr-CH"/>
        </w:rPr>
        <w:t xml:space="preserve">Athanase </w:t>
      </w:r>
      <w:r w:rsidR="00586EE4" w:rsidRPr="00223D01">
        <w:rPr>
          <w:lang w:val="fr-CH"/>
        </w:rPr>
        <w:t>Kircher, la nature des systèmes étant</w:t>
      </w:r>
      <w:r w:rsidR="00B517A7" w:rsidRPr="00223D01">
        <w:rPr>
          <w:lang w:val="fr-CH"/>
        </w:rPr>
        <w:t>,</w:t>
      </w:r>
      <w:r w:rsidR="00586EE4" w:rsidRPr="00223D01">
        <w:rPr>
          <w:lang w:val="fr-CH"/>
        </w:rPr>
        <w:t xml:space="preserve"> </w:t>
      </w:r>
      <w:r w:rsidR="00B517A7" w:rsidRPr="00223D01">
        <w:rPr>
          <w:lang w:val="fr-CH"/>
        </w:rPr>
        <w:t xml:space="preserve">dans son esprit, </w:t>
      </w:r>
      <w:r w:rsidR="00586EE4" w:rsidRPr="00223D01">
        <w:rPr>
          <w:lang w:val="fr-CH"/>
        </w:rPr>
        <w:t>par trop diamétralement opposée</w:t>
      </w:r>
      <w:r w:rsidR="00864A78" w:rsidRPr="00223D01">
        <w:rPr>
          <w:lang w:val="fr-CH"/>
        </w:rPr>
        <w:t xml:space="preserve">. </w:t>
      </w:r>
      <w:r w:rsidR="00BC7925" w:rsidRPr="00223D01">
        <w:rPr>
          <w:lang w:val="fr-CH"/>
        </w:rPr>
        <w:t>Or cette langue parlée devenait à cette époque accessible</w:t>
      </w:r>
      <w:r w:rsidR="000432CD" w:rsidRPr="00223D01">
        <w:rPr>
          <w:lang w:val="fr-CH"/>
        </w:rPr>
        <w:t>. D</w:t>
      </w:r>
      <w:r w:rsidR="00BC7925" w:rsidRPr="00223D01">
        <w:rPr>
          <w:lang w:val="fr-CH"/>
        </w:rPr>
        <w:t xml:space="preserve">ès le début du </w:t>
      </w:r>
      <w:proofErr w:type="spellStart"/>
      <w:r w:rsidR="00BC7925" w:rsidRPr="00223D01">
        <w:rPr>
          <w:smallCaps/>
          <w:lang w:val="fr-CH"/>
        </w:rPr>
        <w:t>xvii</w:t>
      </w:r>
      <w:r w:rsidR="00BC7925" w:rsidRPr="00223D01">
        <w:rPr>
          <w:vertAlign w:val="superscript"/>
          <w:lang w:val="fr-CH"/>
        </w:rPr>
        <w:t>e</w:t>
      </w:r>
      <w:proofErr w:type="spellEnd"/>
      <w:r w:rsidR="00BC7925" w:rsidRPr="00223D01">
        <w:rPr>
          <w:lang w:val="fr-CH"/>
        </w:rPr>
        <w:t xml:space="preserve"> siècle, l’idée est répandue que les manuscrits coptes ramenés d’Égypte par les missionnaires et voyageurs — notamment à l’instigation de Nicolas-Claude </w:t>
      </w:r>
      <w:proofErr w:type="spellStart"/>
      <w:r w:rsidR="00BC7925" w:rsidRPr="00223D01">
        <w:rPr>
          <w:lang w:val="fr-CH"/>
        </w:rPr>
        <w:t>Fabri</w:t>
      </w:r>
      <w:proofErr w:type="spellEnd"/>
      <w:r w:rsidR="00BC7925" w:rsidRPr="00223D01">
        <w:rPr>
          <w:lang w:val="fr-CH"/>
        </w:rPr>
        <w:t xml:space="preserve"> de Peiresc (1580–1637), le </w:t>
      </w:r>
      <w:r w:rsidR="00BC7925" w:rsidRPr="00223D01">
        <w:rPr>
          <w:lang w:val="fr-CH"/>
        </w:rPr>
        <w:lastRenderedPageBreak/>
        <w:t>‘Prince des Curieux’ et maître de Kircher</w:t>
      </w:r>
      <w:r w:rsidR="003E1096" w:rsidRPr="00223D01">
        <w:rPr>
          <w:rStyle w:val="Appelnotedebasdep"/>
          <w:lang w:val="fr-CH"/>
        </w:rPr>
        <w:footnoteReference w:id="11"/>
      </w:r>
      <w:r w:rsidR="003E1096">
        <w:rPr>
          <w:lang w:val="fr-CH"/>
        </w:rPr>
        <w:t> </w:t>
      </w:r>
      <w:r w:rsidR="00BC7925" w:rsidRPr="00223D01">
        <w:rPr>
          <w:lang w:val="fr-CH"/>
        </w:rPr>
        <w:t>— contiennent des textes en langue égyptienne, mais écrits au moyen de l’alphabet grec augmenté de quelques signes d’origine égyptienne</w:t>
      </w:r>
      <w:r w:rsidR="00CC0A95" w:rsidRPr="00223D01">
        <w:rPr>
          <w:rStyle w:val="Appelnotedebasdep"/>
          <w:lang w:val="fr-CH"/>
        </w:rPr>
        <w:footnoteReference w:id="12"/>
      </w:r>
      <w:r w:rsidR="00BC7925" w:rsidRPr="00223D01">
        <w:rPr>
          <w:lang w:val="fr-CH"/>
        </w:rPr>
        <w:t xml:space="preserve">. </w:t>
      </w:r>
      <w:r w:rsidR="004F0D5B" w:rsidRPr="00223D01">
        <w:rPr>
          <w:lang w:val="fr-CH"/>
        </w:rPr>
        <w:t xml:space="preserve">La chose ne manque rétrospectivement pas de piquant, car Kircher lui-même a publié en 1643 sous le titre </w:t>
      </w:r>
      <w:r w:rsidR="004F0D5B" w:rsidRPr="00223D01">
        <w:rPr>
          <w:i/>
          <w:iCs/>
          <w:lang w:val="fr-CH"/>
        </w:rPr>
        <w:t xml:space="preserve">Lingua </w:t>
      </w:r>
      <w:proofErr w:type="spellStart"/>
      <w:r w:rsidR="004F0D5B" w:rsidRPr="00223D01">
        <w:rPr>
          <w:i/>
          <w:iCs/>
          <w:lang w:val="fr-CH"/>
        </w:rPr>
        <w:t>ægyptiaca</w:t>
      </w:r>
      <w:proofErr w:type="spellEnd"/>
      <w:r w:rsidR="004F0D5B" w:rsidRPr="00223D01">
        <w:rPr>
          <w:i/>
          <w:iCs/>
          <w:lang w:val="fr-CH"/>
        </w:rPr>
        <w:t xml:space="preserve"> </w:t>
      </w:r>
      <w:proofErr w:type="spellStart"/>
      <w:r w:rsidR="004F0D5B" w:rsidRPr="00223D01">
        <w:rPr>
          <w:i/>
          <w:iCs/>
          <w:lang w:val="fr-CH"/>
        </w:rPr>
        <w:t>restituta</w:t>
      </w:r>
      <w:proofErr w:type="spellEnd"/>
      <w:r w:rsidR="004F0D5B" w:rsidRPr="00223D01">
        <w:rPr>
          <w:i/>
          <w:iCs/>
          <w:lang w:val="fr-CH"/>
        </w:rPr>
        <w:t xml:space="preserve"> </w:t>
      </w:r>
      <w:r w:rsidR="004F0D5B" w:rsidRPr="00223D01">
        <w:rPr>
          <w:lang w:val="fr-CH"/>
        </w:rPr>
        <w:t xml:space="preserve">des manuscrits arabes rapportés d’orient par Pietro </w:t>
      </w:r>
      <w:proofErr w:type="spellStart"/>
      <w:r w:rsidR="004F0D5B" w:rsidRPr="00223D01">
        <w:rPr>
          <w:lang w:val="fr-CH"/>
        </w:rPr>
        <w:t>della</w:t>
      </w:r>
      <w:proofErr w:type="spellEnd"/>
      <w:r w:rsidR="004F0D5B" w:rsidRPr="00223D01">
        <w:rPr>
          <w:lang w:val="fr-CH"/>
        </w:rPr>
        <w:t xml:space="preserve"> Valle contenant des grammaires du copte et un vocabulaire copte-arabe. Ces documents bilingues joueront, </w:t>
      </w:r>
      <w:r w:rsidR="004F0D5B" w:rsidRPr="00223D01">
        <w:rPr>
          <w:i/>
          <w:iCs/>
          <w:lang w:val="fr-CH"/>
        </w:rPr>
        <w:t>mutatis mutandis</w:t>
      </w:r>
      <w:r w:rsidR="004F0D5B" w:rsidRPr="00223D01">
        <w:rPr>
          <w:lang w:val="fr-CH"/>
        </w:rPr>
        <w:t>, le rôle de Pierre de Rosette pour le copte (</w:t>
      </w:r>
      <w:r w:rsidR="00CC0A95" w:rsidRPr="00640D7A">
        <w:rPr>
          <w:rFonts w:eastAsia="Times New Roman"/>
          <w:bCs/>
          <w:szCs w:val="24"/>
          <w:highlight w:val="yellow"/>
          <w:lang w:val="fr-CH"/>
        </w:rPr>
        <w:t xml:space="preserve">cf. </w:t>
      </w:r>
      <w:r w:rsidR="00CC0A95" w:rsidRPr="00640D7A">
        <w:rPr>
          <w:rFonts w:eastAsia="Times New Roman"/>
          <w:bCs/>
          <w:i/>
          <w:iCs/>
          <w:szCs w:val="24"/>
          <w:highlight w:val="yellow"/>
          <w:lang w:val="fr-CH"/>
        </w:rPr>
        <w:t>supra</w:t>
      </w:r>
      <w:r w:rsidR="00CC0A95" w:rsidRPr="00640D7A">
        <w:rPr>
          <w:rFonts w:eastAsia="Times New Roman"/>
          <w:bCs/>
          <w:szCs w:val="24"/>
          <w:highlight w:val="yellow"/>
          <w:lang w:val="fr-CH"/>
        </w:rPr>
        <w:t xml:space="preserve">, 7.6.1 et </w:t>
      </w:r>
      <w:r w:rsidR="00CC0A95" w:rsidRPr="00640D7A">
        <w:rPr>
          <w:rFonts w:eastAsia="Times New Roman"/>
          <w:bCs/>
          <w:i/>
          <w:iCs/>
          <w:szCs w:val="24"/>
          <w:highlight w:val="yellow"/>
          <w:lang w:val="fr-CH"/>
        </w:rPr>
        <w:t>infra</w:t>
      </w:r>
      <w:r w:rsidR="00CC0A95" w:rsidRPr="00640D7A">
        <w:rPr>
          <w:highlight w:val="yellow"/>
          <w:lang w:val="fr-CH"/>
        </w:rPr>
        <w:t xml:space="preserve"> </w:t>
      </w:r>
      <w:r w:rsidR="004F0D5B" w:rsidRPr="00640D7A">
        <w:rPr>
          <w:highlight w:val="yellow"/>
          <w:lang w:val="fr-CH"/>
        </w:rPr>
        <w:t>9.</w:t>
      </w:r>
      <w:r w:rsidR="002B1CD5" w:rsidRPr="00640D7A">
        <w:rPr>
          <w:highlight w:val="yellow"/>
          <w:lang w:val="fr-CH"/>
        </w:rPr>
        <w:t>3</w:t>
      </w:r>
      <w:r w:rsidR="004F0D5B" w:rsidRPr="00223D01">
        <w:rPr>
          <w:lang w:val="fr-CH"/>
        </w:rPr>
        <w:t>), en permettant la lecture de ces texte</w:t>
      </w:r>
      <w:r w:rsidR="005A62EB" w:rsidRPr="00223D01">
        <w:rPr>
          <w:lang w:val="fr-CH"/>
        </w:rPr>
        <w:t>s</w:t>
      </w:r>
      <w:r w:rsidR="004F0D5B" w:rsidRPr="00223D01">
        <w:rPr>
          <w:lang w:val="fr-CH"/>
        </w:rPr>
        <w:t xml:space="preserve"> en Occident, mais ne serviront dans un premier temps que « le seul intérêt de la littérature biblique. » (</w:t>
      </w:r>
      <w:r w:rsidR="004F0D5B" w:rsidRPr="00223D01">
        <w:rPr>
          <w:i/>
          <w:iCs/>
          <w:lang w:val="fr-CH"/>
        </w:rPr>
        <w:t>Discours</w:t>
      </w:r>
      <w:r w:rsidR="004F0D5B" w:rsidRPr="00223D01">
        <w:rPr>
          <w:lang w:val="fr-CH"/>
        </w:rPr>
        <w:t>, p. x).</w:t>
      </w:r>
    </w:p>
    <w:p w14:paraId="60CC7A18" w14:textId="6B3F0451" w:rsidR="002635D4" w:rsidRPr="00223D01" w:rsidRDefault="00864A78" w:rsidP="004B0026">
      <w:pPr>
        <w:rPr>
          <w:lang w:val="fr-CH"/>
        </w:rPr>
      </w:pPr>
      <w:r w:rsidRPr="00223D01">
        <w:rPr>
          <w:lang w:val="fr-CH"/>
        </w:rPr>
        <w:t>Champollion v</w:t>
      </w:r>
      <w:r w:rsidR="00291C20" w:rsidRPr="00223D01">
        <w:rPr>
          <w:lang w:val="fr-CH"/>
        </w:rPr>
        <w:t xml:space="preserve">erra </w:t>
      </w:r>
      <w:r w:rsidR="00DF647A" w:rsidRPr="00223D01">
        <w:rPr>
          <w:lang w:val="fr-CH"/>
        </w:rPr>
        <w:t>quant à lui</w:t>
      </w:r>
      <w:r w:rsidR="00FA2F55" w:rsidRPr="00223D01">
        <w:rPr>
          <w:lang w:val="fr-CH"/>
        </w:rPr>
        <w:t xml:space="preserve"> </w:t>
      </w:r>
      <w:r w:rsidR="004F0D5B" w:rsidRPr="00223D01">
        <w:rPr>
          <w:lang w:val="fr-CH"/>
        </w:rPr>
        <w:t xml:space="preserve">dans ce lien </w:t>
      </w:r>
      <w:r w:rsidRPr="00223D01">
        <w:rPr>
          <w:lang w:val="fr-CH"/>
        </w:rPr>
        <w:t>une nécessité logique</w:t>
      </w:r>
      <w:r w:rsidR="00122835" w:rsidRPr="00223D01">
        <w:rPr>
          <w:lang w:val="fr-CH"/>
        </w:rPr>
        <w:t xml:space="preserve"> (</w:t>
      </w:r>
      <w:r w:rsidR="00122835" w:rsidRPr="00223D01">
        <w:rPr>
          <w:i/>
          <w:iCs/>
          <w:lang w:val="fr-CH"/>
        </w:rPr>
        <w:t>Discours</w:t>
      </w:r>
      <w:r w:rsidR="00122835" w:rsidRPr="00223D01">
        <w:rPr>
          <w:lang w:val="fr-CH"/>
        </w:rPr>
        <w:t>, p</w:t>
      </w:r>
      <w:r w:rsidR="00116EBC">
        <w:rPr>
          <w:lang w:val="fr-CH"/>
        </w:rPr>
        <w:t>p</w:t>
      </w:r>
      <w:r w:rsidR="00122835" w:rsidRPr="00223D01">
        <w:rPr>
          <w:lang w:val="fr-CH"/>
        </w:rPr>
        <w:t>. </w:t>
      </w:r>
      <w:proofErr w:type="spellStart"/>
      <w:r w:rsidR="00122835" w:rsidRPr="00223D01">
        <w:rPr>
          <w:lang w:val="fr-CH"/>
        </w:rPr>
        <w:t>viij</w:t>
      </w:r>
      <w:proofErr w:type="spellEnd"/>
      <w:r w:rsidR="00122835" w:rsidRPr="00223D01">
        <w:rPr>
          <w:lang w:val="fr-CH"/>
        </w:rPr>
        <w:t>–ix)</w:t>
      </w:r>
      <w:r w:rsidR="00EC5681" w:rsidRPr="00223D01">
        <w:rPr>
          <w:lang w:val="fr-CH"/>
        </w:rPr>
        <w:t>.</w:t>
      </w:r>
      <w:r w:rsidR="00A1467E" w:rsidRPr="00223D01">
        <w:rPr>
          <w:lang w:val="fr-CH"/>
        </w:rPr>
        <w:t xml:space="preserve"> </w:t>
      </w:r>
      <w:r w:rsidR="007B5FF0" w:rsidRPr="00223D01">
        <w:rPr>
          <w:lang w:val="fr-CH"/>
        </w:rPr>
        <w:t>En effet, m</w:t>
      </w:r>
      <w:r w:rsidRPr="00223D01">
        <w:rPr>
          <w:lang w:val="fr-CH"/>
        </w:rPr>
        <w:t xml:space="preserve">ême à considérer </w:t>
      </w:r>
      <w:r w:rsidR="00081459" w:rsidRPr="00223D01">
        <w:rPr>
          <w:lang w:val="fr-CH"/>
        </w:rPr>
        <w:t xml:space="preserve">l’hypothèse extrême d’une </w:t>
      </w:r>
      <w:r w:rsidRPr="00223D01">
        <w:rPr>
          <w:lang w:val="fr-CH"/>
        </w:rPr>
        <w:t>écriture égyptienne purement idéographique, les idées</w:t>
      </w:r>
      <w:r w:rsidR="00A85F03" w:rsidRPr="00223D01">
        <w:rPr>
          <w:lang w:val="fr-CH"/>
        </w:rPr>
        <w:t xml:space="preserve"> notées par les hiéroglyphes</w:t>
      </w:r>
      <w:r w:rsidRPr="00223D01">
        <w:rPr>
          <w:lang w:val="fr-CH"/>
        </w:rPr>
        <w:t xml:space="preserve"> </w:t>
      </w:r>
      <w:r w:rsidR="00413B5A" w:rsidRPr="00223D01">
        <w:rPr>
          <w:lang w:val="fr-CH"/>
        </w:rPr>
        <w:t>devaient</w:t>
      </w:r>
      <w:r w:rsidR="00EE3CA1" w:rsidRPr="00223D01">
        <w:rPr>
          <w:lang w:val="fr-CH"/>
        </w:rPr>
        <w:t xml:space="preserve"> </w:t>
      </w:r>
      <w:r w:rsidRPr="00223D01">
        <w:rPr>
          <w:lang w:val="fr-CH"/>
        </w:rPr>
        <w:t xml:space="preserve">suivre </w:t>
      </w:r>
      <w:r w:rsidR="000263A2" w:rsidRPr="00223D01">
        <w:rPr>
          <w:lang w:val="fr-CH"/>
        </w:rPr>
        <w:t xml:space="preserve">le même ordre </w:t>
      </w:r>
      <w:r w:rsidR="006C0D8A" w:rsidRPr="00223D01">
        <w:rPr>
          <w:lang w:val="fr-CH"/>
        </w:rPr>
        <w:t xml:space="preserve">et les mêmes règles de construction que les mots de la langue véhiculant </w:t>
      </w:r>
      <w:r w:rsidR="001D795E" w:rsidRPr="00223D01">
        <w:rPr>
          <w:lang w:val="fr-CH"/>
        </w:rPr>
        <w:t xml:space="preserve">cette </w:t>
      </w:r>
      <w:r w:rsidR="006C0D8A" w:rsidRPr="00223D01">
        <w:rPr>
          <w:lang w:val="fr-CH"/>
        </w:rPr>
        <w:t>pensée.</w:t>
      </w:r>
      <w:r w:rsidR="00165582" w:rsidRPr="00223D01">
        <w:rPr>
          <w:lang w:val="fr-CH"/>
        </w:rPr>
        <w:t xml:space="preserve"> </w:t>
      </w:r>
      <w:r w:rsidR="00A41CFB" w:rsidRPr="00223D01">
        <w:rPr>
          <w:lang w:val="fr-CH"/>
        </w:rPr>
        <w:t>Claude Saumaise (1588–1653), dont les mérites sont soulignés par Champollion</w:t>
      </w:r>
      <w:r w:rsidR="00EC0A70" w:rsidRPr="00223D01">
        <w:rPr>
          <w:lang w:val="fr-CH"/>
        </w:rPr>
        <w:t xml:space="preserve"> (</w:t>
      </w:r>
      <w:r w:rsidR="00EC0A70" w:rsidRPr="00223D01">
        <w:rPr>
          <w:i/>
          <w:iCs/>
          <w:lang w:val="fr-CH"/>
        </w:rPr>
        <w:t>Discours</w:t>
      </w:r>
      <w:r w:rsidR="00EC0A70" w:rsidRPr="00223D01">
        <w:rPr>
          <w:lang w:val="fr-CH"/>
        </w:rPr>
        <w:t>, p. x)</w:t>
      </w:r>
      <w:r w:rsidR="00A41CFB" w:rsidRPr="00223D01">
        <w:rPr>
          <w:lang w:val="fr-CH"/>
        </w:rPr>
        <w:t>, y recourut d’ailleurs pour expliquer avec succès bon nombre de mots égyptiens que l’on rencontre dans l</w:t>
      </w:r>
      <w:r w:rsidR="007624F8" w:rsidRPr="00223D01">
        <w:rPr>
          <w:lang w:val="fr-CH"/>
        </w:rPr>
        <w:t>es textes des auteurs grecs.</w:t>
      </w:r>
    </w:p>
    <w:p w14:paraId="1AA8D75A" w14:textId="60AEC80B" w:rsidR="009E124C" w:rsidRPr="00223D01" w:rsidRDefault="009E124C" w:rsidP="00D25971">
      <w:pPr>
        <w:pStyle w:val="Titre2"/>
        <w:ind w:left="284" w:firstLine="0"/>
        <w:rPr>
          <w:lang w:val="fr-CH"/>
        </w:rPr>
      </w:pPr>
      <w:r w:rsidRPr="00223D01">
        <w:rPr>
          <w:lang w:val="fr-CH"/>
        </w:rPr>
        <w:t>9.</w:t>
      </w:r>
      <w:r w:rsidR="00C94524" w:rsidRPr="00223D01">
        <w:rPr>
          <w:lang w:val="fr-CH"/>
        </w:rPr>
        <w:t>2</w:t>
      </w:r>
      <w:r w:rsidRPr="00223D01">
        <w:rPr>
          <w:lang w:val="fr-CH"/>
        </w:rPr>
        <w:t>. </w:t>
      </w:r>
      <w:r w:rsidR="00C94524" w:rsidRPr="00223D01">
        <w:rPr>
          <w:lang w:val="fr-CH"/>
        </w:rPr>
        <w:t xml:space="preserve">Le </w:t>
      </w:r>
      <w:proofErr w:type="spellStart"/>
      <w:r w:rsidR="00C94524" w:rsidRPr="00223D01">
        <w:rPr>
          <w:lang w:val="fr-CH"/>
        </w:rPr>
        <w:t>xviii</w:t>
      </w:r>
      <w:r w:rsidR="00C94524" w:rsidRPr="00223D01">
        <w:rPr>
          <w:vertAlign w:val="superscript"/>
          <w:lang w:val="fr-CH"/>
        </w:rPr>
        <w:t>e</w:t>
      </w:r>
      <w:proofErr w:type="spellEnd"/>
      <w:r w:rsidR="00C94524" w:rsidRPr="00223D01">
        <w:rPr>
          <w:lang w:val="fr-CH"/>
        </w:rPr>
        <w:t xml:space="preserve"> siècle</w:t>
      </w:r>
      <w:r w:rsidR="00100E6A" w:rsidRPr="00223D01">
        <w:rPr>
          <w:lang w:val="fr-CH"/>
        </w:rPr>
        <w:t> :</w:t>
      </w:r>
      <w:r w:rsidR="001C2826" w:rsidRPr="00223D01">
        <w:rPr>
          <w:lang w:val="fr-CH"/>
        </w:rPr>
        <w:t xml:space="preserve"> </w:t>
      </w:r>
      <w:r w:rsidR="00D25971">
        <w:rPr>
          <w:lang w:val="fr-CH"/>
        </w:rPr>
        <w:tab/>
      </w:r>
      <w:r w:rsidR="00D25971">
        <w:rPr>
          <w:lang w:val="fr-CH"/>
        </w:rPr>
        <w:br/>
      </w:r>
      <w:r w:rsidR="00065393" w:rsidRPr="00223D01">
        <w:rPr>
          <w:lang w:val="fr-CH"/>
        </w:rPr>
        <w:t xml:space="preserve">entre </w:t>
      </w:r>
      <w:r w:rsidR="00A632E0" w:rsidRPr="00223D01">
        <w:rPr>
          <w:lang w:val="fr-CH"/>
        </w:rPr>
        <w:t>inepties, impasses</w:t>
      </w:r>
      <w:r w:rsidR="00D2775B" w:rsidRPr="00223D01">
        <w:rPr>
          <w:lang w:val="fr-CH"/>
        </w:rPr>
        <w:t xml:space="preserve">, </w:t>
      </w:r>
      <w:r w:rsidR="00065393" w:rsidRPr="00223D01">
        <w:rPr>
          <w:lang w:val="fr-CH"/>
        </w:rPr>
        <w:t>progrès</w:t>
      </w:r>
      <w:r w:rsidR="00D2775B" w:rsidRPr="00223D01">
        <w:rPr>
          <w:lang w:val="fr-CH"/>
        </w:rPr>
        <w:t xml:space="preserve"> et oublis</w:t>
      </w:r>
    </w:p>
    <w:p w14:paraId="0FA0DE19" w14:textId="1400898B" w:rsidR="009C20D9" w:rsidRPr="00223D01" w:rsidRDefault="00D2775B" w:rsidP="004B0026">
      <w:pPr>
        <w:rPr>
          <w:lang w:val="fr-CH"/>
        </w:rPr>
      </w:pPr>
      <w:r w:rsidRPr="00223D01">
        <w:rPr>
          <w:lang w:val="fr-CH"/>
        </w:rPr>
        <w:t>Le point de vue de Champollion sur les avancé</w:t>
      </w:r>
      <w:r w:rsidR="00116EAD" w:rsidRPr="00223D01">
        <w:rPr>
          <w:lang w:val="fr-CH"/>
        </w:rPr>
        <w:t>es du</w:t>
      </w:r>
      <w:r w:rsidR="00127A66" w:rsidRPr="00223D01">
        <w:rPr>
          <w:lang w:val="fr-CH"/>
        </w:rPr>
        <w:t xml:space="preserve"> siècle où il est né </w:t>
      </w:r>
      <w:r w:rsidR="00B9645A" w:rsidRPr="00223D01">
        <w:rPr>
          <w:lang w:val="fr-CH"/>
        </w:rPr>
        <w:t>— </w:t>
      </w:r>
      <w:r w:rsidR="00127A66" w:rsidRPr="00223D01">
        <w:rPr>
          <w:lang w:val="fr-CH"/>
        </w:rPr>
        <w:t>un jeudi 23 décembre 1790 à Figeac dans le Lot</w:t>
      </w:r>
      <w:r w:rsidR="00B9645A" w:rsidRPr="00223D01">
        <w:rPr>
          <w:lang w:val="fr-CH"/>
        </w:rPr>
        <w:t xml:space="preserve"> — est plus nuancé, </w:t>
      </w:r>
      <w:r w:rsidR="000B372F" w:rsidRPr="00223D01">
        <w:rPr>
          <w:lang w:val="fr-CH"/>
        </w:rPr>
        <w:t xml:space="preserve">mais </w:t>
      </w:r>
      <w:r w:rsidR="00165B17" w:rsidRPr="00223D01">
        <w:rPr>
          <w:lang w:val="fr-CH"/>
        </w:rPr>
        <w:t>demeure</w:t>
      </w:r>
      <w:r w:rsidR="000B372F" w:rsidRPr="00223D01">
        <w:rPr>
          <w:lang w:val="fr-CH"/>
        </w:rPr>
        <w:t xml:space="preserve"> sévère. </w:t>
      </w:r>
      <w:r w:rsidR="004318CD" w:rsidRPr="00223D01">
        <w:rPr>
          <w:lang w:val="fr-CH"/>
        </w:rPr>
        <w:t>À partir de ses commentaires, o</w:t>
      </w:r>
      <w:r w:rsidR="000B372F" w:rsidRPr="00223D01">
        <w:rPr>
          <w:lang w:val="fr-CH"/>
        </w:rPr>
        <w:t xml:space="preserve">n peut distinguer quatre </w:t>
      </w:r>
      <w:r w:rsidR="00BB03F0" w:rsidRPr="00223D01">
        <w:rPr>
          <w:lang w:val="fr-CH"/>
        </w:rPr>
        <w:t xml:space="preserve">grandes </w:t>
      </w:r>
      <w:r w:rsidR="000B372F" w:rsidRPr="00223D01">
        <w:rPr>
          <w:lang w:val="fr-CH"/>
        </w:rPr>
        <w:t>catégories</w:t>
      </w:r>
      <w:r w:rsidR="004318CD" w:rsidRPr="00223D01">
        <w:rPr>
          <w:lang w:val="fr-CH"/>
        </w:rPr>
        <w:t xml:space="preserve"> de scientifiques</w:t>
      </w:r>
      <w:r w:rsidR="00C57720" w:rsidRPr="00223D01">
        <w:rPr>
          <w:lang w:val="fr-CH"/>
        </w:rPr>
        <w:t xml:space="preserve"> en fonction de</w:t>
      </w:r>
      <w:r w:rsidR="00594C0C" w:rsidRPr="00223D01">
        <w:rPr>
          <w:lang w:val="fr-CH"/>
        </w:rPr>
        <w:t xml:space="preserve"> leur </w:t>
      </w:r>
      <w:r w:rsidR="00F24DDB" w:rsidRPr="00223D01">
        <w:rPr>
          <w:lang w:val="fr-CH"/>
        </w:rPr>
        <w:t xml:space="preserve">contribution au </w:t>
      </w:r>
      <w:r w:rsidR="00594C0C" w:rsidRPr="00223D01">
        <w:rPr>
          <w:lang w:val="fr-CH"/>
        </w:rPr>
        <w:t>déchiffrement</w:t>
      </w:r>
      <w:r w:rsidR="004318CD" w:rsidRPr="00223D01">
        <w:rPr>
          <w:lang w:val="fr-CH"/>
        </w:rPr>
        <w:t>.</w:t>
      </w:r>
    </w:p>
    <w:p w14:paraId="0FE5274A" w14:textId="16BAD2F0" w:rsidR="0079153E" w:rsidRPr="00223D01" w:rsidRDefault="004318CD" w:rsidP="004B0026">
      <w:pPr>
        <w:rPr>
          <w:lang w:val="fr-CH"/>
        </w:rPr>
      </w:pPr>
      <w:r w:rsidRPr="00223D01">
        <w:rPr>
          <w:lang w:val="fr-CH"/>
        </w:rPr>
        <w:t xml:space="preserve">À la première, </w:t>
      </w:r>
      <w:r w:rsidR="0018674C" w:rsidRPr="00223D01">
        <w:rPr>
          <w:lang w:val="fr-CH"/>
        </w:rPr>
        <w:t>celle des farfelus</w:t>
      </w:r>
      <w:r w:rsidR="00755600" w:rsidRPr="00223D01">
        <w:rPr>
          <w:lang w:val="fr-CH"/>
        </w:rPr>
        <w:t xml:space="preserve"> et excentriques</w:t>
      </w:r>
      <w:r w:rsidR="0018674C" w:rsidRPr="00223D01">
        <w:rPr>
          <w:lang w:val="fr-CH"/>
        </w:rPr>
        <w:t xml:space="preserve">, </w:t>
      </w:r>
      <w:r w:rsidR="00F37D64" w:rsidRPr="00223D01">
        <w:rPr>
          <w:lang w:val="fr-CH"/>
        </w:rPr>
        <w:t xml:space="preserve">appartient </w:t>
      </w:r>
      <w:r w:rsidR="00C27C45" w:rsidRPr="00223D01">
        <w:rPr>
          <w:lang w:val="fr-CH"/>
        </w:rPr>
        <w:t xml:space="preserve">William </w:t>
      </w:r>
      <w:proofErr w:type="spellStart"/>
      <w:r w:rsidR="00C27C45" w:rsidRPr="00223D01">
        <w:rPr>
          <w:lang w:val="fr-CH"/>
        </w:rPr>
        <w:t>Warburton</w:t>
      </w:r>
      <w:proofErr w:type="spellEnd"/>
      <w:r w:rsidR="00C27C45" w:rsidRPr="00223D01">
        <w:rPr>
          <w:lang w:val="fr-CH"/>
        </w:rPr>
        <w:t xml:space="preserve"> </w:t>
      </w:r>
      <w:r w:rsidR="001132D9" w:rsidRPr="00223D01">
        <w:rPr>
          <w:lang w:val="fr-CH"/>
        </w:rPr>
        <w:t>(</w:t>
      </w:r>
      <w:r w:rsidR="00CB43D0" w:rsidRPr="00223D01">
        <w:rPr>
          <w:lang w:val="fr-CH"/>
        </w:rPr>
        <w:t>1698</w:t>
      </w:r>
      <w:r w:rsidR="001132D9" w:rsidRPr="00223D01">
        <w:rPr>
          <w:lang w:val="fr-CH"/>
        </w:rPr>
        <w:t>–</w:t>
      </w:r>
      <w:r w:rsidR="00CB43D0" w:rsidRPr="00223D01">
        <w:rPr>
          <w:lang w:val="fr-CH"/>
        </w:rPr>
        <w:t>1779</w:t>
      </w:r>
      <w:r w:rsidR="001132D9" w:rsidRPr="00223D01">
        <w:rPr>
          <w:lang w:val="fr-CH"/>
        </w:rPr>
        <w:t>)</w:t>
      </w:r>
      <w:r w:rsidR="00040B00" w:rsidRPr="00223D01">
        <w:rPr>
          <w:lang w:val="fr-CH"/>
        </w:rPr>
        <w:t xml:space="preserve">. </w:t>
      </w:r>
      <w:r w:rsidR="00C27C45" w:rsidRPr="00223D01">
        <w:rPr>
          <w:lang w:val="fr-CH"/>
        </w:rPr>
        <w:t>« </w:t>
      </w:r>
      <w:r w:rsidR="00040B00" w:rsidRPr="00223D01">
        <w:rPr>
          <w:lang w:val="fr-CH"/>
        </w:rPr>
        <w:t>L</w:t>
      </w:r>
      <w:r w:rsidR="00C27C45" w:rsidRPr="00223D01">
        <w:rPr>
          <w:lang w:val="fr-CH"/>
        </w:rPr>
        <w:t xml:space="preserve">es écrits de </w:t>
      </w:r>
      <w:proofErr w:type="spellStart"/>
      <w:r w:rsidR="00C27C45" w:rsidRPr="00223D01">
        <w:rPr>
          <w:i/>
          <w:iCs/>
          <w:lang w:val="fr-CH"/>
        </w:rPr>
        <w:t>Warburton</w:t>
      </w:r>
      <w:proofErr w:type="spellEnd"/>
      <w:r w:rsidR="00C27C45" w:rsidRPr="00223D01">
        <w:rPr>
          <w:i/>
          <w:iCs/>
          <w:lang w:val="fr-CH"/>
        </w:rPr>
        <w:t xml:space="preserve"> </w:t>
      </w:r>
      <w:r w:rsidR="00C27C45" w:rsidRPr="00223D01">
        <w:rPr>
          <w:lang w:val="fr-CH"/>
        </w:rPr>
        <w:t xml:space="preserve">sont purement théoriques, leur auteur s’étant borné à discuter les passages classiques relatifs aux écritures égyptiennes, en essayant de les coordonner avec son système entièrement spéculatif, système que les </w:t>
      </w:r>
      <w:proofErr w:type="spellStart"/>
      <w:r w:rsidR="00C27C45" w:rsidRPr="00223D01">
        <w:rPr>
          <w:lang w:val="fr-CH"/>
        </w:rPr>
        <w:t>monumens</w:t>
      </w:r>
      <w:proofErr w:type="spellEnd"/>
      <w:r w:rsidR="00C27C45" w:rsidRPr="00223D01">
        <w:rPr>
          <w:lang w:val="fr-CH"/>
        </w:rPr>
        <w:t xml:space="preserve"> sont bien loin de confirmer sur les points les plus essentiels. » </w:t>
      </w:r>
      <w:r w:rsidR="0075617E" w:rsidRPr="00223D01">
        <w:rPr>
          <w:lang w:val="fr-CH"/>
        </w:rPr>
        <w:t>(</w:t>
      </w:r>
      <w:r w:rsidR="0075617E" w:rsidRPr="00223D01">
        <w:rPr>
          <w:i/>
          <w:iCs/>
          <w:lang w:val="fr-CH"/>
        </w:rPr>
        <w:t>Précis</w:t>
      </w:r>
      <w:r w:rsidR="0075617E" w:rsidRPr="00223D01">
        <w:rPr>
          <w:lang w:val="fr-CH"/>
        </w:rPr>
        <w:t>, p. 12).</w:t>
      </w:r>
      <w:r w:rsidR="0075617E" w:rsidRPr="00223D01">
        <w:rPr>
          <w:i/>
          <w:iCs/>
          <w:lang w:val="fr-CH"/>
        </w:rPr>
        <w:t xml:space="preserve"> </w:t>
      </w:r>
      <w:r w:rsidR="00C27C45" w:rsidRPr="00223D01">
        <w:rPr>
          <w:lang w:val="fr-CH"/>
        </w:rPr>
        <w:t>L’</w:t>
      </w:r>
      <w:r w:rsidR="00D772B2">
        <w:rPr>
          <w:lang w:val="fr-CH"/>
        </w:rPr>
        <w:t xml:space="preserve">évêque </w:t>
      </w:r>
      <w:r w:rsidR="00C27C45" w:rsidRPr="00223D01">
        <w:rPr>
          <w:lang w:val="fr-CH"/>
        </w:rPr>
        <w:t xml:space="preserve">de Gloucester ne trouve donc aucune grâce à ses yeux et ses avancées concernant l’histoire des écritures en général et </w:t>
      </w:r>
      <w:r w:rsidR="00A259E3" w:rsidRPr="00223D01">
        <w:rPr>
          <w:lang w:val="fr-CH"/>
        </w:rPr>
        <w:t xml:space="preserve">celle </w:t>
      </w:r>
      <w:r w:rsidR="00526BDC" w:rsidRPr="00223D01">
        <w:rPr>
          <w:lang w:val="fr-CH"/>
        </w:rPr>
        <w:t xml:space="preserve">des hiéroglyphes </w:t>
      </w:r>
      <w:r w:rsidR="00C27C45" w:rsidRPr="00223D01">
        <w:rPr>
          <w:lang w:val="fr-CH"/>
        </w:rPr>
        <w:t>en particulier</w:t>
      </w:r>
      <w:r w:rsidR="005043C5" w:rsidRPr="00223D01">
        <w:rPr>
          <w:lang w:val="fr-CH"/>
        </w:rPr>
        <w:t xml:space="preserve"> (</w:t>
      </w:r>
      <w:r w:rsidR="005A62EB" w:rsidRPr="00223D01">
        <w:rPr>
          <w:rFonts w:eastAsia="Times New Roman"/>
          <w:bCs/>
          <w:szCs w:val="24"/>
          <w:highlight w:val="yellow"/>
          <w:lang w:val="fr-CH"/>
        </w:rPr>
        <w:t xml:space="preserve">cf. </w:t>
      </w:r>
      <w:r w:rsidR="005A62EB" w:rsidRPr="00223D01">
        <w:rPr>
          <w:rFonts w:eastAsia="Times New Roman"/>
          <w:bCs/>
          <w:i/>
          <w:iCs/>
          <w:szCs w:val="24"/>
          <w:highlight w:val="yellow"/>
          <w:lang w:val="fr-CH"/>
        </w:rPr>
        <w:t>supra</w:t>
      </w:r>
      <w:r w:rsidR="005A62EB" w:rsidRPr="00223D01">
        <w:rPr>
          <w:rFonts w:eastAsia="Times New Roman"/>
          <w:bCs/>
          <w:szCs w:val="24"/>
          <w:highlight w:val="yellow"/>
          <w:lang w:val="fr-CH"/>
        </w:rPr>
        <w:t xml:space="preserve">, </w:t>
      </w:r>
      <w:r w:rsidR="005043C5" w:rsidRPr="00223D01">
        <w:rPr>
          <w:highlight w:val="yellow"/>
          <w:lang w:val="fr-CH"/>
        </w:rPr>
        <w:t>8.1</w:t>
      </w:r>
      <w:r w:rsidR="005043C5" w:rsidRPr="00223D01">
        <w:rPr>
          <w:lang w:val="fr-CH"/>
        </w:rPr>
        <w:t>)</w:t>
      </w:r>
      <w:r w:rsidR="00C27C45" w:rsidRPr="00223D01">
        <w:rPr>
          <w:lang w:val="fr-CH"/>
        </w:rPr>
        <w:t xml:space="preserve">, </w:t>
      </w:r>
      <w:r w:rsidR="0096136C" w:rsidRPr="00223D01">
        <w:rPr>
          <w:lang w:val="fr-CH"/>
        </w:rPr>
        <w:t xml:space="preserve">maigres mais </w:t>
      </w:r>
      <w:r w:rsidR="00C27C45" w:rsidRPr="00223D01">
        <w:rPr>
          <w:lang w:val="fr-CH"/>
        </w:rPr>
        <w:t>réelles par rapport au modèle d’interprétation symbolique kirch</w:t>
      </w:r>
      <w:r w:rsidR="00DF59DA" w:rsidRPr="00223D01">
        <w:rPr>
          <w:lang w:val="fr-CH"/>
        </w:rPr>
        <w:t>é</w:t>
      </w:r>
      <w:r w:rsidR="00C27C45" w:rsidRPr="00223D01">
        <w:rPr>
          <w:lang w:val="fr-CH"/>
        </w:rPr>
        <w:t>rien, sont reléguées au rang de spéculations</w:t>
      </w:r>
      <w:r w:rsidR="003C06FD" w:rsidRPr="00223D01">
        <w:rPr>
          <w:lang w:val="fr-CH"/>
        </w:rPr>
        <w:t xml:space="preserve">, </w:t>
      </w:r>
      <w:r w:rsidR="00C27C45" w:rsidRPr="00223D01">
        <w:rPr>
          <w:lang w:val="fr-CH"/>
        </w:rPr>
        <w:t>« </w:t>
      </w:r>
      <w:r w:rsidR="003C06FD" w:rsidRPr="00223D01">
        <w:rPr>
          <w:lang w:val="fr-CH"/>
        </w:rPr>
        <w:t>[l]</w:t>
      </w:r>
      <w:r w:rsidR="00C27C45" w:rsidRPr="00223D01">
        <w:rPr>
          <w:lang w:val="fr-CH"/>
        </w:rPr>
        <w:t xml:space="preserve">a manie des systèmes </w:t>
      </w:r>
      <w:r w:rsidR="00DF59DA" w:rsidRPr="00223D01">
        <w:rPr>
          <w:i/>
          <w:iCs/>
          <w:lang w:val="fr-CH"/>
        </w:rPr>
        <w:t>a</w:t>
      </w:r>
      <w:r w:rsidR="00C27C45" w:rsidRPr="00223D01">
        <w:rPr>
          <w:i/>
          <w:iCs/>
          <w:lang w:val="fr-CH"/>
        </w:rPr>
        <w:t xml:space="preserve"> priori</w:t>
      </w:r>
      <w:r w:rsidR="00C27C45" w:rsidRPr="00223D01">
        <w:rPr>
          <w:lang w:val="fr-CH"/>
        </w:rPr>
        <w:t xml:space="preserve"> franchissant toutes les limites du possible » (</w:t>
      </w:r>
      <w:r w:rsidR="00C27C45" w:rsidRPr="00223D01">
        <w:rPr>
          <w:i/>
          <w:iCs/>
          <w:lang w:val="fr-CH"/>
        </w:rPr>
        <w:t>Discours</w:t>
      </w:r>
      <w:r w:rsidR="00C27C45" w:rsidRPr="00223D01">
        <w:rPr>
          <w:lang w:val="fr-CH"/>
        </w:rPr>
        <w:t>, p. </w:t>
      </w:r>
      <w:proofErr w:type="spellStart"/>
      <w:r w:rsidR="00C27C45" w:rsidRPr="00223D01">
        <w:rPr>
          <w:lang w:val="fr-CH"/>
        </w:rPr>
        <w:t>xj</w:t>
      </w:r>
      <w:proofErr w:type="spellEnd"/>
      <w:r w:rsidR="00C27C45" w:rsidRPr="00223D01">
        <w:rPr>
          <w:lang w:val="fr-CH"/>
        </w:rPr>
        <w:t>).</w:t>
      </w:r>
      <w:r w:rsidR="00680CE6" w:rsidRPr="00223D01">
        <w:rPr>
          <w:lang w:val="fr-CH"/>
        </w:rPr>
        <w:t xml:space="preserve"> Ce qui déplaît fondamentalement à Champollion — </w:t>
      </w:r>
      <w:r w:rsidR="00103C98" w:rsidRPr="00223D01">
        <w:rPr>
          <w:lang w:val="fr-CH"/>
        </w:rPr>
        <w:t xml:space="preserve">et </w:t>
      </w:r>
      <w:r w:rsidR="00680CE6" w:rsidRPr="00223D01">
        <w:rPr>
          <w:lang w:val="fr-CH"/>
        </w:rPr>
        <w:t xml:space="preserve">il s’agit d’une critique récurrente </w:t>
      </w:r>
      <w:r w:rsidR="004C0FD2" w:rsidRPr="00223D01">
        <w:rPr>
          <w:lang w:val="fr-CH"/>
        </w:rPr>
        <w:t xml:space="preserve">adressée à ses prédécesseurs </w:t>
      </w:r>
      <w:r w:rsidR="00680CE6" w:rsidRPr="00223D01">
        <w:rPr>
          <w:lang w:val="fr-CH"/>
        </w:rPr>
        <w:t>dans ses écrits —, c’est l’absence de dimension empirique</w:t>
      </w:r>
      <w:r w:rsidR="009B209E" w:rsidRPr="00223D01">
        <w:rPr>
          <w:lang w:val="fr-CH"/>
        </w:rPr>
        <w:t xml:space="preserve"> dans les écrits de </w:t>
      </w:r>
      <w:proofErr w:type="spellStart"/>
      <w:r w:rsidR="009B209E" w:rsidRPr="00223D01">
        <w:rPr>
          <w:lang w:val="fr-CH"/>
        </w:rPr>
        <w:t>Warburton</w:t>
      </w:r>
      <w:proofErr w:type="spellEnd"/>
      <w:r w:rsidR="00680CE6" w:rsidRPr="00223D01">
        <w:rPr>
          <w:lang w:val="fr-CH"/>
        </w:rPr>
        <w:t>.</w:t>
      </w:r>
      <w:r w:rsidR="007D1249" w:rsidRPr="00223D01">
        <w:rPr>
          <w:lang w:val="fr-CH"/>
        </w:rPr>
        <w:t xml:space="preserve"> De ce point de vue, Champollion affirme que « [d]ans le dernier siècle [</w:t>
      </w:r>
      <w:proofErr w:type="spellStart"/>
      <w:r w:rsidR="007D1249" w:rsidRPr="00223D01">
        <w:rPr>
          <w:smallCaps/>
          <w:lang w:val="fr-CH"/>
        </w:rPr>
        <w:t>xviii</w:t>
      </w:r>
      <w:r w:rsidR="007D1249" w:rsidRPr="00223D01">
        <w:rPr>
          <w:vertAlign w:val="superscript"/>
          <w:lang w:val="fr-CH"/>
        </w:rPr>
        <w:t>e</w:t>
      </w:r>
      <w:proofErr w:type="spellEnd"/>
      <w:r w:rsidR="007D1249" w:rsidRPr="00223D01">
        <w:rPr>
          <w:lang w:val="fr-CH"/>
        </w:rPr>
        <w:t>] et dans le nôtre [</w:t>
      </w:r>
      <w:proofErr w:type="spellStart"/>
      <w:r w:rsidR="007D1249" w:rsidRPr="00223D01">
        <w:rPr>
          <w:smallCaps/>
          <w:lang w:val="fr-CH"/>
        </w:rPr>
        <w:t>xix</w:t>
      </w:r>
      <w:r w:rsidR="007D1249" w:rsidRPr="00223D01">
        <w:rPr>
          <w:vertAlign w:val="superscript"/>
          <w:lang w:val="fr-CH"/>
        </w:rPr>
        <w:t>e</w:t>
      </w:r>
      <w:proofErr w:type="spellEnd"/>
      <w:r w:rsidR="007D1249" w:rsidRPr="00223D01">
        <w:rPr>
          <w:lang w:val="fr-CH"/>
        </w:rPr>
        <w:t xml:space="preserve">], il a paru un assez grand nombre d’essais spéciaux sur l’écriture hiéroglyphique ; mais leur application aux </w:t>
      </w:r>
      <w:proofErr w:type="spellStart"/>
      <w:r w:rsidR="007D1249" w:rsidRPr="00223D01">
        <w:rPr>
          <w:lang w:val="fr-CH"/>
        </w:rPr>
        <w:t>monumens</w:t>
      </w:r>
      <w:proofErr w:type="spellEnd"/>
      <w:r w:rsidR="007D1249" w:rsidRPr="00223D01">
        <w:rPr>
          <w:lang w:val="fr-CH"/>
        </w:rPr>
        <w:t>, la véritable pierre de touche des opinions qu’on s’était formées sur ce sujet, en a déjà montré toute l’insuffisance ou toute la fausseté. » (</w:t>
      </w:r>
      <w:r w:rsidR="007D1249" w:rsidRPr="00223D01">
        <w:rPr>
          <w:i/>
          <w:iCs/>
          <w:lang w:val="fr-CH"/>
        </w:rPr>
        <w:t>Précis</w:t>
      </w:r>
      <w:r w:rsidR="007D1249" w:rsidRPr="00223D01">
        <w:rPr>
          <w:lang w:val="fr-CH"/>
        </w:rPr>
        <w:t>, p</w:t>
      </w:r>
      <w:r w:rsidR="00B85CC1">
        <w:rPr>
          <w:lang w:val="fr-CH"/>
        </w:rPr>
        <w:t>p</w:t>
      </w:r>
      <w:r w:rsidR="007D1249" w:rsidRPr="00223D01">
        <w:rPr>
          <w:lang w:val="fr-CH"/>
        </w:rPr>
        <w:t>. 12–13).</w:t>
      </w:r>
    </w:p>
    <w:p w14:paraId="3E06A3BA" w14:textId="6A6C9CB5" w:rsidR="00D61DAB" w:rsidRDefault="00D61DAB" w:rsidP="00D17EC6">
      <w:pPr>
        <w:tabs>
          <w:tab w:val="clear" w:pos="851"/>
          <w:tab w:val="left" w:pos="2907"/>
        </w:tabs>
        <w:spacing w:after="120"/>
        <w:ind w:left="108"/>
        <w:rPr>
          <w:lang w:val="fr-CH"/>
        </w:rPr>
      </w:pPr>
      <w:r w:rsidRPr="00223D01">
        <w:rPr>
          <w:lang w:val="fr-CH"/>
        </w:rPr>
        <w:t xml:space="preserve">De cette même catégorie relève Joseph de Guignes (1721–1780), membre de l’Académie, qui publie en 1759 un </w:t>
      </w:r>
      <w:r w:rsidRPr="00223D01">
        <w:rPr>
          <w:i/>
          <w:iCs/>
          <w:lang w:val="fr-CH"/>
        </w:rPr>
        <w:t>Mémoire dans lequel on prouve que les Chinois sont une colonie égyptienne</w:t>
      </w:r>
      <w:r w:rsidRPr="00223D01">
        <w:rPr>
          <w:lang w:val="fr-CH"/>
        </w:rPr>
        <w:t xml:space="preserve"> (</w:t>
      </w:r>
      <w:r w:rsidRPr="00223D01">
        <w:rPr>
          <w:rFonts w:eastAsia="Times New Roman"/>
          <w:bCs/>
          <w:szCs w:val="24"/>
          <w:highlight w:val="yellow"/>
          <w:lang w:val="fr-CH"/>
        </w:rPr>
        <w:t xml:space="preserve">cf. </w:t>
      </w:r>
      <w:r w:rsidRPr="00223D01">
        <w:rPr>
          <w:rFonts w:eastAsia="Times New Roman"/>
          <w:bCs/>
          <w:i/>
          <w:iCs/>
          <w:szCs w:val="24"/>
          <w:highlight w:val="yellow"/>
          <w:lang w:val="fr-CH"/>
        </w:rPr>
        <w:t>supra</w:t>
      </w:r>
      <w:r w:rsidRPr="00223D01">
        <w:rPr>
          <w:rFonts w:eastAsia="Times New Roman"/>
          <w:bCs/>
          <w:szCs w:val="24"/>
          <w:highlight w:val="yellow"/>
          <w:lang w:val="fr-CH"/>
        </w:rPr>
        <w:t xml:space="preserve">, </w:t>
      </w:r>
      <w:r w:rsidRPr="00223D01">
        <w:rPr>
          <w:highlight w:val="yellow"/>
          <w:lang w:val="fr-CH"/>
        </w:rPr>
        <w:t>8.3</w:t>
      </w:r>
      <w:r w:rsidRPr="00223D01">
        <w:rPr>
          <w:lang w:val="fr-CH"/>
        </w:rPr>
        <w:t xml:space="preserve">). Cette idée paraîtra aujourd’hui bien saugrenue, mais elle était en </w:t>
      </w:r>
      <w:r w:rsidRPr="00223D01">
        <w:rPr>
          <w:lang w:val="fr-CH"/>
        </w:rPr>
        <w:lastRenderedPageBreak/>
        <w:t>germe au moins depuis Kircher</w:t>
      </w:r>
      <w:r w:rsidRPr="00223D01">
        <w:rPr>
          <w:rStyle w:val="Appelnotedebasdep"/>
          <w:lang w:val="fr-CH"/>
        </w:rPr>
        <w:footnoteReference w:id="13"/>
      </w:r>
      <w:r w:rsidRPr="00223D01">
        <w:rPr>
          <w:lang w:val="fr-CH"/>
        </w:rPr>
        <w:t>. Elle reposait fondamentalement sur une analogie — formelle et fonctionnelle — posée entre les systèmes d’écriture égyptien et chinois. Cette analogie conduisait à postuler une communauté d’origine des peuples d’Égypte et de Chine, et par conséquent à « int</w:t>
      </w:r>
      <w:r w:rsidR="00D635F8">
        <w:rPr>
          <w:lang w:val="fr-CH"/>
        </w:rPr>
        <w:t>erpréter les inscriptions hiéro</w:t>
      </w:r>
      <w:r w:rsidRPr="00223D01">
        <w:rPr>
          <w:lang w:val="fr-CH"/>
        </w:rPr>
        <w:t>glyphiques avec le seul secours des dictionnaires chinois » (</w:t>
      </w:r>
      <w:r w:rsidRPr="00223D01">
        <w:rPr>
          <w:i/>
          <w:iCs/>
          <w:lang w:val="fr-CH"/>
        </w:rPr>
        <w:t>Discours</w:t>
      </w:r>
      <w:r w:rsidRPr="00223D01">
        <w:rPr>
          <w:lang w:val="fr-CH"/>
        </w:rPr>
        <w:t>, p. </w:t>
      </w:r>
      <w:proofErr w:type="spellStart"/>
      <w:r w:rsidRPr="00223D01">
        <w:rPr>
          <w:lang w:val="fr-CH"/>
        </w:rPr>
        <w:t>xj</w:t>
      </w:r>
      <w:proofErr w:type="spellEnd"/>
      <w:r w:rsidRPr="00223D01">
        <w:rPr>
          <w:lang w:val="fr-CH"/>
        </w:rPr>
        <w:t>).</w:t>
      </w:r>
    </w:p>
    <w:p w14:paraId="3F1E36C8" w14:textId="0ADD2562" w:rsidR="00036B8E" w:rsidRPr="00036B8E" w:rsidRDefault="00036B8E" w:rsidP="00D17EC6">
      <w:pPr>
        <w:tabs>
          <w:tab w:val="clear" w:pos="851"/>
          <w:tab w:val="left" w:pos="2907"/>
        </w:tabs>
        <w:spacing w:after="120"/>
        <w:ind w:left="108"/>
        <w:rPr>
          <w:szCs w:val="24"/>
          <w:lang w:val="fr-CH"/>
        </w:rPr>
      </w:pPr>
      <w:r>
        <w:rPr>
          <w:lang w:val="fr-CH"/>
        </w:rPr>
        <w:t xml:space="preserve">Ce rapprochement entre les deux écritures a </w:t>
      </w:r>
      <w:r w:rsidRPr="00223D01">
        <w:rPr>
          <w:lang w:val="fr-CH"/>
        </w:rPr>
        <w:t>encore influencé Champollion</w:t>
      </w:r>
      <w:r w:rsidR="001341CC">
        <w:rPr>
          <w:lang w:val="fr-CH"/>
        </w:rPr>
        <w:t xml:space="preserve">, qui faisait régulièrement </w:t>
      </w:r>
      <w:r w:rsidR="00447F8B">
        <w:rPr>
          <w:lang w:val="fr-CH"/>
        </w:rPr>
        <w:t xml:space="preserve">des </w:t>
      </w:r>
      <w:r w:rsidR="001341CC" w:rsidRPr="00036B8E">
        <w:rPr>
          <w:rFonts w:asciiTheme="majorBidi" w:hAnsiTheme="majorBidi" w:cstheme="majorBidi"/>
          <w:szCs w:val="24"/>
        </w:rPr>
        <w:t>parallèles entre écriture égyptienne et écriture chinoise</w:t>
      </w:r>
      <w:r w:rsidR="00447F8B">
        <w:rPr>
          <w:rFonts w:asciiTheme="majorBidi" w:hAnsiTheme="majorBidi" w:cstheme="majorBidi"/>
          <w:szCs w:val="24"/>
        </w:rPr>
        <w:t xml:space="preserve"> dans ses écrits</w:t>
      </w:r>
      <w:r w:rsidR="00BC400A">
        <w:rPr>
          <w:rFonts w:asciiTheme="majorBidi" w:hAnsiTheme="majorBidi" w:cstheme="majorBidi"/>
          <w:szCs w:val="24"/>
        </w:rPr>
        <w:t>.</w:t>
      </w:r>
      <w:r w:rsidR="001341CC" w:rsidRPr="00036B8E">
        <w:rPr>
          <w:rFonts w:asciiTheme="majorBidi" w:hAnsiTheme="majorBidi" w:cstheme="majorBidi"/>
          <w:szCs w:val="24"/>
        </w:rPr>
        <w:t xml:space="preserve"> </w:t>
      </w:r>
      <w:r w:rsidRPr="00036B8E">
        <w:rPr>
          <w:rFonts w:asciiTheme="majorBidi" w:hAnsiTheme="majorBidi" w:cstheme="majorBidi"/>
          <w:szCs w:val="24"/>
        </w:rPr>
        <w:t xml:space="preserve">Au début de la </w:t>
      </w:r>
      <w:proofErr w:type="spellStart"/>
      <w:r w:rsidRPr="00036B8E">
        <w:rPr>
          <w:rFonts w:asciiTheme="majorBidi" w:hAnsiTheme="majorBidi" w:cstheme="majorBidi"/>
          <w:smallCaps/>
          <w:szCs w:val="24"/>
        </w:rPr>
        <w:t>viii</w:t>
      </w:r>
      <w:r w:rsidRPr="00036B8E">
        <w:rPr>
          <w:rFonts w:asciiTheme="majorBidi" w:hAnsiTheme="majorBidi" w:cstheme="majorBidi"/>
          <w:szCs w:val="24"/>
          <w:vertAlign w:val="superscript"/>
        </w:rPr>
        <w:t>e</w:t>
      </w:r>
      <w:proofErr w:type="spellEnd"/>
      <w:r w:rsidRPr="00036B8E">
        <w:rPr>
          <w:rFonts w:asciiTheme="majorBidi" w:hAnsiTheme="majorBidi" w:cstheme="majorBidi"/>
          <w:szCs w:val="24"/>
        </w:rPr>
        <w:t xml:space="preserve"> section de son </w:t>
      </w:r>
      <w:r w:rsidRPr="00036B8E">
        <w:rPr>
          <w:rFonts w:asciiTheme="majorBidi" w:hAnsiTheme="majorBidi" w:cstheme="majorBidi"/>
          <w:i/>
          <w:iCs/>
          <w:szCs w:val="24"/>
        </w:rPr>
        <w:t>Mémoire</w:t>
      </w:r>
      <w:r w:rsidR="00C36896">
        <w:rPr>
          <w:rFonts w:asciiTheme="majorBidi" w:hAnsiTheme="majorBidi" w:cstheme="majorBidi"/>
          <w:i/>
          <w:iCs/>
          <w:szCs w:val="24"/>
        </w:rPr>
        <w:t xml:space="preserve"> </w:t>
      </w:r>
      <w:r w:rsidR="00C36896">
        <w:rPr>
          <w:rFonts w:asciiTheme="majorBidi" w:hAnsiTheme="majorBidi" w:cstheme="majorBidi"/>
          <w:szCs w:val="24"/>
        </w:rPr>
        <w:t>(</w:t>
      </w:r>
      <w:r w:rsidR="00C36896" w:rsidRPr="00A50A20">
        <w:rPr>
          <w:rFonts w:asciiTheme="majorBidi" w:hAnsiTheme="majorBidi" w:cstheme="majorBidi"/>
          <w:szCs w:val="24"/>
          <w:highlight w:val="yellow"/>
        </w:rPr>
        <w:t>Fig. 2</w:t>
      </w:r>
      <w:r w:rsidR="00C36896">
        <w:rPr>
          <w:rFonts w:asciiTheme="majorBidi" w:hAnsiTheme="majorBidi" w:cstheme="majorBidi"/>
          <w:szCs w:val="24"/>
        </w:rPr>
        <w:t>)</w:t>
      </w:r>
      <w:r w:rsidRPr="00036B8E">
        <w:rPr>
          <w:rFonts w:asciiTheme="majorBidi" w:hAnsiTheme="majorBidi" w:cstheme="majorBidi"/>
          <w:szCs w:val="24"/>
        </w:rPr>
        <w:t xml:space="preserve">, Champollion dit par exemple : « Lorsque nous </w:t>
      </w:r>
      <w:proofErr w:type="spellStart"/>
      <w:r w:rsidRPr="00036B8E">
        <w:rPr>
          <w:rFonts w:asciiTheme="majorBidi" w:hAnsiTheme="majorBidi" w:cstheme="majorBidi"/>
          <w:szCs w:val="24"/>
        </w:rPr>
        <w:t>eumes</w:t>
      </w:r>
      <w:proofErr w:type="spellEnd"/>
      <w:r w:rsidRPr="00036B8E">
        <w:rPr>
          <w:rFonts w:asciiTheme="majorBidi" w:hAnsiTheme="majorBidi" w:cstheme="majorBidi"/>
          <w:szCs w:val="24"/>
        </w:rPr>
        <w:t xml:space="preserve"> acquis une connaissance exacte de la nature et de la formation des </w:t>
      </w:r>
      <w:r w:rsidRPr="00036B8E">
        <w:rPr>
          <w:rFonts w:asciiTheme="majorBidi" w:hAnsiTheme="majorBidi" w:cstheme="majorBidi"/>
          <w:szCs w:val="24"/>
          <w:u w:val="single"/>
        </w:rPr>
        <w:t>Signes Hiératiques</w:t>
      </w:r>
      <w:r w:rsidRPr="00036B8E">
        <w:rPr>
          <w:rFonts w:asciiTheme="majorBidi" w:hAnsiTheme="majorBidi" w:cstheme="majorBidi"/>
          <w:szCs w:val="24"/>
        </w:rPr>
        <w:t xml:space="preserve"> l’analogie marquée de la marche générale de cette seconde espèce d’écriture égyptienne, avec l’écriture actuelle des Chinois, nous frappa dès le premier abord. Il nous parut permis de penser que les Égyptiens comme les Chinois, avaient aussi réduit leurs signes </w:t>
      </w:r>
      <w:r w:rsidRPr="00036B8E">
        <w:rPr>
          <w:rFonts w:asciiTheme="majorBidi" w:hAnsiTheme="majorBidi" w:cstheme="majorBidi"/>
          <w:szCs w:val="24"/>
          <w:u w:val="single"/>
        </w:rPr>
        <w:t>Hiéroglyphiques abrégés</w:t>
      </w:r>
      <w:r w:rsidRPr="00036B8E">
        <w:rPr>
          <w:rFonts w:asciiTheme="majorBidi" w:hAnsiTheme="majorBidi" w:cstheme="majorBidi"/>
          <w:szCs w:val="24"/>
        </w:rPr>
        <w:t xml:space="preserve"> à un nombre de traits fixes et invariables (…) Mais un examen plus approfondi nous détrompa bientôt (…). »</w:t>
      </w:r>
    </w:p>
    <w:p w14:paraId="3D9CB7FD" w14:textId="39F57E3B" w:rsidR="0015159D" w:rsidRPr="00223D01" w:rsidRDefault="0015159D" w:rsidP="00676E89">
      <w:pPr>
        <w:spacing w:after="120"/>
        <w:ind w:left="284" w:right="561" w:firstLine="0"/>
        <w:rPr>
          <w:lang w:val="fr-CH"/>
        </w:rPr>
      </w:pPr>
      <w:r w:rsidRPr="00223D01">
        <w:rPr>
          <w:sz w:val="20"/>
          <w:highlight w:val="yellow"/>
          <w:lang w:val="fr-CH"/>
        </w:rPr>
        <w:t>Fig. 2.</w:t>
      </w:r>
      <w:r w:rsidRPr="00223D01">
        <w:rPr>
          <w:sz w:val="20"/>
          <w:lang w:val="fr-CH"/>
        </w:rPr>
        <w:t xml:space="preserve"> Champollion, </w:t>
      </w:r>
      <w:r w:rsidRPr="00223D01">
        <w:rPr>
          <w:i/>
          <w:iCs/>
          <w:sz w:val="20"/>
          <w:lang w:val="fr-CH"/>
        </w:rPr>
        <w:t>De l’écriture hiératique des anciens Égyptiens</w:t>
      </w:r>
      <w:r w:rsidR="00184DF4">
        <w:rPr>
          <w:sz w:val="20"/>
          <w:lang w:val="fr-CH"/>
        </w:rPr>
        <w:t xml:space="preserve">, </w:t>
      </w:r>
      <w:r w:rsidRPr="00223D01">
        <w:rPr>
          <w:sz w:val="20"/>
          <w:lang w:val="fr-CH"/>
        </w:rPr>
        <w:t>1821</w:t>
      </w:r>
      <w:r w:rsidR="00184DF4">
        <w:rPr>
          <w:sz w:val="20"/>
          <w:lang w:val="fr-CH"/>
        </w:rPr>
        <w:t xml:space="preserve"> (</w:t>
      </w:r>
      <w:proofErr w:type="spellStart"/>
      <w:r w:rsidRPr="00223D01">
        <w:rPr>
          <w:sz w:val="20"/>
          <w:lang w:val="fr-CH"/>
        </w:rPr>
        <w:t>BnF</w:t>
      </w:r>
      <w:proofErr w:type="spellEnd"/>
      <w:r w:rsidRPr="00223D01">
        <w:rPr>
          <w:sz w:val="20"/>
          <w:lang w:val="fr-CH"/>
        </w:rPr>
        <w:t>, NAF 20311,</w:t>
      </w:r>
      <w:r w:rsidRPr="00223D01">
        <w:rPr>
          <w:i/>
          <w:iCs/>
          <w:sz w:val="20"/>
          <w:lang w:val="fr-CH"/>
        </w:rPr>
        <w:t xml:space="preserve"> </w:t>
      </w:r>
      <w:r w:rsidRPr="00223D01">
        <w:rPr>
          <w:sz w:val="20"/>
          <w:lang w:val="fr-CH"/>
        </w:rPr>
        <w:t>p. 25 [= p. 5]).</w:t>
      </w:r>
    </w:p>
    <w:p w14:paraId="54E9CD28" w14:textId="43719E01" w:rsidR="001E4B14" w:rsidRPr="00223D01" w:rsidRDefault="004805B0" w:rsidP="004B0026">
      <w:pPr>
        <w:rPr>
          <w:lang w:val="fr-CH"/>
        </w:rPr>
      </w:pPr>
      <w:r w:rsidRPr="00223D01">
        <w:rPr>
          <w:lang w:val="fr-CH"/>
        </w:rPr>
        <w:t>Viennent ensuite les savants qui, bien qu’ayant eu des intuitions dont Champollion reconna</w:t>
      </w:r>
      <w:r w:rsidR="00015C84" w:rsidRPr="00223D01">
        <w:rPr>
          <w:lang w:val="fr-CH"/>
        </w:rPr>
        <w:t>î</w:t>
      </w:r>
      <w:r w:rsidRPr="00223D01">
        <w:rPr>
          <w:lang w:val="fr-CH"/>
        </w:rPr>
        <w:t xml:space="preserve">t les mérites, se sont </w:t>
      </w:r>
      <w:r w:rsidR="009C1329" w:rsidRPr="00223D01">
        <w:rPr>
          <w:lang w:val="fr-CH"/>
        </w:rPr>
        <w:t>re</w:t>
      </w:r>
      <w:r w:rsidRPr="00223D01">
        <w:rPr>
          <w:lang w:val="fr-CH"/>
        </w:rPr>
        <w:t xml:space="preserve">trouvés </w:t>
      </w:r>
      <w:r w:rsidR="009C1329" w:rsidRPr="00223D01">
        <w:rPr>
          <w:lang w:val="fr-CH"/>
        </w:rPr>
        <w:t>dans des impasses</w:t>
      </w:r>
      <w:r w:rsidR="001843D4" w:rsidRPr="00223D01">
        <w:rPr>
          <w:lang w:val="fr-CH"/>
        </w:rPr>
        <w:t xml:space="preserve">. </w:t>
      </w:r>
      <w:r w:rsidR="001B36FD" w:rsidRPr="00223D01">
        <w:rPr>
          <w:lang w:val="fr-CH"/>
        </w:rPr>
        <w:t>Si l</w:t>
      </w:r>
      <w:r w:rsidR="001843D4" w:rsidRPr="00223D01">
        <w:rPr>
          <w:lang w:val="fr-CH"/>
        </w:rPr>
        <w:t xml:space="preserve">a connaissance du copte s’améliore sensiblement au </w:t>
      </w:r>
      <w:proofErr w:type="spellStart"/>
      <w:r w:rsidR="001843D4" w:rsidRPr="00223D01">
        <w:rPr>
          <w:smallCaps/>
          <w:lang w:val="fr-CH"/>
        </w:rPr>
        <w:t>xviii</w:t>
      </w:r>
      <w:r w:rsidR="001843D4" w:rsidRPr="00223D01">
        <w:rPr>
          <w:vertAlign w:val="superscript"/>
          <w:lang w:val="fr-CH"/>
        </w:rPr>
        <w:t>e</w:t>
      </w:r>
      <w:proofErr w:type="spellEnd"/>
      <w:r w:rsidR="001843D4" w:rsidRPr="00223D01">
        <w:rPr>
          <w:lang w:val="fr-CH"/>
        </w:rPr>
        <w:t xml:space="preserve"> siècle </w:t>
      </w:r>
      <w:r w:rsidR="000911DA" w:rsidRPr="00223D01">
        <w:rPr>
          <w:lang w:val="fr-CH"/>
        </w:rPr>
        <w:t xml:space="preserve">— par exemple avec </w:t>
      </w:r>
      <w:r w:rsidR="001E57C3" w:rsidRPr="00223D01">
        <w:rPr>
          <w:lang w:val="fr-CH"/>
        </w:rPr>
        <w:t xml:space="preserve">le dictionnaire copte de Mathurin </w:t>
      </w:r>
      <w:proofErr w:type="spellStart"/>
      <w:r w:rsidR="001E57C3" w:rsidRPr="00223D01">
        <w:rPr>
          <w:lang w:val="fr-CH"/>
        </w:rPr>
        <w:t>Veyssière</w:t>
      </w:r>
      <w:proofErr w:type="spellEnd"/>
      <w:r w:rsidR="001E57C3" w:rsidRPr="00223D01">
        <w:rPr>
          <w:lang w:val="fr-CH"/>
        </w:rPr>
        <w:t xml:space="preserve"> de La </w:t>
      </w:r>
      <w:proofErr w:type="spellStart"/>
      <w:r w:rsidR="001E57C3" w:rsidRPr="00223D01">
        <w:rPr>
          <w:lang w:val="fr-CH"/>
        </w:rPr>
        <w:t>Croze</w:t>
      </w:r>
      <w:proofErr w:type="spellEnd"/>
      <w:r w:rsidR="00A873FD" w:rsidRPr="00223D01">
        <w:rPr>
          <w:lang w:val="fr-CH"/>
        </w:rPr>
        <w:t xml:space="preserve"> (1661–1739)</w:t>
      </w:r>
      <w:r w:rsidR="00BB3CD4" w:rsidRPr="00223D01">
        <w:rPr>
          <w:lang w:val="fr-CH"/>
        </w:rPr>
        <w:t xml:space="preserve">, longtemps resté à l’état de manuscrit, </w:t>
      </w:r>
      <w:r w:rsidR="000A1712" w:rsidRPr="00223D01">
        <w:rPr>
          <w:lang w:val="fr-CH"/>
        </w:rPr>
        <w:t xml:space="preserve">et </w:t>
      </w:r>
      <w:r w:rsidR="000911DA" w:rsidRPr="00223D01">
        <w:rPr>
          <w:lang w:val="fr-CH"/>
        </w:rPr>
        <w:t xml:space="preserve">les travaux de David Wilkins (1685–1745) qui </w:t>
      </w:r>
      <w:r w:rsidR="002F2FD0" w:rsidRPr="00223D01">
        <w:rPr>
          <w:lang w:val="fr-CH"/>
        </w:rPr>
        <w:t>a</w:t>
      </w:r>
      <w:r w:rsidR="001731EC" w:rsidRPr="00223D01">
        <w:rPr>
          <w:lang w:val="fr-CH"/>
        </w:rPr>
        <w:t>vait</w:t>
      </w:r>
      <w:r w:rsidR="002F2FD0" w:rsidRPr="00223D01">
        <w:rPr>
          <w:lang w:val="fr-CH"/>
        </w:rPr>
        <w:t xml:space="preserve"> </w:t>
      </w:r>
      <w:r w:rsidR="000911DA" w:rsidRPr="00223D01">
        <w:rPr>
          <w:lang w:val="fr-CH"/>
        </w:rPr>
        <w:t xml:space="preserve">traduit le </w:t>
      </w:r>
      <w:r w:rsidR="000911DA" w:rsidRPr="00223D01">
        <w:rPr>
          <w:i/>
          <w:iCs/>
          <w:lang w:val="fr-CH"/>
        </w:rPr>
        <w:t>Nouveau Testament</w:t>
      </w:r>
      <w:r w:rsidR="000911DA" w:rsidRPr="00223D01">
        <w:rPr>
          <w:lang w:val="fr-CH"/>
        </w:rPr>
        <w:t xml:space="preserve"> copte en latin</w:t>
      </w:r>
      <w:r w:rsidR="006D4451" w:rsidRPr="00223D01">
        <w:rPr>
          <w:lang w:val="fr-CH"/>
        </w:rPr>
        <w:t> —</w:t>
      </w:r>
      <w:r w:rsidR="00137A00" w:rsidRPr="00223D01">
        <w:rPr>
          <w:lang w:val="fr-CH"/>
        </w:rPr>
        <w:t>,</w:t>
      </w:r>
      <w:r w:rsidR="0032332A" w:rsidRPr="00223D01">
        <w:rPr>
          <w:lang w:val="fr-CH"/>
        </w:rPr>
        <w:t xml:space="preserve"> </w:t>
      </w:r>
      <w:r w:rsidR="001B36FD" w:rsidRPr="00223D01">
        <w:rPr>
          <w:lang w:val="fr-CH"/>
        </w:rPr>
        <w:t>certaine</w:t>
      </w:r>
      <w:r w:rsidR="0032332A" w:rsidRPr="00223D01">
        <w:rPr>
          <w:lang w:val="fr-CH"/>
        </w:rPr>
        <w:t>s</w:t>
      </w:r>
      <w:r w:rsidR="001B36FD" w:rsidRPr="00223D01">
        <w:rPr>
          <w:lang w:val="fr-CH"/>
        </w:rPr>
        <w:t xml:space="preserve"> </w:t>
      </w:r>
      <w:r w:rsidR="0032332A" w:rsidRPr="00223D01">
        <w:rPr>
          <w:lang w:val="fr-CH"/>
        </w:rPr>
        <w:t>entreprises demeuraient prématurées</w:t>
      </w:r>
      <w:r w:rsidR="001E4B14" w:rsidRPr="00223D01">
        <w:rPr>
          <w:lang w:val="fr-CH"/>
        </w:rPr>
        <w:t xml:space="preserve">. C’est le cas du </w:t>
      </w:r>
      <w:proofErr w:type="spellStart"/>
      <w:r w:rsidR="00B92DAE" w:rsidRPr="00223D01">
        <w:rPr>
          <w:i/>
          <w:iCs/>
          <w:lang w:val="fr-CH"/>
        </w:rPr>
        <w:t>Pantheon</w:t>
      </w:r>
      <w:proofErr w:type="spellEnd"/>
      <w:r w:rsidR="00B92DAE" w:rsidRPr="00223D01">
        <w:rPr>
          <w:i/>
          <w:iCs/>
          <w:lang w:val="fr-CH"/>
        </w:rPr>
        <w:t xml:space="preserve"> </w:t>
      </w:r>
      <w:proofErr w:type="spellStart"/>
      <w:r w:rsidR="00B92DAE" w:rsidRPr="00223D01">
        <w:rPr>
          <w:i/>
          <w:iCs/>
          <w:lang w:val="fr-CH"/>
        </w:rPr>
        <w:t>Ægyptiarum</w:t>
      </w:r>
      <w:proofErr w:type="spellEnd"/>
      <w:r w:rsidR="00B92DAE" w:rsidRPr="00223D01">
        <w:rPr>
          <w:i/>
          <w:iCs/>
          <w:lang w:val="fr-CH"/>
        </w:rPr>
        <w:t xml:space="preserve">, </w:t>
      </w:r>
      <w:proofErr w:type="spellStart"/>
      <w:r w:rsidR="00B92DAE" w:rsidRPr="00223D01">
        <w:rPr>
          <w:i/>
          <w:iCs/>
          <w:lang w:val="fr-CH"/>
        </w:rPr>
        <w:t>sive</w:t>
      </w:r>
      <w:proofErr w:type="spellEnd"/>
      <w:r w:rsidR="00B92DAE" w:rsidRPr="00223D01">
        <w:rPr>
          <w:i/>
          <w:iCs/>
          <w:lang w:val="fr-CH"/>
        </w:rPr>
        <w:t xml:space="preserve"> de </w:t>
      </w:r>
      <w:proofErr w:type="spellStart"/>
      <w:r w:rsidR="00B92DAE" w:rsidRPr="00223D01">
        <w:rPr>
          <w:i/>
          <w:iCs/>
          <w:lang w:val="fr-CH"/>
        </w:rPr>
        <w:t>Diis</w:t>
      </w:r>
      <w:proofErr w:type="spellEnd"/>
      <w:r w:rsidR="00B92DAE" w:rsidRPr="00223D01">
        <w:rPr>
          <w:i/>
          <w:iCs/>
          <w:lang w:val="fr-CH"/>
        </w:rPr>
        <w:t xml:space="preserve"> </w:t>
      </w:r>
      <w:proofErr w:type="spellStart"/>
      <w:r w:rsidR="00B92DAE" w:rsidRPr="00223D01">
        <w:rPr>
          <w:i/>
          <w:iCs/>
          <w:lang w:val="fr-CH"/>
        </w:rPr>
        <w:t>eorum</w:t>
      </w:r>
      <w:proofErr w:type="spellEnd"/>
      <w:r w:rsidR="00B92DAE" w:rsidRPr="00223D01">
        <w:rPr>
          <w:i/>
          <w:iCs/>
          <w:lang w:val="fr-CH"/>
        </w:rPr>
        <w:t xml:space="preserve"> </w:t>
      </w:r>
      <w:proofErr w:type="spellStart"/>
      <w:r w:rsidR="00B92DAE" w:rsidRPr="00223D01">
        <w:rPr>
          <w:i/>
          <w:iCs/>
          <w:lang w:val="fr-CH"/>
        </w:rPr>
        <w:t>commentarius</w:t>
      </w:r>
      <w:proofErr w:type="spellEnd"/>
      <w:r w:rsidR="00C53AFD" w:rsidRPr="00223D01">
        <w:rPr>
          <w:lang w:val="fr-CH"/>
        </w:rPr>
        <w:t xml:space="preserve"> (1750–1752)</w:t>
      </w:r>
      <w:r w:rsidR="000F7579" w:rsidRPr="00223D01">
        <w:rPr>
          <w:lang w:val="fr-CH"/>
        </w:rPr>
        <w:t xml:space="preserve"> </w:t>
      </w:r>
      <w:r w:rsidR="001E4B14" w:rsidRPr="00223D01">
        <w:rPr>
          <w:lang w:val="fr-CH"/>
        </w:rPr>
        <w:t>de Paul</w:t>
      </w:r>
      <w:r w:rsidR="00461715" w:rsidRPr="00223D01">
        <w:rPr>
          <w:lang w:val="fr-CH"/>
        </w:rPr>
        <w:t xml:space="preserve"> </w:t>
      </w:r>
      <w:r w:rsidR="001E4B14" w:rsidRPr="00223D01">
        <w:rPr>
          <w:lang w:val="fr-CH"/>
        </w:rPr>
        <w:t>Ernest Jablonski</w:t>
      </w:r>
      <w:r w:rsidR="002375DA" w:rsidRPr="00223D01">
        <w:rPr>
          <w:lang w:val="fr-CH"/>
        </w:rPr>
        <w:t xml:space="preserve"> (1693–1757)</w:t>
      </w:r>
      <w:r w:rsidR="00B816E5" w:rsidRPr="00223D01">
        <w:rPr>
          <w:lang w:val="fr-CH"/>
        </w:rPr>
        <w:t xml:space="preserve">, élève de </w:t>
      </w:r>
      <w:proofErr w:type="spellStart"/>
      <w:r w:rsidR="005952D1" w:rsidRPr="00223D01">
        <w:rPr>
          <w:lang w:val="fr-CH"/>
        </w:rPr>
        <w:t>Veyssière</w:t>
      </w:r>
      <w:proofErr w:type="spellEnd"/>
      <w:r w:rsidR="005952D1" w:rsidRPr="00223D01">
        <w:rPr>
          <w:lang w:val="fr-CH"/>
        </w:rPr>
        <w:t xml:space="preserve"> de La </w:t>
      </w:r>
      <w:proofErr w:type="spellStart"/>
      <w:r w:rsidR="005952D1" w:rsidRPr="00223D01">
        <w:rPr>
          <w:lang w:val="fr-CH"/>
        </w:rPr>
        <w:t>Croze</w:t>
      </w:r>
      <w:proofErr w:type="spellEnd"/>
      <w:r w:rsidR="003D7F60" w:rsidRPr="00223D01">
        <w:rPr>
          <w:lang w:val="fr-CH"/>
        </w:rPr>
        <w:t xml:space="preserve">. Dans ce traité, </w:t>
      </w:r>
      <w:r w:rsidR="001C115F" w:rsidRPr="00223D01">
        <w:rPr>
          <w:lang w:val="fr-CH"/>
        </w:rPr>
        <w:t xml:space="preserve">l’auteur </w:t>
      </w:r>
      <w:r w:rsidR="00B97714" w:rsidRPr="00223D01">
        <w:rPr>
          <w:lang w:val="fr-CH"/>
        </w:rPr>
        <w:t xml:space="preserve">tente </w:t>
      </w:r>
      <w:r w:rsidR="000D26C5" w:rsidRPr="00223D01">
        <w:rPr>
          <w:lang w:val="fr-CH"/>
        </w:rPr>
        <w:t>de reconstruire</w:t>
      </w:r>
      <w:r w:rsidR="00320C94" w:rsidRPr="00223D01">
        <w:rPr>
          <w:lang w:val="fr-CH"/>
        </w:rPr>
        <w:t xml:space="preserve"> le panthéon égyptien</w:t>
      </w:r>
      <w:r w:rsidR="003D4E50" w:rsidRPr="00223D01">
        <w:rPr>
          <w:lang w:val="fr-CH"/>
        </w:rPr>
        <w:t xml:space="preserve"> </w:t>
      </w:r>
      <w:r w:rsidR="00F57C30" w:rsidRPr="00223D01">
        <w:rPr>
          <w:lang w:val="fr-CH"/>
        </w:rPr>
        <w:t xml:space="preserve">sur </w:t>
      </w:r>
      <w:r w:rsidR="00DE59A4" w:rsidRPr="00223D01">
        <w:rPr>
          <w:lang w:val="fr-CH"/>
        </w:rPr>
        <w:t xml:space="preserve">la </w:t>
      </w:r>
      <w:r w:rsidR="00F57C30" w:rsidRPr="00223D01">
        <w:rPr>
          <w:lang w:val="fr-CH"/>
        </w:rPr>
        <w:t>base des informations rapportées par</w:t>
      </w:r>
      <w:r w:rsidR="003D4E50" w:rsidRPr="00223D01">
        <w:rPr>
          <w:lang w:val="fr-CH"/>
        </w:rPr>
        <w:t xml:space="preserve"> </w:t>
      </w:r>
      <w:r w:rsidR="00F57C30" w:rsidRPr="00223D01">
        <w:rPr>
          <w:lang w:val="fr-CH"/>
        </w:rPr>
        <w:t xml:space="preserve">les </w:t>
      </w:r>
      <w:r w:rsidR="003D4E50" w:rsidRPr="00223D01">
        <w:rPr>
          <w:lang w:val="fr-CH"/>
        </w:rPr>
        <w:t>auteurs classiques</w:t>
      </w:r>
      <w:r w:rsidR="00A11171" w:rsidRPr="00223D01">
        <w:rPr>
          <w:lang w:val="fr-CH"/>
        </w:rPr>
        <w:t xml:space="preserve">, notamment </w:t>
      </w:r>
      <w:r w:rsidR="00320C94" w:rsidRPr="00223D01">
        <w:rPr>
          <w:lang w:val="fr-CH"/>
        </w:rPr>
        <w:t xml:space="preserve">en </w:t>
      </w:r>
      <w:r w:rsidR="001C115F" w:rsidRPr="00223D01">
        <w:rPr>
          <w:lang w:val="fr-CH"/>
        </w:rPr>
        <w:t>interprét</w:t>
      </w:r>
      <w:r w:rsidR="00320C94" w:rsidRPr="00223D01">
        <w:rPr>
          <w:lang w:val="fr-CH"/>
        </w:rPr>
        <w:t xml:space="preserve">ant </w:t>
      </w:r>
      <w:r w:rsidR="003E4318" w:rsidRPr="00223D01">
        <w:rPr>
          <w:lang w:val="fr-CH"/>
        </w:rPr>
        <w:t xml:space="preserve">les noms de ces divinités </w:t>
      </w:r>
      <w:r w:rsidR="001B7DE2" w:rsidRPr="00223D01">
        <w:rPr>
          <w:lang w:val="fr-CH"/>
        </w:rPr>
        <w:t>tel</w:t>
      </w:r>
      <w:r w:rsidR="00DE59A4" w:rsidRPr="00223D01">
        <w:rPr>
          <w:lang w:val="fr-CH"/>
        </w:rPr>
        <w:t>s</w:t>
      </w:r>
      <w:r w:rsidR="001B7DE2" w:rsidRPr="00223D01">
        <w:rPr>
          <w:lang w:val="fr-CH"/>
        </w:rPr>
        <w:t xml:space="preserve"> qu’ils apparaissent </w:t>
      </w:r>
      <w:r w:rsidR="003E4318" w:rsidRPr="00223D01">
        <w:rPr>
          <w:lang w:val="fr-CH"/>
        </w:rPr>
        <w:t xml:space="preserve">dans les textes grecs et latins à partir </w:t>
      </w:r>
      <w:r w:rsidR="00D72D37" w:rsidRPr="00223D01">
        <w:rPr>
          <w:lang w:val="fr-CH"/>
        </w:rPr>
        <w:t>de lexiques coptes</w:t>
      </w:r>
      <w:r w:rsidR="008C6A73" w:rsidRPr="00223D01">
        <w:rPr>
          <w:lang w:val="fr-CH"/>
        </w:rPr>
        <w:t xml:space="preserve"> (</w:t>
      </w:r>
      <w:r w:rsidR="008C6A73" w:rsidRPr="00223D01">
        <w:rPr>
          <w:highlight w:val="yellow"/>
          <w:lang w:val="fr-CH"/>
        </w:rPr>
        <w:t>Fig. 3</w:t>
      </w:r>
      <w:r w:rsidR="008C6A73" w:rsidRPr="00223D01">
        <w:rPr>
          <w:lang w:val="fr-CH"/>
        </w:rPr>
        <w:t>)</w:t>
      </w:r>
      <w:r w:rsidR="00D72D37" w:rsidRPr="00223D01">
        <w:rPr>
          <w:lang w:val="fr-CH"/>
        </w:rPr>
        <w:t>.</w:t>
      </w:r>
      <w:r w:rsidR="00545637" w:rsidRPr="00223D01">
        <w:rPr>
          <w:lang w:val="fr-CH"/>
        </w:rPr>
        <w:t xml:space="preserve"> </w:t>
      </w:r>
      <w:r w:rsidR="00BA4D4A" w:rsidRPr="00223D01">
        <w:rPr>
          <w:lang w:val="fr-CH"/>
        </w:rPr>
        <w:t>Toutefois</w:t>
      </w:r>
      <w:r w:rsidR="00545637" w:rsidRPr="00223D01">
        <w:rPr>
          <w:lang w:val="fr-CH"/>
        </w:rPr>
        <w:t>, comme le souligne Champollion, « </w:t>
      </w:r>
      <w:r w:rsidR="00E70469" w:rsidRPr="00223D01">
        <w:rPr>
          <w:lang w:val="fr-CH"/>
        </w:rPr>
        <w:t xml:space="preserve">l’analyse étymologique de ces noms de divinité ne saurait être raisonnablement tentée, qu’à la condition préalable de connaître l’orthographe </w:t>
      </w:r>
      <w:r w:rsidR="00E70469" w:rsidRPr="00223D01">
        <w:rPr>
          <w:i/>
          <w:iCs/>
          <w:lang w:val="fr-CH"/>
        </w:rPr>
        <w:t>égyptienne</w:t>
      </w:r>
      <w:r w:rsidR="00E70469" w:rsidRPr="00223D01">
        <w:rPr>
          <w:lang w:val="fr-CH"/>
        </w:rPr>
        <w:t xml:space="preserve"> de ces mêmes noms »</w:t>
      </w:r>
      <w:r w:rsidR="0048216B" w:rsidRPr="00223D01">
        <w:rPr>
          <w:lang w:val="fr-CH"/>
        </w:rPr>
        <w:t xml:space="preserve"> (</w:t>
      </w:r>
      <w:r w:rsidR="0048216B" w:rsidRPr="00223D01">
        <w:rPr>
          <w:i/>
          <w:iCs/>
          <w:lang w:val="fr-CH"/>
        </w:rPr>
        <w:t>Discours</w:t>
      </w:r>
      <w:r w:rsidR="0048216B" w:rsidRPr="00223D01">
        <w:rPr>
          <w:lang w:val="fr-CH"/>
        </w:rPr>
        <w:t>, p. x)</w:t>
      </w:r>
      <w:r w:rsidR="008C0111" w:rsidRPr="00223D01">
        <w:rPr>
          <w:lang w:val="fr-CH"/>
        </w:rPr>
        <w:t xml:space="preserve">. </w:t>
      </w:r>
      <w:r w:rsidR="007B3FC4" w:rsidRPr="00223D01">
        <w:rPr>
          <w:lang w:val="fr-CH"/>
        </w:rPr>
        <w:t>C’était en effet négliger deux éléments essentiels : les vocabulaires coptes disponibles alors étaient encore bien pauvres</w:t>
      </w:r>
      <w:r w:rsidR="00CC12EC" w:rsidRPr="00223D01">
        <w:rPr>
          <w:lang w:val="fr-CH"/>
        </w:rPr>
        <w:t>,</w:t>
      </w:r>
      <w:r w:rsidR="007B3FC4" w:rsidRPr="00223D01">
        <w:rPr>
          <w:lang w:val="fr-CH"/>
        </w:rPr>
        <w:t xml:space="preserve"> et </w:t>
      </w:r>
      <w:r w:rsidR="008649BB" w:rsidRPr="00223D01">
        <w:rPr>
          <w:lang w:val="fr-CH"/>
        </w:rPr>
        <w:t xml:space="preserve">les évolutions </w:t>
      </w:r>
      <w:r w:rsidR="007B3FC4" w:rsidRPr="00223D01">
        <w:rPr>
          <w:lang w:val="fr-CH"/>
        </w:rPr>
        <w:t>phonétique</w:t>
      </w:r>
      <w:r w:rsidR="008649BB" w:rsidRPr="00223D01">
        <w:rPr>
          <w:lang w:val="fr-CH"/>
        </w:rPr>
        <w:t>s</w:t>
      </w:r>
      <w:r w:rsidR="007B3FC4" w:rsidRPr="00223D01">
        <w:rPr>
          <w:lang w:val="fr-CH"/>
        </w:rPr>
        <w:t xml:space="preserve"> </w:t>
      </w:r>
      <w:r w:rsidR="00CB09FB" w:rsidRPr="00223D01">
        <w:rPr>
          <w:lang w:val="fr-CH"/>
        </w:rPr>
        <w:t xml:space="preserve">en </w:t>
      </w:r>
      <w:r w:rsidR="007B3FC4" w:rsidRPr="00223D01">
        <w:rPr>
          <w:lang w:val="fr-CH"/>
        </w:rPr>
        <w:t xml:space="preserve">égyptien </w:t>
      </w:r>
      <w:r w:rsidR="00CB09FB" w:rsidRPr="00223D01">
        <w:rPr>
          <w:lang w:val="fr-CH"/>
        </w:rPr>
        <w:t>ainsi que les altération</w:t>
      </w:r>
      <w:r w:rsidR="00A828A9" w:rsidRPr="00223D01">
        <w:rPr>
          <w:lang w:val="fr-CH"/>
        </w:rPr>
        <w:t>s</w:t>
      </w:r>
      <w:r w:rsidR="00CB09FB" w:rsidRPr="00223D01">
        <w:rPr>
          <w:lang w:val="fr-CH"/>
        </w:rPr>
        <w:t xml:space="preserve"> </w:t>
      </w:r>
      <w:r w:rsidR="007B3FC4" w:rsidRPr="00223D01">
        <w:rPr>
          <w:lang w:val="fr-CH"/>
        </w:rPr>
        <w:t xml:space="preserve">découlant de l’emprunt en grec </w:t>
      </w:r>
      <w:r w:rsidR="00FF3B61" w:rsidRPr="00223D01">
        <w:rPr>
          <w:lang w:val="fr-CH"/>
        </w:rPr>
        <w:t xml:space="preserve">étaient </w:t>
      </w:r>
      <w:r w:rsidR="00A845D3" w:rsidRPr="00223D01">
        <w:rPr>
          <w:lang w:val="fr-CH"/>
        </w:rPr>
        <w:t xml:space="preserve">nombreuses. Combinés, ces facteurs </w:t>
      </w:r>
      <w:r w:rsidR="003F3618" w:rsidRPr="00223D01">
        <w:rPr>
          <w:lang w:val="fr-CH"/>
        </w:rPr>
        <w:t xml:space="preserve">rendaient l’entreprise </w:t>
      </w:r>
      <w:r w:rsidR="00E43E15" w:rsidRPr="00223D01">
        <w:rPr>
          <w:lang w:val="fr-CH"/>
        </w:rPr>
        <w:t xml:space="preserve">étymologique bien </w:t>
      </w:r>
      <w:r w:rsidR="00633A03" w:rsidRPr="00223D01">
        <w:rPr>
          <w:lang w:val="fr-CH"/>
        </w:rPr>
        <w:t>périlleuse</w:t>
      </w:r>
      <w:r w:rsidR="00A90938" w:rsidRPr="00223D01">
        <w:rPr>
          <w:rStyle w:val="Appelnotedebasdep"/>
          <w:lang w:val="fr-CH"/>
        </w:rPr>
        <w:footnoteReference w:id="14"/>
      </w:r>
      <w:r w:rsidR="003F3618" w:rsidRPr="00223D01">
        <w:rPr>
          <w:lang w:val="fr-CH"/>
        </w:rPr>
        <w:t>.</w:t>
      </w:r>
    </w:p>
    <w:p w14:paraId="3282A64E" w14:textId="399CAAE9" w:rsidR="0009335F" w:rsidRPr="00223D01" w:rsidRDefault="00E65D31" w:rsidP="00676E89">
      <w:pPr>
        <w:spacing w:after="120"/>
        <w:ind w:left="284" w:right="561" w:firstLine="0"/>
        <w:rPr>
          <w:sz w:val="20"/>
          <w:lang w:val="fr-CH"/>
        </w:rPr>
      </w:pPr>
      <w:r w:rsidRPr="00223D01">
        <w:rPr>
          <w:sz w:val="20"/>
          <w:highlight w:val="yellow"/>
          <w:lang w:val="fr-CH"/>
        </w:rPr>
        <w:t>Fig. </w:t>
      </w:r>
      <w:r w:rsidR="00A13E5C" w:rsidRPr="00223D01">
        <w:rPr>
          <w:sz w:val="20"/>
          <w:highlight w:val="yellow"/>
          <w:lang w:val="fr-CH"/>
        </w:rPr>
        <w:t>3.</w:t>
      </w:r>
      <w:r w:rsidRPr="00223D01">
        <w:rPr>
          <w:sz w:val="20"/>
          <w:lang w:val="fr-CH"/>
        </w:rPr>
        <w:t xml:space="preserve"> </w:t>
      </w:r>
      <w:r w:rsidR="006B0D63" w:rsidRPr="00223D01">
        <w:rPr>
          <w:sz w:val="20"/>
          <w:lang w:val="fr-CH"/>
        </w:rPr>
        <w:t xml:space="preserve">Tentative d’explication étymologique du nom du dieu Horus comme </w:t>
      </w:r>
      <w:r w:rsidR="00883C1C" w:rsidRPr="00223D01">
        <w:rPr>
          <w:sz w:val="20"/>
          <w:lang w:val="fr-CH"/>
        </w:rPr>
        <w:t xml:space="preserve">étant la </w:t>
      </w:r>
      <w:r w:rsidR="006B0D63" w:rsidRPr="00223D01">
        <w:rPr>
          <w:sz w:val="20"/>
          <w:lang w:val="fr-CH"/>
        </w:rPr>
        <w:t xml:space="preserve">« cause première » </w:t>
      </w:r>
      <w:r w:rsidR="005834FB" w:rsidRPr="00223D01">
        <w:rPr>
          <w:sz w:val="20"/>
          <w:lang w:val="fr-CH"/>
        </w:rPr>
        <w:t xml:space="preserve">en recourant au </w:t>
      </w:r>
      <w:r w:rsidR="006B0D63" w:rsidRPr="00223D01">
        <w:rPr>
          <w:sz w:val="20"/>
          <w:lang w:val="fr-CH"/>
        </w:rPr>
        <w:t>copte (</w:t>
      </w:r>
      <w:r w:rsidR="00F010BE" w:rsidRPr="00223D01">
        <w:rPr>
          <w:sz w:val="20"/>
          <w:lang w:val="fr-CH"/>
        </w:rPr>
        <w:t>Jablonski</w:t>
      </w:r>
      <w:r w:rsidR="004F7FF8" w:rsidRPr="00223D01">
        <w:rPr>
          <w:sz w:val="20"/>
          <w:lang w:val="fr-CH"/>
        </w:rPr>
        <w:t xml:space="preserve">, </w:t>
      </w:r>
      <w:proofErr w:type="spellStart"/>
      <w:r w:rsidR="004F7FF8" w:rsidRPr="00223D01">
        <w:rPr>
          <w:i/>
          <w:iCs/>
          <w:sz w:val="20"/>
          <w:lang w:val="fr-CH"/>
        </w:rPr>
        <w:t>Pantheon</w:t>
      </w:r>
      <w:proofErr w:type="spellEnd"/>
      <w:r w:rsidR="004F7FF8" w:rsidRPr="00223D01">
        <w:rPr>
          <w:i/>
          <w:iCs/>
          <w:sz w:val="20"/>
          <w:lang w:val="fr-CH"/>
        </w:rPr>
        <w:t xml:space="preserve"> </w:t>
      </w:r>
      <w:proofErr w:type="spellStart"/>
      <w:r w:rsidR="004F7FF8" w:rsidRPr="00223D01">
        <w:rPr>
          <w:i/>
          <w:iCs/>
          <w:sz w:val="20"/>
          <w:lang w:val="fr-CH"/>
        </w:rPr>
        <w:t>Ægyptiarum</w:t>
      </w:r>
      <w:proofErr w:type="spellEnd"/>
      <w:r w:rsidR="004F7FF8" w:rsidRPr="00223D01">
        <w:rPr>
          <w:sz w:val="20"/>
          <w:lang w:val="fr-CH"/>
        </w:rPr>
        <w:t>, p. 225</w:t>
      </w:r>
      <w:r w:rsidR="006B0D63" w:rsidRPr="00223D01">
        <w:rPr>
          <w:sz w:val="20"/>
          <w:lang w:val="fr-CH"/>
        </w:rPr>
        <w:t>)</w:t>
      </w:r>
      <w:r w:rsidR="004F7FF8" w:rsidRPr="00223D01">
        <w:rPr>
          <w:sz w:val="20"/>
          <w:lang w:val="fr-CH"/>
        </w:rPr>
        <w:t>.</w:t>
      </w:r>
    </w:p>
    <w:p w14:paraId="5485CA20" w14:textId="44D51562" w:rsidR="008F7F74" w:rsidRPr="00223D01" w:rsidRDefault="00C61DFC" w:rsidP="004B0026">
      <w:pPr>
        <w:rPr>
          <w:lang w:val="fr-CH"/>
        </w:rPr>
      </w:pPr>
      <w:r w:rsidRPr="00223D01">
        <w:rPr>
          <w:lang w:val="fr-CH"/>
        </w:rPr>
        <w:lastRenderedPageBreak/>
        <w:t xml:space="preserve">Les </w:t>
      </w:r>
      <w:r w:rsidR="001541F6" w:rsidRPr="00223D01">
        <w:rPr>
          <w:lang w:val="fr-CH"/>
        </w:rPr>
        <w:t xml:space="preserve">véritables </w:t>
      </w:r>
      <w:r w:rsidRPr="00223D01">
        <w:rPr>
          <w:lang w:val="fr-CH"/>
        </w:rPr>
        <w:t xml:space="preserve">progrès viennent </w:t>
      </w:r>
      <w:r w:rsidR="006F6425" w:rsidRPr="00223D01">
        <w:rPr>
          <w:lang w:val="fr-CH"/>
        </w:rPr>
        <w:t>des « amis de l’archéologie »</w:t>
      </w:r>
      <w:r w:rsidR="00DF4E0B" w:rsidRPr="00223D01">
        <w:rPr>
          <w:lang w:val="fr-CH"/>
        </w:rPr>
        <w:t xml:space="preserve">, </w:t>
      </w:r>
      <w:r w:rsidR="00504BF2" w:rsidRPr="00223D01">
        <w:rPr>
          <w:lang w:val="fr-CH"/>
        </w:rPr>
        <w:t xml:space="preserve">soit ceux qui prêtent attention aux sources, </w:t>
      </w:r>
      <w:r w:rsidR="00DF4E0B" w:rsidRPr="00223D01">
        <w:rPr>
          <w:lang w:val="fr-CH"/>
        </w:rPr>
        <w:t xml:space="preserve">parmi lesquels Champollion épingle Bernard de Montfaucon </w:t>
      </w:r>
      <w:r w:rsidR="001D4E72" w:rsidRPr="00223D01">
        <w:rPr>
          <w:lang w:val="fr-CH"/>
        </w:rPr>
        <w:t xml:space="preserve">(1655–1741) </w:t>
      </w:r>
      <w:r w:rsidR="00807E12" w:rsidRPr="00223D01">
        <w:rPr>
          <w:lang w:val="fr-CH"/>
        </w:rPr>
        <w:t xml:space="preserve">et le </w:t>
      </w:r>
      <w:r w:rsidR="00594C41" w:rsidRPr="00223D01">
        <w:rPr>
          <w:lang w:val="fr-CH"/>
        </w:rPr>
        <w:t>c</w:t>
      </w:r>
      <w:r w:rsidR="00807E12" w:rsidRPr="00223D01">
        <w:rPr>
          <w:lang w:val="fr-CH"/>
        </w:rPr>
        <w:t xml:space="preserve">omte de Caylus </w:t>
      </w:r>
      <w:r w:rsidR="00594C41" w:rsidRPr="00223D01">
        <w:rPr>
          <w:lang w:val="fr-CH"/>
        </w:rPr>
        <w:t>(1692–1765)</w:t>
      </w:r>
      <w:r w:rsidR="0017661A" w:rsidRPr="00223D01">
        <w:rPr>
          <w:lang w:val="fr-CH"/>
        </w:rPr>
        <w:t xml:space="preserve">, qui ont contribué </w:t>
      </w:r>
      <w:r w:rsidR="00AA283B" w:rsidRPr="00223D01">
        <w:rPr>
          <w:lang w:val="fr-CH"/>
        </w:rPr>
        <w:t>au rassemblement des « divers produits de l’art antique des Égyptiens » (</w:t>
      </w:r>
      <w:r w:rsidR="00AA283B" w:rsidRPr="00223D01">
        <w:rPr>
          <w:i/>
          <w:iCs/>
          <w:lang w:val="fr-CH"/>
        </w:rPr>
        <w:t>Discours</w:t>
      </w:r>
      <w:r w:rsidR="00AA283B" w:rsidRPr="00223D01">
        <w:rPr>
          <w:lang w:val="fr-CH"/>
        </w:rPr>
        <w:t>, p. </w:t>
      </w:r>
      <w:proofErr w:type="spellStart"/>
      <w:r w:rsidR="0059192D" w:rsidRPr="00223D01">
        <w:rPr>
          <w:lang w:val="fr-CH"/>
        </w:rPr>
        <w:t>xj</w:t>
      </w:r>
      <w:proofErr w:type="spellEnd"/>
      <w:r w:rsidR="00316C4B" w:rsidRPr="00223D01">
        <w:rPr>
          <w:lang w:val="fr-CH"/>
        </w:rPr>
        <w:t>)</w:t>
      </w:r>
      <w:r w:rsidR="00315B80" w:rsidRPr="00223D01">
        <w:rPr>
          <w:lang w:val="fr-CH"/>
        </w:rPr>
        <w:t xml:space="preserve"> dans la première partie du siècle</w:t>
      </w:r>
      <w:r w:rsidR="0084496A" w:rsidRPr="00223D01">
        <w:rPr>
          <w:lang w:val="fr-CH"/>
        </w:rPr>
        <w:t xml:space="preserve"> (</w:t>
      </w:r>
      <w:r w:rsidR="00DE59A4" w:rsidRPr="00223D01">
        <w:rPr>
          <w:rFonts w:eastAsia="Times New Roman"/>
          <w:bCs/>
          <w:szCs w:val="24"/>
          <w:highlight w:val="yellow"/>
          <w:lang w:val="fr-CH"/>
        </w:rPr>
        <w:t xml:space="preserve">cf. </w:t>
      </w:r>
      <w:r w:rsidR="00DE59A4" w:rsidRPr="00223D01">
        <w:rPr>
          <w:rFonts w:eastAsia="Times New Roman"/>
          <w:bCs/>
          <w:i/>
          <w:iCs/>
          <w:szCs w:val="24"/>
          <w:highlight w:val="yellow"/>
          <w:lang w:val="fr-CH"/>
        </w:rPr>
        <w:t>supra</w:t>
      </w:r>
      <w:r w:rsidR="00DE59A4" w:rsidRPr="00223D01">
        <w:rPr>
          <w:rFonts w:eastAsia="Times New Roman"/>
          <w:bCs/>
          <w:szCs w:val="24"/>
          <w:highlight w:val="yellow"/>
          <w:lang w:val="fr-CH"/>
        </w:rPr>
        <w:t xml:space="preserve">, </w:t>
      </w:r>
      <w:r w:rsidR="0084496A" w:rsidRPr="00223D01">
        <w:rPr>
          <w:highlight w:val="yellow"/>
          <w:lang w:val="fr-CH"/>
        </w:rPr>
        <w:t>8.2</w:t>
      </w:r>
      <w:r w:rsidR="0084496A" w:rsidRPr="00223D01">
        <w:rPr>
          <w:lang w:val="fr-CH"/>
        </w:rPr>
        <w:t>)</w:t>
      </w:r>
      <w:r w:rsidR="00807E12" w:rsidRPr="00223D01">
        <w:rPr>
          <w:lang w:val="fr-CH"/>
        </w:rPr>
        <w:t>.</w:t>
      </w:r>
      <w:r w:rsidR="00803D04" w:rsidRPr="00223D01">
        <w:rPr>
          <w:lang w:val="fr-CH"/>
        </w:rPr>
        <w:t xml:space="preserve"> Mais c’est le savant danois Jörgen </w:t>
      </w:r>
      <w:proofErr w:type="spellStart"/>
      <w:r w:rsidR="00803D04" w:rsidRPr="00223D01">
        <w:rPr>
          <w:lang w:val="fr-CH"/>
        </w:rPr>
        <w:t>Zoega</w:t>
      </w:r>
      <w:proofErr w:type="spellEnd"/>
      <w:r w:rsidR="00803D04" w:rsidRPr="00223D01">
        <w:rPr>
          <w:lang w:val="fr-CH"/>
        </w:rPr>
        <w:t xml:space="preserve"> (1755–1809) que le père de l’égyptologie identifie comme </w:t>
      </w:r>
      <w:r w:rsidR="00B7122A" w:rsidRPr="00223D01">
        <w:rPr>
          <w:lang w:val="fr-CH"/>
        </w:rPr>
        <w:t>étant le véritable</w:t>
      </w:r>
      <w:r w:rsidR="00803D04" w:rsidRPr="00223D01">
        <w:rPr>
          <w:lang w:val="fr-CH"/>
        </w:rPr>
        <w:t xml:space="preserve"> </w:t>
      </w:r>
      <w:r w:rsidR="009B584C" w:rsidRPr="00223D01">
        <w:rPr>
          <w:lang w:val="fr-CH"/>
        </w:rPr>
        <w:t>fondateur des études archéologiques égyptiennes (</w:t>
      </w:r>
      <w:r w:rsidR="00BE4C0B" w:rsidRPr="00223D01">
        <w:rPr>
          <w:i/>
          <w:iCs/>
          <w:lang w:val="fr-CH"/>
        </w:rPr>
        <w:t>Discours</w:t>
      </w:r>
      <w:r w:rsidR="00BE4C0B" w:rsidRPr="00223D01">
        <w:rPr>
          <w:lang w:val="fr-CH"/>
        </w:rPr>
        <w:t>, p</w:t>
      </w:r>
      <w:r w:rsidR="004B6CA8">
        <w:rPr>
          <w:lang w:val="fr-CH"/>
        </w:rPr>
        <w:t>p</w:t>
      </w:r>
      <w:r w:rsidR="00BE4C0B" w:rsidRPr="00223D01">
        <w:rPr>
          <w:lang w:val="fr-CH"/>
        </w:rPr>
        <w:t>. </w:t>
      </w:r>
      <w:proofErr w:type="spellStart"/>
      <w:r w:rsidR="00BE4C0B" w:rsidRPr="00223D01">
        <w:rPr>
          <w:lang w:val="fr-CH"/>
        </w:rPr>
        <w:t>xj-xiij</w:t>
      </w:r>
      <w:proofErr w:type="spellEnd"/>
      <w:r w:rsidR="00BE4C0B" w:rsidRPr="00223D01">
        <w:rPr>
          <w:lang w:val="fr-CH"/>
        </w:rPr>
        <w:t>)</w:t>
      </w:r>
      <w:r w:rsidR="00157663" w:rsidRPr="00223D01">
        <w:rPr>
          <w:lang w:val="fr-CH"/>
        </w:rPr>
        <w:t>. Dans</w:t>
      </w:r>
      <w:r w:rsidR="00C64A10" w:rsidRPr="00223D01">
        <w:rPr>
          <w:lang w:val="fr-CH"/>
        </w:rPr>
        <w:t xml:space="preserve"> son ouvrage sur les obélisques</w:t>
      </w:r>
      <w:r w:rsidR="00885B11" w:rsidRPr="00223D01">
        <w:rPr>
          <w:lang w:val="fr-CH"/>
        </w:rPr>
        <w:t xml:space="preserve"> de Rome </w:t>
      </w:r>
      <w:r w:rsidR="0088223A" w:rsidRPr="00223D01">
        <w:rPr>
          <w:lang w:val="fr-CH"/>
        </w:rPr>
        <w:t>—</w:t>
      </w:r>
      <w:r w:rsidR="00DE59A4" w:rsidRPr="00223D01">
        <w:rPr>
          <w:lang w:val="fr-CH"/>
        </w:rPr>
        <w:t> </w:t>
      </w:r>
      <w:r w:rsidR="00885B11" w:rsidRPr="00223D01">
        <w:rPr>
          <w:lang w:val="fr-CH"/>
        </w:rPr>
        <w:t>commandité par</w:t>
      </w:r>
      <w:r w:rsidR="000D2769" w:rsidRPr="00223D01">
        <w:rPr>
          <w:lang w:val="fr-CH"/>
        </w:rPr>
        <w:t xml:space="preserve"> et dédié à</w:t>
      </w:r>
      <w:r w:rsidR="00885B11" w:rsidRPr="00223D01">
        <w:rPr>
          <w:lang w:val="fr-CH"/>
        </w:rPr>
        <w:t xml:space="preserve"> Pie VI</w:t>
      </w:r>
      <w:r w:rsidR="0088223A" w:rsidRPr="00223D01">
        <w:rPr>
          <w:lang w:val="fr-CH"/>
        </w:rPr>
        <w:t xml:space="preserve"> — qui est </w:t>
      </w:r>
      <w:r w:rsidR="00C64A10" w:rsidRPr="00223D01">
        <w:rPr>
          <w:lang w:val="fr-CH"/>
        </w:rPr>
        <w:t xml:space="preserve">intitulé </w:t>
      </w:r>
      <w:r w:rsidR="00C64A10" w:rsidRPr="00223D01">
        <w:rPr>
          <w:i/>
          <w:iCs/>
          <w:lang w:val="fr-CH"/>
        </w:rPr>
        <w:t xml:space="preserve">De </w:t>
      </w:r>
      <w:proofErr w:type="spellStart"/>
      <w:r w:rsidR="00C64A10" w:rsidRPr="00223D01">
        <w:rPr>
          <w:i/>
          <w:iCs/>
          <w:lang w:val="fr-CH"/>
        </w:rPr>
        <w:t>usu</w:t>
      </w:r>
      <w:proofErr w:type="spellEnd"/>
      <w:r w:rsidR="00C64A10" w:rsidRPr="00223D01">
        <w:rPr>
          <w:i/>
          <w:iCs/>
          <w:lang w:val="fr-CH"/>
        </w:rPr>
        <w:t xml:space="preserve"> et origine </w:t>
      </w:r>
      <w:proofErr w:type="spellStart"/>
      <w:r w:rsidR="00C64A10" w:rsidRPr="00223D01">
        <w:rPr>
          <w:i/>
          <w:iCs/>
          <w:lang w:val="fr-CH"/>
        </w:rPr>
        <w:t>obeliscorum</w:t>
      </w:r>
      <w:proofErr w:type="spellEnd"/>
      <w:r w:rsidR="00B86262" w:rsidRPr="00223D01">
        <w:rPr>
          <w:lang w:val="fr-CH"/>
        </w:rPr>
        <w:t xml:space="preserve"> </w:t>
      </w:r>
      <w:r w:rsidR="000B0952" w:rsidRPr="00223D01">
        <w:rPr>
          <w:lang w:val="fr-CH"/>
        </w:rPr>
        <w:t>(1797)</w:t>
      </w:r>
      <w:r w:rsidR="000339E9" w:rsidRPr="00223D01">
        <w:rPr>
          <w:lang w:val="fr-CH"/>
        </w:rPr>
        <w:t>,</w:t>
      </w:r>
      <w:r w:rsidR="000B0952" w:rsidRPr="00223D01">
        <w:rPr>
          <w:lang w:val="fr-CH"/>
        </w:rPr>
        <w:t xml:space="preserve"> </w:t>
      </w:r>
      <w:r w:rsidR="003A683F" w:rsidRPr="00223D01">
        <w:rPr>
          <w:lang w:val="fr-CH"/>
        </w:rPr>
        <w:t xml:space="preserve">il présente </w:t>
      </w:r>
      <w:r w:rsidR="00B86262" w:rsidRPr="00223D01">
        <w:rPr>
          <w:lang w:val="fr-CH"/>
        </w:rPr>
        <w:t xml:space="preserve">les résultats de ses recherches </w:t>
      </w:r>
      <w:r w:rsidR="00503574" w:rsidRPr="00223D01">
        <w:rPr>
          <w:lang w:val="fr-CH"/>
        </w:rPr>
        <w:t xml:space="preserve">érudites </w:t>
      </w:r>
      <w:r w:rsidR="00B86262" w:rsidRPr="00223D01">
        <w:rPr>
          <w:lang w:val="fr-CH"/>
        </w:rPr>
        <w:t>sur</w:t>
      </w:r>
      <w:r w:rsidR="00290D1A" w:rsidRPr="00223D01">
        <w:rPr>
          <w:lang w:val="fr-CH"/>
        </w:rPr>
        <w:t xml:space="preserve"> </w:t>
      </w:r>
      <w:r w:rsidR="008F0AE2" w:rsidRPr="00223D01">
        <w:rPr>
          <w:lang w:val="fr-CH"/>
        </w:rPr>
        <w:t>ces monuments et les hiéroglyphes qui y figurent</w:t>
      </w:r>
      <w:r w:rsidR="0088132B" w:rsidRPr="00223D01">
        <w:rPr>
          <w:lang w:val="fr-CH"/>
        </w:rPr>
        <w:t xml:space="preserve"> (</w:t>
      </w:r>
      <w:r w:rsidR="0088132B" w:rsidRPr="00223D01">
        <w:rPr>
          <w:highlight w:val="yellow"/>
          <w:lang w:val="fr-CH"/>
        </w:rPr>
        <w:t>Fig. </w:t>
      </w:r>
      <w:r w:rsidR="008F1E19" w:rsidRPr="00223D01">
        <w:rPr>
          <w:highlight w:val="yellow"/>
          <w:lang w:val="fr-CH"/>
        </w:rPr>
        <w:t>4</w:t>
      </w:r>
      <w:r w:rsidR="0088132B" w:rsidRPr="00223D01">
        <w:rPr>
          <w:lang w:val="fr-CH"/>
        </w:rPr>
        <w:t>)</w:t>
      </w:r>
      <w:r w:rsidR="00113EA8" w:rsidRPr="00223D01">
        <w:rPr>
          <w:lang w:val="fr-CH"/>
        </w:rPr>
        <w:t>. Pour Champollion, ses mérites sont multipl</w:t>
      </w:r>
      <w:r w:rsidR="00235FCF" w:rsidRPr="00223D01">
        <w:rPr>
          <w:lang w:val="fr-CH"/>
        </w:rPr>
        <w:t>es</w:t>
      </w:r>
      <w:r w:rsidR="00290D1A" w:rsidRPr="00223D01">
        <w:rPr>
          <w:lang w:val="fr-CH"/>
        </w:rPr>
        <w:t xml:space="preserve"> : </w:t>
      </w:r>
      <w:r w:rsidR="00235FCF" w:rsidRPr="00223D01">
        <w:rPr>
          <w:lang w:val="fr-CH"/>
        </w:rPr>
        <w:t>(1) il est le premier à avoir soupçonné l’existence d’une dimension phon</w:t>
      </w:r>
      <w:r w:rsidR="00AA4021" w:rsidRPr="00223D01">
        <w:rPr>
          <w:lang w:val="fr-CH"/>
        </w:rPr>
        <w:t>ographique</w:t>
      </w:r>
      <w:r w:rsidR="00235FCF" w:rsidRPr="00223D01">
        <w:rPr>
          <w:lang w:val="fr-CH"/>
        </w:rPr>
        <w:t xml:space="preserve"> dans le système hiéroglyphique, (2) il combat l’idée d’un usage mystérieux des hiéroglyphes</w:t>
      </w:r>
      <w:r w:rsidR="005B2DBF" w:rsidRPr="00223D01">
        <w:rPr>
          <w:lang w:val="fr-CH"/>
        </w:rPr>
        <w:t xml:space="preserve">, </w:t>
      </w:r>
      <w:r w:rsidR="00610EC7" w:rsidRPr="00223D01">
        <w:rPr>
          <w:lang w:val="fr-CH"/>
        </w:rPr>
        <w:t>qui serai</w:t>
      </w:r>
      <w:r w:rsidR="000E6CBA" w:rsidRPr="00223D01">
        <w:rPr>
          <w:lang w:val="fr-CH"/>
        </w:rPr>
        <w:t>en</w:t>
      </w:r>
      <w:r w:rsidR="00610EC7" w:rsidRPr="00223D01">
        <w:rPr>
          <w:lang w:val="fr-CH"/>
        </w:rPr>
        <w:t xml:space="preserve">t </w:t>
      </w:r>
      <w:r w:rsidR="00264851" w:rsidRPr="00223D01">
        <w:rPr>
          <w:lang w:val="fr-CH"/>
        </w:rPr>
        <w:t>les symboles d’</w:t>
      </w:r>
      <w:r w:rsidR="00610EC7" w:rsidRPr="00223D01">
        <w:rPr>
          <w:lang w:val="fr-CH"/>
        </w:rPr>
        <w:t xml:space="preserve">une </w:t>
      </w:r>
      <w:r w:rsidR="005B2DBF" w:rsidRPr="00223D01">
        <w:rPr>
          <w:lang w:val="fr-CH"/>
        </w:rPr>
        <w:t>écriture</w:t>
      </w:r>
      <w:r w:rsidR="00235FCF" w:rsidRPr="00223D01">
        <w:rPr>
          <w:lang w:val="fr-CH"/>
        </w:rPr>
        <w:t xml:space="preserve"> réservé</w:t>
      </w:r>
      <w:r w:rsidR="00F379B8" w:rsidRPr="00223D01">
        <w:rPr>
          <w:lang w:val="fr-CH"/>
        </w:rPr>
        <w:t>e</w:t>
      </w:r>
      <w:r w:rsidR="00235FCF" w:rsidRPr="00223D01">
        <w:rPr>
          <w:lang w:val="fr-CH"/>
        </w:rPr>
        <w:t xml:space="preserve"> à un petit nombre d’adeptes (</w:t>
      </w:r>
      <w:r w:rsidR="006A3845" w:rsidRPr="00223D01">
        <w:rPr>
          <w:lang w:val="fr-CH"/>
        </w:rPr>
        <w:t xml:space="preserve">pour lui, </w:t>
      </w:r>
      <w:r w:rsidR="00235FCF" w:rsidRPr="00223D01">
        <w:rPr>
          <w:lang w:val="fr-CH"/>
        </w:rPr>
        <w:t xml:space="preserve">tous les sujets devaient pouvoir être traités </w:t>
      </w:r>
      <w:r w:rsidR="006C618C" w:rsidRPr="00223D01">
        <w:rPr>
          <w:lang w:val="fr-CH"/>
        </w:rPr>
        <w:t>au moyen d’</w:t>
      </w:r>
      <w:r w:rsidR="00235FCF" w:rsidRPr="00223D01">
        <w:rPr>
          <w:lang w:val="fr-CH"/>
        </w:rPr>
        <w:t xml:space="preserve">hiéroglyphes), (3) </w:t>
      </w:r>
      <w:r w:rsidR="00A15FE1" w:rsidRPr="00223D01">
        <w:rPr>
          <w:lang w:val="fr-CH"/>
        </w:rPr>
        <w:t xml:space="preserve">il </w:t>
      </w:r>
      <w:r w:rsidR="00EA02B5" w:rsidRPr="00223D01">
        <w:rPr>
          <w:lang w:val="fr-CH"/>
        </w:rPr>
        <w:t xml:space="preserve">adopte </w:t>
      </w:r>
      <w:r w:rsidR="00A15FE1" w:rsidRPr="00223D01">
        <w:rPr>
          <w:lang w:val="fr-CH"/>
        </w:rPr>
        <w:t xml:space="preserve">une </w:t>
      </w:r>
      <w:r w:rsidR="00940B1C" w:rsidRPr="00223D01">
        <w:rPr>
          <w:lang w:val="fr-CH"/>
        </w:rPr>
        <w:t xml:space="preserve">véritable </w:t>
      </w:r>
      <w:r w:rsidR="00A15FE1" w:rsidRPr="00223D01">
        <w:rPr>
          <w:lang w:val="fr-CH"/>
        </w:rPr>
        <w:t xml:space="preserve">méthode philologique, </w:t>
      </w:r>
      <w:r w:rsidR="00576DFD" w:rsidRPr="00223D01">
        <w:rPr>
          <w:lang w:val="fr-CH"/>
        </w:rPr>
        <w:t xml:space="preserve">en </w:t>
      </w:r>
      <w:r w:rsidR="00BD5DA0" w:rsidRPr="00223D01">
        <w:rPr>
          <w:lang w:val="fr-CH"/>
        </w:rPr>
        <w:t xml:space="preserve">identifiant d’abord </w:t>
      </w:r>
      <w:r w:rsidR="0015204A" w:rsidRPr="00223D01">
        <w:rPr>
          <w:lang w:val="fr-CH"/>
        </w:rPr>
        <w:t>le</w:t>
      </w:r>
      <w:r w:rsidR="00576DFD" w:rsidRPr="00223D01">
        <w:rPr>
          <w:lang w:val="fr-CH"/>
        </w:rPr>
        <w:t>s</w:t>
      </w:r>
      <w:r w:rsidR="0015204A" w:rsidRPr="00223D01">
        <w:rPr>
          <w:lang w:val="fr-CH"/>
        </w:rPr>
        <w:t xml:space="preserve"> </w:t>
      </w:r>
      <w:r w:rsidR="00A15FE1" w:rsidRPr="00223D01">
        <w:rPr>
          <w:lang w:val="fr-CH"/>
        </w:rPr>
        <w:t>unités</w:t>
      </w:r>
      <w:r w:rsidR="0015204A" w:rsidRPr="00223D01">
        <w:rPr>
          <w:lang w:val="fr-CH"/>
        </w:rPr>
        <w:t xml:space="preserve"> minimales</w:t>
      </w:r>
      <w:r w:rsidR="00A15FE1" w:rsidRPr="00223D01">
        <w:rPr>
          <w:lang w:val="fr-CH"/>
        </w:rPr>
        <w:t xml:space="preserve"> (</w:t>
      </w:r>
      <w:r w:rsidR="00A81F2A" w:rsidRPr="00223D01">
        <w:rPr>
          <w:lang w:val="fr-CH"/>
        </w:rPr>
        <w:t xml:space="preserve">il </w:t>
      </w:r>
      <w:r w:rsidR="0071179A" w:rsidRPr="00223D01">
        <w:rPr>
          <w:lang w:val="fr-CH"/>
        </w:rPr>
        <w:t>rassemble</w:t>
      </w:r>
      <w:r w:rsidR="00A81F2A" w:rsidRPr="00223D01">
        <w:rPr>
          <w:lang w:val="fr-CH"/>
        </w:rPr>
        <w:t xml:space="preserve"> </w:t>
      </w:r>
      <w:r w:rsidR="00171E06" w:rsidRPr="00223D01">
        <w:rPr>
          <w:lang w:val="fr-CH"/>
        </w:rPr>
        <w:t xml:space="preserve">une </w:t>
      </w:r>
      <w:r w:rsidR="00C77672" w:rsidRPr="00223D01">
        <w:rPr>
          <w:lang w:val="fr-CH"/>
        </w:rPr>
        <w:t xml:space="preserve">liste de </w:t>
      </w:r>
      <w:r w:rsidR="00DC03AA" w:rsidRPr="00223D01">
        <w:rPr>
          <w:lang w:val="fr-CH"/>
        </w:rPr>
        <w:t>tous les hiéroglyphes attestés sur les obélisque</w:t>
      </w:r>
      <w:r w:rsidR="00F60083" w:rsidRPr="00223D01">
        <w:rPr>
          <w:lang w:val="fr-CH"/>
        </w:rPr>
        <w:t>s</w:t>
      </w:r>
      <w:r w:rsidR="00DC03AA" w:rsidRPr="00223D01">
        <w:rPr>
          <w:lang w:val="fr-CH"/>
        </w:rPr>
        <w:t xml:space="preserve"> et monuments égyptiens de Rome et d’ailleurs), </w:t>
      </w:r>
      <w:r w:rsidR="00576DFD" w:rsidRPr="00223D01">
        <w:rPr>
          <w:lang w:val="fr-CH"/>
        </w:rPr>
        <w:t>plutôt qu’en interprétant globalement des inscriptions hiéroglyphiques.</w:t>
      </w:r>
      <w:r w:rsidR="003D613B" w:rsidRPr="00223D01">
        <w:rPr>
          <w:lang w:val="fr-CH"/>
        </w:rPr>
        <w:t xml:space="preserve"> N’était sa mort prématurée, Champollion </w:t>
      </w:r>
      <w:r w:rsidR="009039FA" w:rsidRPr="00223D01">
        <w:rPr>
          <w:lang w:val="fr-CH"/>
        </w:rPr>
        <w:t xml:space="preserve">semble penser que sa connaissance fine du copte aurait pu </w:t>
      </w:r>
      <w:r w:rsidR="008E0F7A" w:rsidRPr="00223D01">
        <w:rPr>
          <w:lang w:val="fr-CH"/>
        </w:rPr>
        <w:t xml:space="preserve">lui permettre de </w:t>
      </w:r>
      <w:r w:rsidR="0006517A" w:rsidRPr="00223D01">
        <w:rPr>
          <w:lang w:val="fr-CH"/>
        </w:rPr>
        <w:t>le devancer dans la course au déchiffrement</w:t>
      </w:r>
      <w:r w:rsidR="008E0F7A" w:rsidRPr="00223D01">
        <w:rPr>
          <w:lang w:val="fr-CH"/>
        </w:rPr>
        <w:t>.</w:t>
      </w:r>
    </w:p>
    <w:p w14:paraId="68F7CE8C" w14:textId="19BDC7B8" w:rsidR="00C242F2" w:rsidRPr="00223D01" w:rsidRDefault="00871C84" w:rsidP="00F95984">
      <w:pPr>
        <w:spacing w:after="120"/>
        <w:ind w:left="284" w:right="561" w:firstLine="0"/>
        <w:rPr>
          <w:sz w:val="20"/>
          <w:lang w:val="fr-CH"/>
        </w:rPr>
      </w:pPr>
      <w:r w:rsidRPr="00223D01">
        <w:rPr>
          <w:sz w:val="20"/>
          <w:highlight w:val="yellow"/>
          <w:lang w:val="fr-CH"/>
        </w:rPr>
        <w:t>Fig</w:t>
      </w:r>
      <w:r w:rsidR="00A364DA" w:rsidRPr="00223D01">
        <w:rPr>
          <w:sz w:val="20"/>
          <w:highlight w:val="yellow"/>
          <w:lang w:val="fr-CH"/>
        </w:rPr>
        <w:t>ure</w:t>
      </w:r>
      <w:r w:rsidRPr="00223D01">
        <w:rPr>
          <w:sz w:val="20"/>
          <w:highlight w:val="yellow"/>
          <w:lang w:val="fr-CH"/>
        </w:rPr>
        <w:t>. </w:t>
      </w:r>
      <w:r w:rsidR="006A72CF" w:rsidRPr="00223D01">
        <w:rPr>
          <w:sz w:val="20"/>
          <w:highlight w:val="yellow"/>
          <w:lang w:val="fr-CH"/>
        </w:rPr>
        <w:t>4</w:t>
      </w:r>
      <w:r w:rsidRPr="00223D01">
        <w:rPr>
          <w:sz w:val="20"/>
          <w:highlight w:val="yellow"/>
          <w:lang w:val="fr-CH"/>
        </w:rPr>
        <w:t>.</w:t>
      </w:r>
      <w:r w:rsidR="00CC7169" w:rsidRPr="00223D01">
        <w:rPr>
          <w:sz w:val="20"/>
          <w:lang w:val="fr-CH"/>
        </w:rPr>
        <w:t xml:space="preserve"> Représentation de l’obélisque </w:t>
      </w:r>
      <w:proofErr w:type="spellStart"/>
      <w:r w:rsidR="00CB3A2D" w:rsidRPr="00223D01">
        <w:rPr>
          <w:sz w:val="20"/>
          <w:lang w:val="fr-CH"/>
        </w:rPr>
        <w:t>bénéventin</w:t>
      </w:r>
      <w:proofErr w:type="spellEnd"/>
      <w:r w:rsidR="00CB3A2D" w:rsidRPr="00223D01">
        <w:rPr>
          <w:sz w:val="20"/>
          <w:lang w:val="fr-CH"/>
        </w:rPr>
        <w:t xml:space="preserve"> sur la dernière page du traité de </w:t>
      </w:r>
      <w:proofErr w:type="spellStart"/>
      <w:r w:rsidR="00CB3A2D" w:rsidRPr="00223D01">
        <w:rPr>
          <w:sz w:val="20"/>
          <w:lang w:val="fr-CH"/>
        </w:rPr>
        <w:t>Zoega</w:t>
      </w:r>
      <w:proofErr w:type="spellEnd"/>
      <w:r w:rsidR="00CB3A2D" w:rsidRPr="00223D01">
        <w:rPr>
          <w:sz w:val="20"/>
          <w:lang w:val="fr-CH"/>
        </w:rPr>
        <w:t xml:space="preserve">, </w:t>
      </w:r>
      <w:r w:rsidR="00CB3A2D" w:rsidRPr="00223D01">
        <w:rPr>
          <w:i/>
          <w:iCs/>
          <w:sz w:val="20"/>
          <w:lang w:val="fr-CH"/>
        </w:rPr>
        <w:t xml:space="preserve">De </w:t>
      </w:r>
      <w:proofErr w:type="spellStart"/>
      <w:r w:rsidR="00CB3A2D" w:rsidRPr="00223D01">
        <w:rPr>
          <w:i/>
          <w:iCs/>
          <w:sz w:val="20"/>
          <w:lang w:val="fr-CH"/>
        </w:rPr>
        <w:t>usu</w:t>
      </w:r>
      <w:proofErr w:type="spellEnd"/>
      <w:r w:rsidR="00CB3A2D" w:rsidRPr="00223D01">
        <w:rPr>
          <w:i/>
          <w:iCs/>
          <w:sz w:val="20"/>
          <w:lang w:val="fr-CH"/>
        </w:rPr>
        <w:t xml:space="preserve"> et origine </w:t>
      </w:r>
      <w:proofErr w:type="spellStart"/>
      <w:r w:rsidR="00CB3A2D" w:rsidRPr="00223D01">
        <w:rPr>
          <w:i/>
          <w:iCs/>
          <w:sz w:val="20"/>
          <w:lang w:val="fr-CH"/>
        </w:rPr>
        <w:t>obeliscorum</w:t>
      </w:r>
      <w:proofErr w:type="spellEnd"/>
      <w:r w:rsidR="00CB3A2D" w:rsidRPr="00223D01">
        <w:rPr>
          <w:sz w:val="20"/>
          <w:lang w:val="fr-CH"/>
        </w:rPr>
        <w:t>, 1797, p. </w:t>
      </w:r>
      <w:r w:rsidR="00235912" w:rsidRPr="00223D01">
        <w:rPr>
          <w:sz w:val="20"/>
          <w:lang w:val="fr-CH"/>
        </w:rPr>
        <w:t>644.</w:t>
      </w:r>
    </w:p>
    <w:p w14:paraId="3A42503A" w14:textId="5DEED650" w:rsidR="00390163" w:rsidRPr="00A16DF1" w:rsidRDefault="00390163" w:rsidP="004B0026">
      <w:pPr>
        <w:rPr>
          <w:lang w:val="fr-CH"/>
        </w:rPr>
      </w:pPr>
      <w:r w:rsidRPr="00223D01">
        <w:rPr>
          <w:lang w:val="fr-CH"/>
        </w:rPr>
        <w:t>Assez curieusement, dans ses récit</w:t>
      </w:r>
      <w:r w:rsidR="00DE59A4" w:rsidRPr="00223D01">
        <w:rPr>
          <w:lang w:val="fr-CH"/>
        </w:rPr>
        <w:t>s</w:t>
      </w:r>
      <w:r w:rsidRPr="00223D01">
        <w:rPr>
          <w:lang w:val="fr-CH"/>
        </w:rPr>
        <w:t xml:space="preserve"> du déchiffrement, Champollion omet de </w:t>
      </w:r>
      <w:r w:rsidR="00F55CDD" w:rsidRPr="00223D01">
        <w:rPr>
          <w:lang w:val="fr-CH"/>
        </w:rPr>
        <w:t xml:space="preserve">mentionner </w:t>
      </w:r>
      <w:r w:rsidRPr="00223D01">
        <w:rPr>
          <w:lang w:val="fr-CH"/>
        </w:rPr>
        <w:t>Jean-Jacques Barthélémy</w:t>
      </w:r>
      <w:r w:rsidR="00D3762C" w:rsidRPr="00223D01">
        <w:rPr>
          <w:lang w:val="fr-CH"/>
        </w:rPr>
        <w:t xml:space="preserve"> (1716–1795)</w:t>
      </w:r>
      <w:r w:rsidRPr="00223D01">
        <w:rPr>
          <w:lang w:val="fr-CH"/>
        </w:rPr>
        <w:t xml:space="preserve">, qui se trouve </w:t>
      </w:r>
      <w:r w:rsidR="00A16F77" w:rsidRPr="00223D01">
        <w:rPr>
          <w:lang w:val="fr-CH"/>
        </w:rPr>
        <w:t xml:space="preserve">de la sorte </w:t>
      </w:r>
      <w:r w:rsidRPr="00223D01">
        <w:rPr>
          <w:lang w:val="fr-CH"/>
        </w:rPr>
        <w:t>symboliquement éliminé de la généalogie égyptologique par</w:t>
      </w:r>
      <w:r w:rsidR="000F1878" w:rsidRPr="00223D01">
        <w:rPr>
          <w:lang w:val="fr-CH"/>
        </w:rPr>
        <w:t xml:space="preserve"> </w:t>
      </w:r>
      <w:r w:rsidR="00B22F12" w:rsidRPr="00223D01">
        <w:rPr>
          <w:lang w:val="fr-CH"/>
        </w:rPr>
        <w:t>le</w:t>
      </w:r>
      <w:r w:rsidRPr="00223D01">
        <w:rPr>
          <w:lang w:val="fr-CH"/>
        </w:rPr>
        <w:t xml:space="preserve"> fondateur</w:t>
      </w:r>
      <w:r w:rsidR="00B22F12" w:rsidRPr="00223D01">
        <w:rPr>
          <w:lang w:val="fr-CH"/>
        </w:rPr>
        <w:t xml:space="preserve"> de la discipline</w:t>
      </w:r>
      <w:r w:rsidR="00E033DC" w:rsidRPr="00223D01">
        <w:rPr>
          <w:lang w:val="fr-CH"/>
        </w:rPr>
        <w:t xml:space="preserve"> (</w:t>
      </w:r>
      <w:r w:rsidR="00DE59A4" w:rsidRPr="00223D01">
        <w:rPr>
          <w:rFonts w:eastAsia="Times New Roman"/>
          <w:bCs/>
          <w:szCs w:val="24"/>
          <w:highlight w:val="yellow"/>
          <w:lang w:val="fr-CH"/>
        </w:rPr>
        <w:t xml:space="preserve">cf. </w:t>
      </w:r>
      <w:r w:rsidR="00DE59A4" w:rsidRPr="00223D01">
        <w:rPr>
          <w:rFonts w:eastAsia="Times New Roman"/>
          <w:bCs/>
          <w:i/>
          <w:iCs/>
          <w:szCs w:val="24"/>
          <w:highlight w:val="yellow"/>
          <w:lang w:val="fr-CH"/>
        </w:rPr>
        <w:t>supra</w:t>
      </w:r>
      <w:r w:rsidR="00DE59A4" w:rsidRPr="00223D01">
        <w:rPr>
          <w:rFonts w:eastAsia="Times New Roman"/>
          <w:bCs/>
          <w:szCs w:val="24"/>
          <w:highlight w:val="yellow"/>
          <w:lang w:val="fr-CH"/>
        </w:rPr>
        <w:t xml:space="preserve">, </w:t>
      </w:r>
      <w:r w:rsidR="00E033DC" w:rsidRPr="00223D01">
        <w:rPr>
          <w:highlight w:val="yellow"/>
          <w:lang w:val="fr-CH"/>
        </w:rPr>
        <w:t>8.4</w:t>
      </w:r>
      <w:r w:rsidR="00E033DC" w:rsidRPr="00223D01">
        <w:rPr>
          <w:lang w:val="fr-CH"/>
        </w:rPr>
        <w:t>)</w:t>
      </w:r>
      <w:r w:rsidR="000E4567" w:rsidRPr="00223D01">
        <w:rPr>
          <w:lang w:val="fr-CH"/>
        </w:rPr>
        <w:t>. C’est un fait curieux</w:t>
      </w:r>
      <w:r w:rsidRPr="00223D01">
        <w:rPr>
          <w:lang w:val="fr-CH"/>
        </w:rPr>
        <w:t xml:space="preserve">, </w:t>
      </w:r>
      <w:r w:rsidR="000E4567" w:rsidRPr="00223D01">
        <w:rPr>
          <w:lang w:val="fr-CH"/>
        </w:rPr>
        <w:t>car</w:t>
      </w:r>
      <w:r w:rsidR="00590615" w:rsidRPr="00223D01">
        <w:rPr>
          <w:lang w:val="fr-CH"/>
        </w:rPr>
        <w:t xml:space="preserve"> </w:t>
      </w:r>
      <w:r w:rsidR="000D298D" w:rsidRPr="00223D01">
        <w:rPr>
          <w:lang w:val="fr-CH"/>
        </w:rPr>
        <w:t xml:space="preserve">l’abbé </w:t>
      </w:r>
      <w:r w:rsidR="00590615" w:rsidRPr="00223D01">
        <w:rPr>
          <w:lang w:val="fr-CH"/>
        </w:rPr>
        <w:t>Barthél</w:t>
      </w:r>
      <w:r w:rsidR="00AC6778" w:rsidRPr="00223D01">
        <w:rPr>
          <w:lang w:val="fr-CH"/>
        </w:rPr>
        <w:t>e</w:t>
      </w:r>
      <w:r w:rsidR="00590615" w:rsidRPr="00223D01">
        <w:rPr>
          <w:lang w:val="fr-CH"/>
        </w:rPr>
        <w:t>my avait le premier</w:t>
      </w:r>
      <w:r w:rsidR="00853129" w:rsidRPr="00223D01">
        <w:rPr>
          <w:lang w:val="fr-CH"/>
        </w:rPr>
        <w:t xml:space="preserve"> suggéré</w:t>
      </w:r>
      <w:r w:rsidR="000578D5" w:rsidRPr="00223D01">
        <w:rPr>
          <w:lang w:val="fr-CH"/>
        </w:rPr>
        <w:t xml:space="preserve">, </w:t>
      </w:r>
      <w:r w:rsidR="000578D5" w:rsidRPr="00223D01">
        <w:rPr>
          <w:spacing w:val="4"/>
          <w:w w:val="103"/>
          <w:lang w:val="fr-CH"/>
        </w:rPr>
        <w:t>en étudiant les inscriptions des obélisques de concert avec les commentaires d’auteurs latins, qu</w:t>
      </w:r>
      <w:r w:rsidR="007E127A" w:rsidRPr="00223D01">
        <w:rPr>
          <w:spacing w:val="4"/>
          <w:w w:val="103"/>
          <w:lang w:val="fr-CH"/>
        </w:rPr>
        <w:t xml:space="preserve">’ils devaient </w:t>
      </w:r>
      <w:r w:rsidR="000578D5" w:rsidRPr="00223D01">
        <w:rPr>
          <w:spacing w:val="4"/>
          <w:w w:val="103"/>
          <w:lang w:val="fr-CH"/>
        </w:rPr>
        <w:t>contenir des noms propres, et singulièrement ceux de rois</w:t>
      </w:r>
      <w:r w:rsidR="00F925B2" w:rsidRPr="00223D01">
        <w:rPr>
          <w:spacing w:val="4"/>
          <w:w w:val="103"/>
          <w:lang w:val="fr-CH"/>
        </w:rPr>
        <w:t xml:space="preserve">. Cette suggestion </w:t>
      </w:r>
      <w:r w:rsidR="00426BB9" w:rsidRPr="00223D01">
        <w:rPr>
          <w:lang w:val="fr-CH"/>
        </w:rPr>
        <w:t>s’avèrera crucial</w:t>
      </w:r>
      <w:r w:rsidR="006816D8" w:rsidRPr="00223D01">
        <w:rPr>
          <w:lang w:val="fr-CH"/>
        </w:rPr>
        <w:t>e,</w:t>
      </w:r>
      <w:r w:rsidR="00426BB9" w:rsidRPr="00223D01">
        <w:rPr>
          <w:lang w:val="fr-CH"/>
        </w:rPr>
        <w:t xml:space="preserve"> car </w:t>
      </w:r>
      <w:r w:rsidR="006816D8" w:rsidRPr="00223D01">
        <w:rPr>
          <w:lang w:val="fr-CH"/>
        </w:rPr>
        <w:t xml:space="preserve">les cartouches </w:t>
      </w:r>
      <w:r w:rsidR="00426BB9" w:rsidRPr="00223D01">
        <w:rPr>
          <w:lang w:val="fr-CH"/>
        </w:rPr>
        <w:t xml:space="preserve">seront le point de départ de </w:t>
      </w:r>
      <w:r w:rsidR="00CE6CAF" w:rsidRPr="00223D01">
        <w:rPr>
          <w:lang w:val="fr-CH"/>
        </w:rPr>
        <w:t xml:space="preserve">l’identification </w:t>
      </w:r>
      <w:r w:rsidR="00426BB9" w:rsidRPr="00223D01">
        <w:rPr>
          <w:lang w:val="fr-CH"/>
        </w:rPr>
        <w:t>de la dimension phonographique de l’égyptien hiéroglyphique</w:t>
      </w:r>
      <w:r w:rsidR="00343B64" w:rsidRPr="00223D01">
        <w:rPr>
          <w:lang w:val="fr-CH"/>
        </w:rPr>
        <w:t xml:space="preserve"> (</w:t>
      </w:r>
      <w:r w:rsidR="00DE59A4" w:rsidRPr="00223D01">
        <w:rPr>
          <w:rFonts w:eastAsia="Times New Roman"/>
          <w:bCs/>
          <w:szCs w:val="24"/>
          <w:highlight w:val="yellow"/>
          <w:lang w:val="fr-CH"/>
        </w:rPr>
        <w:t xml:space="preserve">cf. </w:t>
      </w:r>
      <w:r w:rsidR="00DE59A4" w:rsidRPr="00223D01">
        <w:rPr>
          <w:rFonts w:eastAsia="Times New Roman"/>
          <w:bCs/>
          <w:i/>
          <w:iCs/>
          <w:szCs w:val="24"/>
          <w:highlight w:val="yellow"/>
          <w:lang w:val="fr-CH"/>
        </w:rPr>
        <w:t>infra</w:t>
      </w:r>
      <w:r w:rsidR="00DE59A4" w:rsidRPr="00223D01">
        <w:rPr>
          <w:rFonts w:eastAsia="Times New Roman"/>
          <w:bCs/>
          <w:szCs w:val="24"/>
          <w:highlight w:val="yellow"/>
          <w:lang w:val="fr-CH"/>
        </w:rPr>
        <w:t xml:space="preserve">, </w:t>
      </w:r>
      <w:r w:rsidR="00343B64" w:rsidRPr="00223D01">
        <w:rPr>
          <w:highlight w:val="yellow"/>
          <w:lang w:val="fr-CH"/>
        </w:rPr>
        <w:t>9.5</w:t>
      </w:r>
      <w:r w:rsidR="00343B64" w:rsidRPr="00223D01">
        <w:rPr>
          <w:lang w:val="fr-CH"/>
        </w:rPr>
        <w:t>)</w:t>
      </w:r>
      <w:r w:rsidR="00F02996" w:rsidRPr="00223D01">
        <w:rPr>
          <w:lang w:val="fr-CH"/>
        </w:rPr>
        <w:t xml:space="preserve">. </w:t>
      </w:r>
      <w:r w:rsidR="00AC517C" w:rsidRPr="00223D01">
        <w:rPr>
          <w:lang w:val="fr-CH"/>
        </w:rPr>
        <w:t xml:space="preserve">Il est donc manifeste que </w:t>
      </w:r>
      <w:r w:rsidRPr="00223D01">
        <w:rPr>
          <w:lang w:val="fr-CH"/>
        </w:rPr>
        <w:t>« sa découverte de la nature des cartouches pharaoniques constitue la première victoire notable, si ténue soit-elle, sur la voie du déchiffrement des hiéroglyphes »</w:t>
      </w:r>
      <w:r w:rsidR="00DE59A4" w:rsidRPr="00223D01">
        <w:rPr>
          <w:rStyle w:val="Appelnotedebasdep"/>
          <w:lang w:val="fr-CH"/>
        </w:rPr>
        <w:footnoteReference w:id="15"/>
      </w:r>
      <w:r w:rsidR="00447ADD" w:rsidRPr="00223D01">
        <w:rPr>
          <w:lang w:val="fr-CH"/>
        </w:rPr>
        <w:t xml:space="preserve">. </w:t>
      </w:r>
      <w:r w:rsidR="00B66378" w:rsidRPr="00223D01">
        <w:rPr>
          <w:lang w:val="fr-CH"/>
        </w:rPr>
        <w:t>L</w:t>
      </w:r>
      <w:r w:rsidR="00065BF7" w:rsidRPr="00223D01">
        <w:rPr>
          <w:lang w:val="fr-CH"/>
        </w:rPr>
        <w:t xml:space="preserve">’abbé </w:t>
      </w:r>
      <w:r w:rsidR="00447ADD" w:rsidRPr="00223D01">
        <w:rPr>
          <w:lang w:val="fr-CH"/>
        </w:rPr>
        <w:t xml:space="preserve">Barthélemy est </w:t>
      </w:r>
      <w:r w:rsidR="00AA0890" w:rsidRPr="00223D01">
        <w:rPr>
          <w:lang w:val="fr-CH"/>
        </w:rPr>
        <w:t>régulièrement</w:t>
      </w:r>
      <w:r w:rsidR="00447ADD" w:rsidRPr="00223D01">
        <w:rPr>
          <w:lang w:val="fr-CH"/>
        </w:rPr>
        <w:t xml:space="preserve"> cité </w:t>
      </w:r>
      <w:r w:rsidR="0057066F" w:rsidRPr="00223D01">
        <w:rPr>
          <w:lang w:val="fr-CH"/>
        </w:rPr>
        <w:t xml:space="preserve">par Champollion </w:t>
      </w:r>
      <w:r w:rsidR="00447ADD" w:rsidRPr="00223D01">
        <w:rPr>
          <w:lang w:val="fr-CH"/>
        </w:rPr>
        <w:t xml:space="preserve">dans </w:t>
      </w:r>
      <w:r w:rsidR="00FA3BE0" w:rsidRPr="00223D01">
        <w:rPr>
          <w:lang w:val="fr-CH"/>
        </w:rPr>
        <w:t xml:space="preserve">ses </w:t>
      </w:r>
      <w:r w:rsidR="00972A2A" w:rsidRPr="00223D01">
        <w:rPr>
          <w:lang w:val="fr-CH"/>
        </w:rPr>
        <w:t xml:space="preserve">lettres, </w:t>
      </w:r>
      <w:r w:rsidR="00FA3BE0" w:rsidRPr="00223D01">
        <w:rPr>
          <w:lang w:val="fr-CH"/>
        </w:rPr>
        <w:t>travaux</w:t>
      </w:r>
      <w:r w:rsidR="00972A2A" w:rsidRPr="00223D01">
        <w:rPr>
          <w:lang w:val="fr-CH"/>
        </w:rPr>
        <w:t xml:space="preserve"> et mémoires, ce qui rend cette absence d’autant plus </w:t>
      </w:r>
      <w:r w:rsidR="00661606" w:rsidRPr="00223D01">
        <w:rPr>
          <w:lang w:val="fr-CH"/>
        </w:rPr>
        <w:t>singulière</w:t>
      </w:r>
      <w:r w:rsidR="00FA3BE0" w:rsidRPr="00223D01">
        <w:rPr>
          <w:lang w:val="fr-CH"/>
        </w:rPr>
        <w:t>.</w:t>
      </w:r>
      <w:r w:rsidR="000B615C">
        <w:rPr>
          <w:lang w:val="fr-CH"/>
        </w:rPr>
        <w:t xml:space="preserve"> </w:t>
      </w:r>
      <w:r w:rsidR="002D6875">
        <w:rPr>
          <w:lang w:val="fr-CH"/>
        </w:rPr>
        <w:t xml:space="preserve">On peut cependant en </w:t>
      </w:r>
      <w:r w:rsidR="00E1722E">
        <w:rPr>
          <w:lang w:val="fr-CH"/>
        </w:rPr>
        <w:t>oser</w:t>
      </w:r>
      <w:r w:rsidR="002D6875">
        <w:rPr>
          <w:lang w:val="fr-CH"/>
        </w:rPr>
        <w:t xml:space="preserve"> une explication : l’identification du nom de Ptolémée dans le cartouche de la Pierre de Rosette</w:t>
      </w:r>
      <w:r w:rsidR="00100816">
        <w:rPr>
          <w:lang w:val="fr-CH"/>
        </w:rPr>
        <w:t xml:space="preserve"> —</w:t>
      </w:r>
      <w:r w:rsidR="002D6875">
        <w:rPr>
          <w:lang w:val="fr-CH"/>
        </w:rPr>
        <w:t xml:space="preserve"> ainsi que </w:t>
      </w:r>
      <w:r w:rsidR="00B5750B">
        <w:rPr>
          <w:lang w:val="fr-CH"/>
        </w:rPr>
        <w:t xml:space="preserve">celle </w:t>
      </w:r>
      <w:r w:rsidR="002D6875">
        <w:rPr>
          <w:lang w:val="fr-CH"/>
        </w:rPr>
        <w:t>de la terminaison du féminin dans ces même</w:t>
      </w:r>
      <w:r w:rsidR="001D1330">
        <w:rPr>
          <w:lang w:val="fr-CH"/>
        </w:rPr>
        <w:t>s</w:t>
      </w:r>
      <w:r w:rsidR="002D6875">
        <w:rPr>
          <w:lang w:val="fr-CH"/>
        </w:rPr>
        <w:t xml:space="preserve"> cartouche</w:t>
      </w:r>
      <w:r w:rsidR="001D1330">
        <w:rPr>
          <w:lang w:val="fr-CH"/>
        </w:rPr>
        <w:t>s</w:t>
      </w:r>
      <w:r w:rsidR="002D6875">
        <w:rPr>
          <w:lang w:val="fr-CH"/>
        </w:rPr>
        <w:t xml:space="preserve"> </w:t>
      </w:r>
      <w:r w:rsidR="00987F76">
        <w:rPr>
          <w:lang w:val="fr-CH"/>
        </w:rPr>
        <w:t>(un</w:t>
      </w:r>
      <w:r w:rsidR="00987F76" w:rsidRPr="00DC0D5B">
        <w:rPr>
          <w:position w:val="-4"/>
          <w:lang w:val="fr-CH"/>
        </w:rPr>
        <w:t xml:space="preserve"> </w:t>
      </w:r>
      <w:r w:rsidR="00DC0D5B" w:rsidRPr="00DC0D5B">
        <w:rPr>
          <w:noProof/>
          <w:position w:val="-4"/>
          <w:lang w:val="fr-CH"/>
        </w:rPr>
        <w:drawing>
          <wp:inline distT="0" distB="0" distL="0" distR="0" wp14:anchorId="0B6135C3" wp14:editId="2B583EB3">
            <wp:extent cx="8890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900" cy="152400"/>
                    </a:xfrm>
                    <a:prstGeom prst="rect">
                      <a:avLst/>
                    </a:prstGeom>
                  </pic:spPr>
                </pic:pic>
              </a:graphicData>
            </a:graphic>
          </wp:inline>
        </w:drawing>
      </w:r>
      <w:r w:rsidR="00DC0D5B" w:rsidRPr="00DC0D5B">
        <w:rPr>
          <w:lang w:val="fr-CH"/>
        </w:rPr>
        <w:t xml:space="preserve"> </w:t>
      </w:r>
      <w:r w:rsidR="00987F76" w:rsidRPr="00987F76">
        <w:rPr>
          <w:i/>
          <w:iCs/>
          <w:lang w:val="fr-CH"/>
        </w:rPr>
        <w:t>t</w:t>
      </w:r>
      <w:r w:rsidR="00987F76">
        <w:rPr>
          <w:i/>
          <w:iCs/>
          <w:lang w:val="fr-CH"/>
        </w:rPr>
        <w:t xml:space="preserve"> </w:t>
      </w:r>
      <w:r w:rsidR="00987F76">
        <w:rPr>
          <w:lang w:val="fr-CH"/>
        </w:rPr>
        <w:t>suivi du hiéroglyphe de l’œuf</w:t>
      </w:r>
      <w:r w:rsidR="009421C2" w:rsidRPr="009421C2">
        <w:rPr>
          <w:position w:val="-6"/>
          <w:lang w:val="fr-CH"/>
        </w:rPr>
        <w:t xml:space="preserve"> </w:t>
      </w:r>
      <w:r w:rsidR="009421C2" w:rsidRPr="009421C2">
        <w:rPr>
          <w:position w:val="-6"/>
          <w:lang w:val="fr-CH"/>
        </w:rPr>
        <w:drawing>
          <wp:inline distT="0" distB="0" distL="0" distR="0" wp14:anchorId="1F392C02" wp14:editId="6F5A1321">
            <wp:extent cx="101600" cy="177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600" cy="177800"/>
                    </a:xfrm>
                    <a:prstGeom prst="rect">
                      <a:avLst/>
                    </a:prstGeom>
                  </pic:spPr>
                </pic:pic>
              </a:graphicData>
            </a:graphic>
          </wp:inline>
        </w:drawing>
      </w:r>
      <w:r w:rsidR="00987F76">
        <w:rPr>
          <w:lang w:val="fr-CH"/>
        </w:rPr>
        <w:t xml:space="preserve">) </w:t>
      </w:r>
      <w:r w:rsidR="002D6875" w:rsidRPr="00987F76">
        <w:rPr>
          <w:lang w:val="fr-CH"/>
        </w:rPr>
        <w:t>pour</w:t>
      </w:r>
      <w:r w:rsidR="002D6875">
        <w:rPr>
          <w:lang w:val="fr-CH"/>
        </w:rPr>
        <w:t xml:space="preserve"> les noms de reines</w:t>
      </w:r>
      <w:r w:rsidR="00100816">
        <w:rPr>
          <w:lang w:val="fr-CH"/>
        </w:rPr>
        <w:t xml:space="preserve"> —</w:t>
      </w:r>
      <w:r w:rsidR="0051158E">
        <w:rPr>
          <w:lang w:val="fr-CH"/>
        </w:rPr>
        <w:t>,</w:t>
      </w:r>
      <w:r w:rsidR="002D6875">
        <w:rPr>
          <w:lang w:val="fr-CH"/>
        </w:rPr>
        <w:t xml:space="preserve"> const</w:t>
      </w:r>
      <w:r w:rsidR="00205E3C">
        <w:rPr>
          <w:lang w:val="fr-CH"/>
        </w:rPr>
        <w:t>it</w:t>
      </w:r>
      <w:r w:rsidR="002D6875">
        <w:rPr>
          <w:lang w:val="fr-CH"/>
        </w:rPr>
        <w:t>uent</w:t>
      </w:r>
      <w:r w:rsidR="00C141BC">
        <w:rPr>
          <w:lang w:val="fr-CH"/>
        </w:rPr>
        <w:t xml:space="preserve"> </w:t>
      </w:r>
      <w:r w:rsidR="00A16DF1">
        <w:rPr>
          <w:lang w:val="fr-CH"/>
        </w:rPr>
        <w:t>deux avancées majeures de Thomas Young (cf. </w:t>
      </w:r>
      <w:r w:rsidR="00A16DF1">
        <w:rPr>
          <w:i/>
          <w:iCs/>
          <w:lang w:val="fr-CH"/>
        </w:rPr>
        <w:t>infra</w:t>
      </w:r>
      <w:r w:rsidR="00A16DF1">
        <w:rPr>
          <w:lang w:val="fr-CH"/>
        </w:rPr>
        <w:t>, 9.4)</w:t>
      </w:r>
      <w:r w:rsidR="007C685D">
        <w:rPr>
          <w:lang w:val="fr-CH"/>
        </w:rPr>
        <w:t>,</w:t>
      </w:r>
      <w:r w:rsidR="00633F3E">
        <w:rPr>
          <w:lang w:val="fr-CH"/>
        </w:rPr>
        <w:t xml:space="preserve"> son rival direct pour le déchiffrement</w:t>
      </w:r>
      <w:r w:rsidR="007C685D">
        <w:rPr>
          <w:lang w:val="fr-CH"/>
        </w:rPr>
        <w:t xml:space="preserve">. </w:t>
      </w:r>
      <w:r w:rsidR="00C000C6">
        <w:rPr>
          <w:lang w:val="fr-CH"/>
        </w:rPr>
        <w:t>Et e</w:t>
      </w:r>
      <w:r w:rsidR="007C685D">
        <w:rPr>
          <w:lang w:val="fr-CH"/>
        </w:rPr>
        <w:t xml:space="preserve">lles </w:t>
      </w:r>
      <w:r w:rsidR="00CA53EC">
        <w:rPr>
          <w:lang w:val="fr-CH"/>
        </w:rPr>
        <w:t>seront tacitement endossée</w:t>
      </w:r>
      <w:r w:rsidR="00C141BC">
        <w:rPr>
          <w:lang w:val="fr-CH"/>
        </w:rPr>
        <w:t>s</w:t>
      </w:r>
      <w:r w:rsidR="00CA53EC">
        <w:rPr>
          <w:lang w:val="fr-CH"/>
        </w:rPr>
        <w:t xml:space="preserve"> par Champollion</w:t>
      </w:r>
      <w:r w:rsidR="007C685D">
        <w:rPr>
          <w:lang w:val="fr-CH"/>
        </w:rPr>
        <w:t xml:space="preserve"> (cf. </w:t>
      </w:r>
      <w:r w:rsidR="007C685D">
        <w:rPr>
          <w:i/>
          <w:iCs/>
          <w:lang w:val="fr-CH"/>
        </w:rPr>
        <w:t>infra</w:t>
      </w:r>
      <w:r w:rsidR="007C685D">
        <w:rPr>
          <w:lang w:val="fr-CH"/>
        </w:rPr>
        <w:t>, 9.6)</w:t>
      </w:r>
      <w:r w:rsidR="00633F3E">
        <w:rPr>
          <w:lang w:val="fr-CH"/>
        </w:rPr>
        <w:t xml:space="preserve">. Éviter le nom de Barthélemy </w:t>
      </w:r>
      <w:r w:rsidR="001905F5">
        <w:rPr>
          <w:lang w:val="fr-CH"/>
        </w:rPr>
        <w:t>dans la généalogie de la recherche égyptologique</w:t>
      </w:r>
      <w:r w:rsidR="00B77676">
        <w:rPr>
          <w:lang w:val="fr-CH"/>
        </w:rPr>
        <w:t xml:space="preserve">, lui qui avait </w:t>
      </w:r>
      <w:r w:rsidR="00D12845">
        <w:rPr>
          <w:lang w:val="fr-CH"/>
        </w:rPr>
        <w:t xml:space="preserve">pourtant été le premier à identifier </w:t>
      </w:r>
      <w:r w:rsidR="00B77676">
        <w:rPr>
          <w:lang w:val="fr-CH"/>
        </w:rPr>
        <w:t>la fonction des cartouches</w:t>
      </w:r>
      <w:r w:rsidR="00A30307">
        <w:rPr>
          <w:lang w:val="fr-CH"/>
        </w:rPr>
        <w:t xml:space="preserve"> en question</w:t>
      </w:r>
      <w:r w:rsidR="00B77676">
        <w:rPr>
          <w:lang w:val="fr-CH"/>
        </w:rPr>
        <w:t>,</w:t>
      </w:r>
      <w:r w:rsidR="001905F5">
        <w:rPr>
          <w:lang w:val="fr-CH"/>
        </w:rPr>
        <w:t xml:space="preserve"> </w:t>
      </w:r>
      <w:r w:rsidR="00633F3E">
        <w:rPr>
          <w:lang w:val="fr-CH"/>
        </w:rPr>
        <w:t xml:space="preserve">permettait </w:t>
      </w:r>
      <w:r w:rsidR="00124D98">
        <w:rPr>
          <w:lang w:val="fr-CH"/>
        </w:rPr>
        <w:t xml:space="preserve">donc </w:t>
      </w:r>
      <w:r w:rsidR="004D07D7">
        <w:rPr>
          <w:lang w:val="fr-CH"/>
        </w:rPr>
        <w:t xml:space="preserve">indirectement </w:t>
      </w:r>
      <w:r w:rsidR="00B77676">
        <w:rPr>
          <w:lang w:val="fr-CH"/>
        </w:rPr>
        <w:t xml:space="preserve">à Champollion </w:t>
      </w:r>
      <w:r w:rsidR="00633F3E">
        <w:rPr>
          <w:lang w:val="fr-CH"/>
        </w:rPr>
        <w:t xml:space="preserve">de ne pas trop insister sur </w:t>
      </w:r>
      <w:r w:rsidR="00C80BB5">
        <w:rPr>
          <w:lang w:val="fr-CH"/>
        </w:rPr>
        <w:t>cette</w:t>
      </w:r>
      <w:r w:rsidR="00633F3E">
        <w:rPr>
          <w:lang w:val="fr-CH"/>
        </w:rPr>
        <w:t xml:space="preserve"> </w:t>
      </w:r>
      <w:r w:rsidR="004443B2">
        <w:rPr>
          <w:lang w:val="fr-CH"/>
        </w:rPr>
        <w:t xml:space="preserve">lourde </w:t>
      </w:r>
      <w:r w:rsidR="00633F3E">
        <w:rPr>
          <w:lang w:val="fr-CH"/>
        </w:rPr>
        <w:t>dette</w:t>
      </w:r>
      <w:r w:rsidR="00BE3ED3">
        <w:rPr>
          <w:lang w:val="fr-CH"/>
        </w:rPr>
        <w:t xml:space="preserve"> </w:t>
      </w:r>
      <w:r w:rsidR="00023E10">
        <w:rPr>
          <w:lang w:val="fr-CH"/>
        </w:rPr>
        <w:t xml:space="preserve">envers </w:t>
      </w:r>
      <w:r w:rsidR="004D3FAA">
        <w:rPr>
          <w:lang w:val="fr-CH"/>
        </w:rPr>
        <w:t>c</w:t>
      </w:r>
      <w:r w:rsidR="00023E10">
        <w:rPr>
          <w:lang w:val="fr-CH"/>
        </w:rPr>
        <w:t>es deux prédécesseurs</w:t>
      </w:r>
      <w:r w:rsidR="00633F3E">
        <w:rPr>
          <w:lang w:val="fr-CH"/>
        </w:rPr>
        <w:t>.</w:t>
      </w:r>
    </w:p>
    <w:p w14:paraId="7EBB0A25" w14:textId="45D78D0D" w:rsidR="00C95E8D" w:rsidRPr="00223D01" w:rsidRDefault="00C95E8D" w:rsidP="002949A5">
      <w:pPr>
        <w:pStyle w:val="Titre2"/>
        <w:ind w:left="284" w:firstLine="0"/>
        <w:rPr>
          <w:lang w:val="fr-CH"/>
        </w:rPr>
      </w:pPr>
      <w:r w:rsidRPr="00223D01">
        <w:rPr>
          <w:lang w:val="fr-CH"/>
        </w:rPr>
        <w:t>9.3. </w:t>
      </w:r>
      <w:r w:rsidR="000555F8" w:rsidRPr="00223D01">
        <w:rPr>
          <w:lang w:val="fr-CH"/>
        </w:rPr>
        <w:t>Au tournant du</w:t>
      </w:r>
      <w:r w:rsidRPr="00223D01">
        <w:rPr>
          <w:lang w:val="fr-CH"/>
        </w:rPr>
        <w:t xml:space="preserve"> </w:t>
      </w:r>
      <w:proofErr w:type="spellStart"/>
      <w:r w:rsidRPr="00223D01">
        <w:rPr>
          <w:lang w:val="fr-CH"/>
        </w:rPr>
        <w:t>xix</w:t>
      </w:r>
      <w:r w:rsidRPr="00223D01">
        <w:rPr>
          <w:vertAlign w:val="superscript"/>
          <w:lang w:val="fr-CH"/>
        </w:rPr>
        <w:t>e</w:t>
      </w:r>
      <w:proofErr w:type="spellEnd"/>
      <w:r w:rsidRPr="00223D01">
        <w:rPr>
          <w:lang w:val="fr-CH"/>
        </w:rPr>
        <w:t xml:space="preserve"> siècle : </w:t>
      </w:r>
      <w:r w:rsidR="002949A5">
        <w:rPr>
          <w:lang w:val="fr-CH"/>
        </w:rPr>
        <w:tab/>
      </w:r>
      <w:r w:rsidR="002949A5">
        <w:rPr>
          <w:lang w:val="fr-CH"/>
        </w:rPr>
        <w:br/>
      </w:r>
      <w:r w:rsidR="00481ED8" w:rsidRPr="00223D01">
        <w:rPr>
          <w:lang w:val="fr-CH"/>
        </w:rPr>
        <w:t>L</w:t>
      </w:r>
      <w:r w:rsidRPr="00223D01">
        <w:rPr>
          <w:lang w:val="fr-CH"/>
        </w:rPr>
        <w:t>’expédition d’Égypte</w:t>
      </w:r>
      <w:r w:rsidR="002115D1" w:rsidRPr="00223D01">
        <w:rPr>
          <w:lang w:val="fr-CH"/>
        </w:rPr>
        <w:t xml:space="preserve"> </w:t>
      </w:r>
      <w:r w:rsidR="00481ED8" w:rsidRPr="00223D01">
        <w:rPr>
          <w:lang w:val="fr-CH"/>
        </w:rPr>
        <w:t>et la Pierre de Rosette</w:t>
      </w:r>
    </w:p>
    <w:p w14:paraId="7EE7DB8F" w14:textId="3D61938E" w:rsidR="007A37FA" w:rsidRPr="00223D01" w:rsidRDefault="004C2D9A" w:rsidP="004B0026">
      <w:pPr>
        <w:rPr>
          <w:spacing w:val="4"/>
          <w:w w:val="103"/>
          <w:lang w:val="fr-CH"/>
        </w:rPr>
      </w:pPr>
      <w:r w:rsidRPr="00223D01">
        <w:rPr>
          <w:lang w:val="fr-CH"/>
        </w:rPr>
        <w:t xml:space="preserve">Quoi qu’il en soit, </w:t>
      </w:r>
      <w:r w:rsidR="00F7209F" w:rsidRPr="00223D01">
        <w:rPr>
          <w:lang w:val="fr-CH"/>
        </w:rPr>
        <w:t xml:space="preserve">le véritable tournant historique </w:t>
      </w:r>
      <w:r w:rsidR="00D0457B" w:rsidRPr="00223D01">
        <w:rPr>
          <w:lang w:val="fr-CH"/>
        </w:rPr>
        <w:t xml:space="preserve">ayant donné un coup de fouet décisif aux travaux sur le déchiffrement </w:t>
      </w:r>
      <w:r w:rsidR="0080765D" w:rsidRPr="00223D01">
        <w:rPr>
          <w:lang w:val="fr-CH"/>
        </w:rPr>
        <w:t xml:space="preserve">des hiéroglyphes </w:t>
      </w:r>
      <w:r w:rsidR="00D0457B" w:rsidRPr="00223D01">
        <w:rPr>
          <w:lang w:val="fr-CH"/>
        </w:rPr>
        <w:t xml:space="preserve">est incontestablement </w:t>
      </w:r>
      <w:r w:rsidR="00AE613E" w:rsidRPr="00223D01">
        <w:rPr>
          <w:spacing w:val="4"/>
          <w:w w:val="103"/>
          <w:lang w:val="fr-CH"/>
        </w:rPr>
        <w:t xml:space="preserve">la campagne que le général Bonaparte mena </w:t>
      </w:r>
      <w:r w:rsidR="00187E2C" w:rsidRPr="00223D01">
        <w:rPr>
          <w:spacing w:val="4"/>
          <w:w w:val="103"/>
          <w:lang w:val="fr-CH"/>
        </w:rPr>
        <w:t xml:space="preserve">en Égypte </w:t>
      </w:r>
      <w:r w:rsidR="00AE613E" w:rsidRPr="00223D01">
        <w:rPr>
          <w:spacing w:val="4"/>
          <w:w w:val="103"/>
          <w:lang w:val="fr-CH"/>
        </w:rPr>
        <w:t xml:space="preserve">entre 1798 et 1801. </w:t>
      </w:r>
      <w:r w:rsidR="00245600" w:rsidRPr="00223D01">
        <w:rPr>
          <w:spacing w:val="4"/>
          <w:w w:val="103"/>
          <w:lang w:val="fr-CH"/>
        </w:rPr>
        <w:t xml:space="preserve">Pour reprendre la formulation </w:t>
      </w:r>
      <w:r w:rsidR="00245600" w:rsidRPr="00223D01">
        <w:rPr>
          <w:spacing w:val="4"/>
          <w:w w:val="103"/>
          <w:lang w:val="fr-CH"/>
        </w:rPr>
        <w:lastRenderedPageBreak/>
        <w:t xml:space="preserve">romantique </w:t>
      </w:r>
      <w:r w:rsidR="00956997" w:rsidRPr="00223D01">
        <w:rPr>
          <w:spacing w:val="4"/>
          <w:w w:val="103"/>
          <w:lang w:val="fr-CH"/>
        </w:rPr>
        <w:t>(</w:t>
      </w:r>
      <w:r w:rsidR="00245600" w:rsidRPr="00223D01">
        <w:rPr>
          <w:spacing w:val="4"/>
          <w:w w:val="103"/>
          <w:lang w:val="fr-CH"/>
        </w:rPr>
        <w:t>et intéressée</w:t>
      </w:r>
      <w:r w:rsidR="00956997" w:rsidRPr="00223D01">
        <w:rPr>
          <w:spacing w:val="4"/>
          <w:w w:val="103"/>
          <w:lang w:val="fr-CH"/>
        </w:rPr>
        <w:t>)</w:t>
      </w:r>
      <w:r w:rsidR="00245600" w:rsidRPr="00223D01">
        <w:rPr>
          <w:spacing w:val="4"/>
          <w:w w:val="103"/>
          <w:lang w:val="fr-CH"/>
        </w:rPr>
        <w:t xml:space="preserve"> de Champollion, </w:t>
      </w:r>
      <w:r w:rsidR="00CA5860" w:rsidRPr="00223D01">
        <w:rPr>
          <w:spacing w:val="4"/>
          <w:w w:val="103"/>
          <w:lang w:val="fr-CH"/>
        </w:rPr>
        <w:t>« </w:t>
      </w:r>
      <w:r w:rsidR="00F74A9A" w:rsidRPr="00223D01">
        <w:rPr>
          <w:spacing w:val="4"/>
          <w:w w:val="103"/>
          <w:lang w:val="fr-CH"/>
        </w:rPr>
        <w:t>[c]</w:t>
      </w:r>
      <w:proofErr w:type="spellStart"/>
      <w:r w:rsidR="00F74A9A" w:rsidRPr="00223D01">
        <w:rPr>
          <w:spacing w:val="4"/>
          <w:w w:val="103"/>
          <w:lang w:val="fr-CH"/>
        </w:rPr>
        <w:t>ette</w:t>
      </w:r>
      <w:proofErr w:type="spellEnd"/>
      <w:r w:rsidR="00F74A9A" w:rsidRPr="00223D01">
        <w:rPr>
          <w:spacing w:val="4"/>
          <w:w w:val="103"/>
          <w:lang w:val="fr-CH"/>
        </w:rPr>
        <w:t xml:space="preserve"> </w:t>
      </w:r>
      <w:r w:rsidR="00CA5860" w:rsidRPr="00223D01">
        <w:rPr>
          <w:spacing w:val="4"/>
          <w:w w:val="103"/>
          <w:lang w:val="fr-CH"/>
        </w:rPr>
        <w:t xml:space="preserve">glorieuse expédition, unique dans son but à la fois politique et scientifique, car des </w:t>
      </w:r>
      <w:r w:rsidR="009F1D5C" w:rsidRPr="00223D01">
        <w:rPr>
          <w:spacing w:val="4"/>
          <w:w w:val="103"/>
          <w:lang w:val="fr-CH"/>
        </w:rPr>
        <w:t>c</w:t>
      </w:r>
      <w:r w:rsidR="00CA5860" w:rsidRPr="00223D01">
        <w:rPr>
          <w:spacing w:val="4"/>
          <w:w w:val="103"/>
          <w:lang w:val="fr-CH"/>
        </w:rPr>
        <w:t>ommissions savantes marchaient avec l’avant-garde de l’armée, donna une vive impulsion aux recherches archéologiques relatives à l’état primordial de l’empire des pharaons » (</w:t>
      </w:r>
      <w:r w:rsidR="00BC7B6D" w:rsidRPr="00223D01">
        <w:rPr>
          <w:i/>
          <w:iCs/>
          <w:spacing w:val="4"/>
          <w:w w:val="103"/>
          <w:lang w:val="fr-CH"/>
        </w:rPr>
        <w:t>Discours</w:t>
      </w:r>
      <w:r w:rsidR="00BC7B6D" w:rsidRPr="00223D01">
        <w:rPr>
          <w:spacing w:val="4"/>
          <w:w w:val="103"/>
          <w:lang w:val="fr-CH"/>
        </w:rPr>
        <w:t xml:space="preserve">, </w:t>
      </w:r>
      <w:r w:rsidR="00366A17" w:rsidRPr="00223D01">
        <w:rPr>
          <w:spacing w:val="4"/>
          <w:w w:val="103"/>
          <w:lang w:val="fr-CH"/>
        </w:rPr>
        <w:t>p. </w:t>
      </w:r>
      <w:proofErr w:type="spellStart"/>
      <w:r w:rsidR="00366A17" w:rsidRPr="00223D01">
        <w:rPr>
          <w:spacing w:val="4"/>
          <w:w w:val="103"/>
          <w:lang w:val="fr-CH"/>
        </w:rPr>
        <w:t>xiij</w:t>
      </w:r>
      <w:proofErr w:type="spellEnd"/>
      <w:r w:rsidR="00366A17" w:rsidRPr="00223D01">
        <w:rPr>
          <w:spacing w:val="4"/>
          <w:w w:val="103"/>
          <w:lang w:val="fr-CH"/>
        </w:rPr>
        <w:t>)</w:t>
      </w:r>
      <w:r w:rsidR="00B22973" w:rsidRPr="00223D01">
        <w:rPr>
          <w:spacing w:val="4"/>
          <w:w w:val="103"/>
          <w:lang w:val="fr-CH"/>
        </w:rPr>
        <w:t xml:space="preserve">. </w:t>
      </w:r>
      <w:r w:rsidR="00B6163B" w:rsidRPr="00223D01">
        <w:rPr>
          <w:spacing w:val="4"/>
          <w:w w:val="103"/>
          <w:lang w:val="fr-CH"/>
        </w:rPr>
        <w:t>L’entreprise militaire</w:t>
      </w:r>
      <w:r w:rsidR="00A44F08" w:rsidRPr="00223D01">
        <w:rPr>
          <w:spacing w:val="4"/>
          <w:w w:val="103"/>
          <w:lang w:val="fr-CH"/>
        </w:rPr>
        <w:t xml:space="preserve"> —</w:t>
      </w:r>
      <w:r w:rsidR="009921B8" w:rsidRPr="00223D01">
        <w:rPr>
          <w:spacing w:val="4"/>
          <w:w w:val="103"/>
          <w:lang w:val="fr-CH"/>
        </w:rPr>
        <w:t> </w:t>
      </w:r>
      <w:r w:rsidR="00A44F08" w:rsidRPr="00223D01">
        <w:rPr>
          <w:spacing w:val="4"/>
          <w:w w:val="103"/>
          <w:lang w:val="fr-CH"/>
        </w:rPr>
        <w:t xml:space="preserve">ayant pour but de barrer la route des Indes aux Britanniques, en contrôlant la partie orientale de la Méditerranée (et d’occuper </w:t>
      </w:r>
      <w:r w:rsidR="009921B8" w:rsidRPr="00223D01">
        <w:rPr>
          <w:spacing w:val="4"/>
          <w:w w:val="103"/>
          <w:lang w:val="fr-CH"/>
        </w:rPr>
        <w:t>un impétueux général) —</w:t>
      </w:r>
      <w:r w:rsidR="0050171E" w:rsidRPr="00223D01">
        <w:rPr>
          <w:spacing w:val="4"/>
          <w:w w:val="103"/>
          <w:lang w:val="fr-CH"/>
        </w:rPr>
        <w:t xml:space="preserve"> </w:t>
      </w:r>
      <w:r w:rsidR="00AE613E" w:rsidRPr="00223D01">
        <w:rPr>
          <w:spacing w:val="4"/>
          <w:w w:val="103"/>
          <w:lang w:val="fr-CH"/>
        </w:rPr>
        <w:t xml:space="preserve">s’accompagne </w:t>
      </w:r>
      <w:r w:rsidR="000B162F" w:rsidRPr="00223D01">
        <w:rPr>
          <w:spacing w:val="4"/>
          <w:w w:val="103"/>
          <w:lang w:val="fr-CH"/>
        </w:rPr>
        <w:t xml:space="preserve">en effet </w:t>
      </w:r>
      <w:r w:rsidR="00AE613E" w:rsidRPr="00223D01">
        <w:rPr>
          <w:spacing w:val="4"/>
          <w:w w:val="103"/>
          <w:lang w:val="fr-CH"/>
        </w:rPr>
        <w:t>d’une expédition scientifique</w:t>
      </w:r>
      <w:r w:rsidR="0050171E" w:rsidRPr="00223D01">
        <w:rPr>
          <w:rStyle w:val="Appelnotedebasdep"/>
          <w:spacing w:val="4"/>
          <w:w w:val="103"/>
          <w:lang w:val="fr-CH"/>
        </w:rPr>
        <w:footnoteReference w:id="16"/>
      </w:r>
      <w:r w:rsidR="00AE613E" w:rsidRPr="00223D01">
        <w:rPr>
          <w:spacing w:val="4"/>
          <w:w w:val="103"/>
          <w:lang w:val="fr-CH"/>
        </w:rPr>
        <w:t xml:space="preserve">, placée sous l’égide de la Commission des arts et des sciences instituée par le Directoire. </w:t>
      </w:r>
      <w:r w:rsidR="00477435" w:rsidRPr="00223D01">
        <w:rPr>
          <w:spacing w:val="4"/>
          <w:w w:val="103"/>
          <w:lang w:val="fr-CH"/>
        </w:rPr>
        <w:t xml:space="preserve">Et </w:t>
      </w:r>
      <w:r w:rsidR="00AE613E" w:rsidRPr="00223D01">
        <w:rPr>
          <w:spacing w:val="4"/>
          <w:w w:val="103"/>
          <w:lang w:val="fr-CH"/>
        </w:rPr>
        <w:t xml:space="preserve">l’échec militaire </w:t>
      </w:r>
      <w:r w:rsidR="00477435" w:rsidRPr="00223D01">
        <w:rPr>
          <w:spacing w:val="4"/>
          <w:w w:val="103"/>
          <w:lang w:val="fr-CH"/>
        </w:rPr>
        <w:t xml:space="preserve">des </w:t>
      </w:r>
      <w:r w:rsidR="0050171E" w:rsidRPr="00223D01">
        <w:rPr>
          <w:spacing w:val="4"/>
          <w:w w:val="103"/>
          <w:lang w:val="fr-CH"/>
        </w:rPr>
        <w:t>F</w:t>
      </w:r>
      <w:r w:rsidR="00477435" w:rsidRPr="00223D01">
        <w:rPr>
          <w:spacing w:val="4"/>
          <w:w w:val="103"/>
          <w:lang w:val="fr-CH"/>
        </w:rPr>
        <w:t xml:space="preserve">rançais </w:t>
      </w:r>
      <w:r w:rsidR="00AE613E" w:rsidRPr="00223D01">
        <w:rPr>
          <w:spacing w:val="4"/>
          <w:w w:val="103"/>
          <w:lang w:val="fr-CH"/>
        </w:rPr>
        <w:t>n’a d’égal que le</w:t>
      </w:r>
      <w:r w:rsidR="005D45C8" w:rsidRPr="00223D01">
        <w:rPr>
          <w:spacing w:val="4"/>
          <w:w w:val="103"/>
          <w:lang w:val="fr-CH"/>
        </w:rPr>
        <w:t>ur</w:t>
      </w:r>
      <w:r w:rsidR="00AE613E" w:rsidRPr="00223D01">
        <w:rPr>
          <w:spacing w:val="4"/>
          <w:w w:val="103"/>
          <w:lang w:val="fr-CH"/>
        </w:rPr>
        <w:t xml:space="preserve"> succès scientifique : la quantité de sources rassemblée</w:t>
      </w:r>
      <w:r w:rsidR="0050171E" w:rsidRPr="00223D01">
        <w:rPr>
          <w:spacing w:val="4"/>
          <w:w w:val="103"/>
          <w:lang w:val="fr-CH"/>
        </w:rPr>
        <w:t>s</w:t>
      </w:r>
      <w:r w:rsidR="00AE613E" w:rsidRPr="00223D01">
        <w:rPr>
          <w:spacing w:val="4"/>
          <w:w w:val="103"/>
          <w:lang w:val="fr-CH"/>
        </w:rPr>
        <w:t xml:space="preserve"> par les membres de l’expédition est énorme et la qualité des reproductions jusqu’alors inégalée.</w:t>
      </w:r>
    </w:p>
    <w:p w14:paraId="474B49F8" w14:textId="778CD8C8" w:rsidR="00CC3DB3" w:rsidRPr="00223D01" w:rsidRDefault="0064079D" w:rsidP="004B0026">
      <w:pPr>
        <w:rPr>
          <w:w w:val="103"/>
          <w:lang w:val="fr-CH"/>
        </w:rPr>
      </w:pPr>
      <w:r w:rsidRPr="00223D01">
        <w:rPr>
          <w:w w:val="103"/>
          <w:lang w:val="fr-CH"/>
        </w:rPr>
        <w:t>Ces dernières</w:t>
      </w:r>
      <w:r w:rsidR="00AE613E" w:rsidRPr="00223D01">
        <w:rPr>
          <w:w w:val="103"/>
          <w:lang w:val="fr-CH"/>
        </w:rPr>
        <w:t xml:space="preserve"> ne seront publiées dans la monumentale </w:t>
      </w:r>
      <w:r w:rsidR="00AE613E" w:rsidRPr="00223D01">
        <w:rPr>
          <w:i/>
          <w:iCs/>
          <w:w w:val="103"/>
          <w:lang w:val="fr-CH"/>
        </w:rPr>
        <w:t>Description de l’Égypte</w:t>
      </w:r>
      <w:r w:rsidR="00B42612" w:rsidRPr="00223D01">
        <w:rPr>
          <w:w w:val="103"/>
          <w:lang w:val="fr-CH"/>
        </w:rPr>
        <w:t>,</w:t>
      </w:r>
      <w:r w:rsidR="00AE613E" w:rsidRPr="00223D01">
        <w:rPr>
          <w:w w:val="103"/>
          <w:lang w:val="fr-CH"/>
        </w:rPr>
        <w:t xml:space="preserve"> sous la direction d’Edme François Jomard</w:t>
      </w:r>
      <w:r w:rsidR="00B42612" w:rsidRPr="00223D01">
        <w:rPr>
          <w:w w:val="103"/>
          <w:lang w:val="fr-CH"/>
        </w:rPr>
        <w:t>,</w:t>
      </w:r>
      <w:r w:rsidR="00AE613E" w:rsidRPr="00223D01">
        <w:rPr>
          <w:w w:val="103"/>
          <w:lang w:val="fr-CH"/>
        </w:rPr>
        <w:t xml:space="preserve"> qu’à partir 1809 (</w:t>
      </w:r>
      <w:r w:rsidR="00AE613E" w:rsidRPr="00223D01">
        <w:rPr>
          <w:w w:val="103"/>
          <w:highlight w:val="yellow"/>
          <w:lang w:val="fr-CH"/>
        </w:rPr>
        <w:t>Fig. </w:t>
      </w:r>
      <w:r w:rsidR="00224CC9" w:rsidRPr="00223D01">
        <w:rPr>
          <w:w w:val="103"/>
          <w:highlight w:val="yellow"/>
          <w:lang w:val="fr-CH"/>
        </w:rPr>
        <w:t>5</w:t>
      </w:r>
      <w:r w:rsidR="0050171E" w:rsidRPr="00223D01">
        <w:rPr>
          <w:w w:val="103"/>
          <w:lang w:val="fr-CH"/>
        </w:rPr>
        <w:t xml:space="preserve"> et </w:t>
      </w:r>
      <w:r w:rsidR="0050171E" w:rsidRPr="00E6179A">
        <w:rPr>
          <w:w w:val="103"/>
          <w:highlight w:val="yellow"/>
          <w:lang w:val="fr-CH"/>
        </w:rPr>
        <w:t>Cat. xxx</w:t>
      </w:r>
      <w:r w:rsidR="00AE613E" w:rsidRPr="00223D01">
        <w:rPr>
          <w:w w:val="103"/>
          <w:lang w:val="fr-CH"/>
        </w:rPr>
        <w:t xml:space="preserve">). Mais Champollion rencontre très jeune des </w:t>
      </w:r>
      <w:r w:rsidR="005E4922" w:rsidRPr="00223D01">
        <w:rPr>
          <w:w w:val="103"/>
          <w:lang w:val="fr-CH"/>
        </w:rPr>
        <w:t>intellectuels qui lui donne</w:t>
      </w:r>
      <w:r w:rsidR="00B7137D" w:rsidRPr="00223D01">
        <w:rPr>
          <w:w w:val="103"/>
          <w:lang w:val="fr-CH"/>
        </w:rPr>
        <w:t>nt</w:t>
      </w:r>
      <w:r w:rsidR="005E4922" w:rsidRPr="00223D01">
        <w:rPr>
          <w:w w:val="103"/>
          <w:lang w:val="fr-CH"/>
        </w:rPr>
        <w:t xml:space="preserve"> accès aux </w:t>
      </w:r>
      <w:r w:rsidR="001D0313" w:rsidRPr="00223D01">
        <w:rPr>
          <w:w w:val="103"/>
          <w:lang w:val="fr-CH"/>
        </w:rPr>
        <w:t>textes égyptiens</w:t>
      </w:r>
      <w:r w:rsidR="00481ED8" w:rsidRPr="00223D01">
        <w:rPr>
          <w:w w:val="103"/>
          <w:lang w:val="fr-CH"/>
        </w:rPr>
        <w:t xml:space="preserve"> : « l’abondance des textes hiéroglyphiques </w:t>
      </w:r>
      <w:r w:rsidR="00A84288" w:rsidRPr="00223D01">
        <w:rPr>
          <w:w w:val="103"/>
          <w:lang w:val="fr-CH"/>
        </w:rPr>
        <w:t>et des inscriptions monumentales recueillies en Égypte par le zèle de la Commission française (…) assura de bien précieux matériaux pour de nouvelles recherches sur la nature, les procédé</w:t>
      </w:r>
      <w:r w:rsidR="0044035E" w:rsidRPr="00223D01">
        <w:rPr>
          <w:w w:val="103"/>
          <w:lang w:val="fr-CH"/>
        </w:rPr>
        <w:t>s</w:t>
      </w:r>
      <w:r w:rsidR="00A84288" w:rsidRPr="00223D01">
        <w:rPr>
          <w:w w:val="103"/>
          <w:lang w:val="fr-CH"/>
        </w:rPr>
        <w:t xml:space="preserve"> et les diverses combinaisons des écriture</w:t>
      </w:r>
      <w:r w:rsidR="0026241E" w:rsidRPr="00223D01">
        <w:rPr>
          <w:w w:val="103"/>
          <w:lang w:val="fr-CH"/>
        </w:rPr>
        <w:t>s</w:t>
      </w:r>
      <w:r w:rsidR="00A84288" w:rsidRPr="00223D01">
        <w:rPr>
          <w:w w:val="103"/>
          <w:lang w:val="fr-CH"/>
        </w:rPr>
        <w:t xml:space="preserve"> égyptiennes » (</w:t>
      </w:r>
      <w:r w:rsidR="00A84288" w:rsidRPr="00223D01">
        <w:rPr>
          <w:i/>
          <w:iCs/>
          <w:w w:val="103"/>
          <w:lang w:val="fr-CH"/>
        </w:rPr>
        <w:t>Discours</w:t>
      </w:r>
      <w:r w:rsidR="00A84288" w:rsidRPr="00223D01">
        <w:rPr>
          <w:w w:val="103"/>
          <w:lang w:val="fr-CH"/>
        </w:rPr>
        <w:t>, p. 13)</w:t>
      </w:r>
      <w:r w:rsidR="005E4922" w:rsidRPr="00223D01">
        <w:rPr>
          <w:w w:val="103"/>
          <w:lang w:val="fr-CH"/>
        </w:rPr>
        <w:t xml:space="preserve">. </w:t>
      </w:r>
      <w:r w:rsidR="00CA4BDD" w:rsidRPr="00223D01">
        <w:rPr>
          <w:w w:val="103"/>
          <w:lang w:val="fr-CH"/>
        </w:rPr>
        <w:t xml:space="preserve">Parmi les savants ayant </w:t>
      </w:r>
      <w:r w:rsidR="00C76A54" w:rsidRPr="00223D01">
        <w:rPr>
          <w:w w:val="103"/>
          <w:lang w:val="fr-CH"/>
        </w:rPr>
        <w:t xml:space="preserve">encouragé et soutenu Champollion, </w:t>
      </w:r>
      <w:r w:rsidR="00A96E0B" w:rsidRPr="00223D01">
        <w:rPr>
          <w:w w:val="103"/>
          <w:lang w:val="fr-CH"/>
        </w:rPr>
        <w:t xml:space="preserve">il convient de mentionner </w:t>
      </w:r>
      <w:r w:rsidR="00AE613E" w:rsidRPr="00223D01">
        <w:rPr>
          <w:w w:val="103"/>
          <w:lang w:val="fr-CH"/>
        </w:rPr>
        <w:t>Joseph Fourier</w:t>
      </w:r>
      <w:r w:rsidR="006C4B08" w:rsidRPr="00223D01">
        <w:rPr>
          <w:w w:val="103"/>
          <w:lang w:val="fr-CH"/>
        </w:rPr>
        <w:t xml:space="preserve"> (1768–1830)</w:t>
      </w:r>
      <w:r w:rsidR="00AE613E" w:rsidRPr="00223D01">
        <w:rPr>
          <w:w w:val="103"/>
          <w:lang w:val="fr-CH"/>
        </w:rPr>
        <w:t>, un éminent mathématicien et physicien français qui participa à la campagne de Bonaparte et dirigea l’Institut d’Égypte au Caire. Rentré à Grenoble en 1802, Fourier va à la fois contribuer à stimuler l’intérêt de Champollion le Jeune pour l’Égypte et l’encourager sur cette voie</w:t>
      </w:r>
      <w:r w:rsidR="00521C10">
        <w:rPr>
          <w:w w:val="103"/>
          <w:lang w:val="fr-CH"/>
        </w:rPr>
        <w:t>, notamment</w:t>
      </w:r>
      <w:r w:rsidR="00AE613E" w:rsidRPr="00223D01">
        <w:rPr>
          <w:w w:val="103"/>
          <w:lang w:val="fr-CH"/>
        </w:rPr>
        <w:t xml:space="preserve"> en lui donnant accès </w:t>
      </w:r>
      <w:r w:rsidR="007A77E3">
        <w:rPr>
          <w:w w:val="103"/>
          <w:lang w:val="fr-CH"/>
        </w:rPr>
        <w:t>à d’</w:t>
      </w:r>
      <w:r w:rsidR="00AE613E" w:rsidRPr="00223D01">
        <w:rPr>
          <w:w w:val="103"/>
          <w:lang w:val="fr-CH"/>
        </w:rPr>
        <w:t xml:space="preserve">abondants matériaux inédits ramenés par </w:t>
      </w:r>
      <w:r w:rsidR="009921B8" w:rsidRPr="00223D01">
        <w:rPr>
          <w:w w:val="103"/>
          <w:lang w:val="fr-CH"/>
        </w:rPr>
        <w:t>les membre</w:t>
      </w:r>
      <w:r w:rsidR="0050171E" w:rsidRPr="00223D01">
        <w:rPr>
          <w:w w:val="103"/>
          <w:lang w:val="fr-CH"/>
        </w:rPr>
        <w:t>s</w:t>
      </w:r>
      <w:r w:rsidR="009921B8" w:rsidRPr="00223D01">
        <w:rPr>
          <w:w w:val="103"/>
          <w:lang w:val="fr-CH"/>
        </w:rPr>
        <w:t xml:space="preserve"> de la </w:t>
      </w:r>
      <w:r w:rsidR="006909B8" w:rsidRPr="00223D01">
        <w:rPr>
          <w:w w:val="103"/>
          <w:lang w:val="fr-CH"/>
        </w:rPr>
        <w:t>Commission</w:t>
      </w:r>
      <w:r w:rsidR="00AE613E" w:rsidRPr="00223D01">
        <w:rPr>
          <w:w w:val="103"/>
          <w:lang w:val="fr-CH"/>
        </w:rPr>
        <w:t>.</w:t>
      </w:r>
    </w:p>
    <w:p w14:paraId="6FA3C0EC" w14:textId="404435B7" w:rsidR="00CC3DB3" w:rsidRPr="00223D01" w:rsidRDefault="00C647F5" w:rsidP="00F620E2">
      <w:pPr>
        <w:spacing w:after="120"/>
        <w:ind w:left="284" w:right="561" w:firstLine="0"/>
        <w:rPr>
          <w:spacing w:val="4"/>
          <w:w w:val="103"/>
          <w:sz w:val="20"/>
          <w:lang w:val="fr-CH"/>
        </w:rPr>
      </w:pPr>
      <w:r w:rsidRPr="00223D01">
        <w:rPr>
          <w:spacing w:val="4"/>
          <w:w w:val="103"/>
          <w:sz w:val="20"/>
          <w:highlight w:val="yellow"/>
          <w:lang w:val="fr-CH"/>
        </w:rPr>
        <w:t>Fig. </w:t>
      </w:r>
      <w:r w:rsidR="00075C8A" w:rsidRPr="00223D01">
        <w:rPr>
          <w:spacing w:val="4"/>
          <w:w w:val="103"/>
          <w:sz w:val="20"/>
          <w:highlight w:val="yellow"/>
          <w:lang w:val="fr-CH"/>
        </w:rPr>
        <w:t>5</w:t>
      </w:r>
      <w:r w:rsidR="009F1F8B" w:rsidRPr="00223D01">
        <w:rPr>
          <w:spacing w:val="4"/>
          <w:w w:val="103"/>
          <w:sz w:val="20"/>
          <w:lang w:val="fr-CH"/>
        </w:rPr>
        <w:t xml:space="preserve">. Planche de la </w:t>
      </w:r>
      <w:r w:rsidR="009F1F8B" w:rsidRPr="00223D01">
        <w:rPr>
          <w:i/>
          <w:iCs/>
          <w:spacing w:val="4"/>
          <w:w w:val="103"/>
          <w:sz w:val="20"/>
          <w:lang w:val="fr-CH"/>
        </w:rPr>
        <w:t>Description de l’Égypte</w:t>
      </w:r>
      <w:r w:rsidR="009F1F8B" w:rsidRPr="00223D01">
        <w:rPr>
          <w:spacing w:val="4"/>
          <w:w w:val="103"/>
          <w:sz w:val="20"/>
          <w:lang w:val="fr-CH"/>
        </w:rPr>
        <w:t xml:space="preserve"> (volume III, pl. 38) rassemblant une série de cartouches copiés dans le temple de Karnak qui seront utilisés par Champollion pour son déchiffrement</w:t>
      </w:r>
      <w:r w:rsidRPr="00223D01">
        <w:rPr>
          <w:rStyle w:val="Appelnotedebasdep"/>
          <w:spacing w:val="4"/>
          <w:w w:val="103"/>
          <w:sz w:val="20"/>
          <w:lang w:val="fr-CH"/>
        </w:rPr>
        <w:footnoteReference w:id="17"/>
      </w:r>
      <w:r w:rsidR="009F1F8B" w:rsidRPr="00223D01">
        <w:rPr>
          <w:spacing w:val="4"/>
          <w:w w:val="103"/>
          <w:sz w:val="20"/>
          <w:lang w:val="fr-CH"/>
        </w:rPr>
        <w:t>.</w:t>
      </w:r>
    </w:p>
    <w:p w14:paraId="7888DE74" w14:textId="6198A8F1" w:rsidR="00E75832" w:rsidRPr="00223D01" w:rsidRDefault="002D6170" w:rsidP="004B0026">
      <w:pPr>
        <w:rPr>
          <w:w w:val="103"/>
          <w:lang w:val="fr-CH"/>
        </w:rPr>
      </w:pPr>
      <w:r w:rsidRPr="00223D01">
        <w:rPr>
          <w:w w:val="103"/>
          <w:lang w:val="fr-CH"/>
        </w:rPr>
        <w:t>Mais une découverte plus que tout autre va « réveiller l’attention du publique et ra</w:t>
      </w:r>
      <w:r w:rsidR="004F57CE" w:rsidRPr="00223D01">
        <w:rPr>
          <w:w w:val="103"/>
          <w:lang w:val="fr-CH"/>
        </w:rPr>
        <w:t xml:space="preserve">nimer </w:t>
      </w:r>
      <w:r w:rsidRPr="00223D01">
        <w:rPr>
          <w:w w:val="103"/>
          <w:lang w:val="fr-CH"/>
        </w:rPr>
        <w:t>toutes les espérances » (</w:t>
      </w:r>
      <w:r w:rsidRPr="00223D01">
        <w:rPr>
          <w:i/>
          <w:iCs/>
          <w:w w:val="103"/>
          <w:lang w:val="fr-CH"/>
        </w:rPr>
        <w:t>Précis</w:t>
      </w:r>
      <w:r w:rsidRPr="00223D01">
        <w:rPr>
          <w:w w:val="103"/>
          <w:lang w:val="fr-CH"/>
        </w:rPr>
        <w:t>, p. 13), celle de la Pierre de Rosette.</w:t>
      </w:r>
      <w:r w:rsidR="00905E4C" w:rsidRPr="00223D01">
        <w:rPr>
          <w:w w:val="103"/>
          <w:lang w:val="fr-CH"/>
        </w:rPr>
        <w:t xml:space="preserve"> </w:t>
      </w:r>
      <w:r w:rsidR="00907DC6" w:rsidRPr="00223D01">
        <w:rPr>
          <w:w w:val="103"/>
          <w:lang w:val="fr-CH"/>
        </w:rPr>
        <w:t>L</w:t>
      </w:r>
      <w:r w:rsidR="00905E4C" w:rsidRPr="00223D01">
        <w:rPr>
          <w:w w:val="103"/>
          <w:lang w:val="fr-CH"/>
        </w:rPr>
        <w:t>a bonne fortune voulut</w:t>
      </w:r>
      <w:r w:rsidR="00B85FE0" w:rsidRPr="00223D01">
        <w:rPr>
          <w:w w:val="103"/>
          <w:lang w:val="fr-CH"/>
        </w:rPr>
        <w:t xml:space="preserve"> en effet</w:t>
      </w:r>
      <w:r w:rsidR="00905E4C" w:rsidRPr="00223D01">
        <w:rPr>
          <w:w w:val="103"/>
          <w:lang w:val="fr-CH"/>
        </w:rPr>
        <w:t xml:space="preserve"> qu’</w:t>
      </w:r>
      <w:r w:rsidR="00F4760D" w:rsidRPr="00223D01">
        <w:rPr>
          <w:w w:val="103"/>
          <w:lang w:val="fr-CH"/>
        </w:rPr>
        <w:t xml:space="preserve">en </w:t>
      </w:r>
      <w:r w:rsidR="00905E4C" w:rsidRPr="00223D01">
        <w:rPr>
          <w:w w:val="103"/>
          <w:lang w:val="fr-CH"/>
        </w:rPr>
        <w:t>1799 soit découverte à Rosette, ville située sur l’embouchure du bras occidental du Nil (non loin d’Alexandrie), la pierre du même nom</w:t>
      </w:r>
      <w:r w:rsidR="00756DDE" w:rsidRPr="00223D01">
        <w:rPr>
          <w:rStyle w:val="Appelnotedebasdep"/>
          <w:lang w:val="fr-CH"/>
        </w:rPr>
        <w:footnoteReference w:id="18"/>
      </w:r>
      <w:r w:rsidR="00756DDE" w:rsidRPr="00223D01">
        <w:rPr>
          <w:w w:val="103"/>
          <w:lang w:val="fr-CH"/>
        </w:rPr>
        <w:t>.</w:t>
      </w:r>
      <w:r w:rsidR="00FB5917" w:rsidRPr="00223D01">
        <w:rPr>
          <w:w w:val="103"/>
          <w:lang w:val="fr-CH"/>
        </w:rPr>
        <w:t xml:space="preserve"> </w:t>
      </w:r>
      <w:r w:rsidR="00F35B84" w:rsidRPr="00223D01">
        <w:rPr>
          <w:w w:val="103"/>
          <w:lang w:val="fr-CH"/>
        </w:rPr>
        <w:t>À la mi-juillet</w:t>
      </w:r>
      <w:r w:rsidR="004E0247" w:rsidRPr="00223D01">
        <w:rPr>
          <w:w w:val="103"/>
          <w:lang w:val="fr-CH"/>
        </w:rPr>
        <w:t>,</w:t>
      </w:r>
      <w:r w:rsidR="00F35B84" w:rsidRPr="00223D01">
        <w:rPr>
          <w:w w:val="103"/>
          <w:lang w:val="fr-CH"/>
        </w:rPr>
        <w:t xml:space="preserve"> le lieutenant de 2</w:t>
      </w:r>
      <w:r w:rsidR="00F35B84" w:rsidRPr="00223D01">
        <w:rPr>
          <w:w w:val="103"/>
          <w:vertAlign w:val="superscript"/>
          <w:lang w:val="fr-CH"/>
        </w:rPr>
        <w:t>e</w:t>
      </w:r>
      <w:r w:rsidR="00F35B84" w:rsidRPr="00223D01">
        <w:rPr>
          <w:w w:val="103"/>
          <w:lang w:val="fr-CH"/>
        </w:rPr>
        <w:t xml:space="preserve"> classe Bouchard</w:t>
      </w:r>
      <w:r w:rsidR="00215F92" w:rsidRPr="00223D01">
        <w:rPr>
          <w:rStyle w:val="Appelnotedebasdep"/>
          <w:lang w:val="fr-CH"/>
        </w:rPr>
        <w:footnoteReference w:id="19"/>
      </w:r>
      <w:r w:rsidR="00F35B84" w:rsidRPr="00223D01">
        <w:rPr>
          <w:w w:val="103"/>
          <w:lang w:val="fr-CH"/>
        </w:rPr>
        <w:t xml:space="preserve">, officier du corps du Génie de l’armée de Bonaparte, </w:t>
      </w:r>
      <w:r w:rsidR="00F35B84" w:rsidRPr="00223D01">
        <w:rPr>
          <w:w w:val="103"/>
          <w:lang w:val="fr-CH"/>
        </w:rPr>
        <w:lastRenderedPageBreak/>
        <w:t xml:space="preserve">tombe sur ce bloc de granodiorite de plus </w:t>
      </w:r>
      <w:r w:rsidR="00643D9F" w:rsidRPr="00223D01">
        <w:rPr>
          <w:w w:val="103"/>
          <w:lang w:val="fr-CH"/>
        </w:rPr>
        <w:t>de 110 centimètre</w:t>
      </w:r>
      <w:r w:rsidR="00734986" w:rsidRPr="00223D01">
        <w:rPr>
          <w:w w:val="103"/>
          <w:lang w:val="fr-CH"/>
        </w:rPr>
        <w:t>s</w:t>
      </w:r>
      <w:r w:rsidR="00643D9F" w:rsidRPr="00223D01">
        <w:rPr>
          <w:w w:val="103"/>
          <w:lang w:val="fr-CH"/>
        </w:rPr>
        <w:t xml:space="preserve"> </w:t>
      </w:r>
      <w:r w:rsidR="00F35B84" w:rsidRPr="00223D01">
        <w:rPr>
          <w:w w:val="103"/>
          <w:lang w:val="fr-CH"/>
        </w:rPr>
        <w:t xml:space="preserve">de hauteur </w:t>
      </w:r>
      <w:r w:rsidR="00643D9F" w:rsidRPr="00223D01">
        <w:rPr>
          <w:w w:val="103"/>
          <w:lang w:val="fr-CH"/>
        </w:rPr>
        <w:t xml:space="preserve">et de 70 centimètres de large </w:t>
      </w:r>
      <w:r w:rsidR="00F35B84" w:rsidRPr="00223D01">
        <w:rPr>
          <w:w w:val="103"/>
          <w:lang w:val="fr-CH"/>
        </w:rPr>
        <w:t xml:space="preserve">lors de travaux de réfection du fort </w:t>
      </w:r>
      <w:r w:rsidR="00E75832" w:rsidRPr="00223D01">
        <w:rPr>
          <w:w w:val="103"/>
          <w:lang w:val="fr-CH"/>
        </w:rPr>
        <w:t>médiéval d’</w:t>
      </w:r>
      <w:proofErr w:type="spellStart"/>
      <w:r w:rsidR="00E75832" w:rsidRPr="00223D01">
        <w:rPr>
          <w:w w:val="103"/>
          <w:lang w:val="fr-CH"/>
        </w:rPr>
        <w:t>Er-Rachid</w:t>
      </w:r>
      <w:proofErr w:type="spellEnd"/>
      <w:r w:rsidR="00E75832" w:rsidRPr="00223D01">
        <w:rPr>
          <w:w w:val="103"/>
          <w:lang w:val="fr-CH"/>
        </w:rPr>
        <w:t>, le fort Jullien actuel de la ville de Rosette.</w:t>
      </w:r>
    </w:p>
    <w:p w14:paraId="6906E35B" w14:textId="268D0DB3" w:rsidR="00D87422" w:rsidRPr="00E6179A" w:rsidRDefault="00A928DA" w:rsidP="00E6179A">
      <w:pPr>
        <w:rPr>
          <w:w w:val="103"/>
          <w:lang w:val="fr-CH"/>
        </w:rPr>
      </w:pPr>
      <w:r w:rsidRPr="00223D01">
        <w:rPr>
          <w:w w:val="103"/>
          <w:lang w:val="fr-CH"/>
        </w:rPr>
        <w:t>L’objet est originellement une stèle d’époque ptolémaïque portant trois versions d’un décret promulgué en 196 av. J</w:t>
      </w:r>
      <w:r w:rsidR="00B1180B">
        <w:rPr>
          <w:w w:val="103"/>
          <w:lang w:val="fr-CH"/>
        </w:rPr>
        <w:t>.</w:t>
      </w:r>
      <w:r w:rsidRPr="00223D01">
        <w:rPr>
          <w:w w:val="103"/>
          <w:lang w:val="fr-CH"/>
        </w:rPr>
        <w:t xml:space="preserve">-Chr. par le clergé de Memphis pour établir le culte divin du nouveau pharaon, Ptolémée V. Elle provient vraisemblablement du temple de </w:t>
      </w:r>
      <w:proofErr w:type="spellStart"/>
      <w:r w:rsidRPr="00223D01">
        <w:rPr>
          <w:w w:val="103"/>
          <w:lang w:val="fr-CH"/>
        </w:rPr>
        <w:t>Neith</w:t>
      </w:r>
      <w:proofErr w:type="spellEnd"/>
      <w:r w:rsidRPr="00223D01">
        <w:rPr>
          <w:w w:val="103"/>
          <w:lang w:val="fr-CH"/>
        </w:rPr>
        <w:t xml:space="preserve"> à Saïs, ville située non loin dans le Delta occidental</w:t>
      </w:r>
      <w:r w:rsidR="007B5A29" w:rsidRPr="00223D01">
        <w:rPr>
          <w:rStyle w:val="Appelnotedebasdep"/>
          <w:w w:val="103"/>
          <w:lang w:val="fr-CH"/>
        </w:rPr>
        <w:footnoteReference w:id="20"/>
      </w:r>
      <w:r w:rsidRPr="00223D01">
        <w:rPr>
          <w:w w:val="103"/>
          <w:lang w:val="fr-CH"/>
        </w:rPr>
        <w:t>. Son caractère crucial en vue du déchiffrement ne tarde pas à être reconnu : la partie supérieure, dont manque une large portion, est rédigée en</w:t>
      </w:r>
      <w:r w:rsidR="00A36AC9" w:rsidRPr="00223D01">
        <w:rPr>
          <w:w w:val="103"/>
          <w:lang w:val="fr-CH"/>
        </w:rPr>
        <w:t xml:space="preserve"> égyptien de tradition transcrit en</w:t>
      </w:r>
      <w:r w:rsidRPr="00223D01">
        <w:rPr>
          <w:w w:val="103"/>
          <w:lang w:val="fr-CH"/>
        </w:rPr>
        <w:t xml:space="preserve"> hiéroglyphes et la partie inférieure porte un texte grec quasiment complet. </w:t>
      </w:r>
      <w:r w:rsidR="00823928" w:rsidRPr="00223D01">
        <w:rPr>
          <w:w w:val="103"/>
          <w:lang w:val="fr-CH"/>
        </w:rPr>
        <w:t>L</w:t>
      </w:r>
      <w:r w:rsidRPr="00223D01">
        <w:rPr>
          <w:w w:val="103"/>
          <w:lang w:val="fr-CH"/>
        </w:rPr>
        <w:t>a nature de l’écriture de la partie médiane n’est pas immédiatement comprise — il s’agit du démotique, écriture vernaculaire d’Égypte à l’époque de la rédaction</w:t>
      </w:r>
      <w:r w:rsidR="00B1180B">
        <w:rPr>
          <w:w w:val="103"/>
          <w:lang w:val="fr-CH"/>
        </w:rPr>
        <w:t xml:space="preserve"> (</w:t>
      </w:r>
      <w:r w:rsidR="00B1180B" w:rsidRPr="00B1180B">
        <w:rPr>
          <w:rFonts w:eastAsia="Times New Roman"/>
          <w:bCs/>
          <w:w w:val="103"/>
          <w:szCs w:val="24"/>
          <w:lang w:val="fr-BE"/>
        </w:rPr>
        <w:t xml:space="preserve">cf. </w:t>
      </w:r>
      <w:r w:rsidR="00B1180B" w:rsidRPr="00B1180B">
        <w:rPr>
          <w:rFonts w:eastAsia="Times New Roman"/>
          <w:bCs/>
          <w:i/>
          <w:iCs/>
          <w:w w:val="103"/>
          <w:szCs w:val="24"/>
          <w:lang w:val="fr-BE"/>
        </w:rPr>
        <w:t>supra</w:t>
      </w:r>
      <w:r w:rsidR="00B1180B" w:rsidRPr="00B1180B">
        <w:rPr>
          <w:rFonts w:eastAsia="Times New Roman"/>
          <w:bCs/>
          <w:w w:val="103"/>
          <w:szCs w:val="24"/>
          <w:lang w:val="fr-BE"/>
        </w:rPr>
        <w:t xml:space="preserve">, </w:t>
      </w:r>
      <w:r w:rsidR="00B1180B">
        <w:rPr>
          <w:w w:val="103"/>
          <w:lang w:val="fr-CH"/>
        </w:rPr>
        <w:t>2.4)</w:t>
      </w:r>
      <w:r w:rsidRPr="00223D01">
        <w:rPr>
          <w:w w:val="103"/>
          <w:lang w:val="fr-CH"/>
        </w:rPr>
        <w:t>, mais on pense dans un premier temps avoir affaire à du syriaque ou à d’autres écritures proche-orientales —</w:t>
      </w:r>
      <w:r w:rsidR="006F2FF4" w:rsidRPr="00223D01">
        <w:rPr>
          <w:w w:val="103"/>
          <w:lang w:val="fr-CH"/>
        </w:rPr>
        <w:t>,</w:t>
      </w:r>
      <w:r w:rsidR="004210ED">
        <w:rPr>
          <w:w w:val="103"/>
          <w:lang w:val="fr-CH"/>
        </w:rPr>
        <w:t xml:space="preserve"> </w:t>
      </w:r>
      <w:r w:rsidRPr="00223D01">
        <w:rPr>
          <w:w w:val="103"/>
          <w:lang w:val="fr-CH"/>
        </w:rPr>
        <w:t xml:space="preserve">la présence </w:t>
      </w:r>
      <w:r w:rsidR="000710BE">
        <w:rPr>
          <w:w w:val="103"/>
          <w:lang w:val="fr-CH"/>
        </w:rPr>
        <w:t xml:space="preserve">simultanée </w:t>
      </w:r>
      <w:r w:rsidRPr="00223D01">
        <w:rPr>
          <w:w w:val="103"/>
          <w:lang w:val="fr-CH"/>
        </w:rPr>
        <w:t xml:space="preserve">des caractères hiéroglyphiques et grecs sur un même monument ne laisse </w:t>
      </w:r>
      <w:r w:rsidR="00B1180B">
        <w:rPr>
          <w:w w:val="103"/>
          <w:lang w:val="fr-CH"/>
        </w:rPr>
        <w:t xml:space="preserve">toutefois </w:t>
      </w:r>
      <w:r w:rsidRPr="00223D01">
        <w:rPr>
          <w:w w:val="103"/>
          <w:lang w:val="fr-CH"/>
        </w:rPr>
        <w:t>guère planer de doutes : il s’agit de deux versions, l’une égyptienne et l’autre grecque, d’un même texte</w:t>
      </w:r>
      <w:r w:rsidR="00D87422" w:rsidRPr="00223D01">
        <w:rPr>
          <w:w w:val="103"/>
          <w:lang w:val="fr-CH"/>
        </w:rPr>
        <w:t>.</w:t>
      </w:r>
    </w:p>
    <w:p w14:paraId="6611EF85" w14:textId="4D3D9870" w:rsidR="00D87422" w:rsidRPr="00223D01" w:rsidRDefault="003031F1" w:rsidP="00387E8E">
      <w:pPr>
        <w:spacing w:after="120"/>
        <w:ind w:left="284" w:right="561" w:firstLine="0"/>
        <w:rPr>
          <w:spacing w:val="4"/>
          <w:w w:val="103"/>
          <w:sz w:val="20"/>
          <w:lang w:val="fr-CH"/>
        </w:rPr>
      </w:pPr>
      <w:r w:rsidRPr="00223D01">
        <w:rPr>
          <w:spacing w:val="4"/>
          <w:w w:val="103"/>
          <w:sz w:val="20"/>
          <w:highlight w:val="yellow"/>
          <w:lang w:val="fr-CH"/>
        </w:rPr>
        <w:t>Fig. </w:t>
      </w:r>
      <w:r w:rsidR="00381611" w:rsidRPr="00223D01">
        <w:rPr>
          <w:spacing w:val="4"/>
          <w:w w:val="103"/>
          <w:sz w:val="20"/>
          <w:highlight w:val="yellow"/>
          <w:lang w:val="fr-CH"/>
        </w:rPr>
        <w:t>6</w:t>
      </w:r>
      <w:r w:rsidR="00A47BB8" w:rsidRPr="00223D01">
        <w:rPr>
          <w:spacing w:val="4"/>
          <w:w w:val="103"/>
          <w:sz w:val="20"/>
          <w:lang w:val="fr-CH"/>
        </w:rPr>
        <w:t xml:space="preserve">. Estampage à l’encre noire sur papier réalisé sur la Pierre de Rosette elle-même au Caire en 1799 par Jean-Joseph Marcel, Directeur de l’Imprimerie </w:t>
      </w:r>
      <w:r w:rsidR="00387951" w:rsidRPr="00223D01">
        <w:rPr>
          <w:spacing w:val="4"/>
          <w:w w:val="103"/>
          <w:sz w:val="20"/>
          <w:lang w:val="fr-CH"/>
        </w:rPr>
        <w:t xml:space="preserve">du Caire </w:t>
      </w:r>
      <w:r w:rsidR="00A47BB8" w:rsidRPr="00223D01">
        <w:rPr>
          <w:spacing w:val="4"/>
          <w:w w:val="103"/>
          <w:sz w:val="20"/>
          <w:lang w:val="fr-CH"/>
        </w:rPr>
        <w:t>(Bibliothèque nationale de France. Département des Manuscrits).</w:t>
      </w:r>
    </w:p>
    <w:p w14:paraId="0B7D024B" w14:textId="482BC57C" w:rsidR="00D87422" w:rsidRPr="00223D01" w:rsidRDefault="002A0F5A" w:rsidP="004B0026">
      <w:pPr>
        <w:rPr>
          <w:w w:val="103"/>
          <w:lang w:val="fr-CH"/>
        </w:rPr>
      </w:pPr>
      <w:r w:rsidRPr="00223D01">
        <w:rPr>
          <w:w w:val="103"/>
          <w:lang w:val="fr-CH"/>
        </w:rPr>
        <w:t>Différentes copies sont donc rapidement exécutées</w:t>
      </w:r>
      <w:r w:rsidR="006A20C7" w:rsidRPr="00223D01">
        <w:rPr>
          <w:w w:val="103"/>
          <w:lang w:val="fr-CH"/>
        </w:rPr>
        <w:t xml:space="preserve"> en Égypte même</w:t>
      </w:r>
      <w:r w:rsidR="00C609D7" w:rsidRPr="00223D01">
        <w:rPr>
          <w:w w:val="103"/>
          <w:lang w:val="fr-CH"/>
        </w:rPr>
        <w:t xml:space="preserve"> et envoyée</w:t>
      </w:r>
      <w:r w:rsidR="00D91ED6" w:rsidRPr="00223D01">
        <w:rPr>
          <w:w w:val="103"/>
          <w:lang w:val="fr-CH"/>
        </w:rPr>
        <w:t>s</w:t>
      </w:r>
      <w:r w:rsidR="00C609D7" w:rsidRPr="00223D01">
        <w:rPr>
          <w:w w:val="103"/>
          <w:lang w:val="fr-CH"/>
        </w:rPr>
        <w:t xml:space="preserve"> en France</w:t>
      </w:r>
      <w:r w:rsidR="00317C00" w:rsidRPr="00223D01">
        <w:rPr>
          <w:w w:val="103"/>
          <w:lang w:val="fr-CH"/>
        </w:rPr>
        <w:t xml:space="preserve">. </w:t>
      </w:r>
      <w:r w:rsidR="0023391C" w:rsidRPr="00223D01">
        <w:rPr>
          <w:w w:val="103"/>
          <w:lang w:val="fr-CH"/>
        </w:rPr>
        <w:t>Trois procédés seront utilisés</w:t>
      </w:r>
      <w:r w:rsidR="00D91ED6" w:rsidRPr="00223D01">
        <w:rPr>
          <w:rStyle w:val="Appelnotedebasdep"/>
          <w:w w:val="103"/>
          <w:lang w:val="fr-CH"/>
        </w:rPr>
        <w:footnoteReference w:id="21"/>
      </w:r>
      <w:r w:rsidR="0023391C" w:rsidRPr="00223D01">
        <w:rPr>
          <w:w w:val="103"/>
          <w:lang w:val="fr-CH"/>
        </w:rPr>
        <w:t xml:space="preserve"> : </w:t>
      </w:r>
      <w:r w:rsidR="0012637B" w:rsidRPr="00223D01">
        <w:rPr>
          <w:w w:val="103"/>
          <w:lang w:val="fr-CH"/>
        </w:rPr>
        <w:t>l’autographie (</w:t>
      </w:r>
      <w:r w:rsidR="0012637B" w:rsidRPr="00223D01">
        <w:rPr>
          <w:w w:val="103"/>
          <w:highlight w:val="yellow"/>
          <w:lang w:val="fr-CH"/>
        </w:rPr>
        <w:t>Fig. </w:t>
      </w:r>
      <w:r w:rsidR="00731F65" w:rsidRPr="00223D01">
        <w:rPr>
          <w:w w:val="103"/>
          <w:highlight w:val="yellow"/>
          <w:lang w:val="fr-CH"/>
        </w:rPr>
        <w:t>6</w:t>
      </w:r>
      <w:r w:rsidR="0012637B" w:rsidRPr="00223D01">
        <w:rPr>
          <w:w w:val="103"/>
          <w:lang w:val="fr-CH"/>
        </w:rPr>
        <w:t xml:space="preserve">), qui consiste à enduire la pierre d’encre et à y appliquer le papier ; </w:t>
      </w:r>
      <w:r w:rsidR="00B179B6" w:rsidRPr="00223D01">
        <w:rPr>
          <w:w w:val="103"/>
          <w:lang w:val="fr-CH"/>
        </w:rPr>
        <w:t>la chalcographie</w:t>
      </w:r>
      <w:r w:rsidR="00823A05" w:rsidRPr="00223D01">
        <w:rPr>
          <w:w w:val="103"/>
          <w:lang w:val="fr-CH"/>
        </w:rPr>
        <w:t>, où ce sont au contraire les caractères qui sont encrés, avec le texte qui apparaît imprim</w:t>
      </w:r>
      <w:r w:rsidR="00D91ED6" w:rsidRPr="00223D01">
        <w:rPr>
          <w:w w:val="103"/>
          <w:lang w:val="fr-CH"/>
        </w:rPr>
        <w:t>é</w:t>
      </w:r>
      <w:r w:rsidR="00823A05" w:rsidRPr="00223D01">
        <w:rPr>
          <w:w w:val="103"/>
          <w:lang w:val="fr-CH"/>
        </w:rPr>
        <w:t xml:space="preserve"> en noir sur fond blanc, et </w:t>
      </w:r>
      <w:r w:rsidR="00C54995" w:rsidRPr="00223D01">
        <w:rPr>
          <w:w w:val="103"/>
          <w:lang w:val="fr-CH"/>
        </w:rPr>
        <w:t>l’empreinte par</w:t>
      </w:r>
      <w:r w:rsidR="001C0FFD" w:rsidRPr="00223D01">
        <w:rPr>
          <w:w w:val="103"/>
          <w:lang w:val="fr-CH"/>
        </w:rPr>
        <w:t xml:space="preserve"> </w:t>
      </w:r>
      <w:r w:rsidR="00823A05" w:rsidRPr="00223D01">
        <w:rPr>
          <w:w w:val="103"/>
          <w:lang w:val="fr-CH"/>
        </w:rPr>
        <w:t>moulage</w:t>
      </w:r>
      <w:r w:rsidR="00D91ED6" w:rsidRPr="00223D01">
        <w:rPr>
          <w:w w:val="103"/>
          <w:lang w:val="fr-CH"/>
        </w:rPr>
        <w:t xml:space="preserve"> (estampage)</w:t>
      </w:r>
      <w:r w:rsidR="00823A05" w:rsidRPr="00223D01">
        <w:rPr>
          <w:w w:val="103"/>
          <w:lang w:val="fr-CH"/>
        </w:rPr>
        <w:t>.</w:t>
      </w:r>
      <w:r w:rsidR="00B179B6" w:rsidRPr="00223D01">
        <w:rPr>
          <w:w w:val="103"/>
          <w:lang w:val="fr-CH"/>
        </w:rPr>
        <w:t xml:space="preserve"> </w:t>
      </w:r>
      <w:r w:rsidR="00317C00" w:rsidRPr="00223D01">
        <w:rPr>
          <w:w w:val="103"/>
          <w:lang w:val="fr-CH"/>
        </w:rPr>
        <w:t xml:space="preserve">Cela </w:t>
      </w:r>
      <w:r w:rsidR="006A20C7" w:rsidRPr="00223D01">
        <w:rPr>
          <w:w w:val="103"/>
          <w:lang w:val="fr-CH"/>
        </w:rPr>
        <w:t xml:space="preserve">assure la diffusion de cette source dans les cercles intellectuels </w:t>
      </w:r>
      <w:r w:rsidR="005A70D0">
        <w:rPr>
          <w:w w:val="103"/>
          <w:lang w:val="fr-CH"/>
        </w:rPr>
        <w:t>européens</w:t>
      </w:r>
      <w:r w:rsidR="006A20C7" w:rsidRPr="00223D01">
        <w:rPr>
          <w:w w:val="103"/>
          <w:lang w:val="fr-CH"/>
        </w:rPr>
        <w:t xml:space="preserve">, malgré la confiscation de la Pierre </w:t>
      </w:r>
      <w:r w:rsidR="00286831" w:rsidRPr="00223D01">
        <w:rPr>
          <w:w w:val="103"/>
          <w:lang w:val="fr-CH"/>
        </w:rPr>
        <w:t xml:space="preserve">de Rosette </w:t>
      </w:r>
      <w:r w:rsidR="006A20C7" w:rsidRPr="00223D01">
        <w:rPr>
          <w:w w:val="103"/>
          <w:lang w:val="fr-CH"/>
        </w:rPr>
        <w:t xml:space="preserve">par les </w:t>
      </w:r>
      <w:r w:rsidR="00D91ED6" w:rsidRPr="00223D01">
        <w:rPr>
          <w:w w:val="103"/>
          <w:lang w:val="fr-CH"/>
        </w:rPr>
        <w:t>A</w:t>
      </w:r>
      <w:r w:rsidR="006A20C7" w:rsidRPr="00223D01">
        <w:rPr>
          <w:w w:val="103"/>
          <w:lang w:val="fr-CH"/>
        </w:rPr>
        <w:t>nglais</w:t>
      </w:r>
      <w:r w:rsidR="0054201B" w:rsidRPr="00223D01">
        <w:rPr>
          <w:rStyle w:val="Appelnotedebasdep"/>
          <w:w w:val="103"/>
          <w:lang w:val="fr-CH"/>
        </w:rPr>
        <w:footnoteReference w:id="22"/>
      </w:r>
      <w:r w:rsidR="00286831" w:rsidRPr="00223D01">
        <w:rPr>
          <w:w w:val="103"/>
          <w:lang w:val="fr-CH"/>
        </w:rPr>
        <w:t xml:space="preserve">, </w:t>
      </w:r>
      <w:r w:rsidR="00E65056" w:rsidRPr="00223D01">
        <w:rPr>
          <w:w w:val="103"/>
          <w:lang w:val="fr-CH"/>
        </w:rPr>
        <w:t>laquelle</w:t>
      </w:r>
      <w:r w:rsidR="00F958AD" w:rsidRPr="00223D01">
        <w:rPr>
          <w:w w:val="103"/>
          <w:lang w:val="fr-CH"/>
        </w:rPr>
        <w:t xml:space="preserve"> devient </w:t>
      </w:r>
      <w:r w:rsidR="00286831" w:rsidRPr="00223D01">
        <w:rPr>
          <w:w w:val="103"/>
          <w:lang w:val="fr-CH"/>
        </w:rPr>
        <w:t xml:space="preserve">propriété de la </w:t>
      </w:r>
      <w:r w:rsidR="00D91ED6" w:rsidRPr="00223D01">
        <w:rPr>
          <w:w w:val="103"/>
          <w:lang w:val="fr-CH"/>
        </w:rPr>
        <w:t>C</w:t>
      </w:r>
      <w:r w:rsidR="00286831" w:rsidRPr="00223D01">
        <w:rPr>
          <w:w w:val="103"/>
          <w:lang w:val="fr-CH"/>
        </w:rPr>
        <w:t>ouronne britannique</w:t>
      </w:r>
      <w:r w:rsidR="002966B3" w:rsidRPr="00223D01">
        <w:rPr>
          <w:w w:val="103"/>
          <w:lang w:val="fr-CH"/>
        </w:rPr>
        <w:t xml:space="preserve"> après la capitulation française à Alexandrie en </w:t>
      </w:r>
      <w:r w:rsidR="00D91ED6" w:rsidRPr="00223D01">
        <w:rPr>
          <w:w w:val="103"/>
          <w:lang w:val="fr-CH"/>
        </w:rPr>
        <w:t>a</w:t>
      </w:r>
      <w:r w:rsidR="002966B3" w:rsidRPr="00223D01">
        <w:rPr>
          <w:w w:val="103"/>
          <w:lang w:val="fr-CH"/>
        </w:rPr>
        <w:t xml:space="preserve">oût 1801. </w:t>
      </w:r>
    </w:p>
    <w:p w14:paraId="013D3E4D" w14:textId="77777777" w:rsidR="00792503" w:rsidRDefault="00866154" w:rsidP="004B0026">
      <w:pPr>
        <w:rPr>
          <w:w w:val="103"/>
          <w:lang w:val="fr-CH"/>
        </w:rPr>
      </w:pPr>
      <w:r w:rsidRPr="00223D01">
        <w:rPr>
          <w:w w:val="103"/>
          <w:lang w:val="fr-CH"/>
        </w:rPr>
        <w:t>Le texte grec ayant rapidement fait l’objet de traductions, les nombreux prétendants au déchiffrement vont s’atteler, avec plus ou moins de succès, à établir des équivalences entre les mots du texte grec, d’une part, et des portions des textes hiéroglyphiques et démotiques, d’autre part. Si les pratiques diffèrent dans le détail, la méthode générale est toujours la même : il s’agit de corréler des mots grecs répétés avec des séquences récurrentes de caractères hiéroglyphiques et démotiques, puis, dans un second temps, d’aligner systématiquement les textes dans les trois écritures en fonction de ces balises</w:t>
      </w:r>
      <w:r w:rsidR="00792503">
        <w:rPr>
          <w:w w:val="103"/>
          <w:lang w:val="fr-CH"/>
        </w:rPr>
        <w:t>.</w:t>
      </w:r>
    </w:p>
    <w:p w14:paraId="732214CD" w14:textId="07269B26" w:rsidR="00866154" w:rsidRPr="00792503" w:rsidRDefault="00792503" w:rsidP="004B0026">
      <w:pPr>
        <w:rPr>
          <w:w w:val="103"/>
          <w:szCs w:val="24"/>
          <w:lang w:val="fr-CH"/>
        </w:rPr>
      </w:pPr>
      <w:r w:rsidRPr="00792503">
        <w:rPr>
          <w:rFonts w:asciiTheme="majorBidi" w:hAnsiTheme="majorBidi" w:cstheme="majorBidi"/>
          <w:szCs w:val="24"/>
        </w:rPr>
        <w:t xml:space="preserve">Les manuscrits de Champollion témoignent de cette étape dans le déchiffrement. </w:t>
      </w:r>
      <w:r w:rsidR="009167D8">
        <w:rPr>
          <w:rFonts w:asciiTheme="majorBidi" w:hAnsiTheme="majorBidi" w:cstheme="majorBidi"/>
          <w:szCs w:val="24"/>
        </w:rPr>
        <w:t xml:space="preserve">La </w:t>
      </w:r>
      <w:r w:rsidR="009C7773">
        <w:rPr>
          <w:rFonts w:asciiTheme="majorBidi" w:hAnsiTheme="majorBidi" w:cstheme="majorBidi"/>
          <w:szCs w:val="24"/>
        </w:rPr>
        <w:t>f</w:t>
      </w:r>
      <w:r w:rsidR="009167D8">
        <w:rPr>
          <w:rFonts w:asciiTheme="majorBidi" w:hAnsiTheme="majorBidi" w:cstheme="majorBidi"/>
          <w:szCs w:val="24"/>
        </w:rPr>
        <w:t xml:space="preserve">igure 7 </w:t>
      </w:r>
      <w:r w:rsidR="002160F8">
        <w:rPr>
          <w:rFonts w:asciiTheme="majorBidi" w:hAnsiTheme="majorBidi" w:cstheme="majorBidi"/>
          <w:szCs w:val="24"/>
        </w:rPr>
        <w:t>illustre</w:t>
      </w:r>
      <w:r w:rsidR="009167D8">
        <w:rPr>
          <w:rFonts w:asciiTheme="majorBidi" w:hAnsiTheme="majorBidi" w:cstheme="majorBidi"/>
          <w:szCs w:val="24"/>
        </w:rPr>
        <w:t xml:space="preserve"> un « </w:t>
      </w:r>
      <w:r w:rsidRPr="00792503">
        <w:rPr>
          <w:rFonts w:asciiTheme="majorBidi" w:hAnsiTheme="majorBidi" w:cstheme="majorBidi"/>
          <w:szCs w:val="24"/>
        </w:rPr>
        <w:t>rapprochement interlinéaire des trois textes</w:t>
      </w:r>
      <w:r w:rsidR="009167D8">
        <w:rPr>
          <w:rFonts w:asciiTheme="majorBidi" w:hAnsiTheme="majorBidi" w:cstheme="majorBidi"/>
          <w:szCs w:val="24"/>
        </w:rPr>
        <w:t> »</w:t>
      </w:r>
      <w:r w:rsidRPr="00792503">
        <w:rPr>
          <w:rFonts w:asciiTheme="majorBidi" w:hAnsiTheme="majorBidi" w:cstheme="majorBidi"/>
          <w:szCs w:val="24"/>
        </w:rPr>
        <w:t xml:space="preserve"> de la Pierre de Rosette qui montre que la méthode peut s’avérer fructueuse : les équivalences proposées entre les textes démotiques, grecs et hiéroglyphiques sont régulièrement corrects. Toutefois, les signes individuels ne reçoivent pas d’interprétation spécifique : la lecture demeure globale et ne </w:t>
      </w:r>
      <w:r w:rsidRPr="00792503">
        <w:rPr>
          <w:rFonts w:asciiTheme="majorBidi" w:hAnsiTheme="majorBidi" w:cstheme="majorBidi"/>
          <w:szCs w:val="24"/>
        </w:rPr>
        <w:lastRenderedPageBreak/>
        <w:t>permet pas d’identifier les sons de la langue, ainsi que le montrent les équivalent coptes proposés par Champollion, qui sont souvent exacts quant au sens, mais non quant à la forme</w:t>
      </w:r>
      <w:r w:rsidR="00304328" w:rsidRPr="00223D01">
        <w:rPr>
          <w:rStyle w:val="Appelnotedebasdep"/>
          <w:w w:val="103"/>
          <w:lang w:val="fr-CH"/>
        </w:rPr>
        <w:footnoteReference w:id="23"/>
      </w:r>
      <w:r w:rsidR="00866154" w:rsidRPr="00792503">
        <w:rPr>
          <w:w w:val="103"/>
          <w:szCs w:val="24"/>
          <w:lang w:val="fr-CH"/>
        </w:rPr>
        <w:t>.</w:t>
      </w:r>
    </w:p>
    <w:p w14:paraId="24DBBBBC" w14:textId="4540B050" w:rsidR="00AD5DE1" w:rsidRPr="00223D01" w:rsidRDefault="009419E5" w:rsidP="00387E8E">
      <w:pPr>
        <w:spacing w:after="120"/>
        <w:ind w:left="284" w:right="561" w:firstLine="0"/>
        <w:rPr>
          <w:spacing w:val="4"/>
          <w:w w:val="103"/>
          <w:sz w:val="20"/>
          <w:lang w:val="fr-CH"/>
        </w:rPr>
      </w:pPr>
      <w:r w:rsidRPr="00223D01">
        <w:rPr>
          <w:sz w:val="20"/>
          <w:highlight w:val="yellow"/>
          <w:lang w:val="fr-CH"/>
        </w:rPr>
        <w:t>Fig. </w:t>
      </w:r>
      <w:r w:rsidR="001D4D89" w:rsidRPr="00223D01">
        <w:rPr>
          <w:sz w:val="20"/>
          <w:highlight w:val="yellow"/>
          <w:lang w:val="fr-CH"/>
        </w:rPr>
        <w:t>7</w:t>
      </w:r>
      <w:r w:rsidR="00AD5DE1" w:rsidRPr="00223D01">
        <w:rPr>
          <w:sz w:val="20"/>
          <w:highlight w:val="yellow"/>
          <w:lang w:val="fr-CH"/>
        </w:rPr>
        <w:t>.</w:t>
      </w:r>
      <w:r w:rsidR="00AD5DE1" w:rsidRPr="00223D01">
        <w:rPr>
          <w:sz w:val="20"/>
          <w:lang w:val="fr-CH"/>
        </w:rPr>
        <w:t> </w:t>
      </w:r>
      <w:r w:rsidRPr="00223D01">
        <w:rPr>
          <w:sz w:val="20"/>
          <w:lang w:val="fr-CH"/>
        </w:rPr>
        <w:t>Champollion,</w:t>
      </w:r>
      <w:r w:rsidR="00B74C6B" w:rsidRPr="00223D01">
        <w:rPr>
          <w:sz w:val="20"/>
          <w:lang w:val="fr-CH"/>
        </w:rPr>
        <w:t xml:space="preserve"> </w:t>
      </w:r>
      <w:r w:rsidR="00B74C6B" w:rsidRPr="00223D01">
        <w:rPr>
          <w:i/>
          <w:iCs/>
          <w:sz w:val="20"/>
          <w:lang w:val="fr-CH"/>
        </w:rPr>
        <w:t xml:space="preserve">Travaux sur l’écriture démotique </w:t>
      </w:r>
      <w:r w:rsidR="00AD5DE1" w:rsidRPr="00223D01">
        <w:rPr>
          <w:sz w:val="20"/>
          <w:lang w:val="fr-CH"/>
        </w:rPr>
        <w:t>(</w:t>
      </w:r>
      <w:proofErr w:type="spellStart"/>
      <w:r w:rsidR="00AD5DE1" w:rsidRPr="00223D01">
        <w:rPr>
          <w:spacing w:val="4"/>
          <w:w w:val="103"/>
          <w:sz w:val="20"/>
          <w:lang w:val="fr-CH"/>
        </w:rPr>
        <w:t>BnF</w:t>
      </w:r>
      <w:proofErr w:type="spellEnd"/>
      <w:r w:rsidR="00AD5DE1" w:rsidRPr="00223D01">
        <w:rPr>
          <w:spacing w:val="4"/>
          <w:w w:val="103"/>
          <w:sz w:val="20"/>
          <w:lang w:val="fr-CH"/>
        </w:rPr>
        <w:t xml:space="preserve">, MSS, </w:t>
      </w:r>
      <w:r w:rsidR="00AD5DE1" w:rsidRPr="00223D01">
        <w:rPr>
          <w:sz w:val="20"/>
          <w:lang w:val="fr-CH"/>
        </w:rPr>
        <w:t>NAF 20314, p. 3</w:t>
      </w:r>
      <w:r w:rsidR="0046094C" w:rsidRPr="00223D01">
        <w:rPr>
          <w:sz w:val="20"/>
          <w:lang w:val="fr-CH"/>
        </w:rPr>
        <w:t>3</w:t>
      </w:r>
      <w:r w:rsidR="006E2A94">
        <w:rPr>
          <w:sz w:val="20"/>
          <w:lang w:val="fr-CH"/>
        </w:rPr>
        <w:t>)</w:t>
      </w:r>
      <w:r w:rsidR="00AD5DE1" w:rsidRPr="00223D01">
        <w:rPr>
          <w:sz w:val="20"/>
          <w:lang w:val="fr-CH"/>
        </w:rPr>
        <w:t>.</w:t>
      </w:r>
    </w:p>
    <w:p w14:paraId="758DB60B" w14:textId="0B07C8D0" w:rsidR="00612FC3" w:rsidRPr="00223D01" w:rsidRDefault="00612FC3" w:rsidP="009978E7">
      <w:pPr>
        <w:pStyle w:val="Titre2"/>
        <w:ind w:left="284" w:firstLine="0"/>
        <w:rPr>
          <w:lang w:val="fr-CH"/>
        </w:rPr>
      </w:pPr>
      <w:r w:rsidRPr="00223D01">
        <w:rPr>
          <w:lang w:val="fr-CH"/>
        </w:rPr>
        <w:t>9.4. </w:t>
      </w:r>
      <w:r w:rsidR="00B71D02" w:rsidRPr="00223D01">
        <w:rPr>
          <w:lang w:val="fr-CH"/>
        </w:rPr>
        <w:t>Les prédécesseurs immédiats</w:t>
      </w:r>
      <w:r w:rsidRPr="00223D01">
        <w:rPr>
          <w:lang w:val="fr-CH"/>
        </w:rPr>
        <w:t xml:space="preserve"> : </w:t>
      </w:r>
      <w:r w:rsidR="009978E7">
        <w:rPr>
          <w:lang w:val="fr-CH"/>
        </w:rPr>
        <w:tab/>
      </w:r>
      <w:r w:rsidR="009978E7">
        <w:rPr>
          <w:lang w:val="fr-CH"/>
        </w:rPr>
        <w:br/>
      </w:r>
      <w:r w:rsidR="00AC7998" w:rsidRPr="00223D01">
        <w:rPr>
          <w:lang w:val="fr-CH"/>
        </w:rPr>
        <w:t xml:space="preserve">Silvestre de </w:t>
      </w:r>
      <w:proofErr w:type="spellStart"/>
      <w:r w:rsidR="00AC7998" w:rsidRPr="00223D01">
        <w:rPr>
          <w:lang w:val="fr-CH"/>
        </w:rPr>
        <w:t>Sacy</w:t>
      </w:r>
      <w:proofErr w:type="spellEnd"/>
      <w:r w:rsidR="00210FD0" w:rsidRPr="00223D01">
        <w:rPr>
          <w:lang w:val="fr-CH"/>
        </w:rPr>
        <w:t xml:space="preserve">, </w:t>
      </w:r>
      <w:r w:rsidR="00B97EB9" w:rsidRPr="00223D01">
        <w:rPr>
          <w:lang w:val="fr-CH"/>
        </w:rPr>
        <w:t xml:space="preserve">Johan David </w:t>
      </w:r>
      <w:proofErr w:type="spellStart"/>
      <w:r w:rsidR="00B97EB9" w:rsidRPr="00223D01">
        <w:rPr>
          <w:lang w:val="fr-CH"/>
        </w:rPr>
        <w:t>Å</w:t>
      </w:r>
      <w:r w:rsidR="00210FD0" w:rsidRPr="00223D01">
        <w:rPr>
          <w:lang w:val="fr-CH"/>
        </w:rPr>
        <w:t>ckerblad</w:t>
      </w:r>
      <w:proofErr w:type="spellEnd"/>
      <w:r w:rsidR="00210FD0" w:rsidRPr="00223D01">
        <w:rPr>
          <w:lang w:val="fr-CH"/>
        </w:rPr>
        <w:t>, et Thomas Young</w:t>
      </w:r>
    </w:p>
    <w:p w14:paraId="7DDB6677" w14:textId="798B09A8" w:rsidR="00995A98" w:rsidRDefault="00956D3D" w:rsidP="004B0026">
      <w:pPr>
        <w:rPr>
          <w:w w:val="103"/>
          <w:lang w:val="fr-CH"/>
        </w:rPr>
      </w:pPr>
      <w:r w:rsidRPr="00223D01">
        <w:rPr>
          <w:w w:val="103"/>
          <w:lang w:val="fr-CH"/>
        </w:rPr>
        <w:t>Champollion considère que c’est à partir de la découverte de la Pierre de Rosette que « les études égyptiennes marchèrent, quoique avec lenteur</w:t>
      </w:r>
      <w:r w:rsidR="00524442" w:rsidRPr="00223D01">
        <w:rPr>
          <w:w w:val="103"/>
          <w:lang w:val="fr-CH"/>
        </w:rPr>
        <w:t>, vers des résultats positifs.</w:t>
      </w:r>
      <w:r w:rsidR="00CB216A" w:rsidRPr="00223D01">
        <w:rPr>
          <w:w w:val="103"/>
          <w:lang w:val="fr-CH"/>
        </w:rPr>
        <w:t> » (</w:t>
      </w:r>
      <w:r w:rsidR="00CB216A" w:rsidRPr="00223D01">
        <w:rPr>
          <w:i/>
          <w:iCs/>
          <w:w w:val="103"/>
          <w:lang w:val="fr-CH"/>
        </w:rPr>
        <w:t>Discours</w:t>
      </w:r>
      <w:r w:rsidR="00CB216A" w:rsidRPr="00223D01">
        <w:rPr>
          <w:w w:val="103"/>
          <w:lang w:val="fr-CH"/>
        </w:rPr>
        <w:t xml:space="preserve">, p. xiv). Le premier qu’il cite dans cette marche </w:t>
      </w:r>
      <w:r w:rsidR="00235C97" w:rsidRPr="00223D01">
        <w:rPr>
          <w:w w:val="103"/>
          <w:lang w:val="fr-CH"/>
        </w:rPr>
        <w:t xml:space="preserve">en avant </w:t>
      </w:r>
      <w:r w:rsidR="00CB216A" w:rsidRPr="00223D01">
        <w:rPr>
          <w:w w:val="103"/>
          <w:lang w:val="fr-CH"/>
        </w:rPr>
        <w:t xml:space="preserve">est </w:t>
      </w:r>
      <w:r w:rsidR="000D0807" w:rsidRPr="00223D01">
        <w:rPr>
          <w:w w:val="103"/>
          <w:lang w:val="fr-CH"/>
        </w:rPr>
        <w:t xml:space="preserve">le baron Silvestre de </w:t>
      </w:r>
      <w:proofErr w:type="spellStart"/>
      <w:r w:rsidR="000D0807" w:rsidRPr="00223D01">
        <w:rPr>
          <w:w w:val="103"/>
          <w:lang w:val="fr-CH"/>
        </w:rPr>
        <w:t>Sacy</w:t>
      </w:r>
      <w:proofErr w:type="spellEnd"/>
      <w:r w:rsidR="000D0807" w:rsidRPr="00223D01">
        <w:rPr>
          <w:w w:val="103"/>
          <w:lang w:val="fr-CH"/>
        </w:rPr>
        <w:t xml:space="preserve"> (1758–1838), </w:t>
      </w:r>
      <w:r w:rsidR="004D44A7" w:rsidRPr="00223D01">
        <w:rPr>
          <w:w w:val="103"/>
          <w:lang w:val="fr-CH"/>
        </w:rPr>
        <w:t xml:space="preserve">spécialiste des langues orientales et </w:t>
      </w:r>
      <w:r w:rsidR="000D0807" w:rsidRPr="00223D01">
        <w:rPr>
          <w:w w:val="103"/>
          <w:lang w:val="fr-CH"/>
        </w:rPr>
        <w:t>professeur</w:t>
      </w:r>
      <w:r w:rsidR="004637CC" w:rsidRPr="00223D01">
        <w:rPr>
          <w:w w:val="103"/>
          <w:lang w:val="fr-CH"/>
        </w:rPr>
        <w:t xml:space="preserve"> de </w:t>
      </w:r>
      <w:r w:rsidR="00F968D2" w:rsidRPr="00223D01">
        <w:rPr>
          <w:w w:val="103"/>
          <w:lang w:val="fr-CH"/>
        </w:rPr>
        <w:t>p</w:t>
      </w:r>
      <w:r w:rsidR="004637CC" w:rsidRPr="00223D01">
        <w:rPr>
          <w:w w:val="103"/>
          <w:lang w:val="fr-CH"/>
        </w:rPr>
        <w:t xml:space="preserve">ersan au Collège de France </w:t>
      </w:r>
      <w:r w:rsidR="000D0807" w:rsidRPr="00223D01">
        <w:rPr>
          <w:w w:val="103"/>
          <w:lang w:val="fr-CH"/>
        </w:rPr>
        <w:t xml:space="preserve">avec lequel </w:t>
      </w:r>
      <w:r w:rsidR="00AC3C44" w:rsidRPr="00223D01">
        <w:rPr>
          <w:w w:val="103"/>
          <w:lang w:val="fr-CH"/>
        </w:rPr>
        <w:t xml:space="preserve">Champollion </w:t>
      </w:r>
      <w:r w:rsidR="000D0807" w:rsidRPr="00223D01">
        <w:rPr>
          <w:w w:val="103"/>
          <w:lang w:val="fr-CH"/>
        </w:rPr>
        <w:t>a entretenu des relation</w:t>
      </w:r>
      <w:r w:rsidR="009B746B" w:rsidRPr="00223D01">
        <w:rPr>
          <w:w w:val="103"/>
          <w:lang w:val="fr-CH"/>
        </w:rPr>
        <w:t>s</w:t>
      </w:r>
      <w:r w:rsidR="00973042">
        <w:rPr>
          <w:w w:val="103"/>
          <w:lang w:val="fr-CH"/>
        </w:rPr>
        <w:t xml:space="preserve"> compliquées</w:t>
      </w:r>
      <w:r w:rsidR="000D0807" w:rsidRPr="00223D01">
        <w:rPr>
          <w:w w:val="103"/>
          <w:lang w:val="fr-CH"/>
        </w:rPr>
        <w:t xml:space="preserve"> </w:t>
      </w:r>
      <w:r w:rsidR="000123A3" w:rsidRPr="00223D01">
        <w:rPr>
          <w:w w:val="103"/>
          <w:lang w:val="fr-CH"/>
        </w:rPr>
        <w:t>(</w:t>
      </w:r>
      <w:r w:rsidR="004D44A7" w:rsidRPr="00223D01">
        <w:rPr>
          <w:w w:val="103"/>
          <w:lang w:val="fr-CH"/>
        </w:rPr>
        <w:t xml:space="preserve">avant que </w:t>
      </w:r>
      <w:r w:rsidR="003A0A2A" w:rsidRPr="00223D01">
        <w:rPr>
          <w:w w:val="103"/>
          <w:lang w:val="fr-CH"/>
        </w:rPr>
        <w:t>son ancien professeur</w:t>
      </w:r>
      <w:r w:rsidR="004D44A7" w:rsidRPr="00223D01">
        <w:rPr>
          <w:w w:val="103"/>
          <w:lang w:val="fr-CH"/>
        </w:rPr>
        <w:t xml:space="preserve"> ne reconna</w:t>
      </w:r>
      <w:r w:rsidR="000123A3" w:rsidRPr="00223D01">
        <w:rPr>
          <w:w w:val="103"/>
          <w:lang w:val="fr-CH"/>
        </w:rPr>
        <w:t xml:space="preserve">isse </w:t>
      </w:r>
      <w:r w:rsidR="00D031F7" w:rsidRPr="00223D01">
        <w:rPr>
          <w:w w:val="103"/>
          <w:lang w:val="fr-CH"/>
        </w:rPr>
        <w:t>tous les mérites d</w:t>
      </w:r>
      <w:r w:rsidR="000552CE" w:rsidRPr="00223D01">
        <w:rPr>
          <w:w w:val="103"/>
          <w:lang w:val="fr-CH"/>
        </w:rPr>
        <w:t>e son</w:t>
      </w:r>
      <w:r w:rsidR="00D031F7" w:rsidRPr="00223D01">
        <w:rPr>
          <w:w w:val="103"/>
          <w:lang w:val="fr-CH"/>
        </w:rPr>
        <w:t xml:space="preserve"> déchiffrement et que les choses ne s’apaisent).</w:t>
      </w:r>
    </w:p>
    <w:p w14:paraId="2DA45179" w14:textId="33B31984" w:rsidR="000550EF" w:rsidRPr="00223D01" w:rsidRDefault="000550EF" w:rsidP="004B0026">
      <w:pPr>
        <w:rPr>
          <w:w w:val="103"/>
          <w:lang w:val="fr-CH"/>
        </w:rPr>
      </w:pPr>
      <w:r w:rsidRPr="00223D01">
        <w:rPr>
          <w:w w:val="103"/>
          <w:lang w:val="fr-CH"/>
        </w:rPr>
        <w:t xml:space="preserve">Dans sa </w:t>
      </w:r>
      <w:r w:rsidRPr="00223D01">
        <w:rPr>
          <w:i/>
          <w:iCs/>
          <w:w w:val="103"/>
          <w:lang w:val="fr-CH"/>
        </w:rPr>
        <w:t xml:space="preserve">Lettre au </w:t>
      </w:r>
      <w:r w:rsidR="001079E2">
        <w:rPr>
          <w:i/>
          <w:iCs/>
          <w:w w:val="103"/>
          <w:lang w:val="fr-CH"/>
        </w:rPr>
        <w:t>C</w:t>
      </w:r>
      <w:r w:rsidRPr="00223D01">
        <w:rPr>
          <w:i/>
          <w:iCs/>
          <w:w w:val="103"/>
          <w:lang w:val="fr-CH"/>
        </w:rPr>
        <w:t>itoyen Chaptal</w:t>
      </w:r>
      <w:r w:rsidR="00C44818" w:rsidRPr="00223D01">
        <w:rPr>
          <w:rStyle w:val="Appelnotedebasdep"/>
          <w:lang w:val="fr-CH"/>
        </w:rPr>
        <w:footnoteReference w:id="24"/>
      </w:r>
      <w:r w:rsidRPr="00223D01">
        <w:rPr>
          <w:w w:val="103"/>
          <w:lang w:val="fr-CH"/>
        </w:rPr>
        <w:t xml:space="preserve">, Silvestre de </w:t>
      </w:r>
      <w:proofErr w:type="spellStart"/>
      <w:r w:rsidRPr="00223D01">
        <w:rPr>
          <w:w w:val="103"/>
          <w:lang w:val="fr-CH"/>
        </w:rPr>
        <w:t>Sacy</w:t>
      </w:r>
      <w:proofErr w:type="spellEnd"/>
      <w:r w:rsidRPr="00223D01">
        <w:rPr>
          <w:w w:val="103"/>
          <w:lang w:val="fr-CH"/>
        </w:rPr>
        <w:t xml:space="preserve"> étudie le texte démotique de Rosette et s’intéresse aux noms propres (</w:t>
      </w:r>
      <w:r w:rsidRPr="00223D01">
        <w:rPr>
          <w:w w:val="103"/>
          <w:highlight w:val="yellow"/>
          <w:lang w:val="fr-CH"/>
        </w:rPr>
        <w:t>Fig. 8</w:t>
      </w:r>
      <w:r w:rsidRPr="00223D01">
        <w:rPr>
          <w:w w:val="103"/>
          <w:lang w:val="fr-CH"/>
        </w:rPr>
        <w:t>). Pour Champollion, « [c]et écrit renferme les premières bases du déchiffrement du texte intermédiaire, par la détermination des groupes de caractères répondant aux noms propres</w:t>
      </w:r>
      <w:r w:rsidRPr="00223D01">
        <w:rPr>
          <w:i/>
          <w:iCs/>
          <w:w w:val="103"/>
          <w:lang w:val="fr-CH"/>
        </w:rPr>
        <w:t xml:space="preserve"> Ptolémée</w:t>
      </w:r>
      <w:r w:rsidRPr="00223D01">
        <w:rPr>
          <w:w w:val="103"/>
          <w:lang w:val="fr-CH"/>
        </w:rPr>
        <w:t xml:space="preserve">, </w:t>
      </w:r>
      <w:r w:rsidRPr="00223D01">
        <w:rPr>
          <w:i/>
          <w:iCs/>
          <w:w w:val="103"/>
          <w:lang w:val="fr-CH"/>
        </w:rPr>
        <w:t>Arsinoé</w:t>
      </w:r>
      <w:r w:rsidRPr="00223D01">
        <w:rPr>
          <w:w w:val="103"/>
          <w:lang w:val="fr-CH"/>
        </w:rPr>
        <w:t xml:space="preserve">, </w:t>
      </w:r>
      <w:r w:rsidRPr="00223D01">
        <w:rPr>
          <w:i/>
          <w:iCs/>
          <w:w w:val="103"/>
          <w:lang w:val="fr-CH"/>
        </w:rPr>
        <w:t xml:space="preserve">Alexandre </w:t>
      </w:r>
      <w:r w:rsidRPr="00223D01">
        <w:rPr>
          <w:w w:val="103"/>
          <w:lang w:val="fr-CH"/>
        </w:rPr>
        <w:t xml:space="preserve">et </w:t>
      </w:r>
      <w:r w:rsidRPr="00223D01">
        <w:rPr>
          <w:i/>
          <w:iCs/>
          <w:w w:val="103"/>
          <w:lang w:val="fr-CH"/>
        </w:rPr>
        <w:t>Alexandrie</w:t>
      </w:r>
      <w:r w:rsidRPr="00223D01">
        <w:rPr>
          <w:w w:val="103"/>
          <w:lang w:val="fr-CH"/>
        </w:rPr>
        <w:t>, mentionnés en différentes occasions dans le texte grec. » (</w:t>
      </w:r>
      <w:r w:rsidRPr="00223D01">
        <w:rPr>
          <w:i/>
          <w:iCs/>
          <w:w w:val="103"/>
          <w:lang w:val="fr-CH"/>
        </w:rPr>
        <w:t>Discours</w:t>
      </w:r>
      <w:r w:rsidRPr="00223D01">
        <w:rPr>
          <w:w w:val="103"/>
          <w:lang w:val="fr-CH"/>
        </w:rPr>
        <w:t>, p. xiv). Cependant, le baron reconnaît lui-même qu’après des débuts prometteurs, il a vite été arrêté dans sa tentative : « je suis obligé de vous avouer franchement que [mes résultats] se réduisent à bien peu de choses ; je n’</w:t>
      </w:r>
      <w:proofErr w:type="spellStart"/>
      <w:r w:rsidRPr="00223D01">
        <w:rPr>
          <w:w w:val="103"/>
          <w:lang w:val="fr-CH"/>
        </w:rPr>
        <w:t>aurois</w:t>
      </w:r>
      <w:proofErr w:type="spellEnd"/>
      <w:r w:rsidRPr="00223D01">
        <w:rPr>
          <w:w w:val="103"/>
          <w:lang w:val="fr-CH"/>
        </w:rPr>
        <w:t xml:space="preserve"> pas même pensé à fixer et à mettre par écrit</w:t>
      </w:r>
      <w:r w:rsidR="00AE71CB">
        <w:rPr>
          <w:w w:val="103"/>
          <w:lang w:val="fr-CH"/>
        </w:rPr>
        <w:t xml:space="preserve"> </w:t>
      </w:r>
      <w:r w:rsidRPr="00223D01">
        <w:rPr>
          <w:w w:val="103"/>
          <w:lang w:val="fr-CH"/>
        </w:rPr>
        <w:t>le peu que je crois avoir découvert, si vous ne l’aviez exigé de moi. » (</w:t>
      </w:r>
      <w:r w:rsidRPr="00223D01">
        <w:rPr>
          <w:i/>
          <w:iCs/>
          <w:w w:val="103"/>
          <w:lang w:val="fr-CH"/>
        </w:rPr>
        <w:t xml:space="preserve">Lettre </w:t>
      </w:r>
      <w:r w:rsidR="00AC5D39">
        <w:rPr>
          <w:i/>
          <w:iCs/>
          <w:w w:val="103"/>
          <w:lang w:val="fr-CH"/>
        </w:rPr>
        <w:t xml:space="preserve">au Citoyen </w:t>
      </w:r>
      <w:r w:rsidRPr="00223D01">
        <w:rPr>
          <w:i/>
          <w:iCs/>
          <w:w w:val="103"/>
          <w:lang w:val="fr-CH"/>
        </w:rPr>
        <w:t>Chaptal</w:t>
      </w:r>
      <w:r w:rsidRPr="00223D01">
        <w:rPr>
          <w:w w:val="103"/>
          <w:lang w:val="fr-CH"/>
        </w:rPr>
        <w:t>, p. 4).</w:t>
      </w:r>
    </w:p>
    <w:p w14:paraId="45B047BF" w14:textId="0C26E26D" w:rsidR="000550EF" w:rsidRPr="00223D01" w:rsidRDefault="000550EF" w:rsidP="00387E8E">
      <w:pPr>
        <w:tabs>
          <w:tab w:val="clear" w:pos="851"/>
          <w:tab w:val="left" w:pos="4639"/>
        </w:tabs>
        <w:spacing w:after="120"/>
        <w:ind w:left="284" w:firstLine="0"/>
        <w:jc w:val="left"/>
        <w:rPr>
          <w:spacing w:val="4"/>
          <w:w w:val="103"/>
          <w:sz w:val="20"/>
          <w:lang w:val="fr-CH"/>
        </w:rPr>
      </w:pPr>
      <w:r w:rsidRPr="00223D01">
        <w:rPr>
          <w:spacing w:val="4"/>
          <w:w w:val="103"/>
          <w:sz w:val="20"/>
          <w:highlight w:val="yellow"/>
          <w:lang w:val="fr-CH"/>
        </w:rPr>
        <w:t>Fig. 8.</w:t>
      </w:r>
      <w:r w:rsidRPr="00223D01">
        <w:rPr>
          <w:spacing w:val="4"/>
          <w:w w:val="103"/>
          <w:sz w:val="20"/>
          <w:lang w:val="fr-CH"/>
        </w:rPr>
        <w:t xml:space="preserve"> Silvestre de </w:t>
      </w:r>
      <w:proofErr w:type="spellStart"/>
      <w:r w:rsidRPr="00223D01">
        <w:rPr>
          <w:spacing w:val="4"/>
          <w:w w:val="103"/>
          <w:sz w:val="20"/>
          <w:lang w:val="fr-CH"/>
        </w:rPr>
        <w:t>Sacy</w:t>
      </w:r>
      <w:proofErr w:type="spellEnd"/>
      <w:r w:rsidRPr="00223D01">
        <w:rPr>
          <w:spacing w:val="4"/>
          <w:w w:val="103"/>
          <w:sz w:val="20"/>
          <w:lang w:val="fr-CH"/>
        </w:rPr>
        <w:t xml:space="preserve">, </w:t>
      </w:r>
      <w:r w:rsidRPr="00223D01">
        <w:rPr>
          <w:i/>
          <w:iCs/>
          <w:spacing w:val="4"/>
          <w:w w:val="103"/>
          <w:sz w:val="20"/>
          <w:lang w:val="fr-CH"/>
        </w:rPr>
        <w:t xml:space="preserve">Lettre au </w:t>
      </w:r>
      <w:r w:rsidR="00257B0D">
        <w:rPr>
          <w:i/>
          <w:iCs/>
          <w:spacing w:val="4"/>
          <w:w w:val="103"/>
          <w:sz w:val="20"/>
          <w:lang w:val="fr-CH"/>
        </w:rPr>
        <w:t>C</w:t>
      </w:r>
      <w:r w:rsidRPr="00223D01">
        <w:rPr>
          <w:i/>
          <w:iCs/>
          <w:spacing w:val="4"/>
          <w:w w:val="103"/>
          <w:sz w:val="20"/>
          <w:lang w:val="fr-CH"/>
        </w:rPr>
        <w:t>itoyen Chaptal</w:t>
      </w:r>
      <w:r w:rsidRPr="00223D01">
        <w:rPr>
          <w:spacing w:val="4"/>
          <w:w w:val="103"/>
          <w:sz w:val="20"/>
          <w:lang w:val="fr-CH"/>
        </w:rPr>
        <w:t>, Paris, 1802.</w:t>
      </w:r>
    </w:p>
    <w:p w14:paraId="1AEF1287" w14:textId="532FC4D6" w:rsidR="007452A7" w:rsidRPr="00223D01" w:rsidRDefault="00525855" w:rsidP="004B0026">
      <w:pPr>
        <w:rPr>
          <w:spacing w:val="4"/>
          <w:w w:val="103"/>
          <w:lang w:val="fr-CH"/>
        </w:rPr>
      </w:pPr>
      <w:r w:rsidRPr="00223D01">
        <w:rPr>
          <w:spacing w:val="4"/>
          <w:w w:val="103"/>
          <w:lang w:val="fr-CH"/>
        </w:rPr>
        <w:t xml:space="preserve">Johan David </w:t>
      </w:r>
      <w:proofErr w:type="spellStart"/>
      <w:r w:rsidRPr="00223D01">
        <w:rPr>
          <w:lang w:val="fr-CH"/>
        </w:rPr>
        <w:t>Åckerblad</w:t>
      </w:r>
      <w:proofErr w:type="spellEnd"/>
      <w:r w:rsidRPr="00223D01">
        <w:rPr>
          <w:lang w:val="fr-CH"/>
        </w:rPr>
        <w:t xml:space="preserve"> (1763–1819) est le second nom épinglé par Champollion</w:t>
      </w:r>
      <w:r w:rsidR="004E5698" w:rsidRPr="00223D01">
        <w:rPr>
          <w:lang w:val="fr-CH"/>
        </w:rPr>
        <w:t xml:space="preserve"> parmi ses </w:t>
      </w:r>
      <w:r w:rsidR="00A5339F" w:rsidRPr="00223D01">
        <w:rPr>
          <w:lang w:val="fr-CH"/>
        </w:rPr>
        <w:t>prédécesseurs</w:t>
      </w:r>
      <w:r w:rsidR="004E5698" w:rsidRPr="00223D01">
        <w:rPr>
          <w:lang w:val="fr-CH"/>
        </w:rPr>
        <w:t xml:space="preserve"> immédiats</w:t>
      </w:r>
      <w:r w:rsidR="00F968D2" w:rsidRPr="00223D01">
        <w:rPr>
          <w:rStyle w:val="Appelnotedebasdep"/>
          <w:lang w:val="fr-CH"/>
        </w:rPr>
        <w:footnoteReference w:id="25"/>
      </w:r>
      <w:r w:rsidRPr="00223D01">
        <w:rPr>
          <w:lang w:val="fr-CH"/>
        </w:rPr>
        <w:t xml:space="preserve">. </w:t>
      </w:r>
      <w:r w:rsidR="009B18BA" w:rsidRPr="00223D01">
        <w:rPr>
          <w:lang w:val="fr-CH"/>
        </w:rPr>
        <w:t xml:space="preserve">Ce diplomate </w:t>
      </w:r>
      <w:r w:rsidR="005453FF" w:rsidRPr="00223D01">
        <w:rPr>
          <w:lang w:val="fr-CH"/>
        </w:rPr>
        <w:t xml:space="preserve">suédois </w:t>
      </w:r>
      <w:r w:rsidR="009C4BBB" w:rsidRPr="00223D01">
        <w:rPr>
          <w:lang w:val="fr-CH"/>
        </w:rPr>
        <w:t>avait une solide connaissance des langues orientales, du copte en particulier</w:t>
      </w:r>
      <w:r w:rsidR="00287A31" w:rsidRPr="00223D01">
        <w:rPr>
          <w:lang w:val="fr-CH"/>
        </w:rPr>
        <w:t>,</w:t>
      </w:r>
      <w:r w:rsidR="009C4BBB" w:rsidRPr="00223D01">
        <w:rPr>
          <w:lang w:val="fr-CH"/>
        </w:rPr>
        <w:t xml:space="preserve"> et avait </w:t>
      </w:r>
      <w:r w:rsidR="00162731" w:rsidRPr="00223D01">
        <w:rPr>
          <w:lang w:val="fr-CH"/>
        </w:rPr>
        <w:t xml:space="preserve">suivi les cours de Silvestre de </w:t>
      </w:r>
      <w:proofErr w:type="spellStart"/>
      <w:r w:rsidR="00162731" w:rsidRPr="00223D01">
        <w:rPr>
          <w:lang w:val="fr-CH"/>
        </w:rPr>
        <w:t>Sacy</w:t>
      </w:r>
      <w:proofErr w:type="spellEnd"/>
      <w:r w:rsidR="00162731" w:rsidRPr="00223D01">
        <w:rPr>
          <w:lang w:val="fr-CH"/>
        </w:rPr>
        <w:t xml:space="preserve"> lorsqu’il était en poste à Paris</w:t>
      </w:r>
      <w:r w:rsidR="005275B1" w:rsidRPr="00223D01">
        <w:rPr>
          <w:lang w:val="fr-CH"/>
        </w:rPr>
        <w:t xml:space="preserve">. </w:t>
      </w:r>
      <w:r w:rsidR="009758DC" w:rsidRPr="00223D01">
        <w:rPr>
          <w:lang w:val="fr-CH"/>
        </w:rPr>
        <w:t xml:space="preserve">C’est à ce dernier qu’il adresse sa </w:t>
      </w:r>
      <w:r w:rsidR="009758DC" w:rsidRPr="00223D01">
        <w:rPr>
          <w:i/>
          <w:iCs/>
          <w:lang w:val="fr-CH"/>
        </w:rPr>
        <w:t>Lettre sur l’inscription égyptienne de Rosette</w:t>
      </w:r>
      <w:r w:rsidR="00D453C6" w:rsidRPr="00223D01">
        <w:rPr>
          <w:lang w:val="fr-CH"/>
        </w:rPr>
        <w:t xml:space="preserve"> (1802)</w:t>
      </w:r>
      <w:r w:rsidR="00F973C3" w:rsidRPr="00223D01">
        <w:rPr>
          <w:lang w:val="fr-CH"/>
        </w:rPr>
        <w:t xml:space="preserve">. </w:t>
      </w:r>
      <w:r w:rsidR="00473817" w:rsidRPr="00223D01">
        <w:rPr>
          <w:lang w:val="fr-CH"/>
        </w:rPr>
        <w:t xml:space="preserve">Il travaille </w:t>
      </w:r>
      <w:r w:rsidR="008E05E9" w:rsidRPr="00223D01">
        <w:rPr>
          <w:lang w:val="fr-CH"/>
        </w:rPr>
        <w:t>aussi</w:t>
      </w:r>
      <w:r w:rsidR="00473817" w:rsidRPr="00223D01">
        <w:rPr>
          <w:lang w:val="fr-CH"/>
        </w:rPr>
        <w:t xml:space="preserve"> </w:t>
      </w:r>
      <w:r w:rsidR="00426271" w:rsidRPr="00223D01">
        <w:rPr>
          <w:lang w:val="fr-CH"/>
        </w:rPr>
        <w:t xml:space="preserve">avant tout </w:t>
      </w:r>
      <w:r w:rsidR="00473817" w:rsidRPr="00223D01">
        <w:rPr>
          <w:lang w:val="fr-CH"/>
        </w:rPr>
        <w:t xml:space="preserve">sur les noms propres </w:t>
      </w:r>
      <w:r w:rsidR="00426271" w:rsidRPr="00223D01">
        <w:rPr>
          <w:lang w:val="fr-CH"/>
        </w:rPr>
        <w:t xml:space="preserve">du </w:t>
      </w:r>
      <w:r w:rsidR="00473817" w:rsidRPr="00223D01">
        <w:rPr>
          <w:lang w:val="fr-CH"/>
        </w:rPr>
        <w:t xml:space="preserve">texte démotique </w:t>
      </w:r>
      <w:r w:rsidR="005F1FB0" w:rsidRPr="00223D01">
        <w:rPr>
          <w:lang w:val="fr-CH"/>
        </w:rPr>
        <w:t>(</w:t>
      </w:r>
      <w:r w:rsidR="005F1FB0" w:rsidRPr="00223D01">
        <w:rPr>
          <w:highlight w:val="yellow"/>
          <w:lang w:val="fr-CH"/>
        </w:rPr>
        <w:t>Fig. </w:t>
      </w:r>
      <w:r w:rsidR="004F0B2E" w:rsidRPr="00223D01">
        <w:rPr>
          <w:highlight w:val="yellow"/>
          <w:lang w:val="fr-CH"/>
        </w:rPr>
        <w:t>9</w:t>
      </w:r>
      <w:r w:rsidR="005F1FB0" w:rsidRPr="00223D01">
        <w:rPr>
          <w:lang w:val="fr-CH"/>
        </w:rPr>
        <w:t>)</w:t>
      </w:r>
      <w:r w:rsidR="0040510C" w:rsidRPr="00223D01">
        <w:rPr>
          <w:lang w:val="fr-CH"/>
        </w:rPr>
        <w:t>.</w:t>
      </w:r>
    </w:p>
    <w:p w14:paraId="4C545C07" w14:textId="101D07A7" w:rsidR="00EB1B31" w:rsidRPr="00223D01" w:rsidRDefault="00EB1B31" w:rsidP="00387E8E">
      <w:pPr>
        <w:spacing w:after="120"/>
        <w:ind w:left="284" w:right="561" w:firstLine="0"/>
        <w:rPr>
          <w:spacing w:val="4"/>
          <w:w w:val="103"/>
          <w:sz w:val="20"/>
          <w:lang w:val="fr-CH"/>
        </w:rPr>
      </w:pPr>
      <w:r w:rsidRPr="00223D01">
        <w:rPr>
          <w:spacing w:val="4"/>
          <w:w w:val="103"/>
          <w:sz w:val="20"/>
          <w:highlight w:val="yellow"/>
          <w:lang w:val="fr-CH"/>
        </w:rPr>
        <w:t>Fig. </w:t>
      </w:r>
      <w:r w:rsidR="00B53F9A" w:rsidRPr="00223D01">
        <w:rPr>
          <w:spacing w:val="4"/>
          <w:w w:val="103"/>
          <w:sz w:val="20"/>
          <w:highlight w:val="yellow"/>
          <w:lang w:val="fr-CH"/>
        </w:rPr>
        <w:t>9</w:t>
      </w:r>
      <w:r w:rsidRPr="00223D01">
        <w:rPr>
          <w:spacing w:val="4"/>
          <w:w w:val="103"/>
          <w:sz w:val="20"/>
          <w:highlight w:val="yellow"/>
          <w:lang w:val="fr-CH"/>
        </w:rPr>
        <w:t>.</w:t>
      </w:r>
      <w:r w:rsidRPr="00223D01">
        <w:rPr>
          <w:spacing w:val="4"/>
          <w:w w:val="103"/>
          <w:sz w:val="20"/>
          <w:lang w:val="fr-CH"/>
        </w:rPr>
        <w:t xml:space="preserve"> La première partie des lignes 1 à 14 de la copie de l’inscription démotique de Rosette annotée par </w:t>
      </w:r>
      <w:proofErr w:type="spellStart"/>
      <w:r w:rsidRPr="00223D01">
        <w:rPr>
          <w:sz w:val="20"/>
          <w:lang w:val="fr-CH"/>
        </w:rPr>
        <w:t>Åckerblad</w:t>
      </w:r>
      <w:proofErr w:type="spellEnd"/>
      <w:r w:rsidRPr="00223D01">
        <w:rPr>
          <w:sz w:val="20"/>
          <w:lang w:val="fr-CH"/>
        </w:rPr>
        <w:t xml:space="preserve">, avec une segmentation du texte en mots qui sont numérotés </w:t>
      </w:r>
      <w:r w:rsidR="00FB7F06" w:rsidRPr="00223D01">
        <w:rPr>
          <w:sz w:val="20"/>
          <w:lang w:val="fr-CH"/>
        </w:rPr>
        <w:t xml:space="preserve">et reçoivent des </w:t>
      </w:r>
      <w:r w:rsidR="00B976C4" w:rsidRPr="00223D01">
        <w:rPr>
          <w:sz w:val="20"/>
          <w:lang w:val="fr-CH"/>
        </w:rPr>
        <w:t>propositions d’</w:t>
      </w:r>
      <w:r w:rsidR="00FB7F06" w:rsidRPr="00223D01">
        <w:rPr>
          <w:sz w:val="20"/>
          <w:lang w:val="fr-CH"/>
        </w:rPr>
        <w:t>équivalents coptes ou grecs</w:t>
      </w:r>
      <w:r w:rsidR="00EC1908" w:rsidRPr="00223D01">
        <w:rPr>
          <w:sz w:val="20"/>
          <w:lang w:val="fr-CH"/>
        </w:rPr>
        <w:t xml:space="preserve"> (d’après </w:t>
      </w:r>
      <w:proofErr w:type="spellStart"/>
      <w:r w:rsidR="00EC1908" w:rsidRPr="00223D01">
        <w:rPr>
          <w:sz w:val="20"/>
          <w:lang w:val="fr-CH"/>
        </w:rPr>
        <w:t>Thomasson</w:t>
      </w:r>
      <w:proofErr w:type="spellEnd"/>
      <w:r w:rsidR="00EC1908" w:rsidRPr="00223D01">
        <w:rPr>
          <w:sz w:val="20"/>
          <w:lang w:val="fr-CH"/>
        </w:rPr>
        <w:t xml:space="preserve"> 2013 : pl. 23)</w:t>
      </w:r>
      <w:r w:rsidR="00FB7F06" w:rsidRPr="00223D01">
        <w:rPr>
          <w:sz w:val="20"/>
          <w:lang w:val="fr-CH"/>
        </w:rPr>
        <w:t>.</w:t>
      </w:r>
    </w:p>
    <w:p w14:paraId="5E542420" w14:textId="73D83882" w:rsidR="00EC1FBB" w:rsidRPr="00223D01" w:rsidRDefault="00E32D30" w:rsidP="004B0026">
      <w:pPr>
        <w:rPr>
          <w:w w:val="103"/>
          <w:lang w:val="fr-CH"/>
        </w:rPr>
      </w:pPr>
      <w:r w:rsidRPr="00223D01">
        <w:rPr>
          <w:lang w:val="fr-CH"/>
        </w:rPr>
        <w:t>Mais il va plus loin que son maître parisien.</w:t>
      </w:r>
      <w:r w:rsidR="004503F6" w:rsidRPr="00223D01">
        <w:rPr>
          <w:lang w:val="fr-CH"/>
        </w:rPr>
        <w:t xml:space="preserve"> </w:t>
      </w:r>
      <w:r w:rsidR="00D23E67" w:rsidRPr="00223D01">
        <w:rPr>
          <w:w w:val="103"/>
          <w:lang w:val="fr-CH"/>
        </w:rPr>
        <w:t>Analysant la structure interne de ces noms propres, il est le premier à proposer un ‘alphabet</w:t>
      </w:r>
      <w:r w:rsidR="00C135B6" w:rsidRPr="00223D01">
        <w:rPr>
          <w:w w:val="103"/>
          <w:lang w:val="fr-CH"/>
        </w:rPr>
        <w:t xml:space="preserve"> égyptien</w:t>
      </w:r>
      <w:r w:rsidR="00D23E67" w:rsidRPr="00223D01">
        <w:rPr>
          <w:w w:val="103"/>
          <w:lang w:val="fr-CH"/>
        </w:rPr>
        <w:t>’</w:t>
      </w:r>
      <w:r w:rsidR="002F074B" w:rsidRPr="00223D01">
        <w:rPr>
          <w:w w:val="103"/>
          <w:lang w:val="fr-CH"/>
        </w:rPr>
        <w:t xml:space="preserve">, </w:t>
      </w:r>
      <w:r w:rsidR="00523042" w:rsidRPr="00223D01">
        <w:rPr>
          <w:w w:val="103"/>
          <w:lang w:val="fr-CH"/>
        </w:rPr>
        <w:t xml:space="preserve">en </w:t>
      </w:r>
      <w:r w:rsidR="002F074B" w:rsidRPr="00223D01">
        <w:rPr>
          <w:w w:val="103"/>
          <w:lang w:val="fr-CH"/>
        </w:rPr>
        <w:t>identifiant une prononciation pour une série de caractères démotiques</w:t>
      </w:r>
      <w:r w:rsidR="00D23E67" w:rsidRPr="00223D01">
        <w:rPr>
          <w:w w:val="103"/>
          <w:lang w:val="fr-CH"/>
        </w:rPr>
        <w:t xml:space="preserve"> </w:t>
      </w:r>
      <w:r w:rsidR="00150601" w:rsidRPr="00223D01">
        <w:rPr>
          <w:w w:val="103"/>
          <w:lang w:val="fr-CH"/>
        </w:rPr>
        <w:t>(</w:t>
      </w:r>
      <w:r w:rsidR="00150601" w:rsidRPr="00223D01">
        <w:rPr>
          <w:w w:val="103"/>
          <w:highlight w:val="yellow"/>
          <w:lang w:val="fr-CH"/>
        </w:rPr>
        <w:t>Fig. </w:t>
      </w:r>
      <w:r w:rsidR="0054115C" w:rsidRPr="00223D01">
        <w:rPr>
          <w:w w:val="103"/>
          <w:highlight w:val="yellow"/>
          <w:lang w:val="fr-CH"/>
        </w:rPr>
        <w:t>10</w:t>
      </w:r>
      <w:r w:rsidR="00150601" w:rsidRPr="00223D01">
        <w:rPr>
          <w:w w:val="103"/>
          <w:lang w:val="fr-CH"/>
        </w:rPr>
        <w:t xml:space="preserve">). </w:t>
      </w:r>
      <w:r w:rsidR="00FE2AF9" w:rsidRPr="00223D01">
        <w:rPr>
          <w:w w:val="103"/>
          <w:lang w:val="fr-CH"/>
        </w:rPr>
        <w:t>Même s</w:t>
      </w:r>
      <w:r w:rsidR="002872E7" w:rsidRPr="00223D01">
        <w:rPr>
          <w:w w:val="103"/>
          <w:lang w:val="fr-CH"/>
        </w:rPr>
        <w:t xml:space="preserve">i </w:t>
      </w:r>
      <w:proofErr w:type="spellStart"/>
      <w:r w:rsidR="002872E7" w:rsidRPr="00223D01">
        <w:rPr>
          <w:lang w:val="fr-CH"/>
        </w:rPr>
        <w:t>Åckerblad</w:t>
      </w:r>
      <w:proofErr w:type="spellEnd"/>
      <w:r w:rsidR="002872E7" w:rsidRPr="00223D01">
        <w:rPr>
          <w:lang w:val="fr-CH"/>
        </w:rPr>
        <w:t xml:space="preserve"> </w:t>
      </w:r>
      <w:r w:rsidR="0023616B" w:rsidRPr="00223D01">
        <w:rPr>
          <w:w w:val="103"/>
          <w:lang w:val="fr-CH"/>
        </w:rPr>
        <w:t xml:space="preserve">échouera à analyser le reste de l’inscription </w:t>
      </w:r>
      <w:r w:rsidR="00290E68" w:rsidRPr="00223D01">
        <w:rPr>
          <w:w w:val="103"/>
          <w:lang w:val="fr-CH"/>
        </w:rPr>
        <w:t xml:space="preserve">— faute de soupçonner que les signes démotiques </w:t>
      </w:r>
      <w:r w:rsidR="00FD4776" w:rsidRPr="00223D01">
        <w:rPr>
          <w:w w:val="103"/>
          <w:lang w:val="fr-CH"/>
        </w:rPr>
        <w:t xml:space="preserve">ne notaient </w:t>
      </w:r>
      <w:r w:rsidR="00290E68" w:rsidRPr="00223D01">
        <w:rPr>
          <w:w w:val="103"/>
          <w:lang w:val="fr-CH"/>
        </w:rPr>
        <w:t xml:space="preserve">pas tous des sons et qu’en outre, lorsque c’est le cas, </w:t>
      </w:r>
      <w:r w:rsidR="00923BF7" w:rsidRPr="00223D01">
        <w:rPr>
          <w:w w:val="103"/>
          <w:lang w:val="fr-CH"/>
        </w:rPr>
        <w:t xml:space="preserve">les voyelles </w:t>
      </w:r>
      <w:r w:rsidR="00FD4776" w:rsidRPr="00223D01">
        <w:rPr>
          <w:w w:val="103"/>
          <w:lang w:val="fr-CH"/>
        </w:rPr>
        <w:t>ét</w:t>
      </w:r>
      <w:r w:rsidR="00923BF7" w:rsidRPr="00223D01">
        <w:rPr>
          <w:w w:val="103"/>
          <w:lang w:val="fr-CH"/>
        </w:rPr>
        <w:t>aient en général omises</w:t>
      </w:r>
      <w:r w:rsidR="009B6A73" w:rsidRPr="00223D01">
        <w:rPr>
          <w:w w:val="103"/>
          <w:lang w:val="fr-CH"/>
        </w:rPr>
        <w:t> —</w:t>
      </w:r>
      <w:r w:rsidR="00733B28" w:rsidRPr="00223D01">
        <w:rPr>
          <w:w w:val="103"/>
          <w:lang w:val="fr-CH"/>
        </w:rPr>
        <w:t xml:space="preserve">, il est </w:t>
      </w:r>
      <w:r w:rsidR="008A699F" w:rsidRPr="00223D01">
        <w:rPr>
          <w:w w:val="103"/>
          <w:lang w:val="fr-CH"/>
        </w:rPr>
        <w:t>à sa suite acquis</w:t>
      </w:r>
      <w:r w:rsidR="00733B28" w:rsidRPr="00223D01">
        <w:rPr>
          <w:w w:val="103"/>
          <w:lang w:val="fr-CH"/>
        </w:rPr>
        <w:t xml:space="preserve"> « que l’écriture vu</w:t>
      </w:r>
      <w:r w:rsidR="008B0FA7" w:rsidRPr="00223D01">
        <w:rPr>
          <w:w w:val="103"/>
          <w:lang w:val="fr-CH"/>
        </w:rPr>
        <w:t>l</w:t>
      </w:r>
      <w:r w:rsidR="00733B28" w:rsidRPr="00223D01">
        <w:rPr>
          <w:w w:val="103"/>
          <w:lang w:val="fr-CH"/>
        </w:rPr>
        <w:t xml:space="preserve">gaire des anciens Égyptiens exprimait les noms propres étrangers par le moyen de signes véritablement </w:t>
      </w:r>
      <w:r w:rsidR="00733B28" w:rsidRPr="00223D01">
        <w:rPr>
          <w:i/>
          <w:iCs/>
          <w:w w:val="103"/>
          <w:lang w:val="fr-CH"/>
        </w:rPr>
        <w:t>alphabétiques</w:t>
      </w:r>
      <w:r w:rsidR="00733B28" w:rsidRPr="00223D01">
        <w:rPr>
          <w:w w:val="103"/>
          <w:lang w:val="fr-CH"/>
        </w:rPr>
        <w:t>. » (</w:t>
      </w:r>
      <w:r w:rsidR="00733B28" w:rsidRPr="00223D01">
        <w:rPr>
          <w:i/>
          <w:iCs/>
          <w:w w:val="103"/>
          <w:lang w:val="fr-CH"/>
        </w:rPr>
        <w:t>Discours</w:t>
      </w:r>
      <w:r w:rsidR="00733B28" w:rsidRPr="00223D01">
        <w:rPr>
          <w:w w:val="103"/>
          <w:lang w:val="fr-CH"/>
        </w:rPr>
        <w:t>, p. xv).</w:t>
      </w:r>
      <w:r w:rsidR="008B0FA7" w:rsidRPr="00223D01">
        <w:rPr>
          <w:w w:val="103"/>
          <w:lang w:val="fr-CH"/>
        </w:rPr>
        <w:t xml:space="preserve"> </w:t>
      </w:r>
      <w:r w:rsidR="008B0FA7" w:rsidRPr="00223D01">
        <w:rPr>
          <w:w w:val="103"/>
          <w:lang w:val="fr-CH"/>
        </w:rPr>
        <w:lastRenderedPageBreak/>
        <w:t xml:space="preserve">C’est une avancée essentielle, car l’application de ce principe à l’écriture hiéroglyphique vaudra à Champollion le succès que l’on sait dans </w:t>
      </w:r>
      <w:r w:rsidR="009D04F8" w:rsidRPr="00223D01">
        <w:rPr>
          <w:w w:val="103"/>
          <w:lang w:val="fr-CH"/>
        </w:rPr>
        <w:t>s</w:t>
      </w:r>
      <w:r w:rsidR="008B0FA7" w:rsidRPr="00223D01">
        <w:rPr>
          <w:w w:val="103"/>
          <w:lang w:val="fr-CH"/>
        </w:rPr>
        <w:t xml:space="preserve">a </w:t>
      </w:r>
      <w:r w:rsidR="008B0FA7" w:rsidRPr="00223D01">
        <w:rPr>
          <w:i/>
          <w:iCs/>
          <w:w w:val="103"/>
          <w:lang w:val="fr-CH"/>
        </w:rPr>
        <w:t>Lettre à M. Dacier</w:t>
      </w:r>
      <w:r w:rsidR="007D7F43" w:rsidRPr="00223D01">
        <w:rPr>
          <w:w w:val="103"/>
          <w:lang w:val="fr-CH"/>
        </w:rPr>
        <w:t xml:space="preserve"> (</w:t>
      </w:r>
      <w:r w:rsidR="008D1EEE" w:rsidRPr="00223D01">
        <w:rPr>
          <w:rFonts w:eastAsia="Times New Roman"/>
          <w:bCs/>
          <w:w w:val="103"/>
          <w:szCs w:val="24"/>
          <w:highlight w:val="yellow"/>
          <w:lang w:val="fr-CH"/>
        </w:rPr>
        <w:t xml:space="preserve">cf. </w:t>
      </w:r>
      <w:r w:rsidR="008D1EEE" w:rsidRPr="00223D01">
        <w:rPr>
          <w:rFonts w:eastAsia="Times New Roman"/>
          <w:bCs/>
          <w:i/>
          <w:iCs/>
          <w:w w:val="103"/>
          <w:szCs w:val="24"/>
          <w:highlight w:val="yellow"/>
          <w:lang w:val="fr-CH"/>
        </w:rPr>
        <w:t>infra</w:t>
      </w:r>
      <w:r w:rsidR="008D1EEE" w:rsidRPr="00223D01">
        <w:rPr>
          <w:rFonts w:eastAsia="Times New Roman"/>
          <w:bCs/>
          <w:w w:val="103"/>
          <w:szCs w:val="24"/>
          <w:highlight w:val="yellow"/>
          <w:lang w:val="fr-CH"/>
        </w:rPr>
        <w:t xml:space="preserve">, </w:t>
      </w:r>
      <w:r w:rsidR="007D7F43" w:rsidRPr="00223D01">
        <w:rPr>
          <w:w w:val="103"/>
          <w:highlight w:val="yellow"/>
          <w:lang w:val="fr-CH"/>
        </w:rPr>
        <w:t>9.5</w:t>
      </w:r>
      <w:r w:rsidR="007D7F43" w:rsidRPr="00223D01">
        <w:rPr>
          <w:w w:val="103"/>
          <w:lang w:val="fr-CH"/>
        </w:rPr>
        <w:t>)</w:t>
      </w:r>
      <w:r w:rsidR="008B0FA7" w:rsidRPr="00223D01">
        <w:rPr>
          <w:i/>
          <w:iCs/>
          <w:w w:val="103"/>
          <w:lang w:val="fr-CH"/>
        </w:rPr>
        <w:t>.</w:t>
      </w:r>
      <w:r w:rsidR="00C73923" w:rsidRPr="00223D01">
        <w:rPr>
          <w:w w:val="103"/>
          <w:lang w:val="fr-CH"/>
        </w:rPr>
        <w:t xml:space="preserve"> Il parle d’ailleurs de « notion précieuse qui est en quelque sorte le germe véritable de toutes les découvertes faites depuis sur les écritures égyptiennes. » (</w:t>
      </w:r>
      <w:r w:rsidR="00C73923" w:rsidRPr="00223D01">
        <w:rPr>
          <w:i/>
          <w:iCs/>
          <w:w w:val="103"/>
          <w:lang w:val="fr-CH"/>
        </w:rPr>
        <w:t>Précis</w:t>
      </w:r>
      <w:r w:rsidR="00C73923" w:rsidRPr="00223D01">
        <w:rPr>
          <w:w w:val="103"/>
          <w:lang w:val="fr-CH"/>
        </w:rPr>
        <w:t>, p. 14).</w:t>
      </w:r>
    </w:p>
    <w:p w14:paraId="0940015C" w14:textId="26BDCF55" w:rsidR="00534411" w:rsidRPr="00223D01" w:rsidRDefault="00534411" w:rsidP="00336DA2">
      <w:pPr>
        <w:spacing w:after="120"/>
        <w:ind w:left="284" w:right="561" w:firstLine="0"/>
        <w:rPr>
          <w:spacing w:val="4"/>
          <w:w w:val="103"/>
          <w:sz w:val="20"/>
          <w:lang w:val="fr-CH"/>
        </w:rPr>
      </w:pPr>
      <w:r w:rsidRPr="00223D01">
        <w:rPr>
          <w:spacing w:val="4"/>
          <w:w w:val="103"/>
          <w:sz w:val="20"/>
          <w:highlight w:val="yellow"/>
          <w:lang w:val="fr-CH"/>
        </w:rPr>
        <w:t>Fig. </w:t>
      </w:r>
      <w:r w:rsidR="00CE4E55" w:rsidRPr="00223D01">
        <w:rPr>
          <w:spacing w:val="4"/>
          <w:w w:val="103"/>
          <w:sz w:val="20"/>
          <w:highlight w:val="yellow"/>
          <w:lang w:val="fr-CH"/>
        </w:rPr>
        <w:t>10</w:t>
      </w:r>
      <w:r w:rsidRPr="00223D01">
        <w:rPr>
          <w:spacing w:val="4"/>
          <w:w w:val="103"/>
          <w:sz w:val="20"/>
          <w:highlight w:val="yellow"/>
          <w:lang w:val="fr-CH"/>
        </w:rPr>
        <w:t>.</w:t>
      </w:r>
      <w:r w:rsidRPr="00223D01">
        <w:rPr>
          <w:spacing w:val="4"/>
          <w:w w:val="103"/>
          <w:sz w:val="20"/>
          <w:lang w:val="fr-CH"/>
        </w:rPr>
        <w:t xml:space="preserve"> </w:t>
      </w:r>
      <w:r w:rsidR="004324E7" w:rsidRPr="00223D01">
        <w:rPr>
          <w:spacing w:val="4"/>
          <w:w w:val="103"/>
          <w:sz w:val="20"/>
          <w:lang w:val="fr-CH"/>
        </w:rPr>
        <w:t>‘</w:t>
      </w:r>
      <w:r w:rsidR="00063C11" w:rsidRPr="00223D01">
        <w:rPr>
          <w:spacing w:val="4"/>
          <w:w w:val="103"/>
          <w:sz w:val="20"/>
          <w:lang w:val="fr-CH"/>
        </w:rPr>
        <w:t>A</w:t>
      </w:r>
      <w:r w:rsidR="002846B5" w:rsidRPr="00223D01">
        <w:rPr>
          <w:spacing w:val="4"/>
          <w:w w:val="103"/>
          <w:sz w:val="20"/>
          <w:lang w:val="fr-CH"/>
        </w:rPr>
        <w:t>lphabet égyptien</w:t>
      </w:r>
      <w:r w:rsidR="004324E7" w:rsidRPr="00223D01">
        <w:rPr>
          <w:spacing w:val="4"/>
          <w:w w:val="103"/>
          <w:sz w:val="20"/>
          <w:lang w:val="fr-CH"/>
        </w:rPr>
        <w:t>’</w:t>
      </w:r>
      <w:r w:rsidR="002846B5" w:rsidRPr="00223D01">
        <w:rPr>
          <w:spacing w:val="4"/>
          <w:w w:val="103"/>
          <w:sz w:val="20"/>
          <w:lang w:val="fr-CH"/>
        </w:rPr>
        <w:t xml:space="preserve"> d’</w:t>
      </w:r>
      <w:proofErr w:type="spellStart"/>
      <w:r w:rsidR="002846B5" w:rsidRPr="00223D01">
        <w:rPr>
          <w:sz w:val="20"/>
          <w:lang w:val="fr-CH"/>
        </w:rPr>
        <w:t>Åckerblad</w:t>
      </w:r>
      <w:proofErr w:type="spellEnd"/>
      <w:r w:rsidR="002846B5" w:rsidRPr="00223D01">
        <w:rPr>
          <w:sz w:val="20"/>
          <w:lang w:val="fr-CH"/>
        </w:rPr>
        <w:t xml:space="preserve"> dans un copie personnelle annotée de </w:t>
      </w:r>
      <w:r w:rsidR="009E2BB1" w:rsidRPr="00223D01">
        <w:rPr>
          <w:sz w:val="20"/>
          <w:lang w:val="fr-CH"/>
        </w:rPr>
        <w:t xml:space="preserve">sa main </w:t>
      </w:r>
      <w:r w:rsidRPr="00223D01">
        <w:rPr>
          <w:sz w:val="20"/>
          <w:lang w:val="fr-CH"/>
        </w:rPr>
        <w:t xml:space="preserve">(d’après </w:t>
      </w:r>
      <w:proofErr w:type="spellStart"/>
      <w:r w:rsidRPr="00223D01">
        <w:rPr>
          <w:sz w:val="20"/>
          <w:lang w:val="fr-CH"/>
        </w:rPr>
        <w:t>Thomasson</w:t>
      </w:r>
      <w:proofErr w:type="spellEnd"/>
      <w:r w:rsidRPr="00223D01">
        <w:rPr>
          <w:sz w:val="20"/>
          <w:lang w:val="fr-CH"/>
        </w:rPr>
        <w:t xml:space="preserve"> 2013 : pl. 26, fig. 49)</w:t>
      </w:r>
      <w:r w:rsidR="00640726" w:rsidRPr="00223D01">
        <w:rPr>
          <w:rStyle w:val="Appelnotedebasdep"/>
          <w:sz w:val="20"/>
          <w:lang w:val="fr-CH"/>
        </w:rPr>
        <w:footnoteReference w:id="26"/>
      </w:r>
      <w:r w:rsidRPr="00223D01">
        <w:rPr>
          <w:sz w:val="20"/>
          <w:lang w:val="fr-CH"/>
        </w:rPr>
        <w:t>.</w:t>
      </w:r>
      <w:r w:rsidR="00214074" w:rsidRPr="00223D01">
        <w:rPr>
          <w:sz w:val="20"/>
          <w:lang w:val="fr-CH"/>
        </w:rPr>
        <w:t xml:space="preserve"> </w:t>
      </w:r>
    </w:p>
    <w:p w14:paraId="60189EA5" w14:textId="1A55CAE1" w:rsidR="00B80650" w:rsidRPr="00223D01" w:rsidRDefault="004C6AAB" w:rsidP="002D25A6">
      <w:pPr>
        <w:rPr>
          <w:lang w:val="fr-CH"/>
        </w:rPr>
      </w:pPr>
      <w:r w:rsidRPr="00223D01">
        <w:rPr>
          <w:w w:val="103"/>
          <w:lang w:val="fr-CH"/>
        </w:rPr>
        <w:t>La correspondance en</w:t>
      </w:r>
      <w:r w:rsidR="003000E0" w:rsidRPr="00223D01">
        <w:rPr>
          <w:w w:val="103"/>
          <w:lang w:val="fr-CH"/>
        </w:rPr>
        <w:t>tre</w:t>
      </w:r>
      <w:r w:rsidRPr="00223D01">
        <w:rPr>
          <w:w w:val="103"/>
          <w:lang w:val="fr-CH"/>
        </w:rPr>
        <w:t xml:space="preserve"> Champollion et son frère aîné</w:t>
      </w:r>
      <w:r w:rsidR="00D12F3C" w:rsidRPr="00223D01">
        <w:rPr>
          <w:w w:val="103"/>
          <w:lang w:val="fr-CH"/>
        </w:rPr>
        <w:t>,</w:t>
      </w:r>
      <w:r w:rsidRPr="00223D01">
        <w:rPr>
          <w:w w:val="103"/>
          <w:lang w:val="fr-CH"/>
        </w:rPr>
        <w:t xml:space="preserve"> Jacques-Joseph, nous renseigne sur </w:t>
      </w:r>
      <w:r w:rsidR="008F2B18" w:rsidRPr="00223D01">
        <w:rPr>
          <w:w w:val="103"/>
          <w:lang w:val="fr-CH"/>
        </w:rPr>
        <w:t>la place</w:t>
      </w:r>
      <w:r w:rsidRPr="00223D01">
        <w:rPr>
          <w:w w:val="103"/>
          <w:lang w:val="fr-CH"/>
        </w:rPr>
        <w:t xml:space="preserve"> central</w:t>
      </w:r>
      <w:r w:rsidR="008F2B18" w:rsidRPr="00223D01">
        <w:rPr>
          <w:w w:val="103"/>
          <w:lang w:val="fr-CH"/>
        </w:rPr>
        <w:t>e</w:t>
      </w:r>
      <w:r w:rsidRPr="00223D01">
        <w:rPr>
          <w:w w:val="103"/>
          <w:lang w:val="fr-CH"/>
        </w:rPr>
        <w:t xml:space="preserve"> qu’on</w:t>
      </w:r>
      <w:r w:rsidR="00D24B35" w:rsidRPr="00223D01">
        <w:rPr>
          <w:w w:val="103"/>
          <w:lang w:val="fr-CH"/>
        </w:rPr>
        <w:t>t</w:t>
      </w:r>
      <w:r w:rsidRPr="00223D01">
        <w:rPr>
          <w:w w:val="103"/>
          <w:lang w:val="fr-CH"/>
        </w:rPr>
        <w:t xml:space="preserve"> très tôt eu les essais de Silvestre de </w:t>
      </w:r>
      <w:proofErr w:type="spellStart"/>
      <w:r w:rsidRPr="00223D01">
        <w:rPr>
          <w:w w:val="103"/>
          <w:lang w:val="fr-CH"/>
        </w:rPr>
        <w:t>Sacy</w:t>
      </w:r>
      <w:proofErr w:type="spellEnd"/>
      <w:r w:rsidRPr="00223D01">
        <w:rPr>
          <w:w w:val="103"/>
          <w:lang w:val="fr-CH"/>
        </w:rPr>
        <w:t xml:space="preserve"> et de </w:t>
      </w:r>
      <w:r w:rsidR="0093652C" w:rsidRPr="00223D01">
        <w:rPr>
          <w:lang w:val="fr-CH"/>
        </w:rPr>
        <w:t xml:space="preserve">Johan David </w:t>
      </w:r>
      <w:proofErr w:type="spellStart"/>
      <w:r w:rsidR="0093652C" w:rsidRPr="00223D01">
        <w:rPr>
          <w:lang w:val="fr-CH"/>
        </w:rPr>
        <w:t>Åckerblad</w:t>
      </w:r>
      <w:proofErr w:type="spellEnd"/>
      <w:r w:rsidR="006E6895" w:rsidRPr="00223D01">
        <w:rPr>
          <w:lang w:val="fr-CH"/>
        </w:rPr>
        <w:t xml:space="preserve"> dans les travaux de Champollion</w:t>
      </w:r>
      <w:r w:rsidR="00ED518A" w:rsidRPr="00223D01">
        <w:rPr>
          <w:rStyle w:val="Appelnotedebasdep"/>
          <w:lang w:val="fr-CH"/>
        </w:rPr>
        <w:footnoteReference w:id="27"/>
      </w:r>
      <w:r w:rsidR="006E6895" w:rsidRPr="00223D01">
        <w:rPr>
          <w:lang w:val="fr-CH"/>
        </w:rPr>
        <w:t xml:space="preserve">. Jouant son rôle </w:t>
      </w:r>
      <w:r w:rsidR="002314B8" w:rsidRPr="00223D01">
        <w:rPr>
          <w:lang w:val="fr-CH"/>
        </w:rPr>
        <w:t>coutumier de conseil</w:t>
      </w:r>
      <w:r w:rsidR="00594E24" w:rsidRPr="00223D01">
        <w:rPr>
          <w:lang w:val="fr-CH"/>
        </w:rPr>
        <w:t xml:space="preserve"> et</w:t>
      </w:r>
      <w:r w:rsidR="002314B8" w:rsidRPr="00223D01">
        <w:rPr>
          <w:lang w:val="fr-CH"/>
        </w:rPr>
        <w:t xml:space="preserve"> critique</w:t>
      </w:r>
      <w:r w:rsidR="00594E24" w:rsidRPr="00223D01">
        <w:rPr>
          <w:lang w:val="fr-CH"/>
        </w:rPr>
        <w:t xml:space="preserve">, Jacques-Joseph Champollion-Figeac — à qui </w:t>
      </w:r>
      <w:r w:rsidR="005D33CE" w:rsidRPr="00223D01">
        <w:rPr>
          <w:lang w:val="fr-CH"/>
        </w:rPr>
        <w:t xml:space="preserve">Jean-François </w:t>
      </w:r>
      <w:r w:rsidR="00594E24" w:rsidRPr="00223D01">
        <w:rPr>
          <w:lang w:val="fr-CH"/>
        </w:rPr>
        <w:t>annonçait des avancées significative</w:t>
      </w:r>
      <w:r w:rsidR="006F64D5" w:rsidRPr="00223D01">
        <w:rPr>
          <w:lang w:val="fr-CH"/>
        </w:rPr>
        <w:t>s</w:t>
      </w:r>
      <w:r w:rsidR="00594E24" w:rsidRPr="00223D01">
        <w:rPr>
          <w:lang w:val="fr-CH"/>
        </w:rPr>
        <w:t xml:space="preserve"> dans la lecture de textes démotiques dans une lettre du 15 août 1808</w:t>
      </w:r>
      <w:r w:rsidR="006F64D5" w:rsidRPr="00223D01">
        <w:rPr>
          <w:lang w:val="fr-CH"/>
        </w:rPr>
        <w:t> —</w:t>
      </w:r>
      <w:r w:rsidR="00F47B25" w:rsidRPr="00223D01">
        <w:rPr>
          <w:lang w:val="fr-CH"/>
        </w:rPr>
        <w:t xml:space="preserve"> répond</w:t>
      </w:r>
      <w:r w:rsidR="004E7DD6" w:rsidRPr="00223D01">
        <w:rPr>
          <w:lang w:val="fr-CH"/>
        </w:rPr>
        <w:t xml:space="preserve"> à son jeune frère</w:t>
      </w:r>
      <w:r w:rsidR="007A4B30" w:rsidRPr="00223D01">
        <w:rPr>
          <w:lang w:val="fr-CH"/>
        </w:rPr>
        <w:t xml:space="preserve"> </w:t>
      </w:r>
      <w:r w:rsidR="00AE48FB" w:rsidRPr="00223D01">
        <w:rPr>
          <w:lang w:val="fr-CH"/>
        </w:rPr>
        <w:t>dans une lettre datée du</w:t>
      </w:r>
      <w:r w:rsidR="007A4B30" w:rsidRPr="00223D01">
        <w:rPr>
          <w:lang w:val="fr-CH"/>
        </w:rPr>
        <w:t xml:space="preserve"> 28 août</w:t>
      </w:r>
      <w:r w:rsidR="00F47B25" w:rsidRPr="00223D01">
        <w:rPr>
          <w:lang w:val="fr-CH"/>
        </w:rPr>
        <w:t> : « Je présume que la lettre de M. </w:t>
      </w:r>
      <w:proofErr w:type="spellStart"/>
      <w:r w:rsidR="00F47B25" w:rsidRPr="00223D01">
        <w:rPr>
          <w:lang w:val="fr-CH"/>
        </w:rPr>
        <w:t>Akerblad</w:t>
      </w:r>
      <w:proofErr w:type="spellEnd"/>
      <w:r w:rsidR="00F47B25" w:rsidRPr="00223D01">
        <w:rPr>
          <w:lang w:val="fr-CH"/>
        </w:rPr>
        <w:t xml:space="preserve"> t’aura beaucoup servi ; lis </w:t>
      </w:r>
      <w:r w:rsidR="00FC2991" w:rsidRPr="00223D01">
        <w:rPr>
          <w:lang w:val="fr-CH"/>
        </w:rPr>
        <w:t xml:space="preserve">aussi celle de M. de </w:t>
      </w:r>
      <w:proofErr w:type="spellStart"/>
      <w:r w:rsidR="00FC2991" w:rsidRPr="00223D01">
        <w:rPr>
          <w:lang w:val="fr-CH"/>
        </w:rPr>
        <w:t>Sacy</w:t>
      </w:r>
      <w:proofErr w:type="spellEnd"/>
      <w:r w:rsidR="00FC2991" w:rsidRPr="00223D01">
        <w:rPr>
          <w:lang w:val="fr-CH"/>
        </w:rPr>
        <w:t>. L’une et l’autre contiennent des détails intéressants sur le</w:t>
      </w:r>
      <w:r w:rsidR="00432A2D" w:rsidRPr="00223D01">
        <w:rPr>
          <w:lang w:val="fr-CH"/>
        </w:rPr>
        <w:t>s</w:t>
      </w:r>
      <w:r w:rsidR="00FC2991" w:rsidRPr="00223D01">
        <w:rPr>
          <w:lang w:val="fr-CH"/>
        </w:rPr>
        <w:t xml:space="preserve"> divers genres d’écriture que Clément d’Alexandrie di</w:t>
      </w:r>
      <w:r w:rsidR="004E7DD6" w:rsidRPr="00223D01">
        <w:rPr>
          <w:lang w:val="fr-CH"/>
        </w:rPr>
        <w:t>t</w:t>
      </w:r>
      <w:r w:rsidR="00FC2991" w:rsidRPr="00223D01">
        <w:rPr>
          <w:lang w:val="fr-CH"/>
        </w:rPr>
        <w:t xml:space="preserve"> avoir existé en Égypte, telle l’</w:t>
      </w:r>
      <w:proofErr w:type="spellStart"/>
      <w:r w:rsidR="00FC2991" w:rsidRPr="00223D01">
        <w:rPr>
          <w:lang w:val="fr-CH"/>
        </w:rPr>
        <w:t>épistolographique</w:t>
      </w:r>
      <w:proofErr w:type="spellEnd"/>
      <w:r w:rsidR="00FC2991" w:rsidRPr="00223D01">
        <w:rPr>
          <w:lang w:val="fr-CH"/>
        </w:rPr>
        <w:t xml:space="preserve">. La </w:t>
      </w:r>
      <w:r w:rsidR="004E7DD6" w:rsidRPr="00223D01">
        <w:rPr>
          <w:lang w:val="fr-CH"/>
        </w:rPr>
        <w:t>dernière ligne de l’inscription de Rosette indique le genre d’écriture cursive dont on s’est servi ; vois-en donc une indication qualifiante incontestable et tous les p</w:t>
      </w:r>
      <w:r w:rsidR="007F1431" w:rsidRPr="00223D01">
        <w:rPr>
          <w:lang w:val="fr-CH"/>
        </w:rPr>
        <w:t>a</w:t>
      </w:r>
      <w:r w:rsidR="004E7DD6" w:rsidRPr="00223D01">
        <w:rPr>
          <w:lang w:val="fr-CH"/>
        </w:rPr>
        <w:t>pyrus qui se lisent à l’aide de l’alphabet de l’inscription de Rosette sont dès lors écrits avec la même liste de caractères que ce monument</w:t>
      </w:r>
      <w:r w:rsidR="007F1431" w:rsidRPr="00223D01">
        <w:rPr>
          <w:lang w:val="fr-CH"/>
        </w:rPr>
        <w:t>.</w:t>
      </w:r>
      <w:r w:rsidR="004E7DD6" w:rsidRPr="00223D01">
        <w:rPr>
          <w:lang w:val="fr-CH"/>
        </w:rPr>
        <w:t xml:space="preserve"> Vois-en d’abord un principe. Mais il faut que tu cherches à connaître tout ce qu</w:t>
      </w:r>
      <w:r w:rsidR="00A803B6" w:rsidRPr="00223D01">
        <w:rPr>
          <w:lang w:val="fr-CH"/>
        </w:rPr>
        <w:t>’</w:t>
      </w:r>
      <w:r w:rsidR="004E7DD6" w:rsidRPr="00223D01">
        <w:rPr>
          <w:lang w:val="fr-CH"/>
        </w:rPr>
        <w:t xml:space="preserve">on a écrit sur cela, bon et mauvais, et recourir toujours aux originaux, parce qu’en fait de citations chaque auteur prend un passage dans le sens qui est le plus adapté </w:t>
      </w:r>
      <w:r w:rsidR="007A4B30" w:rsidRPr="00223D01">
        <w:rPr>
          <w:lang w:val="fr-CH"/>
        </w:rPr>
        <w:t>à son opinion, souvent ce passage est tronqué, et en recourant à l’original on trouve dans l’ensemble tout autre chose que dans la citation partielle. » (</w:t>
      </w:r>
      <w:r w:rsidR="00BF234D" w:rsidRPr="00223D01">
        <w:rPr>
          <w:lang w:val="fr-CH"/>
        </w:rPr>
        <w:t>Archives de l’Isère, 185 J 2, pièce 123, folios 229 et 230).</w:t>
      </w:r>
    </w:p>
    <w:p w14:paraId="2036599D" w14:textId="2583ACAB" w:rsidR="00B80650" w:rsidRPr="00223D01" w:rsidRDefault="00631E25" w:rsidP="00624A8A">
      <w:pPr>
        <w:spacing w:after="120"/>
        <w:ind w:left="284" w:right="561" w:firstLine="0"/>
        <w:rPr>
          <w:sz w:val="20"/>
          <w:lang w:val="fr-CH"/>
        </w:rPr>
      </w:pPr>
      <w:r w:rsidRPr="00223D01">
        <w:rPr>
          <w:sz w:val="20"/>
          <w:highlight w:val="yellow"/>
          <w:lang w:val="fr-CH"/>
        </w:rPr>
        <w:t>Fig. </w:t>
      </w:r>
      <w:r w:rsidR="00D402CA" w:rsidRPr="00223D01">
        <w:rPr>
          <w:sz w:val="20"/>
          <w:highlight w:val="yellow"/>
          <w:lang w:val="fr-CH"/>
        </w:rPr>
        <w:t>11</w:t>
      </w:r>
      <w:r w:rsidR="00B80650" w:rsidRPr="00223D01">
        <w:rPr>
          <w:sz w:val="20"/>
          <w:highlight w:val="yellow"/>
          <w:lang w:val="fr-CH"/>
        </w:rPr>
        <w:t>.</w:t>
      </w:r>
      <w:r w:rsidR="00B80650" w:rsidRPr="00223D01">
        <w:rPr>
          <w:sz w:val="20"/>
          <w:lang w:val="fr-CH"/>
        </w:rPr>
        <w:t> </w:t>
      </w:r>
      <w:r w:rsidR="00B80650" w:rsidRPr="00223D01">
        <w:rPr>
          <w:spacing w:val="4"/>
          <w:w w:val="103"/>
          <w:sz w:val="20"/>
          <w:lang w:val="fr-CH"/>
        </w:rPr>
        <w:t>Groupes de signes hiéroglyphiques et démotiques accompagnés de leur traduction anglaise et copte dans l’article « </w:t>
      </w:r>
      <w:proofErr w:type="spellStart"/>
      <w:r w:rsidR="00B80650" w:rsidRPr="00223D01">
        <w:rPr>
          <w:i/>
          <w:iCs/>
          <w:spacing w:val="4"/>
          <w:w w:val="103"/>
          <w:sz w:val="20"/>
          <w:lang w:val="fr-CH"/>
        </w:rPr>
        <w:t>Egypt</w:t>
      </w:r>
      <w:proofErr w:type="spellEnd"/>
      <w:r w:rsidR="00B80650" w:rsidRPr="00223D01">
        <w:rPr>
          <w:spacing w:val="4"/>
          <w:w w:val="103"/>
          <w:sz w:val="20"/>
          <w:lang w:val="fr-CH"/>
        </w:rPr>
        <w:t> » de Thomas Young (planche 77)</w:t>
      </w:r>
      <w:r w:rsidRPr="00223D01">
        <w:rPr>
          <w:rStyle w:val="Appelnotedebasdep"/>
          <w:spacing w:val="4"/>
          <w:w w:val="103"/>
          <w:sz w:val="20"/>
          <w:lang w:val="fr-CH"/>
        </w:rPr>
        <w:footnoteReference w:id="28"/>
      </w:r>
      <w:r w:rsidR="00B80650" w:rsidRPr="00223D01">
        <w:rPr>
          <w:spacing w:val="4"/>
          <w:w w:val="103"/>
          <w:sz w:val="20"/>
          <w:lang w:val="fr-CH"/>
        </w:rPr>
        <w:t>.</w:t>
      </w:r>
    </w:p>
    <w:p w14:paraId="58BF698A" w14:textId="28773F54" w:rsidR="00C73923" w:rsidRPr="00223D01" w:rsidRDefault="003E380F" w:rsidP="004B0026">
      <w:pPr>
        <w:rPr>
          <w:w w:val="103"/>
          <w:lang w:val="fr-CH"/>
        </w:rPr>
      </w:pPr>
      <w:r w:rsidRPr="00223D01">
        <w:rPr>
          <w:w w:val="103"/>
          <w:lang w:val="fr-CH"/>
        </w:rPr>
        <w:t>À la suite de ces deux lettres, « [p]</w:t>
      </w:r>
      <w:proofErr w:type="spellStart"/>
      <w:r w:rsidRPr="00223D01">
        <w:rPr>
          <w:w w:val="103"/>
          <w:lang w:val="fr-CH"/>
        </w:rPr>
        <w:t>endan</w:t>
      </w:r>
      <w:r w:rsidR="006E5E22" w:rsidRPr="00223D01">
        <w:rPr>
          <w:w w:val="103"/>
          <w:lang w:val="fr-CH"/>
        </w:rPr>
        <w:t>t</w:t>
      </w:r>
      <w:proofErr w:type="spellEnd"/>
      <w:r w:rsidRPr="00223D01">
        <w:rPr>
          <w:w w:val="103"/>
          <w:lang w:val="fr-CH"/>
        </w:rPr>
        <w:t xml:space="preserve"> plusieurs années, on ne vit paraître aucun ouvrage qui fît faire un pas de plus, soit sur le texte intermédiaire de Rosette, soit sur les hiéroglyphes en général. » (</w:t>
      </w:r>
      <w:r w:rsidRPr="00223D01">
        <w:rPr>
          <w:i/>
          <w:iCs/>
          <w:w w:val="103"/>
          <w:lang w:val="fr-CH"/>
        </w:rPr>
        <w:t>Précis</w:t>
      </w:r>
      <w:r w:rsidRPr="00223D01">
        <w:rPr>
          <w:w w:val="103"/>
          <w:lang w:val="fr-CH"/>
        </w:rPr>
        <w:t>, p. 15).</w:t>
      </w:r>
      <w:r w:rsidR="006E5E22" w:rsidRPr="00223D01">
        <w:rPr>
          <w:w w:val="103"/>
          <w:lang w:val="fr-CH"/>
        </w:rPr>
        <w:t xml:space="preserve"> </w:t>
      </w:r>
      <w:r w:rsidR="00192745">
        <w:rPr>
          <w:w w:val="103"/>
          <w:lang w:val="fr-CH"/>
        </w:rPr>
        <w:t>C’est alors que</w:t>
      </w:r>
      <w:r w:rsidR="0021333D" w:rsidRPr="00223D01">
        <w:rPr>
          <w:w w:val="103"/>
          <w:lang w:val="fr-CH"/>
        </w:rPr>
        <w:t xml:space="preserve"> l’auteur de l’article « </w:t>
      </w:r>
      <w:proofErr w:type="spellStart"/>
      <w:r w:rsidR="0021333D" w:rsidRPr="00223D01">
        <w:rPr>
          <w:i/>
          <w:iCs/>
          <w:w w:val="103"/>
          <w:lang w:val="fr-CH"/>
        </w:rPr>
        <w:t>Egypt</w:t>
      </w:r>
      <w:proofErr w:type="spellEnd"/>
      <w:r w:rsidR="0021333D" w:rsidRPr="00223D01">
        <w:rPr>
          <w:w w:val="103"/>
          <w:lang w:val="fr-CH"/>
        </w:rPr>
        <w:t> » dans le supplément aux quatrième et cinquième édition</w:t>
      </w:r>
      <w:r w:rsidR="00631E25" w:rsidRPr="00223D01">
        <w:rPr>
          <w:w w:val="103"/>
          <w:lang w:val="fr-CH"/>
        </w:rPr>
        <w:t>s</w:t>
      </w:r>
      <w:r w:rsidR="0021333D" w:rsidRPr="00223D01">
        <w:rPr>
          <w:w w:val="103"/>
          <w:lang w:val="fr-CH"/>
        </w:rPr>
        <w:t xml:space="preserve"> de </w:t>
      </w:r>
      <w:proofErr w:type="spellStart"/>
      <w:r w:rsidR="0021333D" w:rsidRPr="00223D01">
        <w:rPr>
          <w:w w:val="103"/>
          <w:lang w:val="fr-CH"/>
        </w:rPr>
        <w:t>l’</w:t>
      </w:r>
      <w:r w:rsidR="0021333D" w:rsidRPr="00223D01">
        <w:rPr>
          <w:i/>
          <w:iCs/>
          <w:w w:val="103"/>
          <w:lang w:val="fr-CH"/>
        </w:rPr>
        <w:t>Encyclop</w:t>
      </w:r>
      <w:r w:rsidR="0095154F" w:rsidRPr="00223D01">
        <w:rPr>
          <w:i/>
          <w:iCs/>
          <w:w w:val="103"/>
          <w:lang w:val="fr-CH"/>
        </w:rPr>
        <w:t>æ</w:t>
      </w:r>
      <w:r w:rsidR="0021333D" w:rsidRPr="00223D01">
        <w:rPr>
          <w:i/>
          <w:iCs/>
          <w:w w:val="103"/>
          <w:lang w:val="fr-CH"/>
        </w:rPr>
        <w:t>dia</w:t>
      </w:r>
      <w:proofErr w:type="spellEnd"/>
      <w:r w:rsidR="0021333D" w:rsidRPr="00223D01">
        <w:rPr>
          <w:i/>
          <w:iCs/>
          <w:w w:val="103"/>
          <w:lang w:val="fr-CH"/>
        </w:rPr>
        <w:t xml:space="preserve"> </w:t>
      </w:r>
      <w:proofErr w:type="spellStart"/>
      <w:r w:rsidR="0095154F" w:rsidRPr="00223D01">
        <w:rPr>
          <w:i/>
          <w:iCs/>
          <w:w w:val="103"/>
          <w:lang w:val="fr-CH"/>
        </w:rPr>
        <w:t>britanica</w:t>
      </w:r>
      <w:proofErr w:type="spellEnd"/>
      <w:r w:rsidR="00C5070A" w:rsidRPr="00223D01">
        <w:rPr>
          <w:w w:val="103"/>
          <w:lang w:val="fr-CH"/>
        </w:rPr>
        <w:t>, Thomas Young</w:t>
      </w:r>
      <w:r w:rsidR="00631E25" w:rsidRPr="00223D01">
        <w:rPr>
          <w:rStyle w:val="Appelnotedebasdep"/>
          <w:lang w:val="fr-CH"/>
        </w:rPr>
        <w:footnoteReference w:id="29"/>
      </w:r>
      <w:r w:rsidR="00C5070A" w:rsidRPr="00223D01">
        <w:rPr>
          <w:w w:val="103"/>
          <w:lang w:val="fr-CH"/>
        </w:rPr>
        <w:t xml:space="preserve">, « rendit public, en 1819, l’exposé d’un système tout nouveau sur les écritures égyptiennes en général, et il l’accompagna de </w:t>
      </w:r>
      <w:r w:rsidR="0014254A" w:rsidRPr="00223D01">
        <w:rPr>
          <w:w w:val="103"/>
          <w:lang w:val="fr-CH"/>
        </w:rPr>
        <w:t xml:space="preserve">planches </w:t>
      </w:r>
      <w:r w:rsidR="00705F41" w:rsidRPr="00223D01">
        <w:rPr>
          <w:w w:val="103"/>
          <w:lang w:val="fr-CH"/>
        </w:rPr>
        <w:t>[</w:t>
      </w:r>
      <w:r w:rsidR="00705F41" w:rsidRPr="00223D01">
        <w:rPr>
          <w:w w:val="103"/>
          <w:highlight w:val="yellow"/>
          <w:lang w:val="fr-CH"/>
        </w:rPr>
        <w:t>Fig. </w:t>
      </w:r>
      <w:r w:rsidR="00D402CA" w:rsidRPr="00223D01">
        <w:rPr>
          <w:w w:val="103"/>
          <w:highlight w:val="yellow"/>
          <w:lang w:val="fr-CH"/>
        </w:rPr>
        <w:t>11</w:t>
      </w:r>
      <w:r w:rsidR="00705F41" w:rsidRPr="00223D01">
        <w:rPr>
          <w:w w:val="103"/>
          <w:lang w:val="fr-CH"/>
        </w:rPr>
        <w:t xml:space="preserve">] </w:t>
      </w:r>
      <w:r w:rsidR="0014254A" w:rsidRPr="00223D01">
        <w:rPr>
          <w:w w:val="103"/>
          <w:lang w:val="fr-CH"/>
        </w:rPr>
        <w:t xml:space="preserve">contenant la série des caractères et des groupes en hiéroglyphes ou en écriture </w:t>
      </w:r>
      <w:proofErr w:type="spellStart"/>
      <w:r w:rsidR="0014254A" w:rsidRPr="00223D01">
        <w:rPr>
          <w:i/>
          <w:iCs/>
          <w:w w:val="103"/>
          <w:lang w:val="fr-CH"/>
        </w:rPr>
        <w:t>enchoriale</w:t>
      </w:r>
      <w:proofErr w:type="spellEnd"/>
      <w:r w:rsidR="0014254A" w:rsidRPr="00223D01">
        <w:rPr>
          <w:w w:val="103"/>
          <w:lang w:val="fr-CH"/>
        </w:rPr>
        <w:t xml:space="preserve"> (du pays) [c’est-à-dire démotique] sur lesquels il l’avait fondé » (</w:t>
      </w:r>
      <w:r w:rsidR="0014254A" w:rsidRPr="00223D01">
        <w:rPr>
          <w:i/>
          <w:iCs/>
          <w:w w:val="103"/>
          <w:lang w:val="fr-CH"/>
        </w:rPr>
        <w:t>Précis</w:t>
      </w:r>
      <w:r w:rsidR="0014254A" w:rsidRPr="00223D01">
        <w:rPr>
          <w:w w:val="103"/>
          <w:lang w:val="fr-CH"/>
        </w:rPr>
        <w:t>, p</w:t>
      </w:r>
      <w:r w:rsidR="00CE3C1B">
        <w:rPr>
          <w:w w:val="103"/>
          <w:lang w:val="fr-CH"/>
        </w:rPr>
        <w:t>p</w:t>
      </w:r>
      <w:r w:rsidR="0014254A" w:rsidRPr="00223D01">
        <w:rPr>
          <w:w w:val="103"/>
          <w:lang w:val="fr-CH"/>
        </w:rPr>
        <w:t>. 15–16).</w:t>
      </w:r>
    </w:p>
    <w:p w14:paraId="3E1FDD65" w14:textId="5BC31D84" w:rsidR="006D0F43" w:rsidRPr="00223D01" w:rsidRDefault="000349AA" w:rsidP="004B0026">
      <w:pPr>
        <w:rPr>
          <w:w w:val="103"/>
          <w:lang w:val="fr-CH"/>
        </w:rPr>
      </w:pPr>
      <w:r w:rsidRPr="00223D01">
        <w:rPr>
          <w:w w:val="103"/>
          <w:lang w:val="fr-CH"/>
        </w:rPr>
        <w:t>Thomas Young</w:t>
      </w:r>
      <w:r w:rsidR="00850FE1" w:rsidRPr="00223D01">
        <w:rPr>
          <w:w w:val="103"/>
          <w:lang w:val="fr-CH"/>
        </w:rPr>
        <w:t xml:space="preserve"> est</w:t>
      </w:r>
      <w:r w:rsidRPr="00223D01">
        <w:rPr>
          <w:w w:val="103"/>
          <w:lang w:val="fr-CH"/>
        </w:rPr>
        <w:t xml:space="preserve"> l’un des derniers grands polymathes : médecin de profession, il a contribué à l’étude scientifique de champs aussi divers que la physique, la linguistique et la </w:t>
      </w:r>
      <w:r w:rsidRPr="00223D01">
        <w:rPr>
          <w:w w:val="103"/>
          <w:lang w:val="fr-CH"/>
        </w:rPr>
        <w:lastRenderedPageBreak/>
        <w:t xml:space="preserve">musique. </w:t>
      </w:r>
      <w:r w:rsidR="006D0F43" w:rsidRPr="00223D01">
        <w:rPr>
          <w:w w:val="103"/>
          <w:lang w:val="fr-CH"/>
        </w:rPr>
        <w:t xml:space="preserve">Pour </w:t>
      </w:r>
      <w:r w:rsidR="00E6640C" w:rsidRPr="00223D01">
        <w:rPr>
          <w:w w:val="103"/>
          <w:lang w:val="fr-CH"/>
        </w:rPr>
        <w:t>lui</w:t>
      </w:r>
      <w:r w:rsidR="006D0F43" w:rsidRPr="00223D01">
        <w:rPr>
          <w:w w:val="103"/>
          <w:lang w:val="fr-CH"/>
        </w:rPr>
        <w:t>, le déchiffrement est avant tout un défi intellectuel et un exercice de rationalité. Ayant procédé à une analyse critique des travaux antérieurs — comme l’« alpha</w:t>
      </w:r>
      <w:r w:rsidR="00A212AB">
        <w:rPr>
          <w:w w:val="103"/>
          <w:lang w:val="fr-CH"/>
        </w:rPr>
        <w:softHyphen/>
      </w:r>
      <w:r w:rsidR="006D0F43" w:rsidRPr="00223D01">
        <w:rPr>
          <w:w w:val="103"/>
          <w:lang w:val="fr-CH"/>
        </w:rPr>
        <w:t>bet</w:t>
      </w:r>
      <w:r w:rsidR="003A4887" w:rsidRPr="00223D01">
        <w:rPr>
          <w:w w:val="103"/>
          <w:lang w:val="fr-CH"/>
        </w:rPr>
        <w:t xml:space="preserve"> égyptien</w:t>
      </w:r>
      <w:r w:rsidR="006D0F43" w:rsidRPr="00223D01">
        <w:rPr>
          <w:w w:val="103"/>
          <w:lang w:val="fr-CH"/>
        </w:rPr>
        <w:t> » d</w:t>
      </w:r>
      <w:r w:rsidR="003A4887" w:rsidRPr="00223D01">
        <w:rPr>
          <w:w w:val="103"/>
          <w:lang w:val="fr-CH"/>
        </w:rPr>
        <w:t>’</w:t>
      </w:r>
      <w:proofErr w:type="spellStart"/>
      <w:r w:rsidR="006D0F43" w:rsidRPr="00223D01">
        <w:rPr>
          <w:w w:val="103"/>
          <w:lang w:val="fr-CH"/>
        </w:rPr>
        <w:t>Åkerblad</w:t>
      </w:r>
      <w:proofErr w:type="spellEnd"/>
      <w:r w:rsidR="00E167B6" w:rsidRPr="00223D01">
        <w:rPr>
          <w:w w:val="103"/>
          <w:lang w:val="fr-CH"/>
        </w:rPr>
        <w:t xml:space="preserve"> présenté ci</w:t>
      </w:r>
      <w:r w:rsidR="00580914" w:rsidRPr="00223D01">
        <w:rPr>
          <w:w w:val="103"/>
          <w:lang w:val="fr-CH"/>
        </w:rPr>
        <w:t>-</w:t>
      </w:r>
      <w:r w:rsidR="00E167B6" w:rsidRPr="00223D01">
        <w:rPr>
          <w:w w:val="103"/>
          <w:lang w:val="fr-CH"/>
        </w:rPr>
        <w:t>dessus</w:t>
      </w:r>
      <w:r w:rsidR="003A4887" w:rsidRPr="00223D01">
        <w:rPr>
          <w:w w:val="103"/>
          <w:lang w:val="fr-CH"/>
        </w:rPr>
        <w:t> —</w:t>
      </w:r>
      <w:r w:rsidR="006D0F43" w:rsidRPr="00223D01">
        <w:rPr>
          <w:w w:val="103"/>
          <w:lang w:val="fr-CH"/>
        </w:rPr>
        <w:t xml:space="preserve">, </w:t>
      </w:r>
      <w:r w:rsidR="00E6640C" w:rsidRPr="00223D01">
        <w:rPr>
          <w:w w:val="103"/>
          <w:lang w:val="fr-CH"/>
        </w:rPr>
        <w:t xml:space="preserve">Thomas </w:t>
      </w:r>
      <w:r w:rsidR="006D0F43" w:rsidRPr="00223D01">
        <w:rPr>
          <w:w w:val="103"/>
          <w:lang w:val="fr-CH"/>
        </w:rPr>
        <w:t>Young avance avec une prudence et une rigueur toute mathématique</w:t>
      </w:r>
      <w:r w:rsidR="00435F44" w:rsidRPr="00223D01">
        <w:rPr>
          <w:w w:val="103"/>
          <w:lang w:val="fr-CH"/>
        </w:rPr>
        <w:t xml:space="preserve">. Il </w:t>
      </w:r>
      <w:r w:rsidR="001B787E" w:rsidRPr="00223D01">
        <w:rPr>
          <w:w w:val="103"/>
          <w:lang w:val="fr-CH"/>
        </w:rPr>
        <w:t>align</w:t>
      </w:r>
      <w:r w:rsidR="00283175" w:rsidRPr="00223D01">
        <w:rPr>
          <w:w w:val="103"/>
          <w:lang w:val="fr-CH"/>
        </w:rPr>
        <w:t>e</w:t>
      </w:r>
      <w:r w:rsidR="001B787E" w:rsidRPr="00223D01">
        <w:rPr>
          <w:w w:val="103"/>
          <w:lang w:val="fr-CH"/>
        </w:rPr>
        <w:t xml:space="preserve"> </w:t>
      </w:r>
      <w:r w:rsidR="006D0F43" w:rsidRPr="00223D01">
        <w:rPr>
          <w:w w:val="103"/>
          <w:lang w:val="fr-CH"/>
        </w:rPr>
        <w:t>systématiquement les propositions du texte grec avec les portions des textes hiéroglyphique et démotique</w:t>
      </w:r>
      <w:r w:rsidR="00C73323" w:rsidRPr="00223D01">
        <w:rPr>
          <w:rStyle w:val="Appelnotedebasdep"/>
          <w:lang w:val="fr-CH"/>
        </w:rPr>
        <w:footnoteReference w:id="30"/>
      </w:r>
      <w:r w:rsidR="006D0F43" w:rsidRPr="00223D01">
        <w:rPr>
          <w:w w:val="103"/>
          <w:lang w:val="fr-CH"/>
        </w:rPr>
        <w:t xml:space="preserve"> qui pourraient y correspondre</w:t>
      </w:r>
      <w:r w:rsidR="00A16BE8" w:rsidRPr="00223D01">
        <w:rPr>
          <w:w w:val="103"/>
          <w:lang w:val="fr-CH"/>
        </w:rPr>
        <w:t>,</w:t>
      </w:r>
      <w:r w:rsidR="006D0F43" w:rsidRPr="00223D01">
        <w:rPr>
          <w:w w:val="103"/>
          <w:lang w:val="fr-CH"/>
        </w:rPr>
        <w:t xml:space="preserve"> en s’appuyant sur la récurrence de certaines séquences de caractères dans des propositions recourant au même vocabulaire</w:t>
      </w:r>
      <w:r w:rsidR="0096459C" w:rsidRPr="00223D01">
        <w:rPr>
          <w:w w:val="103"/>
          <w:lang w:val="fr-CH"/>
        </w:rPr>
        <w:t xml:space="preserve"> (voir </w:t>
      </w:r>
      <w:r w:rsidR="002B1CD5" w:rsidRPr="00223D01">
        <w:rPr>
          <w:w w:val="103"/>
          <w:lang w:val="fr-CH"/>
        </w:rPr>
        <w:t>Fig. </w:t>
      </w:r>
      <w:r w:rsidR="008F0364" w:rsidRPr="00223D01">
        <w:rPr>
          <w:w w:val="103"/>
          <w:lang w:val="fr-CH"/>
        </w:rPr>
        <w:t>7 pour un exemple de la même méthode de la main de Champollion).</w:t>
      </w:r>
      <w:r w:rsidR="00DC1EF5" w:rsidRPr="00223D01">
        <w:rPr>
          <w:w w:val="103"/>
          <w:lang w:val="fr-CH"/>
        </w:rPr>
        <w:t xml:space="preserve"> Il est l’auteur d’avancées jusqu’alors inégalées</w:t>
      </w:r>
      <w:r w:rsidR="00295C26" w:rsidRPr="00223D01">
        <w:rPr>
          <w:w w:val="103"/>
          <w:lang w:val="fr-CH"/>
        </w:rPr>
        <w:t>, « résultat d’un rappro</w:t>
      </w:r>
      <w:r w:rsidR="00441310">
        <w:rPr>
          <w:w w:val="103"/>
          <w:lang w:val="fr-CH"/>
        </w:rPr>
        <w:softHyphen/>
      </w:r>
      <w:r w:rsidR="00295C26" w:rsidRPr="00223D01">
        <w:rPr>
          <w:w w:val="103"/>
          <w:lang w:val="fr-CH"/>
        </w:rPr>
        <w:t>chement plein de sagacité » (</w:t>
      </w:r>
      <w:r w:rsidR="00295C26" w:rsidRPr="00223D01">
        <w:rPr>
          <w:i/>
          <w:iCs/>
          <w:w w:val="103"/>
          <w:lang w:val="fr-CH"/>
        </w:rPr>
        <w:t>Discours</w:t>
      </w:r>
      <w:r w:rsidR="00295C26" w:rsidRPr="00223D01">
        <w:rPr>
          <w:w w:val="103"/>
          <w:lang w:val="fr-CH"/>
        </w:rPr>
        <w:t>, p. </w:t>
      </w:r>
      <w:proofErr w:type="spellStart"/>
      <w:r w:rsidR="00295C26" w:rsidRPr="00223D01">
        <w:rPr>
          <w:w w:val="103"/>
          <w:lang w:val="fr-CH"/>
        </w:rPr>
        <w:t>xvij</w:t>
      </w:r>
      <w:proofErr w:type="spellEnd"/>
      <w:r w:rsidR="00295C26" w:rsidRPr="00223D01">
        <w:rPr>
          <w:w w:val="103"/>
          <w:lang w:val="fr-CH"/>
        </w:rPr>
        <w:t>)</w:t>
      </w:r>
      <w:r w:rsidR="00DC1EF5" w:rsidRPr="00223D01">
        <w:rPr>
          <w:w w:val="103"/>
          <w:lang w:val="fr-CH"/>
        </w:rPr>
        <w:t xml:space="preserve">, tant sur le plan qualitatif (car elles concernent aussi bien les hiéroglyphes, largement ignorés par de </w:t>
      </w:r>
      <w:proofErr w:type="spellStart"/>
      <w:r w:rsidR="00DC1EF5" w:rsidRPr="00223D01">
        <w:rPr>
          <w:w w:val="103"/>
          <w:lang w:val="fr-CH"/>
        </w:rPr>
        <w:t>Sacy</w:t>
      </w:r>
      <w:proofErr w:type="spellEnd"/>
      <w:r w:rsidR="00DC1EF5" w:rsidRPr="00223D01">
        <w:rPr>
          <w:w w:val="103"/>
          <w:lang w:val="fr-CH"/>
        </w:rPr>
        <w:t xml:space="preserve"> et </w:t>
      </w:r>
      <w:proofErr w:type="spellStart"/>
      <w:r w:rsidR="00DC1EF5" w:rsidRPr="00223D01">
        <w:rPr>
          <w:w w:val="103"/>
          <w:lang w:val="fr-CH"/>
        </w:rPr>
        <w:t>Åkerblad</w:t>
      </w:r>
      <w:proofErr w:type="spellEnd"/>
      <w:r w:rsidR="00DC1EF5" w:rsidRPr="00223D01">
        <w:rPr>
          <w:w w:val="103"/>
          <w:lang w:val="fr-CH"/>
        </w:rPr>
        <w:t xml:space="preserve">, que le démotique) que quantitatif (le nombre de mots dont le sens est </w:t>
      </w:r>
      <w:r w:rsidR="00D01DA6" w:rsidRPr="00223D01">
        <w:rPr>
          <w:w w:val="103"/>
          <w:lang w:val="fr-CH"/>
        </w:rPr>
        <w:t xml:space="preserve">correctement </w:t>
      </w:r>
      <w:r w:rsidR="00DC1EF5" w:rsidRPr="00223D01">
        <w:rPr>
          <w:w w:val="103"/>
          <w:lang w:val="fr-CH"/>
        </w:rPr>
        <w:t>identifié dans les deux écr</w:t>
      </w:r>
      <w:r w:rsidR="009B4104">
        <w:rPr>
          <w:w w:val="103"/>
          <w:lang w:val="fr-CH"/>
        </w:rPr>
        <w:t>i</w:t>
      </w:r>
      <w:r w:rsidR="00DC1EF5" w:rsidRPr="00223D01">
        <w:rPr>
          <w:w w:val="103"/>
          <w:lang w:val="fr-CH"/>
        </w:rPr>
        <w:t xml:space="preserve">tures est </w:t>
      </w:r>
      <w:r w:rsidR="0012428A" w:rsidRPr="00223D01">
        <w:rPr>
          <w:w w:val="103"/>
          <w:lang w:val="fr-CH"/>
        </w:rPr>
        <w:t>à peine croyable pour des écritures qu’il ne lisait pas caractère par caractère).</w:t>
      </w:r>
      <w:r w:rsidR="009B0BE8">
        <w:rPr>
          <w:w w:val="103"/>
          <w:lang w:val="fr-CH"/>
        </w:rPr>
        <w:t xml:space="preserve"> </w:t>
      </w:r>
      <w:r w:rsidR="003019EC">
        <w:rPr>
          <w:w w:val="103"/>
          <w:lang w:val="fr-CH"/>
        </w:rPr>
        <w:t xml:space="preserve">Ses écrits montrent qu’il </w:t>
      </w:r>
      <w:r w:rsidR="009B0BE8">
        <w:rPr>
          <w:w w:val="103"/>
          <w:lang w:val="fr-CH"/>
        </w:rPr>
        <w:t xml:space="preserve">est </w:t>
      </w:r>
      <w:r w:rsidR="00855756">
        <w:rPr>
          <w:w w:val="103"/>
          <w:lang w:val="fr-CH"/>
        </w:rPr>
        <w:t xml:space="preserve">par ailleurs </w:t>
      </w:r>
      <w:r w:rsidR="009B0BE8">
        <w:rPr>
          <w:w w:val="103"/>
          <w:lang w:val="fr-CH"/>
        </w:rPr>
        <w:t>le premier à supputer l’existence d’un système d’écriture mixte, où coexistent des signes idéographiques et</w:t>
      </w:r>
      <w:r w:rsidR="00701422">
        <w:rPr>
          <w:w w:val="103"/>
          <w:lang w:val="fr-CH"/>
        </w:rPr>
        <w:t xml:space="preserve"> phonographi</w:t>
      </w:r>
      <w:r w:rsidR="00A839D2">
        <w:rPr>
          <w:w w:val="103"/>
          <w:lang w:val="fr-CH"/>
        </w:rPr>
        <w:t>qu</w:t>
      </w:r>
      <w:r w:rsidR="00701422">
        <w:rPr>
          <w:w w:val="103"/>
          <w:lang w:val="fr-CH"/>
        </w:rPr>
        <w:t>e</w:t>
      </w:r>
      <w:r w:rsidR="00A839D2">
        <w:rPr>
          <w:w w:val="103"/>
          <w:lang w:val="fr-CH"/>
        </w:rPr>
        <w:t>s</w:t>
      </w:r>
      <w:r w:rsidR="00701422">
        <w:rPr>
          <w:w w:val="103"/>
          <w:lang w:val="fr-CH"/>
        </w:rPr>
        <w:t>, ce qui constitue une avancée conceptuelle majeure que Champollion mettra longtemps à intégrer.</w:t>
      </w:r>
    </w:p>
    <w:p w14:paraId="7CEB5178" w14:textId="386030AF" w:rsidR="009930C7" w:rsidRPr="00223D01" w:rsidRDefault="00732CFA" w:rsidP="004B0026">
      <w:pPr>
        <w:rPr>
          <w:w w:val="103"/>
          <w:lang w:val="fr-CH"/>
        </w:rPr>
      </w:pPr>
      <w:r w:rsidRPr="00223D01">
        <w:rPr>
          <w:w w:val="103"/>
          <w:lang w:val="fr-CH"/>
        </w:rPr>
        <w:t>On peut légitimement penser que</w:t>
      </w:r>
      <w:r w:rsidR="004F08E3">
        <w:rPr>
          <w:w w:val="103"/>
          <w:lang w:val="fr-CH"/>
        </w:rPr>
        <w:t>,</w:t>
      </w:r>
      <w:r w:rsidRPr="00223D01">
        <w:rPr>
          <w:w w:val="103"/>
          <w:lang w:val="fr-CH"/>
        </w:rPr>
        <w:t xml:space="preserve"> sans lui</w:t>
      </w:r>
      <w:r w:rsidR="004F08E3">
        <w:rPr>
          <w:w w:val="103"/>
          <w:lang w:val="fr-CH"/>
        </w:rPr>
        <w:t>,</w:t>
      </w:r>
      <w:r w:rsidRPr="00223D01">
        <w:rPr>
          <w:w w:val="103"/>
          <w:lang w:val="fr-CH"/>
        </w:rPr>
        <w:t xml:space="preserve"> </w:t>
      </w:r>
      <w:r w:rsidR="00301F06" w:rsidRPr="00223D01">
        <w:rPr>
          <w:w w:val="103"/>
          <w:lang w:val="fr-CH"/>
        </w:rPr>
        <w:t xml:space="preserve">Champollion n’aurait jamais compris le détail du fonctionnement de l’écriture hiéroglyphique. </w:t>
      </w:r>
      <w:r w:rsidR="00806FB0" w:rsidRPr="00223D01">
        <w:rPr>
          <w:w w:val="103"/>
          <w:lang w:val="fr-CH"/>
        </w:rPr>
        <w:t>Mais s</w:t>
      </w:r>
      <w:r w:rsidR="00301F06" w:rsidRPr="00223D01">
        <w:rPr>
          <w:w w:val="103"/>
          <w:lang w:val="fr-CH"/>
        </w:rPr>
        <w:t>i l</w:t>
      </w:r>
      <w:r w:rsidR="000349AA" w:rsidRPr="00223D01">
        <w:rPr>
          <w:w w:val="103"/>
          <w:lang w:val="fr-CH"/>
        </w:rPr>
        <w:t xml:space="preserve">es progrès de </w:t>
      </w:r>
      <w:r w:rsidR="004F1CFA" w:rsidRPr="00223D01">
        <w:rPr>
          <w:w w:val="103"/>
          <w:lang w:val="fr-CH"/>
        </w:rPr>
        <w:t xml:space="preserve">Thomas </w:t>
      </w:r>
      <w:r w:rsidR="000349AA" w:rsidRPr="00223D01">
        <w:rPr>
          <w:w w:val="103"/>
          <w:lang w:val="fr-CH"/>
        </w:rPr>
        <w:t xml:space="preserve">Young dans la compréhension des textes de la Pierre de Rosette sont significatifs et nombreux, c’est </w:t>
      </w:r>
      <w:r w:rsidR="00693A3F" w:rsidRPr="00223D01">
        <w:rPr>
          <w:w w:val="103"/>
          <w:lang w:val="fr-CH"/>
        </w:rPr>
        <w:t xml:space="preserve">peut-être </w:t>
      </w:r>
      <w:r w:rsidR="0019210D" w:rsidRPr="00223D01">
        <w:rPr>
          <w:w w:val="103"/>
          <w:lang w:val="fr-CH"/>
        </w:rPr>
        <w:t>surtout l</w:t>
      </w:r>
      <w:r w:rsidR="006E6060" w:rsidRPr="00223D01">
        <w:rPr>
          <w:w w:val="103"/>
          <w:lang w:val="fr-CH"/>
        </w:rPr>
        <w:t xml:space="preserve">e </w:t>
      </w:r>
      <w:r w:rsidR="0019210D" w:rsidRPr="00223D01">
        <w:rPr>
          <w:w w:val="103"/>
          <w:lang w:val="fr-CH"/>
        </w:rPr>
        <w:t>rôle d’aiguillon qu</w:t>
      </w:r>
      <w:r w:rsidR="00A91A22" w:rsidRPr="00223D01">
        <w:rPr>
          <w:w w:val="103"/>
          <w:lang w:val="fr-CH"/>
        </w:rPr>
        <w:t xml:space="preserve">’a joué </w:t>
      </w:r>
      <w:r w:rsidR="0019210D" w:rsidRPr="00223D01">
        <w:rPr>
          <w:w w:val="103"/>
          <w:lang w:val="fr-CH"/>
        </w:rPr>
        <w:t>le savant anglais</w:t>
      </w:r>
      <w:r w:rsidR="00192745">
        <w:rPr>
          <w:w w:val="103"/>
          <w:lang w:val="fr-CH"/>
        </w:rPr>
        <w:t xml:space="preserve"> qui fut </w:t>
      </w:r>
      <w:r w:rsidR="00192745" w:rsidRPr="00223D01">
        <w:rPr>
          <w:w w:val="103"/>
          <w:lang w:val="fr-CH"/>
        </w:rPr>
        <w:t>déterminant</w:t>
      </w:r>
      <w:r w:rsidR="00EB4758" w:rsidRPr="00223D01">
        <w:rPr>
          <w:rStyle w:val="Appelnotedebasdep"/>
          <w:lang w:val="fr-CH"/>
        </w:rPr>
        <w:footnoteReference w:id="31"/>
      </w:r>
      <w:r w:rsidR="0019210D" w:rsidRPr="00223D01">
        <w:rPr>
          <w:w w:val="103"/>
          <w:lang w:val="fr-CH"/>
        </w:rPr>
        <w:t xml:space="preserve">. </w:t>
      </w:r>
      <w:r w:rsidR="00DE4DC0" w:rsidRPr="00223D01">
        <w:rPr>
          <w:w w:val="103"/>
          <w:lang w:val="fr-CH"/>
        </w:rPr>
        <w:t>C’est qu’i</w:t>
      </w:r>
      <w:r w:rsidR="000349AA" w:rsidRPr="00223D01">
        <w:rPr>
          <w:w w:val="103"/>
          <w:lang w:val="fr-CH"/>
        </w:rPr>
        <w:t xml:space="preserve">l fallait </w:t>
      </w:r>
      <w:r w:rsidR="00625FE0" w:rsidRPr="00223D01">
        <w:rPr>
          <w:w w:val="103"/>
          <w:lang w:val="fr-CH"/>
        </w:rPr>
        <w:t xml:space="preserve">vraisemblablement </w:t>
      </w:r>
      <w:r w:rsidR="000349AA" w:rsidRPr="00223D01">
        <w:rPr>
          <w:w w:val="103"/>
          <w:lang w:val="fr-CH"/>
        </w:rPr>
        <w:t>à l’esprit bouillonnant de Champollion un véritable rival (anglais, de surcroît !)</w:t>
      </w:r>
      <w:r w:rsidR="007E2369" w:rsidRPr="00223D01">
        <w:rPr>
          <w:w w:val="103"/>
          <w:lang w:val="fr-CH"/>
        </w:rPr>
        <w:t xml:space="preserve"> et </w:t>
      </w:r>
      <w:r w:rsidR="000349AA" w:rsidRPr="00223D01">
        <w:rPr>
          <w:w w:val="103"/>
          <w:lang w:val="fr-CH"/>
        </w:rPr>
        <w:t>quelqu’un qui soit en mesure d’attiser son irrépressible aspiration à comprendre ce qui se tramait derrière ce</w:t>
      </w:r>
      <w:r w:rsidR="00901289" w:rsidRPr="00223D01">
        <w:rPr>
          <w:w w:val="103"/>
          <w:lang w:val="fr-CH"/>
        </w:rPr>
        <w:t xml:space="preserve"> système</w:t>
      </w:r>
      <w:r w:rsidR="004111BF" w:rsidRPr="00223D01">
        <w:rPr>
          <w:w w:val="103"/>
          <w:lang w:val="fr-CH"/>
        </w:rPr>
        <w:t xml:space="preserve"> de</w:t>
      </w:r>
      <w:r w:rsidR="00901289" w:rsidRPr="00223D01">
        <w:rPr>
          <w:w w:val="103"/>
          <w:lang w:val="fr-CH"/>
        </w:rPr>
        <w:t xml:space="preserve"> </w:t>
      </w:r>
      <w:r w:rsidR="000349AA" w:rsidRPr="00223D01">
        <w:rPr>
          <w:w w:val="103"/>
          <w:lang w:val="fr-CH"/>
        </w:rPr>
        <w:t>signes figuratifs</w:t>
      </w:r>
      <w:r w:rsidR="00901289" w:rsidRPr="00223D01">
        <w:rPr>
          <w:w w:val="103"/>
          <w:lang w:val="fr-CH"/>
        </w:rPr>
        <w:t xml:space="preserve">. </w:t>
      </w:r>
      <w:r w:rsidR="00E175B5" w:rsidRPr="00223D01">
        <w:rPr>
          <w:w w:val="103"/>
          <w:lang w:val="fr-CH"/>
        </w:rPr>
        <w:t>E</w:t>
      </w:r>
      <w:r w:rsidR="000349AA" w:rsidRPr="00223D01">
        <w:rPr>
          <w:w w:val="103"/>
          <w:lang w:val="fr-CH"/>
        </w:rPr>
        <w:t xml:space="preserve">n dépit des circonstances chahutées de sa vie qui l’entraînaient sur les routes entre </w:t>
      </w:r>
      <w:r w:rsidR="004907F6" w:rsidRPr="00223D01">
        <w:rPr>
          <w:w w:val="103"/>
          <w:lang w:val="fr-CH"/>
        </w:rPr>
        <w:t xml:space="preserve">sa natale Figeac et </w:t>
      </w:r>
      <w:r w:rsidR="00FB5E66" w:rsidRPr="00223D01">
        <w:rPr>
          <w:w w:val="103"/>
          <w:lang w:val="fr-CH"/>
        </w:rPr>
        <w:t>Grenoble</w:t>
      </w:r>
      <w:r w:rsidR="00E175B5" w:rsidRPr="00223D01">
        <w:rPr>
          <w:w w:val="103"/>
          <w:lang w:val="fr-CH"/>
        </w:rPr>
        <w:t>,</w:t>
      </w:r>
      <w:r w:rsidR="00FB5E66" w:rsidRPr="00223D01">
        <w:rPr>
          <w:w w:val="103"/>
          <w:lang w:val="fr-CH"/>
        </w:rPr>
        <w:t xml:space="preserve"> </w:t>
      </w:r>
      <w:r w:rsidR="004907F6" w:rsidRPr="00223D01">
        <w:rPr>
          <w:w w:val="103"/>
          <w:lang w:val="fr-CH"/>
        </w:rPr>
        <w:t>sa ville d’adoption</w:t>
      </w:r>
      <w:r w:rsidR="00FB5E66" w:rsidRPr="00223D01">
        <w:rPr>
          <w:w w:val="103"/>
          <w:lang w:val="fr-CH"/>
        </w:rPr>
        <w:t xml:space="preserve"> </w:t>
      </w:r>
      <w:r w:rsidR="008574A9" w:rsidRPr="00223D01">
        <w:rPr>
          <w:w w:val="103"/>
          <w:lang w:val="fr-CH"/>
        </w:rPr>
        <w:t>— </w:t>
      </w:r>
      <w:r w:rsidR="00E175B5" w:rsidRPr="00223D01">
        <w:rPr>
          <w:w w:val="103"/>
          <w:lang w:val="fr-CH"/>
        </w:rPr>
        <w:t xml:space="preserve">car </w:t>
      </w:r>
      <w:r w:rsidR="008574A9" w:rsidRPr="00223D01">
        <w:rPr>
          <w:w w:val="103"/>
          <w:lang w:val="fr-CH"/>
        </w:rPr>
        <w:t>les sympathies républicaines sous la Restauration avaient un prix —</w:t>
      </w:r>
      <w:r w:rsidR="005E02C2" w:rsidRPr="00223D01">
        <w:rPr>
          <w:w w:val="103"/>
          <w:lang w:val="fr-CH"/>
        </w:rPr>
        <w:t xml:space="preserve"> c</w:t>
      </w:r>
      <w:r w:rsidR="008B08A4" w:rsidRPr="00223D01">
        <w:rPr>
          <w:w w:val="103"/>
          <w:lang w:val="fr-CH"/>
        </w:rPr>
        <w:t xml:space="preserve">e n’est </w:t>
      </w:r>
      <w:r w:rsidR="008744A0" w:rsidRPr="00223D01">
        <w:rPr>
          <w:w w:val="103"/>
          <w:lang w:val="fr-CH"/>
        </w:rPr>
        <w:t xml:space="preserve">donc certainement </w:t>
      </w:r>
      <w:r w:rsidR="008B08A4" w:rsidRPr="00223D01">
        <w:rPr>
          <w:w w:val="103"/>
          <w:lang w:val="fr-CH"/>
        </w:rPr>
        <w:t>pas un hasard si</w:t>
      </w:r>
      <w:r w:rsidR="008574A9" w:rsidRPr="00223D01">
        <w:rPr>
          <w:w w:val="103"/>
          <w:lang w:val="fr-CH"/>
        </w:rPr>
        <w:t xml:space="preserve"> les années 1820–1822 </w:t>
      </w:r>
      <w:r w:rsidR="001F604F" w:rsidRPr="00223D01">
        <w:rPr>
          <w:w w:val="103"/>
          <w:lang w:val="fr-CH"/>
        </w:rPr>
        <w:t>sont celles qui ont</w:t>
      </w:r>
      <w:r w:rsidR="008574A9" w:rsidRPr="00223D01">
        <w:rPr>
          <w:w w:val="103"/>
          <w:lang w:val="fr-CH"/>
        </w:rPr>
        <w:t xml:space="preserve"> conduit au déchiffrement.</w:t>
      </w:r>
      <w:r w:rsidR="004D558D" w:rsidRPr="00223D01">
        <w:rPr>
          <w:rStyle w:val="Appelnotedebasdep"/>
          <w:lang w:val="fr-CH"/>
        </w:rPr>
        <w:footnoteReference w:id="32"/>
      </w:r>
    </w:p>
    <w:p w14:paraId="39129A37" w14:textId="77BDA706" w:rsidR="00F77480" w:rsidRPr="00223D01" w:rsidRDefault="00F77480" w:rsidP="008F4243">
      <w:pPr>
        <w:pStyle w:val="Titre2"/>
        <w:tabs>
          <w:tab w:val="left" w:pos="284"/>
        </w:tabs>
        <w:rPr>
          <w:lang w:val="fr-CH"/>
        </w:rPr>
      </w:pPr>
      <w:r w:rsidRPr="00223D01">
        <w:rPr>
          <w:lang w:val="fr-CH"/>
        </w:rPr>
        <w:t>9.</w:t>
      </w:r>
      <w:r w:rsidR="003D2AB4" w:rsidRPr="00223D01">
        <w:rPr>
          <w:lang w:val="fr-CH"/>
        </w:rPr>
        <w:t>5</w:t>
      </w:r>
      <w:r w:rsidRPr="00223D01">
        <w:rPr>
          <w:lang w:val="fr-CH"/>
        </w:rPr>
        <w:t>. </w:t>
      </w:r>
      <w:r w:rsidR="006A7D9A" w:rsidRPr="00223D01">
        <w:rPr>
          <w:lang w:val="fr-CH"/>
        </w:rPr>
        <w:t>Les premiers pas du déchiffrement :</w:t>
      </w:r>
      <w:r w:rsidR="002518AA">
        <w:rPr>
          <w:lang w:val="fr-CH"/>
        </w:rPr>
        <w:t xml:space="preserve"> </w:t>
      </w:r>
      <w:r w:rsidR="008F4243">
        <w:rPr>
          <w:lang w:val="fr-CH"/>
        </w:rPr>
        <w:tab/>
      </w:r>
      <w:r w:rsidR="008F4243">
        <w:rPr>
          <w:lang w:val="fr-CH"/>
        </w:rPr>
        <w:br/>
      </w:r>
      <w:r w:rsidR="008F4243">
        <w:rPr>
          <w:lang w:val="fr-CH"/>
        </w:rPr>
        <w:tab/>
      </w:r>
      <w:r w:rsidR="00EF1E90" w:rsidRPr="00223D01">
        <w:rPr>
          <w:lang w:val="fr-CH"/>
        </w:rPr>
        <w:t xml:space="preserve">Des </w:t>
      </w:r>
      <w:r w:rsidR="004C14F3" w:rsidRPr="00223D01">
        <w:rPr>
          <w:i/>
          <w:iCs/>
          <w:lang w:val="fr-CH"/>
        </w:rPr>
        <w:t>M</w:t>
      </w:r>
      <w:r w:rsidR="00EF1E90" w:rsidRPr="00223D01">
        <w:rPr>
          <w:i/>
          <w:iCs/>
          <w:lang w:val="fr-CH"/>
        </w:rPr>
        <w:t>émoires</w:t>
      </w:r>
      <w:r w:rsidR="00EF1E90" w:rsidRPr="00223D01">
        <w:rPr>
          <w:lang w:val="fr-CH"/>
        </w:rPr>
        <w:t xml:space="preserve"> sur l’écriture hiératique et démotique à l</w:t>
      </w:r>
      <w:r w:rsidRPr="00223D01">
        <w:rPr>
          <w:lang w:val="fr-CH"/>
        </w:rPr>
        <w:t xml:space="preserve">a </w:t>
      </w:r>
      <w:r w:rsidR="00B35B37" w:rsidRPr="00223D01">
        <w:rPr>
          <w:i/>
          <w:iCs/>
          <w:lang w:val="fr-CH"/>
        </w:rPr>
        <w:t>L</w:t>
      </w:r>
      <w:r w:rsidRPr="00223D01">
        <w:rPr>
          <w:i/>
          <w:iCs/>
          <w:lang w:val="fr-CH"/>
        </w:rPr>
        <w:t>ettre à M. Dacier</w:t>
      </w:r>
    </w:p>
    <w:p w14:paraId="2B29C835" w14:textId="6A08D31C" w:rsidR="00AD6856" w:rsidRPr="00223D01" w:rsidRDefault="00AE095C" w:rsidP="004111BF">
      <w:pPr>
        <w:rPr>
          <w:w w:val="103"/>
          <w:lang w:val="fr-CH"/>
        </w:rPr>
      </w:pPr>
      <w:r w:rsidRPr="00223D01">
        <w:rPr>
          <w:w w:val="103"/>
          <w:lang w:val="fr-CH"/>
        </w:rPr>
        <w:t xml:space="preserve">Mais revenons un instant en arrière. </w:t>
      </w:r>
      <w:r w:rsidR="004B7B1D" w:rsidRPr="00223D01">
        <w:rPr>
          <w:w w:val="103"/>
          <w:lang w:val="fr-CH"/>
        </w:rPr>
        <w:t xml:space="preserve">Le précoce </w:t>
      </w:r>
      <w:r w:rsidR="00AD6856" w:rsidRPr="00223D01">
        <w:rPr>
          <w:w w:val="103"/>
          <w:lang w:val="fr-CH"/>
        </w:rPr>
        <w:t xml:space="preserve">Champollion n’a que dix-sept ans lorsqu’il présente à l’Académie des Sciences et des Arts de Grenoble un essai de description géographique de l’Égypte, qui sera publié quelques années plus tard en deux tomes, sous le titre (annonciateur d’un projet bien plus large) : </w:t>
      </w:r>
      <w:r w:rsidR="00AD6856" w:rsidRPr="00223D01">
        <w:rPr>
          <w:i/>
          <w:iCs/>
          <w:w w:val="103"/>
          <w:lang w:val="fr-CH"/>
        </w:rPr>
        <w:t xml:space="preserve">L’Égypte sous les Pharaons, ou recherches sur la géographie, la religion, la langue, les écritures et l’histoire de l’Égypte avant </w:t>
      </w:r>
      <w:r w:rsidR="00AD6856" w:rsidRPr="00223D01">
        <w:rPr>
          <w:i/>
          <w:iCs/>
          <w:w w:val="103"/>
          <w:lang w:val="fr-CH"/>
        </w:rPr>
        <w:lastRenderedPageBreak/>
        <w:t>l’invasion de Cambyse</w:t>
      </w:r>
      <w:r w:rsidR="00AD6856" w:rsidRPr="00223D01">
        <w:rPr>
          <w:w w:val="103"/>
          <w:lang w:val="fr-CH"/>
        </w:rPr>
        <w:t xml:space="preserve"> (1811). La grande originalité de l’ouvrage est de s’être donné pour but « de faire connaître l’Égypte par les Égyptiens eux-mêmes » (vol. 1, p. 24), d’adopter en somme ce que l’on nomme en termes anthropologiques un point de vue </w:t>
      </w:r>
      <w:proofErr w:type="spellStart"/>
      <w:r w:rsidR="00AD6856" w:rsidRPr="00223D01">
        <w:rPr>
          <w:w w:val="103"/>
          <w:lang w:val="fr-CH"/>
        </w:rPr>
        <w:t>émique</w:t>
      </w:r>
      <w:proofErr w:type="spellEnd"/>
      <w:r w:rsidR="00AD6856" w:rsidRPr="00223D01">
        <w:rPr>
          <w:w w:val="103"/>
          <w:lang w:val="fr-CH"/>
        </w:rPr>
        <w:t>, en se situant à l’intérieur de la culture étudiée pour mieux la comprendre.</w:t>
      </w:r>
    </w:p>
    <w:p w14:paraId="428042B5" w14:textId="716A719F" w:rsidR="004F1481" w:rsidRPr="00223D01" w:rsidRDefault="0068194F" w:rsidP="004111BF">
      <w:pPr>
        <w:rPr>
          <w:w w:val="103"/>
          <w:lang w:val="fr-CH"/>
        </w:rPr>
      </w:pPr>
      <w:r w:rsidRPr="00223D01">
        <w:rPr>
          <w:w w:val="103"/>
          <w:lang w:val="fr-CH"/>
        </w:rPr>
        <w:t>Cela imposait d’en cerner tous les aspects dans une perspective strictement égyptienne, et, parmi les outils pour y parvenir, il y a bien évidemment la langue copte dont il affirme (vol. 1, p. </w:t>
      </w:r>
      <w:r w:rsidRPr="00223D01">
        <w:rPr>
          <w:smallCaps/>
          <w:w w:val="103"/>
          <w:lang w:val="fr-CH"/>
        </w:rPr>
        <w:t>xii</w:t>
      </w:r>
      <w:r w:rsidRPr="00223D01">
        <w:rPr>
          <w:w w:val="103"/>
          <w:lang w:val="fr-CH"/>
        </w:rPr>
        <w:t>, n. 1) qu’elle « n’est autre chose que la langue égyptienne mêlée de quelques locutions grecques » et que « peut-être elle peut nous conduire à l’interprétation des hiéroglyphes avec lesquels elle dut avoir quelque rapport » (vol. 1, p. 24).</w:t>
      </w:r>
      <w:r w:rsidR="002847C3" w:rsidRPr="00223D01">
        <w:rPr>
          <w:w w:val="103"/>
          <w:lang w:val="fr-CH"/>
        </w:rPr>
        <w:t xml:space="preserve"> Cette opinion, répandue parmi les orientalistes, était </w:t>
      </w:r>
      <w:r w:rsidR="009741E9" w:rsidRPr="00223D01">
        <w:rPr>
          <w:w w:val="103"/>
          <w:lang w:val="fr-CH"/>
        </w:rPr>
        <w:t xml:space="preserve">somme toute </w:t>
      </w:r>
      <w:r w:rsidR="00725C6E" w:rsidRPr="00223D01">
        <w:rPr>
          <w:w w:val="103"/>
          <w:lang w:val="fr-CH"/>
        </w:rPr>
        <w:t xml:space="preserve">assez </w:t>
      </w:r>
      <w:r w:rsidR="009741E9" w:rsidRPr="00223D01">
        <w:rPr>
          <w:w w:val="103"/>
          <w:lang w:val="fr-CH"/>
        </w:rPr>
        <w:t>banale à l’époque</w:t>
      </w:r>
      <w:r w:rsidR="002847C3" w:rsidRPr="00223D01">
        <w:rPr>
          <w:w w:val="103"/>
          <w:lang w:val="fr-CH"/>
        </w:rPr>
        <w:t xml:space="preserve">. Mais il </w:t>
      </w:r>
      <w:r w:rsidR="006571B7" w:rsidRPr="00223D01">
        <w:rPr>
          <w:w w:val="103"/>
          <w:lang w:val="fr-CH"/>
        </w:rPr>
        <w:t xml:space="preserve">va s’investir </w:t>
      </w:r>
      <w:r w:rsidR="00334DC2" w:rsidRPr="00223D01">
        <w:rPr>
          <w:w w:val="103"/>
          <w:lang w:val="fr-CH"/>
        </w:rPr>
        <w:t>plus que quiconque</w:t>
      </w:r>
      <w:r w:rsidR="002847C3" w:rsidRPr="00223D01">
        <w:rPr>
          <w:w w:val="103"/>
          <w:lang w:val="fr-CH"/>
        </w:rPr>
        <w:t xml:space="preserve"> dans l’étude </w:t>
      </w:r>
      <w:r w:rsidR="008133E1" w:rsidRPr="00223D01">
        <w:rPr>
          <w:w w:val="103"/>
          <w:lang w:val="fr-CH"/>
        </w:rPr>
        <w:t>de cette langue</w:t>
      </w:r>
      <w:r w:rsidR="00A367CF" w:rsidRPr="00223D01">
        <w:rPr>
          <w:rStyle w:val="Appelnotedebasdep"/>
          <w:lang w:val="fr-CH"/>
        </w:rPr>
        <w:footnoteReference w:id="33"/>
      </w:r>
      <w:r w:rsidR="002847C3" w:rsidRPr="00223D01">
        <w:rPr>
          <w:w w:val="103"/>
          <w:lang w:val="fr-CH"/>
        </w:rPr>
        <w:t>, rencontrant des prêtres, copiant et collationnant les manuscrits disponibles, analysant les grammaires et compulsant tous les dictionnaires sur lesquels il parv</w:t>
      </w:r>
      <w:r w:rsidR="004111BF" w:rsidRPr="00223D01">
        <w:rPr>
          <w:w w:val="103"/>
          <w:lang w:val="fr-CH"/>
        </w:rPr>
        <w:t>e</w:t>
      </w:r>
      <w:r w:rsidR="002847C3" w:rsidRPr="00223D01">
        <w:rPr>
          <w:w w:val="103"/>
          <w:lang w:val="fr-CH"/>
        </w:rPr>
        <w:t>n</w:t>
      </w:r>
      <w:r w:rsidR="004111BF" w:rsidRPr="00223D01">
        <w:rPr>
          <w:w w:val="103"/>
          <w:lang w:val="fr-CH"/>
        </w:rPr>
        <w:t>ai</w:t>
      </w:r>
      <w:r w:rsidR="002847C3" w:rsidRPr="00223D01">
        <w:rPr>
          <w:w w:val="103"/>
          <w:lang w:val="fr-CH"/>
        </w:rPr>
        <w:t xml:space="preserve">t à mettre la main. Il prépare </w:t>
      </w:r>
      <w:r w:rsidR="0039171D" w:rsidRPr="00223D01">
        <w:rPr>
          <w:w w:val="103"/>
          <w:lang w:val="fr-CH"/>
        </w:rPr>
        <w:t xml:space="preserve">d’ailleurs </w:t>
      </w:r>
      <w:r w:rsidR="002847C3" w:rsidRPr="00223D01">
        <w:rPr>
          <w:w w:val="103"/>
          <w:lang w:val="fr-CH"/>
        </w:rPr>
        <w:t>une grammaire et un dictionnaire de la langue copte, dont témoignent de nombreux manuscrits qui ne seront jamais publiés (</w:t>
      </w:r>
      <w:r w:rsidR="002847C3" w:rsidRPr="00223D01">
        <w:rPr>
          <w:w w:val="103"/>
          <w:highlight w:val="yellow"/>
          <w:lang w:val="fr-CH"/>
        </w:rPr>
        <w:t>Fig. </w:t>
      </w:r>
      <w:r w:rsidR="00EB4B29" w:rsidRPr="00223D01">
        <w:rPr>
          <w:w w:val="103"/>
          <w:highlight w:val="yellow"/>
          <w:lang w:val="fr-CH"/>
        </w:rPr>
        <w:t>12</w:t>
      </w:r>
      <w:r w:rsidR="002847C3" w:rsidRPr="00223D01">
        <w:rPr>
          <w:w w:val="103"/>
          <w:lang w:val="fr-CH"/>
        </w:rPr>
        <w:t>)</w:t>
      </w:r>
      <w:r w:rsidR="004F1481" w:rsidRPr="00223D01">
        <w:rPr>
          <w:w w:val="103"/>
          <w:lang w:val="fr-CH"/>
        </w:rPr>
        <w:t>.</w:t>
      </w:r>
    </w:p>
    <w:p w14:paraId="6899859A" w14:textId="3CB5E97C" w:rsidR="000B4C97" w:rsidRPr="00223D01" w:rsidRDefault="004111BF" w:rsidP="00B42B24">
      <w:pPr>
        <w:spacing w:after="120"/>
        <w:ind w:left="284" w:right="561" w:firstLine="0"/>
        <w:rPr>
          <w:sz w:val="20"/>
          <w:lang w:val="fr-CH"/>
        </w:rPr>
      </w:pPr>
      <w:r w:rsidRPr="00223D01">
        <w:rPr>
          <w:sz w:val="20"/>
          <w:highlight w:val="yellow"/>
          <w:lang w:val="fr-CH"/>
        </w:rPr>
        <w:t>Fig. </w:t>
      </w:r>
      <w:r w:rsidR="000B4C97" w:rsidRPr="00223D01">
        <w:rPr>
          <w:sz w:val="20"/>
          <w:highlight w:val="yellow"/>
          <w:lang w:val="fr-CH"/>
        </w:rPr>
        <w:t>12.</w:t>
      </w:r>
      <w:r w:rsidR="000B4C97" w:rsidRPr="00223D01">
        <w:rPr>
          <w:sz w:val="20"/>
          <w:lang w:val="fr-CH"/>
        </w:rPr>
        <w:t> </w:t>
      </w:r>
      <w:r w:rsidR="00113FB2" w:rsidRPr="00223D01">
        <w:rPr>
          <w:spacing w:val="4"/>
          <w:w w:val="103"/>
          <w:sz w:val="20"/>
          <w:lang w:val="fr-CH"/>
        </w:rPr>
        <w:t>Dans ses études sur le copte, la notion de « racine », qui s’avèrera essentielle pour comprendre la langue des pharaon</w:t>
      </w:r>
      <w:r w:rsidR="00414F8B" w:rsidRPr="00223D01">
        <w:rPr>
          <w:spacing w:val="4"/>
          <w:w w:val="103"/>
          <w:sz w:val="20"/>
          <w:lang w:val="fr-CH"/>
        </w:rPr>
        <w:t>s</w:t>
      </w:r>
      <w:r w:rsidR="00113FB2" w:rsidRPr="00223D01">
        <w:rPr>
          <w:spacing w:val="4"/>
          <w:w w:val="103"/>
          <w:sz w:val="20"/>
          <w:lang w:val="fr-CH"/>
        </w:rPr>
        <w:t xml:space="preserve">, occupe une place centrale. </w:t>
      </w:r>
      <w:r w:rsidR="002C44D4" w:rsidRPr="00223D01">
        <w:rPr>
          <w:spacing w:val="4"/>
          <w:w w:val="103"/>
          <w:sz w:val="20"/>
          <w:lang w:val="fr-CH"/>
        </w:rPr>
        <w:t>C</w:t>
      </w:r>
      <w:r w:rsidR="00113FB2" w:rsidRPr="00223D01">
        <w:rPr>
          <w:spacing w:val="4"/>
          <w:w w:val="103"/>
          <w:sz w:val="20"/>
          <w:lang w:val="fr-CH"/>
        </w:rPr>
        <w:t xml:space="preserve">ette page de sa </w:t>
      </w:r>
      <w:r w:rsidR="00113FB2" w:rsidRPr="00223D01">
        <w:rPr>
          <w:i/>
          <w:iCs/>
          <w:spacing w:val="4"/>
          <w:w w:val="103"/>
          <w:sz w:val="20"/>
          <w:lang w:val="fr-CH"/>
        </w:rPr>
        <w:t>Grammaire égyptienne</w:t>
      </w:r>
      <w:r w:rsidR="00113FB2" w:rsidRPr="00223D01">
        <w:rPr>
          <w:spacing w:val="4"/>
          <w:w w:val="103"/>
          <w:sz w:val="20"/>
          <w:lang w:val="fr-CH"/>
        </w:rPr>
        <w:t xml:space="preserve"> (comprendre </w:t>
      </w:r>
      <w:r w:rsidR="00113FB2" w:rsidRPr="00223D01">
        <w:rPr>
          <w:i/>
          <w:iCs/>
          <w:spacing w:val="4"/>
          <w:w w:val="103"/>
          <w:sz w:val="20"/>
          <w:lang w:val="fr-CH"/>
        </w:rPr>
        <w:t>copte</w:t>
      </w:r>
      <w:r w:rsidR="00113FB2" w:rsidRPr="00223D01">
        <w:rPr>
          <w:spacing w:val="4"/>
          <w:w w:val="103"/>
          <w:sz w:val="20"/>
          <w:lang w:val="fr-CH"/>
        </w:rPr>
        <w:t xml:space="preserve"> = </w:t>
      </w:r>
      <w:proofErr w:type="spellStart"/>
      <w:r w:rsidR="00113FB2" w:rsidRPr="00223D01">
        <w:rPr>
          <w:spacing w:val="4"/>
          <w:w w:val="103"/>
          <w:sz w:val="20"/>
          <w:lang w:val="fr-CH"/>
        </w:rPr>
        <w:t>BnF</w:t>
      </w:r>
      <w:proofErr w:type="spellEnd"/>
      <w:r w:rsidR="00113FB2" w:rsidRPr="00223D01">
        <w:rPr>
          <w:spacing w:val="4"/>
          <w:w w:val="103"/>
          <w:sz w:val="20"/>
          <w:lang w:val="fr-CH"/>
        </w:rPr>
        <w:t>, NAF 20373</w:t>
      </w:r>
      <w:r w:rsidR="00E7195E" w:rsidRPr="00223D01">
        <w:rPr>
          <w:spacing w:val="4"/>
          <w:w w:val="103"/>
          <w:sz w:val="20"/>
          <w:lang w:val="fr-CH"/>
        </w:rPr>
        <w:t>, p. 6 [= p. 13]</w:t>
      </w:r>
      <w:r w:rsidR="00113FB2" w:rsidRPr="00223D01">
        <w:rPr>
          <w:spacing w:val="4"/>
          <w:w w:val="103"/>
          <w:sz w:val="20"/>
          <w:lang w:val="fr-CH"/>
        </w:rPr>
        <w:t>)</w:t>
      </w:r>
      <w:r w:rsidR="002C44D4" w:rsidRPr="00223D01">
        <w:rPr>
          <w:spacing w:val="4"/>
          <w:w w:val="103"/>
          <w:sz w:val="20"/>
          <w:lang w:val="fr-CH"/>
        </w:rPr>
        <w:t xml:space="preserve"> en témoigne directement.</w:t>
      </w:r>
    </w:p>
    <w:p w14:paraId="5CB6B70E" w14:textId="5B7657E9" w:rsidR="000B4C97" w:rsidRPr="00223D01" w:rsidRDefault="00CE408E" w:rsidP="004111BF">
      <w:pPr>
        <w:rPr>
          <w:lang w:val="fr-CH"/>
        </w:rPr>
      </w:pPr>
      <w:r w:rsidRPr="00223D01">
        <w:rPr>
          <w:lang w:val="fr-CH"/>
        </w:rPr>
        <w:t>Malgré tous les matériaux rassemblés et toutes les notes accumulées, au moment où Thomas Young publie son article</w:t>
      </w:r>
      <w:r w:rsidR="00F81BC4" w:rsidRPr="00223D01">
        <w:rPr>
          <w:lang w:val="fr-CH"/>
        </w:rPr>
        <w:t xml:space="preserve"> en 1819</w:t>
      </w:r>
      <w:r w:rsidRPr="00223D01">
        <w:rPr>
          <w:lang w:val="fr-CH"/>
        </w:rPr>
        <w:t xml:space="preserve">, il n’a </w:t>
      </w:r>
      <w:r w:rsidR="00903A57" w:rsidRPr="00223D01">
        <w:rPr>
          <w:lang w:val="fr-CH"/>
        </w:rPr>
        <w:t xml:space="preserve">toutefois </w:t>
      </w:r>
      <w:r w:rsidRPr="00223D01">
        <w:rPr>
          <w:lang w:val="fr-CH"/>
        </w:rPr>
        <w:t>guère de résultats concr</w:t>
      </w:r>
      <w:r w:rsidR="00DD6618" w:rsidRPr="00223D01">
        <w:rPr>
          <w:lang w:val="fr-CH"/>
        </w:rPr>
        <w:t>ets à produire en matière de déchiffrement</w:t>
      </w:r>
      <w:r w:rsidR="00A81C2C" w:rsidRPr="00223D01">
        <w:rPr>
          <w:lang w:val="fr-CH"/>
        </w:rPr>
        <w:t xml:space="preserve"> de l’égyptien hiéroglyphique</w:t>
      </w:r>
      <w:r w:rsidR="006F211A" w:rsidRPr="00223D01">
        <w:rPr>
          <w:rStyle w:val="Appelnotedebasdep"/>
          <w:lang w:val="fr-CH"/>
        </w:rPr>
        <w:footnoteReference w:id="34"/>
      </w:r>
      <w:r w:rsidR="00DD6618" w:rsidRPr="00223D01">
        <w:rPr>
          <w:lang w:val="fr-CH"/>
        </w:rPr>
        <w:t xml:space="preserve">, ce qui </w:t>
      </w:r>
      <w:r w:rsidR="00DD6618" w:rsidRPr="00223D01">
        <w:rPr>
          <w:spacing w:val="4"/>
          <w:w w:val="103"/>
          <w:lang w:val="fr-CH"/>
        </w:rPr>
        <w:t>— à son grand agacement —</w:t>
      </w:r>
      <w:r w:rsidR="00473E6B" w:rsidRPr="00223D01">
        <w:rPr>
          <w:spacing w:val="4"/>
          <w:w w:val="103"/>
          <w:lang w:val="fr-CH"/>
        </w:rPr>
        <w:t xml:space="preserve"> lui vaut les railleries de plus d’un (dont son ancien professeur</w:t>
      </w:r>
      <w:r w:rsidR="008F7F92" w:rsidRPr="00223D01">
        <w:rPr>
          <w:spacing w:val="4"/>
          <w:w w:val="103"/>
          <w:lang w:val="fr-CH"/>
        </w:rPr>
        <w:t>,</w:t>
      </w:r>
      <w:r w:rsidR="00473E6B" w:rsidRPr="00223D01">
        <w:rPr>
          <w:spacing w:val="4"/>
          <w:w w:val="103"/>
          <w:lang w:val="fr-CH"/>
        </w:rPr>
        <w:t xml:space="preserve"> Silvestre de </w:t>
      </w:r>
      <w:proofErr w:type="spellStart"/>
      <w:r w:rsidR="00473E6B" w:rsidRPr="00223D01">
        <w:rPr>
          <w:spacing w:val="4"/>
          <w:w w:val="103"/>
          <w:lang w:val="fr-CH"/>
        </w:rPr>
        <w:t>Sacy</w:t>
      </w:r>
      <w:proofErr w:type="spellEnd"/>
      <w:r w:rsidR="00A06759" w:rsidRPr="00223D01">
        <w:rPr>
          <w:spacing w:val="4"/>
          <w:w w:val="103"/>
          <w:lang w:val="fr-CH"/>
        </w:rPr>
        <w:t>,</w:t>
      </w:r>
      <w:r w:rsidR="00473E6B" w:rsidRPr="00223D01">
        <w:rPr>
          <w:spacing w:val="4"/>
          <w:w w:val="103"/>
          <w:lang w:val="fr-CH"/>
        </w:rPr>
        <w:t xml:space="preserve"> qui l</w:t>
      </w:r>
      <w:r w:rsidR="00A85903" w:rsidRPr="00223D01">
        <w:rPr>
          <w:spacing w:val="4"/>
          <w:w w:val="103"/>
          <w:lang w:val="fr-CH"/>
        </w:rPr>
        <w:t xml:space="preserve">’accuse ouvertement </w:t>
      </w:r>
      <w:r w:rsidR="00473E6B" w:rsidRPr="00223D01">
        <w:rPr>
          <w:spacing w:val="4"/>
          <w:w w:val="103"/>
          <w:lang w:val="fr-CH"/>
        </w:rPr>
        <w:t xml:space="preserve">de </w:t>
      </w:r>
      <w:r w:rsidR="00FA5E12" w:rsidRPr="00223D01">
        <w:rPr>
          <w:spacing w:val="4"/>
          <w:w w:val="103"/>
          <w:lang w:val="fr-CH"/>
        </w:rPr>
        <w:t>fanfaronnades en la matière</w:t>
      </w:r>
      <w:r w:rsidR="00473E6B" w:rsidRPr="00223D01">
        <w:rPr>
          <w:spacing w:val="4"/>
          <w:w w:val="103"/>
          <w:lang w:val="fr-CH"/>
        </w:rPr>
        <w:t>).</w:t>
      </w:r>
    </w:p>
    <w:p w14:paraId="4DCF0031" w14:textId="6732123F" w:rsidR="007E5FA0" w:rsidRPr="00223D01" w:rsidRDefault="00AC31A9" w:rsidP="004111BF">
      <w:pPr>
        <w:rPr>
          <w:lang w:val="fr-CH"/>
        </w:rPr>
      </w:pPr>
      <w:r w:rsidRPr="00223D01">
        <w:rPr>
          <w:lang w:val="fr-CH"/>
        </w:rPr>
        <w:t xml:space="preserve">Les choses changent </w:t>
      </w:r>
      <w:r w:rsidR="00E007BD">
        <w:rPr>
          <w:lang w:val="fr-CH"/>
        </w:rPr>
        <w:t>en 1821–1822</w:t>
      </w:r>
      <w:r w:rsidR="00E007BD" w:rsidRPr="00223D01">
        <w:rPr>
          <w:rStyle w:val="Appelnotedebasdep"/>
          <w:lang w:val="fr-CH"/>
        </w:rPr>
        <w:footnoteReference w:id="35"/>
      </w:r>
      <w:r w:rsidR="00E007BD">
        <w:rPr>
          <w:lang w:val="fr-CH"/>
        </w:rPr>
        <w:t xml:space="preserve">, </w:t>
      </w:r>
      <w:r w:rsidRPr="00223D01">
        <w:rPr>
          <w:lang w:val="fr-CH"/>
        </w:rPr>
        <w:t xml:space="preserve">avec la </w:t>
      </w:r>
      <w:r w:rsidR="005274EE">
        <w:rPr>
          <w:lang w:val="fr-CH"/>
        </w:rPr>
        <w:t xml:space="preserve">préparation </w:t>
      </w:r>
      <w:r w:rsidR="00601890">
        <w:rPr>
          <w:lang w:val="fr-CH"/>
        </w:rPr>
        <w:t xml:space="preserve">à Paris </w:t>
      </w:r>
      <w:r w:rsidR="00FE15DD">
        <w:rPr>
          <w:lang w:val="fr-CH"/>
        </w:rPr>
        <w:t xml:space="preserve">puis </w:t>
      </w:r>
      <w:r w:rsidR="005274EE">
        <w:rPr>
          <w:lang w:val="fr-CH"/>
        </w:rPr>
        <w:t xml:space="preserve">la </w:t>
      </w:r>
      <w:r w:rsidRPr="00223D01">
        <w:rPr>
          <w:lang w:val="fr-CH"/>
        </w:rPr>
        <w:t>lecture</w:t>
      </w:r>
      <w:r w:rsidR="00FF428D" w:rsidRPr="00223D01">
        <w:rPr>
          <w:lang w:val="fr-CH"/>
        </w:rPr>
        <w:t>, devant l’Académie royale des Inscriptions et Belles-Lettres,</w:t>
      </w:r>
      <w:r w:rsidRPr="00223D01">
        <w:rPr>
          <w:lang w:val="fr-CH"/>
        </w:rPr>
        <w:t xml:space="preserve"> de deux </w:t>
      </w:r>
      <w:r w:rsidRPr="00223D01">
        <w:rPr>
          <w:i/>
          <w:iCs/>
          <w:lang w:val="fr-CH"/>
        </w:rPr>
        <w:t>Mémoires</w:t>
      </w:r>
      <w:r w:rsidR="003A6976" w:rsidRPr="00223D01">
        <w:rPr>
          <w:rStyle w:val="Appelnotedebasdep"/>
          <w:lang w:val="fr-CH"/>
        </w:rPr>
        <w:footnoteReference w:id="36"/>
      </w:r>
      <w:r w:rsidRPr="00223D01">
        <w:rPr>
          <w:lang w:val="fr-CH"/>
        </w:rPr>
        <w:t>, portant respec</w:t>
      </w:r>
      <w:r w:rsidR="003D1318">
        <w:rPr>
          <w:lang w:val="fr-CH"/>
        </w:rPr>
        <w:softHyphen/>
      </w:r>
      <w:r w:rsidRPr="00223D01">
        <w:rPr>
          <w:lang w:val="fr-CH"/>
        </w:rPr>
        <w:t>tivement sur l’hiératique et sur le démotique</w:t>
      </w:r>
      <w:r w:rsidR="00110649" w:rsidRPr="00223D01">
        <w:rPr>
          <w:lang w:val="fr-CH"/>
        </w:rPr>
        <w:t>.</w:t>
      </w:r>
      <w:r w:rsidR="00D2382E" w:rsidRPr="00223D01">
        <w:rPr>
          <w:lang w:val="fr-CH"/>
        </w:rPr>
        <w:t xml:space="preserve"> </w:t>
      </w:r>
      <w:r w:rsidR="003F3741" w:rsidRPr="00223D01">
        <w:rPr>
          <w:lang w:val="fr-CH"/>
        </w:rPr>
        <w:t>Il y démontre que ces deux écritures sont des formes toujours plus cursives de l’écriture hiéroglyphique, car on peut établir des correspondances signe à signe entre les caractères de l’écriture hiéroglyphique et ceux des écritures hiératique et démotique. En somme, elles relèvent donc toutes d’un seul et même système d’écriture (</w:t>
      </w:r>
      <w:r w:rsidR="003F3741" w:rsidRPr="00223D01">
        <w:rPr>
          <w:highlight w:val="yellow"/>
          <w:lang w:val="fr-CH"/>
        </w:rPr>
        <w:t>Fig. 1</w:t>
      </w:r>
      <w:r w:rsidR="00675765" w:rsidRPr="00223D01">
        <w:rPr>
          <w:highlight w:val="yellow"/>
          <w:lang w:val="fr-CH"/>
        </w:rPr>
        <w:t>3</w:t>
      </w:r>
      <w:r w:rsidR="003F3741" w:rsidRPr="00223D01">
        <w:rPr>
          <w:lang w:val="fr-CH"/>
        </w:rPr>
        <w:t xml:space="preserve">). </w:t>
      </w:r>
      <w:r w:rsidR="00191695" w:rsidRPr="00223D01">
        <w:rPr>
          <w:lang w:val="fr-CH"/>
        </w:rPr>
        <w:t xml:space="preserve">Pourtant, si la correspondance entre les </w:t>
      </w:r>
      <w:r w:rsidR="00C34C9C" w:rsidRPr="00223D01">
        <w:rPr>
          <w:lang w:val="fr-CH"/>
        </w:rPr>
        <w:t xml:space="preserve">trois grandes </w:t>
      </w:r>
      <w:r w:rsidR="00191695" w:rsidRPr="00223D01">
        <w:rPr>
          <w:lang w:val="fr-CH"/>
        </w:rPr>
        <w:t xml:space="preserve">écritures d’Égypte </w:t>
      </w:r>
      <w:r w:rsidR="00C34C9C" w:rsidRPr="00223D01">
        <w:rPr>
          <w:lang w:val="fr-CH"/>
        </w:rPr>
        <w:t xml:space="preserve">est dès lors </w:t>
      </w:r>
      <w:r w:rsidR="00191695" w:rsidRPr="00223D01">
        <w:rPr>
          <w:lang w:val="fr-CH"/>
        </w:rPr>
        <w:t xml:space="preserve">fermement établie, il en </w:t>
      </w:r>
      <w:r w:rsidR="00973879" w:rsidRPr="00223D01">
        <w:rPr>
          <w:lang w:val="fr-CH"/>
        </w:rPr>
        <w:t xml:space="preserve">tire </w:t>
      </w:r>
      <w:r w:rsidR="00191695" w:rsidRPr="00223D01">
        <w:rPr>
          <w:lang w:val="fr-CH"/>
        </w:rPr>
        <w:t xml:space="preserve">longtemps la mauvaise </w:t>
      </w:r>
      <w:r w:rsidR="00191695" w:rsidRPr="00223D01">
        <w:rPr>
          <w:spacing w:val="4"/>
          <w:w w:val="103"/>
          <w:lang w:val="fr-CH"/>
        </w:rPr>
        <w:t xml:space="preserve">conclusion concernant la nature du système dans son ensemble, affirmant que </w:t>
      </w:r>
      <w:r w:rsidR="00191695" w:rsidRPr="00223D01">
        <w:rPr>
          <w:lang w:val="fr-CH"/>
        </w:rPr>
        <w:t xml:space="preserve">« l’écriture démotique, comme l’écriture hiéroglyphique, et comme l’écriture hiératique, </w:t>
      </w:r>
      <w:r w:rsidR="00191695" w:rsidRPr="00223D01">
        <w:rPr>
          <w:u w:val="single"/>
          <w:lang w:val="fr-CH"/>
        </w:rPr>
        <w:t>était idéographique de sa nature</w:t>
      </w:r>
      <w:r w:rsidR="00191695" w:rsidRPr="00223D01">
        <w:rPr>
          <w:lang w:val="fr-CH"/>
        </w:rPr>
        <w:t>. » (</w:t>
      </w:r>
      <w:r w:rsidR="00191695" w:rsidRPr="00223D01">
        <w:rPr>
          <w:i/>
          <w:iCs/>
          <w:lang w:val="fr-CH"/>
        </w:rPr>
        <w:t>Mémoire sur l’écriture démotique des anciens égyptiens</w:t>
      </w:r>
      <w:r w:rsidR="00191695" w:rsidRPr="00223D01">
        <w:rPr>
          <w:lang w:val="fr-CH"/>
        </w:rPr>
        <w:t xml:space="preserve">, p. 124 = </w:t>
      </w:r>
      <w:proofErr w:type="spellStart"/>
      <w:r w:rsidR="00191695" w:rsidRPr="00223D01">
        <w:rPr>
          <w:lang w:val="fr-CH"/>
        </w:rPr>
        <w:t>BnF</w:t>
      </w:r>
      <w:proofErr w:type="spellEnd"/>
      <w:r w:rsidR="00191695" w:rsidRPr="00223D01">
        <w:rPr>
          <w:lang w:val="fr-CH"/>
        </w:rPr>
        <w:t xml:space="preserve">, NAF 20134, </w:t>
      </w:r>
      <w:r w:rsidR="00191695" w:rsidRPr="00223D01">
        <w:rPr>
          <w:lang w:val="fr-CH"/>
        </w:rPr>
        <w:lastRenderedPageBreak/>
        <w:t>p. 248).</w:t>
      </w:r>
      <w:r w:rsidR="00042995" w:rsidRPr="00223D01">
        <w:rPr>
          <w:lang w:val="fr-CH"/>
        </w:rPr>
        <w:t xml:space="preserve"> Il était encore loin d’imaginer un système mixte : entre l’idéographique et l’alphabétique, il </w:t>
      </w:r>
      <w:r w:rsidR="009B6FA9" w:rsidRPr="00223D01">
        <w:rPr>
          <w:lang w:val="fr-CH"/>
        </w:rPr>
        <w:t xml:space="preserve">lui </w:t>
      </w:r>
      <w:r w:rsidR="00042995" w:rsidRPr="00223D01">
        <w:rPr>
          <w:lang w:val="fr-CH"/>
        </w:rPr>
        <w:t>fallait choisir son camp.</w:t>
      </w:r>
    </w:p>
    <w:p w14:paraId="083B8D69" w14:textId="5FC52C88" w:rsidR="00A13479" w:rsidRPr="00223D01" w:rsidRDefault="004111BF" w:rsidP="005E6E06">
      <w:pPr>
        <w:spacing w:after="120"/>
        <w:ind w:left="284" w:right="561" w:firstLine="0"/>
        <w:rPr>
          <w:sz w:val="20"/>
          <w:lang w:val="fr-CH"/>
        </w:rPr>
      </w:pPr>
      <w:r w:rsidRPr="00223D01">
        <w:rPr>
          <w:sz w:val="20"/>
          <w:highlight w:val="yellow"/>
          <w:lang w:val="fr-CH"/>
        </w:rPr>
        <w:t>Fig. </w:t>
      </w:r>
      <w:r w:rsidR="00A13479" w:rsidRPr="00223D01">
        <w:rPr>
          <w:sz w:val="20"/>
          <w:highlight w:val="yellow"/>
          <w:lang w:val="fr-CH"/>
        </w:rPr>
        <w:t>13.</w:t>
      </w:r>
      <w:r w:rsidR="00A13479" w:rsidRPr="00223D01">
        <w:rPr>
          <w:sz w:val="20"/>
          <w:lang w:val="fr-CH"/>
        </w:rPr>
        <w:t> </w:t>
      </w:r>
      <w:r w:rsidR="00044CEA" w:rsidRPr="00223D01">
        <w:rPr>
          <w:sz w:val="20"/>
          <w:lang w:val="fr-CH"/>
        </w:rPr>
        <w:t xml:space="preserve">Comparaison entre graphies hiératiques et hiéroglyphiques </w:t>
      </w:r>
      <w:r w:rsidR="00CB0D7E" w:rsidRPr="00223D01">
        <w:rPr>
          <w:sz w:val="20"/>
          <w:lang w:val="fr-CH"/>
        </w:rPr>
        <w:t xml:space="preserve">dans </w:t>
      </w:r>
      <w:r w:rsidR="00CB0D7E" w:rsidRPr="00223D01">
        <w:rPr>
          <w:i/>
          <w:iCs/>
          <w:sz w:val="20"/>
          <w:lang w:val="fr-CH"/>
        </w:rPr>
        <w:t xml:space="preserve">De l’écriture hiératique des anciens égyptiens </w:t>
      </w:r>
      <w:r w:rsidR="00CB0D7E" w:rsidRPr="00223D01">
        <w:rPr>
          <w:spacing w:val="4"/>
          <w:w w:val="103"/>
          <w:sz w:val="20"/>
          <w:lang w:val="fr-CH"/>
        </w:rPr>
        <w:t>(</w:t>
      </w:r>
      <w:proofErr w:type="spellStart"/>
      <w:r w:rsidR="00CB0D7E" w:rsidRPr="00223D01">
        <w:rPr>
          <w:spacing w:val="4"/>
          <w:w w:val="103"/>
          <w:sz w:val="20"/>
          <w:lang w:val="fr-CH"/>
        </w:rPr>
        <w:t>BnF</w:t>
      </w:r>
      <w:proofErr w:type="spellEnd"/>
      <w:r w:rsidR="00CB0D7E" w:rsidRPr="00223D01">
        <w:rPr>
          <w:spacing w:val="4"/>
          <w:w w:val="103"/>
          <w:sz w:val="20"/>
          <w:lang w:val="fr-CH"/>
        </w:rPr>
        <w:t>, NAF 20311, p. 13 [= p. 33</w:t>
      </w:r>
      <w:r w:rsidRPr="00223D01">
        <w:rPr>
          <w:spacing w:val="4"/>
          <w:w w:val="103"/>
          <w:sz w:val="20"/>
          <w:lang w:val="fr-CH"/>
        </w:rPr>
        <w:t>]</w:t>
      </w:r>
      <w:r w:rsidRPr="00223D01">
        <w:rPr>
          <w:sz w:val="20"/>
          <w:lang w:val="fr-CH"/>
        </w:rPr>
        <w:t>).</w:t>
      </w:r>
      <w:r w:rsidRPr="00223D01">
        <w:rPr>
          <w:rStyle w:val="Appelnotedebasdep"/>
          <w:sz w:val="20"/>
          <w:lang w:val="fr-CH"/>
        </w:rPr>
        <w:footnoteReference w:id="37"/>
      </w:r>
    </w:p>
    <w:p w14:paraId="5BE4A76B" w14:textId="1585605C" w:rsidR="00A74AD4" w:rsidRPr="00223D01" w:rsidRDefault="002F79E9" w:rsidP="00AC1E29">
      <w:pPr>
        <w:rPr>
          <w:lang w:val="fr-CH"/>
        </w:rPr>
      </w:pPr>
      <w:r w:rsidRPr="00223D01">
        <w:rPr>
          <w:lang w:val="fr-CH"/>
        </w:rPr>
        <w:t>L</w:t>
      </w:r>
      <w:r w:rsidR="0043147D" w:rsidRPr="00223D01">
        <w:rPr>
          <w:lang w:val="fr-CH"/>
        </w:rPr>
        <w:t xml:space="preserve">’identité </w:t>
      </w:r>
      <w:r w:rsidR="007771CC" w:rsidRPr="00223D01">
        <w:rPr>
          <w:lang w:val="fr-CH"/>
        </w:rPr>
        <w:t xml:space="preserve">fondamentale </w:t>
      </w:r>
      <w:r w:rsidR="0043147D" w:rsidRPr="00223D01">
        <w:rPr>
          <w:lang w:val="fr-CH"/>
        </w:rPr>
        <w:t xml:space="preserve">des écritures va </w:t>
      </w:r>
      <w:r w:rsidR="007771CC" w:rsidRPr="00223D01">
        <w:rPr>
          <w:lang w:val="fr-CH"/>
        </w:rPr>
        <w:t xml:space="preserve">cependant </w:t>
      </w:r>
      <w:r w:rsidR="0043147D" w:rsidRPr="00223D01">
        <w:rPr>
          <w:lang w:val="fr-CH"/>
        </w:rPr>
        <w:t xml:space="preserve">lui permettre de soulever </w:t>
      </w:r>
      <w:r w:rsidR="00356AD8" w:rsidRPr="00223D01">
        <w:rPr>
          <w:lang w:val="fr-CH"/>
        </w:rPr>
        <w:t>un coin du</w:t>
      </w:r>
      <w:r w:rsidR="0043147D" w:rsidRPr="00223D01">
        <w:rPr>
          <w:lang w:val="fr-CH"/>
        </w:rPr>
        <w:t xml:space="preserve"> voile et d’entrevoir</w:t>
      </w:r>
      <w:r w:rsidR="007808E4" w:rsidRPr="00223D01">
        <w:rPr>
          <w:lang w:val="fr-CH"/>
        </w:rPr>
        <w:t>,</w:t>
      </w:r>
      <w:r w:rsidR="0043147D" w:rsidRPr="00223D01">
        <w:rPr>
          <w:lang w:val="fr-CH"/>
        </w:rPr>
        <w:t xml:space="preserve"> une première fois</w:t>
      </w:r>
      <w:r w:rsidR="007808E4" w:rsidRPr="00223D01">
        <w:rPr>
          <w:lang w:val="fr-CH"/>
        </w:rPr>
        <w:t>,</w:t>
      </w:r>
      <w:r w:rsidR="0043147D" w:rsidRPr="00223D01">
        <w:rPr>
          <w:lang w:val="fr-CH"/>
        </w:rPr>
        <w:t xml:space="preserve"> la dimension phonographique de l’écriture hiéroglyphique. </w:t>
      </w:r>
      <w:r w:rsidR="00667E65" w:rsidRPr="00223D01">
        <w:rPr>
          <w:lang w:val="fr-CH"/>
        </w:rPr>
        <w:t xml:space="preserve">Comme </w:t>
      </w:r>
      <w:proofErr w:type="spellStart"/>
      <w:r w:rsidR="00667E65" w:rsidRPr="00223D01">
        <w:rPr>
          <w:spacing w:val="4"/>
          <w:w w:val="103"/>
          <w:lang w:val="fr-CH"/>
        </w:rPr>
        <w:t>Åkerblad</w:t>
      </w:r>
      <w:proofErr w:type="spellEnd"/>
      <w:r w:rsidR="00667E65" w:rsidRPr="00223D01">
        <w:rPr>
          <w:spacing w:val="4"/>
          <w:w w:val="103"/>
          <w:lang w:val="fr-CH"/>
        </w:rPr>
        <w:t xml:space="preserve"> avait </w:t>
      </w:r>
      <w:r w:rsidR="006834BB" w:rsidRPr="00223D01">
        <w:rPr>
          <w:spacing w:val="4"/>
          <w:w w:val="103"/>
          <w:lang w:val="fr-CH"/>
        </w:rPr>
        <w:t>dé</w:t>
      </w:r>
      <w:r w:rsidR="00667E65" w:rsidRPr="00223D01">
        <w:rPr>
          <w:spacing w:val="4"/>
          <w:w w:val="103"/>
          <w:lang w:val="fr-CH"/>
        </w:rPr>
        <w:t xml:space="preserve">montré </w:t>
      </w:r>
      <w:r w:rsidR="006834BB" w:rsidRPr="00223D01">
        <w:rPr>
          <w:spacing w:val="4"/>
          <w:w w:val="103"/>
          <w:lang w:val="fr-CH"/>
        </w:rPr>
        <w:t xml:space="preserve">que les noms </w:t>
      </w:r>
      <w:r w:rsidR="00CD11FF" w:rsidRPr="00223D01">
        <w:rPr>
          <w:spacing w:val="4"/>
          <w:w w:val="103"/>
          <w:lang w:val="fr-CH"/>
        </w:rPr>
        <w:t xml:space="preserve">propres </w:t>
      </w:r>
      <w:r w:rsidR="006834BB" w:rsidRPr="00223D01">
        <w:rPr>
          <w:spacing w:val="4"/>
          <w:w w:val="103"/>
          <w:lang w:val="fr-CH"/>
        </w:rPr>
        <w:t>grecs étaient écrits « alphabétiquement » dans le texte démotique de la Pierre de Rosette</w:t>
      </w:r>
      <w:r w:rsidR="004F2F6B" w:rsidRPr="00223D01">
        <w:rPr>
          <w:spacing w:val="4"/>
          <w:w w:val="103"/>
          <w:lang w:val="fr-CH"/>
        </w:rPr>
        <w:t xml:space="preserve"> (</w:t>
      </w:r>
      <w:r w:rsidR="00AC1E29" w:rsidRPr="00223D01">
        <w:rPr>
          <w:rFonts w:eastAsia="Times New Roman"/>
          <w:bCs/>
          <w:spacing w:val="4"/>
          <w:w w:val="103"/>
          <w:szCs w:val="24"/>
          <w:highlight w:val="yellow"/>
          <w:lang w:val="fr-CH"/>
        </w:rPr>
        <w:t xml:space="preserve">cf. </w:t>
      </w:r>
      <w:r w:rsidR="00AC1E29" w:rsidRPr="00223D01">
        <w:rPr>
          <w:rFonts w:eastAsia="Times New Roman"/>
          <w:bCs/>
          <w:i/>
          <w:iCs/>
          <w:spacing w:val="4"/>
          <w:w w:val="103"/>
          <w:szCs w:val="24"/>
          <w:highlight w:val="yellow"/>
          <w:lang w:val="fr-CH"/>
        </w:rPr>
        <w:t>supra</w:t>
      </w:r>
      <w:r w:rsidR="00AC1E29" w:rsidRPr="00223D01">
        <w:rPr>
          <w:rFonts w:eastAsia="Times New Roman"/>
          <w:bCs/>
          <w:spacing w:val="4"/>
          <w:w w:val="103"/>
          <w:szCs w:val="24"/>
          <w:highlight w:val="yellow"/>
          <w:lang w:val="fr-CH"/>
        </w:rPr>
        <w:t xml:space="preserve">, </w:t>
      </w:r>
      <w:r w:rsidR="004F2F6B" w:rsidRPr="00223D01">
        <w:rPr>
          <w:spacing w:val="4"/>
          <w:w w:val="103"/>
          <w:highlight w:val="yellow"/>
          <w:lang w:val="fr-CH"/>
        </w:rPr>
        <w:t>9.4</w:t>
      </w:r>
      <w:r w:rsidR="004F2F6B" w:rsidRPr="00223D01">
        <w:rPr>
          <w:spacing w:val="4"/>
          <w:w w:val="103"/>
          <w:lang w:val="fr-CH"/>
        </w:rPr>
        <w:t>)</w:t>
      </w:r>
      <w:r w:rsidR="006834BB" w:rsidRPr="00223D01">
        <w:rPr>
          <w:spacing w:val="4"/>
          <w:w w:val="103"/>
          <w:lang w:val="fr-CH"/>
        </w:rPr>
        <w:t xml:space="preserve">, l’identité des systèmes devait le conduire à mettre au jour </w:t>
      </w:r>
      <w:r w:rsidR="0043147D" w:rsidRPr="00223D01">
        <w:rPr>
          <w:lang w:val="fr-CH"/>
        </w:rPr>
        <w:t xml:space="preserve">« la série des </w:t>
      </w:r>
      <w:r w:rsidR="0043147D" w:rsidRPr="00223D01">
        <w:rPr>
          <w:i/>
          <w:iCs/>
          <w:lang w:val="fr-CH"/>
        </w:rPr>
        <w:t xml:space="preserve">hiéroglyphes </w:t>
      </w:r>
      <w:r w:rsidR="0043147D" w:rsidRPr="00223D01">
        <w:rPr>
          <w:lang w:val="fr-CH"/>
        </w:rPr>
        <w:t>qui, faisant exception à la nature générale des signes de cette écriture, étaient doués de la faculté d’</w:t>
      </w:r>
      <w:r w:rsidR="0043147D" w:rsidRPr="00223D01">
        <w:rPr>
          <w:i/>
          <w:iCs/>
          <w:lang w:val="fr-CH"/>
        </w:rPr>
        <w:t>exprimer les son</w:t>
      </w:r>
      <w:r w:rsidR="00AC1E29" w:rsidRPr="00223D01">
        <w:rPr>
          <w:i/>
          <w:iCs/>
          <w:lang w:val="fr-CH"/>
        </w:rPr>
        <w:t>s</w:t>
      </w:r>
      <w:r w:rsidR="0043147D" w:rsidRPr="00223D01">
        <w:rPr>
          <w:lang w:val="fr-CH"/>
        </w:rPr>
        <w:t xml:space="preserve"> des mots, et ont servi à inscrire sur les monuments publics de l’Égypte, les </w:t>
      </w:r>
      <w:r w:rsidR="0043147D" w:rsidRPr="00223D01">
        <w:rPr>
          <w:i/>
          <w:iCs/>
          <w:lang w:val="fr-CH"/>
        </w:rPr>
        <w:t>titres</w:t>
      </w:r>
      <w:r w:rsidR="0043147D" w:rsidRPr="00223D01">
        <w:rPr>
          <w:lang w:val="fr-CH"/>
        </w:rPr>
        <w:t xml:space="preserve">, les </w:t>
      </w:r>
      <w:r w:rsidR="0043147D" w:rsidRPr="00223D01">
        <w:rPr>
          <w:i/>
          <w:iCs/>
          <w:lang w:val="fr-CH"/>
        </w:rPr>
        <w:t>noms</w:t>
      </w:r>
      <w:r w:rsidR="0043147D" w:rsidRPr="00223D01">
        <w:rPr>
          <w:lang w:val="fr-CH"/>
        </w:rPr>
        <w:t xml:space="preserve"> et les </w:t>
      </w:r>
      <w:r w:rsidR="0043147D" w:rsidRPr="00223D01">
        <w:rPr>
          <w:i/>
          <w:iCs/>
          <w:lang w:val="fr-CH"/>
        </w:rPr>
        <w:t>surnoms de souverains grecs ou romains</w:t>
      </w:r>
      <w:r w:rsidR="0043147D" w:rsidRPr="00223D01">
        <w:rPr>
          <w:lang w:val="fr-CH"/>
        </w:rPr>
        <w:t xml:space="preserve"> qui la gouvernèrent successivement. » (</w:t>
      </w:r>
      <w:r w:rsidR="00A773DB" w:rsidRPr="00223D01">
        <w:rPr>
          <w:i/>
          <w:iCs/>
          <w:lang w:val="fr-CH"/>
        </w:rPr>
        <w:t>Lettre à M. Dacier</w:t>
      </w:r>
      <w:r w:rsidR="00A773DB" w:rsidRPr="00223D01">
        <w:rPr>
          <w:lang w:val="fr-CH"/>
        </w:rPr>
        <w:t>,</w:t>
      </w:r>
      <w:r w:rsidR="00A773DB" w:rsidRPr="00223D01">
        <w:rPr>
          <w:i/>
          <w:iCs/>
          <w:lang w:val="fr-CH"/>
        </w:rPr>
        <w:t xml:space="preserve"> </w:t>
      </w:r>
      <w:r w:rsidR="0043147D" w:rsidRPr="00223D01">
        <w:rPr>
          <w:lang w:val="fr-CH"/>
        </w:rPr>
        <w:t>p. 3)</w:t>
      </w:r>
      <w:r w:rsidR="00A773DB" w:rsidRPr="00223D01">
        <w:rPr>
          <w:lang w:val="fr-CH"/>
        </w:rPr>
        <w:t>.</w:t>
      </w:r>
      <w:r w:rsidR="00A74AD4" w:rsidRPr="00223D01">
        <w:rPr>
          <w:lang w:val="fr-CH"/>
        </w:rPr>
        <w:t xml:space="preserve"> </w:t>
      </w:r>
      <w:r w:rsidR="00380217" w:rsidRPr="00223D01">
        <w:rPr>
          <w:lang w:val="fr-CH"/>
        </w:rPr>
        <w:t>Il résume son raisonnement de manière limpide</w:t>
      </w:r>
      <w:r w:rsidR="00A74AD4" w:rsidRPr="00223D01">
        <w:rPr>
          <w:lang w:val="fr-CH"/>
        </w:rPr>
        <w:t> :</w:t>
      </w:r>
    </w:p>
    <w:p w14:paraId="0C067BD6" w14:textId="5A01BE70" w:rsidR="008569E1" w:rsidRPr="00223D01" w:rsidRDefault="00380217" w:rsidP="00A74AD4">
      <w:pPr>
        <w:ind w:left="567" w:right="561"/>
        <w:rPr>
          <w:sz w:val="22"/>
          <w:szCs w:val="22"/>
          <w:lang w:val="fr-CH"/>
        </w:rPr>
      </w:pPr>
      <w:r w:rsidRPr="00223D01">
        <w:rPr>
          <w:sz w:val="22"/>
          <w:szCs w:val="22"/>
          <w:lang w:val="fr-CH"/>
        </w:rPr>
        <w:t>« L</w:t>
      </w:r>
      <w:r w:rsidR="001C7E80" w:rsidRPr="00223D01">
        <w:rPr>
          <w:sz w:val="22"/>
          <w:szCs w:val="22"/>
          <w:lang w:val="fr-CH"/>
        </w:rPr>
        <w:t>’</w:t>
      </w:r>
      <w:r w:rsidRPr="00223D01">
        <w:rPr>
          <w:sz w:val="22"/>
          <w:szCs w:val="22"/>
          <w:lang w:val="fr-CH"/>
        </w:rPr>
        <w:t>emploi de ces caractères phonétiques une fois constaté dans l</w:t>
      </w:r>
      <w:r w:rsidR="00EF74C6" w:rsidRPr="00223D01">
        <w:rPr>
          <w:sz w:val="22"/>
          <w:szCs w:val="22"/>
          <w:lang w:val="fr-CH"/>
        </w:rPr>
        <w:t>’</w:t>
      </w:r>
      <w:r w:rsidRPr="00223D01">
        <w:rPr>
          <w:sz w:val="22"/>
          <w:szCs w:val="22"/>
          <w:lang w:val="fr-CH"/>
        </w:rPr>
        <w:t xml:space="preserve">écriture </w:t>
      </w:r>
      <w:r w:rsidRPr="00223D01">
        <w:rPr>
          <w:i/>
          <w:iCs/>
          <w:sz w:val="22"/>
          <w:szCs w:val="22"/>
          <w:lang w:val="fr-CH"/>
        </w:rPr>
        <w:t>démotique</w:t>
      </w:r>
      <w:r w:rsidRPr="00223D01">
        <w:rPr>
          <w:sz w:val="22"/>
          <w:szCs w:val="22"/>
          <w:lang w:val="fr-CH"/>
        </w:rPr>
        <w:t>, je devais naturellement en conclure que puisque les signes de cette écriture populaire étaient, ainsi que je l’ai exposé, empruntés de l</w:t>
      </w:r>
      <w:r w:rsidR="0064631F" w:rsidRPr="00223D01">
        <w:rPr>
          <w:sz w:val="22"/>
          <w:szCs w:val="22"/>
          <w:lang w:val="fr-CH"/>
        </w:rPr>
        <w:t>’</w:t>
      </w:r>
      <w:r w:rsidRPr="00223D01">
        <w:rPr>
          <w:sz w:val="22"/>
          <w:szCs w:val="22"/>
          <w:lang w:val="fr-CH"/>
        </w:rPr>
        <w:t xml:space="preserve">écriture </w:t>
      </w:r>
      <w:r w:rsidRPr="00223D01">
        <w:rPr>
          <w:i/>
          <w:iCs/>
          <w:sz w:val="22"/>
          <w:szCs w:val="22"/>
          <w:lang w:val="fr-CH"/>
        </w:rPr>
        <w:t>hiératique</w:t>
      </w:r>
      <w:r w:rsidRPr="00223D01">
        <w:rPr>
          <w:sz w:val="22"/>
          <w:szCs w:val="22"/>
          <w:lang w:val="fr-CH"/>
        </w:rPr>
        <w:t xml:space="preserve"> ou sacerdotale, et puisque encore les signes de cette écriture hiératique ne sont, comme on l</w:t>
      </w:r>
      <w:r w:rsidR="00192745">
        <w:rPr>
          <w:sz w:val="22"/>
          <w:szCs w:val="22"/>
          <w:lang w:val="fr-CH"/>
        </w:rPr>
        <w:t>’</w:t>
      </w:r>
      <w:r w:rsidRPr="00223D01">
        <w:rPr>
          <w:sz w:val="22"/>
          <w:szCs w:val="22"/>
          <w:lang w:val="fr-CH"/>
        </w:rPr>
        <w:t>a reconnu par mes divers mémoires, qu</w:t>
      </w:r>
      <w:r w:rsidR="00B62F3B" w:rsidRPr="00223D01">
        <w:rPr>
          <w:sz w:val="22"/>
          <w:szCs w:val="22"/>
          <w:lang w:val="fr-CH"/>
        </w:rPr>
        <w:t>’</w:t>
      </w:r>
      <w:r w:rsidRPr="00223D01">
        <w:rPr>
          <w:sz w:val="22"/>
          <w:szCs w:val="22"/>
          <w:lang w:val="fr-CH"/>
        </w:rPr>
        <w:t xml:space="preserve">une représentation abrégée, une véritable </w:t>
      </w:r>
      <w:r w:rsidRPr="00223D01">
        <w:rPr>
          <w:i/>
          <w:iCs/>
          <w:sz w:val="22"/>
          <w:szCs w:val="22"/>
          <w:lang w:val="fr-CH"/>
        </w:rPr>
        <w:t>tachygraphie</w:t>
      </w:r>
      <w:r w:rsidRPr="00223D01">
        <w:rPr>
          <w:sz w:val="22"/>
          <w:szCs w:val="22"/>
          <w:lang w:val="fr-CH"/>
        </w:rPr>
        <w:t xml:space="preserve"> des </w:t>
      </w:r>
      <w:r w:rsidRPr="00223D01">
        <w:rPr>
          <w:i/>
          <w:iCs/>
          <w:sz w:val="22"/>
          <w:szCs w:val="22"/>
          <w:lang w:val="fr-CH"/>
        </w:rPr>
        <w:t>hiéroglyphes</w:t>
      </w:r>
      <w:r w:rsidRPr="00223D01">
        <w:rPr>
          <w:sz w:val="22"/>
          <w:szCs w:val="22"/>
          <w:lang w:val="fr-CH"/>
        </w:rPr>
        <w:t>, cette troisième espèce d</w:t>
      </w:r>
      <w:r w:rsidR="001369F1" w:rsidRPr="00223D01">
        <w:rPr>
          <w:sz w:val="22"/>
          <w:szCs w:val="22"/>
          <w:lang w:val="fr-CH"/>
        </w:rPr>
        <w:t>’</w:t>
      </w:r>
      <w:r w:rsidRPr="00223D01">
        <w:rPr>
          <w:sz w:val="22"/>
          <w:szCs w:val="22"/>
          <w:lang w:val="fr-CH"/>
        </w:rPr>
        <w:t>écriture, l</w:t>
      </w:r>
      <w:r w:rsidR="001369F1" w:rsidRPr="00223D01">
        <w:rPr>
          <w:sz w:val="22"/>
          <w:szCs w:val="22"/>
          <w:lang w:val="fr-CH"/>
        </w:rPr>
        <w:t>’</w:t>
      </w:r>
      <w:r w:rsidRPr="00223D01">
        <w:rPr>
          <w:i/>
          <w:iCs/>
          <w:sz w:val="22"/>
          <w:szCs w:val="22"/>
          <w:lang w:val="fr-CH"/>
        </w:rPr>
        <w:t>hiéroglyphique</w:t>
      </w:r>
      <w:r w:rsidRPr="00223D01">
        <w:rPr>
          <w:sz w:val="22"/>
          <w:szCs w:val="22"/>
          <w:lang w:val="fr-CH"/>
        </w:rPr>
        <w:t xml:space="preserve"> pure, devait avoir aussi un certain nombre de ses signes doués de la faculté d</w:t>
      </w:r>
      <w:r w:rsidR="00192745">
        <w:rPr>
          <w:sz w:val="22"/>
          <w:szCs w:val="22"/>
          <w:lang w:val="fr-CH"/>
        </w:rPr>
        <w:t>’</w:t>
      </w:r>
      <w:r w:rsidRPr="00223D01">
        <w:rPr>
          <w:sz w:val="22"/>
          <w:szCs w:val="22"/>
          <w:lang w:val="fr-CH"/>
        </w:rPr>
        <w:t>exprimer les sons ; en un mot, qu</w:t>
      </w:r>
      <w:r w:rsidR="00CE09DC" w:rsidRPr="00223D01">
        <w:rPr>
          <w:sz w:val="22"/>
          <w:szCs w:val="22"/>
          <w:lang w:val="fr-CH"/>
        </w:rPr>
        <w:t>’</w:t>
      </w:r>
      <w:r w:rsidRPr="00223D01">
        <w:rPr>
          <w:sz w:val="22"/>
          <w:szCs w:val="22"/>
          <w:lang w:val="fr-CH"/>
        </w:rPr>
        <w:t>il existait également une série d</w:t>
      </w:r>
      <w:r w:rsidR="00192745">
        <w:rPr>
          <w:sz w:val="22"/>
          <w:szCs w:val="22"/>
          <w:lang w:val="fr-CH"/>
        </w:rPr>
        <w:t>’</w:t>
      </w:r>
      <w:r w:rsidRPr="00223D01">
        <w:rPr>
          <w:sz w:val="22"/>
          <w:szCs w:val="22"/>
          <w:lang w:val="fr-CH"/>
        </w:rPr>
        <w:t>hiéroglyphes phonétiques. » (</w:t>
      </w:r>
      <w:r w:rsidR="00A74AD4" w:rsidRPr="00223D01">
        <w:rPr>
          <w:i/>
          <w:iCs/>
          <w:sz w:val="22"/>
          <w:szCs w:val="22"/>
          <w:lang w:val="fr-CH"/>
        </w:rPr>
        <w:t>Lettre à M. </w:t>
      </w:r>
      <w:r w:rsidRPr="00223D01">
        <w:rPr>
          <w:i/>
          <w:iCs/>
          <w:sz w:val="22"/>
          <w:szCs w:val="22"/>
          <w:lang w:val="fr-CH"/>
        </w:rPr>
        <w:t>Dacier</w:t>
      </w:r>
      <w:r w:rsidRPr="00223D01">
        <w:rPr>
          <w:sz w:val="22"/>
          <w:szCs w:val="22"/>
          <w:lang w:val="fr-CH"/>
        </w:rPr>
        <w:t>, p. 5).</w:t>
      </w:r>
    </w:p>
    <w:p w14:paraId="674708E6" w14:textId="0B38A028" w:rsidR="00F75C0D" w:rsidRPr="00223D01" w:rsidRDefault="00120267" w:rsidP="00AC1E29">
      <w:pPr>
        <w:rPr>
          <w:lang w:val="fr-CH"/>
        </w:rPr>
      </w:pPr>
      <w:r w:rsidRPr="00223D01">
        <w:rPr>
          <w:lang w:val="fr-CH"/>
        </w:rPr>
        <w:t xml:space="preserve">C’est cette découverte que l’on retient comme </w:t>
      </w:r>
      <w:r w:rsidR="00256335" w:rsidRPr="00223D01">
        <w:rPr>
          <w:lang w:val="fr-CH"/>
        </w:rPr>
        <w:t>le « </w:t>
      </w:r>
      <w:r w:rsidRPr="00223D01">
        <w:rPr>
          <w:lang w:val="fr-CH"/>
        </w:rPr>
        <w:t>déchiffrement</w:t>
      </w:r>
      <w:r w:rsidR="00256335" w:rsidRPr="00223D01">
        <w:rPr>
          <w:lang w:val="fr-CH"/>
        </w:rPr>
        <w:t> »</w:t>
      </w:r>
      <w:r w:rsidR="003A5551" w:rsidRPr="00223D01">
        <w:rPr>
          <w:lang w:val="fr-CH"/>
        </w:rPr>
        <w:t xml:space="preserve">, </w:t>
      </w:r>
      <w:r w:rsidR="00256335" w:rsidRPr="00223D01">
        <w:rPr>
          <w:lang w:val="fr-CH"/>
        </w:rPr>
        <w:t xml:space="preserve">avec </w:t>
      </w:r>
      <w:r w:rsidR="00192745">
        <w:rPr>
          <w:lang w:val="fr-CH"/>
        </w:rPr>
        <w:t xml:space="preserve">le </w:t>
      </w:r>
      <w:r w:rsidR="003A5551" w:rsidRPr="00223D01">
        <w:rPr>
          <w:lang w:val="fr-CH"/>
        </w:rPr>
        <w:t>27 septembre 1822</w:t>
      </w:r>
      <w:r w:rsidR="00256335" w:rsidRPr="00223D01">
        <w:rPr>
          <w:lang w:val="fr-CH"/>
        </w:rPr>
        <w:t xml:space="preserve"> comme date officielle</w:t>
      </w:r>
      <w:r w:rsidR="003A1F7E" w:rsidRPr="00223D01">
        <w:rPr>
          <w:lang w:val="fr-CH"/>
        </w:rPr>
        <w:t xml:space="preserve">. Cette date </w:t>
      </w:r>
      <w:r w:rsidR="003A5551" w:rsidRPr="00223D01">
        <w:rPr>
          <w:lang w:val="fr-CH"/>
        </w:rPr>
        <w:t>correspond à la lecture à l’Académie royale des Inscriptions et Belles</w:t>
      </w:r>
      <w:r w:rsidR="000B0B39" w:rsidRPr="00223D01">
        <w:rPr>
          <w:lang w:val="fr-CH"/>
        </w:rPr>
        <w:t>-</w:t>
      </w:r>
      <w:r w:rsidR="003A5551" w:rsidRPr="00223D01">
        <w:rPr>
          <w:lang w:val="fr-CH"/>
        </w:rPr>
        <w:t xml:space="preserve">Lettres d’un texte </w:t>
      </w:r>
      <w:r w:rsidR="00BF6D82" w:rsidRPr="00223D01">
        <w:rPr>
          <w:spacing w:val="4"/>
          <w:w w:val="103"/>
          <w:lang w:val="fr-CH"/>
        </w:rPr>
        <w:t>— </w:t>
      </w:r>
      <w:r w:rsidR="003A5551" w:rsidRPr="00223D01">
        <w:rPr>
          <w:lang w:val="fr-CH"/>
        </w:rPr>
        <w:t>daté du 22 septembre</w:t>
      </w:r>
      <w:r w:rsidR="00BF6D82" w:rsidRPr="00223D01">
        <w:rPr>
          <w:lang w:val="fr-CH"/>
        </w:rPr>
        <w:t> </w:t>
      </w:r>
      <w:r w:rsidR="00BF6D82" w:rsidRPr="00223D01">
        <w:rPr>
          <w:spacing w:val="4"/>
          <w:w w:val="103"/>
          <w:lang w:val="fr-CH"/>
        </w:rPr>
        <w:t>—</w:t>
      </w:r>
      <w:r w:rsidR="003A5551" w:rsidRPr="00223D01">
        <w:rPr>
          <w:lang w:val="fr-CH"/>
        </w:rPr>
        <w:t xml:space="preserve"> qui sera publié le mois suivant sous le titre fameux de </w:t>
      </w:r>
      <w:r w:rsidR="003A5551" w:rsidRPr="00223D01">
        <w:rPr>
          <w:i/>
          <w:iCs/>
          <w:lang w:val="fr-CH"/>
        </w:rPr>
        <w:t>Lettre à M</w:t>
      </w:r>
      <w:r w:rsidR="005B3A96">
        <w:rPr>
          <w:i/>
          <w:iCs/>
          <w:lang w:val="fr-CH"/>
        </w:rPr>
        <w:t>. </w:t>
      </w:r>
      <w:r w:rsidR="003A5551" w:rsidRPr="00223D01">
        <w:rPr>
          <w:i/>
          <w:iCs/>
          <w:lang w:val="fr-CH"/>
        </w:rPr>
        <w:t>Dacier</w:t>
      </w:r>
      <w:r w:rsidR="003A5551" w:rsidRPr="00223D01">
        <w:rPr>
          <w:lang w:val="fr-CH"/>
        </w:rPr>
        <w:t>, le</w:t>
      </w:r>
      <w:r w:rsidR="00120DB6" w:rsidRPr="00223D01">
        <w:rPr>
          <w:lang w:val="fr-CH"/>
        </w:rPr>
        <w:t xml:space="preserve"> « vénérable Nestor de l’érudition et des lettres françaises »</w:t>
      </w:r>
      <w:r w:rsidR="002758ED" w:rsidRPr="00223D01">
        <w:rPr>
          <w:lang w:val="fr-CH"/>
        </w:rPr>
        <w:t xml:space="preserve"> et </w:t>
      </w:r>
      <w:r w:rsidR="003A5551" w:rsidRPr="00223D01">
        <w:rPr>
          <w:lang w:val="fr-CH"/>
        </w:rPr>
        <w:t>secrétaire perpétuel de la vénérable institution parisienne. Cette conférence rendait publique s</w:t>
      </w:r>
      <w:r w:rsidR="007C1D3D" w:rsidRPr="00223D01">
        <w:rPr>
          <w:lang w:val="fr-CH"/>
        </w:rPr>
        <w:t xml:space="preserve">on « Eurêka » </w:t>
      </w:r>
      <w:r w:rsidR="003A5551" w:rsidRPr="00223D01">
        <w:rPr>
          <w:lang w:val="fr-CH"/>
        </w:rPr>
        <w:t xml:space="preserve">du 14 septembre, que </w:t>
      </w:r>
      <w:r w:rsidR="00ED56D7" w:rsidRPr="00223D01">
        <w:rPr>
          <w:lang w:val="fr-CH"/>
        </w:rPr>
        <w:t xml:space="preserve">l’histoire familiale (colportée par ses </w:t>
      </w:r>
      <w:r w:rsidR="003A5551" w:rsidRPr="00223D01">
        <w:rPr>
          <w:lang w:val="fr-CH"/>
        </w:rPr>
        <w:t>biographes</w:t>
      </w:r>
      <w:r w:rsidR="00ED56D7" w:rsidRPr="00223D01">
        <w:rPr>
          <w:lang w:val="fr-CH"/>
        </w:rPr>
        <w:t>)</w:t>
      </w:r>
      <w:r w:rsidR="003A5551" w:rsidRPr="00223D01">
        <w:rPr>
          <w:lang w:val="fr-CH"/>
        </w:rPr>
        <w:t xml:space="preserve"> décri</w:t>
      </w:r>
      <w:r w:rsidR="00ED56D7" w:rsidRPr="00223D01">
        <w:rPr>
          <w:lang w:val="fr-CH"/>
        </w:rPr>
        <w:t xml:space="preserve">t </w:t>
      </w:r>
      <w:r w:rsidR="003A5551" w:rsidRPr="00223D01">
        <w:rPr>
          <w:lang w:val="fr-CH"/>
        </w:rPr>
        <w:t>comme une véritable épiphanie</w:t>
      </w:r>
      <w:r w:rsidR="00675E45" w:rsidRPr="00223D01">
        <w:rPr>
          <w:lang w:val="fr-CH"/>
        </w:rPr>
        <w:t xml:space="preserve">. </w:t>
      </w:r>
      <w:r w:rsidR="008923BD" w:rsidRPr="00223D01">
        <w:rPr>
          <w:lang w:val="fr-CH"/>
        </w:rPr>
        <w:t>Dans la foulée, i</w:t>
      </w:r>
      <w:r w:rsidR="00EF2832" w:rsidRPr="00223D01">
        <w:rPr>
          <w:lang w:val="fr-CH"/>
        </w:rPr>
        <w:t xml:space="preserve">l aurait directement couru jusqu’à son frère </w:t>
      </w:r>
      <w:r w:rsidR="00EF2832" w:rsidRPr="00223D01">
        <w:rPr>
          <w:spacing w:val="4"/>
          <w:w w:val="103"/>
          <w:lang w:val="fr-CH"/>
        </w:rPr>
        <w:t>Jacques-Joseph à l’Institut</w:t>
      </w:r>
      <w:r w:rsidR="00445138" w:rsidRPr="00223D01">
        <w:rPr>
          <w:spacing w:val="4"/>
          <w:w w:val="103"/>
          <w:lang w:val="fr-CH"/>
        </w:rPr>
        <w:t xml:space="preserve"> pour lui annoncer la nouvelle et </w:t>
      </w:r>
      <w:r w:rsidR="00EF2832" w:rsidRPr="00223D01">
        <w:rPr>
          <w:spacing w:val="4"/>
          <w:w w:val="103"/>
          <w:lang w:val="fr-CH"/>
        </w:rPr>
        <w:t>se serait écrié « Je tiens l’affaire ! »</w:t>
      </w:r>
      <w:r w:rsidR="00C57052" w:rsidRPr="00223D01">
        <w:rPr>
          <w:spacing w:val="4"/>
          <w:w w:val="103"/>
          <w:lang w:val="fr-CH"/>
        </w:rPr>
        <w:t>, phrase restée célèbre</w:t>
      </w:r>
      <w:r w:rsidR="00F80249" w:rsidRPr="00223D01">
        <w:rPr>
          <w:spacing w:val="4"/>
          <w:w w:val="103"/>
          <w:lang w:val="fr-CH"/>
        </w:rPr>
        <w:t xml:space="preserve">. Puis il aurait sombré </w:t>
      </w:r>
      <w:r w:rsidR="00EF2832" w:rsidRPr="00223D01">
        <w:rPr>
          <w:spacing w:val="4"/>
          <w:w w:val="103"/>
          <w:lang w:val="fr-CH"/>
        </w:rPr>
        <w:t xml:space="preserve">dans </w:t>
      </w:r>
      <w:r w:rsidR="00EF2832" w:rsidRPr="00223D01">
        <w:rPr>
          <w:lang w:val="fr-CH"/>
        </w:rPr>
        <w:t>un état cataleptique, conséquence de l’intensité des efforts consentis</w:t>
      </w:r>
      <w:r w:rsidR="005E39C0" w:rsidRPr="00223D01">
        <w:rPr>
          <w:lang w:val="fr-CH"/>
        </w:rPr>
        <w:t xml:space="preserve"> et </w:t>
      </w:r>
      <w:r w:rsidR="00EF2832" w:rsidRPr="00223D01">
        <w:rPr>
          <w:lang w:val="fr-CH"/>
        </w:rPr>
        <w:t>de l’émotion afférente à la prouesse intellectuelle.</w:t>
      </w:r>
      <w:r w:rsidR="008654E0" w:rsidRPr="00223D01">
        <w:rPr>
          <w:lang w:val="fr-CH"/>
        </w:rPr>
        <w:t xml:space="preserve"> Son frère a alors largement pris en charge la première rédaction du texte de l</w:t>
      </w:r>
      <w:r w:rsidR="00CF0097" w:rsidRPr="00223D01">
        <w:rPr>
          <w:lang w:val="fr-CH"/>
        </w:rPr>
        <w:t xml:space="preserve">’insigne </w:t>
      </w:r>
      <w:r w:rsidR="008654E0" w:rsidRPr="00223D01">
        <w:rPr>
          <w:lang w:val="fr-CH"/>
        </w:rPr>
        <w:t xml:space="preserve">lettre, afin de </w:t>
      </w:r>
      <w:r w:rsidR="00F75C0D" w:rsidRPr="00223D01">
        <w:rPr>
          <w:lang w:val="fr-CH"/>
        </w:rPr>
        <w:t>prémâcher le travail à son frère convalescent.</w:t>
      </w:r>
    </w:p>
    <w:p w14:paraId="6188ADCF" w14:textId="736051C5" w:rsidR="00CD43D4" w:rsidRPr="00223D01" w:rsidRDefault="00CD43D4" w:rsidP="003822EF">
      <w:pPr>
        <w:pStyle w:val="Titre2"/>
        <w:ind w:left="284" w:firstLine="0"/>
        <w:rPr>
          <w:lang w:val="fr-CH"/>
        </w:rPr>
      </w:pPr>
      <w:r w:rsidRPr="00223D01">
        <w:rPr>
          <w:lang w:val="fr-CH"/>
        </w:rPr>
        <w:t>9.6. L</w:t>
      </w:r>
      <w:r w:rsidR="00872B3A" w:rsidRPr="00223D01">
        <w:rPr>
          <w:lang w:val="fr-CH"/>
        </w:rPr>
        <w:t>es sons de la langue des pharaons :</w:t>
      </w:r>
      <w:r w:rsidR="00872B3A" w:rsidRPr="00223D01">
        <w:rPr>
          <w:lang w:val="fr-CH"/>
        </w:rPr>
        <w:tab/>
      </w:r>
      <w:r w:rsidR="00AC1E29" w:rsidRPr="00223D01">
        <w:rPr>
          <w:lang w:val="fr-CH"/>
        </w:rPr>
        <w:t xml:space="preserve"> </w:t>
      </w:r>
      <w:r w:rsidR="003822EF">
        <w:rPr>
          <w:lang w:val="fr-CH"/>
        </w:rPr>
        <w:br/>
      </w:r>
      <w:r w:rsidR="00E05525" w:rsidRPr="00223D01">
        <w:rPr>
          <w:lang w:val="fr-CH"/>
        </w:rPr>
        <w:t>Comment l</w:t>
      </w:r>
      <w:r w:rsidR="00872B3A" w:rsidRPr="00223D01">
        <w:rPr>
          <w:lang w:val="fr-CH"/>
        </w:rPr>
        <w:t>ire les hiéroglyphes</w:t>
      </w:r>
    </w:p>
    <w:p w14:paraId="036640BD" w14:textId="1358FE4B" w:rsidR="001320CB" w:rsidRPr="00223D01" w:rsidRDefault="001320CB" w:rsidP="00AC1E29">
      <w:pPr>
        <w:rPr>
          <w:lang w:val="fr-CH"/>
        </w:rPr>
      </w:pPr>
      <w:r w:rsidRPr="00223D01">
        <w:rPr>
          <w:lang w:val="fr-CH"/>
        </w:rPr>
        <w:t xml:space="preserve">Le nom </w:t>
      </w:r>
      <w:r w:rsidR="00083606" w:rsidRPr="00223D01">
        <w:rPr>
          <w:lang w:val="fr-CH"/>
        </w:rPr>
        <w:t>« </w:t>
      </w:r>
      <w:r w:rsidRPr="00223D01">
        <w:rPr>
          <w:lang w:val="fr-CH"/>
        </w:rPr>
        <w:t>Ptolémée</w:t>
      </w:r>
      <w:r w:rsidR="00083606" w:rsidRPr="00223D01">
        <w:rPr>
          <w:lang w:val="fr-CH"/>
        </w:rPr>
        <w:t> »</w:t>
      </w:r>
      <w:r w:rsidR="00336CE7" w:rsidRPr="00223D01">
        <w:rPr>
          <w:lang w:val="fr-CH"/>
        </w:rPr>
        <w:t xml:space="preserve"> (porté par de nombreux souverains grecs d’Égypte)</w:t>
      </w:r>
      <w:r w:rsidRPr="00223D01">
        <w:rPr>
          <w:lang w:val="fr-CH"/>
        </w:rPr>
        <w:t xml:space="preserve"> est central pour </w:t>
      </w:r>
      <w:r w:rsidR="008F09B4" w:rsidRPr="00223D01">
        <w:rPr>
          <w:lang w:val="fr-CH"/>
        </w:rPr>
        <w:t>le déchiffrement d</w:t>
      </w:r>
      <w:r w:rsidR="009A1A66" w:rsidRPr="00223D01">
        <w:rPr>
          <w:lang w:val="fr-CH"/>
        </w:rPr>
        <w:t xml:space="preserve">e </w:t>
      </w:r>
      <w:r w:rsidRPr="00223D01">
        <w:rPr>
          <w:lang w:val="fr-CH"/>
        </w:rPr>
        <w:t>Champollion</w:t>
      </w:r>
      <w:r w:rsidR="00307C2B" w:rsidRPr="00223D01">
        <w:rPr>
          <w:lang w:val="fr-CH"/>
        </w:rPr>
        <w:t xml:space="preserve">. Il </w:t>
      </w:r>
      <w:r w:rsidRPr="00223D01">
        <w:rPr>
          <w:lang w:val="fr-CH"/>
        </w:rPr>
        <w:t xml:space="preserve">apparaît </w:t>
      </w:r>
      <w:r w:rsidR="001D5EE2" w:rsidRPr="00223D01">
        <w:rPr>
          <w:lang w:val="fr-CH"/>
        </w:rPr>
        <w:t>en effet non</w:t>
      </w:r>
      <w:r w:rsidR="00362555" w:rsidRPr="00223D01">
        <w:rPr>
          <w:lang w:val="fr-CH"/>
        </w:rPr>
        <w:t xml:space="preserve"> </w:t>
      </w:r>
      <w:r w:rsidRPr="00223D01">
        <w:rPr>
          <w:lang w:val="fr-CH"/>
        </w:rPr>
        <w:t xml:space="preserve">seulement dans l’inscription </w:t>
      </w:r>
      <w:r w:rsidR="00B87CB8" w:rsidRPr="00223D01">
        <w:rPr>
          <w:lang w:val="fr-CH"/>
        </w:rPr>
        <w:t xml:space="preserve">hiéroglyphique </w:t>
      </w:r>
      <w:r w:rsidRPr="00223D01">
        <w:rPr>
          <w:lang w:val="fr-CH"/>
        </w:rPr>
        <w:t xml:space="preserve">de </w:t>
      </w:r>
      <w:r w:rsidR="00B87CB8" w:rsidRPr="00223D01">
        <w:rPr>
          <w:lang w:val="fr-CH"/>
        </w:rPr>
        <w:t xml:space="preserve">la Pierre de </w:t>
      </w:r>
      <w:r w:rsidRPr="00223D01">
        <w:rPr>
          <w:lang w:val="fr-CH"/>
        </w:rPr>
        <w:t xml:space="preserve">Rosette, </w:t>
      </w:r>
      <w:r w:rsidR="00D818F3" w:rsidRPr="00223D01">
        <w:rPr>
          <w:lang w:val="fr-CH"/>
        </w:rPr>
        <w:t xml:space="preserve">ce que l’on supputait sur base de la version grecque, </w:t>
      </w:r>
      <w:r w:rsidRPr="00223D01">
        <w:rPr>
          <w:lang w:val="fr-CH"/>
        </w:rPr>
        <w:t>mais également sur l’obélisque de Philae</w:t>
      </w:r>
      <w:r w:rsidR="00D818F3" w:rsidRPr="00223D01">
        <w:rPr>
          <w:lang w:val="fr-CH"/>
        </w:rPr>
        <w:t>, qui portait la même séquence de signe</w:t>
      </w:r>
      <w:r w:rsidR="00AC1E29" w:rsidRPr="00223D01">
        <w:rPr>
          <w:lang w:val="fr-CH"/>
        </w:rPr>
        <w:t>s</w:t>
      </w:r>
      <w:r w:rsidR="00D818F3" w:rsidRPr="00223D01">
        <w:rPr>
          <w:lang w:val="fr-CH"/>
        </w:rPr>
        <w:t xml:space="preserve"> </w:t>
      </w:r>
      <w:r w:rsidR="00D818F3" w:rsidRPr="00223D01">
        <w:rPr>
          <w:lang w:val="fr-CH"/>
        </w:rPr>
        <w:lastRenderedPageBreak/>
        <w:t>hiéroglyphiques dans un cartouche</w:t>
      </w:r>
      <w:r w:rsidR="00A85A4A" w:rsidRPr="00223D01">
        <w:rPr>
          <w:rStyle w:val="Appelnotedebasdep"/>
          <w:lang w:val="fr-CH"/>
        </w:rPr>
        <w:footnoteReference w:id="38"/>
      </w:r>
      <w:r w:rsidRPr="00223D01">
        <w:rPr>
          <w:lang w:val="fr-CH"/>
        </w:rPr>
        <w:t>.</w:t>
      </w:r>
      <w:r w:rsidR="00EE0359" w:rsidRPr="00223D01">
        <w:rPr>
          <w:lang w:val="fr-CH"/>
        </w:rPr>
        <w:t xml:space="preserve"> </w:t>
      </w:r>
      <w:r w:rsidRPr="00223D01">
        <w:rPr>
          <w:lang w:val="fr-CH"/>
        </w:rPr>
        <w:t xml:space="preserve">Or le cartouche féminin de cet obélisque </w:t>
      </w:r>
      <w:r w:rsidR="00DA4362" w:rsidRPr="00223D01">
        <w:rPr>
          <w:lang w:val="fr-CH"/>
        </w:rPr>
        <w:t xml:space="preserve">devait </w:t>
      </w:r>
      <w:r w:rsidRPr="00223D01">
        <w:rPr>
          <w:lang w:val="fr-CH"/>
        </w:rPr>
        <w:t>être celui d’une Cléopâtre</w:t>
      </w:r>
      <w:r w:rsidR="00051DDA" w:rsidRPr="00223D01">
        <w:rPr>
          <w:lang w:val="fr-CH"/>
        </w:rPr>
        <w:t xml:space="preserve"> (une inscription grecque sur le socle le laissait penser)</w:t>
      </w:r>
      <w:r w:rsidRPr="00223D01">
        <w:rPr>
          <w:lang w:val="fr-CH"/>
        </w:rPr>
        <w:t xml:space="preserve">. Comme le nom de Ptolémée </w:t>
      </w:r>
      <w:r w:rsidR="00F579F3" w:rsidRPr="00223D01">
        <w:rPr>
          <w:lang w:val="fr-CH"/>
        </w:rPr>
        <w:t xml:space="preserve">et celui de Cléopâtre </w:t>
      </w:r>
      <w:r w:rsidRPr="00223D01">
        <w:rPr>
          <w:lang w:val="fr-CH"/>
        </w:rPr>
        <w:t xml:space="preserve">possèdent des lettres semblables en grec, il </w:t>
      </w:r>
      <w:r w:rsidR="00900328" w:rsidRPr="00223D01">
        <w:rPr>
          <w:lang w:val="fr-CH"/>
        </w:rPr>
        <w:t>ne restait qu’à</w:t>
      </w:r>
      <w:r w:rsidRPr="00223D01">
        <w:rPr>
          <w:lang w:val="fr-CH"/>
        </w:rPr>
        <w:t xml:space="preserve"> comparer les signes hiéroglyphiques des deux cartouches et </w:t>
      </w:r>
      <w:r w:rsidR="005D13BA" w:rsidRPr="00223D01">
        <w:rPr>
          <w:lang w:val="fr-CH"/>
        </w:rPr>
        <w:t xml:space="preserve">à </w:t>
      </w:r>
      <w:r w:rsidRPr="00223D01">
        <w:rPr>
          <w:lang w:val="fr-CH"/>
        </w:rPr>
        <w:t xml:space="preserve">voir si les </w:t>
      </w:r>
      <w:r w:rsidR="00C75A73" w:rsidRPr="00223D01">
        <w:rPr>
          <w:lang w:val="fr-CH"/>
        </w:rPr>
        <w:t xml:space="preserve">mêmes </w:t>
      </w:r>
      <w:r w:rsidRPr="00223D01">
        <w:rPr>
          <w:lang w:val="fr-CH"/>
        </w:rPr>
        <w:t>hiéroglyphes pouvaient exprimer les mêmes sons</w:t>
      </w:r>
      <w:r w:rsidR="004F23BC" w:rsidRPr="00223D01">
        <w:rPr>
          <w:lang w:val="fr-CH"/>
        </w:rPr>
        <w:t xml:space="preserve">. Cela </w:t>
      </w:r>
      <w:r w:rsidRPr="00223D01">
        <w:rPr>
          <w:lang w:val="fr-CH"/>
        </w:rPr>
        <w:t xml:space="preserve">permettrait d’assurer la lecture entièrement phonétique des noms de souverains </w:t>
      </w:r>
      <w:r w:rsidR="00274E38" w:rsidRPr="00223D01">
        <w:rPr>
          <w:lang w:val="fr-CH"/>
        </w:rPr>
        <w:t>macédoniens</w:t>
      </w:r>
      <w:r w:rsidR="00480844" w:rsidRPr="00223D01">
        <w:rPr>
          <w:lang w:val="fr-CH"/>
        </w:rPr>
        <w:t xml:space="preserve"> d’Égypte</w:t>
      </w:r>
      <w:r w:rsidRPr="00223D01">
        <w:rPr>
          <w:lang w:val="fr-CH"/>
        </w:rPr>
        <w:t xml:space="preserve">. C’est ce que fit Champollion, conforté dans son hypothèse par le fait qu’il avait observé que c’était </w:t>
      </w:r>
      <w:r w:rsidR="00A53A6B" w:rsidRPr="00223D01">
        <w:rPr>
          <w:lang w:val="fr-CH"/>
        </w:rPr>
        <w:t>effectivement</w:t>
      </w:r>
      <w:r w:rsidRPr="00223D01">
        <w:rPr>
          <w:lang w:val="fr-CH"/>
        </w:rPr>
        <w:t xml:space="preserve"> le cas en démotique : Ptolémée et Cléopâtre y sont écrits avec plusieurs caractères identiques</w:t>
      </w:r>
      <w:r w:rsidR="00A65A03" w:rsidRPr="00223D01">
        <w:rPr>
          <w:lang w:val="fr-CH"/>
        </w:rPr>
        <w:t xml:space="preserve"> (</w:t>
      </w:r>
      <w:r w:rsidR="00A65A03" w:rsidRPr="00223D01">
        <w:rPr>
          <w:highlight w:val="yellow"/>
          <w:lang w:val="fr-CH"/>
        </w:rPr>
        <w:t>Fig. 14</w:t>
      </w:r>
      <w:r w:rsidR="00A65A03" w:rsidRPr="00223D01">
        <w:rPr>
          <w:lang w:val="fr-CH"/>
        </w:rPr>
        <w:t>)</w:t>
      </w:r>
      <w:r w:rsidRPr="00223D01">
        <w:rPr>
          <w:lang w:val="fr-CH"/>
        </w:rPr>
        <w:t>.</w:t>
      </w:r>
    </w:p>
    <w:p w14:paraId="25498067" w14:textId="60E8688D" w:rsidR="007C778F" w:rsidRPr="00223D01" w:rsidRDefault="007C778F" w:rsidP="005E6E06">
      <w:pPr>
        <w:spacing w:after="120"/>
        <w:ind w:left="284" w:right="561" w:firstLine="0"/>
        <w:rPr>
          <w:sz w:val="20"/>
          <w:lang w:val="fr-CH"/>
        </w:rPr>
      </w:pPr>
      <w:r w:rsidRPr="00223D01">
        <w:rPr>
          <w:sz w:val="20"/>
          <w:highlight w:val="yellow"/>
          <w:lang w:val="fr-CH"/>
        </w:rPr>
        <w:t>Figure 14.</w:t>
      </w:r>
      <w:r w:rsidRPr="00223D01">
        <w:rPr>
          <w:sz w:val="20"/>
          <w:lang w:val="fr-CH"/>
        </w:rPr>
        <w:t> </w:t>
      </w:r>
      <w:r w:rsidR="00D9742D" w:rsidRPr="00223D01">
        <w:rPr>
          <w:sz w:val="20"/>
          <w:lang w:val="fr-CH"/>
        </w:rPr>
        <w:t xml:space="preserve">Analyse des quatre premiers hiéroglyphes du cartouche de Cléopâtre dans la </w:t>
      </w:r>
      <w:r w:rsidR="00D9742D" w:rsidRPr="00223D01">
        <w:rPr>
          <w:i/>
          <w:iCs/>
          <w:sz w:val="20"/>
          <w:lang w:val="fr-CH"/>
        </w:rPr>
        <w:t>Lettre à M. Dacier</w:t>
      </w:r>
      <w:r w:rsidR="00D9742D" w:rsidRPr="00223D01">
        <w:rPr>
          <w:sz w:val="20"/>
          <w:lang w:val="fr-CH"/>
        </w:rPr>
        <w:t xml:space="preserve"> </w:t>
      </w:r>
      <w:r w:rsidR="008446E3" w:rsidRPr="00223D01">
        <w:rPr>
          <w:sz w:val="20"/>
          <w:lang w:val="fr-CH"/>
        </w:rPr>
        <w:t xml:space="preserve">(p. 8) </w:t>
      </w:r>
      <w:r w:rsidR="00BD7DC8" w:rsidRPr="00223D01">
        <w:rPr>
          <w:sz w:val="20"/>
          <w:lang w:val="fr-CH"/>
        </w:rPr>
        <w:t>et c</w:t>
      </w:r>
      <w:r w:rsidR="00D9742D" w:rsidRPr="00223D01">
        <w:rPr>
          <w:spacing w:val="4"/>
          <w:w w:val="103"/>
          <w:sz w:val="20"/>
          <w:lang w:val="fr-CH"/>
        </w:rPr>
        <w:t xml:space="preserve">artouche de Cléopâtre de l’obélisque de Philae tel qu’il est rendu sur la pl. 3 de la </w:t>
      </w:r>
      <w:r w:rsidR="00D9742D" w:rsidRPr="00223D01">
        <w:rPr>
          <w:i/>
          <w:iCs/>
          <w:spacing w:val="4"/>
          <w:w w:val="103"/>
          <w:sz w:val="20"/>
          <w:lang w:val="fr-CH"/>
        </w:rPr>
        <w:t>Lettre</w:t>
      </w:r>
      <w:r w:rsidR="00D9742D" w:rsidRPr="00223D01">
        <w:rPr>
          <w:spacing w:val="4"/>
          <w:w w:val="103"/>
          <w:sz w:val="20"/>
          <w:lang w:val="fr-CH"/>
        </w:rPr>
        <w:t>, avec identification des valeurs phonographiques grecques proposées par Champollion dans cet essai pour chacun des signes.</w:t>
      </w:r>
    </w:p>
    <w:p w14:paraId="49A3FDC0" w14:textId="703CEC33" w:rsidR="001320CB" w:rsidRPr="00223D01" w:rsidRDefault="001320CB" w:rsidP="00A4599A">
      <w:pPr>
        <w:rPr>
          <w:lang w:val="fr-CH"/>
        </w:rPr>
      </w:pPr>
      <w:r w:rsidRPr="00223D01">
        <w:rPr>
          <w:lang w:val="fr-CH"/>
        </w:rPr>
        <w:t>À partir de ces deux noms, il reconnaît la probable valeur phonographique de douze signes répondant à onze consonnes (et voyelles ou diphtongues) de l’alphabet grec. La valeur de ces signes deviendrait incontestable, selon les terme</w:t>
      </w:r>
      <w:r w:rsidR="006A2A1D" w:rsidRPr="00223D01">
        <w:rPr>
          <w:lang w:val="fr-CH"/>
        </w:rPr>
        <w:t>s</w:t>
      </w:r>
      <w:r w:rsidRPr="00223D01">
        <w:rPr>
          <w:lang w:val="fr-CH"/>
        </w:rPr>
        <w:t xml:space="preserve"> de </w:t>
      </w:r>
      <w:r w:rsidR="001953E6" w:rsidRPr="00223D01">
        <w:rPr>
          <w:lang w:val="fr-CH"/>
        </w:rPr>
        <w:t>Champollion</w:t>
      </w:r>
      <w:r w:rsidRPr="00223D01">
        <w:rPr>
          <w:lang w:val="fr-CH"/>
        </w:rPr>
        <w:t>, si « en appliquant ces valeurs à d’autres cartouches ou petits tableaux circonscrits, contenant des noms propres et tirés des monuments égyptien</w:t>
      </w:r>
      <w:r w:rsidR="00A4599A" w:rsidRPr="00223D01">
        <w:rPr>
          <w:lang w:val="fr-CH"/>
        </w:rPr>
        <w:t>s</w:t>
      </w:r>
      <w:r w:rsidRPr="00223D01">
        <w:rPr>
          <w:lang w:val="fr-CH"/>
        </w:rPr>
        <w:t xml:space="preserve"> hiéroglyphiques, on en fait sans effort une lecture régulière, produisant des noms propres de souverains, étrangers à la langue égyptienne. » (</w:t>
      </w:r>
      <w:r w:rsidR="00891D4C" w:rsidRPr="00223D01">
        <w:rPr>
          <w:i/>
          <w:iCs/>
          <w:lang w:val="fr-CH"/>
        </w:rPr>
        <w:t>Lettre à M. Dacier</w:t>
      </w:r>
      <w:r w:rsidR="00891D4C" w:rsidRPr="00223D01">
        <w:rPr>
          <w:lang w:val="fr-CH"/>
        </w:rPr>
        <w:t>,</w:t>
      </w:r>
      <w:r w:rsidR="00891D4C" w:rsidRPr="00223D01">
        <w:rPr>
          <w:i/>
          <w:iCs/>
          <w:lang w:val="fr-CH"/>
        </w:rPr>
        <w:t xml:space="preserve"> </w:t>
      </w:r>
      <w:r w:rsidRPr="00223D01">
        <w:rPr>
          <w:lang w:val="fr-CH"/>
        </w:rPr>
        <w:t>p. 9).</w:t>
      </w:r>
      <w:r w:rsidR="00555767" w:rsidRPr="00223D01">
        <w:rPr>
          <w:lang w:val="fr-CH"/>
        </w:rPr>
        <w:t xml:space="preserve"> Et c’est là que son encyclopédisme égyptologique prend tout</w:t>
      </w:r>
      <w:r w:rsidR="00E10562" w:rsidRPr="00223D01">
        <w:rPr>
          <w:lang w:val="fr-CH"/>
        </w:rPr>
        <w:t xml:space="preserve"> son sens dans la perspective du déchiffrement</w:t>
      </w:r>
      <w:r w:rsidR="00555767" w:rsidRPr="00223D01">
        <w:rPr>
          <w:lang w:val="fr-CH"/>
        </w:rPr>
        <w:t xml:space="preserve"> : loin de se limiter à la Pierre de Rosette, il avait depuis toujours collecté </w:t>
      </w:r>
      <w:r w:rsidR="00E422B5" w:rsidRPr="00223D01">
        <w:rPr>
          <w:lang w:val="fr-CH"/>
        </w:rPr>
        <w:t>toutes les sources possibles</w:t>
      </w:r>
      <w:r w:rsidR="00BD710C" w:rsidRPr="00223D01">
        <w:rPr>
          <w:lang w:val="fr-CH"/>
        </w:rPr>
        <w:t xml:space="preserve">. Ces dernières vont être directement mobilisées pour vérifier l’hypothèse émise à partir des noms de Ptolémée et </w:t>
      </w:r>
      <w:r w:rsidR="00A01DF6" w:rsidRPr="00223D01">
        <w:rPr>
          <w:lang w:val="fr-CH"/>
        </w:rPr>
        <w:t xml:space="preserve">de </w:t>
      </w:r>
      <w:r w:rsidR="00BD710C" w:rsidRPr="00223D01">
        <w:rPr>
          <w:lang w:val="fr-CH"/>
        </w:rPr>
        <w:t>Cléopâtre</w:t>
      </w:r>
      <w:r w:rsidR="00652D4A" w:rsidRPr="00223D01">
        <w:rPr>
          <w:lang w:val="fr-CH"/>
        </w:rPr>
        <w:t xml:space="preserve"> (</w:t>
      </w:r>
      <w:r w:rsidR="00652D4A" w:rsidRPr="00223D01">
        <w:rPr>
          <w:highlight w:val="yellow"/>
          <w:lang w:val="fr-CH"/>
        </w:rPr>
        <w:t>Fig. 15</w:t>
      </w:r>
      <w:r w:rsidR="00652D4A" w:rsidRPr="00223D01">
        <w:rPr>
          <w:lang w:val="fr-CH"/>
        </w:rPr>
        <w:t>)</w:t>
      </w:r>
      <w:r w:rsidR="00BD710C" w:rsidRPr="00223D01">
        <w:rPr>
          <w:lang w:val="fr-CH"/>
        </w:rPr>
        <w:t>.</w:t>
      </w:r>
    </w:p>
    <w:p w14:paraId="4435CF8D" w14:textId="2C1C9194" w:rsidR="00A8778B" w:rsidRPr="00223D01" w:rsidRDefault="00A4599A" w:rsidP="00BB0683">
      <w:pPr>
        <w:ind w:left="284" w:right="561" w:firstLine="0"/>
        <w:rPr>
          <w:sz w:val="20"/>
          <w:lang w:val="fr-CH"/>
        </w:rPr>
      </w:pPr>
      <w:r w:rsidRPr="00223D01">
        <w:rPr>
          <w:sz w:val="20"/>
          <w:highlight w:val="yellow"/>
          <w:lang w:val="fr-CH"/>
        </w:rPr>
        <w:t>Fig. </w:t>
      </w:r>
      <w:r w:rsidR="00A8778B" w:rsidRPr="00223D01">
        <w:rPr>
          <w:sz w:val="20"/>
          <w:highlight w:val="yellow"/>
          <w:lang w:val="fr-CH"/>
        </w:rPr>
        <w:t>1</w:t>
      </w:r>
      <w:r w:rsidR="00AC198B" w:rsidRPr="00223D01">
        <w:rPr>
          <w:sz w:val="20"/>
          <w:highlight w:val="yellow"/>
          <w:lang w:val="fr-CH"/>
        </w:rPr>
        <w:t>5</w:t>
      </w:r>
      <w:r w:rsidR="00A8778B" w:rsidRPr="00223D01">
        <w:rPr>
          <w:sz w:val="20"/>
          <w:highlight w:val="yellow"/>
          <w:lang w:val="fr-CH"/>
        </w:rPr>
        <w:t>.</w:t>
      </w:r>
      <w:r w:rsidR="00A8778B" w:rsidRPr="00223D01">
        <w:rPr>
          <w:sz w:val="20"/>
          <w:lang w:val="fr-CH"/>
        </w:rPr>
        <w:t xml:space="preserve"> Sur cette première planche accompagnant la </w:t>
      </w:r>
      <w:r w:rsidR="00A8778B" w:rsidRPr="00223D01">
        <w:rPr>
          <w:i/>
          <w:iCs/>
          <w:sz w:val="20"/>
          <w:lang w:val="fr-CH"/>
        </w:rPr>
        <w:t>Lettre à M. Dacier</w:t>
      </w:r>
      <w:r w:rsidR="00A8778B" w:rsidRPr="00223D01">
        <w:rPr>
          <w:sz w:val="20"/>
          <w:lang w:val="fr-CH"/>
        </w:rPr>
        <w:t xml:space="preserve"> on trouve les noms en démotique tiré de l’inscription de Rosette (1–12) </w:t>
      </w:r>
      <w:r w:rsidR="003A62D0" w:rsidRPr="00223D01">
        <w:rPr>
          <w:spacing w:val="4"/>
          <w:w w:val="103"/>
          <w:sz w:val="20"/>
          <w:lang w:val="fr-CH"/>
        </w:rPr>
        <w:t>— </w:t>
      </w:r>
      <w:r w:rsidR="00773F7A" w:rsidRPr="00223D01">
        <w:rPr>
          <w:sz w:val="20"/>
          <w:lang w:val="fr-CH"/>
        </w:rPr>
        <w:t xml:space="preserve">parmi lesquels </w:t>
      </w:r>
      <w:r w:rsidR="00A8778B" w:rsidRPr="00223D01">
        <w:rPr>
          <w:sz w:val="20"/>
          <w:lang w:val="fr-CH"/>
        </w:rPr>
        <w:t>on lit notamment ceux des rois et reines Alexandre (1), Ptolémée (2), Arsinoé (3) et Bérénice (4)</w:t>
      </w:r>
      <w:r w:rsidR="003A62D0" w:rsidRPr="00223D01">
        <w:rPr>
          <w:sz w:val="20"/>
          <w:lang w:val="fr-CH"/>
        </w:rPr>
        <w:t> </w:t>
      </w:r>
      <w:r w:rsidR="003A62D0" w:rsidRPr="00223D01">
        <w:rPr>
          <w:spacing w:val="4"/>
          <w:w w:val="103"/>
          <w:sz w:val="20"/>
          <w:lang w:val="fr-CH"/>
        </w:rPr>
        <w:t xml:space="preserve">— </w:t>
      </w:r>
      <w:r w:rsidR="00A8778B" w:rsidRPr="00223D01">
        <w:rPr>
          <w:sz w:val="20"/>
          <w:lang w:val="fr-CH"/>
        </w:rPr>
        <w:t>et d’un papyrus démotique, ainsi que les cartouches hiéroglyphiques des souverains nommés Ptolémée, Cléopâtre, Bérénice et César collectés sur différents monuments.</w:t>
      </w:r>
    </w:p>
    <w:p w14:paraId="4E60EF47" w14:textId="11E3F4F8" w:rsidR="001320CB" w:rsidRPr="00223D01" w:rsidRDefault="00061FBB" w:rsidP="00A4599A">
      <w:pPr>
        <w:rPr>
          <w:lang w:val="fr-CH"/>
        </w:rPr>
      </w:pPr>
      <w:r w:rsidRPr="00223D01">
        <w:rPr>
          <w:lang w:val="fr-CH"/>
        </w:rPr>
        <w:t xml:space="preserve">Et le système fonctionne ! </w:t>
      </w:r>
      <w:r w:rsidR="001320CB" w:rsidRPr="00223D01">
        <w:rPr>
          <w:lang w:val="fr-CH"/>
        </w:rPr>
        <w:t xml:space="preserve">Il est </w:t>
      </w:r>
      <w:r w:rsidR="006353B0" w:rsidRPr="00223D01">
        <w:rPr>
          <w:lang w:val="fr-CH"/>
        </w:rPr>
        <w:t xml:space="preserve">désormais </w:t>
      </w:r>
      <w:r w:rsidR="001320CB" w:rsidRPr="00223D01">
        <w:rPr>
          <w:lang w:val="fr-CH"/>
        </w:rPr>
        <w:t>capable de lire des noms aussi variés qu’Alexandre, Bérénice, Cléopâtre</w:t>
      </w:r>
      <w:r w:rsidR="00E60702" w:rsidRPr="00223D01">
        <w:rPr>
          <w:lang w:val="fr-CH"/>
        </w:rPr>
        <w:t xml:space="preserve"> et Ptolémée</w:t>
      </w:r>
      <w:r w:rsidR="001320CB" w:rsidRPr="00223D01">
        <w:rPr>
          <w:lang w:val="fr-CH"/>
        </w:rPr>
        <w:t>. Ayant validé sa méthode sur ces noms propres</w:t>
      </w:r>
      <w:r w:rsidR="006362E3" w:rsidRPr="00223D01">
        <w:rPr>
          <w:lang w:val="fr-CH"/>
        </w:rPr>
        <w:t xml:space="preserve"> grecs</w:t>
      </w:r>
      <w:r w:rsidR="001320CB" w:rsidRPr="00223D01">
        <w:rPr>
          <w:lang w:val="fr-CH"/>
        </w:rPr>
        <w:t xml:space="preserve">, il s’adresse au secrétaire perpétuel, destinataire de la </w:t>
      </w:r>
      <w:r w:rsidR="001320CB" w:rsidRPr="00223D01">
        <w:rPr>
          <w:i/>
          <w:iCs/>
          <w:lang w:val="fr-CH"/>
        </w:rPr>
        <w:t>Lettre</w:t>
      </w:r>
      <w:r w:rsidR="001320CB" w:rsidRPr="00223D01">
        <w:rPr>
          <w:lang w:val="fr-CH"/>
        </w:rPr>
        <w:t>, en ces termes : « </w:t>
      </w:r>
      <w:r w:rsidR="00132544" w:rsidRPr="00223D01">
        <w:rPr>
          <w:lang w:val="fr-CH"/>
        </w:rPr>
        <w:t>[v]</w:t>
      </w:r>
      <w:proofErr w:type="spellStart"/>
      <w:r w:rsidR="001320CB" w:rsidRPr="00223D01">
        <w:rPr>
          <w:lang w:val="fr-CH"/>
        </w:rPr>
        <w:t>ous</w:t>
      </w:r>
      <w:proofErr w:type="spellEnd"/>
      <w:r w:rsidR="001320CB" w:rsidRPr="00223D01">
        <w:rPr>
          <w:lang w:val="fr-CH"/>
        </w:rPr>
        <w:t xml:space="preserve"> partagerez sans doute aussi, monsieur, toute ma surprise, lorsque le même alphabet hiéroglyphique phonétique appliqué à une foule d’autres cartouches gravés dans le même ouvrage [la </w:t>
      </w:r>
      <w:r w:rsidR="001320CB" w:rsidRPr="00223D01">
        <w:rPr>
          <w:i/>
          <w:iCs/>
          <w:lang w:val="fr-CH"/>
        </w:rPr>
        <w:t>Description de l’Égypte</w:t>
      </w:r>
      <w:r w:rsidR="001320CB" w:rsidRPr="00223D01">
        <w:rPr>
          <w:lang w:val="fr-CH"/>
        </w:rPr>
        <w:t xml:space="preserve">], vous donnera les titres, les noms et jusqu’aux surnoms des empereurs romains, énoncés en </w:t>
      </w:r>
      <w:r w:rsidR="001320CB" w:rsidRPr="00223D01">
        <w:rPr>
          <w:i/>
          <w:iCs/>
          <w:lang w:val="fr-CH"/>
        </w:rPr>
        <w:t>langue grecque</w:t>
      </w:r>
      <w:r w:rsidR="001320CB" w:rsidRPr="00223D01">
        <w:rPr>
          <w:lang w:val="fr-CH"/>
        </w:rPr>
        <w:t xml:space="preserve"> et écrits avec ces mêmes hiéroglyphes phonétiques. » (</w:t>
      </w:r>
      <w:r w:rsidR="001320CB" w:rsidRPr="00223D01">
        <w:rPr>
          <w:i/>
          <w:iCs/>
          <w:lang w:val="fr-CH"/>
        </w:rPr>
        <w:t>Lettre à</w:t>
      </w:r>
      <w:r w:rsidR="003C6F46">
        <w:rPr>
          <w:i/>
          <w:iCs/>
          <w:lang w:val="fr-CH"/>
        </w:rPr>
        <w:t xml:space="preserve"> M. </w:t>
      </w:r>
      <w:r w:rsidR="001320CB" w:rsidRPr="00223D01">
        <w:rPr>
          <w:i/>
          <w:iCs/>
          <w:lang w:val="fr-CH"/>
        </w:rPr>
        <w:t>Dacier</w:t>
      </w:r>
      <w:r w:rsidR="001320CB" w:rsidRPr="00223D01">
        <w:rPr>
          <w:lang w:val="fr-CH"/>
        </w:rPr>
        <w:t>, p. 24).</w:t>
      </w:r>
      <w:r w:rsidR="0071304B" w:rsidRPr="00223D01">
        <w:rPr>
          <w:lang w:val="fr-CH"/>
        </w:rPr>
        <w:t xml:space="preserve"> C’est donc toute la période d’occupation </w:t>
      </w:r>
      <w:r w:rsidR="005B0C96" w:rsidRPr="00223D01">
        <w:rPr>
          <w:lang w:val="fr-CH"/>
        </w:rPr>
        <w:t>gréco-romaine</w:t>
      </w:r>
      <w:r w:rsidR="0071304B" w:rsidRPr="00223D01">
        <w:rPr>
          <w:lang w:val="fr-CH"/>
        </w:rPr>
        <w:t xml:space="preserve"> de l’Égypte qui devient soudain </w:t>
      </w:r>
      <w:r w:rsidR="00816637" w:rsidRPr="00223D01">
        <w:rPr>
          <w:lang w:val="fr-CH"/>
        </w:rPr>
        <w:t>« </w:t>
      </w:r>
      <w:r w:rsidR="0071304B" w:rsidRPr="00223D01">
        <w:rPr>
          <w:lang w:val="fr-CH"/>
        </w:rPr>
        <w:t>lisible</w:t>
      </w:r>
      <w:r w:rsidR="00816637" w:rsidRPr="00223D01">
        <w:rPr>
          <w:lang w:val="fr-CH"/>
        </w:rPr>
        <w:t> »</w:t>
      </w:r>
      <w:r w:rsidR="0071304B" w:rsidRPr="00223D01">
        <w:rPr>
          <w:lang w:val="fr-CH"/>
        </w:rPr>
        <w:t xml:space="preserve"> dans les source</w:t>
      </w:r>
      <w:r w:rsidR="00BA7C34" w:rsidRPr="00223D01">
        <w:rPr>
          <w:lang w:val="fr-CH"/>
        </w:rPr>
        <w:t>s égyptienne</w:t>
      </w:r>
      <w:r w:rsidR="00816637" w:rsidRPr="00223D01">
        <w:rPr>
          <w:lang w:val="fr-CH"/>
        </w:rPr>
        <w:t>s</w:t>
      </w:r>
      <w:r w:rsidR="00BA7C34" w:rsidRPr="00223D01">
        <w:rPr>
          <w:lang w:val="fr-CH"/>
        </w:rPr>
        <w:t>, avec les conséquence</w:t>
      </w:r>
      <w:r w:rsidR="009F3691" w:rsidRPr="00223D01">
        <w:rPr>
          <w:lang w:val="fr-CH"/>
        </w:rPr>
        <w:t>s</w:t>
      </w:r>
      <w:r w:rsidR="00BA7C34" w:rsidRPr="00223D01">
        <w:rPr>
          <w:lang w:val="fr-CH"/>
        </w:rPr>
        <w:t xml:space="preserve"> que l’on imagine en matière de datation de sources jusqu’alors muettes.</w:t>
      </w:r>
    </w:p>
    <w:p w14:paraId="694170D8" w14:textId="59428B8B" w:rsidR="00E26999" w:rsidRPr="00223D01" w:rsidRDefault="00E26999" w:rsidP="000708AE">
      <w:pPr>
        <w:rPr>
          <w:lang w:val="fr-CH"/>
        </w:rPr>
      </w:pPr>
      <w:r w:rsidRPr="00223D01">
        <w:rPr>
          <w:lang w:val="fr-CH"/>
        </w:rPr>
        <w:t xml:space="preserve">Il insiste d’ailleurs dans son </w:t>
      </w:r>
      <w:r w:rsidRPr="00223D01">
        <w:rPr>
          <w:i/>
          <w:iCs/>
          <w:lang w:val="fr-CH"/>
        </w:rPr>
        <w:t>Précis</w:t>
      </w:r>
      <w:r w:rsidRPr="00223D01">
        <w:rPr>
          <w:lang w:val="fr-CH"/>
        </w:rPr>
        <w:t xml:space="preserve"> sur le fait que le premier résultat de son déchiffrement avec la </w:t>
      </w:r>
      <w:r w:rsidRPr="00223D01">
        <w:rPr>
          <w:i/>
          <w:iCs/>
          <w:lang w:val="fr-CH"/>
        </w:rPr>
        <w:t>Lettre à M. Dacier</w:t>
      </w:r>
      <w:r w:rsidRPr="00223D01">
        <w:rPr>
          <w:lang w:val="fr-CH"/>
        </w:rPr>
        <w:t xml:space="preserve"> « a été de fixer irrévocablement la chronologie des </w:t>
      </w:r>
      <w:proofErr w:type="spellStart"/>
      <w:r w:rsidRPr="00223D01">
        <w:rPr>
          <w:lang w:val="fr-CH"/>
        </w:rPr>
        <w:t>monumens</w:t>
      </w:r>
      <w:proofErr w:type="spellEnd"/>
      <w:r w:rsidRPr="00223D01">
        <w:rPr>
          <w:lang w:val="fr-CH"/>
        </w:rPr>
        <w:t xml:space="preserve"> de l’Égypte, vaste sujet de dissidence dans le monde savant (…) »</w:t>
      </w:r>
      <w:r w:rsidRPr="00223D01">
        <w:rPr>
          <w:i/>
          <w:iCs/>
          <w:lang w:val="fr-CH"/>
        </w:rPr>
        <w:t xml:space="preserve"> </w:t>
      </w:r>
      <w:r w:rsidRPr="00223D01">
        <w:rPr>
          <w:lang w:val="fr-CH"/>
        </w:rPr>
        <w:t>(</w:t>
      </w:r>
      <w:r w:rsidRPr="00223D01">
        <w:rPr>
          <w:i/>
          <w:iCs/>
          <w:lang w:val="fr-CH"/>
        </w:rPr>
        <w:t>Précis</w:t>
      </w:r>
      <w:r w:rsidRPr="00223D01">
        <w:rPr>
          <w:lang w:val="fr-CH"/>
        </w:rPr>
        <w:t>,</w:t>
      </w:r>
      <w:r w:rsidRPr="00223D01">
        <w:rPr>
          <w:i/>
          <w:iCs/>
          <w:lang w:val="fr-CH"/>
        </w:rPr>
        <w:t xml:space="preserve"> </w:t>
      </w:r>
      <w:r w:rsidRPr="00223D01">
        <w:rPr>
          <w:lang w:val="fr-CH"/>
        </w:rPr>
        <w:t>p. </w:t>
      </w:r>
      <w:proofErr w:type="spellStart"/>
      <w:r w:rsidRPr="00223D01">
        <w:rPr>
          <w:lang w:val="fr-CH"/>
        </w:rPr>
        <w:t>viij</w:t>
      </w:r>
      <w:proofErr w:type="spellEnd"/>
      <w:r w:rsidRPr="00223D01">
        <w:rPr>
          <w:lang w:val="fr-CH"/>
        </w:rPr>
        <w:t>). La question de la datation du fameux zodiaque de Dend</w:t>
      </w:r>
      <w:r w:rsidR="0009758D" w:rsidRPr="00223D01">
        <w:rPr>
          <w:lang w:val="fr-CH"/>
        </w:rPr>
        <w:t>é</w:t>
      </w:r>
      <w:r w:rsidRPr="00223D01">
        <w:rPr>
          <w:lang w:val="fr-CH"/>
        </w:rPr>
        <w:t>ra</w:t>
      </w:r>
      <w:r w:rsidR="0009758D" w:rsidRPr="00223D01">
        <w:rPr>
          <w:lang w:val="fr-CH"/>
        </w:rPr>
        <w:t>h</w:t>
      </w:r>
      <w:r w:rsidRPr="00223D01">
        <w:rPr>
          <w:lang w:val="fr-CH"/>
        </w:rPr>
        <w:t xml:space="preserve"> (</w:t>
      </w:r>
      <w:r w:rsidRPr="00223D01">
        <w:rPr>
          <w:highlight w:val="yellow"/>
          <w:lang w:val="fr-CH"/>
        </w:rPr>
        <w:t>Fig. </w:t>
      </w:r>
      <w:r w:rsidR="0009758D" w:rsidRPr="00223D01">
        <w:rPr>
          <w:highlight w:val="yellow"/>
          <w:lang w:val="fr-CH"/>
        </w:rPr>
        <w:t>1</w:t>
      </w:r>
      <w:r w:rsidR="009F1A14" w:rsidRPr="00223D01">
        <w:rPr>
          <w:highlight w:val="yellow"/>
          <w:lang w:val="fr-CH"/>
        </w:rPr>
        <w:t>6</w:t>
      </w:r>
      <w:r w:rsidR="0009758D" w:rsidRPr="00223D01">
        <w:rPr>
          <w:lang w:val="fr-CH"/>
        </w:rPr>
        <w:t>)</w:t>
      </w:r>
      <w:r w:rsidRPr="00223D01">
        <w:rPr>
          <w:lang w:val="fr-CH"/>
        </w:rPr>
        <w:t xml:space="preserve">, par exemple, qui avait fait l’objet </w:t>
      </w:r>
      <w:r w:rsidR="00537D25" w:rsidRPr="00223D01">
        <w:rPr>
          <w:lang w:val="fr-CH"/>
        </w:rPr>
        <w:t xml:space="preserve">de </w:t>
      </w:r>
      <w:r w:rsidRPr="00223D01">
        <w:rPr>
          <w:lang w:val="fr-CH"/>
        </w:rPr>
        <w:t>débats houleux entre savants</w:t>
      </w:r>
      <w:r w:rsidR="000070C7" w:rsidRPr="00223D01">
        <w:rPr>
          <w:lang w:val="fr-CH"/>
        </w:rPr>
        <w:t xml:space="preserve"> en raison de </w:t>
      </w:r>
      <w:r w:rsidR="007A254B" w:rsidRPr="00223D01">
        <w:rPr>
          <w:lang w:val="fr-CH"/>
        </w:rPr>
        <w:t>s</w:t>
      </w:r>
      <w:r w:rsidR="000070C7" w:rsidRPr="00223D01">
        <w:rPr>
          <w:lang w:val="fr-CH"/>
        </w:rPr>
        <w:t>a potentielle remise en cause de la chronologie biblique</w:t>
      </w:r>
      <w:r w:rsidRPr="00223D01">
        <w:rPr>
          <w:lang w:val="fr-CH"/>
        </w:rPr>
        <w:t>, est définitivement réglée</w:t>
      </w:r>
      <w:r w:rsidR="003531AD" w:rsidRPr="00223D01">
        <w:rPr>
          <w:lang w:val="fr-CH"/>
        </w:rPr>
        <w:t xml:space="preserve"> (au plus grand soulagement de l’Église)</w:t>
      </w:r>
      <w:r w:rsidR="00440923" w:rsidRPr="00223D01">
        <w:rPr>
          <w:lang w:val="fr-CH"/>
        </w:rPr>
        <w:t> :</w:t>
      </w:r>
      <w:r w:rsidR="003531AD" w:rsidRPr="00223D01">
        <w:rPr>
          <w:lang w:val="fr-CH"/>
        </w:rPr>
        <w:t xml:space="preserve"> </w:t>
      </w:r>
      <w:r w:rsidR="00440923" w:rsidRPr="00223D01">
        <w:rPr>
          <w:lang w:val="fr-CH"/>
        </w:rPr>
        <w:t>o</w:t>
      </w:r>
      <w:r w:rsidRPr="00223D01">
        <w:rPr>
          <w:lang w:val="fr-CH"/>
        </w:rPr>
        <w:t>n trouve (sur un bloc resté en Égypte</w:t>
      </w:r>
      <w:r w:rsidR="00044473" w:rsidRPr="00223D01">
        <w:rPr>
          <w:lang w:val="fr-CH"/>
        </w:rPr>
        <w:t>,</w:t>
      </w:r>
      <w:r w:rsidRPr="00223D01">
        <w:rPr>
          <w:lang w:val="fr-CH"/>
        </w:rPr>
        <w:t xml:space="preserve"> mais copié par les savant</w:t>
      </w:r>
      <w:r w:rsidR="00044473" w:rsidRPr="00223D01">
        <w:rPr>
          <w:lang w:val="fr-CH"/>
        </w:rPr>
        <w:t>s</w:t>
      </w:r>
      <w:r w:rsidRPr="00223D01">
        <w:rPr>
          <w:lang w:val="fr-CH"/>
        </w:rPr>
        <w:t xml:space="preserve"> de l’expédition d’Égypte) un cartouche avec le </w:t>
      </w:r>
      <w:r w:rsidRPr="00223D01">
        <w:rPr>
          <w:lang w:val="fr-CH"/>
        </w:rPr>
        <w:lastRenderedPageBreak/>
        <w:t xml:space="preserve">titre </w:t>
      </w:r>
      <w:proofErr w:type="spellStart"/>
      <w:r w:rsidRPr="00223D01">
        <w:rPr>
          <w:i/>
          <w:iCs/>
          <w:lang w:val="fr-CH"/>
        </w:rPr>
        <w:t>autocrator</w:t>
      </w:r>
      <w:proofErr w:type="spellEnd"/>
      <w:r w:rsidRPr="00223D01">
        <w:rPr>
          <w:i/>
          <w:iCs/>
          <w:lang w:val="fr-CH"/>
        </w:rPr>
        <w:t xml:space="preserve"> </w:t>
      </w:r>
      <w:r w:rsidRPr="00223D01">
        <w:rPr>
          <w:lang w:val="fr-CH"/>
        </w:rPr>
        <w:t>(p. 25 &amp; pl. II, 50), ce qui établit de manière indubitable que le zodiaque et les scènes l’accompagnant ont été « sculptés par des mains égyptiennes sous la domination des Romains ».</w:t>
      </w:r>
    </w:p>
    <w:p w14:paraId="2003E176" w14:textId="0BB9C95E" w:rsidR="00417BA3" w:rsidRPr="00223D01" w:rsidRDefault="00044473" w:rsidP="009D4C2D">
      <w:pPr>
        <w:ind w:left="284" w:right="561" w:firstLine="0"/>
        <w:rPr>
          <w:sz w:val="20"/>
          <w:lang w:val="fr-CH"/>
        </w:rPr>
      </w:pPr>
      <w:r w:rsidRPr="00223D01">
        <w:rPr>
          <w:sz w:val="20"/>
          <w:highlight w:val="yellow"/>
          <w:lang w:val="fr-CH"/>
        </w:rPr>
        <w:t>Fig. </w:t>
      </w:r>
      <w:r w:rsidR="00417BA3" w:rsidRPr="00223D01">
        <w:rPr>
          <w:sz w:val="20"/>
          <w:highlight w:val="yellow"/>
          <w:lang w:val="fr-CH"/>
        </w:rPr>
        <w:t>1</w:t>
      </w:r>
      <w:r w:rsidR="009F1A14" w:rsidRPr="00223D01">
        <w:rPr>
          <w:sz w:val="20"/>
          <w:highlight w:val="yellow"/>
          <w:lang w:val="fr-CH"/>
        </w:rPr>
        <w:t>6</w:t>
      </w:r>
      <w:r w:rsidR="00417BA3" w:rsidRPr="00223D01">
        <w:rPr>
          <w:sz w:val="20"/>
          <w:highlight w:val="yellow"/>
          <w:lang w:val="fr-CH"/>
        </w:rPr>
        <w:t>.</w:t>
      </w:r>
      <w:r w:rsidR="00417BA3" w:rsidRPr="00223D01">
        <w:rPr>
          <w:sz w:val="20"/>
          <w:lang w:val="fr-CH"/>
        </w:rPr>
        <w:t xml:space="preserve"> </w:t>
      </w:r>
      <w:r w:rsidR="00D02BA7" w:rsidRPr="00223D01">
        <w:rPr>
          <w:sz w:val="20"/>
          <w:lang w:val="fr-CH"/>
        </w:rPr>
        <w:t xml:space="preserve">Zodiaque de Dendérah </w:t>
      </w:r>
      <w:r w:rsidR="008E5519" w:rsidRPr="00223D01">
        <w:rPr>
          <w:sz w:val="20"/>
          <w:lang w:val="fr-CH"/>
        </w:rPr>
        <w:t xml:space="preserve">(© 2008 Musée du Louvre / Christian </w:t>
      </w:r>
      <w:proofErr w:type="spellStart"/>
      <w:r w:rsidR="008E5519" w:rsidRPr="00223D01">
        <w:rPr>
          <w:sz w:val="20"/>
          <w:lang w:val="fr-CH"/>
        </w:rPr>
        <w:t>Décamps</w:t>
      </w:r>
      <w:proofErr w:type="spellEnd"/>
      <w:r w:rsidR="008E5519" w:rsidRPr="00223D01">
        <w:rPr>
          <w:sz w:val="20"/>
          <w:lang w:val="fr-CH"/>
        </w:rPr>
        <w:t>)</w:t>
      </w:r>
      <w:r w:rsidR="008711BE" w:rsidRPr="00223D01">
        <w:rPr>
          <w:sz w:val="20"/>
          <w:lang w:val="fr-CH"/>
        </w:rPr>
        <w:t>.</w:t>
      </w:r>
    </w:p>
    <w:p w14:paraId="3220F551" w14:textId="407BA568" w:rsidR="00036CD4" w:rsidRPr="00223D01" w:rsidRDefault="00393720" w:rsidP="00044473">
      <w:pPr>
        <w:rPr>
          <w:lang w:val="fr-CH"/>
        </w:rPr>
      </w:pPr>
      <w:r w:rsidRPr="00223D01">
        <w:rPr>
          <w:lang w:val="fr-CH"/>
        </w:rPr>
        <w:t xml:space="preserve">On voit donc que Champollion </w:t>
      </w:r>
      <w:r w:rsidR="00036CD4" w:rsidRPr="00223D01">
        <w:rPr>
          <w:lang w:val="fr-CH"/>
        </w:rPr>
        <w:t>s’affranchi</w:t>
      </w:r>
      <w:r w:rsidRPr="00223D01">
        <w:rPr>
          <w:lang w:val="fr-CH"/>
        </w:rPr>
        <w:t xml:space="preserve">t largement de </w:t>
      </w:r>
      <w:r w:rsidR="00036CD4" w:rsidRPr="00223D01">
        <w:rPr>
          <w:lang w:val="fr-CH"/>
        </w:rPr>
        <w:t>la Pierre de Rosette qui ne contenait que le seul nom de « Ptolémée »</w:t>
      </w:r>
      <w:r w:rsidR="009E1427" w:rsidRPr="00223D01">
        <w:rPr>
          <w:lang w:val="fr-CH"/>
        </w:rPr>
        <w:t xml:space="preserve"> dans le texte hiéroglyphique</w:t>
      </w:r>
      <w:r w:rsidR="00036CD4" w:rsidRPr="00223D01">
        <w:rPr>
          <w:lang w:val="fr-CH"/>
        </w:rPr>
        <w:t xml:space="preserve"> et appliqu</w:t>
      </w:r>
      <w:r w:rsidR="00B13656" w:rsidRPr="00223D01">
        <w:rPr>
          <w:lang w:val="fr-CH"/>
        </w:rPr>
        <w:t xml:space="preserve">e </w:t>
      </w:r>
      <w:r w:rsidR="00036CD4" w:rsidRPr="00223D01">
        <w:rPr>
          <w:lang w:val="fr-CH"/>
        </w:rPr>
        <w:t xml:space="preserve">sa méthode de lecture phonographique à </w:t>
      </w:r>
      <w:r w:rsidR="00DC721B" w:rsidRPr="00223D01">
        <w:rPr>
          <w:lang w:val="fr-CH"/>
        </w:rPr>
        <w:t>bien d’autres sources</w:t>
      </w:r>
      <w:r w:rsidR="00036CD4" w:rsidRPr="00223D01">
        <w:rPr>
          <w:lang w:val="fr-CH"/>
        </w:rPr>
        <w:t xml:space="preserve">. Il reconnaît en outre, ce qui se révèlera </w:t>
      </w:r>
      <w:r w:rsidR="00903069" w:rsidRPr="00223D01">
        <w:rPr>
          <w:lang w:val="fr-CH"/>
        </w:rPr>
        <w:t xml:space="preserve">fondamental </w:t>
      </w:r>
      <w:r w:rsidR="00036CD4" w:rsidRPr="00223D01">
        <w:rPr>
          <w:lang w:val="fr-CH"/>
        </w:rPr>
        <w:t xml:space="preserve">pour la suite, que les signes hiéroglyphiques à valeur phonographique ne sont pas choisis au hasard : si la bouche </w:t>
      </w:r>
      <w:r w:rsidR="00036CD4" w:rsidRPr="00223D01">
        <w:rPr>
          <w:noProof/>
          <w:position w:val="-4"/>
          <w:lang w:val="fr-CH"/>
        </w:rPr>
        <w:drawing>
          <wp:inline distT="0" distB="0" distL="0" distR="0" wp14:anchorId="17B46314" wp14:editId="7E49B521">
            <wp:extent cx="177800" cy="1778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800" cy="177800"/>
                    </a:xfrm>
                    <a:prstGeom prst="rect">
                      <a:avLst/>
                    </a:prstGeom>
                  </pic:spPr>
                </pic:pic>
              </a:graphicData>
            </a:graphic>
          </wp:inline>
        </w:drawing>
      </w:r>
      <w:r w:rsidR="00036CD4" w:rsidRPr="00223D01">
        <w:rPr>
          <w:lang w:val="fr-CH"/>
        </w:rPr>
        <w:t xml:space="preserve"> note le son /r/, par exemple, c’est parce que la bouche se dit </w:t>
      </w:r>
      <w:proofErr w:type="spellStart"/>
      <w:r w:rsidR="00036CD4" w:rsidRPr="00223D01">
        <w:rPr>
          <w:i/>
          <w:iCs/>
          <w:lang w:val="fr-CH"/>
        </w:rPr>
        <w:t>ro</w:t>
      </w:r>
      <w:proofErr w:type="spellEnd"/>
      <w:r w:rsidR="00036CD4" w:rsidRPr="00223D01">
        <w:rPr>
          <w:lang w:val="fr-CH"/>
        </w:rPr>
        <w:t xml:space="preserve"> en copte, dont la première articulation est bien un /r/. Cette dérivation par acrophonie montre qu’il existe un lien essentiel entre l’écriture égyptienne et la langue des pharaons et lève, dans les termes de Champollion lui-même, « toute incertitude sur la vérité du principe » qu’il défend.</w:t>
      </w:r>
    </w:p>
    <w:p w14:paraId="18111A2B" w14:textId="6BA680BF" w:rsidR="00636FE2" w:rsidRPr="00223D01" w:rsidRDefault="000267D2" w:rsidP="00D30199">
      <w:pPr>
        <w:rPr>
          <w:lang w:val="fr-CH"/>
        </w:rPr>
      </w:pPr>
      <w:r w:rsidRPr="00223D01">
        <w:rPr>
          <w:lang w:val="fr-CH"/>
        </w:rPr>
        <w:t xml:space="preserve">La </w:t>
      </w:r>
      <w:r w:rsidRPr="00223D01">
        <w:rPr>
          <w:i/>
          <w:iCs/>
          <w:lang w:val="fr-CH"/>
        </w:rPr>
        <w:t>Lettre à M</w:t>
      </w:r>
      <w:r w:rsidR="00661165">
        <w:rPr>
          <w:i/>
          <w:iCs/>
          <w:lang w:val="fr-CH"/>
        </w:rPr>
        <w:t>. </w:t>
      </w:r>
      <w:r w:rsidRPr="00223D01">
        <w:rPr>
          <w:i/>
          <w:iCs/>
          <w:lang w:val="fr-CH"/>
        </w:rPr>
        <w:t>Dacier</w:t>
      </w:r>
      <w:r w:rsidRPr="00223D01">
        <w:rPr>
          <w:lang w:val="fr-CH"/>
        </w:rPr>
        <w:t xml:space="preserve"> est cependant tout entière consacrée à la transcription des noms et titres des souverains gréco-romains, tandis que le caractère fondamentalement idéographique de l’écriture hiéroglyphique (telle qu’utilisée antérieurement en Égypte) est réaffirmé encore et encore. En conclusion de sa lettre, il ajoute toutefois : « j’ai la certitude que les mêmes signes </w:t>
      </w:r>
      <w:r w:rsidRPr="00223D01">
        <w:rPr>
          <w:i/>
          <w:iCs/>
          <w:lang w:val="fr-CH"/>
        </w:rPr>
        <w:t>hiéroglyphiques-phonétiques</w:t>
      </w:r>
      <w:r w:rsidRPr="00223D01">
        <w:rPr>
          <w:lang w:val="fr-CH"/>
        </w:rPr>
        <w:t xml:space="preserve"> employés pour représenter les sons des noms propres grecs et romains sont employés aussi dans des textes idéographiques gravés fort antérieurement (…), et qu’ils ont déjà, dans certaines occasions, la même valeur représentative des sons ou des articulations (…) » (</w:t>
      </w:r>
      <w:r w:rsidR="00B07BE3" w:rsidRPr="00223D01">
        <w:rPr>
          <w:i/>
          <w:iCs/>
          <w:lang w:val="fr-CH"/>
        </w:rPr>
        <w:t>Lettre à M. Dacier</w:t>
      </w:r>
      <w:r w:rsidR="00B07BE3" w:rsidRPr="00223D01">
        <w:rPr>
          <w:lang w:val="fr-CH"/>
        </w:rPr>
        <w:t>,</w:t>
      </w:r>
      <w:r w:rsidR="00B07BE3" w:rsidRPr="00223D01">
        <w:rPr>
          <w:i/>
          <w:iCs/>
          <w:lang w:val="fr-CH"/>
        </w:rPr>
        <w:t xml:space="preserve"> </w:t>
      </w:r>
      <w:r w:rsidRPr="00223D01">
        <w:rPr>
          <w:lang w:val="fr-CH"/>
        </w:rPr>
        <w:t>p. 41).</w:t>
      </w:r>
      <w:r w:rsidR="0010394D" w:rsidRPr="00223D01">
        <w:rPr>
          <w:lang w:val="fr-CH"/>
        </w:rPr>
        <w:t xml:space="preserve"> </w:t>
      </w:r>
      <w:r w:rsidR="001320CB" w:rsidRPr="00223D01">
        <w:rPr>
          <w:lang w:val="fr-CH"/>
        </w:rPr>
        <w:t>Il fonde son raisonnement sur les faits suivant</w:t>
      </w:r>
      <w:r w:rsidR="00D30199" w:rsidRPr="00223D01">
        <w:rPr>
          <w:lang w:val="fr-CH"/>
        </w:rPr>
        <w:t>s</w:t>
      </w:r>
      <w:r w:rsidR="001320CB" w:rsidRPr="00223D01">
        <w:rPr>
          <w:lang w:val="fr-CH"/>
        </w:rPr>
        <w:t> : si c</w:t>
      </w:r>
      <w:r w:rsidR="0010394D" w:rsidRPr="00223D01">
        <w:rPr>
          <w:lang w:val="fr-CH"/>
        </w:rPr>
        <w:t>’étai</w:t>
      </w:r>
      <w:r w:rsidR="00D30199" w:rsidRPr="00223D01">
        <w:rPr>
          <w:lang w:val="fr-CH"/>
        </w:rPr>
        <w:t>en</w:t>
      </w:r>
      <w:r w:rsidR="0010394D" w:rsidRPr="00223D01">
        <w:rPr>
          <w:lang w:val="fr-CH"/>
        </w:rPr>
        <w:t>t</w:t>
      </w:r>
      <w:r w:rsidR="001320CB" w:rsidRPr="00223D01">
        <w:rPr>
          <w:lang w:val="fr-CH"/>
        </w:rPr>
        <w:t xml:space="preserve"> les cultures gréco-romaines qui avaient conduit les </w:t>
      </w:r>
      <w:r w:rsidR="00D30199" w:rsidRPr="00223D01">
        <w:rPr>
          <w:lang w:val="fr-CH"/>
        </w:rPr>
        <w:t>É</w:t>
      </w:r>
      <w:r w:rsidR="001320CB" w:rsidRPr="00223D01">
        <w:rPr>
          <w:lang w:val="fr-CH"/>
        </w:rPr>
        <w:t>gyptiens à l’adoption d’une écriture alphabétique, ils les auraient vraisemblablement imité</w:t>
      </w:r>
      <w:r w:rsidR="004E62C2">
        <w:rPr>
          <w:lang w:val="fr-CH"/>
        </w:rPr>
        <w:t>s</w:t>
      </w:r>
      <w:r w:rsidR="001320CB" w:rsidRPr="00223D01">
        <w:rPr>
          <w:lang w:val="fr-CH"/>
        </w:rPr>
        <w:t xml:space="preserve"> en notant tous les sons de la langue, voyelles comprises. Or ce n’est pas le cas. </w:t>
      </w:r>
      <w:r w:rsidR="00CF73AB" w:rsidRPr="00223D01">
        <w:rPr>
          <w:lang w:val="fr-CH"/>
        </w:rPr>
        <w:t>En outre</w:t>
      </w:r>
      <w:r w:rsidR="001320CB" w:rsidRPr="00223D01">
        <w:rPr>
          <w:lang w:val="fr-CH"/>
        </w:rPr>
        <w:t xml:space="preserve">, il avait observé que des signes employés pour noter des sons dans les cartouches d’époques ptolémaïque et romaine étaient déjà largement attestés dans les inscriptions d’époques antérieures et qu’ils pourraient donc déjà, en certaines occasions au moins, avoir une valeur phonographique. Il conclut son raisonnement en ces termes : </w:t>
      </w:r>
    </w:p>
    <w:p w14:paraId="7BFC6417" w14:textId="2776A40C" w:rsidR="00CF4E93" w:rsidRPr="00223D01" w:rsidRDefault="001320CB" w:rsidP="00636FE2">
      <w:pPr>
        <w:ind w:left="567" w:right="561"/>
        <w:rPr>
          <w:sz w:val="22"/>
          <w:szCs w:val="22"/>
          <w:lang w:val="fr-CH"/>
        </w:rPr>
      </w:pPr>
      <w:r w:rsidRPr="00223D01">
        <w:rPr>
          <w:sz w:val="22"/>
          <w:szCs w:val="22"/>
          <w:lang w:val="fr-CH"/>
        </w:rPr>
        <w:t>« </w:t>
      </w:r>
      <w:r w:rsidR="0086178C" w:rsidRPr="00223D01">
        <w:rPr>
          <w:sz w:val="22"/>
          <w:szCs w:val="22"/>
          <w:lang w:val="fr-CH"/>
        </w:rPr>
        <w:t>[j]</w:t>
      </w:r>
      <w:r w:rsidRPr="00223D01">
        <w:rPr>
          <w:sz w:val="22"/>
          <w:szCs w:val="22"/>
          <w:lang w:val="fr-CH"/>
        </w:rPr>
        <w:t xml:space="preserve">e pense donc, monsieur, que l’écriture </w:t>
      </w:r>
      <w:r w:rsidRPr="00223D01">
        <w:rPr>
          <w:i/>
          <w:iCs/>
          <w:sz w:val="22"/>
          <w:szCs w:val="22"/>
          <w:lang w:val="fr-CH"/>
        </w:rPr>
        <w:t>phonétique</w:t>
      </w:r>
      <w:r w:rsidRPr="00223D01">
        <w:rPr>
          <w:sz w:val="22"/>
          <w:szCs w:val="22"/>
          <w:lang w:val="fr-CH"/>
        </w:rPr>
        <w:t xml:space="preserve"> exista en Égypte à une époque fort reculée ; qu’elle était d’abord une partie nécessaire de l’écriture idéographique ; et qu’on l’employait aussi alors, comme on le fit après Cambyse, à transcrire (grossièrement il est vrai) dans les textes idéographiques, les noms propres des peuples, des pays, des villes, des souverains, et des individus étrangers dont il importait de rappeler le souvenir dans les textes historiques ou dans les inscriptions monumentales. » (</w:t>
      </w:r>
      <w:r w:rsidRPr="00223D01">
        <w:rPr>
          <w:i/>
          <w:iCs/>
          <w:sz w:val="22"/>
          <w:szCs w:val="22"/>
          <w:lang w:val="fr-CH"/>
        </w:rPr>
        <w:t>Lettre à M. Dacier</w:t>
      </w:r>
      <w:r w:rsidRPr="00223D01">
        <w:rPr>
          <w:sz w:val="22"/>
          <w:szCs w:val="22"/>
          <w:lang w:val="fr-CH"/>
        </w:rPr>
        <w:t>, p</w:t>
      </w:r>
      <w:r w:rsidR="00384995">
        <w:rPr>
          <w:sz w:val="22"/>
          <w:szCs w:val="22"/>
          <w:lang w:val="fr-CH"/>
        </w:rPr>
        <w:t>p</w:t>
      </w:r>
      <w:r w:rsidRPr="00223D01">
        <w:rPr>
          <w:sz w:val="22"/>
          <w:szCs w:val="22"/>
          <w:lang w:val="fr-CH"/>
        </w:rPr>
        <w:t>. 41–42).</w:t>
      </w:r>
    </w:p>
    <w:p w14:paraId="5C388461" w14:textId="19E79E0F" w:rsidR="004A6094" w:rsidRPr="00223D01" w:rsidRDefault="004A6094" w:rsidP="00E8242E">
      <w:pPr>
        <w:pStyle w:val="Titre2"/>
        <w:tabs>
          <w:tab w:val="clear" w:pos="851"/>
          <w:tab w:val="left" w:pos="284"/>
        </w:tabs>
        <w:rPr>
          <w:lang w:val="fr-CH"/>
        </w:rPr>
      </w:pPr>
      <w:r w:rsidRPr="00223D01">
        <w:rPr>
          <w:lang w:val="fr-CH"/>
        </w:rPr>
        <w:t>9.</w:t>
      </w:r>
      <w:r w:rsidR="00DA6ADD" w:rsidRPr="00223D01">
        <w:rPr>
          <w:lang w:val="fr-CH"/>
        </w:rPr>
        <w:t>7</w:t>
      </w:r>
      <w:r w:rsidRPr="00223D01">
        <w:rPr>
          <w:lang w:val="fr-CH"/>
        </w:rPr>
        <w:t>. </w:t>
      </w:r>
      <w:r w:rsidR="008353C7" w:rsidRPr="00223D01">
        <w:rPr>
          <w:lang w:val="fr-CH"/>
        </w:rPr>
        <w:t xml:space="preserve">L’aboutissement du déchiffrement : </w:t>
      </w:r>
      <w:r w:rsidR="008353C7" w:rsidRPr="00223D01">
        <w:rPr>
          <w:lang w:val="fr-CH"/>
        </w:rPr>
        <w:tab/>
      </w:r>
      <w:r w:rsidR="00E8242E">
        <w:rPr>
          <w:lang w:val="fr-CH"/>
        </w:rPr>
        <w:br/>
      </w:r>
      <w:r w:rsidR="00E8242E">
        <w:rPr>
          <w:lang w:val="fr-CH"/>
        </w:rPr>
        <w:tab/>
      </w:r>
      <w:r w:rsidR="008353C7" w:rsidRPr="00223D01">
        <w:rPr>
          <w:lang w:val="fr-CH"/>
        </w:rPr>
        <w:t xml:space="preserve">Le </w:t>
      </w:r>
      <w:r w:rsidR="008353C7" w:rsidRPr="00223D01">
        <w:rPr>
          <w:i/>
          <w:iCs/>
          <w:lang w:val="fr-CH"/>
        </w:rPr>
        <w:t>Précis du système hiéroglyphique</w:t>
      </w:r>
    </w:p>
    <w:p w14:paraId="01CF8BDA" w14:textId="01C53A2F" w:rsidR="00CA0B0C" w:rsidRPr="00223D01" w:rsidRDefault="00AB1A0A" w:rsidP="00D30199">
      <w:pPr>
        <w:rPr>
          <w:lang w:val="fr-CH"/>
        </w:rPr>
      </w:pPr>
      <w:r w:rsidRPr="00223D01">
        <w:rPr>
          <w:lang w:val="fr-CH"/>
        </w:rPr>
        <w:t xml:space="preserve">On sait que, dès cette époque, il était en mesure de lire les cartouches de rois égyptiens célèbres, comme Ramsès </w:t>
      </w:r>
      <w:r w:rsidR="00A5737A" w:rsidRPr="00223D01">
        <w:rPr>
          <w:lang w:val="fr-CH"/>
        </w:rPr>
        <w:t>(</w:t>
      </w:r>
      <w:r w:rsidR="00A5737A" w:rsidRPr="00223D01">
        <w:rPr>
          <w:highlight w:val="yellow"/>
          <w:lang w:val="fr-CH"/>
        </w:rPr>
        <w:t>Fig. 1</w:t>
      </w:r>
      <w:r w:rsidR="00F501D7" w:rsidRPr="00223D01">
        <w:rPr>
          <w:highlight w:val="yellow"/>
          <w:lang w:val="fr-CH"/>
        </w:rPr>
        <w:t>7</w:t>
      </w:r>
      <w:r w:rsidR="00A5737A" w:rsidRPr="00223D01">
        <w:rPr>
          <w:lang w:val="fr-CH"/>
        </w:rPr>
        <w:t xml:space="preserve">) </w:t>
      </w:r>
      <w:r w:rsidRPr="00223D01">
        <w:rPr>
          <w:lang w:val="fr-CH"/>
        </w:rPr>
        <w:t>ou Thoutmosis</w:t>
      </w:r>
      <w:r w:rsidR="00680392">
        <w:rPr>
          <w:lang w:val="fr-CH"/>
        </w:rPr>
        <w:t xml:space="preserve"> </w:t>
      </w:r>
      <w:r w:rsidR="00D44D4B" w:rsidRPr="00223D01">
        <w:rPr>
          <w:lang w:val="fr-CH"/>
        </w:rPr>
        <w:t>— </w:t>
      </w:r>
      <w:r w:rsidR="00D44D4B">
        <w:rPr>
          <w:lang w:val="fr-CH"/>
        </w:rPr>
        <w:t>c’est ce qui avait causé la révélation du 14 septembre 1822</w:t>
      </w:r>
      <w:r w:rsidR="003F64FD" w:rsidRPr="00223D01">
        <w:rPr>
          <w:rStyle w:val="Appelnotedebasdep"/>
          <w:lang w:val="fr-CH"/>
        </w:rPr>
        <w:footnoteReference w:id="39"/>
      </w:r>
      <w:r w:rsidR="00D44D4B">
        <w:rPr>
          <w:lang w:val="fr-CH"/>
        </w:rPr>
        <w:t> </w:t>
      </w:r>
      <w:r w:rsidR="00D44D4B" w:rsidRPr="00223D01">
        <w:rPr>
          <w:lang w:val="fr-CH"/>
        </w:rPr>
        <w:t>—</w:t>
      </w:r>
      <w:r w:rsidRPr="00223D01">
        <w:rPr>
          <w:lang w:val="fr-CH"/>
        </w:rPr>
        <w:t xml:space="preserve">, mais qu’il n’avait pas encore tiré toutes les conséquences de </w:t>
      </w:r>
      <w:r w:rsidR="0092113C">
        <w:rPr>
          <w:lang w:val="fr-CH"/>
        </w:rPr>
        <w:t>s</w:t>
      </w:r>
      <w:r w:rsidRPr="00223D01">
        <w:rPr>
          <w:lang w:val="fr-CH"/>
        </w:rPr>
        <w:t xml:space="preserve">es lectures et voulait vraisemblablement éviter d’exposer à la critique un système dont il ne pouvait détailler tout le fonctionnement. </w:t>
      </w:r>
      <w:r w:rsidR="00F443D5" w:rsidRPr="00223D01">
        <w:rPr>
          <w:lang w:val="fr-CH"/>
        </w:rPr>
        <w:t xml:space="preserve">S’il soupçonnait l’emploi antérieur de signes hiéroglyphiques pour noter des sons, il était </w:t>
      </w:r>
      <w:r w:rsidR="0071504F" w:rsidRPr="00223D01">
        <w:rPr>
          <w:lang w:val="fr-CH"/>
        </w:rPr>
        <w:t xml:space="preserve">en effet </w:t>
      </w:r>
      <w:r w:rsidR="00F443D5" w:rsidRPr="00223D01">
        <w:rPr>
          <w:lang w:val="fr-CH"/>
        </w:rPr>
        <w:t>— de son propre aveu (</w:t>
      </w:r>
      <w:r w:rsidR="00F443D5" w:rsidRPr="00223D01">
        <w:rPr>
          <w:i/>
          <w:iCs/>
          <w:lang w:val="fr-CH"/>
        </w:rPr>
        <w:t>Précis</w:t>
      </w:r>
      <w:r w:rsidR="00F443D5" w:rsidRPr="00223D01">
        <w:rPr>
          <w:lang w:val="fr-CH"/>
        </w:rPr>
        <w:t>, p</w:t>
      </w:r>
      <w:r w:rsidR="00CE3C1B">
        <w:rPr>
          <w:lang w:val="fr-CH"/>
        </w:rPr>
        <w:t>p</w:t>
      </w:r>
      <w:r w:rsidR="00F443D5" w:rsidRPr="00223D01">
        <w:rPr>
          <w:lang w:val="fr-CH"/>
        </w:rPr>
        <w:t>. 2–3)</w:t>
      </w:r>
      <w:r w:rsidR="00D6564E">
        <w:rPr>
          <w:lang w:val="fr-CH"/>
        </w:rPr>
        <w:t> </w:t>
      </w:r>
      <w:r w:rsidR="00F443D5" w:rsidRPr="00223D01">
        <w:rPr>
          <w:lang w:val="fr-CH"/>
        </w:rPr>
        <w:t>— encore loin d’en mesurer l’ampleur. Il a</w:t>
      </w:r>
      <w:r w:rsidR="00AF1284">
        <w:rPr>
          <w:lang w:val="fr-CH"/>
        </w:rPr>
        <w:t>,</w:t>
      </w:r>
      <w:r w:rsidR="00F443D5" w:rsidRPr="00223D01">
        <w:rPr>
          <w:lang w:val="fr-CH"/>
        </w:rPr>
        <w:t xml:space="preserve"> dans un premier temps</w:t>
      </w:r>
      <w:r w:rsidR="00AF1284">
        <w:rPr>
          <w:lang w:val="fr-CH"/>
        </w:rPr>
        <w:t>,</w:t>
      </w:r>
      <w:r w:rsidR="00F443D5" w:rsidRPr="00223D01">
        <w:rPr>
          <w:lang w:val="fr-CH"/>
        </w:rPr>
        <w:t xml:space="preserve"> </w:t>
      </w:r>
      <w:r w:rsidR="006352D1">
        <w:rPr>
          <w:lang w:val="fr-CH"/>
        </w:rPr>
        <w:t>pensé</w:t>
      </w:r>
      <w:r w:rsidR="005A1A4B" w:rsidRPr="00223D01">
        <w:rPr>
          <w:lang w:val="fr-CH"/>
        </w:rPr>
        <w:t xml:space="preserve"> </w:t>
      </w:r>
      <w:r w:rsidR="00F443D5" w:rsidRPr="00223D01">
        <w:rPr>
          <w:lang w:val="fr-CH"/>
        </w:rPr>
        <w:t>que seuls les mots et noms étrangers étaient notés au moyen de signes phonographiques</w:t>
      </w:r>
      <w:r w:rsidR="00D63BD3" w:rsidRPr="00223D01">
        <w:rPr>
          <w:lang w:val="fr-CH"/>
        </w:rPr>
        <w:t>,</w:t>
      </w:r>
      <w:r w:rsidR="00F443D5" w:rsidRPr="00223D01">
        <w:rPr>
          <w:lang w:val="fr-CH"/>
        </w:rPr>
        <w:t xml:space="preserve"> avant de réaliser qu’ils </w:t>
      </w:r>
      <w:r w:rsidR="00F443D5" w:rsidRPr="00223D01">
        <w:rPr>
          <w:lang w:val="fr-CH"/>
        </w:rPr>
        <w:lastRenderedPageBreak/>
        <w:t xml:space="preserve">étaient une partie </w:t>
      </w:r>
      <w:r w:rsidR="00F443D5" w:rsidRPr="00223D01">
        <w:rPr>
          <w:i/>
          <w:iCs/>
          <w:lang w:val="fr-CH"/>
        </w:rPr>
        <w:t>essentielle, nécessaire et inséparable</w:t>
      </w:r>
      <w:r w:rsidR="00F443D5" w:rsidRPr="00223D01">
        <w:rPr>
          <w:lang w:val="fr-CH"/>
        </w:rPr>
        <w:t xml:space="preserve"> de toute inscription hiéroglyphique</w:t>
      </w:r>
      <w:r w:rsidR="008762AA" w:rsidRPr="00223D01">
        <w:rPr>
          <w:lang w:val="fr-CH"/>
        </w:rPr>
        <w:t>.</w:t>
      </w:r>
      <w:r w:rsidR="00F443D5" w:rsidRPr="00223D01">
        <w:rPr>
          <w:lang w:val="fr-CH"/>
        </w:rPr>
        <w:t xml:space="preserve"> </w:t>
      </w:r>
      <w:r w:rsidR="008762AA" w:rsidRPr="00223D01">
        <w:rPr>
          <w:lang w:val="fr-CH"/>
        </w:rPr>
        <w:t>I</w:t>
      </w:r>
      <w:r w:rsidR="00F443D5" w:rsidRPr="00223D01">
        <w:rPr>
          <w:lang w:val="fr-CH"/>
        </w:rPr>
        <w:t>l s’agit de « l’</w:t>
      </w:r>
      <w:r w:rsidR="00F8092E" w:rsidRPr="00223D01">
        <w:rPr>
          <w:lang w:val="fr-CH"/>
        </w:rPr>
        <w:t>â</w:t>
      </w:r>
      <w:r w:rsidR="00F443D5" w:rsidRPr="00223D01">
        <w:rPr>
          <w:lang w:val="fr-CH"/>
        </w:rPr>
        <w:t>me même » de cette écriture.</w:t>
      </w:r>
      <w:r w:rsidR="00972374" w:rsidRPr="00223D01">
        <w:rPr>
          <w:lang w:val="fr-CH"/>
        </w:rPr>
        <w:t xml:space="preserve"> </w:t>
      </w:r>
    </w:p>
    <w:p w14:paraId="10A96BC9" w14:textId="10096E18" w:rsidR="004C2FCF" w:rsidRPr="00223D01" w:rsidRDefault="00AB1A0A" w:rsidP="00D30199">
      <w:pPr>
        <w:rPr>
          <w:lang w:val="fr-CH"/>
        </w:rPr>
      </w:pPr>
      <w:r w:rsidRPr="00223D01">
        <w:rPr>
          <w:lang w:val="fr-CH"/>
        </w:rPr>
        <w:t xml:space="preserve">C’est dans son </w:t>
      </w:r>
      <w:r w:rsidRPr="00223D01">
        <w:rPr>
          <w:i/>
          <w:iCs/>
          <w:lang w:val="fr-CH"/>
        </w:rPr>
        <w:t>Précis</w:t>
      </w:r>
      <w:r w:rsidR="00E838FF" w:rsidRPr="00223D01">
        <w:rPr>
          <w:i/>
          <w:iCs/>
          <w:lang w:val="fr-CH"/>
        </w:rPr>
        <w:t xml:space="preserve"> du système hiéroglyphique</w:t>
      </w:r>
      <w:r w:rsidRPr="00223D01">
        <w:rPr>
          <w:lang w:val="fr-CH"/>
        </w:rPr>
        <w:t xml:space="preserve">, paru au début 1824, qu’il apporte la preuve définitive que l’écriture égyptienne n’était pas uniquement </w:t>
      </w:r>
      <w:r w:rsidR="00EB4C6C" w:rsidRPr="00223D01">
        <w:rPr>
          <w:lang w:val="fr-CH"/>
        </w:rPr>
        <w:t xml:space="preserve">une idéographie </w:t>
      </w:r>
      <w:r w:rsidRPr="00223D01">
        <w:rPr>
          <w:lang w:val="fr-CH"/>
        </w:rPr>
        <w:t xml:space="preserve">composée de </w:t>
      </w:r>
      <w:r w:rsidRPr="00223D01">
        <w:rPr>
          <w:i/>
          <w:iCs/>
          <w:lang w:val="fr-CH"/>
        </w:rPr>
        <w:t>signes d’idées</w:t>
      </w:r>
      <w:r w:rsidRPr="00223D01">
        <w:rPr>
          <w:lang w:val="fr-CH"/>
        </w:rPr>
        <w:t>.</w:t>
      </w:r>
      <w:r w:rsidR="00CA0B0C" w:rsidRPr="00223D01">
        <w:rPr>
          <w:lang w:val="fr-CH"/>
        </w:rPr>
        <w:t xml:space="preserve"> </w:t>
      </w:r>
      <w:r w:rsidR="004C2FCF" w:rsidRPr="00223D01">
        <w:rPr>
          <w:lang w:val="fr-CH"/>
        </w:rPr>
        <w:t xml:space="preserve">Comme Champollion le confesse sous forme de </w:t>
      </w:r>
      <w:proofErr w:type="spellStart"/>
      <w:r w:rsidR="004C2FCF" w:rsidRPr="00223D01">
        <w:rPr>
          <w:i/>
          <w:iCs/>
          <w:lang w:val="fr-CH"/>
        </w:rPr>
        <w:t>captatio</w:t>
      </w:r>
      <w:proofErr w:type="spellEnd"/>
      <w:r w:rsidR="004C2FCF" w:rsidRPr="00223D01">
        <w:rPr>
          <w:i/>
          <w:iCs/>
          <w:lang w:val="fr-CH"/>
        </w:rPr>
        <w:t xml:space="preserve"> </w:t>
      </w:r>
      <w:proofErr w:type="spellStart"/>
      <w:r w:rsidR="004C2FCF" w:rsidRPr="00223D01">
        <w:rPr>
          <w:i/>
          <w:iCs/>
          <w:lang w:val="fr-CH"/>
        </w:rPr>
        <w:t>benevolentiae</w:t>
      </w:r>
      <w:proofErr w:type="spellEnd"/>
      <w:r w:rsidR="004C2FCF" w:rsidRPr="00223D01">
        <w:rPr>
          <w:lang w:val="fr-CH"/>
        </w:rPr>
        <w:t xml:space="preserve"> : « j’avais longtemps aussi partagé cette erreur, et j’ai persisté dans cette fausse route jusqu’au moment où l’évidence des faits m’a présenté l’écriture hiéroglyphique sous un point de vue tout à fait inattendu, en me forçant, pour ainsi dire, de reconnaître une valeur </w:t>
      </w:r>
      <w:r w:rsidR="004C2FCF" w:rsidRPr="00223D01">
        <w:rPr>
          <w:i/>
          <w:iCs/>
          <w:lang w:val="fr-CH"/>
        </w:rPr>
        <w:t>phonétique</w:t>
      </w:r>
      <w:r w:rsidR="004C2FCF" w:rsidRPr="00223D01">
        <w:rPr>
          <w:lang w:val="fr-CH"/>
        </w:rPr>
        <w:t xml:space="preserve"> à une foule de groupes hiéroglyphiques compris dans les inscriptions qui décorent les </w:t>
      </w:r>
      <w:proofErr w:type="spellStart"/>
      <w:r w:rsidR="004C2FCF" w:rsidRPr="00223D01">
        <w:rPr>
          <w:lang w:val="fr-CH"/>
        </w:rPr>
        <w:t>monumens</w:t>
      </w:r>
      <w:proofErr w:type="spellEnd"/>
      <w:r w:rsidR="004C2FCF" w:rsidRPr="00223D01">
        <w:rPr>
          <w:lang w:val="fr-CH"/>
        </w:rPr>
        <w:t xml:space="preserve"> égyptiens de tous les âges. » (</w:t>
      </w:r>
      <w:r w:rsidR="004C2FCF" w:rsidRPr="00223D01">
        <w:rPr>
          <w:i/>
          <w:iCs/>
          <w:lang w:val="fr-CH"/>
        </w:rPr>
        <w:t>Précis</w:t>
      </w:r>
      <w:r w:rsidR="004C2FCF" w:rsidRPr="00223D01">
        <w:rPr>
          <w:lang w:val="fr-CH"/>
        </w:rPr>
        <w:t>,</w:t>
      </w:r>
      <w:r w:rsidR="004C2FCF" w:rsidRPr="00223D01">
        <w:rPr>
          <w:i/>
          <w:iCs/>
          <w:lang w:val="fr-CH"/>
        </w:rPr>
        <w:t xml:space="preserve"> </w:t>
      </w:r>
      <w:r w:rsidR="004C2FCF" w:rsidRPr="00223D01">
        <w:rPr>
          <w:lang w:val="fr-CH"/>
        </w:rPr>
        <w:t>p. 250).</w:t>
      </w:r>
    </w:p>
    <w:p w14:paraId="4EC98D5E" w14:textId="2508227F" w:rsidR="00D17F89" w:rsidRPr="00223D01" w:rsidRDefault="00D17F89" w:rsidP="004B0026">
      <w:pPr>
        <w:rPr>
          <w:lang w:val="fr-CH"/>
        </w:rPr>
      </w:pPr>
      <w:r w:rsidRPr="00223D01">
        <w:rPr>
          <w:lang w:val="fr-CH"/>
        </w:rPr>
        <w:t>Il présente cet ouvrage comme la suite logique (et anticipée</w:t>
      </w:r>
      <w:r w:rsidR="00572CEC" w:rsidRPr="00223D01">
        <w:rPr>
          <w:lang w:val="fr-CH"/>
        </w:rPr>
        <w:t>, ré</w:t>
      </w:r>
      <w:r w:rsidR="00F81D8F" w:rsidRPr="00223D01">
        <w:rPr>
          <w:lang w:val="fr-CH"/>
        </w:rPr>
        <w:t xml:space="preserve">arrangeant </w:t>
      </w:r>
      <w:r w:rsidR="00572CEC" w:rsidRPr="00223D01">
        <w:rPr>
          <w:lang w:val="fr-CH"/>
        </w:rPr>
        <w:t>l’histoire au passage</w:t>
      </w:r>
      <w:r w:rsidRPr="00223D01">
        <w:rPr>
          <w:lang w:val="fr-CH"/>
        </w:rPr>
        <w:t xml:space="preserve">) de son </w:t>
      </w:r>
      <w:r w:rsidR="00B97501" w:rsidRPr="00223D01">
        <w:rPr>
          <w:i/>
          <w:iCs/>
          <w:spacing w:val="4"/>
          <w:w w:val="103"/>
          <w:lang w:val="fr-CH"/>
        </w:rPr>
        <w:t>Égypte sous les Pharaons</w:t>
      </w:r>
      <w:r w:rsidR="00B97501" w:rsidRPr="00223D01">
        <w:rPr>
          <w:lang w:val="fr-CH"/>
        </w:rPr>
        <w:t xml:space="preserve"> </w:t>
      </w:r>
      <w:r w:rsidRPr="00223D01">
        <w:rPr>
          <w:lang w:val="fr-CH"/>
        </w:rPr>
        <w:t>de 1814</w:t>
      </w:r>
      <w:r w:rsidR="00C320A5" w:rsidRPr="00223D01">
        <w:rPr>
          <w:lang w:val="fr-CH"/>
        </w:rPr>
        <w:t xml:space="preserve">. Il </w:t>
      </w:r>
      <w:r w:rsidRPr="00223D01">
        <w:rPr>
          <w:lang w:val="fr-CH"/>
        </w:rPr>
        <w:t xml:space="preserve">affirme que l’identification de la valeur phonographique de certains signes </w:t>
      </w:r>
      <w:r w:rsidR="00B4216F" w:rsidRPr="00223D01">
        <w:rPr>
          <w:lang w:val="fr-CH"/>
        </w:rPr>
        <w:t xml:space="preserve">dans la </w:t>
      </w:r>
      <w:r w:rsidR="00B4216F" w:rsidRPr="00223D01">
        <w:rPr>
          <w:i/>
          <w:iCs/>
          <w:lang w:val="fr-CH"/>
        </w:rPr>
        <w:t xml:space="preserve">Lettre à M. Dacier </w:t>
      </w:r>
      <w:r w:rsidRPr="00223D01">
        <w:rPr>
          <w:lang w:val="fr-CH"/>
        </w:rPr>
        <w:t>a été la ‘clé du système hiéroglyphique’, car c’est l’identification de ces phonogrammes qui lui a permis, dans un second temps, de discerner dans les textes égyptiens l’emploi de deux autres types de signes « susceptibles de se coordonner et de se combiner avec les caractères de la première espèce » (</w:t>
      </w:r>
      <w:r w:rsidRPr="00223D01">
        <w:rPr>
          <w:i/>
          <w:iCs/>
          <w:lang w:val="fr-CH"/>
        </w:rPr>
        <w:t>Précis</w:t>
      </w:r>
      <w:r w:rsidRPr="00223D01">
        <w:rPr>
          <w:lang w:val="fr-CH"/>
        </w:rPr>
        <w:t>, p. </w:t>
      </w:r>
      <w:proofErr w:type="spellStart"/>
      <w:r w:rsidRPr="00223D01">
        <w:rPr>
          <w:lang w:val="fr-CH"/>
        </w:rPr>
        <w:t>viij</w:t>
      </w:r>
      <w:proofErr w:type="spellEnd"/>
      <w:r w:rsidRPr="00223D01">
        <w:rPr>
          <w:lang w:val="fr-CH"/>
        </w:rPr>
        <w:t>).</w:t>
      </w:r>
    </w:p>
    <w:p w14:paraId="5E36EE00" w14:textId="437B788E" w:rsidR="00606DC8" w:rsidRPr="00223D01" w:rsidRDefault="00D30199" w:rsidP="00397ED7">
      <w:pPr>
        <w:spacing w:after="120"/>
        <w:ind w:left="284" w:right="561" w:firstLine="0"/>
        <w:rPr>
          <w:spacing w:val="4"/>
          <w:w w:val="103"/>
          <w:sz w:val="20"/>
          <w:lang w:val="fr-CH"/>
        </w:rPr>
      </w:pPr>
      <w:r w:rsidRPr="00223D01">
        <w:rPr>
          <w:spacing w:val="4"/>
          <w:w w:val="103"/>
          <w:sz w:val="20"/>
          <w:highlight w:val="yellow"/>
          <w:lang w:val="fr-CH"/>
        </w:rPr>
        <w:t xml:space="preserve">Fig. </w:t>
      </w:r>
      <w:r w:rsidR="002164E0" w:rsidRPr="00223D01">
        <w:rPr>
          <w:spacing w:val="4"/>
          <w:w w:val="103"/>
          <w:sz w:val="20"/>
          <w:highlight w:val="yellow"/>
          <w:lang w:val="fr-CH"/>
        </w:rPr>
        <w:t>1</w:t>
      </w:r>
      <w:r w:rsidR="00F501D7" w:rsidRPr="00223D01">
        <w:rPr>
          <w:spacing w:val="4"/>
          <w:w w:val="103"/>
          <w:sz w:val="20"/>
          <w:highlight w:val="yellow"/>
          <w:lang w:val="fr-CH"/>
        </w:rPr>
        <w:t>7</w:t>
      </w:r>
      <w:r w:rsidR="00606DC8" w:rsidRPr="00223D01">
        <w:rPr>
          <w:spacing w:val="4"/>
          <w:w w:val="103"/>
          <w:sz w:val="20"/>
          <w:highlight w:val="yellow"/>
          <w:lang w:val="fr-CH"/>
        </w:rPr>
        <w:t>.</w:t>
      </w:r>
      <w:r w:rsidR="00521DC2" w:rsidRPr="00223D01">
        <w:rPr>
          <w:spacing w:val="4"/>
          <w:w w:val="103"/>
          <w:sz w:val="20"/>
          <w:lang w:val="fr-CH"/>
        </w:rPr>
        <w:t xml:space="preserve"> </w:t>
      </w:r>
      <w:r w:rsidR="00606DC8" w:rsidRPr="00223D01">
        <w:rPr>
          <w:i/>
          <w:iCs/>
          <w:spacing w:val="4"/>
          <w:w w:val="103"/>
          <w:sz w:val="20"/>
          <w:lang w:val="fr-CH"/>
        </w:rPr>
        <w:t>Précis du système hiéroglyphique</w:t>
      </w:r>
      <w:r w:rsidR="00606DC8" w:rsidRPr="00223D01">
        <w:rPr>
          <w:spacing w:val="4"/>
          <w:w w:val="103"/>
          <w:sz w:val="20"/>
          <w:lang w:val="fr-CH"/>
        </w:rPr>
        <w:t xml:space="preserve"> (planche </w:t>
      </w:r>
      <w:r w:rsidR="00606DC8" w:rsidRPr="00223D01">
        <w:rPr>
          <w:smallCaps/>
          <w:spacing w:val="4"/>
          <w:w w:val="103"/>
          <w:sz w:val="20"/>
          <w:lang w:val="fr-CH"/>
        </w:rPr>
        <w:t>xii</w:t>
      </w:r>
      <w:r w:rsidR="00606DC8" w:rsidRPr="00223D01">
        <w:rPr>
          <w:spacing w:val="4"/>
          <w:w w:val="103"/>
          <w:sz w:val="20"/>
          <w:lang w:val="fr-CH"/>
        </w:rPr>
        <w:t xml:space="preserve">). Collection de cartouches de Ramsès II avec son nom de « Roi de Haute et de Basse Égypte » </w:t>
      </w:r>
      <w:proofErr w:type="spellStart"/>
      <w:r w:rsidR="00606DC8" w:rsidRPr="00223D01">
        <w:rPr>
          <w:i/>
          <w:iCs/>
          <w:spacing w:val="4"/>
          <w:w w:val="103"/>
          <w:sz w:val="20"/>
          <w:lang w:val="fr-CH"/>
        </w:rPr>
        <w:t>Ouser-Maât-Re</w:t>
      </w:r>
      <w:proofErr w:type="spellEnd"/>
      <w:r w:rsidR="00606DC8" w:rsidRPr="00223D01">
        <w:rPr>
          <w:i/>
          <w:iCs/>
          <w:spacing w:val="4"/>
          <w:w w:val="103"/>
          <w:sz w:val="20"/>
          <w:lang w:val="fr-CH"/>
        </w:rPr>
        <w:t xml:space="preserve"> </w:t>
      </w:r>
      <w:proofErr w:type="spellStart"/>
      <w:r w:rsidR="00606DC8" w:rsidRPr="00223D01">
        <w:rPr>
          <w:i/>
          <w:iCs/>
          <w:spacing w:val="4"/>
          <w:w w:val="103"/>
          <w:sz w:val="20"/>
          <w:lang w:val="fr-CH"/>
        </w:rPr>
        <w:t>Sétep</w:t>
      </w:r>
      <w:proofErr w:type="spellEnd"/>
      <w:r w:rsidR="00606DC8" w:rsidRPr="00223D01">
        <w:rPr>
          <w:i/>
          <w:iCs/>
          <w:spacing w:val="4"/>
          <w:w w:val="103"/>
          <w:sz w:val="20"/>
          <w:lang w:val="fr-CH"/>
        </w:rPr>
        <w:t>-en-Rê</w:t>
      </w:r>
      <w:r w:rsidR="00606DC8" w:rsidRPr="00223D01">
        <w:rPr>
          <w:spacing w:val="4"/>
          <w:w w:val="103"/>
          <w:sz w:val="20"/>
          <w:lang w:val="fr-CH"/>
        </w:rPr>
        <w:t xml:space="preserve"> et son nom de « Fils de Rê » </w:t>
      </w:r>
      <w:r w:rsidR="00606DC8" w:rsidRPr="00223D01">
        <w:rPr>
          <w:i/>
          <w:iCs/>
          <w:spacing w:val="4"/>
          <w:w w:val="103"/>
          <w:sz w:val="20"/>
          <w:lang w:val="fr-CH"/>
        </w:rPr>
        <w:t xml:space="preserve">Ramsès </w:t>
      </w:r>
      <w:proofErr w:type="spellStart"/>
      <w:r w:rsidR="00606DC8" w:rsidRPr="00223D01">
        <w:rPr>
          <w:i/>
          <w:iCs/>
          <w:spacing w:val="4"/>
          <w:w w:val="103"/>
          <w:sz w:val="20"/>
          <w:lang w:val="fr-CH"/>
        </w:rPr>
        <w:t>Méry</w:t>
      </w:r>
      <w:proofErr w:type="spellEnd"/>
      <w:r w:rsidR="00606DC8" w:rsidRPr="00223D01">
        <w:rPr>
          <w:i/>
          <w:iCs/>
          <w:spacing w:val="4"/>
          <w:w w:val="103"/>
          <w:sz w:val="20"/>
          <w:lang w:val="fr-CH"/>
        </w:rPr>
        <w:t>-Amon</w:t>
      </w:r>
      <w:r w:rsidRPr="00AA2670">
        <w:rPr>
          <w:rStyle w:val="Appelnotedebasdep"/>
          <w:spacing w:val="4"/>
          <w:w w:val="103"/>
          <w:sz w:val="20"/>
          <w:lang w:val="fr-CH"/>
        </w:rPr>
        <w:footnoteReference w:id="40"/>
      </w:r>
      <w:r w:rsidR="00606DC8" w:rsidRPr="00223D01">
        <w:rPr>
          <w:spacing w:val="4"/>
          <w:w w:val="103"/>
          <w:sz w:val="20"/>
          <w:lang w:val="fr-CH"/>
        </w:rPr>
        <w:t>.</w:t>
      </w:r>
    </w:p>
    <w:p w14:paraId="68628E73" w14:textId="300618FA" w:rsidR="00AB1A0A" w:rsidRPr="00223D01" w:rsidRDefault="00AB1A0A" w:rsidP="00D30199">
      <w:pPr>
        <w:rPr>
          <w:lang w:val="fr-CH"/>
        </w:rPr>
      </w:pPr>
      <w:r w:rsidRPr="00223D01">
        <w:rPr>
          <w:lang w:val="fr-CH"/>
        </w:rPr>
        <w:t xml:space="preserve">Dans cet essai, dont bien des passages seront repris intégralement dans sa </w:t>
      </w:r>
      <w:r w:rsidRPr="00223D01">
        <w:rPr>
          <w:i/>
          <w:iCs/>
          <w:lang w:val="fr-CH"/>
        </w:rPr>
        <w:t xml:space="preserve">Grammaire </w:t>
      </w:r>
      <w:r w:rsidR="00367F17" w:rsidRPr="00223D01">
        <w:rPr>
          <w:lang w:val="fr-CH"/>
        </w:rPr>
        <w:t>publiée de manière posthume par son frère (</w:t>
      </w:r>
      <w:r w:rsidR="00367F17" w:rsidRPr="00223D01">
        <w:rPr>
          <w:highlight w:val="yellow"/>
          <w:lang w:val="fr-CH"/>
        </w:rPr>
        <w:t>Fig. 1</w:t>
      </w:r>
      <w:r w:rsidR="00F501D7" w:rsidRPr="00223D01">
        <w:rPr>
          <w:highlight w:val="yellow"/>
          <w:lang w:val="fr-CH"/>
        </w:rPr>
        <w:t>8</w:t>
      </w:r>
      <w:r w:rsidR="00367F17" w:rsidRPr="00223D01">
        <w:rPr>
          <w:lang w:val="fr-CH"/>
        </w:rPr>
        <w:t>)</w:t>
      </w:r>
      <w:r w:rsidRPr="00223D01">
        <w:rPr>
          <w:lang w:val="fr-CH"/>
        </w:rPr>
        <w:t xml:space="preserve">, il dénombre alors 864 signes hiéroglyphiques distincts qui composent un système complexe : « une écriture tout-à-la-fois </w:t>
      </w:r>
      <w:r w:rsidRPr="00223D01">
        <w:rPr>
          <w:smallCaps/>
          <w:lang w:val="fr-CH"/>
        </w:rPr>
        <w:t>figurative, symbolique et phonétique</w:t>
      </w:r>
      <w:r w:rsidRPr="00223D01">
        <w:rPr>
          <w:lang w:val="fr-CH"/>
        </w:rPr>
        <w:t>, dans un même texte, une même phrase, je dirais presque dans le même mot » (</w:t>
      </w:r>
      <w:r w:rsidRPr="00223D01">
        <w:rPr>
          <w:i/>
          <w:iCs/>
          <w:lang w:val="fr-CH"/>
        </w:rPr>
        <w:t>Précis</w:t>
      </w:r>
      <w:r w:rsidRPr="00223D01">
        <w:rPr>
          <w:lang w:val="fr-CH"/>
        </w:rPr>
        <w:t xml:space="preserve">, p. 327). Le mélange constant de trois ordres de signes est notamment illustré par toutes les variantes qu’il a rassemblées des cartouches de Ramsès II, dont il propose une analyse détaillée </w:t>
      </w:r>
      <w:r w:rsidR="003113C7" w:rsidRPr="00223D01">
        <w:rPr>
          <w:lang w:val="fr-CH"/>
        </w:rPr>
        <w:t>(</w:t>
      </w:r>
      <w:r w:rsidR="003113C7" w:rsidRPr="00223D01">
        <w:rPr>
          <w:highlight w:val="yellow"/>
          <w:lang w:val="fr-CH"/>
        </w:rPr>
        <w:t>Fig. 1</w:t>
      </w:r>
      <w:r w:rsidR="00F501D7" w:rsidRPr="00223D01">
        <w:rPr>
          <w:highlight w:val="yellow"/>
          <w:lang w:val="fr-CH"/>
        </w:rPr>
        <w:t>7</w:t>
      </w:r>
      <w:r w:rsidR="003113C7" w:rsidRPr="00223D01">
        <w:rPr>
          <w:lang w:val="fr-CH"/>
        </w:rPr>
        <w:t>)</w:t>
      </w:r>
      <w:r w:rsidRPr="00223D01">
        <w:rPr>
          <w:lang w:val="fr-CH"/>
        </w:rPr>
        <w:t>.</w:t>
      </w:r>
    </w:p>
    <w:p w14:paraId="49028E80" w14:textId="77777777" w:rsidR="007075AC" w:rsidRPr="00223D01" w:rsidRDefault="007075AC" w:rsidP="007075AC">
      <w:pPr>
        <w:ind w:left="284" w:right="561" w:firstLine="0"/>
        <w:jc w:val="left"/>
        <w:rPr>
          <w:lang w:val="fr-CH"/>
        </w:rPr>
      </w:pPr>
      <w:r w:rsidRPr="00223D01">
        <w:rPr>
          <w:spacing w:val="4"/>
          <w:w w:val="103"/>
          <w:sz w:val="20"/>
          <w:highlight w:val="yellow"/>
          <w:lang w:val="fr-CH"/>
        </w:rPr>
        <w:t>Fig. 18.</w:t>
      </w:r>
      <w:r w:rsidRPr="00223D01">
        <w:rPr>
          <w:spacing w:val="4"/>
          <w:w w:val="103"/>
          <w:sz w:val="20"/>
          <w:lang w:val="fr-CH"/>
        </w:rPr>
        <w:t xml:space="preserve"> Page d’un manuscrit autographe mis au net de sa </w:t>
      </w:r>
      <w:r w:rsidRPr="00223D01">
        <w:rPr>
          <w:i/>
          <w:iCs/>
          <w:spacing w:val="4"/>
          <w:w w:val="103"/>
          <w:sz w:val="20"/>
          <w:lang w:val="fr-CH"/>
        </w:rPr>
        <w:t xml:space="preserve">Grammaire </w:t>
      </w:r>
      <w:r w:rsidRPr="00223D01">
        <w:rPr>
          <w:spacing w:val="4"/>
          <w:w w:val="103"/>
          <w:sz w:val="20"/>
          <w:lang w:val="fr-CH"/>
        </w:rPr>
        <w:t>(</w:t>
      </w:r>
      <w:proofErr w:type="spellStart"/>
      <w:r w:rsidRPr="00223D01">
        <w:rPr>
          <w:spacing w:val="4"/>
          <w:w w:val="103"/>
          <w:sz w:val="20"/>
          <w:lang w:val="fr-CH"/>
        </w:rPr>
        <w:t>BnF</w:t>
      </w:r>
      <w:proofErr w:type="spellEnd"/>
      <w:r w:rsidRPr="00223D01">
        <w:rPr>
          <w:spacing w:val="4"/>
          <w:w w:val="103"/>
          <w:sz w:val="20"/>
          <w:lang w:val="fr-CH"/>
        </w:rPr>
        <w:t>, NAF 20320, p. 10 [= p. 31])</w:t>
      </w:r>
      <w:r w:rsidRPr="00223D01">
        <w:rPr>
          <w:rStyle w:val="Appelnotedebasdep"/>
          <w:spacing w:val="4"/>
          <w:w w:val="103"/>
          <w:sz w:val="20"/>
          <w:lang w:val="fr-CH"/>
        </w:rPr>
        <w:footnoteReference w:id="41"/>
      </w:r>
    </w:p>
    <w:p w14:paraId="31E1B90D" w14:textId="6E7A478E" w:rsidR="0044363E" w:rsidRDefault="00AB1A0A" w:rsidP="003474AC">
      <w:pPr>
        <w:rPr>
          <w:lang w:val="fr-CH"/>
        </w:rPr>
      </w:pPr>
      <w:r w:rsidRPr="00223D01">
        <w:rPr>
          <w:lang w:val="fr-CH"/>
        </w:rPr>
        <w:t xml:space="preserve">La suite est </w:t>
      </w:r>
      <w:r w:rsidR="002607BD">
        <w:rPr>
          <w:lang w:val="fr-CH"/>
        </w:rPr>
        <w:t>une marche triomphale entre Europe et Égypte</w:t>
      </w:r>
      <w:r w:rsidRPr="00223D01">
        <w:rPr>
          <w:lang w:val="fr-CH"/>
        </w:rPr>
        <w:t> : depuis les collections égyptiennes d’</w:t>
      </w:r>
      <w:r w:rsidR="00154969">
        <w:rPr>
          <w:lang w:val="fr-CH"/>
        </w:rPr>
        <w:t>Italie, avec le séjour prolongé de Champollion au musée de Turin</w:t>
      </w:r>
      <w:r w:rsidR="001224DD" w:rsidRPr="00AA2670">
        <w:rPr>
          <w:rStyle w:val="Appelnotedebasdep"/>
          <w:spacing w:val="4"/>
          <w:w w:val="103"/>
          <w:sz w:val="20"/>
          <w:lang w:val="fr-CH"/>
        </w:rPr>
        <w:footnoteReference w:id="42"/>
      </w:r>
      <w:r w:rsidR="00154969">
        <w:rPr>
          <w:lang w:val="fr-CH"/>
        </w:rPr>
        <w:t xml:space="preserve"> où venait d’arriver la somptueuse collection d’antiquités égyptiennes rassemblées par </w:t>
      </w:r>
      <w:r w:rsidR="00635EEB">
        <w:rPr>
          <w:lang w:val="fr-CH"/>
        </w:rPr>
        <w:t xml:space="preserve">le Consul de France </w:t>
      </w:r>
      <w:r w:rsidR="00E021DC">
        <w:rPr>
          <w:lang w:val="fr-CH"/>
        </w:rPr>
        <w:lastRenderedPageBreak/>
        <w:t xml:space="preserve">Bernardino </w:t>
      </w:r>
      <w:proofErr w:type="spellStart"/>
      <w:r w:rsidR="00154969">
        <w:rPr>
          <w:lang w:val="fr-CH"/>
        </w:rPr>
        <w:t>Drovetti</w:t>
      </w:r>
      <w:proofErr w:type="spellEnd"/>
      <w:r w:rsidR="0053254F" w:rsidRPr="00AA2670">
        <w:rPr>
          <w:rStyle w:val="Appelnotedebasdep"/>
          <w:spacing w:val="4"/>
          <w:w w:val="103"/>
          <w:sz w:val="20"/>
          <w:lang w:val="fr-CH"/>
        </w:rPr>
        <w:footnoteReference w:id="43"/>
      </w:r>
      <w:r w:rsidR="00154969">
        <w:rPr>
          <w:lang w:val="fr-CH"/>
        </w:rPr>
        <w:t xml:space="preserve">, </w:t>
      </w:r>
      <w:r w:rsidRPr="00223D01">
        <w:rPr>
          <w:lang w:val="fr-CH"/>
        </w:rPr>
        <w:t xml:space="preserve">jusqu’aux monuments </w:t>
      </w:r>
      <w:r w:rsidR="006F1601">
        <w:rPr>
          <w:lang w:val="fr-CH"/>
        </w:rPr>
        <w:t xml:space="preserve">sur la terre </w:t>
      </w:r>
      <w:r w:rsidR="006F1601" w:rsidRPr="00223D01">
        <w:rPr>
          <w:lang w:val="fr-CH"/>
        </w:rPr>
        <w:t>même</w:t>
      </w:r>
      <w:r w:rsidR="006F1601">
        <w:rPr>
          <w:lang w:val="fr-CH"/>
        </w:rPr>
        <w:t xml:space="preserve"> des pharaons</w:t>
      </w:r>
      <w:r w:rsidRPr="00223D01">
        <w:rPr>
          <w:lang w:val="fr-CH"/>
        </w:rPr>
        <w:t xml:space="preserve">, </w:t>
      </w:r>
      <w:r w:rsidR="00EB5A56">
        <w:rPr>
          <w:lang w:val="fr-CH"/>
        </w:rPr>
        <w:t>avec l’expédition franco-toscane de 1828–1829</w:t>
      </w:r>
      <w:r w:rsidR="00530BB5" w:rsidRPr="00AA2670">
        <w:rPr>
          <w:rStyle w:val="Appelnotedebasdep"/>
          <w:spacing w:val="4"/>
          <w:w w:val="103"/>
          <w:sz w:val="20"/>
          <w:lang w:val="fr-CH"/>
        </w:rPr>
        <w:footnoteReference w:id="44"/>
      </w:r>
      <w:r w:rsidR="00CD3E6A">
        <w:rPr>
          <w:lang w:val="fr-CH"/>
        </w:rPr>
        <w:t xml:space="preserve"> </w:t>
      </w:r>
      <w:r w:rsidR="002D787C">
        <w:rPr>
          <w:lang w:val="fr-CH"/>
        </w:rPr>
        <w:t>(</w:t>
      </w:r>
      <w:r w:rsidR="003911A0" w:rsidRPr="009969A4">
        <w:rPr>
          <w:highlight w:val="yellow"/>
          <w:lang w:val="fr-CH"/>
        </w:rPr>
        <w:t>Fig. 19</w:t>
      </w:r>
      <w:r w:rsidR="003911A0">
        <w:rPr>
          <w:lang w:val="fr-CH"/>
        </w:rPr>
        <w:t>)</w:t>
      </w:r>
      <w:r w:rsidR="00D6564E">
        <w:rPr>
          <w:lang w:val="fr-CH"/>
        </w:rPr>
        <w:t xml:space="preserve"> </w:t>
      </w:r>
      <w:r w:rsidR="00D6564E" w:rsidRPr="00223D01">
        <w:rPr>
          <w:lang w:val="fr-CH"/>
        </w:rPr>
        <w:t>—</w:t>
      </w:r>
      <w:r w:rsidR="00D6564E">
        <w:rPr>
          <w:lang w:val="fr-CH"/>
        </w:rPr>
        <w:t> </w:t>
      </w:r>
      <w:r w:rsidR="00CD3E6A">
        <w:rPr>
          <w:lang w:val="fr-CH"/>
        </w:rPr>
        <w:t>qu</w:t>
      </w:r>
      <w:r w:rsidR="00533E48">
        <w:rPr>
          <w:lang w:val="fr-CH"/>
        </w:rPr>
        <w:t>e Champollion</w:t>
      </w:r>
      <w:r w:rsidR="00CD3E6A">
        <w:rPr>
          <w:lang w:val="fr-CH"/>
        </w:rPr>
        <w:t xml:space="preserve"> </w:t>
      </w:r>
      <w:r w:rsidR="00B51C82">
        <w:rPr>
          <w:lang w:val="fr-CH"/>
        </w:rPr>
        <w:t xml:space="preserve">et son disciple </w:t>
      </w:r>
      <w:proofErr w:type="spellStart"/>
      <w:r w:rsidR="00B51C82">
        <w:rPr>
          <w:lang w:val="fr-CH"/>
        </w:rPr>
        <w:t>Ippolito</w:t>
      </w:r>
      <w:proofErr w:type="spellEnd"/>
      <w:r w:rsidR="00B51C82">
        <w:rPr>
          <w:lang w:val="fr-CH"/>
        </w:rPr>
        <w:t xml:space="preserve"> </w:t>
      </w:r>
      <w:proofErr w:type="spellStart"/>
      <w:r w:rsidR="00B51C82">
        <w:rPr>
          <w:lang w:val="fr-CH"/>
        </w:rPr>
        <w:t>Rosellini</w:t>
      </w:r>
      <w:proofErr w:type="spellEnd"/>
      <w:r w:rsidR="00B51C82">
        <w:rPr>
          <w:lang w:val="fr-CH"/>
        </w:rPr>
        <w:t xml:space="preserve"> </w:t>
      </w:r>
      <w:r w:rsidR="00BE572E">
        <w:rPr>
          <w:lang w:val="fr-CH"/>
        </w:rPr>
        <w:t xml:space="preserve">(1800–1843) </w:t>
      </w:r>
      <w:r w:rsidR="00CD3E6A">
        <w:rPr>
          <w:lang w:val="fr-CH"/>
        </w:rPr>
        <w:t>remue</w:t>
      </w:r>
      <w:r w:rsidR="00E23F37">
        <w:rPr>
          <w:lang w:val="fr-CH"/>
        </w:rPr>
        <w:t>r</w:t>
      </w:r>
      <w:r w:rsidR="00B51C82">
        <w:rPr>
          <w:lang w:val="fr-CH"/>
        </w:rPr>
        <w:t>ont</w:t>
      </w:r>
      <w:r w:rsidR="00CD3E6A">
        <w:rPr>
          <w:lang w:val="fr-CH"/>
        </w:rPr>
        <w:t xml:space="preserve"> ciel et terre pour financer</w:t>
      </w:r>
      <w:r w:rsidR="00FD3AA6">
        <w:rPr>
          <w:lang w:val="fr-CH"/>
        </w:rPr>
        <w:t> </w:t>
      </w:r>
      <w:r w:rsidR="00FD3AA6" w:rsidRPr="00223D01">
        <w:rPr>
          <w:lang w:val="fr-CH"/>
        </w:rPr>
        <w:t>—</w:t>
      </w:r>
      <w:r w:rsidR="00EB5A56">
        <w:rPr>
          <w:lang w:val="fr-CH"/>
        </w:rPr>
        <w:t>,</w:t>
      </w:r>
      <w:r w:rsidR="00C36F71">
        <w:rPr>
          <w:lang w:val="fr-CH"/>
        </w:rPr>
        <w:t xml:space="preserve"> Champollion </w:t>
      </w:r>
      <w:r w:rsidRPr="00223D01">
        <w:rPr>
          <w:lang w:val="fr-CH"/>
        </w:rPr>
        <w:t>n’aura de cesse d’analyser toutes les sources disponibles. Elles viendront inlassablement confirmer et préciser les principes fondamentaux dégagés entre 1822 et 1824.</w:t>
      </w:r>
    </w:p>
    <w:p w14:paraId="00BAFD73" w14:textId="630176BB" w:rsidR="007F0589" w:rsidRPr="00223D01" w:rsidRDefault="007F0589" w:rsidP="007F0589">
      <w:pPr>
        <w:ind w:left="284" w:right="561" w:firstLine="0"/>
        <w:rPr>
          <w:lang w:val="fr-CH"/>
        </w:rPr>
      </w:pPr>
      <w:r w:rsidRPr="00223D01">
        <w:rPr>
          <w:spacing w:val="4"/>
          <w:w w:val="103"/>
          <w:sz w:val="20"/>
          <w:highlight w:val="yellow"/>
          <w:lang w:val="fr-CH"/>
        </w:rPr>
        <w:t>Fig.</w:t>
      </w:r>
      <w:r>
        <w:rPr>
          <w:spacing w:val="4"/>
          <w:w w:val="103"/>
          <w:sz w:val="20"/>
          <w:highlight w:val="yellow"/>
          <w:lang w:val="fr-CH"/>
        </w:rPr>
        <w:t> </w:t>
      </w:r>
      <w:r w:rsidRPr="00223D01">
        <w:rPr>
          <w:spacing w:val="4"/>
          <w:w w:val="103"/>
          <w:sz w:val="20"/>
          <w:highlight w:val="yellow"/>
          <w:lang w:val="fr-CH"/>
        </w:rPr>
        <w:t>1</w:t>
      </w:r>
      <w:r>
        <w:rPr>
          <w:spacing w:val="4"/>
          <w:w w:val="103"/>
          <w:sz w:val="20"/>
          <w:highlight w:val="yellow"/>
          <w:lang w:val="fr-CH"/>
        </w:rPr>
        <w:t>9</w:t>
      </w:r>
      <w:r w:rsidRPr="00223D01">
        <w:rPr>
          <w:spacing w:val="4"/>
          <w:w w:val="103"/>
          <w:sz w:val="20"/>
          <w:highlight w:val="yellow"/>
          <w:lang w:val="fr-CH"/>
        </w:rPr>
        <w:t>.</w:t>
      </w:r>
      <w:r w:rsidRPr="00223D01">
        <w:rPr>
          <w:spacing w:val="4"/>
          <w:w w:val="103"/>
          <w:sz w:val="20"/>
          <w:lang w:val="fr-CH"/>
        </w:rPr>
        <w:t xml:space="preserve"> </w:t>
      </w:r>
      <w:r>
        <w:rPr>
          <w:spacing w:val="4"/>
          <w:w w:val="103"/>
          <w:sz w:val="20"/>
          <w:lang w:val="fr-CH"/>
        </w:rPr>
        <w:t>Portrait et titulature de Ramsès I</w:t>
      </w:r>
      <w:r w:rsidRPr="00070887">
        <w:rPr>
          <w:spacing w:val="4"/>
          <w:w w:val="103"/>
          <w:sz w:val="20"/>
          <w:vertAlign w:val="superscript"/>
          <w:lang w:val="fr-CH"/>
        </w:rPr>
        <w:t>er</w:t>
      </w:r>
      <w:r>
        <w:rPr>
          <w:spacing w:val="4"/>
          <w:w w:val="103"/>
          <w:sz w:val="20"/>
          <w:lang w:val="fr-CH"/>
        </w:rPr>
        <w:t xml:space="preserve"> copiés dans sa tombe de la Vallée des Rois lors de l’expédition (</w:t>
      </w:r>
      <w:proofErr w:type="spellStart"/>
      <w:r>
        <w:rPr>
          <w:spacing w:val="4"/>
          <w:w w:val="103"/>
          <w:sz w:val="20"/>
          <w:lang w:val="fr-CH"/>
        </w:rPr>
        <w:t>BnF</w:t>
      </w:r>
      <w:proofErr w:type="spellEnd"/>
      <w:r>
        <w:rPr>
          <w:spacing w:val="4"/>
          <w:w w:val="103"/>
          <w:sz w:val="20"/>
          <w:lang w:val="fr-CH"/>
        </w:rPr>
        <w:t>, NAF 20360, p. 152 [323]).</w:t>
      </w:r>
    </w:p>
    <w:p w14:paraId="4A8B4B85" w14:textId="7EAE9DDE" w:rsidR="00E826FE" w:rsidRDefault="00AA53A9" w:rsidP="003474AC">
      <w:pPr>
        <w:rPr>
          <w:lang w:val="fr-CH"/>
        </w:rPr>
      </w:pPr>
      <w:r>
        <w:rPr>
          <w:lang w:val="fr-CH"/>
        </w:rPr>
        <w:t>Le 1</w:t>
      </w:r>
      <w:r w:rsidRPr="00AA53A9">
        <w:rPr>
          <w:vertAlign w:val="superscript"/>
          <w:lang w:val="fr-CH"/>
        </w:rPr>
        <w:t>er</w:t>
      </w:r>
      <w:r>
        <w:rPr>
          <w:lang w:val="fr-CH"/>
        </w:rPr>
        <w:t xml:space="preserve"> janvier 1829, il écrit d’ailleurs une (autre) lettre à M. Dacier depuis la Haute-Égypte dans laquelle il affirme : « Monsieur, je suis fier maintenant que, ayant suivi</w:t>
      </w:r>
      <w:r w:rsidR="004B7002">
        <w:rPr>
          <w:lang w:val="fr-CH"/>
        </w:rPr>
        <w:t xml:space="preserve"> le cours du Nil de</w:t>
      </w:r>
      <w:r w:rsidR="002871FC">
        <w:rPr>
          <w:lang w:val="fr-CH"/>
        </w:rPr>
        <w:t>p</w:t>
      </w:r>
      <w:r w:rsidR="004B7002">
        <w:rPr>
          <w:lang w:val="fr-CH"/>
        </w:rPr>
        <w:t xml:space="preserve">uis son embouchure jusqu’à la seconde cataracte, j’ai le droit de vous annoncer qu’il n’y a rien à modifier dans notre lettre sur l’alphabet des hiéroglyphes ; notre alphabet est le bon : il s’applique avec un égal succès, d’abord aux monuments égyptiens du temps des Romains et des Lagides, et ensuite, ce qui devient d’un bien plus grand intérêt, aux inscriptions de tous les temples, palais et tombaux des époques pharaoniques. » </w:t>
      </w:r>
      <w:r w:rsidR="00AB1A0A" w:rsidRPr="00223D01">
        <w:rPr>
          <w:lang w:val="fr-CH"/>
        </w:rPr>
        <w:t xml:space="preserve">Ses succès lui ouvriront les portes du Louvre </w:t>
      </w:r>
      <w:r w:rsidR="0069388F" w:rsidRPr="00223D01">
        <w:rPr>
          <w:lang w:val="fr-CH"/>
        </w:rPr>
        <w:t>—</w:t>
      </w:r>
      <w:r w:rsidR="000B6D48">
        <w:rPr>
          <w:lang w:val="fr-CH"/>
        </w:rPr>
        <w:t> </w:t>
      </w:r>
      <w:r w:rsidR="00AB1A0A" w:rsidRPr="00223D01">
        <w:rPr>
          <w:lang w:val="fr-CH"/>
        </w:rPr>
        <w:t xml:space="preserve">où il jette les bases de ce qui deviendra le département des Antiquités égyptiennes </w:t>
      </w:r>
      <w:r w:rsidR="00825E47">
        <w:rPr>
          <w:lang w:val="fr-CH"/>
        </w:rPr>
        <w:t>dès 1826</w:t>
      </w:r>
      <w:r w:rsidR="000B6D48">
        <w:rPr>
          <w:lang w:val="fr-CH"/>
        </w:rPr>
        <w:t> </w:t>
      </w:r>
      <w:r w:rsidR="0069388F" w:rsidRPr="00223D01">
        <w:rPr>
          <w:lang w:val="fr-CH"/>
        </w:rPr>
        <w:t>—</w:t>
      </w:r>
      <w:r w:rsidR="00AB1A0A" w:rsidRPr="00223D01">
        <w:rPr>
          <w:lang w:val="fr-CH"/>
        </w:rPr>
        <w:t xml:space="preserve"> et finalement du Collège de France, où il donne </w:t>
      </w:r>
      <w:r w:rsidR="00AB0A98">
        <w:rPr>
          <w:lang w:val="fr-CH"/>
        </w:rPr>
        <w:t>l</w:t>
      </w:r>
      <w:r w:rsidR="00AB1A0A" w:rsidRPr="00223D01">
        <w:rPr>
          <w:lang w:val="fr-CH"/>
        </w:rPr>
        <w:t xml:space="preserve">a leçon inaugurale </w:t>
      </w:r>
      <w:r w:rsidR="00FD4529" w:rsidRPr="00223D01">
        <w:rPr>
          <w:lang w:val="fr-CH"/>
        </w:rPr>
        <w:t xml:space="preserve">de </w:t>
      </w:r>
      <w:r w:rsidR="00AB0A98">
        <w:rPr>
          <w:lang w:val="fr-CH"/>
        </w:rPr>
        <w:t>s</w:t>
      </w:r>
      <w:r w:rsidR="00FD4529" w:rsidRPr="00223D01">
        <w:rPr>
          <w:lang w:val="fr-CH"/>
        </w:rPr>
        <w:t xml:space="preserve">a chaire d’Archéologie égyptienne </w:t>
      </w:r>
      <w:r w:rsidR="00AB1A0A" w:rsidRPr="00223D01">
        <w:rPr>
          <w:lang w:val="fr-CH"/>
        </w:rPr>
        <w:t xml:space="preserve">en </w:t>
      </w:r>
      <w:r w:rsidR="003474AC" w:rsidRPr="00223D01">
        <w:rPr>
          <w:lang w:val="fr-CH"/>
        </w:rPr>
        <w:t>1831</w:t>
      </w:r>
      <w:r w:rsidR="0096263C" w:rsidRPr="00223D01">
        <w:rPr>
          <w:lang w:val="fr-CH"/>
        </w:rPr>
        <w:t>,</w:t>
      </w:r>
      <w:r w:rsidR="00AB1A0A" w:rsidRPr="00223D01">
        <w:rPr>
          <w:lang w:val="fr-CH"/>
        </w:rPr>
        <w:t xml:space="preserve"> quelques mois seulement avant de </w:t>
      </w:r>
      <w:r w:rsidR="002503C4">
        <w:rPr>
          <w:lang w:val="fr-CH"/>
        </w:rPr>
        <w:t xml:space="preserve">mourir prématurément </w:t>
      </w:r>
      <w:r w:rsidR="00AB1A0A" w:rsidRPr="00223D01">
        <w:rPr>
          <w:lang w:val="fr-CH"/>
        </w:rPr>
        <w:t xml:space="preserve">en mars </w:t>
      </w:r>
      <w:r w:rsidR="003474AC" w:rsidRPr="00223D01">
        <w:rPr>
          <w:lang w:val="fr-CH"/>
        </w:rPr>
        <w:t>1832</w:t>
      </w:r>
      <w:r w:rsidR="00AB1A0A" w:rsidRPr="00223D01">
        <w:rPr>
          <w:lang w:val="fr-CH"/>
        </w:rPr>
        <w:t>.</w:t>
      </w:r>
    </w:p>
    <w:p w14:paraId="7B337A70" w14:textId="01582441" w:rsidR="00550B9A" w:rsidRPr="00223D01" w:rsidRDefault="00DA38D2" w:rsidP="004B0026">
      <w:pPr>
        <w:pStyle w:val="Titre2"/>
        <w:rPr>
          <w:highlight w:val="yellow"/>
          <w:lang w:val="fr-CH"/>
        </w:rPr>
      </w:pPr>
      <w:r w:rsidRPr="00C50431">
        <w:rPr>
          <w:lang w:val="fr-CH"/>
        </w:rPr>
        <w:t>9.</w:t>
      </w:r>
      <w:r w:rsidR="006E777C" w:rsidRPr="00C50431">
        <w:rPr>
          <w:lang w:val="fr-CH"/>
        </w:rPr>
        <w:t>8</w:t>
      </w:r>
      <w:r w:rsidRPr="00C50431">
        <w:rPr>
          <w:lang w:val="fr-CH"/>
        </w:rPr>
        <w:t>. Épilogue</w:t>
      </w:r>
      <w:r w:rsidR="00550B9A" w:rsidRPr="00C50431">
        <w:rPr>
          <w:lang w:val="fr-CH"/>
        </w:rPr>
        <w:t> :</w:t>
      </w:r>
      <w:r w:rsidR="00AA045C" w:rsidRPr="00C50431">
        <w:rPr>
          <w:lang w:val="fr-CH"/>
        </w:rPr>
        <w:t xml:space="preserve"> </w:t>
      </w:r>
      <w:r w:rsidR="002B16F7">
        <w:rPr>
          <w:lang w:val="fr-CH"/>
        </w:rPr>
        <w:t xml:space="preserve">gloire, </w:t>
      </w:r>
      <w:r w:rsidR="00550B9A" w:rsidRPr="00C50431">
        <w:rPr>
          <w:lang w:val="fr-CH"/>
        </w:rPr>
        <w:t>partage</w:t>
      </w:r>
      <w:r w:rsidR="006902F5" w:rsidRPr="00C50431">
        <w:rPr>
          <w:lang w:val="fr-CH"/>
        </w:rPr>
        <w:t xml:space="preserve"> </w:t>
      </w:r>
      <w:r w:rsidR="002B16F7">
        <w:rPr>
          <w:lang w:val="fr-CH"/>
        </w:rPr>
        <w:t xml:space="preserve">et critiques </w:t>
      </w:r>
      <w:r w:rsidR="006902F5" w:rsidRPr="00C50431">
        <w:rPr>
          <w:lang w:val="fr-CH"/>
        </w:rPr>
        <w:t>de</w:t>
      </w:r>
      <w:r w:rsidR="00550B9A" w:rsidRPr="00C50431">
        <w:rPr>
          <w:lang w:val="fr-CH"/>
        </w:rPr>
        <w:t xml:space="preserve"> la découverte</w:t>
      </w:r>
    </w:p>
    <w:p w14:paraId="1A5F1634" w14:textId="5232EBA5" w:rsidR="009953E3" w:rsidRPr="002E719C" w:rsidRDefault="009D3455" w:rsidP="00E90117">
      <w:pPr>
        <w:rPr>
          <w:lang w:val="fr-CH"/>
        </w:rPr>
      </w:pPr>
      <w:r>
        <w:rPr>
          <w:lang w:val="fr-CH"/>
        </w:rPr>
        <w:t>L’exactitude de la méthode de lecture de</w:t>
      </w:r>
      <w:r w:rsidR="00D438CD">
        <w:rPr>
          <w:lang w:val="fr-CH"/>
        </w:rPr>
        <w:t>s</w:t>
      </w:r>
      <w:r>
        <w:rPr>
          <w:lang w:val="fr-CH"/>
        </w:rPr>
        <w:t xml:space="preserve"> hiéroglyphes proposée par Champollion lors de la séance de l’Académie des Inscriptions et Belles-Lettres</w:t>
      </w:r>
      <w:r w:rsidR="000D513C">
        <w:rPr>
          <w:lang w:val="fr-CH"/>
        </w:rPr>
        <w:t xml:space="preserve"> du 27 septembre 1822</w:t>
      </w:r>
      <w:r>
        <w:rPr>
          <w:lang w:val="fr-CH"/>
        </w:rPr>
        <w:t xml:space="preserve"> est rapidement reconnue par les savants présents, </w:t>
      </w:r>
      <w:r w:rsidRPr="002E719C">
        <w:rPr>
          <w:lang w:val="fr-CH"/>
        </w:rPr>
        <w:t xml:space="preserve">à commencer par Silvestre de </w:t>
      </w:r>
      <w:proofErr w:type="spellStart"/>
      <w:r w:rsidRPr="002E719C">
        <w:rPr>
          <w:lang w:val="fr-CH"/>
        </w:rPr>
        <w:t>Sacy</w:t>
      </w:r>
      <w:proofErr w:type="spellEnd"/>
      <w:r w:rsidRPr="002E719C">
        <w:rPr>
          <w:lang w:val="fr-CH"/>
        </w:rPr>
        <w:t xml:space="preserve">, </w:t>
      </w:r>
      <w:r w:rsidR="008417DC" w:rsidRPr="002E719C">
        <w:rPr>
          <w:lang w:val="fr-CH"/>
        </w:rPr>
        <w:t xml:space="preserve">son ancien maître, </w:t>
      </w:r>
      <w:r w:rsidRPr="002E719C">
        <w:rPr>
          <w:lang w:val="fr-CH"/>
        </w:rPr>
        <w:t xml:space="preserve">Alexander </w:t>
      </w:r>
      <w:proofErr w:type="spellStart"/>
      <w:r w:rsidRPr="002E719C">
        <w:rPr>
          <w:lang w:val="fr-CH"/>
        </w:rPr>
        <w:t>von</w:t>
      </w:r>
      <w:proofErr w:type="spellEnd"/>
      <w:r w:rsidRPr="002E719C">
        <w:rPr>
          <w:lang w:val="fr-CH"/>
        </w:rPr>
        <w:t xml:space="preserve"> Humboldt</w:t>
      </w:r>
      <w:r w:rsidR="00104BCB" w:rsidRPr="002E719C">
        <w:rPr>
          <w:rStyle w:val="Appelnotedebasdep"/>
          <w:spacing w:val="4"/>
          <w:w w:val="103"/>
          <w:sz w:val="20"/>
          <w:lang w:val="fr-CH"/>
        </w:rPr>
        <w:footnoteReference w:id="45"/>
      </w:r>
      <w:r w:rsidRPr="002E719C">
        <w:rPr>
          <w:lang w:val="fr-CH"/>
        </w:rPr>
        <w:t xml:space="preserve"> et Thomas </w:t>
      </w:r>
      <w:r w:rsidR="002B16F7" w:rsidRPr="002E719C">
        <w:rPr>
          <w:lang w:val="fr-CH"/>
        </w:rPr>
        <w:t xml:space="preserve">Young lui-même qui, le hasard faisant parfois bien les choses, était à Paris pour </w:t>
      </w:r>
      <w:r w:rsidR="00B776A6" w:rsidRPr="002E719C">
        <w:rPr>
          <w:lang w:val="fr-CH"/>
        </w:rPr>
        <w:t>entendre un exposé de Fresnel sur la théorie de la lumière</w:t>
      </w:r>
      <w:r w:rsidR="00FE6636" w:rsidRPr="002E719C">
        <w:rPr>
          <w:rStyle w:val="Appelnotedebasdep"/>
          <w:spacing w:val="4"/>
          <w:w w:val="103"/>
          <w:sz w:val="20"/>
          <w:lang w:val="fr-CH"/>
        </w:rPr>
        <w:footnoteReference w:id="46"/>
      </w:r>
      <w:r w:rsidR="00B776A6" w:rsidRPr="002E719C">
        <w:rPr>
          <w:lang w:val="fr-CH"/>
        </w:rPr>
        <w:t>.</w:t>
      </w:r>
      <w:r w:rsidR="001565BB" w:rsidRPr="002E719C">
        <w:rPr>
          <w:lang w:val="fr-CH"/>
        </w:rPr>
        <w:t xml:space="preserve"> </w:t>
      </w:r>
      <w:r w:rsidR="00A72088">
        <w:rPr>
          <w:lang w:val="fr-CH"/>
        </w:rPr>
        <w:t xml:space="preserve">La nouvelle </w:t>
      </w:r>
      <w:r w:rsidR="00153472">
        <w:rPr>
          <w:lang w:val="fr-CH"/>
        </w:rPr>
        <w:t xml:space="preserve">de la découverte </w:t>
      </w:r>
      <w:r w:rsidR="00A72088">
        <w:rPr>
          <w:lang w:val="fr-CH"/>
        </w:rPr>
        <w:t>ne tarde pas à se répandre à travers l’Europe</w:t>
      </w:r>
      <w:r w:rsidR="00D70C75">
        <w:rPr>
          <w:lang w:val="fr-CH"/>
        </w:rPr>
        <w:t xml:space="preserve"> et est accueillie avec enthousiasme</w:t>
      </w:r>
      <w:r w:rsidR="00CC60A3">
        <w:rPr>
          <w:lang w:val="fr-CH"/>
        </w:rPr>
        <w:t xml:space="preserve"> par le monde intellectuel</w:t>
      </w:r>
      <w:r w:rsidR="00A72088">
        <w:rPr>
          <w:lang w:val="fr-CH"/>
        </w:rPr>
        <w:t xml:space="preserve">. </w:t>
      </w:r>
      <w:r w:rsidR="009953E3" w:rsidRPr="002E719C">
        <w:rPr>
          <w:lang w:val="fr-CH"/>
        </w:rPr>
        <w:t xml:space="preserve">Champollion </w:t>
      </w:r>
      <w:r w:rsidR="00C643DD">
        <w:rPr>
          <w:lang w:val="fr-CH"/>
        </w:rPr>
        <w:t>souligne, avec la modestie qui le caractérise</w:t>
      </w:r>
      <w:r w:rsidR="009953E3" w:rsidRPr="002E719C">
        <w:rPr>
          <w:lang w:val="fr-CH"/>
        </w:rPr>
        <w:t xml:space="preserve"> : « [m]on alphabet hiéroglyphique était </w:t>
      </w:r>
      <w:r w:rsidR="00581D1A">
        <w:rPr>
          <w:lang w:val="fr-CH"/>
        </w:rPr>
        <w:t>(…)</w:t>
      </w:r>
      <w:r w:rsidR="00CE2615">
        <w:rPr>
          <w:lang w:val="fr-CH"/>
        </w:rPr>
        <w:t xml:space="preserve"> </w:t>
      </w:r>
      <w:r w:rsidR="009953E3" w:rsidRPr="002E719C">
        <w:rPr>
          <w:lang w:val="fr-CH"/>
        </w:rPr>
        <w:t>appuyé sur tant de faits et d’applications probantes, que je devais redouter, moins des contradicteurs, que des prétentions au partage de ma découverte » (</w:t>
      </w:r>
      <w:r w:rsidR="009953E3" w:rsidRPr="002E719C">
        <w:rPr>
          <w:i/>
          <w:iCs/>
          <w:lang w:val="fr-CH"/>
        </w:rPr>
        <w:t>Précis</w:t>
      </w:r>
      <w:r w:rsidR="009953E3" w:rsidRPr="002E719C">
        <w:rPr>
          <w:lang w:val="fr-CH"/>
        </w:rPr>
        <w:t>, p. 6).</w:t>
      </w:r>
      <w:r w:rsidR="003743E1">
        <w:rPr>
          <w:lang w:val="fr-CH"/>
        </w:rPr>
        <w:t xml:space="preserve"> </w:t>
      </w:r>
    </w:p>
    <w:p w14:paraId="353D5F7C" w14:textId="4556A48D" w:rsidR="00C4520A" w:rsidRPr="006144FE" w:rsidRDefault="002E719C" w:rsidP="00014666">
      <w:pPr>
        <w:rPr>
          <w:lang w:val="fr-BE"/>
        </w:rPr>
      </w:pPr>
      <w:r>
        <w:rPr>
          <w:lang w:val="fr-CH"/>
        </w:rPr>
        <w:lastRenderedPageBreak/>
        <w:t xml:space="preserve">La gloire </w:t>
      </w:r>
      <w:r w:rsidR="005550A3">
        <w:rPr>
          <w:lang w:val="fr-CH"/>
        </w:rPr>
        <w:t xml:space="preserve">attendue du </w:t>
      </w:r>
      <w:r>
        <w:rPr>
          <w:lang w:val="fr-CH"/>
        </w:rPr>
        <w:t xml:space="preserve">déchiffrement était </w:t>
      </w:r>
      <w:r w:rsidR="005A3FB6">
        <w:rPr>
          <w:lang w:val="fr-CH"/>
        </w:rPr>
        <w:t xml:space="preserve">en effet </w:t>
      </w:r>
      <w:r>
        <w:rPr>
          <w:lang w:val="fr-CH"/>
        </w:rPr>
        <w:t xml:space="preserve">telle qu’il était difficile </w:t>
      </w:r>
      <w:r w:rsidR="009C1F3E">
        <w:rPr>
          <w:lang w:val="fr-CH"/>
        </w:rPr>
        <w:t>pour</w:t>
      </w:r>
      <w:r>
        <w:rPr>
          <w:lang w:val="fr-CH"/>
        </w:rPr>
        <w:t xml:space="preserve"> ceux qui l’avai</w:t>
      </w:r>
      <w:r w:rsidR="00123DB1">
        <w:rPr>
          <w:lang w:val="fr-CH"/>
        </w:rPr>
        <w:t>en</w:t>
      </w:r>
      <w:r>
        <w:rPr>
          <w:lang w:val="fr-CH"/>
        </w:rPr>
        <w:t xml:space="preserve">t, d’une manière ou d’une autre, permis, de ne pas prétendre </w:t>
      </w:r>
      <w:r w:rsidR="0076403F">
        <w:rPr>
          <w:lang w:val="fr-CH"/>
        </w:rPr>
        <w:t xml:space="preserve">à </w:t>
      </w:r>
      <w:r w:rsidR="00F407B1">
        <w:rPr>
          <w:lang w:val="fr-CH"/>
        </w:rPr>
        <w:t>une part du gâteau.</w:t>
      </w:r>
      <w:r w:rsidR="00856490">
        <w:rPr>
          <w:lang w:val="fr-CH"/>
        </w:rPr>
        <w:t xml:space="preserve"> </w:t>
      </w:r>
      <w:r w:rsidR="00464B5B">
        <w:rPr>
          <w:lang w:val="fr-CH"/>
        </w:rPr>
        <w:t xml:space="preserve">C’était </w:t>
      </w:r>
      <w:r w:rsidR="008417DC">
        <w:rPr>
          <w:lang w:val="fr-CH"/>
        </w:rPr>
        <w:t>évidemment</w:t>
      </w:r>
      <w:r w:rsidR="00464B5B">
        <w:rPr>
          <w:lang w:val="fr-CH"/>
        </w:rPr>
        <w:t xml:space="preserve"> le cas de </w:t>
      </w:r>
      <w:r w:rsidR="00455BF5">
        <w:rPr>
          <w:lang w:val="fr-CH"/>
        </w:rPr>
        <w:t>Thomas Young</w:t>
      </w:r>
      <w:r w:rsidR="00F716C3">
        <w:rPr>
          <w:lang w:val="fr-CH"/>
        </w:rPr>
        <w:t xml:space="preserve"> </w:t>
      </w:r>
      <w:r w:rsidR="00995211">
        <w:rPr>
          <w:lang w:val="fr-CH"/>
        </w:rPr>
        <w:t>(</w:t>
      </w:r>
      <w:r w:rsidR="00995211" w:rsidRPr="00D72101">
        <w:rPr>
          <w:highlight w:val="yellow"/>
          <w:lang w:val="fr-CH"/>
        </w:rPr>
        <w:t>cf. </w:t>
      </w:r>
      <w:r w:rsidR="00995211" w:rsidRPr="00D72101">
        <w:rPr>
          <w:i/>
          <w:iCs/>
          <w:highlight w:val="yellow"/>
          <w:lang w:val="fr-CH"/>
        </w:rPr>
        <w:t>supra</w:t>
      </w:r>
      <w:r w:rsidR="00995211" w:rsidRPr="00D72101">
        <w:rPr>
          <w:highlight w:val="yellow"/>
          <w:lang w:val="fr-CH"/>
        </w:rPr>
        <w:t>, 9.4</w:t>
      </w:r>
      <w:r w:rsidR="00995211">
        <w:rPr>
          <w:lang w:val="fr-CH"/>
        </w:rPr>
        <w:t>)</w:t>
      </w:r>
      <w:r w:rsidR="005A13A5">
        <w:rPr>
          <w:lang w:val="fr-CH"/>
        </w:rPr>
        <w:t>. L</w:t>
      </w:r>
      <w:r w:rsidR="00455BF5" w:rsidRPr="004D558D">
        <w:rPr>
          <w:lang w:val="fr-CH"/>
        </w:rPr>
        <w:t xml:space="preserve">égitimement conscient de ses mérites et probablement conforté </w:t>
      </w:r>
      <w:r w:rsidR="00025F8A" w:rsidRPr="004D558D">
        <w:rPr>
          <w:lang w:val="fr-CH"/>
        </w:rPr>
        <w:t xml:space="preserve">dans ses </w:t>
      </w:r>
      <w:r w:rsidR="00763D45">
        <w:rPr>
          <w:lang w:val="fr-CH"/>
        </w:rPr>
        <w:t>prétentions</w:t>
      </w:r>
      <w:r w:rsidR="00025F8A" w:rsidRPr="004D558D">
        <w:rPr>
          <w:lang w:val="fr-CH"/>
        </w:rPr>
        <w:t xml:space="preserve"> </w:t>
      </w:r>
      <w:r w:rsidR="00455BF5" w:rsidRPr="004D558D">
        <w:rPr>
          <w:lang w:val="fr-CH"/>
        </w:rPr>
        <w:t xml:space="preserve">par </w:t>
      </w:r>
      <w:r w:rsidR="006D6BBB">
        <w:rPr>
          <w:lang w:val="fr-CH"/>
        </w:rPr>
        <w:t>la réputation</w:t>
      </w:r>
      <w:r w:rsidR="00455BF5" w:rsidRPr="004D558D">
        <w:rPr>
          <w:lang w:val="fr-CH"/>
        </w:rPr>
        <w:t xml:space="preserve"> </w:t>
      </w:r>
      <w:r w:rsidR="003F68F1" w:rsidRPr="004D558D">
        <w:rPr>
          <w:lang w:val="fr-CH"/>
        </w:rPr>
        <w:t>quelque peu sulfureuse de Champollion</w:t>
      </w:r>
      <w:r w:rsidR="003B4F42" w:rsidRPr="004D558D">
        <w:rPr>
          <w:rStyle w:val="Appelnotedebasdep"/>
          <w:spacing w:val="4"/>
          <w:w w:val="103"/>
          <w:sz w:val="20"/>
          <w:lang w:val="fr-CH"/>
        </w:rPr>
        <w:footnoteReference w:id="47"/>
      </w:r>
      <w:r w:rsidR="005E381F">
        <w:rPr>
          <w:lang w:val="fr-CH"/>
        </w:rPr>
        <w:t xml:space="preserve"> (</w:t>
      </w:r>
      <w:r w:rsidR="000B6D48" w:rsidRPr="004D558D">
        <w:rPr>
          <w:lang w:val="fr-CH"/>
        </w:rPr>
        <w:t xml:space="preserve">qui avait </w:t>
      </w:r>
      <w:r w:rsidR="009F0C07">
        <w:rPr>
          <w:lang w:val="fr-CH"/>
        </w:rPr>
        <w:t xml:space="preserve">témérairement </w:t>
      </w:r>
      <w:r w:rsidR="000B6D48" w:rsidRPr="004D558D">
        <w:rPr>
          <w:lang w:val="fr-CH"/>
        </w:rPr>
        <w:t xml:space="preserve">anticipé </w:t>
      </w:r>
      <w:r w:rsidR="00461291">
        <w:rPr>
          <w:lang w:val="fr-CH"/>
        </w:rPr>
        <w:t>son succès</w:t>
      </w:r>
      <w:r w:rsidR="0099081F">
        <w:rPr>
          <w:lang w:val="fr-CH"/>
        </w:rPr>
        <w:t xml:space="preserve"> </w:t>
      </w:r>
      <w:r w:rsidR="000B6D48" w:rsidRPr="004D558D">
        <w:rPr>
          <w:lang w:val="fr-CH"/>
        </w:rPr>
        <w:t xml:space="preserve">dans </w:t>
      </w:r>
      <w:r w:rsidR="000F4F8D">
        <w:rPr>
          <w:lang w:val="fr-CH"/>
        </w:rPr>
        <w:t xml:space="preserve">plusieurs de </w:t>
      </w:r>
      <w:r w:rsidR="000B6D48" w:rsidRPr="004D558D">
        <w:rPr>
          <w:lang w:val="fr-CH"/>
        </w:rPr>
        <w:t>se</w:t>
      </w:r>
      <w:r w:rsidR="00225955" w:rsidRPr="004D558D">
        <w:rPr>
          <w:lang w:val="fr-CH"/>
        </w:rPr>
        <w:t>s écrits</w:t>
      </w:r>
      <w:r w:rsidR="005E381F">
        <w:rPr>
          <w:lang w:val="fr-CH"/>
        </w:rPr>
        <w:t>)</w:t>
      </w:r>
      <w:r w:rsidR="00541263">
        <w:rPr>
          <w:lang w:val="fr-CH"/>
        </w:rPr>
        <w:t>, le savant anglai</w:t>
      </w:r>
      <w:r w:rsidR="00461291">
        <w:rPr>
          <w:lang w:val="fr-CH"/>
        </w:rPr>
        <w:t>s</w:t>
      </w:r>
      <w:r w:rsidR="00541263">
        <w:rPr>
          <w:lang w:val="fr-CH"/>
        </w:rPr>
        <w:t xml:space="preserve"> témoignera </w:t>
      </w:r>
      <w:r w:rsidR="006520B1" w:rsidRPr="004D558D">
        <w:rPr>
          <w:lang w:val="fr-CH"/>
        </w:rPr>
        <w:t xml:space="preserve">d’une </w:t>
      </w:r>
      <w:r w:rsidR="00CC7CB7" w:rsidRPr="004D558D">
        <w:rPr>
          <w:lang w:val="fr-CH"/>
        </w:rPr>
        <w:t xml:space="preserve">jalouse </w:t>
      </w:r>
      <w:r w:rsidR="006520B1" w:rsidRPr="004D558D">
        <w:rPr>
          <w:lang w:val="fr-CH"/>
        </w:rPr>
        <w:t xml:space="preserve">admiration </w:t>
      </w:r>
      <w:r w:rsidR="00CC7CB7" w:rsidRPr="004D558D">
        <w:rPr>
          <w:lang w:val="fr-CH"/>
        </w:rPr>
        <w:t>envers Champollion</w:t>
      </w:r>
      <w:r w:rsidR="00937359" w:rsidRPr="004D558D">
        <w:rPr>
          <w:lang w:val="fr-CH"/>
        </w:rPr>
        <w:t xml:space="preserve">. Il </w:t>
      </w:r>
      <w:r w:rsidR="00E50721">
        <w:rPr>
          <w:lang w:val="fr-CH"/>
        </w:rPr>
        <w:t>alternera</w:t>
      </w:r>
      <w:r w:rsidR="00014666" w:rsidRPr="004D558D">
        <w:rPr>
          <w:lang w:val="fr-CH"/>
        </w:rPr>
        <w:t xml:space="preserve"> </w:t>
      </w:r>
      <w:r w:rsidR="00937359" w:rsidRPr="004D558D">
        <w:rPr>
          <w:lang w:val="fr-CH"/>
        </w:rPr>
        <w:t xml:space="preserve">entre </w:t>
      </w:r>
      <w:r w:rsidR="006520B1" w:rsidRPr="004D558D">
        <w:rPr>
          <w:lang w:val="fr-CH"/>
        </w:rPr>
        <w:t>reconnaissance de</w:t>
      </w:r>
      <w:r w:rsidR="005618B8">
        <w:rPr>
          <w:lang w:val="fr-CH"/>
        </w:rPr>
        <w:t xml:space="preserve"> se</w:t>
      </w:r>
      <w:r w:rsidR="006520B1" w:rsidRPr="004D558D">
        <w:rPr>
          <w:lang w:val="fr-CH"/>
        </w:rPr>
        <w:t xml:space="preserve">s mérites </w:t>
      </w:r>
      <w:r w:rsidR="00D6080C" w:rsidRPr="00223D01">
        <w:rPr>
          <w:lang w:val="fr-CH"/>
        </w:rPr>
        <w:t>—</w:t>
      </w:r>
      <w:r w:rsidR="00D6080C">
        <w:rPr>
          <w:lang w:val="fr-CH"/>
        </w:rPr>
        <w:t> </w:t>
      </w:r>
      <w:r w:rsidR="006520B1" w:rsidRPr="004D558D">
        <w:rPr>
          <w:lang w:val="fr-CH"/>
        </w:rPr>
        <w:t>« même s’il a emprunté une c</w:t>
      </w:r>
      <w:r w:rsidR="00D70C75" w:rsidRPr="004D558D">
        <w:rPr>
          <w:lang w:val="fr-CH"/>
        </w:rPr>
        <w:t xml:space="preserve">lef anglaise, la serrure était si effroyablement rouillée qu’aucun bras n’avait été assez puissant pour la faire tourner », </w:t>
      </w:r>
      <w:r w:rsidR="008C7551">
        <w:rPr>
          <w:lang w:val="fr-CH"/>
        </w:rPr>
        <w:t xml:space="preserve">observe-t-il dans une </w:t>
      </w:r>
      <w:r w:rsidR="00D70C75" w:rsidRPr="004D558D">
        <w:rPr>
          <w:i/>
          <w:iCs/>
          <w:lang w:val="fr-CH"/>
        </w:rPr>
        <w:t>Lettre à W. Hamilton</w:t>
      </w:r>
      <w:r w:rsidR="00D6080C">
        <w:rPr>
          <w:lang w:val="fr-CH"/>
        </w:rPr>
        <w:t> </w:t>
      </w:r>
      <w:r w:rsidR="00D6080C" w:rsidRPr="00223D01">
        <w:rPr>
          <w:lang w:val="fr-CH"/>
        </w:rPr>
        <w:t>—</w:t>
      </w:r>
      <w:r w:rsidR="00D6080C">
        <w:rPr>
          <w:lang w:val="fr-CH"/>
        </w:rPr>
        <w:t xml:space="preserve"> </w:t>
      </w:r>
      <w:r w:rsidR="00014666" w:rsidRPr="004D558D">
        <w:rPr>
          <w:lang w:val="fr-CH"/>
        </w:rPr>
        <w:t xml:space="preserve">et prétention à l’antériorité, qui est patente dans son </w:t>
      </w:r>
      <w:r w:rsidR="002B7176">
        <w:rPr>
          <w:lang w:val="fr-CH"/>
        </w:rPr>
        <w:t xml:space="preserve">essai </w:t>
      </w:r>
      <w:r w:rsidR="00014666" w:rsidRPr="004D558D">
        <w:rPr>
          <w:lang w:val="fr-CH"/>
        </w:rPr>
        <w:t xml:space="preserve">publié à Londres en 1823 : </w:t>
      </w:r>
      <w:r w:rsidR="00BD348F" w:rsidRPr="004D558D">
        <w:rPr>
          <w:lang w:val="fr-CH"/>
        </w:rPr>
        <w:t>« </w:t>
      </w:r>
      <w:r w:rsidR="00BD348F" w:rsidRPr="004D558D">
        <w:rPr>
          <w:i/>
          <w:iCs/>
          <w:lang w:val="fr-CH"/>
        </w:rPr>
        <w:t xml:space="preserve">An </w:t>
      </w:r>
      <w:proofErr w:type="spellStart"/>
      <w:r w:rsidR="00BD348F" w:rsidRPr="004D558D">
        <w:rPr>
          <w:i/>
          <w:iCs/>
          <w:lang w:val="fr-CH"/>
        </w:rPr>
        <w:t>account</w:t>
      </w:r>
      <w:proofErr w:type="spellEnd"/>
      <w:r w:rsidR="00BD348F" w:rsidRPr="004D558D">
        <w:rPr>
          <w:i/>
          <w:iCs/>
          <w:lang w:val="fr-CH"/>
        </w:rPr>
        <w:t xml:space="preserve"> of </w:t>
      </w:r>
      <w:proofErr w:type="spellStart"/>
      <w:r w:rsidR="00BD348F" w:rsidRPr="004D558D">
        <w:rPr>
          <w:i/>
          <w:iCs/>
          <w:lang w:val="fr-CH"/>
        </w:rPr>
        <w:t>some</w:t>
      </w:r>
      <w:proofErr w:type="spellEnd"/>
      <w:r w:rsidR="00BD348F" w:rsidRPr="004D558D">
        <w:rPr>
          <w:i/>
          <w:iCs/>
          <w:lang w:val="fr-CH"/>
        </w:rPr>
        <w:t xml:space="preserve"> </w:t>
      </w:r>
      <w:proofErr w:type="spellStart"/>
      <w:r w:rsidR="00BD348F" w:rsidRPr="004D558D">
        <w:rPr>
          <w:i/>
          <w:iCs/>
          <w:lang w:val="fr-CH"/>
        </w:rPr>
        <w:t>recent</w:t>
      </w:r>
      <w:proofErr w:type="spellEnd"/>
      <w:r w:rsidR="00BD348F" w:rsidRPr="004D558D">
        <w:rPr>
          <w:i/>
          <w:iCs/>
          <w:lang w:val="fr-CH"/>
        </w:rPr>
        <w:t xml:space="preserve"> </w:t>
      </w:r>
      <w:proofErr w:type="spellStart"/>
      <w:r w:rsidR="00BD348F" w:rsidRPr="004D558D">
        <w:rPr>
          <w:i/>
          <w:iCs/>
          <w:lang w:val="fr-CH"/>
        </w:rPr>
        <w:t>discoveries</w:t>
      </w:r>
      <w:proofErr w:type="spellEnd"/>
      <w:r w:rsidR="00BD348F" w:rsidRPr="004D558D">
        <w:rPr>
          <w:i/>
          <w:iCs/>
          <w:lang w:val="fr-CH"/>
        </w:rPr>
        <w:t xml:space="preserve"> in </w:t>
      </w:r>
      <w:proofErr w:type="spellStart"/>
      <w:r w:rsidR="00BD348F" w:rsidRPr="004D558D">
        <w:rPr>
          <w:i/>
          <w:iCs/>
          <w:lang w:val="fr-CH"/>
        </w:rPr>
        <w:t>hieroglyphical</w:t>
      </w:r>
      <w:proofErr w:type="spellEnd"/>
      <w:r w:rsidR="00BD348F" w:rsidRPr="004D558D">
        <w:rPr>
          <w:i/>
          <w:iCs/>
          <w:lang w:val="fr-CH"/>
        </w:rPr>
        <w:t xml:space="preserve"> </w:t>
      </w:r>
      <w:proofErr w:type="spellStart"/>
      <w:r w:rsidR="00BD348F" w:rsidRPr="004D558D">
        <w:rPr>
          <w:i/>
          <w:iCs/>
          <w:lang w:val="fr-CH"/>
        </w:rPr>
        <w:t>literature</w:t>
      </w:r>
      <w:proofErr w:type="spellEnd"/>
      <w:r w:rsidR="00BD348F" w:rsidRPr="004D558D">
        <w:rPr>
          <w:i/>
          <w:iCs/>
          <w:lang w:val="fr-CH"/>
        </w:rPr>
        <w:t xml:space="preserve">, and </w:t>
      </w:r>
      <w:proofErr w:type="spellStart"/>
      <w:r w:rsidR="00BD348F" w:rsidRPr="004D558D">
        <w:rPr>
          <w:i/>
          <w:iCs/>
          <w:lang w:val="fr-CH"/>
        </w:rPr>
        <w:t>Egyptian</w:t>
      </w:r>
      <w:proofErr w:type="spellEnd"/>
      <w:r w:rsidR="00BD348F" w:rsidRPr="004D558D">
        <w:rPr>
          <w:i/>
          <w:iCs/>
          <w:lang w:val="fr-CH"/>
        </w:rPr>
        <w:t xml:space="preserve"> </w:t>
      </w:r>
      <w:proofErr w:type="spellStart"/>
      <w:r w:rsidR="00BD348F" w:rsidRPr="004D558D">
        <w:rPr>
          <w:i/>
          <w:iCs/>
          <w:lang w:val="fr-CH"/>
        </w:rPr>
        <w:t>antiquities</w:t>
      </w:r>
      <w:proofErr w:type="spellEnd"/>
      <w:r w:rsidR="00BD348F" w:rsidRPr="004D558D">
        <w:rPr>
          <w:i/>
          <w:iCs/>
          <w:lang w:val="fr-CH"/>
        </w:rPr>
        <w:t xml:space="preserve">; </w:t>
      </w:r>
      <w:proofErr w:type="spellStart"/>
      <w:r w:rsidR="00D91C62" w:rsidRPr="004D558D">
        <w:rPr>
          <w:i/>
          <w:iCs/>
          <w:lang w:val="fr-CH"/>
        </w:rPr>
        <w:t>including</w:t>
      </w:r>
      <w:proofErr w:type="spellEnd"/>
      <w:r w:rsidR="00D91C62" w:rsidRPr="004D558D">
        <w:rPr>
          <w:i/>
          <w:iCs/>
          <w:lang w:val="fr-CH"/>
        </w:rPr>
        <w:t xml:space="preserve"> the </w:t>
      </w:r>
      <w:proofErr w:type="spellStart"/>
      <w:r w:rsidR="00D91C62" w:rsidRPr="004D558D">
        <w:rPr>
          <w:i/>
          <w:iCs/>
          <w:lang w:val="fr-CH"/>
        </w:rPr>
        <w:t>author’s</w:t>
      </w:r>
      <w:proofErr w:type="spellEnd"/>
      <w:r w:rsidR="00D91C62" w:rsidRPr="004D558D">
        <w:rPr>
          <w:i/>
          <w:iCs/>
          <w:lang w:val="fr-CH"/>
        </w:rPr>
        <w:t xml:space="preserve"> original alphabet, as </w:t>
      </w:r>
      <w:proofErr w:type="spellStart"/>
      <w:r w:rsidR="00D91C62" w:rsidRPr="004D558D">
        <w:rPr>
          <w:i/>
          <w:iCs/>
          <w:lang w:val="fr-CH"/>
        </w:rPr>
        <w:t>extended</w:t>
      </w:r>
      <w:proofErr w:type="spellEnd"/>
      <w:r w:rsidR="00D91C62" w:rsidRPr="004D558D">
        <w:rPr>
          <w:i/>
          <w:iCs/>
          <w:lang w:val="fr-CH"/>
        </w:rPr>
        <w:t xml:space="preserve"> by M. Champollion</w:t>
      </w:r>
      <w:r w:rsidR="00D91C62" w:rsidRPr="004D558D">
        <w:rPr>
          <w:lang w:val="fr-CH"/>
        </w:rPr>
        <w:t> »</w:t>
      </w:r>
      <w:r w:rsidR="000C5F19" w:rsidRPr="004D558D">
        <w:rPr>
          <w:lang w:val="fr-CH"/>
        </w:rPr>
        <w:t xml:space="preserve">. </w:t>
      </w:r>
      <w:r w:rsidR="00C4520A" w:rsidRPr="00766B07">
        <w:rPr>
          <w:lang w:val="en-US"/>
        </w:rPr>
        <w:t xml:space="preserve">Champollion </w:t>
      </w:r>
      <w:proofErr w:type="spellStart"/>
      <w:r w:rsidR="00C4520A" w:rsidRPr="00766B07">
        <w:rPr>
          <w:lang w:val="en-US"/>
        </w:rPr>
        <w:t>n’aurait</w:t>
      </w:r>
      <w:proofErr w:type="spellEnd"/>
      <w:r w:rsidR="00C4520A" w:rsidRPr="00766B07">
        <w:rPr>
          <w:lang w:val="en-US"/>
        </w:rPr>
        <w:t xml:space="preserve"> </w:t>
      </w:r>
      <w:proofErr w:type="spellStart"/>
      <w:r w:rsidR="00C4520A" w:rsidRPr="00766B07">
        <w:rPr>
          <w:lang w:val="en-US"/>
        </w:rPr>
        <w:t>donc</w:t>
      </w:r>
      <w:proofErr w:type="spellEnd"/>
      <w:r w:rsidR="00C4520A" w:rsidRPr="00766B07">
        <w:rPr>
          <w:lang w:val="en-US"/>
        </w:rPr>
        <w:t xml:space="preserve"> fait </w:t>
      </w:r>
      <w:proofErr w:type="spellStart"/>
      <w:r w:rsidR="00C4520A" w:rsidRPr="00766B07">
        <w:rPr>
          <w:lang w:val="en-US"/>
        </w:rPr>
        <w:t>qu</w:t>
      </w:r>
      <w:proofErr w:type="spellEnd"/>
      <w:r w:rsidR="00C4520A" w:rsidRPr="00766B07">
        <w:rPr>
          <w:lang w:val="en-US"/>
        </w:rPr>
        <w:t>’</w:t>
      </w:r>
      <w:r w:rsidR="00FE61D4" w:rsidRPr="00766B07">
        <w:rPr>
          <w:lang w:val="en-US"/>
        </w:rPr>
        <w:t>« </w:t>
      </w:r>
      <w:proofErr w:type="spellStart"/>
      <w:r w:rsidR="00FE61D4" w:rsidRPr="00766B07">
        <w:rPr>
          <w:lang w:val="en-US"/>
        </w:rPr>
        <w:t>é</w:t>
      </w:r>
      <w:r w:rsidR="00C4520A" w:rsidRPr="00766B07">
        <w:rPr>
          <w:lang w:val="en-US"/>
        </w:rPr>
        <w:t>tendre</w:t>
      </w:r>
      <w:proofErr w:type="spellEnd"/>
      <w:r w:rsidR="00C4520A" w:rsidRPr="00766B07">
        <w:rPr>
          <w:lang w:val="en-US"/>
        </w:rPr>
        <w:t xml:space="preserve"> son ‘alphabet’</w:t>
      </w:r>
      <w:r w:rsidR="00FE61D4" w:rsidRPr="00766B07">
        <w:rPr>
          <w:lang w:val="en-US"/>
        </w:rPr>
        <w:t xml:space="preserve"> » ; </w:t>
      </w:r>
      <w:r w:rsidR="009123EB" w:rsidRPr="00766B07">
        <w:rPr>
          <w:lang w:val="en-US"/>
        </w:rPr>
        <w:t xml:space="preserve">dans </w:t>
      </w:r>
      <w:proofErr w:type="spellStart"/>
      <w:r w:rsidR="00513A6A">
        <w:rPr>
          <w:lang w:val="en-US"/>
        </w:rPr>
        <w:t>cet</w:t>
      </w:r>
      <w:proofErr w:type="spellEnd"/>
      <w:r w:rsidR="00513A6A">
        <w:rPr>
          <w:lang w:val="en-US"/>
        </w:rPr>
        <w:t xml:space="preserve"> </w:t>
      </w:r>
      <w:r w:rsidR="002E7D11">
        <w:rPr>
          <w:lang w:val="en-US"/>
        </w:rPr>
        <w:t>opuscule</w:t>
      </w:r>
      <w:r w:rsidR="009123EB" w:rsidRPr="00766B07">
        <w:rPr>
          <w:lang w:val="en-US"/>
        </w:rPr>
        <w:t xml:space="preserve">, </w:t>
      </w:r>
      <w:r w:rsidR="00FE61D4" w:rsidRPr="00766B07">
        <w:rPr>
          <w:lang w:val="en-US"/>
        </w:rPr>
        <w:t xml:space="preserve">il </w:t>
      </w:r>
      <w:proofErr w:type="spellStart"/>
      <w:r w:rsidR="00FE61D4" w:rsidRPr="00766B07">
        <w:rPr>
          <w:lang w:val="en-US"/>
        </w:rPr>
        <w:t>formule</w:t>
      </w:r>
      <w:proofErr w:type="spellEnd"/>
      <w:r w:rsidR="00FE61D4" w:rsidRPr="00766B07">
        <w:rPr>
          <w:lang w:val="en-US"/>
        </w:rPr>
        <w:t xml:space="preserve"> le </w:t>
      </w:r>
      <w:proofErr w:type="spellStart"/>
      <w:r w:rsidR="00FE61D4" w:rsidRPr="00766B07">
        <w:rPr>
          <w:lang w:val="en-US"/>
        </w:rPr>
        <w:t>vœu</w:t>
      </w:r>
      <w:proofErr w:type="spellEnd"/>
      <w:r w:rsidR="009123EB" w:rsidRPr="00766B07">
        <w:rPr>
          <w:lang w:val="en-US"/>
        </w:rPr>
        <w:t xml:space="preserve"> </w:t>
      </w:r>
      <w:proofErr w:type="spellStart"/>
      <w:r w:rsidR="006537D6">
        <w:rPr>
          <w:lang w:val="en-US"/>
        </w:rPr>
        <w:t>suivant</w:t>
      </w:r>
      <w:proofErr w:type="spellEnd"/>
      <w:r w:rsidR="00BB1FC7">
        <w:rPr>
          <w:lang w:val="en-US"/>
        </w:rPr>
        <w:t xml:space="preserve"> </w:t>
      </w:r>
      <w:r w:rsidR="003C3BD6">
        <w:rPr>
          <w:lang w:val="en-US"/>
        </w:rPr>
        <w:t xml:space="preserve">sous </w:t>
      </w:r>
      <w:proofErr w:type="spellStart"/>
      <w:r w:rsidR="003C3BD6">
        <w:rPr>
          <w:lang w:val="en-US"/>
        </w:rPr>
        <w:t>forme</w:t>
      </w:r>
      <w:proofErr w:type="spellEnd"/>
      <w:r w:rsidR="003C3BD6">
        <w:rPr>
          <w:lang w:val="en-US"/>
        </w:rPr>
        <w:t xml:space="preserve"> de</w:t>
      </w:r>
      <w:r w:rsidR="00BB1FC7">
        <w:rPr>
          <w:lang w:val="en-US"/>
        </w:rPr>
        <w:t xml:space="preserve"> conclusion</w:t>
      </w:r>
      <w:r w:rsidR="00FE61D4" w:rsidRPr="00CF1A99">
        <w:rPr>
          <w:lang w:val="en-US"/>
        </w:rPr>
        <w:t> : « </w:t>
      </w:r>
      <w:r w:rsidR="009123EB" w:rsidRPr="00FE6D85">
        <w:rPr>
          <w:i/>
          <w:iCs/>
          <w:lang w:val="en-US"/>
        </w:rPr>
        <w:t>the further that he</w:t>
      </w:r>
      <w:r w:rsidR="009123EB">
        <w:rPr>
          <w:lang w:val="en-US"/>
        </w:rPr>
        <w:t xml:space="preserve"> </w:t>
      </w:r>
      <w:r w:rsidR="00A637E0">
        <w:rPr>
          <w:lang w:val="en-US"/>
        </w:rPr>
        <w:t>[</w:t>
      </w:r>
      <w:r w:rsidR="00A637E0">
        <w:rPr>
          <w:i/>
          <w:iCs/>
          <w:lang w:val="en-US"/>
        </w:rPr>
        <w:t>i.e. </w:t>
      </w:r>
      <w:r w:rsidR="00A637E0">
        <w:rPr>
          <w:lang w:val="en-US"/>
        </w:rPr>
        <w:t xml:space="preserve">Champollion] </w:t>
      </w:r>
      <w:r w:rsidR="009123EB" w:rsidRPr="00FE6D85">
        <w:rPr>
          <w:i/>
          <w:iCs/>
          <w:lang w:val="en-US"/>
        </w:rPr>
        <w:t xml:space="preserve">advances by the exertion of his own talents and ingenuity, the more easily he will be able to admit, without any exorbitant sacrifice of his fame, the claim that I have advanced to a priority with respect to the first elements of all his researches; and I cannot help thinking that he will ultimately feel it most for his own substantial </w:t>
      </w:r>
      <w:proofErr w:type="spellStart"/>
      <w:r w:rsidR="009123EB" w:rsidRPr="00FE6D85">
        <w:rPr>
          <w:i/>
          <w:iCs/>
          <w:lang w:val="en-US"/>
        </w:rPr>
        <w:t>honour</w:t>
      </w:r>
      <w:proofErr w:type="spellEnd"/>
      <w:r w:rsidR="009123EB" w:rsidRPr="00FE6D85">
        <w:rPr>
          <w:i/>
          <w:iCs/>
          <w:lang w:val="en-US"/>
        </w:rPr>
        <w:t xml:space="preserve"> and reputation, to be more anxious to admit the just claims of others than they can be to advance them</w:t>
      </w:r>
      <w:r w:rsidR="009123EB">
        <w:rPr>
          <w:lang w:val="en-US"/>
        </w:rPr>
        <w:t>.</w:t>
      </w:r>
      <w:r w:rsidR="00FE61D4" w:rsidRPr="009123EB">
        <w:rPr>
          <w:lang w:val="en-US"/>
        </w:rPr>
        <w:t> »</w:t>
      </w:r>
      <w:r w:rsidR="001A276F">
        <w:rPr>
          <w:lang w:val="en-US"/>
        </w:rPr>
        <w:t xml:space="preserve"> </w:t>
      </w:r>
      <w:r w:rsidR="001A276F" w:rsidRPr="006144FE">
        <w:rPr>
          <w:lang w:val="fr-BE"/>
        </w:rPr>
        <w:t>(Young 1823 : 53–54)</w:t>
      </w:r>
      <w:r w:rsidR="009123EB" w:rsidRPr="006144FE">
        <w:rPr>
          <w:lang w:val="fr-BE"/>
        </w:rPr>
        <w:t>.</w:t>
      </w:r>
      <w:r w:rsidR="00C24068">
        <w:rPr>
          <w:lang w:val="fr-BE"/>
        </w:rPr>
        <w:t xml:space="preserve"> Young </w:t>
      </w:r>
      <w:r w:rsidR="000C4300">
        <w:rPr>
          <w:lang w:val="fr-BE"/>
        </w:rPr>
        <w:t xml:space="preserve">s’attribue donc </w:t>
      </w:r>
      <w:r w:rsidR="00547F17">
        <w:rPr>
          <w:lang w:val="fr-BE"/>
        </w:rPr>
        <w:t>ici la mise au jour d</w:t>
      </w:r>
      <w:r w:rsidR="00C24068">
        <w:rPr>
          <w:lang w:val="fr-BE"/>
        </w:rPr>
        <w:t xml:space="preserve">es </w:t>
      </w:r>
      <w:r w:rsidR="000164E9">
        <w:rPr>
          <w:lang w:val="fr-BE"/>
        </w:rPr>
        <w:t xml:space="preserve">éléments </w:t>
      </w:r>
      <w:r w:rsidR="00442E46">
        <w:rPr>
          <w:lang w:val="fr-BE"/>
        </w:rPr>
        <w:t xml:space="preserve">premiers </w:t>
      </w:r>
      <w:r w:rsidR="00F43C2B">
        <w:rPr>
          <w:lang w:val="fr-BE"/>
        </w:rPr>
        <w:t xml:space="preserve">(entendre ‘fondamentaux’) </w:t>
      </w:r>
      <w:r w:rsidR="00442E46">
        <w:rPr>
          <w:lang w:val="fr-BE"/>
        </w:rPr>
        <w:t>sur lesquels repose</w:t>
      </w:r>
      <w:r w:rsidR="000B36E1">
        <w:rPr>
          <w:lang w:val="fr-BE"/>
        </w:rPr>
        <w:t>nt</w:t>
      </w:r>
      <w:r w:rsidR="00442E46">
        <w:rPr>
          <w:lang w:val="fr-BE"/>
        </w:rPr>
        <w:t xml:space="preserve"> </w:t>
      </w:r>
      <w:r w:rsidR="00C24068">
        <w:rPr>
          <w:lang w:val="fr-BE"/>
        </w:rPr>
        <w:t>tous les aspects de</w:t>
      </w:r>
      <w:r w:rsidR="00CB5129">
        <w:rPr>
          <w:lang w:val="fr-BE"/>
        </w:rPr>
        <w:t xml:space="preserve">s </w:t>
      </w:r>
      <w:r w:rsidR="00C24068">
        <w:rPr>
          <w:lang w:val="fr-BE"/>
        </w:rPr>
        <w:t>recherche</w:t>
      </w:r>
      <w:r w:rsidR="00CB5129">
        <w:rPr>
          <w:lang w:val="fr-BE"/>
        </w:rPr>
        <w:t>s de Champollion</w:t>
      </w:r>
      <w:r w:rsidR="00C24068">
        <w:rPr>
          <w:lang w:val="fr-BE"/>
        </w:rPr>
        <w:t xml:space="preserve"> </w:t>
      </w:r>
      <w:r w:rsidR="004A2878">
        <w:rPr>
          <w:lang w:val="fr-BE"/>
        </w:rPr>
        <w:t>en matière d’</w:t>
      </w:r>
      <w:r w:rsidR="00C24068">
        <w:rPr>
          <w:lang w:val="fr-BE"/>
        </w:rPr>
        <w:t xml:space="preserve">écriture égyptienne </w:t>
      </w:r>
    </w:p>
    <w:p w14:paraId="57EA778E" w14:textId="0655C730" w:rsidR="005D474B" w:rsidRPr="00A0099A" w:rsidRDefault="00695071" w:rsidP="00C91C5D">
      <w:r>
        <w:t xml:space="preserve">Dans son </w:t>
      </w:r>
      <w:r>
        <w:rPr>
          <w:i/>
          <w:iCs/>
        </w:rPr>
        <w:t>Précis</w:t>
      </w:r>
      <w:r>
        <w:t xml:space="preserve">, </w:t>
      </w:r>
      <w:r w:rsidR="00A83B80" w:rsidRPr="00A83B80">
        <w:t>Champollion répondra</w:t>
      </w:r>
      <w:r w:rsidR="00C24068" w:rsidRPr="00C24068">
        <w:t xml:space="preserve"> </w:t>
      </w:r>
      <w:r w:rsidR="00C24068">
        <w:t>à cette requête de Young</w:t>
      </w:r>
      <w:r w:rsidR="00A83B80" w:rsidRPr="00A83B80">
        <w:t xml:space="preserve"> </w:t>
      </w:r>
      <w:r w:rsidR="00B15001">
        <w:t>avec l</w:t>
      </w:r>
      <w:r w:rsidR="00344C1B">
        <w:t>’apparente</w:t>
      </w:r>
      <w:r w:rsidR="00B15001">
        <w:t xml:space="preserve"> libéralité du vainqueur</w:t>
      </w:r>
      <w:r w:rsidR="00C91C5D">
        <w:t xml:space="preserve"> en affirmant de Thomas Young</w:t>
      </w:r>
      <w:r w:rsidR="00C91C5D">
        <w:rPr>
          <w:i/>
          <w:iCs/>
        </w:rPr>
        <w:t> </w:t>
      </w:r>
      <w:r w:rsidR="00C91C5D" w:rsidRPr="00C91C5D">
        <w:t xml:space="preserve">: </w:t>
      </w:r>
      <w:r w:rsidR="00306753" w:rsidRPr="00C91C5D">
        <w:t>« </w:t>
      </w:r>
      <w:r w:rsidR="005255DD">
        <w:t>qu’</w:t>
      </w:r>
      <w:r w:rsidR="00306753" w:rsidRPr="00C91C5D">
        <w:t xml:space="preserve">il a, le premier publié quelques notions exactes sur les écritures antiques de l’Égypte ; qu’il a aussi, le premier, établi quelques distinctions vraies, relativement à la nature </w:t>
      </w:r>
      <w:r w:rsidR="00000ED4" w:rsidRPr="00C91C5D">
        <w:t xml:space="preserve">générale de ces écritures, en déterminant, par une comparaison matérielle des textes, la valeur de plusieurs groupes de caractères. Je reconnais encore qu’il a publié avant moi ses idées sur la possibilité de l’existence de quelques signes de son, qui auraient été employés pour écrire en hiéroglyphes les noms propres étrangers à l’Égypte ; enfin que M. Young a essayé aussi le premier, mais sans un plein succès, de donner une valeur phonétique aux hiéroglyphes composant les deux noms </w:t>
      </w:r>
      <w:r w:rsidR="00000ED4" w:rsidRPr="00C91C5D">
        <w:rPr>
          <w:i/>
          <w:iCs/>
        </w:rPr>
        <w:t xml:space="preserve">Ptolémée </w:t>
      </w:r>
      <w:r w:rsidR="00000ED4" w:rsidRPr="00C91C5D">
        <w:t>et</w:t>
      </w:r>
      <w:r w:rsidR="00000ED4" w:rsidRPr="00C91C5D">
        <w:rPr>
          <w:i/>
          <w:iCs/>
        </w:rPr>
        <w:t xml:space="preserve"> Bérénice.</w:t>
      </w:r>
      <w:r w:rsidR="00306753" w:rsidRPr="00C91C5D">
        <w:t> » (</w:t>
      </w:r>
      <w:r w:rsidR="00306753" w:rsidRPr="00C91C5D">
        <w:rPr>
          <w:i/>
          <w:iCs/>
        </w:rPr>
        <w:t>Précis</w:t>
      </w:r>
      <w:r w:rsidR="00306753" w:rsidRPr="00C91C5D">
        <w:t>, p</w:t>
      </w:r>
      <w:r w:rsidR="00CE3C1B">
        <w:t>p</w:t>
      </w:r>
      <w:r w:rsidR="00306753" w:rsidRPr="00C91C5D">
        <w:t>. 7–8).</w:t>
      </w:r>
      <w:r w:rsidR="00244539" w:rsidRPr="00C91C5D">
        <w:t xml:space="preserve"> Mais il ajoute </w:t>
      </w:r>
      <w:r w:rsidR="002038A8">
        <w:t>immédiatement que « [</w:t>
      </w:r>
      <w:r w:rsidR="00B52133" w:rsidRPr="00C91C5D">
        <w:t>t</w:t>
      </w:r>
      <w:r w:rsidR="002038A8">
        <w:t>]</w:t>
      </w:r>
      <w:r w:rsidR="00B52133" w:rsidRPr="00C91C5D">
        <w:t xml:space="preserve">out </w:t>
      </w:r>
      <w:proofErr w:type="spellStart"/>
      <w:r w:rsidR="00B52133" w:rsidRPr="00C91C5D">
        <w:t>rest</w:t>
      </w:r>
      <w:proofErr w:type="spellEnd"/>
      <w:r w:rsidR="002038A8">
        <w:t>[</w:t>
      </w:r>
      <w:r w:rsidR="00B52133" w:rsidRPr="00C91C5D">
        <w:t>ait</w:t>
      </w:r>
      <w:r w:rsidR="002038A8">
        <w:t>]</w:t>
      </w:r>
      <w:r w:rsidR="00B52133" w:rsidRPr="00C91C5D">
        <w:t xml:space="preserve"> </w:t>
      </w:r>
      <w:r w:rsidR="00F95F9B">
        <w:t xml:space="preserve">(…) </w:t>
      </w:r>
      <w:r w:rsidR="00B52133" w:rsidRPr="00C91C5D">
        <w:t>à faire</w:t>
      </w:r>
      <w:r w:rsidR="00453355">
        <w:t>, malgré les importants travaux préparatoires et les efforts du savant Anglais, pour que nous puissions nous former une idée juste de l’</w:t>
      </w:r>
      <w:r w:rsidR="00453355">
        <w:rPr>
          <w:i/>
          <w:iCs/>
        </w:rPr>
        <w:t>écriture hiéroglyphique</w:t>
      </w:r>
      <w:r w:rsidR="00453355">
        <w:t> » (</w:t>
      </w:r>
      <w:r w:rsidR="00453355">
        <w:rPr>
          <w:i/>
          <w:iCs/>
        </w:rPr>
        <w:t>Précis</w:t>
      </w:r>
      <w:r w:rsidR="00453355">
        <w:t>, p. 10).</w:t>
      </w:r>
      <w:r w:rsidR="00A0099A">
        <w:t xml:space="preserve"> </w:t>
      </w:r>
      <w:r w:rsidR="00A0099A">
        <w:rPr>
          <w:i/>
          <w:iCs/>
        </w:rPr>
        <w:t>Ite missa est</w:t>
      </w:r>
      <w:r w:rsidR="00A0099A">
        <w:t>.</w:t>
      </w:r>
    </w:p>
    <w:p w14:paraId="57774E83" w14:textId="34B5F813" w:rsidR="00027C74" w:rsidRDefault="003B51AA" w:rsidP="00593384">
      <w:pPr>
        <w:rPr>
          <w:lang w:val="fr-CH"/>
        </w:rPr>
      </w:pPr>
      <w:r>
        <w:rPr>
          <w:lang w:val="fr-CH"/>
        </w:rPr>
        <w:t>L’imparable force du système de Champollion est qu’il permet de lire</w:t>
      </w:r>
      <w:r w:rsidR="004658E8">
        <w:rPr>
          <w:lang w:val="fr-CH"/>
        </w:rPr>
        <w:t>, à proprement parler,</w:t>
      </w:r>
      <w:r>
        <w:rPr>
          <w:lang w:val="fr-CH"/>
        </w:rPr>
        <w:t xml:space="preserve"> tout nouveau texte égyptien</w:t>
      </w:r>
      <w:r w:rsidR="00F26EDF">
        <w:rPr>
          <w:lang w:val="fr-CH"/>
        </w:rPr>
        <w:t xml:space="preserve"> et de produire du sens </w:t>
      </w:r>
      <w:r w:rsidR="00282E36">
        <w:rPr>
          <w:lang w:val="fr-CH"/>
        </w:rPr>
        <w:t xml:space="preserve">linguistique </w:t>
      </w:r>
      <w:r w:rsidR="00F26EDF">
        <w:rPr>
          <w:lang w:val="fr-CH"/>
        </w:rPr>
        <w:t xml:space="preserve">là où l’on ne voyait jusqu’alors que </w:t>
      </w:r>
      <w:r w:rsidR="007520F2">
        <w:rPr>
          <w:lang w:val="fr-CH"/>
        </w:rPr>
        <w:t xml:space="preserve">de </w:t>
      </w:r>
      <w:r w:rsidR="00F26EDF">
        <w:rPr>
          <w:lang w:val="fr-CH"/>
        </w:rPr>
        <w:t>mystérieux symboles idéographique</w:t>
      </w:r>
      <w:r w:rsidR="007520F2">
        <w:rPr>
          <w:lang w:val="fr-CH"/>
        </w:rPr>
        <w:t>s</w:t>
      </w:r>
      <w:r w:rsidR="00101DA6">
        <w:rPr>
          <w:lang w:val="fr-CH"/>
        </w:rPr>
        <w:t>. O</w:t>
      </w:r>
      <w:r>
        <w:rPr>
          <w:lang w:val="fr-CH"/>
        </w:rPr>
        <w:t xml:space="preserve">n pourrait donc </w:t>
      </w:r>
      <w:r w:rsidR="00216D4A">
        <w:rPr>
          <w:lang w:val="fr-CH"/>
        </w:rPr>
        <w:t xml:space="preserve">légitimement penser que les réticences </w:t>
      </w:r>
      <w:r w:rsidR="007E41EE">
        <w:rPr>
          <w:lang w:val="fr-CH"/>
        </w:rPr>
        <w:t>vis-à-vis de son déchiffrement</w:t>
      </w:r>
      <w:r w:rsidR="00216D4A">
        <w:rPr>
          <w:lang w:val="fr-CH"/>
        </w:rPr>
        <w:t xml:space="preserve"> ne seraient </w:t>
      </w:r>
      <w:r w:rsidR="00464883">
        <w:rPr>
          <w:lang w:val="fr-CH"/>
        </w:rPr>
        <w:t xml:space="preserve">le fait </w:t>
      </w:r>
      <w:r w:rsidR="00216D4A">
        <w:rPr>
          <w:lang w:val="fr-CH"/>
        </w:rPr>
        <w:t xml:space="preserve">que de </w:t>
      </w:r>
      <w:r w:rsidR="000D1B4A">
        <w:rPr>
          <w:lang w:val="fr-CH"/>
        </w:rPr>
        <w:t xml:space="preserve">farfelus ou de marginaux. </w:t>
      </w:r>
      <w:r w:rsidR="001810B6">
        <w:rPr>
          <w:lang w:val="fr-CH"/>
        </w:rPr>
        <w:t>Loin s’en faut</w:t>
      </w:r>
      <w:r w:rsidR="00CB417A">
        <w:rPr>
          <w:lang w:val="fr-CH"/>
        </w:rPr>
        <w:t xml:space="preserve">. </w:t>
      </w:r>
      <w:r w:rsidR="00E15E54">
        <w:rPr>
          <w:lang w:val="fr-CH"/>
        </w:rPr>
        <w:t>On en prendra</w:t>
      </w:r>
      <w:r w:rsidR="00CB417A">
        <w:rPr>
          <w:lang w:val="fr-CH"/>
        </w:rPr>
        <w:t xml:space="preserve"> trois </w:t>
      </w:r>
      <w:r w:rsidR="00173DF0">
        <w:rPr>
          <w:lang w:val="fr-CH"/>
        </w:rPr>
        <w:t>illustrations</w:t>
      </w:r>
      <w:r w:rsidR="00CB417A">
        <w:rPr>
          <w:lang w:val="fr-CH"/>
        </w:rPr>
        <w:t xml:space="preserve"> </w:t>
      </w:r>
      <w:r w:rsidR="005165F9">
        <w:rPr>
          <w:lang w:val="fr-CH"/>
        </w:rPr>
        <w:t xml:space="preserve">à différents </w:t>
      </w:r>
      <w:r w:rsidR="00B56C68">
        <w:rPr>
          <w:lang w:val="fr-CH"/>
        </w:rPr>
        <w:t xml:space="preserve">points </w:t>
      </w:r>
      <w:r w:rsidR="005165F9">
        <w:rPr>
          <w:lang w:val="fr-CH"/>
        </w:rPr>
        <w:t xml:space="preserve">du spectre des critiques. Il faut d’abord faire une place aux sceptiques, tels </w:t>
      </w:r>
      <w:r w:rsidR="005165F9" w:rsidRPr="00635EEB">
        <w:rPr>
          <w:lang w:val="fr-CH"/>
        </w:rPr>
        <w:t>Jules Klaproth (1783</w:t>
      </w:r>
      <w:r w:rsidR="005165F9">
        <w:rPr>
          <w:lang w:val="fr-CH"/>
        </w:rPr>
        <w:t>–</w:t>
      </w:r>
      <w:r w:rsidR="005165F9" w:rsidRPr="00635EEB">
        <w:rPr>
          <w:lang w:val="fr-CH"/>
        </w:rPr>
        <w:t>1835)</w:t>
      </w:r>
      <w:r w:rsidR="005165F9">
        <w:rPr>
          <w:lang w:val="fr-CH"/>
        </w:rPr>
        <w:t xml:space="preserve">, éminent orientaliste </w:t>
      </w:r>
      <w:r w:rsidR="000A62AE">
        <w:rPr>
          <w:lang w:val="fr-CH"/>
        </w:rPr>
        <w:t xml:space="preserve">d’origine </w:t>
      </w:r>
      <w:r w:rsidR="005165F9">
        <w:rPr>
          <w:lang w:val="fr-CH"/>
        </w:rPr>
        <w:t>prussien</w:t>
      </w:r>
      <w:r w:rsidR="000A62AE">
        <w:rPr>
          <w:lang w:val="fr-CH"/>
        </w:rPr>
        <w:t>ne</w:t>
      </w:r>
      <w:r w:rsidR="005165F9">
        <w:rPr>
          <w:lang w:val="fr-CH"/>
        </w:rPr>
        <w:t xml:space="preserve">. </w:t>
      </w:r>
      <w:r w:rsidR="0004440C">
        <w:rPr>
          <w:lang w:val="fr-CH"/>
        </w:rPr>
        <w:t>Juste après l</w:t>
      </w:r>
      <w:r w:rsidR="00593384">
        <w:rPr>
          <w:lang w:val="fr-CH"/>
        </w:rPr>
        <w:t>a mort de Champollion, il publie un</w:t>
      </w:r>
      <w:r w:rsidR="00027C74" w:rsidRPr="00635EEB">
        <w:rPr>
          <w:lang w:val="fr-CH"/>
        </w:rPr>
        <w:t xml:space="preserve"> </w:t>
      </w:r>
      <w:r w:rsidR="00027C74" w:rsidRPr="00593384">
        <w:rPr>
          <w:i/>
          <w:iCs/>
          <w:lang w:val="fr-CH"/>
        </w:rPr>
        <w:t xml:space="preserve">Examen </w:t>
      </w:r>
      <w:r w:rsidR="00027C74" w:rsidRPr="00593384">
        <w:rPr>
          <w:i/>
          <w:iCs/>
          <w:lang w:val="fr-CH"/>
        </w:rPr>
        <w:lastRenderedPageBreak/>
        <w:t>critique des travaux de feu M. Champollion sur les hiéroglyphes</w:t>
      </w:r>
      <w:r w:rsidR="00336AD0" w:rsidRPr="00AA2670">
        <w:rPr>
          <w:rStyle w:val="Appelnotedebasdep"/>
          <w:spacing w:val="4"/>
          <w:w w:val="103"/>
          <w:sz w:val="20"/>
          <w:lang w:val="fr-CH"/>
        </w:rPr>
        <w:footnoteReference w:id="48"/>
      </w:r>
      <w:r w:rsidR="00593384">
        <w:rPr>
          <w:lang w:val="fr-CH"/>
        </w:rPr>
        <w:t xml:space="preserve">. </w:t>
      </w:r>
      <w:r w:rsidR="00CD4474">
        <w:rPr>
          <w:lang w:val="fr-CH"/>
        </w:rPr>
        <w:t>I</w:t>
      </w:r>
      <w:r w:rsidR="00593384">
        <w:rPr>
          <w:lang w:val="fr-CH"/>
        </w:rPr>
        <w:t xml:space="preserve">l </w:t>
      </w:r>
      <w:r w:rsidR="00CD4474">
        <w:rPr>
          <w:lang w:val="fr-CH"/>
        </w:rPr>
        <w:t xml:space="preserve">y </w:t>
      </w:r>
      <w:r w:rsidR="00593384">
        <w:rPr>
          <w:lang w:val="fr-CH"/>
        </w:rPr>
        <w:t>souligne l’importance</w:t>
      </w:r>
      <w:r w:rsidR="000A292D">
        <w:rPr>
          <w:lang w:val="fr-CH"/>
        </w:rPr>
        <w:t>,</w:t>
      </w:r>
      <w:r w:rsidR="00593384">
        <w:rPr>
          <w:lang w:val="fr-CH"/>
        </w:rPr>
        <w:t xml:space="preserve"> à ses yeux primordiale</w:t>
      </w:r>
      <w:r w:rsidR="000A292D">
        <w:rPr>
          <w:lang w:val="fr-CH"/>
        </w:rPr>
        <w:t>,</w:t>
      </w:r>
      <w:r w:rsidR="00593384">
        <w:rPr>
          <w:lang w:val="fr-CH"/>
        </w:rPr>
        <w:t xml:space="preserve"> des travaux de Thomas Young </w:t>
      </w:r>
      <w:r w:rsidR="00122BB8">
        <w:rPr>
          <w:lang w:val="fr-CH"/>
        </w:rPr>
        <w:t>et se montre réservé quant aux résultats obtenus par Champollion</w:t>
      </w:r>
      <w:r w:rsidR="00E521AC">
        <w:rPr>
          <w:lang w:val="fr-CH"/>
        </w:rPr>
        <w:t xml:space="preserve"> et à </w:t>
      </w:r>
      <w:r w:rsidR="00185E78">
        <w:rPr>
          <w:lang w:val="fr-CH"/>
        </w:rPr>
        <w:t xml:space="preserve">la </w:t>
      </w:r>
      <w:r w:rsidR="00E521AC">
        <w:rPr>
          <w:lang w:val="fr-CH"/>
        </w:rPr>
        <w:t>possible généralisation</w:t>
      </w:r>
      <w:r w:rsidR="00185E78">
        <w:rPr>
          <w:lang w:val="fr-CH"/>
        </w:rPr>
        <w:t xml:space="preserve"> de ces derniers</w:t>
      </w:r>
      <w:r w:rsidR="00122BB8">
        <w:rPr>
          <w:lang w:val="fr-CH"/>
        </w:rPr>
        <w:t xml:space="preserve">. L’extrait qui suit résume </w:t>
      </w:r>
      <w:r w:rsidR="00F010FB">
        <w:rPr>
          <w:lang w:val="fr-CH"/>
        </w:rPr>
        <w:t xml:space="preserve">bien </w:t>
      </w:r>
      <w:r w:rsidR="00122BB8">
        <w:rPr>
          <w:lang w:val="fr-CH"/>
        </w:rPr>
        <w:t xml:space="preserve">sa </w:t>
      </w:r>
      <w:r w:rsidR="00F010FB">
        <w:rPr>
          <w:lang w:val="fr-CH"/>
        </w:rPr>
        <w:t>critique</w:t>
      </w:r>
      <w:r w:rsidR="00122BB8">
        <w:rPr>
          <w:lang w:val="fr-CH"/>
        </w:rPr>
        <w:t> :</w:t>
      </w:r>
    </w:p>
    <w:p w14:paraId="41A51818" w14:textId="77777777" w:rsidR="00FA6520" w:rsidRPr="00FA6520" w:rsidRDefault="00027C74" w:rsidP="00FA6520">
      <w:pPr>
        <w:ind w:left="567" w:right="561"/>
        <w:rPr>
          <w:sz w:val="22"/>
          <w:szCs w:val="22"/>
          <w:lang w:val="fr-CH"/>
        </w:rPr>
      </w:pPr>
      <w:r w:rsidRPr="00FA6520">
        <w:rPr>
          <w:sz w:val="22"/>
          <w:szCs w:val="22"/>
          <w:lang w:val="fr-CH"/>
        </w:rPr>
        <w:t>« Si l’on examine avec soin les découvertes de M. Champollion, on est convaincu qu’elles ne peuvent servir qu’à lire une partie des noms des rois d’Égypte, mais qu’elles ne conduiront vraisemblablement jamais à une intelligence même superficielle des inscriptions égyptiennes et des nombreux écrits sur papyrus qu’on trouve dans les tombeaux de ce pays : aussi ce savant en traduisant la moindre phrase a été contraint, pour y réussir, d’inventer des mots qui ne sont pas coptes, et qu’il ne peut justifier par aucune autorité. On conçoit donc que la besogne de l’interprète n’a pas été très lourde, puisqu’il a pu donner aux signes inconnus d’une inscription la valeur qui lui paraissait convenable, et construire lui-même la langue dans laquelle il voulait qu’elle eût été écrite. » (Klaproth 1832 : 21–22).</w:t>
      </w:r>
    </w:p>
    <w:p w14:paraId="170BD3FB" w14:textId="45E6A8EF" w:rsidR="00027C74" w:rsidRDefault="00E144D0" w:rsidP="00027C74">
      <w:pPr>
        <w:rPr>
          <w:lang w:val="fr-CH"/>
        </w:rPr>
      </w:pPr>
      <w:r>
        <w:rPr>
          <w:lang w:val="fr-CH"/>
        </w:rPr>
        <w:t>Trop de faits non</w:t>
      </w:r>
      <w:r w:rsidR="00CC6214">
        <w:rPr>
          <w:lang w:val="fr-CH"/>
        </w:rPr>
        <w:t xml:space="preserve"> </w:t>
      </w:r>
      <w:r>
        <w:rPr>
          <w:lang w:val="fr-CH"/>
        </w:rPr>
        <w:t xml:space="preserve">démontrés lui paraissent émailler les </w:t>
      </w:r>
      <w:r w:rsidR="00566925">
        <w:rPr>
          <w:lang w:val="fr-CH"/>
        </w:rPr>
        <w:t>publications</w:t>
      </w:r>
      <w:r>
        <w:rPr>
          <w:lang w:val="fr-CH"/>
        </w:rPr>
        <w:t xml:space="preserve"> de Champollion et la priorité est pour lui, en rigide philologue, de rassembler plus d’informations lexicales et grammaticales à propos de la langue copte avant de se hasarder à interpréter </w:t>
      </w:r>
      <w:r w:rsidR="00451066">
        <w:rPr>
          <w:lang w:val="fr-CH"/>
        </w:rPr>
        <w:t>l</w:t>
      </w:r>
      <w:r>
        <w:rPr>
          <w:lang w:val="fr-CH"/>
        </w:rPr>
        <w:t>es inscriptions égyptiennes.</w:t>
      </w:r>
    </w:p>
    <w:p w14:paraId="4C7F8769" w14:textId="55636FAA" w:rsidR="004803AC" w:rsidRDefault="0037241A" w:rsidP="00C3025A">
      <w:pPr>
        <w:rPr>
          <w:lang w:val="fr-CH"/>
        </w:rPr>
      </w:pPr>
      <w:r>
        <w:rPr>
          <w:lang w:val="fr-CH"/>
        </w:rPr>
        <w:t>Viennent ensuite les tenants de systèmes de déchiffrements alternatifs</w:t>
      </w:r>
      <w:r w:rsidR="00E43CA9">
        <w:rPr>
          <w:lang w:val="fr-CH"/>
        </w:rPr>
        <w:t xml:space="preserve">. </w:t>
      </w:r>
      <w:r w:rsidR="006331E4">
        <w:rPr>
          <w:lang w:val="fr-CH"/>
        </w:rPr>
        <w:t xml:space="preserve">C’est le cas de Gustav </w:t>
      </w:r>
      <w:proofErr w:type="spellStart"/>
      <w:r w:rsidR="006331E4">
        <w:rPr>
          <w:lang w:val="fr-CH"/>
        </w:rPr>
        <w:t>Seyffarth</w:t>
      </w:r>
      <w:proofErr w:type="spellEnd"/>
      <w:r w:rsidR="006331E4">
        <w:rPr>
          <w:lang w:val="fr-CH"/>
        </w:rPr>
        <w:t xml:space="preserve"> (1796–1885)</w:t>
      </w:r>
      <w:r w:rsidR="00C3025A">
        <w:rPr>
          <w:lang w:val="fr-CH"/>
        </w:rPr>
        <w:t xml:space="preserve">, qui succède à </w:t>
      </w:r>
      <w:r w:rsidR="00E7150A">
        <w:rPr>
          <w:lang w:val="fr-CH"/>
        </w:rPr>
        <w:t xml:space="preserve">Friedrich </w:t>
      </w:r>
      <w:proofErr w:type="spellStart"/>
      <w:r w:rsidR="00E7150A">
        <w:rPr>
          <w:lang w:val="fr-CH"/>
        </w:rPr>
        <w:t>Spohn</w:t>
      </w:r>
      <w:proofErr w:type="spellEnd"/>
      <w:r w:rsidR="00E7150A">
        <w:rPr>
          <w:lang w:val="fr-CH"/>
        </w:rPr>
        <w:t xml:space="preserve"> (1792–1824)</w:t>
      </w:r>
      <w:r w:rsidR="00BB2CA6">
        <w:rPr>
          <w:lang w:val="fr-CH"/>
        </w:rPr>
        <w:t xml:space="preserve"> </w:t>
      </w:r>
      <w:r w:rsidR="00E7150A">
        <w:rPr>
          <w:lang w:val="fr-CH"/>
        </w:rPr>
        <w:t>à l’université de Leipzig</w:t>
      </w:r>
      <w:r w:rsidR="00D377AD">
        <w:rPr>
          <w:lang w:val="fr-CH"/>
        </w:rPr>
        <w:t xml:space="preserve">, </w:t>
      </w:r>
      <w:r w:rsidR="00F457D9">
        <w:rPr>
          <w:lang w:val="fr-CH"/>
        </w:rPr>
        <w:t xml:space="preserve">savant </w:t>
      </w:r>
      <w:r w:rsidR="00D377AD">
        <w:rPr>
          <w:lang w:val="fr-CH"/>
        </w:rPr>
        <w:t>qui s’</w:t>
      </w:r>
      <w:r w:rsidR="00055EB0">
        <w:rPr>
          <w:lang w:val="fr-CH"/>
        </w:rPr>
        <w:t>était</w:t>
      </w:r>
      <w:r w:rsidR="00D377AD">
        <w:rPr>
          <w:lang w:val="fr-CH"/>
        </w:rPr>
        <w:t xml:space="preserve"> lui aussi essayé au déchiffrement des hiéroglyphes</w:t>
      </w:r>
      <w:r w:rsidR="00F457D9">
        <w:rPr>
          <w:lang w:val="fr-CH"/>
        </w:rPr>
        <w:t xml:space="preserve">. </w:t>
      </w:r>
      <w:proofErr w:type="spellStart"/>
      <w:r w:rsidR="00F457D9">
        <w:rPr>
          <w:lang w:val="fr-CH"/>
        </w:rPr>
        <w:t>Seyffarth</w:t>
      </w:r>
      <w:proofErr w:type="spellEnd"/>
      <w:r w:rsidR="00F457D9">
        <w:rPr>
          <w:lang w:val="fr-CH"/>
        </w:rPr>
        <w:t xml:space="preserve"> </w:t>
      </w:r>
      <w:r w:rsidR="006F41C9">
        <w:rPr>
          <w:lang w:val="fr-CH"/>
        </w:rPr>
        <w:t xml:space="preserve">publie en 1826 un traité intitulé </w:t>
      </w:r>
      <w:proofErr w:type="spellStart"/>
      <w:r w:rsidR="006F41C9">
        <w:rPr>
          <w:i/>
          <w:iCs/>
          <w:lang w:val="fr-CH"/>
        </w:rPr>
        <w:t>Rudimenta</w:t>
      </w:r>
      <w:proofErr w:type="spellEnd"/>
      <w:r w:rsidR="006F41C9">
        <w:rPr>
          <w:i/>
          <w:iCs/>
          <w:lang w:val="fr-CH"/>
        </w:rPr>
        <w:t xml:space="preserve"> </w:t>
      </w:r>
      <w:proofErr w:type="spellStart"/>
      <w:r w:rsidR="006F41C9">
        <w:rPr>
          <w:i/>
          <w:iCs/>
          <w:lang w:val="fr-CH"/>
        </w:rPr>
        <w:t>hieroglyphices</w:t>
      </w:r>
      <w:proofErr w:type="spellEnd"/>
      <w:r w:rsidR="006F41C9">
        <w:rPr>
          <w:lang w:val="fr-CH"/>
        </w:rPr>
        <w:t xml:space="preserve"> </w:t>
      </w:r>
      <w:r w:rsidR="008B1E92">
        <w:rPr>
          <w:lang w:val="fr-CH"/>
        </w:rPr>
        <w:t xml:space="preserve">dans lequel il réfute toute interprétation </w:t>
      </w:r>
      <w:r w:rsidR="00CF75FA">
        <w:rPr>
          <w:lang w:val="fr-CH"/>
        </w:rPr>
        <w:t>idéogra</w:t>
      </w:r>
      <w:r w:rsidR="00A9260A">
        <w:rPr>
          <w:lang w:val="fr-CH"/>
        </w:rPr>
        <w:softHyphen/>
      </w:r>
      <w:r w:rsidR="00CF75FA">
        <w:rPr>
          <w:lang w:val="fr-CH"/>
        </w:rPr>
        <w:t>phique</w:t>
      </w:r>
      <w:r w:rsidR="00E20A70">
        <w:rPr>
          <w:lang w:val="fr-CH"/>
        </w:rPr>
        <w:t xml:space="preserve"> des hiéroglyphes</w:t>
      </w:r>
      <w:r w:rsidR="008B1E92">
        <w:rPr>
          <w:lang w:val="fr-CH"/>
        </w:rPr>
        <w:t xml:space="preserve"> et propose une </w:t>
      </w:r>
      <w:r w:rsidR="00BD5814">
        <w:rPr>
          <w:lang w:val="fr-CH"/>
        </w:rPr>
        <w:t xml:space="preserve">méthode de lecture </w:t>
      </w:r>
      <w:r w:rsidR="008B1E92">
        <w:rPr>
          <w:lang w:val="fr-CH"/>
        </w:rPr>
        <w:t>purement alphabétique de l’écriture égyptienne</w:t>
      </w:r>
      <w:r w:rsidR="00BA74BB">
        <w:rPr>
          <w:lang w:val="fr-CH"/>
        </w:rPr>
        <w:t xml:space="preserve"> (s’appuyant sur de nombreux rapprochement</w:t>
      </w:r>
      <w:r w:rsidR="005B4AC2">
        <w:rPr>
          <w:lang w:val="fr-CH"/>
        </w:rPr>
        <w:t>s</w:t>
      </w:r>
      <w:r w:rsidR="00BA74BB">
        <w:rPr>
          <w:lang w:val="fr-CH"/>
        </w:rPr>
        <w:t xml:space="preserve"> avec les langues sémitiques)</w:t>
      </w:r>
      <w:r w:rsidR="008B1E92">
        <w:rPr>
          <w:lang w:val="fr-CH"/>
        </w:rPr>
        <w:t> : « [</w:t>
      </w:r>
      <w:r w:rsidR="008B1E92" w:rsidRPr="008B1E92">
        <w:rPr>
          <w:i/>
          <w:iCs/>
          <w:lang w:val="fr-CH"/>
        </w:rPr>
        <w:t>m</w:t>
      </w:r>
      <w:r w:rsidR="008B1E92">
        <w:rPr>
          <w:lang w:val="fr-CH"/>
        </w:rPr>
        <w:t>]</w:t>
      </w:r>
      <w:proofErr w:type="spellStart"/>
      <w:r w:rsidR="008B1E92" w:rsidRPr="00BC31FE">
        <w:rPr>
          <w:i/>
          <w:iCs/>
          <w:lang w:val="fr-CH"/>
        </w:rPr>
        <w:t>ihi</w:t>
      </w:r>
      <w:proofErr w:type="spellEnd"/>
      <w:r w:rsidR="008B1E92" w:rsidRPr="00BC31FE">
        <w:rPr>
          <w:i/>
          <w:iCs/>
          <w:lang w:val="fr-CH"/>
        </w:rPr>
        <w:t xml:space="preserve"> semper </w:t>
      </w:r>
      <w:proofErr w:type="spellStart"/>
      <w:r w:rsidR="008B1E92" w:rsidRPr="00BC31FE">
        <w:rPr>
          <w:i/>
          <w:iCs/>
          <w:lang w:val="fr-CH"/>
        </w:rPr>
        <w:t>persuasum</w:t>
      </w:r>
      <w:proofErr w:type="spellEnd"/>
      <w:r w:rsidR="008B1E92" w:rsidRPr="00BC31FE">
        <w:rPr>
          <w:i/>
          <w:iCs/>
          <w:lang w:val="fr-CH"/>
        </w:rPr>
        <w:t xml:space="preserve"> fuit, </w:t>
      </w:r>
      <w:proofErr w:type="spellStart"/>
      <w:r w:rsidR="008B1E92" w:rsidRPr="00BC31FE">
        <w:rPr>
          <w:i/>
          <w:iCs/>
          <w:lang w:val="fr-CH"/>
        </w:rPr>
        <w:t>scripturam</w:t>
      </w:r>
      <w:proofErr w:type="spellEnd"/>
      <w:r w:rsidR="008B1E92" w:rsidRPr="00BC31FE">
        <w:rPr>
          <w:i/>
          <w:iCs/>
          <w:lang w:val="fr-CH"/>
        </w:rPr>
        <w:t xml:space="preserve"> </w:t>
      </w:r>
      <w:proofErr w:type="spellStart"/>
      <w:r w:rsidR="008B1E92" w:rsidRPr="00BC31FE">
        <w:rPr>
          <w:i/>
          <w:iCs/>
          <w:lang w:val="fr-CH"/>
        </w:rPr>
        <w:t>Aegyptiorum</w:t>
      </w:r>
      <w:proofErr w:type="spellEnd"/>
      <w:r w:rsidR="008B1E92" w:rsidRPr="00BC31FE">
        <w:rPr>
          <w:i/>
          <w:iCs/>
          <w:lang w:val="fr-CH"/>
        </w:rPr>
        <w:t xml:space="preserve"> </w:t>
      </w:r>
      <w:proofErr w:type="spellStart"/>
      <w:r w:rsidR="008B1E92" w:rsidRPr="00BC31FE">
        <w:rPr>
          <w:i/>
          <w:iCs/>
          <w:lang w:val="fr-CH"/>
        </w:rPr>
        <w:t>hieroglyphicam</w:t>
      </w:r>
      <w:proofErr w:type="spellEnd"/>
      <w:r w:rsidR="008B1E92" w:rsidRPr="00BC31FE">
        <w:rPr>
          <w:i/>
          <w:iCs/>
          <w:lang w:val="fr-CH"/>
        </w:rPr>
        <w:t xml:space="preserve"> non esse </w:t>
      </w:r>
      <w:proofErr w:type="spellStart"/>
      <w:r w:rsidR="008B1E92" w:rsidRPr="00BC31FE">
        <w:rPr>
          <w:i/>
          <w:iCs/>
          <w:lang w:val="fr-CH"/>
        </w:rPr>
        <w:t>symbolicam</w:t>
      </w:r>
      <w:proofErr w:type="spellEnd"/>
      <w:r w:rsidR="008B1E92" w:rsidRPr="00BC31FE">
        <w:rPr>
          <w:i/>
          <w:iCs/>
          <w:lang w:val="fr-CH"/>
        </w:rPr>
        <w:t xml:space="preserve"> e </w:t>
      </w:r>
      <w:proofErr w:type="spellStart"/>
      <w:r w:rsidR="008B1E92" w:rsidRPr="00BC31FE">
        <w:rPr>
          <w:i/>
          <w:iCs/>
          <w:lang w:val="fr-CH"/>
        </w:rPr>
        <w:t>sententia</w:t>
      </w:r>
      <w:proofErr w:type="spellEnd"/>
      <w:r w:rsidR="008B1E92" w:rsidRPr="00BC31FE">
        <w:rPr>
          <w:i/>
          <w:iCs/>
          <w:lang w:val="fr-CH"/>
        </w:rPr>
        <w:t xml:space="preserve"> </w:t>
      </w:r>
      <w:proofErr w:type="spellStart"/>
      <w:r w:rsidR="008B1E92" w:rsidRPr="00BC31FE">
        <w:rPr>
          <w:i/>
          <w:iCs/>
          <w:lang w:val="fr-CH"/>
        </w:rPr>
        <w:t>vulgari</w:t>
      </w:r>
      <w:proofErr w:type="spellEnd"/>
      <w:r w:rsidR="008B1E92" w:rsidRPr="00BC31FE">
        <w:rPr>
          <w:i/>
          <w:iCs/>
          <w:lang w:val="fr-CH"/>
        </w:rPr>
        <w:t xml:space="preserve">, </w:t>
      </w:r>
      <w:proofErr w:type="spellStart"/>
      <w:r w:rsidR="008B1E92" w:rsidRPr="00BC31FE">
        <w:rPr>
          <w:i/>
          <w:iCs/>
          <w:lang w:val="fr-CH"/>
        </w:rPr>
        <w:t>sed</w:t>
      </w:r>
      <w:proofErr w:type="spellEnd"/>
      <w:r w:rsidR="008B1E92" w:rsidRPr="00BC31FE">
        <w:rPr>
          <w:i/>
          <w:iCs/>
          <w:lang w:val="fr-CH"/>
        </w:rPr>
        <w:t xml:space="preserve"> </w:t>
      </w:r>
      <w:proofErr w:type="spellStart"/>
      <w:r w:rsidR="008B1E92" w:rsidRPr="00BC31FE">
        <w:rPr>
          <w:i/>
          <w:iCs/>
          <w:lang w:val="fr-CH"/>
        </w:rPr>
        <w:t>alphabeticam</w:t>
      </w:r>
      <w:proofErr w:type="spellEnd"/>
      <w:r w:rsidR="008B1E92" w:rsidRPr="00BC31FE">
        <w:rPr>
          <w:i/>
          <w:iCs/>
          <w:lang w:val="fr-CH"/>
        </w:rPr>
        <w:t xml:space="preserve"> </w:t>
      </w:r>
      <w:proofErr w:type="spellStart"/>
      <w:r w:rsidR="008B1E92" w:rsidRPr="00BC31FE">
        <w:rPr>
          <w:i/>
          <w:iCs/>
          <w:lang w:val="fr-CH"/>
        </w:rPr>
        <w:t>aut</w:t>
      </w:r>
      <w:proofErr w:type="spellEnd"/>
      <w:r w:rsidR="008B1E92" w:rsidRPr="00BC31FE">
        <w:rPr>
          <w:i/>
          <w:iCs/>
          <w:lang w:val="fr-CH"/>
        </w:rPr>
        <w:t xml:space="preserve"> </w:t>
      </w:r>
      <w:proofErr w:type="spellStart"/>
      <w:r w:rsidR="008B1E92" w:rsidRPr="00BC31FE">
        <w:rPr>
          <w:i/>
          <w:iCs/>
          <w:lang w:val="fr-CH"/>
        </w:rPr>
        <w:t>alphabeticae</w:t>
      </w:r>
      <w:proofErr w:type="spellEnd"/>
      <w:r w:rsidR="008B1E92" w:rsidRPr="00BC31FE">
        <w:rPr>
          <w:i/>
          <w:iCs/>
          <w:lang w:val="fr-CH"/>
        </w:rPr>
        <w:t xml:space="preserve"> </w:t>
      </w:r>
      <w:proofErr w:type="spellStart"/>
      <w:r w:rsidR="008B1E92" w:rsidRPr="00BC31FE">
        <w:rPr>
          <w:i/>
          <w:iCs/>
          <w:lang w:val="fr-CH"/>
        </w:rPr>
        <w:t>simillimam</w:t>
      </w:r>
      <w:proofErr w:type="spellEnd"/>
      <w:r w:rsidR="0042124F">
        <w:rPr>
          <w:lang w:val="fr-CH"/>
        </w:rPr>
        <w:t>.</w:t>
      </w:r>
      <w:r w:rsidR="008B1E92">
        <w:rPr>
          <w:lang w:val="fr-CH"/>
        </w:rPr>
        <w:t> »</w:t>
      </w:r>
      <w:r w:rsidR="000060AF" w:rsidRPr="00AA2670">
        <w:rPr>
          <w:rStyle w:val="Appelnotedebasdep"/>
          <w:spacing w:val="4"/>
          <w:w w:val="103"/>
          <w:sz w:val="20"/>
          <w:lang w:val="fr-CH"/>
        </w:rPr>
        <w:footnoteReference w:id="49"/>
      </w:r>
      <w:r w:rsidR="008B1E92">
        <w:rPr>
          <w:lang w:val="fr-CH"/>
        </w:rPr>
        <w:t>.</w:t>
      </w:r>
      <w:r w:rsidR="00777FB5">
        <w:rPr>
          <w:lang w:val="fr-CH"/>
        </w:rPr>
        <w:t xml:space="preserve"> Ce faisant, il </w:t>
      </w:r>
      <w:r w:rsidR="00E748F1">
        <w:rPr>
          <w:lang w:val="fr-CH"/>
        </w:rPr>
        <w:t>ignore</w:t>
      </w:r>
      <w:r w:rsidR="00EC0F82">
        <w:rPr>
          <w:lang w:val="fr-CH"/>
        </w:rPr>
        <w:t xml:space="preserve"> la nature mixte du système hiéroglyphique, </w:t>
      </w:r>
      <w:r w:rsidR="00A9365A">
        <w:rPr>
          <w:lang w:val="fr-CH"/>
        </w:rPr>
        <w:t>qui recour</w:t>
      </w:r>
      <w:r w:rsidR="00477B2E">
        <w:rPr>
          <w:lang w:val="fr-CH"/>
        </w:rPr>
        <w:t>t</w:t>
      </w:r>
      <w:r w:rsidR="00A9365A">
        <w:rPr>
          <w:lang w:val="fr-CH"/>
        </w:rPr>
        <w:t xml:space="preserve"> non seulement à des phonogrammes, mais également à des signe</w:t>
      </w:r>
      <w:r w:rsidR="00072E62">
        <w:rPr>
          <w:lang w:val="fr-CH"/>
        </w:rPr>
        <w:t>s</w:t>
      </w:r>
      <w:r w:rsidR="00A9365A">
        <w:rPr>
          <w:lang w:val="fr-CH"/>
        </w:rPr>
        <w:t xml:space="preserve">-mots (logogrammes) et </w:t>
      </w:r>
      <w:r w:rsidR="001B4387">
        <w:rPr>
          <w:lang w:val="fr-CH"/>
        </w:rPr>
        <w:t xml:space="preserve">à des </w:t>
      </w:r>
      <w:r w:rsidR="00A9365A">
        <w:rPr>
          <w:lang w:val="fr-CH"/>
        </w:rPr>
        <w:t>déterminatifs (</w:t>
      </w:r>
      <w:r w:rsidR="00743AD5">
        <w:rPr>
          <w:lang w:val="fr-CH"/>
        </w:rPr>
        <w:t>aussi connus sous le nom de</w:t>
      </w:r>
      <w:r w:rsidR="00A9365A">
        <w:rPr>
          <w:lang w:val="fr-CH"/>
        </w:rPr>
        <w:t xml:space="preserve"> classificateurs)</w:t>
      </w:r>
      <w:r w:rsidR="001F75DB">
        <w:rPr>
          <w:lang w:val="fr-CH"/>
        </w:rPr>
        <w:t xml:space="preserve">. Il persistera dans cette </w:t>
      </w:r>
      <w:r w:rsidR="00EC0F82">
        <w:rPr>
          <w:lang w:val="fr-CH"/>
        </w:rPr>
        <w:t xml:space="preserve">erreur </w:t>
      </w:r>
      <w:r w:rsidR="001F75DB">
        <w:rPr>
          <w:lang w:val="fr-CH"/>
        </w:rPr>
        <w:t>toute sa vie</w:t>
      </w:r>
      <w:r w:rsidR="00CF0A2F">
        <w:rPr>
          <w:lang w:val="fr-CH"/>
        </w:rPr>
        <w:t xml:space="preserve">, mais le jugement de Champollion n’a pas attendu le nombre des années : </w:t>
      </w:r>
      <w:r w:rsidR="002A36E9">
        <w:rPr>
          <w:lang w:val="fr-CH"/>
        </w:rPr>
        <w:t>« </w:t>
      </w:r>
      <w:r w:rsidR="00CF0A2F">
        <w:rPr>
          <w:lang w:val="fr-CH"/>
        </w:rPr>
        <w:t>[q]</w:t>
      </w:r>
      <w:proofErr w:type="spellStart"/>
      <w:r w:rsidR="002A36E9">
        <w:rPr>
          <w:lang w:val="fr-CH"/>
        </w:rPr>
        <w:t>uant</w:t>
      </w:r>
      <w:proofErr w:type="spellEnd"/>
      <w:r w:rsidR="002A36E9">
        <w:rPr>
          <w:lang w:val="fr-CH"/>
        </w:rPr>
        <w:t xml:space="preserve"> au </w:t>
      </w:r>
      <w:proofErr w:type="spellStart"/>
      <w:r w:rsidR="002A36E9">
        <w:rPr>
          <w:lang w:val="fr-CH"/>
        </w:rPr>
        <w:t>Seyffart</w:t>
      </w:r>
      <w:proofErr w:type="spellEnd"/>
      <w:r w:rsidR="002A36E9">
        <w:rPr>
          <w:lang w:val="fr-CH"/>
        </w:rPr>
        <w:t xml:space="preserve">, c’est un sot dont nous avons très bien fait de ne pas nous occuper. » (Champollion, </w:t>
      </w:r>
      <w:r w:rsidR="002A36E9">
        <w:rPr>
          <w:i/>
          <w:iCs/>
          <w:lang w:val="fr-CH"/>
        </w:rPr>
        <w:t>Lettre à son frère</w:t>
      </w:r>
      <w:r w:rsidR="002A36E9">
        <w:rPr>
          <w:lang w:val="fr-CH"/>
        </w:rPr>
        <w:t>, Livourne 15 mai 1826)</w:t>
      </w:r>
      <w:r w:rsidR="00161D2D">
        <w:rPr>
          <w:lang w:val="fr-CH"/>
        </w:rPr>
        <w:t>.</w:t>
      </w:r>
    </w:p>
    <w:p w14:paraId="03FF8758" w14:textId="322B11B7" w:rsidR="008C4BE7" w:rsidRDefault="00E15825" w:rsidP="00C3025A">
      <w:pPr>
        <w:rPr>
          <w:lang w:val="fr-CH"/>
        </w:rPr>
      </w:pPr>
      <w:r>
        <w:rPr>
          <w:lang w:val="fr-CH"/>
        </w:rPr>
        <w:t>D’autres, à l’opposé, demeur</w:t>
      </w:r>
      <w:r w:rsidR="0075576E">
        <w:rPr>
          <w:lang w:val="fr-CH"/>
        </w:rPr>
        <w:t>e</w:t>
      </w:r>
      <w:r>
        <w:rPr>
          <w:lang w:val="fr-CH"/>
        </w:rPr>
        <w:t>nt très impressionné</w:t>
      </w:r>
      <w:r w:rsidR="00E838EA">
        <w:rPr>
          <w:lang w:val="fr-CH"/>
        </w:rPr>
        <w:t>s</w:t>
      </w:r>
      <w:r>
        <w:rPr>
          <w:lang w:val="fr-CH"/>
        </w:rPr>
        <w:t xml:space="preserve"> par la tradition </w:t>
      </w:r>
      <w:r w:rsidR="003E5661">
        <w:rPr>
          <w:lang w:val="fr-CH"/>
        </w:rPr>
        <w:t xml:space="preserve">d’interprétation </w:t>
      </w:r>
      <w:r>
        <w:rPr>
          <w:lang w:val="fr-CH"/>
        </w:rPr>
        <w:t>symboli</w:t>
      </w:r>
      <w:r w:rsidR="003E5661">
        <w:rPr>
          <w:lang w:val="fr-CH"/>
        </w:rPr>
        <w:t>que des hiéroglyphes</w:t>
      </w:r>
      <w:r w:rsidR="0022562A">
        <w:rPr>
          <w:lang w:val="fr-CH"/>
        </w:rPr>
        <w:t xml:space="preserve"> et</w:t>
      </w:r>
      <w:r>
        <w:rPr>
          <w:lang w:val="fr-CH"/>
        </w:rPr>
        <w:t xml:space="preserve"> ont bien du mal à accepter la dimension </w:t>
      </w:r>
      <w:r w:rsidR="00E80C66">
        <w:rPr>
          <w:lang w:val="fr-CH"/>
        </w:rPr>
        <w:t>majoritairement</w:t>
      </w:r>
      <w:r>
        <w:rPr>
          <w:lang w:val="fr-CH"/>
        </w:rPr>
        <w:t xml:space="preserve"> </w:t>
      </w:r>
      <w:r w:rsidR="0022562A">
        <w:rPr>
          <w:lang w:val="fr-CH"/>
        </w:rPr>
        <w:t>phono</w:t>
      </w:r>
      <w:r w:rsidR="00136859">
        <w:rPr>
          <w:lang w:val="fr-CH"/>
        </w:rPr>
        <w:softHyphen/>
      </w:r>
      <w:r w:rsidR="0022562A">
        <w:rPr>
          <w:lang w:val="fr-CH"/>
        </w:rPr>
        <w:t xml:space="preserve">graphique de l’écriture égyptienne </w:t>
      </w:r>
      <w:r w:rsidR="007839CD">
        <w:rPr>
          <w:lang w:val="fr-CH"/>
        </w:rPr>
        <w:t>(</w:t>
      </w:r>
      <w:r w:rsidR="0022562A">
        <w:rPr>
          <w:lang w:val="fr-CH"/>
        </w:rPr>
        <w:t xml:space="preserve">même après que la </w:t>
      </w:r>
      <w:r w:rsidR="0022562A">
        <w:rPr>
          <w:i/>
          <w:iCs/>
          <w:lang w:val="fr-CH"/>
        </w:rPr>
        <w:t xml:space="preserve">Grammaire </w:t>
      </w:r>
      <w:r w:rsidR="0022562A">
        <w:rPr>
          <w:lang w:val="fr-CH"/>
        </w:rPr>
        <w:t>de Champollion a commencé d’être publiée par son frère</w:t>
      </w:r>
      <w:r w:rsidR="007839CD">
        <w:rPr>
          <w:lang w:val="fr-CH"/>
        </w:rPr>
        <w:t>)</w:t>
      </w:r>
      <w:r w:rsidR="0022562A">
        <w:rPr>
          <w:lang w:val="fr-CH"/>
        </w:rPr>
        <w:t xml:space="preserve">. </w:t>
      </w:r>
      <w:r w:rsidR="00E64D38">
        <w:rPr>
          <w:lang w:val="fr-CH"/>
        </w:rPr>
        <w:t xml:space="preserve">Le Dr Dujardin fait partie de ce groupe. </w:t>
      </w:r>
      <w:r w:rsidR="007D08D5">
        <w:rPr>
          <w:lang w:val="fr-CH"/>
        </w:rPr>
        <w:t>En 1836, i</w:t>
      </w:r>
      <w:r w:rsidR="00E64D38">
        <w:rPr>
          <w:lang w:val="fr-CH"/>
        </w:rPr>
        <w:t>l publie dans la</w:t>
      </w:r>
      <w:r w:rsidR="007D08D5">
        <w:rPr>
          <w:lang w:val="fr-CH"/>
        </w:rPr>
        <w:t xml:space="preserve"> prestigieuse</w:t>
      </w:r>
      <w:r w:rsidR="00E64D38">
        <w:rPr>
          <w:lang w:val="fr-CH"/>
        </w:rPr>
        <w:t xml:space="preserve"> </w:t>
      </w:r>
      <w:r w:rsidR="00E64D38">
        <w:rPr>
          <w:i/>
          <w:iCs/>
          <w:lang w:val="fr-CH"/>
        </w:rPr>
        <w:t xml:space="preserve">Revue des Deux Mondes </w:t>
      </w:r>
      <w:r w:rsidR="00E64D38">
        <w:rPr>
          <w:lang w:val="fr-CH"/>
        </w:rPr>
        <w:t>un essai intitulé « Les hiéroglyphes et la langue égyptienne »</w:t>
      </w:r>
      <w:r w:rsidR="00184CCC">
        <w:rPr>
          <w:lang w:val="fr-CH"/>
        </w:rPr>
        <w:t xml:space="preserve">. Il y </w:t>
      </w:r>
      <w:r w:rsidR="00E07494">
        <w:rPr>
          <w:lang w:val="fr-CH"/>
        </w:rPr>
        <w:t xml:space="preserve">souligne l’écart </w:t>
      </w:r>
      <w:r w:rsidR="0057263C">
        <w:rPr>
          <w:lang w:val="fr-CH"/>
        </w:rPr>
        <w:t xml:space="preserve">important </w:t>
      </w:r>
      <w:r w:rsidR="00E07494">
        <w:rPr>
          <w:lang w:val="fr-CH"/>
        </w:rPr>
        <w:t>que l’on observe entre la langue copte</w:t>
      </w:r>
      <w:r w:rsidR="005E48C4">
        <w:rPr>
          <w:lang w:val="fr-CH"/>
        </w:rPr>
        <w:t>, qu’il connaît fort bien,</w:t>
      </w:r>
      <w:r w:rsidR="00E07494">
        <w:rPr>
          <w:lang w:val="fr-CH"/>
        </w:rPr>
        <w:t xml:space="preserve"> et </w:t>
      </w:r>
      <w:r w:rsidR="00C3418A">
        <w:rPr>
          <w:lang w:val="fr-CH"/>
        </w:rPr>
        <w:t xml:space="preserve">la langue </w:t>
      </w:r>
      <w:r w:rsidR="00E07494">
        <w:rPr>
          <w:lang w:val="fr-CH"/>
        </w:rPr>
        <w:t xml:space="preserve">des inscriptions hiéroglyphiques </w:t>
      </w:r>
      <w:r w:rsidR="00183FFB">
        <w:rPr>
          <w:lang w:val="fr-CH"/>
        </w:rPr>
        <w:t>d</w:t>
      </w:r>
      <w:r w:rsidR="00E07494">
        <w:rPr>
          <w:lang w:val="fr-CH"/>
        </w:rPr>
        <w:t xml:space="preserve">’époque </w:t>
      </w:r>
      <w:r w:rsidR="007E70F7">
        <w:rPr>
          <w:lang w:val="fr-CH"/>
        </w:rPr>
        <w:t xml:space="preserve">gréco-romaine, </w:t>
      </w:r>
      <w:r w:rsidR="00E07494">
        <w:rPr>
          <w:lang w:val="fr-CH"/>
        </w:rPr>
        <w:t xml:space="preserve">telle que </w:t>
      </w:r>
      <w:r w:rsidR="002F4C0D">
        <w:rPr>
          <w:lang w:val="fr-CH"/>
        </w:rPr>
        <w:t xml:space="preserve">reconstruite </w:t>
      </w:r>
      <w:r w:rsidR="007E438D">
        <w:rPr>
          <w:lang w:val="fr-CH"/>
        </w:rPr>
        <w:t xml:space="preserve">par </w:t>
      </w:r>
      <w:r w:rsidR="00E07494">
        <w:rPr>
          <w:lang w:val="fr-CH"/>
        </w:rPr>
        <w:t>Champollion. Il a parfaitement raison sur ce point</w:t>
      </w:r>
      <w:r w:rsidR="006D08B2">
        <w:rPr>
          <w:lang w:val="fr-CH"/>
        </w:rPr>
        <w:t>. M</w:t>
      </w:r>
      <w:r w:rsidR="00E07494">
        <w:rPr>
          <w:lang w:val="fr-CH"/>
        </w:rPr>
        <w:t xml:space="preserve">ais plutôt que d’admettre l’existence d’une diglossie, aujourd’hui </w:t>
      </w:r>
      <w:r w:rsidR="000C75A1">
        <w:rPr>
          <w:lang w:val="fr-CH"/>
        </w:rPr>
        <w:t>démontrée</w:t>
      </w:r>
      <w:r w:rsidR="00E07494">
        <w:rPr>
          <w:lang w:val="fr-CH"/>
        </w:rPr>
        <w:t>, entre les textes vernaculaires rédigés en copte et les textes sacrés écrits en hiéroglyphes</w:t>
      </w:r>
      <w:r w:rsidR="007E438D">
        <w:rPr>
          <w:lang w:val="fr-CH"/>
        </w:rPr>
        <w:t>, il conclut à l’inadéquation du</w:t>
      </w:r>
      <w:r w:rsidR="009B003E">
        <w:rPr>
          <w:lang w:val="fr-CH"/>
        </w:rPr>
        <w:t xml:space="preserve"> système de Champollion.</w:t>
      </w:r>
      <w:r w:rsidR="00B43D68">
        <w:rPr>
          <w:lang w:val="fr-CH"/>
        </w:rPr>
        <w:t xml:space="preserve"> Pour supporter son analyse, il retourne aux textes des auteurs classiques</w:t>
      </w:r>
      <w:r w:rsidR="00635847">
        <w:rPr>
          <w:lang w:val="fr-CH"/>
        </w:rPr>
        <w:t xml:space="preserve"> </w:t>
      </w:r>
      <w:r w:rsidR="00635847" w:rsidRPr="00223D01">
        <w:rPr>
          <w:lang w:val="fr-CH"/>
        </w:rPr>
        <w:t>(</w:t>
      </w:r>
      <w:r w:rsidR="00635847" w:rsidRPr="00181326">
        <w:rPr>
          <w:rFonts w:eastAsia="Times New Roman"/>
          <w:bCs/>
          <w:szCs w:val="24"/>
          <w:highlight w:val="yellow"/>
          <w:lang w:val="fr-CH"/>
        </w:rPr>
        <w:t xml:space="preserve">cf. </w:t>
      </w:r>
      <w:r w:rsidR="00635847" w:rsidRPr="00181326">
        <w:rPr>
          <w:rFonts w:eastAsia="Times New Roman"/>
          <w:bCs/>
          <w:i/>
          <w:iCs/>
          <w:szCs w:val="24"/>
          <w:highlight w:val="yellow"/>
          <w:lang w:val="fr-CH"/>
        </w:rPr>
        <w:t>supra</w:t>
      </w:r>
      <w:r w:rsidR="00635847" w:rsidRPr="00181326">
        <w:rPr>
          <w:rFonts w:eastAsia="Times New Roman"/>
          <w:bCs/>
          <w:szCs w:val="24"/>
          <w:highlight w:val="yellow"/>
          <w:lang w:val="fr-CH"/>
        </w:rPr>
        <w:t xml:space="preserve">, </w:t>
      </w:r>
      <w:r w:rsidR="00635847" w:rsidRPr="00181326">
        <w:rPr>
          <w:highlight w:val="yellow"/>
          <w:lang w:val="fr-CH"/>
        </w:rPr>
        <w:t>3</w:t>
      </w:r>
      <w:r w:rsidR="001B6C32">
        <w:rPr>
          <w:lang w:val="fr-CH"/>
        </w:rPr>
        <w:t>.3</w:t>
      </w:r>
      <w:r w:rsidR="00635847" w:rsidRPr="00223D01">
        <w:rPr>
          <w:lang w:val="fr-CH"/>
        </w:rPr>
        <w:t>)</w:t>
      </w:r>
      <w:r w:rsidR="00B43D68">
        <w:rPr>
          <w:lang w:val="fr-CH"/>
        </w:rPr>
        <w:t xml:space="preserve"> : </w:t>
      </w:r>
      <w:r w:rsidR="00396961">
        <w:rPr>
          <w:lang w:val="fr-CH"/>
        </w:rPr>
        <w:t>« </w:t>
      </w:r>
      <w:r w:rsidR="00C87C0C">
        <w:rPr>
          <w:lang w:val="fr-CH"/>
        </w:rPr>
        <w:t>[s]</w:t>
      </w:r>
      <w:r w:rsidR="001C2AE0" w:rsidRPr="001C2AE0">
        <w:rPr>
          <w:lang w:val="fr-CH"/>
        </w:rPr>
        <w:t xml:space="preserve">i donc chez les auteurs anciens on a trouvé l’indication de la </w:t>
      </w:r>
      <w:r w:rsidR="001C2AE0" w:rsidRPr="001C2AE0">
        <w:rPr>
          <w:lang w:val="fr-CH"/>
        </w:rPr>
        <w:lastRenderedPageBreak/>
        <w:t>méthode alphabétique employée pour écrire les noms étrangers, on n’y saurait trouver de même que l’écriture hiéroglyphique était d’une nature presque exclusivement alphabétique</w:t>
      </w:r>
      <w:r w:rsidR="00740D40">
        <w:rPr>
          <w:lang w:val="fr-CH"/>
        </w:rPr>
        <w:t> </w:t>
      </w:r>
      <w:r w:rsidR="001C2AE0" w:rsidRPr="001C2AE0">
        <w:rPr>
          <w:lang w:val="fr-CH"/>
        </w:rPr>
        <w:t>; bien loin de là, l’opinion adoptée par M.</w:t>
      </w:r>
      <w:r w:rsidR="00DF0108">
        <w:rPr>
          <w:lang w:val="fr-CH"/>
        </w:rPr>
        <w:t> </w:t>
      </w:r>
      <w:r w:rsidR="001C2AE0" w:rsidRPr="001C2AE0">
        <w:rPr>
          <w:lang w:val="fr-CH"/>
        </w:rPr>
        <w:t>Champollion est en opposition directe avec tous les témoignages de l’antiquité.</w:t>
      </w:r>
      <w:r w:rsidR="00383687">
        <w:rPr>
          <w:lang w:val="fr-CH"/>
        </w:rPr>
        <w:t> »</w:t>
      </w:r>
      <w:r w:rsidR="000E76CF" w:rsidRPr="00AA2670">
        <w:rPr>
          <w:rStyle w:val="Appelnotedebasdep"/>
          <w:spacing w:val="4"/>
          <w:w w:val="103"/>
          <w:sz w:val="20"/>
          <w:lang w:val="fr-CH"/>
        </w:rPr>
        <w:footnoteReference w:id="50"/>
      </w:r>
      <w:r w:rsidR="00356C7B">
        <w:rPr>
          <w:lang w:val="fr-CH"/>
        </w:rPr>
        <w:t xml:space="preserve">. Après un séjour en Égypte où il a pu tester et appliquer en personne les principes de lecture des hiéroglyphes </w:t>
      </w:r>
      <w:r w:rsidR="002A0A12">
        <w:rPr>
          <w:lang w:val="fr-CH"/>
        </w:rPr>
        <w:t>proposés</w:t>
      </w:r>
      <w:r w:rsidR="00356C7B">
        <w:rPr>
          <w:lang w:val="fr-CH"/>
        </w:rPr>
        <w:t xml:space="preserve"> par Champollion, il sera toutefois contraint de se rendre à l’évidence et de faire amende honorable</w:t>
      </w:r>
      <w:r w:rsidR="00F4180D">
        <w:rPr>
          <w:lang w:val="fr-CH"/>
        </w:rPr>
        <w:t> : « [c]e fut en Égypte qu’il reprit l’examen des livres de Champollion, et qu’à l’exemple de Salt il finit par adopter tous les principes qui s’y trouvaient établis »</w:t>
      </w:r>
      <w:r w:rsidR="005C53EC" w:rsidRPr="00AA2670">
        <w:rPr>
          <w:rStyle w:val="Appelnotedebasdep"/>
          <w:spacing w:val="4"/>
          <w:w w:val="103"/>
          <w:sz w:val="20"/>
          <w:lang w:val="fr-CH"/>
        </w:rPr>
        <w:footnoteReference w:id="51"/>
      </w:r>
      <w:r w:rsidR="0050092C">
        <w:rPr>
          <w:lang w:val="fr-CH"/>
        </w:rPr>
        <w:t>.</w:t>
      </w:r>
    </w:p>
    <w:p w14:paraId="03662FCF" w14:textId="4D6CDFA4" w:rsidR="00FC04EE" w:rsidRPr="00BD7C7C" w:rsidRDefault="00375B93" w:rsidP="00BD7C7C">
      <w:pPr>
        <w:rPr>
          <w:lang w:val="fr-CH"/>
        </w:rPr>
      </w:pPr>
      <w:r>
        <w:rPr>
          <w:lang w:val="fr-CH"/>
        </w:rPr>
        <w:t xml:space="preserve">Au milieu du </w:t>
      </w:r>
      <w:proofErr w:type="spellStart"/>
      <w:r w:rsidRPr="00522D42">
        <w:rPr>
          <w:smallCaps/>
          <w:lang w:val="fr-CH"/>
        </w:rPr>
        <w:t>xix</w:t>
      </w:r>
      <w:r w:rsidRPr="00522D42">
        <w:rPr>
          <w:vertAlign w:val="superscript"/>
          <w:lang w:val="fr-CH"/>
        </w:rPr>
        <w:t>e</w:t>
      </w:r>
      <w:proofErr w:type="spellEnd"/>
      <w:r>
        <w:rPr>
          <w:lang w:val="fr-CH"/>
        </w:rPr>
        <w:t xml:space="preserve"> siècle, la voie symbolique d’interprétation des hiéroglyphes </w:t>
      </w:r>
      <w:r w:rsidR="00851188">
        <w:rPr>
          <w:lang w:val="fr-CH"/>
        </w:rPr>
        <w:t>avait donc vécu</w:t>
      </w:r>
      <w:r w:rsidR="007C59CE">
        <w:rPr>
          <w:lang w:val="fr-CH"/>
        </w:rPr>
        <w:t xml:space="preserve"> dans les mieux scientifiques</w:t>
      </w:r>
      <w:r w:rsidR="00EC0216">
        <w:rPr>
          <w:lang w:val="fr-CH"/>
        </w:rPr>
        <w:t xml:space="preserve">. </w:t>
      </w:r>
      <w:r w:rsidR="00655A9D">
        <w:rPr>
          <w:lang w:val="fr-CH"/>
        </w:rPr>
        <w:t>Et d</w:t>
      </w:r>
      <w:r w:rsidR="00427BE5">
        <w:rPr>
          <w:lang w:val="fr-CH"/>
        </w:rPr>
        <w:t xml:space="preserve">epuis lors, </w:t>
      </w:r>
      <w:r w:rsidR="00057667">
        <w:rPr>
          <w:lang w:val="fr-CH"/>
        </w:rPr>
        <w:t xml:space="preserve">des générations d’égyptologues s’efforcent de toujours mieux comprendre </w:t>
      </w:r>
      <w:r w:rsidR="006B4F83">
        <w:rPr>
          <w:lang w:val="fr-CH"/>
        </w:rPr>
        <w:t xml:space="preserve">les sources textuelles d’Égypte ancienne </w:t>
      </w:r>
      <w:r w:rsidR="00057667">
        <w:rPr>
          <w:lang w:val="fr-CH"/>
        </w:rPr>
        <w:t xml:space="preserve">en suivant </w:t>
      </w:r>
      <w:r w:rsidR="00427BE5">
        <w:rPr>
          <w:lang w:val="fr-CH"/>
        </w:rPr>
        <w:t>les pas de Champollion.</w:t>
      </w:r>
    </w:p>
    <w:sectPr w:rsidR="00FC04EE" w:rsidRPr="00BD7C7C" w:rsidSect="00AF5C8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9CCCD" w14:textId="77777777" w:rsidR="00C302E7" w:rsidRDefault="00C302E7" w:rsidP="00EF61EB">
      <w:r>
        <w:separator/>
      </w:r>
    </w:p>
  </w:endnote>
  <w:endnote w:type="continuationSeparator" w:id="0">
    <w:p w14:paraId="186701D2" w14:textId="77777777" w:rsidR="00C302E7" w:rsidRDefault="00C302E7" w:rsidP="00EF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Transliteration">
    <w:altName w:val="Transliteration"/>
    <w:panose1 w:val="020272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0F89" w14:textId="77777777" w:rsidR="00C302E7" w:rsidRDefault="00C302E7" w:rsidP="00EF61EB">
      <w:r>
        <w:separator/>
      </w:r>
    </w:p>
  </w:footnote>
  <w:footnote w:type="continuationSeparator" w:id="0">
    <w:p w14:paraId="0B9296DB" w14:textId="77777777" w:rsidR="00C302E7" w:rsidRDefault="00C302E7" w:rsidP="00EF61EB">
      <w:r>
        <w:continuationSeparator/>
      </w:r>
    </w:p>
  </w:footnote>
  <w:footnote w:id="1">
    <w:p w14:paraId="6AB5C2BE" w14:textId="4C168C26" w:rsidR="00B27332" w:rsidRPr="00276D34" w:rsidRDefault="00B27332" w:rsidP="00B27332">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002928BF">
        <w:rPr>
          <w:sz w:val="20"/>
        </w:rPr>
        <w:t xml:space="preserve">On en trouvera un aperçu commode chez </w:t>
      </w:r>
      <w:proofErr w:type="spellStart"/>
      <w:r w:rsidR="00B66C4F" w:rsidRPr="00B66C4F">
        <w:rPr>
          <w:smallCaps/>
          <w:sz w:val="20"/>
          <w:lang w:val="fr-CH"/>
        </w:rPr>
        <w:t>Farout</w:t>
      </w:r>
      <w:proofErr w:type="spellEnd"/>
      <w:r w:rsidR="00B66C4F" w:rsidRPr="00B66C4F">
        <w:rPr>
          <w:sz w:val="20"/>
          <w:lang w:val="fr-CH"/>
        </w:rPr>
        <w:t xml:space="preserve"> Dominique</w:t>
      </w:r>
      <w:r w:rsidR="00B66C4F">
        <w:rPr>
          <w:sz w:val="20"/>
          <w:lang w:val="fr-CH"/>
        </w:rPr>
        <w:t>,</w:t>
      </w:r>
      <w:r w:rsidR="00B66C4F" w:rsidRPr="00B66C4F">
        <w:rPr>
          <w:sz w:val="20"/>
          <w:lang w:val="fr-CH"/>
        </w:rPr>
        <w:t xml:space="preserve"> « De la Renaissance à la Restauration : quelques étapes du déchiffrement des hiéroglyphes », </w:t>
      </w:r>
      <w:r w:rsidR="00B66C4F" w:rsidRPr="00B66C4F">
        <w:rPr>
          <w:i/>
          <w:iCs/>
          <w:sz w:val="20"/>
          <w:lang w:val="fr-CH"/>
        </w:rPr>
        <w:t>Cahier de l’École du Louvre</w:t>
      </w:r>
      <w:r w:rsidR="00B66C4F">
        <w:rPr>
          <w:sz w:val="20"/>
          <w:lang w:val="fr-CH"/>
        </w:rPr>
        <w:t xml:space="preserve">, </w:t>
      </w:r>
      <w:r w:rsidR="00B66C4F" w:rsidRPr="00B66C4F">
        <w:rPr>
          <w:sz w:val="20"/>
          <w:lang w:val="fr-CH"/>
        </w:rPr>
        <w:t>2016</w:t>
      </w:r>
      <w:r w:rsidR="00B66C4F">
        <w:rPr>
          <w:sz w:val="20"/>
          <w:lang w:val="fr-CH"/>
        </w:rPr>
        <w:t>,</w:t>
      </w:r>
      <w:r w:rsidR="00B66C4F" w:rsidRPr="00B66C4F">
        <w:rPr>
          <w:sz w:val="20"/>
          <w:lang w:val="fr-CH"/>
        </w:rPr>
        <w:t xml:space="preserve"> </w:t>
      </w:r>
      <w:r w:rsidR="00715A2F">
        <w:rPr>
          <w:sz w:val="20"/>
          <w:lang w:val="fr-CH"/>
        </w:rPr>
        <w:t>vol. </w:t>
      </w:r>
      <w:r w:rsidR="00B66C4F" w:rsidRPr="00B66C4F">
        <w:rPr>
          <w:sz w:val="20"/>
          <w:lang w:val="fr-CH"/>
        </w:rPr>
        <w:t>9, pp. 1-39.</w:t>
      </w:r>
    </w:p>
  </w:footnote>
  <w:footnote w:id="2">
    <w:p w14:paraId="183C1DFB" w14:textId="5C02B13A" w:rsidR="00A45237" w:rsidRPr="00276D34" w:rsidRDefault="00A45237"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t>Les biographies et études historiques sur Champollion et le déchiffrement sont pléthore. En langue français</w:t>
      </w:r>
      <w:r w:rsidR="00082CE4" w:rsidRPr="00276D34">
        <w:rPr>
          <w:sz w:val="20"/>
        </w:rPr>
        <w:t>e</w:t>
      </w:r>
      <w:r w:rsidRPr="00276D34">
        <w:rPr>
          <w:sz w:val="20"/>
        </w:rPr>
        <w:t xml:space="preserve">, on consultera </w:t>
      </w:r>
      <w:r w:rsidR="000A3BEF" w:rsidRPr="00276D34">
        <w:rPr>
          <w:sz w:val="20"/>
        </w:rPr>
        <w:t xml:space="preserve">prioritairement </w:t>
      </w:r>
      <w:r w:rsidRPr="00276D34">
        <w:rPr>
          <w:sz w:val="20"/>
        </w:rPr>
        <w:t>(par ordre chronologique de</w:t>
      </w:r>
      <w:r w:rsidR="00C02ED0" w:rsidRPr="00276D34">
        <w:rPr>
          <w:sz w:val="20"/>
        </w:rPr>
        <w:t xml:space="preserve"> </w:t>
      </w:r>
      <w:r w:rsidRPr="00276D34">
        <w:rPr>
          <w:sz w:val="20"/>
        </w:rPr>
        <w:t xml:space="preserve">publication) : </w:t>
      </w:r>
      <w:r w:rsidR="00532B6A" w:rsidRPr="00B66C4F">
        <w:rPr>
          <w:smallCaps/>
          <w:sz w:val="20"/>
          <w:lang w:val="fr-CH"/>
        </w:rPr>
        <w:t>Hartleben</w:t>
      </w:r>
      <w:r w:rsidR="00532B6A" w:rsidRPr="00B66C4F">
        <w:rPr>
          <w:sz w:val="20"/>
          <w:lang w:val="fr-CH"/>
        </w:rPr>
        <w:t xml:space="preserve"> Hermine</w:t>
      </w:r>
      <w:r w:rsidR="000415C5">
        <w:rPr>
          <w:sz w:val="20"/>
          <w:lang w:val="fr-CH"/>
        </w:rPr>
        <w:t xml:space="preserve">, </w:t>
      </w:r>
      <w:r w:rsidR="00532B6A" w:rsidRPr="00B66C4F">
        <w:rPr>
          <w:i/>
          <w:iCs/>
          <w:sz w:val="20"/>
          <w:lang w:val="fr-CH"/>
        </w:rPr>
        <w:t>Jean-François Champollion : sa vie et son œuvre 1790–1832</w:t>
      </w:r>
      <w:r w:rsidR="00532B6A" w:rsidRPr="00B66C4F">
        <w:rPr>
          <w:sz w:val="20"/>
          <w:lang w:val="fr-CH"/>
        </w:rPr>
        <w:t xml:space="preserve">, traduit de l’allemand par Denise Meunier et Ruth Schumann </w:t>
      </w:r>
      <w:proofErr w:type="spellStart"/>
      <w:r w:rsidR="00532B6A" w:rsidRPr="00B66C4F">
        <w:rPr>
          <w:sz w:val="20"/>
          <w:lang w:val="fr-CH"/>
        </w:rPr>
        <w:t>Antelme</w:t>
      </w:r>
      <w:proofErr w:type="spellEnd"/>
      <w:r w:rsidR="00532B6A" w:rsidRPr="00B66C4F">
        <w:rPr>
          <w:sz w:val="20"/>
          <w:lang w:val="fr-CH"/>
        </w:rPr>
        <w:t>, Paris, Pygmalion</w:t>
      </w:r>
      <w:r w:rsidR="000415C5">
        <w:rPr>
          <w:sz w:val="20"/>
          <w:lang w:val="fr-CH"/>
        </w:rPr>
        <w:t xml:space="preserve">, </w:t>
      </w:r>
      <w:r w:rsidR="000415C5" w:rsidRPr="00B66C4F">
        <w:rPr>
          <w:sz w:val="20"/>
          <w:lang w:val="fr-CH"/>
        </w:rPr>
        <w:t>1906 [1983</w:t>
      </w:r>
      <w:r w:rsidR="000415C5">
        <w:rPr>
          <w:sz w:val="20"/>
          <w:lang w:val="fr-CH"/>
        </w:rPr>
        <w:t xml:space="preserve"> </w:t>
      </w:r>
      <w:r w:rsidR="007B1099" w:rsidRPr="00276D34">
        <w:rPr>
          <w:sz w:val="20"/>
        </w:rPr>
        <w:t>pour l’édition française</w:t>
      </w:r>
      <w:r w:rsidR="00EC602A" w:rsidRPr="00276D34">
        <w:rPr>
          <w:sz w:val="20"/>
        </w:rPr>
        <w:t>]</w:t>
      </w:r>
      <w:r w:rsidR="005E28A1" w:rsidRPr="00276D34">
        <w:rPr>
          <w:sz w:val="20"/>
        </w:rPr>
        <w:t> ;</w:t>
      </w:r>
      <w:r w:rsidR="000A3BEF" w:rsidRPr="00276D34">
        <w:rPr>
          <w:sz w:val="20"/>
        </w:rPr>
        <w:t xml:space="preserve"> </w:t>
      </w:r>
      <w:r w:rsidR="000144D9" w:rsidRPr="00B66C4F">
        <w:rPr>
          <w:smallCaps/>
          <w:sz w:val="20"/>
          <w:lang w:val="fr-CH"/>
        </w:rPr>
        <w:t>Lacouture</w:t>
      </w:r>
      <w:r w:rsidR="000144D9" w:rsidRPr="00B66C4F">
        <w:rPr>
          <w:sz w:val="20"/>
          <w:lang w:val="fr-CH"/>
        </w:rPr>
        <w:t xml:space="preserve"> Jean</w:t>
      </w:r>
      <w:r w:rsidR="000144D9">
        <w:rPr>
          <w:sz w:val="20"/>
          <w:lang w:val="fr-CH"/>
        </w:rPr>
        <w:t>,</w:t>
      </w:r>
      <w:r w:rsidR="000144D9" w:rsidRPr="00B66C4F">
        <w:rPr>
          <w:sz w:val="20"/>
          <w:lang w:val="fr-CH"/>
        </w:rPr>
        <w:t xml:space="preserve"> </w:t>
      </w:r>
      <w:r w:rsidR="000144D9" w:rsidRPr="00B66C4F">
        <w:rPr>
          <w:i/>
          <w:iCs/>
          <w:sz w:val="20"/>
          <w:lang w:val="fr-CH"/>
        </w:rPr>
        <w:t>Champollion. Une vie de lumières</w:t>
      </w:r>
      <w:r w:rsidR="000144D9" w:rsidRPr="00B66C4F">
        <w:rPr>
          <w:sz w:val="20"/>
          <w:lang w:val="fr-CH"/>
        </w:rPr>
        <w:t>, Paris, Grasset</w:t>
      </w:r>
      <w:r w:rsidR="000144D9">
        <w:rPr>
          <w:sz w:val="20"/>
          <w:lang w:val="fr-CH"/>
        </w:rPr>
        <w:t xml:space="preserve">, </w:t>
      </w:r>
      <w:r w:rsidR="000144D9" w:rsidRPr="00B66C4F">
        <w:rPr>
          <w:sz w:val="20"/>
          <w:lang w:val="fr-CH"/>
        </w:rPr>
        <w:t>1988</w:t>
      </w:r>
      <w:r w:rsidR="000144D9">
        <w:rPr>
          <w:sz w:val="20"/>
          <w:lang w:val="fr-CH"/>
        </w:rPr>
        <w:t xml:space="preserve"> ; </w:t>
      </w:r>
      <w:proofErr w:type="spellStart"/>
      <w:r w:rsidR="000144D9" w:rsidRPr="00B66C4F">
        <w:rPr>
          <w:smallCaps/>
          <w:sz w:val="20"/>
          <w:lang w:val="fr-CH"/>
        </w:rPr>
        <w:t>Dewachter</w:t>
      </w:r>
      <w:proofErr w:type="spellEnd"/>
      <w:r w:rsidR="000144D9" w:rsidRPr="00B66C4F">
        <w:rPr>
          <w:sz w:val="20"/>
          <w:lang w:val="fr-CH"/>
        </w:rPr>
        <w:t xml:space="preserve"> Michel</w:t>
      </w:r>
      <w:r w:rsidR="000144D9">
        <w:rPr>
          <w:sz w:val="20"/>
          <w:lang w:val="fr-CH"/>
        </w:rPr>
        <w:t>,</w:t>
      </w:r>
      <w:r w:rsidR="000144D9" w:rsidRPr="00B66C4F">
        <w:rPr>
          <w:sz w:val="20"/>
          <w:lang w:val="fr-CH"/>
        </w:rPr>
        <w:t xml:space="preserve"> </w:t>
      </w:r>
      <w:r w:rsidR="000144D9" w:rsidRPr="00B66C4F">
        <w:rPr>
          <w:i/>
          <w:iCs/>
          <w:sz w:val="20"/>
          <w:lang w:val="fr-CH"/>
        </w:rPr>
        <w:t>Champollion : un scribe pour l’Égypte</w:t>
      </w:r>
      <w:r w:rsidR="000144D9" w:rsidRPr="00B66C4F">
        <w:rPr>
          <w:sz w:val="20"/>
          <w:lang w:val="fr-CH"/>
        </w:rPr>
        <w:t>, Paris, Gallimard (</w:t>
      </w:r>
      <w:r w:rsidR="000144D9" w:rsidRPr="00B66C4F">
        <w:rPr>
          <w:i/>
          <w:iCs/>
          <w:sz w:val="20"/>
          <w:lang w:val="fr-CH"/>
        </w:rPr>
        <w:t>Découvertes</w:t>
      </w:r>
      <w:r w:rsidR="000144D9" w:rsidRPr="00B66C4F">
        <w:rPr>
          <w:sz w:val="20"/>
          <w:lang w:val="fr-CH"/>
        </w:rPr>
        <w:t xml:space="preserve"> 96)</w:t>
      </w:r>
      <w:r w:rsidR="00F75D19">
        <w:rPr>
          <w:sz w:val="20"/>
          <w:lang w:val="fr-CH"/>
        </w:rPr>
        <w:t xml:space="preserve">, </w:t>
      </w:r>
      <w:r w:rsidR="00F75D19" w:rsidRPr="00B66C4F">
        <w:rPr>
          <w:sz w:val="20"/>
          <w:lang w:val="fr-CH"/>
        </w:rPr>
        <w:t>1990</w:t>
      </w:r>
      <w:r w:rsidR="00F75D19">
        <w:rPr>
          <w:sz w:val="20"/>
          <w:lang w:val="fr-CH"/>
        </w:rPr>
        <w:t xml:space="preserve"> ; </w:t>
      </w:r>
      <w:proofErr w:type="spellStart"/>
      <w:r w:rsidR="00473B4B" w:rsidRPr="00B66C4F">
        <w:rPr>
          <w:smallCaps/>
          <w:sz w:val="20"/>
          <w:lang w:val="fr-CH"/>
        </w:rPr>
        <w:t>Dewachter</w:t>
      </w:r>
      <w:proofErr w:type="spellEnd"/>
      <w:r w:rsidR="00473B4B" w:rsidRPr="00B66C4F">
        <w:rPr>
          <w:sz w:val="20"/>
          <w:lang w:val="fr-CH"/>
        </w:rPr>
        <w:t xml:space="preserve"> Michel et </w:t>
      </w:r>
      <w:proofErr w:type="spellStart"/>
      <w:r w:rsidR="00473B4B" w:rsidRPr="00B66C4F">
        <w:rPr>
          <w:smallCaps/>
          <w:sz w:val="20"/>
          <w:lang w:val="fr-CH"/>
        </w:rPr>
        <w:t>Fouchard</w:t>
      </w:r>
      <w:proofErr w:type="spellEnd"/>
      <w:r w:rsidR="00473B4B" w:rsidRPr="00B66C4F">
        <w:rPr>
          <w:sz w:val="20"/>
          <w:lang w:val="fr-CH"/>
        </w:rPr>
        <w:t xml:space="preserve"> Alain (</w:t>
      </w:r>
      <w:proofErr w:type="spellStart"/>
      <w:r w:rsidR="00473B4B" w:rsidRPr="00B66C4F">
        <w:rPr>
          <w:sz w:val="20"/>
          <w:lang w:val="fr-CH"/>
        </w:rPr>
        <w:t>dir</w:t>
      </w:r>
      <w:proofErr w:type="spellEnd"/>
      <w:r w:rsidR="00473B4B" w:rsidRPr="00B66C4F">
        <w:rPr>
          <w:sz w:val="20"/>
          <w:lang w:val="fr-CH"/>
        </w:rPr>
        <w:t>.)</w:t>
      </w:r>
      <w:r w:rsidR="00473B4B">
        <w:rPr>
          <w:sz w:val="20"/>
          <w:lang w:val="fr-CH"/>
        </w:rPr>
        <w:t xml:space="preserve">, </w:t>
      </w:r>
      <w:r w:rsidR="00473B4B" w:rsidRPr="00B66C4F">
        <w:rPr>
          <w:i/>
          <w:iCs/>
          <w:sz w:val="20"/>
          <w:lang w:val="fr-CH"/>
        </w:rPr>
        <w:t xml:space="preserve">L’égyptologie et les Champollion : recueil d’études publié par Michel </w:t>
      </w:r>
      <w:proofErr w:type="spellStart"/>
      <w:r w:rsidR="00473B4B" w:rsidRPr="00B66C4F">
        <w:rPr>
          <w:i/>
          <w:iCs/>
          <w:sz w:val="20"/>
          <w:lang w:val="fr-CH"/>
        </w:rPr>
        <w:t>Dewachter</w:t>
      </w:r>
      <w:proofErr w:type="spellEnd"/>
      <w:r w:rsidR="00473B4B" w:rsidRPr="00B66C4F">
        <w:rPr>
          <w:i/>
          <w:iCs/>
          <w:sz w:val="20"/>
          <w:lang w:val="fr-CH"/>
        </w:rPr>
        <w:t xml:space="preserve"> et Alain </w:t>
      </w:r>
      <w:proofErr w:type="spellStart"/>
      <w:r w:rsidR="00473B4B" w:rsidRPr="00B66C4F">
        <w:rPr>
          <w:i/>
          <w:iCs/>
          <w:sz w:val="20"/>
          <w:lang w:val="fr-CH"/>
        </w:rPr>
        <w:t>Fouchard</w:t>
      </w:r>
      <w:proofErr w:type="spellEnd"/>
      <w:r w:rsidR="00473B4B" w:rsidRPr="00B66C4F">
        <w:rPr>
          <w:i/>
          <w:iCs/>
          <w:sz w:val="20"/>
          <w:lang w:val="fr-CH"/>
        </w:rPr>
        <w:t xml:space="preserve"> à l’occasion du Colloque international célébrant le bicentenaire de la naissance de Jean-François Champollion « De l’Égypte des Pharaons à celle de 1990, Hommage de Grenoble aux frères Champollion » (Université Pierre Mendès-France, Grenoble 2, 29 novembre – 1er décembre 1990)</w:t>
      </w:r>
      <w:r w:rsidR="00473B4B" w:rsidRPr="00B66C4F">
        <w:rPr>
          <w:sz w:val="20"/>
          <w:lang w:val="fr-CH"/>
        </w:rPr>
        <w:t>, Grenoble, Presses Universitaires de Grenoble</w:t>
      </w:r>
      <w:r w:rsidR="00473B4B">
        <w:rPr>
          <w:sz w:val="20"/>
          <w:lang w:val="fr-CH"/>
        </w:rPr>
        <w:t xml:space="preserve">, 1994 ; </w:t>
      </w:r>
      <w:r w:rsidR="00473B4B" w:rsidRPr="00B66C4F">
        <w:rPr>
          <w:smallCaps/>
          <w:sz w:val="20"/>
          <w:lang w:val="fr-CH"/>
        </w:rPr>
        <w:t>Faure</w:t>
      </w:r>
      <w:r w:rsidR="00473B4B" w:rsidRPr="00B66C4F">
        <w:rPr>
          <w:sz w:val="20"/>
          <w:lang w:val="fr-CH"/>
        </w:rPr>
        <w:t xml:space="preserve"> Alain</w:t>
      </w:r>
      <w:r w:rsidR="00473B4B">
        <w:rPr>
          <w:sz w:val="20"/>
          <w:lang w:val="fr-CH"/>
        </w:rPr>
        <w:t xml:space="preserve">, </w:t>
      </w:r>
      <w:r w:rsidR="00473B4B" w:rsidRPr="00B66C4F">
        <w:rPr>
          <w:i/>
          <w:iCs/>
          <w:sz w:val="20"/>
          <w:lang w:val="fr-CH"/>
        </w:rPr>
        <w:t>Champollion. Le savant déchiffré</w:t>
      </w:r>
      <w:r w:rsidR="00473B4B" w:rsidRPr="00B66C4F">
        <w:rPr>
          <w:sz w:val="20"/>
          <w:lang w:val="fr-CH"/>
        </w:rPr>
        <w:t>, Paris, Fayard</w:t>
      </w:r>
      <w:r w:rsidR="00473B4B">
        <w:rPr>
          <w:sz w:val="20"/>
          <w:lang w:val="fr-CH"/>
        </w:rPr>
        <w:t xml:space="preserve">, 2000 ; </w:t>
      </w:r>
      <w:r w:rsidR="00473B4B" w:rsidRPr="00B66C4F">
        <w:rPr>
          <w:smallCaps/>
          <w:sz w:val="20"/>
          <w:lang w:val="fr-CH"/>
        </w:rPr>
        <w:t>Madrigal</w:t>
      </w:r>
      <w:r w:rsidR="00473B4B" w:rsidRPr="00B66C4F">
        <w:rPr>
          <w:sz w:val="20"/>
          <w:lang w:val="fr-CH"/>
        </w:rPr>
        <w:t xml:space="preserve"> Karine</w:t>
      </w:r>
      <w:r w:rsidR="00473B4B">
        <w:rPr>
          <w:sz w:val="20"/>
          <w:lang w:val="fr-CH"/>
        </w:rPr>
        <w:t xml:space="preserve">, </w:t>
      </w:r>
      <w:r w:rsidR="00473B4B" w:rsidRPr="00B66C4F">
        <w:rPr>
          <w:i/>
          <w:iCs/>
          <w:sz w:val="20"/>
          <w:lang w:val="fr-CH"/>
        </w:rPr>
        <w:t>Jean-François et Jacques-Joseph Champollion. L’aventure du déchiffrement des hiéroglyphes. Correspondance choisie et présentée</w:t>
      </w:r>
      <w:r w:rsidR="00473B4B" w:rsidRPr="00B66C4F">
        <w:rPr>
          <w:sz w:val="20"/>
          <w:lang w:val="fr-CH"/>
        </w:rPr>
        <w:t>, Paris, Les Belles Lettres</w:t>
      </w:r>
      <w:r w:rsidR="00473B4B">
        <w:rPr>
          <w:sz w:val="20"/>
          <w:lang w:val="fr-CH"/>
        </w:rPr>
        <w:t>, 2021</w:t>
      </w:r>
      <w:r w:rsidR="00473B4B" w:rsidRPr="00B66C4F">
        <w:rPr>
          <w:sz w:val="20"/>
          <w:lang w:val="fr-CH"/>
        </w:rPr>
        <w:t>.</w:t>
      </w:r>
    </w:p>
  </w:footnote>
  <w:footnote w:id="3">
    <w:p w14:paraId="163ADC0F" w14:textId="7AB4D838" w:rsidR="00710BD5" w:rsidRPr="00276D34" w:rsidRDefault="00710BD5" w:rsidP="00710BD5">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005A4572" w:rsidRPr="00B66C4F">
        <w:rPr>
          <w:smallCaps/>
          <w:sz w:val="20"/>
          <w:lang w:val="fr-CH"/>
        </w:rPr>
        <w:t>Champollion</w:t>
      </w:r>
      <w:r w:rsidR="005A4572" w:rsidRPr="00B66C4F">
        <w:rPr>
          <w:sz w:val="20"/>
          <w:lang w:val="fr-CH"/>
        </w:rPr>
        <w:t xml:space="preserve"> Jean-François</w:t>
      </w:r>
      <w:r w:rsidR="009C4196">
        <w:rPr>
          <w:sz w:val="20"/>
          <w:lang w:val="fr-CH"/>
        </w:rPr>
        <w:t>,</w:t>
      </w:r>
      <w:r w:rsidR="005A4572" w:rsidRPr="00B66C4F">
        <w:rPr>
          <w:sz w:val="20"/>
          <w:lang w:val="fr-CH"/>
        </w:rPr>
        <w:t xml:space="preserve"> </w:t>
      </w:r>
      <w:r w:rsidR="005A4572" w:rsidRPr="00B66C4F">
        <w:rPr>
          <w:i/>
          <w:iCs/>
          <w:sz w:val="20"/>
          <w:lang w:val="fr-CH"/>
        </w:rPr>
        <w:t>Lettre à M. Dacier, secrétaire perpétuel de l’Académie royale des Inscriptions et Belles Lettres, relative à l’alphabet des hiéroglyphes phonétiques employés par les Égyptiens pour inscrire sur leur monuments les titres, les noms et les surnoms des souverains grecs et romains</w:t>
      </w:r>
      <w:r w:rsidR="005A4572" w:rsidRPr="00B66C4F">
        <w:rPr>
          <w:sz w:val="20"/>
          <w:lang w:val="fr-CH"/>
        </w:rPr>
        <w:t>, Paris, Firmin Didots Père et Fils</w:t>
      </w:r>
      <w:r w:rsidR="009C4196">
        <w:rPr>
          <w:sz w:val="20"/>
          <w:lang w:val="fr-CH"/>
        </w:rPr>
        <w:t xml:space="preserve">, </w:t>
      </w:r>
      <w:r w:rsidR="009C4196" w:rsidRPr="00B66C4F">
        <w:rPr>
          <w:sz w:val="20"/>
          <w:lang w:val="fr-CH"/>
        </w:rPr>
        <w:t>1822</w:t>
      </w:r>
      <w:r w:rsidR="005A4572" w:rsidRPr="00B66C4F">
        <w:rPr>
          <w:sz w:val="20"/>
          <w:lang w:val="fr-CH"/>
        </w:rPr>
        <w:t>.</w:t>
      </w:r>
    </w:p>
  </w:footnote>
  <w:footnote w:id="4">
    <w:p w14:paraId="1BA0D684" w14:textId="1BA6CE97" w:rsidR="00911879" w:rsidRPr="00276D34" w:rsidRDefault="00911879" w:rsidP="00911879">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0099274B">
        <w:rPr>
          <w:sz w:val="20"/>
        </w:rPr>
        <w:t xml:space="preserve">Marc </w:t>
      </w:r>
      <w:proofErr w:type="spellStart"/>
      <w:r w:rsidRPr="0099274B">
        <w:rPr>
          <w:smallCaps/>
          <w:sz w:val="20"/>
        </w:rPr>
        <w:t>Gabolde</w:t>
      </w:r>
      <w:proofErr w:type="spellEnd"/>
      <w:r>
        <w:rPr>
          <w:sz w:val="20"/>
        </w:rPr>
        <w:t xml:space="preserve"> (</w:t>
      </w:r>
      <w:r w:rsidR="0099274B" w:rsidRPr="00B66C4F">
        <w:rPr>
          <w:sz w:val="20"/>
          <w:lang w:val="fr-CH"/>
        </w:rPr>
        <w:t xml:space="preserve">« Une lettre inédite de Jean-François Champollion à le Bibliothèque de l’Académie de Lyon », </w:t>
      </w:r>
      <w:r w:rsidR="0099274B" w:rsidRPr="00B66C4F">
        <w:rPr>
          <w:i/>
          <w:iCs/>
          <w:sz w:val="20"/>
          <w:lang w:val="fr-CH"/>
        </w:rPr>
        <w:t xml:space="preserve">Bulletin du Cercle lyonnais d’égyptologie Victor </w:t>
      </w:r>
      <w:proofErr w:type="spellStart"/>
      <w:r w:rsidR="0099274B" w:rsidRPr="00B66C4F">
        <w:rPr>
          <w:i/>
          <w:iCs/>
          <w:sz w:val="20"/>
          <w:lang w:val="fr-CH"/>
        </w:rPr>
        <w:t>Loret</w:t>
      </w:r>
      <w:proofErr w:type="spellEnd"/>
      <w:r w:rsidR="0099274B">
        <w:rPr>
          <w:sz w:val="20"/>
          <w:lang w:val="fr-CH"/>
        </w:rPr>
        <w:t xml:space="preserve">, 1990, </w:t>
      </w:r>
      <w:r w:rsidR="00F3085A">
        <w:rPr>
          <w:sz w:val="20"/>
          <w:lang w:val="fr-CH"/>
        </w:rPr>
        <w:t>vol. </w:t>
      </w:r>
      <w:r w:rsidR="0099274B" w:rsidRPr="00B66C4F">
        <w:rPr>
          <w:sz w:val="20"/>
          <w:lang w:val="fr-CH"/>
        </w:rPr>
        <w:t>4, pp. </w:t>
      </w:r>
      <w:r>
        <w:rPr>
          <w:sz w:val="20"/>
        </w:rPr>
        <w:t>14) résume parfaitement les choses : « [l]es balancements de sa pensée vont d’un extrême à l’autre en quelques mois, tantôt persuadé qu’il est du caractère phonétique des signes, tantôt convaincu de leur seul</w:t>
      </w:r>
      <w:r w:rsidR="00217A6C">
        <w:rPr>
          <w:sz w:val="20"/>
        </w:rPr>
        <w:t>e</w:t>
      </w:r>
      <w:r>
        <w:rPr>
          <w:sz w:val="20"/>
        </w:rPr>
        <w:t xml:space="preserve"> valeur idéographique</w:t>
      </w:r>
      <w:r w:rsidR="00347ABB">
        <w:rPr>
          <w:sz w:val="20"/>
        </w:rPr>
        <w:t>.</w:t>
      </w:r>
      <w:r w:rsidR="003769A8">
        <w:rPr>
          <w:sz w:val="20"/>
        </w:rPr>
        <w:t xml:space="preserve"> Ces hésitations sont plus que compréhensibles en ce premier quart du XIXème siècle où les deux traditions s’affrontent. Il faut les considérer d’ailleurs comme les manifestations de courants plus profonds qui se dressent l’un contre l’autre sur le rôle de l’écriture dans l’évolution de la pensée humaine.</w:t>
      </w:r>
      <w:r>
        <w:rPr>
          <w:sz w:val="20"/>
        </w:rPr>
        <w:t> »</w:t>
      </w:r>
    </w:p>
  </w:footnote>
  <w:footnote w:id="5">
    <w:p w14:paraId="0A565288" w14:textId="23E24F47" w:rsidR="00E92FC0" w:rsidRPr="00276D34" w:rsidRDefault="00E92FC0" w:rsidP="00E92FC0">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Pr="00B66C4F">
        <w:rPr>
          <w:smallCaps/>
          <w:sz w:val="20"/>
          <w:lang w:val="fr-CH"/>
        </w:rPr>
        <w:t>Champollion</w:t>
      </w:r>
      <w:r w:rsidRPr="00B66C4F">
        <w:rPr>
          <w:sz w:val="20"/>
          <w:lang w:val="fr-CH"/>
        </w:rPr>
        <w:t xml:space="preserve"> Jean-François</w:t>
      </w:r>
      <w:r w:rsidR="00BA699B">
        <w:rPr>
          <w:sz w:val="20"/>
          <w:lang w:val="fr-CH"/>
        </w:rPr>
        <w:t xml:space="preserve">, </w:t>
      </w:r>
      <w:r w:rsidRPr="00B66C4F">
        <w:rPr>
          <w:i/>
          <w:iCs/>
          <w:sz w:val="20"/>
          <w:lang w:val="fr-CH"/>
        </w:rPr>
        <w:t xml:space="preserve">Précis du système hiéroglyphique des anciens égyptiens ou Recherches sur les </w:t>
      </w:r>
      <w:proofErr w:type="spellStart"/>
      <w:r w:rsidRPr="00B66C4F">
        <w:rPr>
          <w:i/>
          <w:iCs/>
          <w:sz w:val="20"/>
          <w:lang w:val="fr-CH"/>
        </w:rPr>
        <w:t>élémens</w:t>
      </w:r>
      <w:proofErr w:type="spellEnd"/>
      <w:r w:rsidRPr="00B66C4F">
        <w:rPr>
          <w:i/>
          <w:iCs/>
          <w:sz w:val="20"/>
          <w:lang w:val="fr-CH"/>
        </w:rPr>
        <w:t xml:space="preserve"> premiers de cette écriture sacrée, sur leurs diverses combinaisons, et sur les rapports de ce système avec les autres méthodes graphiques égyptiennes</w:t>
      </w:r>
      <w:r w:rsidRPr="00B66C4F">
        <w:rPr>
          <w:sz w:val="20"/>
          <w:lang w:val="fr-CH"/>
        </w:rPr>
        <w:t xml:space="preserve">, Paris, </w:t>
      </w:r>
      <w:proofErr w:type="spellStart"/>
      <w:r w:rsidRPr="00B66C4F">
        <w:rPr>
          <w:sz w:val="20"/>
          <w:lang w:val="fr-CH"/>
        </w:rPr>
        <w:t>Treutel</w:t>
      </w:r>
      <w:proofErr w:type="spellEnd"/>
      <w:r w:rsidRPr="00B66C4F">
        <w:rPr>
          <w:sz w:val="20"/>
          <w:lang w:val="fr-CH"/>
        </w:rPr>
        <w:t xml:space="preserve"> et </w:t>
      </w:r>
      <w:proofErr w:type="spellStart"/>
      <w:r w:rsidRPr="00B66C4F">
        <w:rPr>
          <w:sz w:val="20"/>
          <w:lang w:val="fr-CH"/>
        </w:rPr>
        <w:t>Würtz</w:t>
      </w:r>
      <w:proofErr w:type="spellEnd"/>
      <w:r w:rsidR="00BA699B">
        <w:rPr>
          <w:sz w:val="20"/>
          <w:lang w:val="fr-CH"/>
        </w:rPr>
        <w:t>, 1824</w:t>
      </w:r>
      <w:r w:rsidRPr="00B66C4F">
        <w:rPr>
          <w:sz w:val="20"/>
          <w:lang w:val="fr-CH"/>
        </w:rPr>
        <w:t>.</w:t>
      </w:r>
    </w:p>
  </w:footnote>
  <w:footnote w:id="6">
    <w:p w14:paraId="42F2952F" w14:textId="5A8F931D" w:rsidR="00D24E4F" w:rsidRPr="00276D34" w:rsidRDefault="00D24E4F" w:rsidP="00D24E4F">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t xml:space="preserve">Le texte de cette leçon inaugurale est reproduit en introduction de sa </w:t>
      </w:r>
      <w:r w:rsidRPr="00276D34">
        <w:rPr>
          <w:i/>
          <w:iCs/>
          <w:sz w:val="20"/>
        </w:rPr>
        <w:t xml:space="preserve">Grammaire égyptienne </w:t>
      </w:r>
      <w:r w:rsidRPr="00276D34">
        <w:rPr>
          <w:sz w:val="20"/>
        </w:rPr>
        <w:t>(</w:t>
      </w:r>
      <w:r w:rsidR="00CC1A52" w:rsidRPr="00B66C4F">
        <w:rPr>
          <w:smallCaps/>
          <w:sz w:val="20"/>
          <w:lang w:val="fr-CH"/>
        </w:rPr>
        <w:t>Champollion</w:t>
      </w:r>
      <w:r w:rsidR="00CC1A52" w:rsidRPr="00B66C4F">
        <w:rPr>
          <w:sz w:val="20"/>
          <w:lang w:val="fr-CH"/>
        </w:rPr>
        <w:t xml:space="preserve"> Jean-François</w:t>
      </w:r>
      <w:r w:rsidR="00CC1A52">
        <w:rPr>
          <w:sz w:val="20"/>
          <w:lang w:val="fr-CH"/>
        </w:rPr>
        <w:t xml:space="preserve">, </w:t>
      </w:r>
      <w:r w:rsidR="00CC1A52" w:rsidRPr="00B66C4F">
        <w:rPr>
          <w:i/>
          <w:iCs/>
          <w:sz w:val="20"/>
          <w:lang w:val="fr-CH"/>
        </w:rPr>
        <w:t>Grammaire égyptienne ou Principes généraux de l’écriture sacrée égyptienne appliquée à la représentation de la langue parlée</w:t>
      </w:r>
      <w:r w:rsidR="00CC1A52" w:rsidRPr="00B66C4F">
        <w:rPr>
          <w:sz w:val="20"/>
          <w:lang w:val="fr-CH"/>
        </w:rPr>
        <w:t>, Paris, Firmin Didot Frères</w:t>
      </w:r>
      <w:r w:rsidR="00CC1A52">
        <w:rPr>
          <w:sz w:val="20"/>
          <w:lang w:val="fr-CH"/>
        </w:rPr>
        <w:t>, 1836,</w:t>
      </w:r>
      <w:r w:rsidR="00CC1A52" w:rsidRPr="00276D34">
        <w:rPr>
          <w:sz w:val="20"/>
        </w:rPr>
        <w:t xml:space="preserve"> </w:t>
      </w:r>
      <w:r w:rsidRPr="00276D34">
        <w:rPr>
          <w:sz w:val="20"/>
        </w:rPr>
        <w:t>p. i–</w:t>
      </w:r>
      <w:proofErr w:type="spellStart"/>
      <w:r w:rsidRPr="00276D34">
        <w:rPr>
          <w:sz w:val="20"/>
        </w:rPr>
        <w:t>xxiij</w:t>
      </w:r>
      <w:proofErr w:type="spellEnd"/>
      <w:r w:rsidRPr="00276D34">
        <w:rPr>
          <w:sz w:val="20"/>
        </w:rPr>
        <w:t>)</w:t>
      </w:r>
      <w:r w:rsidR="0048436C">
        <w:rPr>
          <w:sz w:val="20"/>
        </w:rPr>
        <w:t>,</w:t>
      </w:r>
      <w:r w:rsidRPr="00276D34">
        <w:rPr>
          <w:sz w:val="20"/>
        </w:rPr>
        <w:t xml:space="preserve"> publiée de manière posthume par son frère aîné. Le manuscrit de la main de Jean-François Champollion est désormais disponible en ligne (gallica.bnf.fr / </w:t>
      </w:r>
      <w:r w:rsidRPr="00276D34">
        <w:rPr>
          <w:rFonts w:asciiTheme="majorBidi" w:hAnsiTheme="majorBidi" w:cstheme="majorBidi"/>
          <w:sz w:val="20"/>
        </w:rPr>
        <w:t>Bibliothèque nationale de France. Département des Manuscrits. NAF 20343).</w:t>
      </w:r>
    </w:p>
  </w:footnote>
  <w:footnote w:id="7">
    <w:p w14:paraId="1429164F" w14:textId="47C2298F" w:rsidR="006F148B" w:rsidRPr="00635EEB" w:rsidRDefault="006F148B" w:rsidP="004B0026">
      <w:pPr>
        <w:pStyle w:val="Notedebasdepage"/>
        <w:tabs>
          <w:tab w:val="clear" w:pos="709"/>
          <w:tab w:val="clear" w:pos="851"/>
          <w:tab w:val="left" w:pos="284"/>
        </w:tabs>
        <w:ind w:firstLine="0"/>
        <w:rPr>
          <w:sz w:val="20"/>
          <w:lang w:val="fr-BE"/>
        </w:rPr>
      </w:pPr>
      <w:r w:rsidRPr="00276D34">
        <w:rPr>
          <w:rStyle w:val="Appelnotedebasdep"/>
          <w:sz w:val="20"/>
        </w:rPr>
        <w:footnoteRef/>
      </w:r>
      <w:r w:rsidRPr="00276D34">
        <w:rPr>
          <w:sz w:val="20"/>
        </w:rPr>
        <w:tab/>
        <w:t xml:space="preserve">Voir </w:t>
      </w:r>
      <w:r w:rsidR="00026E84" w:rsidRPr="00B66C4F">
        <w:rPr>
          <w:smallCaps/>
          <w:sz w:val="20"/>
          <w:lang w:val="fr-CH"/>
        </w:rPr>
        <w:t>Polis</w:t>
      </w:r>
      <w:r w:rsidR="00026E84" w:rsidRPr="00B66C4F">
        <w:rPr>
          <w:sz w:val="20"/>
          <w:lang w:val="fr-CH"/>
        </w:rPr>
        <w:t xml:space="preserve"> Stéphane (</w:t>
      </w:r>
      <w:proofErr w:type="spellStart"/>
      <w:r w:rsidR="00026E84" w:rsidRPr="00B66C4F">
        <w:rPr>
          <w:sz w:val="20"/>
          <w:lang w:val="fr-CH"/>
        </w:rPr>
        <w:t>dir</w:t>
      </w:r>
      <w:proofErr w:type="spellEnd"/>
      <w:r w:rsidR="00026E84" w:rsidRPr="00B66C4F">
        <w:rPr>
          <w:sz w:val="20"/>
          <w:lang w:val="fr-CH"/>
        </w:rPr>
        <w:t>.)</w:t>
      </w:r>
      <w:r w:rsidR="00026E84">
        <w:rPr>
          <w:sz w:val="20"/>
          <w:lang w:val="fr-CH"/>
        </w:rPr>
        <w:t xml:space="preserve">, </w:t>
      </w:r>
      <w:r w:rsidR="00026E84" w:rsidRPr="00B66C4F">
        <w:rPr>
          <w:i/>
          <w:iCs/>
          <w:sz w:val="20"/>
          <w:lang w:val="fr-CH"/>
        </w:rPr>
        <w:t>Guide des écritures d’Égypte ancienne</w:t>
      </w:r>
      <w:r w:rsidR="00026E84" w:rsidRPr="00B66C4F">
        <w:rPr>
          <w:sz w:val="20"/>
          <w:lang w:val="fr-CH"/>
        </w:rPr>
        <w:t>, Le Caire, IFAO (</w:t>
      </w:r>
      <w:r w:rsidR="00026E84" w:rsidRPr="00B66C4F">
        <w:rPr>
          <w:i/>
          <w:iCs/>
          <w:sz w:val="20"/>
          <w:lang w:val="fr-CH"/>
        </w:rPr>
        <w:t>Guides de l’IFAO</w:t>
      </w:r>
      <w:r w:rsidR="00026E84" w:rsidRPr="00B66C4F">
        <w:rPr>
          <w:sz w:val="20"/>
          <w:lang w:val="fr-CH"/>
        </w:rPr>
        <w:t xml:space="preserve"> 1)</w:t>
      </w:r>
      <w:r w:rsidR="00026E84">
        <w:rPr>
          <w:sz w:val="20"/>
          <w:lang w:val="fr-CH"/>
        </w:rPr>
        <w:t xml:space="preserve">, </w:t>
      </w:r>
      <w:r w:rsidR="00026E84" w:rsidRPr="00B66C4F">
        <w:rPr>
          <w:sz w:val="20"/>
          <w:lang w:val="fr-CH"/>
        </w:rPr>
        <w:t>2022.</w:t>
      </w:r>
    </w:p>
  </w:footnote>
  <w:footnote w:id="8">
    <w:p w14:paraId="3C34173A" w14:textId="77777777" w:rsidR="009F678B" w:rsidRPr="00276D34" w:rsidRDefault="009F678B" w:rsidP="009F678B">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t xml:space="preserve">Voir </w:t>
      </w:r>
      <w:proofErr w:type="spellStart"/>
      <w:r w:rsidRPr="00B66C4F">
        <w:rPr>
          <w:smallCaps/>
          <w:sz w:val="20"/>
          <w:lang w:val="fr-CH"/>
        </w:rPr>
        <w:t>Winand</w:t>
      </w:r>
      <w:proofErr w:type="spellEnd"/>
      <w:r w:rsidRPr="00B66C4F">
        <w:rPr>
          <w:sz w:val="20"/>
          <w:lang w:val="fr-CH"/>
        </w:rPr>
        <w:t xml:space="preserve"> Jean</w:t>
      </w:r>
      <w:r>
        <w:rPr>
          <w:sz w:val="20"/>
          <w:lang w:val="fr-CH"/>
        </w:rPr>
        <w:t xml:space="preserve">, </w:t>
      </w:r>
      <w:r w:rsidRPr="00B66C4F">
        <w:rPr>
          <w:sz w:val="20"/>
          <w:lang w:val="fr-CH"/>
        </w:rPr>
        <w:t xml:space="preserve">« Un Frankenstein sémiotique : les hiéroglyphes d’Athanase Kircher », </w:t>
      </w:r>
      <w:proofErr w:type="spellStart"/>
      <w:r w:rsidRPr="00B66C4F">
        <w:rPr>
          <w:i/>
          <w:iCs/>
          <w:sz w:val="20"/>
          <w:lang w:val="fr-CH"/>
        </w:rPr>
        <w:t>Signata</w:t>
      </w:r>
      <w:proofErr w:type="spellEnd"/>
      <w:r>
        <w:rPr>
          <w:sz w:val="20"/>
          <w:lang w:val="fr-CH"/>
        </w:rPr>
        <w:t xml:space="preserve">, </w:t>
      </w:r>
      <w:r w:rsidRPr="00276D34">
        <w:rPr>
          <w:sz w:val="20"/>
        </w:rPr>
        <w:t>2018</w:t>
      </w:r>
      <w:r>
        <w:rPr>
          <w:sz w:val="20"/>
        </w:rPr>
        <w:t>, vol. </w:t>
      </w:r>
      <w:r w:rsidRPr="00B66C4F">
        <w:rPr>
          <w:sz w:val="20"/>
          <w:lang w:val="fr-CH"/>
        </w:rPr>
        <w:t>9, pp. 213–251.</w:t>
      </w:r>
    </w:p>
  </w:footnote>
  <w:footnote w:id="9">
    <w:p w14:paraId="0EA57D24" w14:textId="07CBBC30" w:rsidR="007768A0" w:rsidRPr="00276D34" w:rsidRDefault="007768A0" w:rsidP="004B0026">
      <w:pPr>
        <w:pStyle w:val="Notedebasdepage"/>
        <w:tabs>
          <w:tab w:val="clear" w:pos="709"/>
          <w:tab w:val="clear" w:pos="851"/>
          <w:tab w:val="left" w:pos="284"/>
        </w:tabs>
        <w:ind w:firstLine="0"/>
        <w:rPr>
          <w:sz w:val="20"/>
        </w:rPr>
      </w:pPr>
      <w:r w:rsidRPr="00276D34">
        <w:rPr>
          <w:rStyle w:val="Appelnotedebasdep"/>
          <w:sz w:val="20"/>
        </w:rPr>
        <w:footnoteRef/>
      </w:r>
      <w:r w:rsidR="006F148B" w:rsidRPr="00276D34">
        <w:rPr>
          <w:sz w:val="20"/>
        </w:rPr>
        <w:tab/>
      </w:r>
      <w:r w:rsidR="008D7945" w:rsidRPr="00276D34">
        <w:rPr>
          <w:rFonts w:asciiTheme="majorBidi" w:hAnsiTheme="majorBidi" w:cstheme="majorBidi"/>
          <w:sz w:val="20"/>
        </w:rPr>
        <w:t>On notera que Champollion attribue « la confiance aveugle » avec laquelle les publications de Kircher ont d’abord été accueillies au fait que les études sur l’Égypte antique commençaient à peine et que « leurs fondements véritables », à savoir les monuments égyptiens, étaient fort rares</w:t>
      </w:r>
      <w:r w:rsidR="003C2906" w:rsidRPr="00276D34">
        <w:rPr>
          <w:rFonts w:asciiTheme="majorBidi" w:hAnsiTheme="majorBidi" w:cstheme="majorBidi"/>
          <w:sz w:val="20"/>
        </w:rPr>
        <w:t xml:space="preserve"> (</w:t>
      </w:r>
      <w:r w:rsidR="003C2906" w:rsidRPr="00276D34">
        <w:rPr>
          <w:rFonts w:asciiTheme="majorBidi" w:hAnsiTheme="majorBidi" w:cstheme="majorBidi"/>
          <w:i/>
          <w:iCs/>
          <w:sz w:val="20"/>
        </w:rPr>
        <w:t>Précis</w:t>
      </w:r>
      <w:r w:rsidR="003C2906" w:rsidRPr="00276D34">
        <w:rPr>
          <w:rFonts w:asciiTheme="majorBidi" w:hAnsiTheme="majorBidi" w:cstheme="majorBidi"/>
          <w:sz w:val="20"/>
        </w:rPr>
        <w:t>, p. 12)</w:t>
      </w:r>
      <w:r w:rsidR="008D7945" w:rsidRPr="00276D34">
        <w:rPr>
          <w:rFonts w:asciiTheme="majorBidi" w:hAnsiTheme="majorBidi" w:cstheme="majorBidi"/>
          <w:sz w:val="20"/>
        </w:rPr>
        <w:t>.</w:t>
      </w:r>
    </w:p>
  </w:footnote>
  <w:footnote w:id="10">
    <w:p w14:paraId="119F2925" w14:textId="32D949E3" w:rsidR="00A1714B" w:rsidRPr="00276D34" w:rsidRDefault="00A1714B" w:rsidP="004B0026">
      <w:pPr>
        <w:pStyle w:val="Notedebasdepage"/>
        <w:tabs>
          <w:tab w:val="clear" w:pos="709"/>
          <w:tab w:val="clear" w:pos="851"/>
          <w:tab w:val="left" w:pos="284"/>
        </w:tabs>
        <w:ind w:firstLine="0"/>
        <w:rPr>
          <w:sz w:val="20"/>
          <w:lang w:val="fr-BE"/>
        </w:rPr>
      </w:pPr>
      <w:r w:rsidRPr="00276D34">
        <w:rPr>
          <w:rStyle w:val="Appelnotedebasdep"/>
          <w:sz w:val="20"/>
        </w:rPr>
        <w:footnoteRef/>
      </w:r>
      <w:r w:rsidRPr="00276D34">
        <w:rPr>
          <w:sz w:val="20"/>
        </w:rPr>
        <w:tab/>
        <w:t xml:space="preserve">Pour la citation complète, </w:t>
      </w:r>
      <w:r w:rsidRPr="00276D34">
        <w:rPr>
          <w:rFonts w:eastAsia="Times New Roman"/>
          <w:bCs/>
          <w:sz w:val="20"/>
          <w:lang w:val="fr-BE"/>
        </w:rPr>
        <w:t xml:space="preserve">cf. </w:t>
      </w:r>
      <w:r w:rsidRPr="00276D34">
        <w:rPr>
          <w:rFonts w:eastAsia="Times New Roman"/>
          <w:bCs/>
          <w:i/>
          <w:iCs/>
          <w:sz w:val="20"/>
          <w:lang w:val="fr-BE"/>
        </w:rPr>
        <w:t>supra</w:t>
      </w:r>
      <w:r w:rsidRPr="00276D34">
        <w:rPr>
          <w:rFonts w:eastAsia="Times New Roman"/>
          <w:bCs/>
          <w:sz w:val="20"/>
          <w:lang w:val="fr-BE"/>
        </w:rPr>
        <w:t xml:space="preserve">, </w:t>
      </w:r>
      <w:r w:rsidRPr="00276D34">
        <w:rPr>
          <w:sz w:val="20"/>
          <w:highlight w:val="yellow"/>
        </w:rPr>
        <w:t>p.</w:t>
      </w:r>
      <w:r w:rsidR="003B704A" w:rsidRPr="00276D34">
        <w:rPr>
          <w:sz w:val="20"/>
          <w:highlight w:val="yellow"/>
        </w:rPr>
        <w:t> </w:t>
      </w:r>
      <w:r w:rsidRPr="00276D34">
        <w:rPr>
          <w:sz w:val="20"/>
          <w:highlight w:val="yellow"/>
        </w:rPr>
        <w:t>xxx. (intro du ch. 7)</w:t>
      </w:r>
      <w:r w:rsidRPr="00276D34">
        <w:rPr>
          <w:sz w:val="20"/>
        </w:rPr>
        <w:t>.</w:t>
      </w:r>
    </w:p>
  </w:footnote>
  <w:footnote w:id="11">
    <w:p w14:paraId="4FF08590" w14:textId="071CF6AC" w:rsidR="003E1096" w:rsidRPr="00276D34" w:rsidRDefault="003E1096" w:rsidP="003E1096">
      <w:pPr>
        <w:pStyle w:val="Notedebasdepage"/>
        <w:tabs>
          <w:tab w:val="clear" w:pos="709"/>
          <w:tab w:val="clear" w:pos="851"/>
          <w:tab w:val="left" w:pos="284"/>
        </w:tabs>
        <w:ind w:firstLine="0"/>
        <w:rPr>
          <w:sz w:val="20"/>
          <w:lang w:val="fr-BE"/>
        </w:rPr>
      </w:pPr>
      <w:r w:rsidRPr="00276D34">
        <w:rPr>
          <w:rStyle w:val="Appelnotedebasdep"/>
          <w:sz w:val="20"/>
        </w:rPr>
        <w:footnoteRef/>
      </w:r>
      <w:r w:rsidRPr="00276D34">
        <w:rPr>
          <w:sz w:val="20"/>
        </w:rPr>
        <w:tab/>
      </w:r>
      <w:r>
        <w:rPr>
          <w:sz w:val="20"/>
        </w:rPr>
        <w:t xml:space="preserve">Voir </w:t>
      </w:r>
      <w:proofErr w:type="spellStart"/>
      <w:r w:rsidR="00BF03C1" w:rsidRPr="00B66C4F">
        <w:rPr>
          <w:smallCaps/>
          <w:sz w:val="20"/>
          <w:lang w:val="fr-CH"/>
        </w:rPr>
        <w:t>Aufrère</w:t>
      </w:r>
      <w:proofErr w:type="spellEnd"/>
      <w:r w:rsidR="00BF03C1" w:rsidRPr="00B66C4F">
        <w:rPr>
          <w:sz w:val="20"/>
          <w:lang w:val="fr-CH"/>
        </w:rPr>
        <w:t xml:space="preserve"> Sydney H.</w:t>
      </w:r>
      <w:r w:rsidR="00BF03C1">
        <w:rPr>
          <w:sz w:val="20"/>
          <w:lang w:val="fr-CH"/>
        </w:rPr>
        <w:t>,</w:t>
      </w:r>
      <w:r w:rsidR="00BF03C1" w:rsidRPr="00B66C4F">
        <w:rPr>
          <w:sz w:val="20"/>
          <w:lang w:val="fr-CH"/>
        </w:rPr>
        <w:t xml:space="preserve"> </w:t>
      </w:r>
      <w:r w:rsidR="00BF03C1" w:rsidRPr="00B66C4F">
        <w:rPr>
          <w:i/>
          <w:iCs/>
          <w:sz w:val="20"/>
          <w:lang w:val="fr-CH"/>
        </w:rPr>
        <w:t xml:space="preserve">La momie et la tempête. Nicolas-Claude </w:t>
      </w:r>
      <w:proofErr w:type="spellStart"/>
      <w:r w:rsidR="00BF03C1" w:rsidRPr="00B66C4F">
        <w:rPr>
          <w:i/>
          <w:iCs/>
          <w:sz w:val="20"/>
          <w:lang w:val="fr-CH"/>
        </w:rPr>
        <w:t>Fabri</w:t>
      </w:r>
      <w:proofErr w:type="spellEnd"/>
      <w:r w:rsidR="00BF03C1" w:rsidRPr="00B66C4F">
        <w:rPr>
          <w:i/>
          <w:iCs/>
          <w:sz w:val="20"/>
          <w:lang w:val="fr-CH"/>
        </w:rPr>
        <w:t xml:space="preserve"> de Peiresc et la curiosité égyptienne en Provence au début du XVIIe siècle</w:t>
      </w:r>
      <w:r w:rsidR="00BF03C1" w:rsidRPr="00B66C4F">
        <w:rPr>
          <w:sz w:val="20"/>
          <w:lang w:val="fr-CH"/>
        </w:rPr>
        <w:t>, Avignon, Éditions A. Barthélemy</w:t>
      </w:r>
      <w:r w:rsidR="00BF03C1">
        <w:rPr>
          <w:sz w:val="20"/>
          <w:lang w:val="fr-CH"/>
        </w:rPr>
        <w:t xml:space="preserve">, </w:t>
      </w:r>
      <w:r w:rsidR="00217DE3">
        <w:rPr>
          <w:sz w:val="20"/>
        </w:rPr>
        <w:t>1990</w:t>
      </w:r>
      <w:r w:rsidRPr="00276D34">
        <w:rPr>
          <w:rFonts w:eastAsia="Times New Roman"/>
          <w:bCs/>
          <w:sz w:val="20"/>
          <w:lang w:val="fr-BE"/>
        </w:rPr>
        <w:t>.</w:t>
      </w:r>
    </w:p>
  </w:footnote>
  <w:footnote w:id="12">
    <w:p w14:paraId="34EC59A2" w14:textId="5CC27312" w:rsidR="00CC0A95" w:rsidRPr="00276D34" w:rsidRDefault="00CC0A95" w:rsidP="004B0026">
      <w:pPr>
        <w:pStyle w:val="Notedebasdepage"/>
        <w:tabs>
          <w:tab w:val="clear" w:pos="709"/>
          <w:tab w:val="clear" w:pos="851"/>
          <w:tab w:val="left" w:pos="284"/>
        </w:tabs>
        <w:ind w:firstLine="0"/>
        <w:rPr>
          <w:sz w:val="20"/>
          <w:lang w:val="fr-BE"/>
        </w:rPr>
      </w:pPr>
      <w:r w:rsidRPr="00276D34">
        <w:rPr>
          <w:rStyle w:val="Appelnotedebasdep"/>
          <w:sz w:val="20"/>
        </w:rPr>
        <w:footnoteRef/>
      </w:r>
      <w:r w:rsidRPr="00276D34">
        <w:rPr>
          <w:sz w:val="20"/>
        </w:rPr>
        <w:tab/>
        <w:t xml:space="preserve">Sur la naissance des études coptes, </w:t>
      </w:r>
      <w:r w:rsidRPr="00276D34">
        <w:rPr>
          <w:rFonts w:eastAsia="Times New Roman"/>
          <w:bCs/>
          <w:sz w:val="20"/>
          <w:lang w:val="fr-BE"/>
        </w:rPr>
        <w:t>cf.</w:t>
      </w:r>
      <w:r w:rsidR="00B807AD">
        <w:rPr>
          <w:rFonts w:eastAsia="Times New Roman"/>
          <w:bCs/>
          <w:sz w:val="20"/>
          <w:lang w:val="fr-BE"/>
        </w:rPr>
        <w:t> </w:t>
      </w:r>
      <w:r w:rsidRPr="00276D34">
        <w:rPr>
          <w:rFonts w:eastAsia="Times New Roman"/>
          <w:bCs/>
          <w:i/>
          <w:iCs/>
          <w:sz w:val="20"/>
          <w:lang w:val="fr-BE"/>
        </w:rPr>
        <w:t>supra</w:t>
      </w:r>
      <w:r w:rsidRPr="00276D34">
        <w:rPr>
          <w:rFonts w:eastAsia="Times New Roman"/>
          <w:bCs/>
          <w:sz w:val="20"/>
          <w:lang w:val="fr-BE"/>
        </w:rPr>
        <w:t>, 7.</w:t>
      </w:r>
    </w:p>
  </w:footnote>
  <w:footnote w:id="13">
    <w:p w14:paraId="1FC3F8E1" w14:textId="72E581BD" w:rsidR="00D61DAB" w:rsidRPr="00276D34" w:rsidRDefault="00D61DAB" w:rsidP="004B0026">
      <w:pPr>
        <w:pStyle w:val="Notedebasdepage"/>
        <w:tabs>
          <w:tab w:val="clear" w:pos="709"/>
          <w:tab w:val="clear" w:pos="851"/>
          <w:tab w:val="left" w:pos="284"/>
        </w:tabs>
        <w:ind w:firstLine="0"/>
        <w:rPr>
          <w:sz w:val="20"/>
          <w:lang w:val="fr-BE"/>
        </w:rPr>
      </w:pPr>
      <w:r w:rsidRPr="00276D34">
        <w:rPr>
          <w:rStyle w:val="Appelnotedebasdep"/>
          <w:sz w:val="20"/>
        </w:rPr>
        <w:footnoteRef/>
      </w:r>
      <w:r w:rsidRPr="00276D34">
        <w:rPr>
          <w:sz w:val="20"/>
        </w:rPr>
        <w:tab/>
        <w:t xml:space="preserve">Voir </w:t>
      </w:r>
      <w:proofErr w:type="spellStart"/>
      <w:r w:rsidR="00544913" w:rsidRPr="00B66C4F">
        <w:rPr>
          <w:smallCaps/>
          <w:sz w:val="20"/>
          <w:lang w:val="fr-CH"/>
        </w:rPr>
        <w:t>Winand</w:t>
      </w:r>
      <w:proofErr w:type="spellEnd"/>
      <w:r w:rsidR="00544913" w:rsidRPr="00B66C4F">
        <w:rPr>
          <w:sz w:val="20"/>
          <w:lang w:val="fr-CH"/>
        </w:rPr>
        <w:t xml:space="preserve"> Jean</w:t>
      </w:r>
      <w:r w:rsidR="00544913">
        <w:rPr>
          <w:sz w:val="20"/>
          <w:lang w:val="fr-CH"/>
        </w:rPr>
        <w:t>,</w:t>
      </w:r>
      <w:r w:rsidR="00544913" w:rsidRPr="00B66C4F">
        <w:rPr>
          <w:sz w:val="20"/>
          <w:lang w:val="fr-CH"/>
        </w:rPr>
        <w:t xml:space="preserve"> « Les hiéroglyphes égyptiens après Kircher : la naissance de la philologie orientale au </w:t>
      </w:r>
      <w:proofErr w:type="spellStart"/>
      <w:r w:rsidR="00544913" w:rsidRPr="00B66C4F">
        <w:rPr>
          <w:smallCaps/>
          <w:sz w:val="20"/>
          <w:lang w:val="fr-CH"/>
        </w:rPr>
        <w:t>xviii</w:t>
      </w:r>
      <w:r w:rsidR="00544913" w:rsidRPr="00B66C4F">
        <w:rPr>
          <w:sz w:val="20"/>
          <w:vertAlign w:val="superscript"/>
          <w:lang w:val="fr-CH"/>
        </w:rPr>
        <w:t>e</w:t>
      </w:r>
      <w:proofErr w:type="spellEnd"/>
      <w:r w:rsidR="00544913" w:rsidRPr="00B66C4F">
        <w:rPr>
          <w:sz w:val="20"/>
          <w:lang w:val="fr-CH"/>
        </w:rPr>
        <w:t xml:space="preserve"> siècle », </w:t>
      </w:r>
      <w:r w:rsidR="00544913" w:rsidRPr="00B66C4F">
        <w:rPr>
          <w:i/>
          <w:iCs/>
          <w:sz w:val="20"/>
          <w:lang w:val="fr-CH"/>
        </w:rPr>
        <w:t>in</w:t>
      </w:r>
      <w:r w:rsidR="00544913" w:rsidRPr="00B66C4F">
        <w:rPr>
          <w:sz w:val="20"/>
          <w:lang w:val="fr-CH"/>
        </w:rPr>
        <w:t xml:space="preserve"> </w:t>
      </w:r>
      <w:r w:rsidR="00544913" w:rsidRPr="00B66C4F">
        <w:rPr>
          <w:smallCaps/>
          <w:sz w:val="20"/>
          <w:lang w:val="fr-CH"/>
        </w:rPr>
        <w:t>Bonnet</w:t>
      </w:r>
      <w:r w:rsidR="00544913" w:rsidRPr="00B66C4F">
        <w:rPr>
          <w:sz w:val="20"/>
          <w:lang w:val="fr-CH"/>
        </w:rPr>
        <w:t xml:space="preserve"> Corinne, </w:t>
      </w:r>
      <w:proofErr w:type="spellStart"/>
      <w:r w:rsidR="00544913" w:rsidRPr="00B66C4F">
        <w:rPr>
          <w:smallCaps/>
          <w:sz w:val="20"/>
          <w:lang w:val="fr-CH"/>
        </w:rPr>
        <w:t>Courouau</w:t>
      </w:r>
      <w:proofErr w:type="spellEnd"/>
      <w:r w:rsidR="00544913" w:rsidRPr="00B66C4F">
        <w:rPr>
          <w:sz w:val="20"/>
          <w:lang w:val="fr-CH"/>
        </w:rPr>
        <w:t xml:space="preserve"> Jean-François, D</w:t>
      </w:r>
      <w:r w:rsidR="00544913" w:rsidRPr="00B66C4F">
        <w:rPr>
          <w:smallCaps/>
          <w:sz w:val="20"/>
          <w:lang w:val="fr-CH"/>
        </w:rPr>
        <w:t>ieu</w:t>
      </w:r>
      <w:r w:rsidR="00544913" w:rsidRPr="00B66C4F">
        <w:rPr>
          <w:sz w:val="20"/>
          <w:lang w:val="fr-CH"/>
        </w:rPr>
        <w:t xml:space="preserve"> </w:t>
      </w:r>
      <w:proofErr w:type="spellStart"/>
      <w:r w:rsidR="00544913" w:rsidRPr="00B66C4F">
        <w:rPr>
          <w:sz w:val="20"/>
          <w:lang w:val="fr-CH"/>
        </w:rPr>
        <w:t>Érice</w:t>
      </w:r>
      <w:proofErr w:type="spellEnd"/>
      <w:r w:rsidR="00544913" w:rsidRPr="00B66C4F">
        <w:rPr>
          <w:sz w:val="20"/>
          <w:lang w:val="fr-CH"/>
        </w:rPr>
        <w:t xml:space="preserve"> (</w:t>
      </w:r>
      <w:proofErr w:type="spellStart"/>
      <w:r w:rsidR="00544913" w:rsidRPr="00B66C4F">
        <w:rPr>
          <w:sz w:val="20"/>
          <w:lang w:val="fr-CH"/>
        </w:rPr>
        <w:t>dir</w:t>
      </w:r>
      <w:proofErr w:type="spellEnd"/>
      <w:r w:rsidR="00544913" w:rsidRPr="00B66C4F">
        <w:rPr>
          <w:sz w:val="20"/>
          <w:lang w:val="fr-CH"/>
        </w:rPr>
        <w:t xml:space="preserve">.), </w:t>
      </w:r>
      <w:r w:rsidR="00544913" w:rsidRPr="00B66C4F">
        <w:rPr>
          <w:i/>
          <w:iCs/>
          <w:sz w:val="20"/>
          <w:lang w:val="fr-CH"/>
        </w:rPr>
        <w:t xml:space="preserve">Lux </w:t>
      </w:r>
      <w:proofErr w:type="spellStart"/>
      <w:r w:rsidR="00544913" w:rsidRPr="00B66C4F">
        <w:rPr>
          <w:i/>
          <w:iCs/>
          <w:sz w:val="20"/>
          <w:lang w:val="fr-CH"/>
        </w:rPr>
        <w:t>Philologiae</w:t>
      </w:r>
      <w:proofErr w:type="spellEnd"/>
      <w:r w:rsidR="00544913" w:rsidRPr="00B66C4F">
        <w:rPr>
          <w:i/>
          <w:iCs/>
          <w:sz w:val="20"/>
          <w:lang w:val="fr-CH"/>
        </w:rPr>
        <w:t>, l’essor de la philologie orientale au XVIIIe siècle</w:t>
      </w:r>
      <w:r w:rsidR="00544913" w:rsidRPr="00B66C4F">
        <w:rPr>
          <w:sz w:val="20"/>
          <w:lang w:val="fr-CH"/>
        </w:rPr>
        <w:t xml:space="preserve">, Genève, Droz, </w:t>
      </w:r>
      <w:r w:rsidR="00544913">
        <w:rPr>
          <w:sz w:val="20"/>
          <w:lang w:val="fr-CH"/>
        </w:rPr>
        <w:t xml:space="preserve">2021, </w:t>
      </w:r>
      <w:r w:rsidR="00544913" w:rsidRPr="00B66C4F">
        <w:rPr>
          <w:sz w:val="20"/>
          <w:lang w:val="fr-CH"/>
        </w:rPr>
        <w:t>pp. </w:t>
      </w:r>
      <w:r w:rsidR="00544913">
        <w:rPr>
          <w:sz w:val="20"/>
          <w:lang w:val="fr-CH"/>
        </w:rPr>
        <w:t>313–</w:t>
      </w:r>
      <w:r w:rsidR="00544913" w:rsidRPr="00B66C4F">
        <w:rPr>
          <w:sz w:val="20"/>
          <w:lang w:val="fr-CH"/>
        </w:rPr>
        <w:t>3</w:t>
      </w:r>
      <w:r w:rsidR="00544913">
        <w:rPr>
          <w:sz w:val="20"/>
          <w:lang w:val="fr-CH"/>
        </w:rPr>
        <w:t>14</w:t>
      </w:r>
      <w:r w:rsidRPr="00276D34">
        <w:rPr>
          <w:sz w:val="20"/>
        </w:rPr>
        <w:t xml:space="preserve"> et </w:t>
      </w:r>
      <w:r w:rsidRPr="00276D34">
        <w:rPr>
          <w:i/>
          <w:iCs/>
          <w:sz w:val="20"/>
        </w:rPr>
        <w:t>supra</w:t>
      </w:r>
      <w:r w:rsidRPr="00276D34">
        <w:rPr>
          <w:sz w:val="20"/>
        </w:rPr>
        <w:t>, 7.6.2.</w:t>
      </w:r>
    </w:p>
  </w:footnote>
  <w:footnote w:id="14">
    <w:p w14:paraId="78C76C6B" w14:textId="7AD50928" w:rsidR="00A90938" w:rsidRPr="00A90938" w:rsidRDefault="00A90938" w:rsidP="00A90938">
      <w:pPr>
        <w:pStyle w:val="Notedebasdepage"/>
        <w:tabs>
          <w:tab w:val="clear" w:pos="709"/>
          <w:tab w:val="clear" w:pos="851"/>
          <w:tab w:val="left" w:pos="284"/>
        </w:tabs>
        <w:ind w:firstLine="0"/>
        <w:rPr>
          <w:sz w:val="20"/>
          <w:lang w:val="fr-BE"/>
        </w:rPr>
      </w:pPr>
      <w:r w:rsidRPr="00A90938">
        <w:rPr>
          <w:rStyle w:val="Appelnotedebasdep"/>
          <w:sz w:val="20"/>
        </w:rPr>
        <w:footnoteRef/>
      </w:r>
      <w:r w:rsidRPr="00A90938">
        <w:rPr>
          <w:sz w:val="20"/>
        </w:rPr>
        <w:tab/>
        <w:t xml:space="preserve">Champollion est d’ailleurs ouvertement mécontent d’apprendre que </w:t>
      </w:r>
      <w:r w:rsidRPr="00A90938">
        <w:rPr>
          <w:w w:val="103"/>
          <w:sz w:val="20"/>
          <w:lang w:val="fr-CH"/>
        </w:rPr>
        <w:t>Joseph Fourier</w:t>
      </w:r>
      <w:r>
        <w:rPr>
          <w:w w:val="103"/>
          <w:sz w:val="20"/>
          <w:lang w:val="fr-CH"/>
        </w:rPr>
        <w:t xml:space="preserve"> </w:t>
      </w:r>
      <w:r w:rsidR="00321FF7">
        <w:rPr>
          <w:w w:val="103"/>
          <w:sz w:val="20"/>
          <w:lang w:val="fr-CH"/>
        </w:rPr>
        <w:t xml:space="preserve">(voir </w:t>
      </w:r>
      <w:r w:rsidR="00321FF7">
        <w:rPr>
          <w:i/>
          <w:iCs/>
          <w:w w:val="103"/>
          <w:sz w:val="20"/>
          <w:lang w:val="fr-CH"/>
        </w:rPr>
        <w:t>infra</w:t>
      </w:r>
      <w:r w:rsidR="00321FF7">
        <w:rPr>
          <w:w w:val="103"/>
          <w:sz w:val="20"/>
          <w:lang w:val="fr-CH"/>
        </w:rPr>
        <w:t>, 9.3)</w:t>
      </w:r>
      <w:r w:rsidR="00321FF7">
        <w:rPr>
          <w:i/>
          <w:iCs/>
          <w:w w:val="103"/>
          <w:sz w:val="20"/>
          <w:lang w:val="fr-CH"/>
        </w:rPr>
        <w:t xml:space="preserve"> </w:t>
      </w:r>
      <w:r>
        <w:rPr>
          <w:w w:val="103"/>
          <w:sz w:val="20"/>
          <w:lang w:val="fr-CH"/>
        </w:rPr>
        <w:t>était occupé à lire cet ouvrage dans une lettre à son frère du 13 juin 1809 : « Si M. Fourier est dans le Jablonski j’en suis fâché, car mon livre [</w:t>
      </w:r>
      <w:r w:rsidR="00674F63" w:rsidRPr="00674F63">
        <w:rPr>
          <w:w w:val="103"/>
          <w:sz w:val="20"/>
          <w:lang w:val="fr-CH"/>
        </w:rPr>
        <w:t>c’est-à-dire</w:t>
      </w:r>
      <w:r w:rsidR="00674F63">
        <w:rPr>
          <w:i/>
          <w:iCs/>
          <w:w w:val="103"/>
          <w:sz w:val="20"/>
          <w:lang w:val="fr-CH"/>
        </w:rPr>
        <w:t xml:space="preserve"> </w:t>
      </w:r>
      <w:r w:rsidR="00CF7F49">
        <w:rPr>
          <w:w w:val="103"/>
          <w:sz w:val="20"/>
          <w:lang w:val="fr-CH"/>
        </w:rPr>
        <w:t xml:space="preserve">son </w:t>
      </w:r>
      <w:r w:rsidR="00CF7F49">
        <w:rPr>
          <w:i/>
          <w:iCs/>
          <w:w w:val="103"/>
          <w:sz w:val="20"/>
          <w:lang w:val="fr-CH"/>
        </w:rPr>
        <w:t xml:space="preserve">Égypte sous les Pharaons </w:t>
      </w:r>
      <w:r w:rsidR="00CF7F49">
        <w:rPr>
          <w:w w:val="103"/>
          <w:sz w:val="20"/>
          <w:lang w:val="fr-CH"/>
        </w:rPr>
        <w:t>qu’il était occupé à rédiger</w:t>
      </w:r>
      <w:r>
        <w:rPr>
          <w:w w:val="103"/>
          <w:sz w:val="20"/>
          <w:lang w:val="fr-CH"/>
        </w:rPr>
        <w:t xml:space="preserve">] est une diatribe complète contre l’ouvrage de ce cher disciple de </w:t>
      </w:r>
      <w:proofErr w:type="spellStart"/>
      <w:r>
        <w:rPr>
          <w:w w:val="103"/>
          <w:sz w:val="20"/>
          <w:lang w:val="fr-CH"/>
        </w:rPr>
        <w:t>Lacroze</w:t>
      </w:r>
      <w:proofErr w:type="spellEnd"/>
      <w:r>
        <w:rPr>
          <w:w w:val="103"/>
          <w:sz w:val="20"/>
          <w:lang w:val="fr-CH"/>
        </w:rPr>
        <w:t xml:space="preserve">. Je crois devoir dire que je puis mieux juger de l’ouvrage de ce polonais que M. Fourier parce que les opinions, disons plus le système de </w:t>
      </w:r>
      <w:proofErr w:type="spellStart"/>
      <w:r>
        <w:rPr>
          <w:w w:val="103"/>
          <w:sz w:val="20"/>
          <w:lang w:val="fr-CH"/>
        </w:rPr>
        <w:t>Jablonsky</w:t>
      </w:r>
      <w:proofErr w:type="spellEnd"/>
      <w:r>
        <w:rPr>
          <w:w w:val="103"/>
          <w:sz w:val="20"/>
          <w:lang w:val="fr-CH"/>
        </w:rPr>
        <w:t xml:space="preserve"> est basé sur le copte et que M. Fourier ne sait point le copte et que je le sais passablement. » (Archives de l’Isère, 185 J 10, pièce 55, folios 97 et 98 = </w:t>
      </w:r>
      <w:r w:rsidR="00286A1E" w:rsidRPr="00B66C4F">
        <w:rPr>
          <w:smallCaps/>
          <w:sz w:val="20"/>
          <w:lang w:val="fr-CH"/>
        </w:rPr>
        <w:t>Madrigal</w:t>
      </w:r>
      <w:r w:rsidR="00286A1E" w:rsidRPr="00B66C4F">
        <w:rPr>
          <w:sz w:val="20"/>
          <w:lang w:val="fr-CH"/>
        </w:rPr>
        <w:t xml:space="preserve"> Karine</w:t>
      </w:r>
      <w:r w:rsidR="00286A1E">
        <w:rPr>
          <w:sz w:val="20"/>
          <w:lang w:val="fr-CH"/>
        </w:rPr>
        <w:t xml:space="preserve">, </w:t>
      </w:r>
      <w:r w:rsidR="00286A1E" w:rsidRPr="00B66C4F">
        <w:rPr>
          <w:i/>
          <w:iCs/>
          <w:sz w:val="20"/>
          <w:lang w:val="fr-CH"/>
        </w:rPr>
        <w:t>Jean-François et Jacques-Joseph Champollion</w:t>
      </w:r>
      <w:r w:rsidR="00286A1E">
        <w:rPr>
          <w:w w:val="103"/>
          <w:sz w:val="20"/>
          <w:lang w:val="fr-CH"/>
        </w:rPr>
        <w:t xml:space="preserve">, </w:t>
      </w:r>
      <w:r w:rsidR="00286A1E">
        <w:rPr>
          <w:i/>
          <w:iCs/>
          <w:w w:val="103"/>
          <w:sz w:val="20"/>
          <w:lang w:val="fr-CH"/>
        </w:rPr>
        <w:t xml:space="preserve">op. </w:t>
      </w:r>
      <w:proofErr w:type="spellStart"/>
      <w:r w:rsidR="00286A1E">
        <w:rPr>
          <w:i/>
          <w:iCs/>
          <w:w w:val="103"/>
          <w:sz w:val="20"/>
          <w:lang w:val="fr-CH"/>
        </w:rPr>
        <w:t>cit</w:t>
      </w:r>
      <w:proofErr w:type="spellEnd"/>
      <w:r w:rsidR="00286A1E">
        <w:rPr>
          <w:i/>
          <w:iCs/>
          <w:w w:val="103"/>
          <w:sz w:val="20"/>
          <w:lang w:val="fr-CH"/>
        </w:rPr>
        <w:t>.</w:t>
      </w:r>
      <w:r w:rsidR="00286A1E">
        <w:rPr>
          <w:w w:val="103"/>
          <w:sz w:val="20"/>
          <w:lang w:val="fr-CH"/>
        </w:rPr>
        <w:t>, p. </w:t>
      </w:r>
      <w:r>
        <w:rPr>
          <w:w w:val="103"/>
          <w:sz w:val="20"/>
          <w:lang w:val="fr-CH"/>
        </w:rPr>
        <w:t>89.</w:t>
      </w:r>
    </w:p>
  </w:footnote>
  <w:footnote w:id="15">
    <w:p w14:paraId="7F325EED" w14:textId="08F16E6A" w:rsidR="00DE59A4" w:rsidRPr="00276D34" w:rsidRDefault="00DE59A4" w:rsidP="004B0026">
      <w:pPr>
        <w:pStyle w:val="Notedebasdepage"/>
        <w:tabs>
          <w:tab w:val="clear" w:pos="709"/>
          <w:tab w:val="clear" w:pos="851"/>
          <w:tab w:val="left" w:pos="284"/>
        </w:tabs>
        <w:ind w:firstLine="0"/>
        <w:rPr>
          <w:sz w:val="20"/>
          <w:lang w:val="fr-BE"/>
        </w:rPr>
      </w:pPr>
      <w:r w:rsidRPr="00276D34">
        <w:rPr>
          <w:rStyle w:val="Appelnotedebasdep"/>
          <w:sz w:val="20"/>
        </w:rPr>
        <w:footnoteRef/>
      </w:r>
      <w:r w:rsidRPr="00276D34">
        <w:rPr>
          <w:sz w:val="20"/>
        </w:rPr>
        <w:tab/>
        <w:t>Cf.</w:t>
      </w:r>
      <w:r w:rsidR="003A0CE2">
        <w:rPr>
          <w:sz w:val="20"/>
        </w:rPr>
        <w:t> </w:t>
      </w:r>
      <w:proofErr w:type="spellStart"/>
      <w:r w:rsidR="009C6E98" w:rsidRPr="00B66C4F">
        <w:rPr>
          <w:smallCaps/>
          <w:sz w:val="20"/>
          <w:lang w:val="fr-CH"/>
        </w:rPr>
        <w:t>Farout</w:t>
      </w:r>
      <w:proofErr w:type="spellEnd"/>
      <w:r w:rsidR="009C6E98" w:rsidRPr="00B66C4F">
        <w:rPr>
          <w:sz w:val="20"/>
          <w:lang w:val="fr-CH"/>
        </w:rPr>
        <w:t xml:space="preserve"> Dominique</w:t>
      </w:r>
      <w:r w:rsidR="003B44D7">
        <w:rPr>
          <w:sz w:val="20"/>
          <w:lang w:val="fr-CH"/>
        </w:rPr>
        <w:t>,</w:t>
      </w:r>
      <w:r w:rsidR="009C6E98" w:rsidRPr="00B66C4F">
        <w:rPr>
          <w:sz w:val="20"/>
          <w:lang w:val="fr-CH"/>
        </w:rPr>
        <w:t xml:space="preserve"> « Le premier déchiffreur : l’abbé Barthélemy (1716-1795) », </w:t>
      </w:r>
      <w:r w:rsidR="009C6E98" w:rsidRPr="00B66C4F">
        <w:rPr>
          <w:i/>
          <w:iCs/>
          <w:sz w:val="20"/>
          <w:lang w:val="fr-CH"/>
        </w:rPr>
        <w:t>Égypte, Afrique et Orient</w:t>
      </w:r>
      <w:r w:rsidR="003B44D7">
        <w:rPr>
          <w:sz w:val="20"/>
          <w:lang w:val="fr-CH"/>
        </w:rPr>
        <w:t xml:space="preserve">, </w:t>
      </w:r>
      <w:r w:rsidR="003B44D7" w:rsidRPr="00B66C4F">
        <w:rPr>
          <w:sz w:val="20"/>
          <w:lang w:val="fr-CH"/>
        </w:rPr>
        <w:t>2007</w:t>
      </w:r>
      <w:r w:rsidR="003B44D7">
        <w:rPr>
          <w:sz w:val="20"/>
          <w:lang w:val="fr-CH"/>
        </w:rPr>
        <w:t>,</w:t>
      </w:r>
      <w:r w:rsidR="009C6E98" w:rsidRPr="00B66C4F">
        <w:rPr>
          <w:sz w:val="20"/>
          <w:lang w:val="fr-CH"/>
        </w:rPr>
        <w:t xml:space="preserve"> </w:t>
      </w:r>
      <w:r w:rsidR="00C83F42">
        <w:rPr>
          <w:sz w:val="20"/>
          <w:lang w:val="fr-CH"/>
        </w:rPr>
        <w:t>vol. </w:t>
      </w:r>
      <w:r w:rsidR="009C6E98" w:rsidRPr="00B66C4F">
        <w:rPr>
          <w:sz w:val="20"/>
          <w:lang w:val="fr-CH"/>
        </w:rPr>
        <w:t xml:space="preserve">47, </w:t>
      </w:r>
      <w:r w:rsidR="003A0CE2">
        <w:rPr>
          <w:sz w:val="20"/>
        </w:rPr>
        <w:t>p. </w:t>
      </w:r>
      <w:r w:rsidRPr="00276D34">
        <w:rPr>
          <w:sz w:val="20"/>
        </w:rPr>
        <w:t>11</w:t>
      </w:r>
      <w:r w:rsidR="00970952">
        <w:rPr>
          <w:sz w:val="20"/>
        </w:rPr>
        <w:t>.</w:t>
      </w:r>
    </w:p>
  </w:footnote>
  <w:footnote w:id="16">
    <w:p w14:paraId="703F32C9" w14:textId="543780E1" w:rsidR="0050171E" w:rsidRPr="00474756" w:rsidRDefault="0050171E" w:rsidP="004B0026">
      <w:pPr>
        <w:pStyle w:val="Notedebasdepage"/>
        <w:tabs>
          <w:tab w:val="clear" w:pos="709"/>
          <w:tab w:val="clear" w:pos="851"/>
          <w:tab w:val="left" w:pos="284"/>
        </w:tabs>
        <w:ind w:firstLine="0"/>
        <w:rPr>
          <w:sz w:val="20"/>
          <w:lang w:val="fr-CH"/>
        </w:rPr>
      </w:pPr>
      <w:r w:rsidRPr="00276D34">
        <w:rPr>
          <w:rStyle w:val="Appelnotedebasdep"/>
          <w:sz w:val="20"/>
        </w:rPr>
        <w:footnoteRef/>
      </w:r>
      <w:r w:rsidRPr="00276D34">
        <w:rPr>
          <w:sz w:val="20"/>
        </w:rPr>
        <w:tab/>
      </w:r>
      <w:r w:rsidR="002440BA" w:rsidRPr="00276D34">
        <w:rPr>
          <w:sz w:val="20"/>
        </w:rPr>
        <w:t xml:space="preserve">Voir </w:t>
      </w:r>
      <w:r w:rsidR="00474756" w:rsidRPr="00B66C4F">
        <w:rPr>
          <w:smallCaps/>
          <w:sz w:val="20"/>
          <w:lang w:val="fr-CH"/>
        </w:rPr>
        <w:t>Bret</w:t>
      </w:r>
      <w:r w:rsidR="00474756" w:rsidRPr="00B66C4F">
        <w:rPr>
          <w:sz w:val="20"/>
          <w:lang w:val="fr-CH"/>
        </w:rPr>
        <w:t xml:space="preserve"> Patrice</w:t>
      </w:r>
      <w:r w:rsidR="00474756">
        <w:rPr>
          <w:sz w:val="20"/>
          <w:lang w:val="fr-CH"/>
        </w:rPr>
        <w:t>,</w:t>
      </w:r>
      <w:r w:rsidR="00474756" w:rsidRPr="00B66C4F">
        <w:rPr>
          <w:sz w:val="20"/>
          <w:lang w:val="fr-CH"/>
        </w:rPr>
        <w:t xml:space="preserve"> </w:t>
      </w:r>
      <w:r w:rsidR="00474756" w:rsidRPr="00B66C4F">
        <w:rPr>
          <w:i/>
          <w:iCs/>
          <w:sz w:val="20"/>
          <w:lang w:val="fr-CH"/>
        </w:rPr>
        <w:t>L’expédition d’Égypte, une entreprise des Lumières (1798-1801), actes du colloque de Paris (8-10 juin 1998) publiés par l’Académie des sciences</w:t>
      </w:r>
      <w:r w:rsidR="00474756" w:rsidRPr="00B66C4F">
        <w:rPr>
          <w:sz w:val="20"/>
          <w:lang w:val="fr-CH"/>
        </w:rPr>
        <w:t>, Paris, Technique et Documentation</w:t>
      </w:r>
      <w:r w:rsidR="00474756">
        <w:rPr>
          <w:sz w:val="20"/>
          <w:lang w:val="fr-CH"/>
        </w:rPr>
        <w:t xml:space="preserve">, </w:t>
      </w:r>
      <w:r w:rsidRPr="00276D34">
        <w:rPr>
          <w:spacing w:val="4"/>
          <w:w w:val="103"/>
          <w:sz w:val="20"/>
        </w:rPr>
        <w:t>1999.</w:t>
      </w:r>
    </w:p>
  </w:footnote>
  <w:footnote w:id="17">
    <w:p w14:paraId="6FB499AF" w14:textId="132242DF" w:rsidR="00C647F5" w:rsidRPr="00276D34" w:rsidRDefault="00C647F5" w:rsidP="004B0026">
      <w:pPr>
        <w:pStyle w:val="Notedebasdepage"/>
        <w:tabs>
          <w:tab w:val="clear" w:pos="709"/>
          <w:tab w:val="clear" w:pos="851"/>
          <w:tab w:val="left" w:pos="284"/>
        </w:tabs>
        <w:ind w:firstLine="0"/>
        <w:rPr>
          <w:sz w:val="20"/>
          <w:lang w:val="fr-BE"/>
        </w:rPr>
      </w:pPr>
      <w:r w:rsidRPr="00276D34">
        <w:rPr>
          <w:rStyle w:val="Appelnotedebasdep"/>
          <w:sz w:val="20"/>
        </w:rPr>
        <w:footnoteRef/>
      </w:r>
      <w:r w:rsidRPr="00276D34">
        <w:rPr>
          <w:sz w:val="20"/>
        </w:rPr>
        <w:tab/>
        <w:t>Sur l’intuition de l’abbé Barthélemy qui avait suggéré que les cartouches devaient contenir des noms propres (</w:t>
      </w:r>
      <w:r w:rsidRPr="00276D34">
        <w:rPr>
          <w:rFonts w:eastAsia="Times New Roman"/>
          <w:bCs/>
          <w:sz w:val="20"/>
          <w:lang w:val="fr-BE"/>
        </w:rPr>
        <w:t>cf.</w:t>
      </w:r>
      <w:r w:rsidR="00F71794" w:rsidRPr="00276D34">
        <w:rPr>
          <w:rFonts w:eastAsia="Times New Roman"/>
          <w:bCs/>
          <w:sz w:val="20"/>
          <w:lang w:val="fr-BE"/>
        </w:rPr>
        <w:t> </w:t>
      </w:r>
      <w:r w:rsidRPr="00276D34">
        <w:rPr>
          <w:rFonts w:eastAsia="Times New Roman"/>
          <w:bCs/>
          <w:i/>
          <w:iCs/>
          <w:sz w:val="20"/>
          <w:lang w:val="fr-BE"/>
        </w:rPr>
        <w:t>supra</w:t>
      </w:r>
      <w:r w:rsidRPr="00276D34">
        <w:rPr>
          <w:rFonts w:eastAsia="Times New Roman"/>
          <w:bCs/>
          <w:sz w:val="20"/>
          <w:lang w:val="fr-BE"/>
        </w:rPr>
        <w:t xml:space="preserve">, </w:t>
      </w:r>
      <w:r w:rsidRPr="00276D34">
        <w:rPr>
          <w:sz w:val="20"/>
        </w:rPr>
        <w:t>9.2).</w:t>
      </w:r>
    </w:p>
  </w:footnote>
  <w:footnote w:id="18">
    <w:p w14:paraId="5B9273FC" w14:textId="26BBE78A" w:rsidR="00756DDE" w:rsidRPr="00276D34" w:rsidRDefault="00756DDE"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t xml:space="preserve">Voir </w:t>
      </w:r>
      <w:proofErr w:type="spellStart"/>
      <w:r w:rsidR="002F48BC" w:rsidRPr="00B66C4F">
        <w:rPr>
          <w:smallCaps/>
          <w:sz w:val="20"/>
          <w:lang w:val="fr-CH"/>
        </w:rPr>
        <w:t>Leclant</w:t>
      </w:r>
      <w:proofErr w:type="spellEnd"/>
      <w:r w:rsidR="002F48BC" w:rsidRPr="00B66C4F">
        <w:rPr>
          <w:sz w:val="20"/>
          <w:lang w:val="fr-CH"/>
        </w:rPr>
        <w:t xml:space="preserve"> Jean. 1972. « Champollion, la pierre de Rosette et le déchiffrement des hiéroglyphes », </w:t>
      </w:r>
      <w:r w:rsidR="002F48BC" w:rsidRPr="00B66C4F">
        <w:rPr>
          <w:i/>
          <w:iCs/>
          <w:sz w:val="20"/>
          <w:lang w:val="fr-CH"/>
        </w:rPr>
        <w:t>Comptes rendus des séances de l’Académie des Inscriptions &amp; Belles-Lettres</w:t>
      </w:r>
      <w:r w:rsidR="002F48BC">
        <w:rPr>
          <w:sz w:val="20"/>
          <w:lang w:val="fr-CH"/>
        </w:rPr>
        <w:t>, 1972,</w:t>
      </w:r>
      <w:r w:rsidR="002F48BC" w:rsidRPr="00B66C4F">
        <w:rPr>
          <w:sz w:val="20"/>
          <w:lang w:val="fr-CH"/>
        </w:rPr>
        <w:t xml:space="preserve"> </w:t>
      </w:r>
      <w:r w:rsidR="006027A0">
        <w:rPr>
          <w:sz w:val="20"/>
          <w:lang w:val="fr-CH"/>
        </w:rPr>
        <w:t>vol. </w:t>
      </w:r>
      <w:r w:rsidR="002F48BC" w:rsidRPr="00B66C4F">
        <w:rPr>
          <w:sz w:val="20"/>
          <w:lang w:val="fr-CH"/>
        </w:rPr>
        <w:t>116</w:t>
      </w:r>
      <w:r w:rsidR="002F48BC">
        <w:rPr>
          <w:sz w:val="20"/>
          <w:lang w:val="fr-CH"/>
        </w:rPr>
        <w:t xml:space="preserve">, </w:t>
      </w:r>
      <w:r w:rsidR="006027A0">
        <w:rPr>
          <w:sz w:val="20"/>
          <w:lang w:val="fr-CH"/>
        </w:rPr>
        <w:t>n° </w:t>
      </w:r>
      <w:r w:rsidR="002F48BC" w:rsidRPr="00B66C4F">
        <w:rPr>
          <w:sz w:val="20"/>
          <w:lang w:val="fr-CH"/>
        </w:rPr>
        <w:t>3, pp. 557–565</w:t>
      </w:r>
      <w:r w:rsidRPr="00276D34">
        <w:rPr>
          <w:sz w:val="20"/>
        </w:rPr>
        <w:t xml:space="preserve"> ; </w:t>
      </w:r>
      <w:r w:rsidR="00CC7771" w:rsidRPr="00B66C4F">
        <w:rPr>
          <w:smallCaps/>
          <w:sz w:val="20"/>
          <w:lang w:val="en-US"/>
        </w:rPr>
        <w:t>Parkinson</w:t>
      </w:r>
      <w:r w:rsidR="00CC7771" w:rsidRPr="00B66C4F">
        <w:rPr>
          <w:sz w:val="20"/>
          <w:lang w:val="en-US"/>
        </w:rPr>
        <w:t xml:space="preserve"> Richard</w:t>
      </w:r>
      <w:r w:rsidR="00CC7771">
        <w:rPr>
          <w:sz w:val="20"/>
          <w:lang w:val="en-US"/>
        </w:rPr>
        <w:t xml:space="preserve">, </w:t>
      </w:r>
      <w:r w:rsidR="00CC7771" w:rsidRPr="00B66C4F">
        <w:rPr>
          <w:i/>
          <w:iCs/>
          <w:sz w:val="20"/>
          <w:lang w:val="en-US"/>
        </w:rPr>
        <w:t>Cracking codes: the Rosetta Stone and decipherment</w:t>
      </w:r>
      <w:r w:rsidR="00CC7771" w:rsidRPr="00B66C4F">
        <w:rPr>
          <w:sz w:val="20"/>
          <w:lang w:val="en-US"/>
        </w:rPr>
        <w:t xml:space="preserve">, </w:t>
      </w:r>
      <w:proofErr w:type="spellStart"/>
      <w:r w:rsidR="00CC7771" w:rsidRPr="00B66C4F">
        <w:rPr>
          <w:sz w:val="20"/>
          <w:lang w:val="en-US"/>
        </w:rPr>
        <w:t>Londres</w:t>
      </w:r>
      <w:proofErr w:type="spellEnd"/>
      <w:r w:rsidR="00CC7771" w:rsidRPr="00B66C4F">
        <w:rPr>
          <w:sz w:val="20"/>
          <w:lang w:val="en-US"/>
        </w:rPr>
        <w:t>, British Museum Press</w:t>
      </w:r>
      <w:r w:rsidR="00CC7771">
        <w:rPr>
          <w:sz w:val="20"/>
          <w:lang w:val="en-US"/>
        </w:rPr>
        <w:t xml:space="preserve">, 1999 ; </w:t>
      </w:r>
      <w:proofErr w:type="spellStart"/>
      <w:r w:rsidR="00CC7771" w:rsidRPr="00B66C4F">
        <w:rPr>
          <w:smallCaps/>
          <w:sz w:val="20"/>
          <w:lang w:val="fr-CH"/>
        </w:rPr>
        <w:t>Solé</w:t>
      </w:r>
      <w:proofErr w:type="spellEnd"/>
      <w:r w:rsidR="00CC7771" w:rsidRPr="00B66C4F">
        <w:rPr>
          <w:sz w:val="20"/>
          <w:lang w:val="fr-CH"/>
        </w:rPr>
        <w:t xml:space="preserve"> Robert et </w:t>
      </w:r>
      <w:proofErr w:type="spellStart"/>
      <w:r w:rsidR="00CC7771" w:rsidRPr="00B66C4F">
        <w:rPr>
          <w:smallCaps/>
          <w:sz w:val="20"/>
          <w:lang w:val="fr-CH"/>
        </w:rPr>
        <w:t>Valbelle</w:t>
      </w:r>
      <w:proofErr w:type="spellEnd"/>
      <w:r w:rsidR="00CC7771" w:rsidRPr="00B66C4F">
        <w:rPr>
          <w:sz w:val="20"/>
          <w:lang w:val="fr-CH"/>
        </w:rPr>
        <w:t xml:space="preserve"> Dominique</w:t>
      </w:r>
      <w:r w:rsidR="00CC7771">
        <w:rPr>
          <w:sz w:val="20"/>
          <w:lang w:val="fr-CH"/>
        </w:rPr>
        <w:t xml:space="preserve">, </w:t>
      </w:r>
      <w:r w:rsidR="00CC7771" w:rsidRPr="00B66C4F">
        <w:rPr>
          <w:i/>
          <w:iCs/>
          <w:sz w:val="20"/>
          <w:lang w:val="fr-CH"/>
        </w:rPr>
        <w:t>La pierre de Rosette</w:t>
      </w:r>
      <w:r w:rsidR="00CC7771" w:rsidRPr="00B66C4F">
        <w:rPr>
          <w:sz w:val="20"/>
          <w:lang w:val="fr-CH"/>
        </w:rPr>
        <w:t>, Paris, Éditions du Seuil</w:t>
      </w:r>
      <w:r w:rsidR="00CC7771">
        <w:rPr>
          <w:sz w:val="20"/>
          <w:lang w:val="fr-CH"/>
        </w:rPr>
        <w:t xml:space="preserve">, 1999 ; </w:t>
      </w:r>
      <w:proofErr w:type="spellStart"/>
      <w:r w:rsidR="00CC7771" w:rsidRPr="00B66C4F">
        <w:rPr>
          <w:smallCaps/>
          <w:sz w:val="20"/>
          <w:lang w:val="fr-CH"/>
        </w:rPr>
        <w:t>Valbelle</w:t>
      </w:r>
      <w:proofErr w:type="spellEnd"/>
      <w:r w:rsidR="00CC7771" w:rsidRPr="00B66C4F">
        <w:rPr>
          <w:sz w:val="20"/>
          <w:lang w:val="fr-CH"/>
        </w:rPr>
        <w:t xml:space="preserve"> Dominique et </w:t>
      </w:r>
      <w:proofErr w:type="spellStart"/>
      <w:r w:rsidR="00CC7771" w:rsidRPr="00B66C4F">
        <w:rPr>
          <w:smallCaps/>
          <w:sz w:val="20"/>
          <w:lang w:val="fr-CH"/>
        </w:rPr>
        <w:t>Leclant</w:t>
      </w:r>
      <w:proofErr w:type="spellEnd"/>
      <w:r w:rsidR="00CC7771" w:rsidRPr="00B66C4F">
        <w:rPr>
          <w:sz w:val="20"/>
          <w:lang w:val="fr-CH"/>
        </w:rPr>
        <w:t xml:space="preserve"> Jean (</w:t>
      </w:r>
      <w:proofErr w:type="spellStart"/>
      <w:r w:rsidR="00CC7771" w:rsidRPr="00B66C4F">
        <w:rPr>
          <w:sz w:val="20"/>
          <w:lang w:val="fr-CH"/>
        </w:rPr>
        <w:t>dir</w:t>
      </w:r>
      <w:proofErr w:type="spellEnd"/>
      <w:r w:rsidR="00CC7771" w:rsidRPr="00B66C4F">
        <w:rPr>
          <w:sz w:val="20"/>
          <w:lang w:val="fr-CH"/>
        </w:rPr>
        <w:t>.)</w:t>
      </w:r>
      <w:r w:rsidR="00CC7771">
        <w:rPr>
          <w:sz w:val="20"/>
          <w:lang w:val="fr-CH"/>
        </w:rPr>
        <w:t xml:space="preserve">, </w:t>
      </w:r>
      <w:r w:rsidR="00CC7771" w:rsidRPr="00B66C4F">
        <w:rPr>
          <w:i/>
          <w:iCs/>
          <w:sz w:val="20"/>
          <w:lang w:val="fr-CH"/>
        </w:rPr>
        <w:t>Le Décret de Memphis : colloque de la Fondation Singer-Polignac à l'occasion de la célébration du bicentenaire de la découverte de la Pierre de Rosette : Paris, 1er juin 1999</w:t>
      </w:r>
      <w:r w:rsidR="00CC7771" w:rsidRPr="00B66C4F">
        <w:rPr>
          <w:sz w:val="20"/>
          <w:lang w:val="fr-CH"/>
        </w:rPr>
        <w:t>, Paris, Fondation Singer-Polignac</w:t>
      </w:r>
      <w:r w:rsidR="00CC7771">
        <w:rPr>
          <w:sz w:val="20"/>
          <w:lang w:val="fr-CH"/>
        </w:rPr>
        <w:t>, 1999</w:t>
      </w:r>
      <w:r w:rsidRPr="00276D34">
        <w:rPr>
          <w:sz w:val="20"/>
        </w:rPr>
        <w:t xml:space="preserve"> ; </w:t>
      </w:r>
      <w:proofErr w:type="spellStart"/>
      <w:r w:rsidR="00CC7771" w:rsidRPr="00B66C4F">
        <w:rPr>
          <w:smallCaps/>
          <w:sz w:val="20"/>
          <w:lang w:val="fr-CH"/>
        </w:rPr>
        <w:t>Devauchelle</w:t>
      </w:r>
      <w:proofErr w:type="spellEnd"/>
      <w:r w:rsidR="00CC7771" w:rsidRPr="00B66C4F">
        <w:rPr>
          <w:sz w:val="20"/>
          <w:lang w:val="fr-CH"/>
        </w:rPr>
        <w:t xml:space="preserve"> Didier</w:t>
      </w:r>
      <w:r w:rsidR="00CC7771">
        <w:rPr>
          <w:sz w:val="20"/>
          <w:lang w:val="fr-CH"/>
        </w:rPr>
        <w:t xml:space="preserve">, </w:t>
      </w:r>
      <w:r w:rsidR="00CC7771" w:rsidRPr="00B66C4F">
        <w:rPr>
          <w:i/>
          <w:iCs/>
          <w:sz w:val="20"/>
          <w:lang w:val="fr-CH"/>
        </w:rPr>
        <w:t>La pierre de Rosette</w:t>
      </w:r>
      <w:r w:rsidR="00CC7771" w:rsidRPr="00B66C4F">
        <w:rPr>
          <w:sz w:val="20"/>
          <w:lang w:val="fr-CH"/>
        </w:rPr>
        <w:t>, Paris, Figeac, Éditions Alternatives, Musée Champollion</w:t>
      </w:r>
      <w:r w:rsidR="00CC7771">
        <w:rPr>
          <w:sz w:val="20"/>
          <w:lang w:val="fr-CH"/>
        </w:rPr>
        <w:t xml:space="preserve">, </w:t>
      </w:r>
      <w:r w:rsidRPr="00276D34">
        <w:rPr>
          <w:sz w:val="20"/>
        </w:rPr>
        <w:t>2003</w:t>
      </w:r>
      <w:r w:rsidRPr="00276D34">
        <w:rPr>
          <w:rFonts w:ascii="Calibri" w:hAnsi="Calibri" w:cs="Calibri"/>
          <w:spacing w:val="4"/>
          <w:w w:val="103"/>
          <w:sz w:val="20"/>
        </w:rPr>
        <w:t>.</w:t>
      </w:r>
    </w:p>
  </w:footnote>
  <w:footnote w:id="19">
    <w:p w14:paraId="28B287A6" w14:textId="6C57B9B6" w:rsidR="00215F92" w:rsidRPr="00276D34" w:rsidRDefault="00215F92" w:rsidP="004B0026">
      <w:pPr>
        <w:pStyle w:val="Notedebasdepage"/>
        <w:tabs>
          <w:tab w:val="clear" w:pos="709"/>
          <w:tab w:val="clear" w:pos="851"/>
          <w:tab w:val="left" w:pos="284"/>
        </w:tabs>
        <w:ind w:firstLine="0"/>
        <w:rPr>
          <w:rFonts w:asciiTheme="majorBidi" w:hAnsiTheme="majorBidi" w:cstheme="majorBidi"/>
          <w:sz w:val="20"/>
        </w:rPr>
      </w:pPr>
      <w:r w:rsidRPr="00276D34">
        <w:rPr>
          <w:rStyle w:val="Appelnotedebasdep"/>
          <w:sz w:val="20"/>
        </w:rPr>
        <w:footnoteRef/>
      </w:r>
      <w:r w:rsidRPr="00276D34">
        <w:rPr>
          <w:sz w:val="20"/>
        </w:rPr>
        <w:tab/>
        <w:t xml:space="preserve">Voir </w:t>
      </w:r>
      <w:proofErr w:type="spellStart"/>
      <w:r w:rsidR="005B3B0E" w:rsidRPr="00B66C4F">
        <w:rPr>
          <w:smallCaps/>
          <w:sz w:val="20"/>
          <w:lang w:val="fr-CH"/>
        </w:rPr>
        <w:t>Dewachter</w:t>
      </w:r>
      <w:proofErr w:type="spellEnd"/>
      <w:r w:rsidR="005B3B0E" w:rsidRPr="00B66C4F">
        <w:rPr>
          <w:sz w:val="20"/>
          <w:lang w:val="fr-CH"/>
        </w:rPr>
        <w:t xml:space="preserve"> Michel</w:t>
      </w:r>
      <w:r w:rsidR="005B3B0E">
        <w:rPr>
          <w:sz w:val="20"/>
          <w:lang w:val="fr-CH"/>
        </w:rPr>
        <w:t xml:space="preserve">, </w:t>
      </w:r>
      <w:r w:rsidR="005B3B0E" w:rsidRPr="00B66C4F">
        <w:rPr>
          <w:sz w:val="20"/>
          <w:lang w:val="fr-CH"/>
        </w:rPr>
        <w:t xml:space="preserve">« Du texte au signe : la pierre de Rosette et les premières collections d’antiquités égyptiennes », </w:t>
      </w:r>
      <w:r w:rsidR="005B3B0E" w:rsidRPr="00B66C4F">
        <w:rPr>
          <w:i/>
          <w:iCs/>
          <w:sz w:val="20"/>
          <w:lang w:val="fr-CH"/>
        </w:rPr>
        <w:t>Bulletin de la Société Française d’Égyptologie</w:t>
      </w:r>
      <w:r w:rsidR="005B3B0E">
        <w:rPr>
          <w:sz w:val="20"/>
          <w:lang w:val="fr-CH"/>
        </w:rPr>
        <w:t>, 1999, vol. </w:t>
      </w:r>
      <w:r w:rsidR="005B3B0E" w:rsidRPr="00B66C4F">
        <w:rPr>
          <w:sz w:val="20"/>
          <w:lang w:val="fr-CH"/>
        </w:rPr>
        <w:t>146, pp. 25–54</w:t>
      </w:r>
      <w:r w:rsidR="00566B8D">
        <w:rPr>
          <w:sz w:val="20"/>
          <w:lang w:val="fr-CH"/>
        </w:rPr>
        <w:t xml:space="preserve"> ; </w:t>
      </w:r>
      <w:proofErr w:type="spellStart"/>
      <w:r w:rsidR="00566B8D" w:rsidRPr="00B66C4F">
        <w:rPr>
          <w:smallCaps/>
          <w:sz w:val="20"/>
          <w:lang w:val="fr-CH"/>
        </w:rPr>
        <w:t>Leclant</w:t>
      </w:r>
      <w:proofErr w:type="spellEnd"/>
      <w:r w:rsidR="00566B8D" w:rsidRPr="00B66C4F">
        <w:rPr>
          <w:sz w:val="20"/>
          <w:lang w:val="fr-CH"/>
        </w:rPr>
        <w:t xml:space="preserve"> Jean</w:t>
      </w:r>
      <w:r w:rsidR="00566B8D">
        <w:rPr>
          <w:sz w:val="20"/>
          <w:lang w:val="fr-CH"/>
        </w:rPr>
        <w:t xml:space="preserve">, </w:t>
      </w:r>
      <w:r w:rsidR="00566B8D" w:rsidRPr="00B66C4F">
        <w:rPr>
          <w:sz w:val="20"/>
          <w:lang w:val="fr-CH"/>
        </w:rPr>
        <w:t xml:space="preserve">« Le Lieutenant Bouchard, l’Institut d'Égypte et la pierre de Rosette », </w:t>
      </w:r>
      <w:r w:rsidR="00566B8D" w:rsidRPr="00B66C4F">
        <w:rPr>
          <w:i/>
          <w:iCs/>
          <w:sz w:val="20"/>
          <w:lang w:val="fr-CH"/>
        </w:rPr>
        <w:t>Bulletin de la Société Française d’Égyptologie</w:t>
      </w:r>
      <w:r w:rsidR="00566B8D" w:rsidRPr="00B66C4F">
        <w:rPr>
          <w:sz w:val="20"/>
          <w:lang w:val="fr-CH"/>
        </w:rPr>
        <w:t xml:space="preserve"> </w:t>
      </w:r>
      <w:r w:rsidR="00566B8D">
        <w:rPr>
          <w:sz w:val="20"/>
          <w:lang w:val="fr-CH"/>
        </w:rPr>
        <w:t>1999, vol. </w:t>
      </w:r>
      <w:r w:rsidR="00566B8D" w:rsidRPr="00B66C4F">
        <w:rPr>
          <w:sz w:val="20"/>
          <w:lang w:val="fr-CH"/>
        </w:rPr>
        <w:t>146, pp. 6–24.</w:t>
      </w:r>
    </w:p>
  </w:footnote>
  <w:footnote w:id="20">
    <w:p w14:paraId="6A8DA937" w14:textId="5F91ABB5" w:rsidR="007B5A29" w:rsidRPr="00276D34" w:rsidRDefault="007B5A29"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Pr="00276D34">
        <w:rPr>
          <w:w w:val="103"/>
          <w:sz w:val="20"/>
        </w:rPr>
        <w:t>Cf.</w:t>
      </w:r>
      <w:r w:rsidR="00420177" w:rsidRPr="00276D34">
        <w:rPr>
          <w:w w:val="103"/>
          <w:sz w:val="20"/>
        </w:rPr>
        <w:t> </w:t>
      </w:r>
      <w:proofErr w:type="spellStart"/>
      <w:r w:rsidR="008C7FCF" w:rsidRPr="00B66C4F">
        <w:rPr>
          <w:smallCaps/>
          <w:sz w:val="20"/>
          <w:lang w:val="fr-CH"/>
        </w:rPr>
        <w:t>Habachi</w:t>
      </w:r>
      <w:proofErr w:type="spellEnd"/>
      <w:r w:rsidR="008C7FCF" w:rsidRPr="00B66C4F">
        <w:rPr>
          <w:sz w:val="20"/>
          <w:lang w:val="fr-CH"/>
        </w:rPr>
        <w:t xml:space="preserve"> </w:t>
      </w:r>
      <w:proofErr w:type="spellStart"/>
      <w:r w:rsidR="008C7FCF" w:rsidRPr="00B66C4F">
        <w:rPr>
          <w:sz w:val="20"/>
          <w:lang w:val="fr-CH"/>
        </w:rPr>
        <w:t>Labib</w:t>
      </w:r>
      <w:proofErr w:type="spellEnd"/>
      <w:r w:rsidR="008C7FCF">
        <w:rPr>
          <w:sz w:val="20"/>
          <w:lang w:val="fr-CH"/>
        </w:rPr>
        <w:t xml:space="preserve">, </w:t>
      </w:r>
      <w:r w:rsidR="008C7FCF" w:rsidRPr="00B66C4F">
        <w:rPr>
          <w:sz w:val="20"/>
          <w:lang w:val="fr-CH"/>
        </w:rPr>
        <w:t xml:space="preserve">« Sais and </w:t>
      </w:r>
      <w:proofErr w:type="spellStart"/>
      <w:r w:rsidR="008C7FCF" w:rsidRPr="00B66C4F">
        <w:rPr>
          <w:sz w:val="20"/>
          <w:lang w:val="fr-CH"/>
        </w:rPr>
        <w:t>its</w:t>
      </w:r>
      <w:proofErr w:type="spellEnd"/>
      <w:r w:rsidR="008C7FCF" w:rsidRPr="00B66C4F">
        <w:rPr>
          <w:sz w:val="20"/>
          <w:lang w:val="fr-CH"/>
        </w:rPr>
        <w:t xml:space="preserve"> Monuments », </w:t>
      </w:r>
      <w:r w:rsidR="008C7FCF" w:rsidRPr="00B66C4F">
        <w:rPr>
          <w:i/>
          <w:iCs/>
          <w:sz w:val="20"/>
          <w:lang w:val="fr-CH"/>
        </w:rPr>
        <w:t>Annales du Service des Antiquités de l’Égypte</w:t>
      </w:r>
      <w:r w:rsidR="008C7FCF">
        <w:rPr>
          <w:sz w:val="20"/>
          <w:lang w:val="fr-CH"/>
        </w:rPr>
        <w:t xml:space="preserve">, </w:t>
      </w:r>
      <w:r w:rsidR="008C7FCF" w:rsidRPr="00B66C4F">
        <w:rPr>
          <w:sz w:val="20"/>
          <w:lang w:val="fr-CH"/>
        </w:rPr>
        <w:t>1943</w:t>
      </w:r>
      <w:r w:rsidR="008C7FCF">
        <w:rPr>
          <w:sz w:val="20"/>
          <w:lang w:val="fr-CH"/>
        </w:rPr>
        <w:t>,</w:t>
      </w:r>
      <w:r w:rsidR="008C7FCF" w:rsidRPr="00B66C4F">
        <w:rPr>
          <w:sz w:val="20"/>
          <w:lang w:val="fr-CH"/>
        </w:rPr>
        <w:t xml:space="preserve"> </w:t>
      </w:r>
      <w:r w:rsidR="008C7FCF">
        <w:rPr>
          <w:sz w:val="20"/>
          <w:lang w:val="fr-CH"/>
        </w:rPr>
        <w:t>vol. </w:t>
      </w:r>
      <w:r w:rsidR="008C7FCF" w:rsidRPr="00B66C4F">
        <w:rPr>
          <w:sz w:val="20"/>
          <w:lang w:val="fr-CH"/>
        </w:rPr>
        <w:t>42, pp. 376–393</w:t>
      </w:r>
      <w:r w:rsidRPr="00276D34">
        <w:rPr>
          <w:w w:val="103"/>
          <w:sz w:val="20"/>
        </w:rPr>
        <w:t>.</w:t>
      </w:r>
    </w:p>
  </w:footnote>
  <w:footnote w:id="21">
    <w:p w14:paraId="13FC108C" w14:textId="008775FB" w:rsidR="00D91ED6" w:rsidRPr="00276D34" w:rsidRDefault="00D91ED6"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Pr="00276D34">
        <w:rPr>
          <w:w w:val="103"/>
          <w:sz w:val="20"/>
        </w:rPr>
        <w:t>Cf.</w:t>
      </w:r>
      <w:r w:rsidR="0088516A">
        <w:rPr>
          <w:w w:val="103"/>
          <w:sz w:val="20"/>
        </w:rPr>
        <w:t> </w:t>
      </w:r>
      <w:proofErr w:type="spellStart"/>
      <w:r w:rsidR="00170459" w:rsidRPr="00B66C4F">
        <w:rPr>
          <w:smallCaps/>
          <w:sz w:val="20"/>
          <w:lang w:val="en-US"/>
        </w:rPr>
        <w:t>Regulski</w:t>
      </w:r>
      <w:proofErr w:type="spellEnd"/>
      <w:r w:rsidR="00170459" w:rsidRPr="00B66C4F">
        <w:rPr>
          <w:sz w:val="20"/>
          <w:lang w:val="en-US"/>
        </w:rPr>
        <w:t>, Ilona</w:t>
      </w:r>
      <w:r w:rsidR="00170459">
        <w:rPr>
          <w:sz w:val="20"/>
          <w:lang w:val="en-US"/>
        </w:rPr>
        <w:t xml:space="preserve">, </w:t>
      </w:r>
      <w:r w:rsidR="00170459" w:rsidRPr="00B66C4F">
        <w:rPr>
          <w:sz w:val="20"/>
          <w:lang w:val="en-US"/>
        </w:rPr>
        <w:t xml:space="preserve">« The Rosetta Stone: copying an ancient copy », </w:t>
      </w:r>
      <w:r w:rsidR="00170459" w:rsidRPr="00B66C4F">
        <w:rPr>
          <w:i/>
          <w:iCs/>
          <w:sz w:val="20"/>
          <w:lang w:val="en-US"/>
        </w:rPr>
        <w:t>in</w:t>
      </w:r>
      <w:r w:rsidR="00170459" w:rsidRPr="00B66C4F">
        <w:rPr>
          <w:sz w:val="20"/>
          <w:lang w:val="en-US"/>
        </w:rPr>
        <w:t xml:space="preserve"> </w:t>
      </w:r>
      <w:r w:rsidR="00170459" w:rsidRPr="00B66C4F">
        <w:rPr>
          <w:smallCaps/>
          <w:sz w:val="20"/>
          <w:lang w:val="en-US"/>
        </w:rPr>
        <w:t>Davies</w:t>
      </w:r>
      <w:r w:rsidR="00170459" w:rsidRPr="00B66C4F">
        <w:rPr>
          <w:sz w:val="20"/>
          <w:lang w:val="en-US"/>
        </w:rPr>
        <w:t xml:space="preserve"> Vanessa et </w:t>
      </w:r>
      <w:proofErr w:type="spellStart"/>
      <w:r w:rsidR="00170459" w:rsidRPr="00B66C4F">
        <w:rPr>
          <w:smallCaps/>
          <w:sz w:val="20"/>
          <w:lang w:val="en-US"/>
        </w:rPr>
        <w:t>Laboury</w:t>
      </w:r>
      <w:proofErr w:type="spellEnd"/>
      <w:r w:rsidR="00170459" w:rsidRPr="00B66C4F">
        <w:rPr>
          <w:sz w:val="20"/>
          <w:lang w:val="en-US"/>
        </w:rPr>
        <w:t xml:space="preserve"> Dimitri (dir.), </w:t>
      </w:r>
      <w:r w:rsidR="00170459" w:rsidRPr="00B66C4F">
        <w:rPr>
          <w:i/>
          <w:iCs/>
          <w:sz w:val="20"/>
          <w:lang w:val="en-US"/>
        </w:rPr>
        <w:t xml:space="preserve">The Oxford handbook of Egyptian epigraphy and </w:t>
      </w:r>
      <w:proofErr w:type="spellStart"/>
      <w:r w:rsidR="00170459" w:rsidRPr="00B66C4F">
        <w:rPr>
          <w:i/>
          <w:iCs/>
          <w:sz w:val="20"/>
          <w:lang w:val="en-US"/>
        </w:rPr>
        <w:t>palaeography</w:t>
      </w:r>
      <w:proofErr w:type="spellEnd"/>
      <w:r w:rsidR="00170459" w:rsidRPr="00B66C4F">
        <w:rPr>
          <w:sz w:val="20"/>
          <w:lang w:val="en-US"/>
        </w:rPr>
        <w:t xml:space="preserve">, New York, Oxford University Press, </w:t>
      </w:r>
      <w:r w:rsidR="00170459">
        <w:rPr>
          <w:sz w:val="20"/>
          <w:lang w:val="en-US"/>
        </w:rPr>
        <w:t xml:space="preserve">2020, </w:t>
      </w:r>
      <w:r w:rsidR="00170459" w:rsidRPr="00B66C4F">
        <w:rPr>
          <w:sz w:val="20"/>
          <w:lang w:val="en-US"/>
        </w:rPr>
        <w:t>pp. 215–228</w:t>
      </w:r>
      <w:r w:rsidR="0088516A">
        <w:rPr>
          <w:w w:val="103"/>
          <w:sz w:val="20"/>
        </w:rPr>
        <w:t xml:space="preserve"> ; </w:t>
      </w:r>
      <w:r w:rsidR="00286A1E" w:rsidRPr="00B66C4F">
        <w:rPr>
          <w:smallCaps/>
          <w:sz w:val="20"/>
          <w:lang w:val="fr-CH"/>
        </w:rPr>
        <w:t>Madrigal</w:t>
      </w:r>
      <w:r w:rsidR="00286A1E" w:rsidRPr="00B66C4F">
        <w:rPr>
          <w:sz w:val="20"/>
          <w:lang w:val="fr-CH"/>
        </w:rPr>
        <w:t xml:space="preserve"> Karine</w:t>
      </w:r>
      <w:r w:rsidR="00286A1E">
        <w:rPr>
          <w:sz w:val="20"/>
          <w:lang w:val="fr-CH"/>
        </w:rPr>
        <w:t xml:space="preserve">, </w:t>
      </w:r>
      <w:r w:rsidR="00286A1E" w:rsidRPr="00B66C4F">
        <w:rPr>
          <w:i/>
          <w:iCs/>
          <w:sz w:val="20"/>
          <w:lang w:val="fr-CH"/>
        </w:rPr>
        <w:t>Jean-François et Jacques-Joseph Champollion</w:t>
      </w:r>
      <w:r w:rsidR="00286A1E">
        <w:rPr>
          <w:w w:val="103"/>
          <w:sz w:val="20"/>
          <w:lang w:val="fr-CH"/>
        </w:rPr>
        <w:t xml:space="preserve">, </w:t>
      </w:r>
      <w:r w:rsidR="00286A1E">
        <w:rPr>
          <w:i/>
          <w:iCs/>
          <w:w w:val="103"/>
          <w:sz w:val="20"/>
          <w:lang w:val="fr-CH"/>
        </w:rPr>
        <w:t xml:space="preserve">op. </w:t>
      </w:r>
      <w:proofErr w:type="spellStart"/>
      <w:r w:rsidR="00286A1E">
        <w:rPr>
          <w:i/>
          <w:iCs/>
          <w:w w:val="103"/>
          <w:sz w:val="20"/>
          <w:lang w:val="fr-CH"/>
        </w:rPr>
        <w:t>cit</w:t>
      </w:r>
      <w:proofErr w:type="spellEnd"/>
      <w:r w:rsidR="00286A1E">
        <w:rPr>
          <w:i/>
          <w:iCs/>
          <w:w w:val="103"/>
          <w:sz w:val="20"/>
          <w:lang w:val="fr-CH"/>
        </w:rPr>
        <w:t>.</w:t>
      </w:r>
      <w:r w:rsidR="00286A1E">
        <w:rPr>
          <w:w w:val="103"/>
          <w:sz w:val="20"/>
          <w:lang w:val="fr-CH"/>
        </w:rPr>
        <w:t>, p. </w:t>
      </w:r>
      <w:r w:rsidRPr="00276D34">
        <w:rPr>
          <w:w w:val="103"/>
          <w:sz w:val="20"/>
        </w:rPr>
        <w:t>30.</w:t>
      </w:r>
    </w:p>
  </w:footnote>
  <w:footnote w:id="22">
    <w:p w14:paraId="18EE75D2" w14:textId="4BF56ED3" w:rsidR="0054201B" w:rsidRPr="00276D34" w:rsidRDefault="0054201B" w:rsidP="0054201B">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Pr>
          <w:w w:val="103"/>
          <w:sz w:val="20"/>
        </w:rPr>
        <w:t xml:space="preserve">Voir </w:t>
      </w:r>
      <w:proofErr w:type="spellStart"/>
      <w:r w:rsidR="00AD6F3F" w:rsidRPr="00B66C4F">
        <w:rPr>
          <w:smallCaps/>
          <w:sz w:val="20"/>
          <w:lang w:val="fr-CH"/>
        </w:rPr>
        <w:t>Fiechter</w:t>
      </w:r>
      <w:proofErr w:type="spellEnd"/>
      <w:r w:rsidR="00AD6F3F" w:rsidRPr="00B66C4F">
        <w:rPr>
          <w:sz w:val="20"/>
          <w:lang w:val="fr-CH"/>
        </w:rPr>
        <w:t xml:space="preserve"> Jean-Jacques</w:t>
      </w:r>
      <w:r w:rsidR="00AD6F3F">
        <w:rPr>
          <w:sz w:val="20"/>
          <w:lang w:val="fr-CH"/>
        </w:rPr>
        <w:t xml:space="preserve">, </w:t>
      </w:r>
      <w:r w:rsidR="00AD6F3F" w:rsidRPr="00B66C4F">
        <w:rPr>
          <w:sz w:val="20"/>
          <w:lang w:val="fr-CH"/>
        </w:rPr>
        <w:t xml:space="preserve">« La Pierre de Rosette et les autres antiquités égyptiennes prises par les Anglais en 1801 », </w:t>
      </w:r>
      <w:r w:rsidR="00AD6F3F" w:rsidRPr="00B66C4F">
        <w:rPr>
          <w:i/>
          <w:iCs/>
          <w:sz w:val="20"/>
          <w:lang w:val="fr-CH"/>
        </w:rPr>
        <w:t>Revue d'égyptologie</w:t>
      </w:r>
      <w:r w:rsidR="00AD6F3F">
        <w:rPr>
          <w:sz w:val="20"/>
          <w:lang w:val="fr-CH"/>
        </w:rPr>
        <w:t>, 1997,</w:t>
      </w:r>
      <w:r w:rsidR="00AD6F3F" w:rsidRPr="00B66C4F">
        <w:rPr>
          <w:sz w:val="20"/>
          <w:lang w:val="fr-CH"/>
        </w:rPr>
        <w:t xml:space="preserve"> </w:t>
      </w:r>
      <w:r w:rsidR="00AD6F3F">
        <w:rPr>
          <w:sz w:val="20"/>
          <w:lang w:val="fr-CH"/>
        </w:rPr>
        <w:t>vol. </w:t>
      </w:r>
      <w:r w:rsidR="00AD6F3F" w:rsidRPr="00B66C4F">
        <w:rPr>
          <w:sz w:val="20"/>
          <w:lang w:val="fr-CH"/>
        </w:rPr>
        <w:t>48, pp. 283-289</w:t>
      </w:r>
      <w:r w:rsidR="00AD6F3F">
        <w:rPr>
          <w:sz w:val="20"/>
          <w:lang w:val="fr-CH"/>
        </w:rPr>
        <w:t>.</w:t>
      </w:r>
    </w:p>
  </w:footnote>
  <w:footnote w:id="23">
    <w:p w14:paraId="323C2F39" w14:textId="210D73C8" w:rsidR="00304328" w:rsidRPr="00276D34" w:rsidRDefault="00304328" w:rsidP="00304328">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Pr>
          <w:w w:val="103"/>
          <w:sz w:val="20"/>
        </w:rPr>
        <w:t xml:space="preserve">On sait </w:t>
      </w:r>
      <w:r w:rsidR="003551E4">
        <w:rPr>
          <w:w w:val="103"/>
          <w:sz w:val="20"/>
        </w:rPr>
        <w:t xml:space="preserve">par leur correspondance </w:t>
      </w:r>
      <w:r>
        <w:rPr>
          <w:w w:val="103"/>
          <w:sz w:val="20"/>
        </w:rPr>
        <w:t xml:space="preserve">que c’est sur les conseils de son aîné, Champollion-Figeac, que Jean-François Champollion </w:t>
      </w:r>
      <w:r w:rsidR="00AC5A04">
        <w:rPr>
          <w:w w:val="103"/>
          <w:sz w:val="20"/>
        </w:rPr>
        <w:t>s’</w:t>
      </w:r>
      <w:r w:rsidR="00976C41">
        <w:rPr>
          <w:w w:val="103"/>
          <w:sz w:val="20"/>
        </w:rPr>
        <w:t>essayera</w:t>
      </w:r>
      <w:r w:rsidR="00AC5A04">
        <w:rPr>
          <w:w w:val="103"/>
          <w:sz w:val="20"/>
        </w:rPr>
        <w:t>,</w:t>
      </w:r>
      <w:r w:rsidR="00976C41">
        <w:rPr>
          <w:w w:val="103"/>
          <w:sz w:val="20"/>
        </w:rPr>
        <w:t xml:space="preserve"> </w:t>
      </w:r>
      <w:r w:rsidR="00A36DD5">
        <w:rPr>
          <w:w w:val="103"/>
          <w:sz w:val="20"/>
        </w:rPr>
        <w:t>durant ses études parisiennes</w:t>
      </w:r>
      <w:r w:rsidR="00D44772">
        <w:rPr>
          <w:w w:val="103"/>
          <w:sz w:val="20"/>
        </w:rPr>
        <w:t>,</w:t>
      </w:r>
      <w:r w:rsidR="00A36DD5">
        <w:rPr>
          <w:w w:val="103"/>
          <w:sz w:val="20"/>
        </w:rPr>
        <w:t xml:space="preserve"> </w:t>
      </w:r>
      <w:r w:rsidR="00976C41">
        <w:rPr>
          <w:w w:val="103"/>
          <w:sz w:val="20"/>
        </w:rPr>
        <w:t xml:space="preserve">à </w:t>
      </w:r>
      <w:r w:rsidR="003551E4">
        <w:rPr>
          <w:w w:val="103"/>
          <w:sz w:val="20"/>
        </w:rPr>
        <w:t>traduir</w:t>
      </w:r>
      <w:r w:rsidR="00976C41">
        <w:rPr>
          <w:w w:val="103"/>
          <w:sz w:val="20"/>
        </w:rPr>
        <w:t>e</w:t>
      </w:r>
      <w:r w:rsidR="003551E4">
        <w:rPr>
          <w:w w:val="103"/>
          <w:sz w:val="20"/>
        </w:rPr>
        <w:t xml:space="preserve"> l’ensemble du texte de la Pierre de Rosette en copte pour </w:t>
      </w:r>
      <w:r w:rsidR="0032097F">
        <w:rPr>
          <w:w w:val="103"/>
          <w:sz w:val="20"/>
        </w:rPr>
        <w:t>tenter d’</w:t>
      </w:r>
      <w:r w:rsidR="003551E4">
        <w:rPr>
          <w:w w:val="103"/>
          <w:sz w:val="20"/>
        </w:rPr>
        <w:t>établir des équivalences entre les hiéroglyphes</w:t>
      </w:r>
      <w:r w:rsidR="00A45149">
        <w:rPr>
          <w:w w:val="103"/>
          <w:sz w:val="20"/>
        </w:rPr>
        <w:t xml:space="preserve"> et cette traduction copte.</w:t>
      </w:r>
    </w:p>
  </w:footnote>
  <w:footnote w:id="24">
    <w:p w14:paraId="442EE6F5" w14:textId="1EBA7020" w:rsidR="00C44818" w:rsidRPr="00D42316" w:rsidRDefault="00C44818" w:rsidP="00C44818">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Pr="00C44818">
        <w:rPr>
          <w:smallCaps/>
          <w:sz w:val="20"/>
        </w:rPr>
        <w:t xml:space="preserve">de </w:t>
      </w:r>
      <w:proofErr w:type="spellStart"/>
      <w:r w:rsidRPr="00C44818">
        <w:rPr>
          <w:smallCaps/>
          <w:sz w:val="20"/>
        </w:rPr>
        <w:t>Sacy</w:t>
      </w:r>
      <w:proofErr w:type="spellEnd"/>
      <w:r>
        <w:rPr>
          <w:sz w:val="20"/>
        </w:rPr>
        <w:t xml:space="preserve"> Silvestre, </w:t>
      </w:r>
      <w:r w:rsidR="00D42316">
        <w:rPr>
          <w:i/>
          <w:iCs/>
          <w:sz w:val="20"/>
        </w:rPr>
        <w:t>Lettre au Citoyen Chaptal, Ministre de l’Intérieur, Membre de l’Institut national des sciences et arts, &amp;c. au sujet de l’inscription égyptienne du monument trouvé à Rosette</w:t>
      </w:r>
      <w:r w:rsidR="00D42316">
        <w:rPr>
          <w:sz w:val="20"/>
        </w:rPr>
        <w:t>, Paris, Imprimerie de la République, 1802.</w:t>
      </w:r>
    </w:p>
  </w:footnote>
  <w:footnote w:id="25">
    <w:p w14:paraId="68A366EC" w14:textId="03E7EEBB" w:rsidR="00F968D2" w:rsidRPr="00276D34" w:rsidRDefault="00F968D2"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t>Cf.</w:t>
      </w:r>
      <w:r w:rsidR="008B579B">
        <w:rPr>
          <w:sz w:val="20"/>
        </w:rPr>
        <w:t> </w:t>
      </w:r>
      <w:r w:rsidR="008B579B" w:rsidRPr="00B66C4F">
        <w:rPr>
          <w:smallCaps/>
          <w:sz w:val="20"/>
          <w:lang w:val="en-US"/>
        </w:rPr>
        <w:t>Thomasson</w:t>
      </w:r>
      <w:r w:rsidR="008B579B" w:rsidRPr="00B66C4F">
        <w:rPr>
          <w:sz w:val="20"/>
          <w:lang w:val="en-US"/>
        </w:rPr>
        <w:t xml:space="preserve"> Fredrik</w:t>
      </w:r>
      <w:r w:rsidR="00BC4EB7">
        <w:rPr>
          <w:sz w:val="20"/>
          <w:lang w:val="en-US"/>
        </w:rPr>
        <w:t xml:space="preserve">, </w:t>
      </w:r>
      <w:r w:rsidR="008B579B" w:rsidRPr="00B66C4F">
        <w:rPr>
          <w:i/>
          <w:iCs/>
          <w:sz w:val="20"/>
          <w:lang w:val="en-US"/>
        </w:rPr>
        <w:t>The Life of J.D. </w:t>
      </w:r>
      <w:proofErr w:type="spellStart"/>
      <w:r w:rsidR="008B579B" w:rsidRPr="00B66C4F">
        <w:rPr>
          <w:i/>
          <w:iCs/>
          <w:sz w:val="20"/>
          <w:lang w:val="en-US"/>
        </w:rPr>
        <w:t>Åckerblad</w:t>
      </w:r>
      <w:proofErr w:type="spellEnd"/>
      <w:r w:rsidR="008B579B" w:rsidRPr="00B66C4F">
        <w:rPr>
          <w:i/>
          <w:iCs/>
          <w:sz w:val="20"/>
          <w:lang w:val="en-US"/>
        </w:rPr>
        <w:t>. Egypti</w:t>
      </w:r>
      <w:r w:rsidR="001123E5">
        <w:rPr>
          <w:i/>
          <w:iCs/>
          <w:sz w:val="20"/>
          <w:lang w:val="en-US"/>
        </w:rPr>
        <w:t>a</w:t>
      </w:r>
      <w:r w:rsidR="008B579B" w:rsidRPr="00B66C4F">
        <w:rPr>
          <w:i/>
          <w:iCs/>
          <w:sz w:val="20"/>
          <w:lang w:val="en-US"/>
        </w:rPr>
        <w:t>n Decipherment and Orientalism in Revolutionary Times</w:t>
      </w:r>
      <w:r w:rsidR="008B579B" w:rsidRPr="00B66C4F">
        <w:rPr>
          <w:sz w:val="20"/>
          <w:lang w:val="en-US"/>
        </w:rPr>
        <w:t xml:space="preserve">, </w:t>
      </w:r>
      <w:proofErr w:type="spellStart"/>
      <w:r w:rsidR="008B579B" w:rsidRPr="00B66C4F">
        <w:rPr>
          <w:sz w:val="20"/>
          <w:lang w:val="en-US"/>
        </w:rPr>
        <w:t>Leyde</w:t>
      </w:r>
      <w:proofErr w:type="spellEnd"/>
      <w:r w:rsidR="008B579B" w:rsidRPr="00B66C4F">
        <w:rPr>
          <w:sz w:val="20"/>
          <w:lang w:val="en-US"/>
        </w:rPr>
        <w:t>/Boston, Brill</w:t>
      </w:r>
      <w:r w:rsidR="008B579B">
        <w:rPr>
          <w:sz w:val="20"/>
          <w:lang w:val="en-US"/>
        </w:rPr>
        <w:t xml:space="preserve">, </w:t>
      </w:r>
      <w:r w:rsidRPr="00276D34">
        <w:rPr>
          <w:sz w:val="20"/>
        </w:rPr>
        <w:t>2013.</w:t>
      </w:r>
    </w:p>
  </w:footnote>
  <w:footnote w:id="26">
    <w:p w14:paraId="022F882A" w14:textId="37774959" w:rsidR="00640726" w:rsidRPr="00276D34" w:rsidRDefault="00640726"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Pr="00276D34">
        <w:rPr>
          <w:rFonts w:asciiTheme="majorBidi" w:hAnsiTheme="majorBidi" w:cstheme="majorBidi"/>
          <w:sz w:val="20"/>
        </w:rPr>
        <w:t>Face à chaque lettre copte, on trouve les correspondances proposées avec les caractères démotiques d’après son analyse des noms propres de l’inscription de Rosette.</w:t>
      </w:r>
    </w:p>
  </w:footnote>
  <w:footnote w:id="27">
    <w:p w14:paraId="713F5609" w14:textId="508A93DA" w:rsidR="00ED518A" w:rsidRPr="00276D34" w:rsidRDefault="00ED518A"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00CA3214">
        <w:rPr>
          <w:sz w:val="20"/>
        </w:rPr>
        <w:t xml:space="preserve">Voir </w:t>
      </w:r>
      <w:r w:rsidR="00787975" w:rsidRPr="00B66C4F">
        <w:rPr>
          <w:smallCaps/>
          <w:sz w:val="20"/>
          <w:lang w:val="fr-CH"/>
        </w:rPr>
        <w:t>Madrigal</w:t>
      </w:r>
      <w:r w:rsidR="00787975" w:rsidRPr="00B66C4F">
        <w:rPr>
          <w:sz w:val="20"/>
          <w:lang w:val="fr-CH"/>
        </w:rPr>
        <w:t xml:space="preserve"> Karine</w:t>
      </w:r>
      <w:r w:rsidR="00787975">
        <w:rPr>
          <w:sz w:val="20"/>
          <w:lang w:val="fr-CH"/>
        </w:rPr>
        <w:t xml:space="preserve">, </w:t>
      </w:r>
      <w:r w:rsidR="00787975" w:rsidRPr="00B66C4F">
        <w:rPr>
          <w:i/>
          <w:iCs/>
          <w:sz w:val="20"/>
          <w:lang w:val="fr-CH"/>
        </w:rPr>
        <w:t>Jean-François et Jacques-Joseph Champollion</w:t>
      </w:r>
      <w:r w:rsidR="00787975">
        <w:rPr>
          <w:w w:val="103"/>
          <w:sz w:val="20"/>
          <w:lang w:val="fr-CH"/>
        </w:rPr>
        <w:t xml:space="preserve">, </w:t>
      </w:r>
      <w:r w:rsidR="00787975">
        <w:rPr>
          <w:i/>
          <w:iCs/>
          <w:w w:val="103"/>
          <w:sz w:val="20"/>
          <w:lang w:val="fr-CH"/>
        </w:rPr>
        <w:t xml:space="preserve">op. </w:t>
      </w:r>
      <w:proofErr w:type="spellStart"/>
      <w:r w:rsidR="00787975">
        <w:rPr>
          <w:i/>
          <w:iCs/>
          <w:w w:val="103"/>
          <w:sz w:val="20"/>
          <w:lang w:val="fr-CH"/>
        </w:rPr>
        <w:t>cit</w:t>
      </w:r>
      <w:proofErr w:type="spellEnd"/>
      <w:r w:rsidR="00787975">
        <w:rPr>
          <w:i/>
          <w:iCs/>
          <w:w w:val="103"/>
          <w:sz w:val="20"/>
          <w:lang w:val="fr-CH"/>
        </w:rPr>
        <w:t>.</w:t>
      </w:r>
      <w:r w:rsidR="00787975">
        <w:rPr>
          <w:w w:val="103"/>
          <w:sz w:val="20"/>
          <w:lang w:val="fr-CH"/>
        </w:rPr>
        <w:t>, p. </w:t>
      </w:r>
      <w:r w:rsidRPr="00276D34">
        <w:rPr>
          <w:sz w:val="20"/>
        </w:rPr>
        <w:t>57–71.</w:t>
      </w:r>
    </w:p>
  </w:footnote>
  <w:footnote w:id="28">
    <w:p w14:paraId="0446CFC6" w14:textId="1986A139" w:rsidR="00631E25" w:rsidRPr="00276D34" w:rsidRDefault="00631E25"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Pr="00276D34">
        <w:rPr>
          <w:rFonts w:asciiTheme="majorBidi" w:hAnsiTheme="majorBidi" w:cstheme="majorBidi"/>
          <w:spacing w:val="4"/>
          <w:w w:val="103"/>
          <w:sz w:val="20"/>
        </w:rPr>
        <w:t>Le sens attribué aux différents groupes de signes est d’une impressionnante justesse pour des écritures qui n’étaient pas encore déchiffrées, mais les sons (‘</w:t>
      </w:r>
      <w:proofErr w:type="spellStart"/>
      <w:r w:rsidRPr="00276D34">
        <w:rPr>
          <w:rFonts w:asciiTheme="majorBidi" w:hAnsiTheme="majorBidi" w:cstheme="majorBidi"/>
          <w:spacing w:val="4"/>
          <w:w w:val="103"/>
          <w:sz w:val="20"/>
        </w:rPr>
        <w:t>sounds</w:t>
      </w:r>
      <w:proofErr w:type="spellEnd"/>
      <w:r w:rsidRPr="00276D34">
        <w:rPr>
          <w:rFonts w:asciiTheme="majorBidi" w:hAnsiTheme="majorBidi" w:cstheme="majorBidi"/>
          <w:spacing w:val="4"/>
          <w:w w:val="103"/>
          <w:sz w:val="20"/>
        </w:rPr>
        <w:t>’) suggérés pour certains caractères sont à la fois peu nombreux et faux dans près de la moitié des cas. Champollion reviendra régulièrement sur ce point dans les préfaces de ses essais pour défendre sa primauté en matière de déchiffrement.</w:t>
      </w:r>
    </w:p>
  </w:footnote>
  <w:footnote w:id="29">
    <w:p w14:paraId="3AD9807C" w14:textId="4121E1BF" w:rsidR="00631E25" w:rsidRPr="00276D34" w:rsidRDefault="00631E25"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006C5AF2" w:rsidRPr="00B66C4F">
        <w:rPr>
          <w:smallCaps/>
          <w:sz w:val="20"/>
          <w:lang w:val="de-DE"/>
        </w:rPr>
        <w:t>Buchwald</w:t>
      </w:r>
      <w:r w:rsidR="006C5AF2" w:rsidRPr="00B66C4F">
        <w:rPr>
          <w:sz w:val="20"/>
          <w:lang w:val="de-DE"/>
        </w:rPr>
        <w:t xml:space="preserve"> Jed Z. et </w:t>
      </w:r>
      <w:proofErr w:type="spellStart"/>
      <w:r w:rsidR="006C5AF2" w:rsidRPr="00B66C4F">
        <w:rPr>
          <w:smallCaps/>
          <w:sz w:val="20"/>
          <w:lang w:val="de-DE"/>
        </w:rPr>
        <w:t>Josefowicz</w:t>
      </w:r>
      <w:proofErr w:type="spellEnd"/>
      <w:r w:rsidR="006C5AF2" w:rsidRPr="00B66C4F">
        <w:rPr>
          <w:sz w:val="20"/>
          <w:lang w:val="de-DE"/>
        </w:rPr>
        <w:t xml:space="preserve"> Diane Greco</w:t>
      </w:r>
      <w:r w:rsidR="006C5AF2">
        <w:rPr>
          <w:sz w:val="20"/>
          <w:lang w:val="de-DE"/>
        </w:rPr>
        <w:t xml:space="preserve">, </w:t>
      </w:r>
      <w:r w:rsidR="006C5AF2" w:rsidRPr="00B66C4F">
        <w:rPr>
          <w:i/>
          <w:iCs/>
          <w:sz w:val="20"/>
          <w:lang w:val="en-US"/>
        </w:rPr>
        <w:t>The riddle of the Rosetta: how an English polymath and a French polyglot discovered the meaning of Egyptian hieroglyphs</w:t>
      </w:r>
      <w:r w:rsidR="006C5AF2" w:rsidRPr="00B66C4F">
        <w:rPr>
          <w:sz w:val="20"/>
          <w:lang w:val="en-US"/>
        </w:rPr>
        <w:t>, Princeton, NJ ; Oxford, Princeton University Press</w:t>
      </w:r>
      <w:r w:rsidR="006C5AF2">
        <w:rPr>
          <w:sz w:val="20"/>
          <w:lang w:val="en-US"/>
        </w:rPr>
        <w:t xml:space="preserve">, </w:t>
      </w:r>
      <w:r w:rsidRPr="00276D34">
        <w:rPr>
          <w:sz w:val="20"/>
        </w:rPr>
        <w:t>2020.</w:t>
      </w:r>
    </w:p>
  </w:footnote>
  <w:footnote w:id="30">
    <w:p w14:paraId="41A0FAF1" w14:textId="58860B64" w:rsidR="00C73323" w:rsidRPr="00276D34" w:rsidRDefault="00C73323" w:rsidP="00C73323">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Pr>
          <w:w w:val="103"/>
          <w:sz w:val="20"/>
        </w:rPr>
        <w:t xml:space="preserve">Dès 1814, il publiait dans la revue </w:t>
      </w:r>
      <w:proofErr w:type="spellStart"/>
      <w:r w:rsidRPr="00C73323">
        <w:rPr>
          <w:i/>
          <w:iCs/>
          <w:w w:val="103"/>
          <w:sz w:val="20"/>
        </w:rPr>
        <w:t>Archeologia</w:t>
      </w:r>
      <w:proofErr w:type="spellEnd"/>
      <w:r>
        <w:rPr>
          <w:w w:val="103"/>
          <w:sz w:val="20"/>
        </w:rPr>
        <w:t xml:space="preserve"> un</w:t>
      </w:r>
      <w:r w:rsidR="005D3D79">
        <w:rPr>
          <w:w w:val="103"/>
          <w:sz w:val="20"/>
        </w:rPr>
        <w:t>e</w:t>
      </w:r>
      <w:r>
        <w:rPr>
          <w:w w:val="103"/>
          <w:sz w:val="20"/>
        </w:rPr>
        <w:t xml:space="preserve"> « Traduction conjecturale de l’inscription </w:t>
      </w:r>
      <w:proofErr w:type="spellStart"/>
      <w:r>
        <w:rPr>
          <w:w w:val="103"/>
          <w:sz w:val="20"/>
        </w:rPr>
        <w:t>enchoriale</w:t>
      </w:r>
      <w:proofErr w:type="spellEnd"/>
      <w:r>
        <w:rPr>
          <w:w w:val="103"/>
          <w:sz w:val="20"/>
        </w:rPr>
        <w:t> »</w:t>
      </w:r>
      <w:r w:rsidR="005D3D79">
        <w:rPr>
          <w:w w:val="103"/>
          <w:sz w:val="20"/>
        </w:rPr>
        <w:t>, c’est-à-dire démotique, de la Pierre de Rose</w:t>
      </w:r>
      <w:r w:rsidR="00215E17">
        <w:rPr>
          <w:w w:val="103"/>
          <w:sz w:val="20"/>
        </w:rPr>
        <w:t>t</w:t>
      </w:r>
      <w:r w:rsidR="005D3D79">
        <w:rPr>
          <w:w w:val="103"/>
          <w:sz w:val="20"/>
        </w:rPr>
        <w:t>te</w:t>
      </w:r>
      <w:r>
        <w:rPr>
          <w:w w:val="103"/>
          <w:sz w:val="20"/>
        </w:rPr>
        <w:t>.</w:t>
      </w:r>
    </w:p>
  </w:footnote>
  <w:footnote w:id="31">
    <w:p w14:paraId="77D8DBEA" w14:textId="0DB22946" w:rsidR="00EB4758" w:rsidRPr="00B14DB0" w:rsidRDefault="00EB4758" w:rsidP="00EB4758">
      <w:pPr>
        <w:pStyle w:val="Notedebasdepage"/>
        <w:tabs>
          <w:tab w:val="clear" w:pos="709"/>
          <w:tab w:val="clear" w:pos="851"/>
          <w:tab w:val="left" w:pos="284"/>
        </w:tabs>
        <w:ind w:firstLine="0"/>
        <w:rPr>
          <w:sz w:val="20"/>
        </w:rPr>
      </w:pPr>
      <w:r w:rsidRPr="0023326C">
        <w:rPr>
          <w:rStyle w:val="Appelnotedebasdep"/>
          <w:sz w:val="20"/>
        </w:rPr>
        <w:footnoteRef/>
      </w:r>
      <w:r w:rsidRPr="0023326C">
        <w:rPr>
          <w:sz w:val="20"/>
        </w:rPr>
        <w:t xml:space="preserve"> </w:t>
      </w:r>
      <w:r w:rsidRPr="0023326C">
        <w:rPr>
          <w:sz w:val="20"/>
        </w:rPr>
        <w:tab/>
      </w:r>
      <w:r>
        <w:rPr>
          <w:sz w:val="20"/>
        </w:rPr>
        <w:t>Entretenant une correspondance irrégulière avec Young, Ch</w:t>
      </w:r>
      <w:r w:rsidR="00581138">
        <w:rPr>
          <w:sz w:val="20"/>
        </w:rPr>
        <w:t>a</w:t>
      </w:r>
      <w:r>
        <w:rPr>
          <w:sz w:val="20"/>
        </w:rPr>
        <w:t>mpollion</w:t>
      </w:r>
      <w:r w:rsidR="00581138">
        <w:rPr>
          <w:sz w:val="20"/>
        </w:rPr>
        <w:t xml:space="preserve"> ne se montre pas inquiet dans un premier temps. Il écrit à son frère en août</w:t>
      </w:r>
      <w:r w:rsidR="00B14DB0">
        <w:rPr>
          <w:sz w:val="20"/>
        </w:rPr>
        <w:t xml:space="preserve"> </w:t>
      </w:r>
      <w:r w:rsidR="00581138">
        <w:rPr>
          <w:sz w:val="20"/>
        </w:rPr>
        <w:t xml:space="preserve">1817 : </w:t>
      </w:r>
      <w:r w:rsidR="00B14DB0">
        <w:rPr>
          <w:sz w:val="20"/>
        </w:rPr>
        <w:t xml:space="preserve">« [c]e que je connais des </w:t>
      </w:r>
      <w:r w:rsidR="00B14DB0">
        <w:rPr>
          <w:sz w:val="20"/>
          <w:u w:val="single"/>
        </w:rPr>
        <w:t>découvertes</w:t>
      </w:r>
      <w:r w:rsidR="00B14DB0">
        <w:rPr>
          <w:sz w:val="20"/>
        </w:rPr>
        <w:t xml:space="preserve"> du Dr Young par la lettre qu’il m’a écrite sur l’inscription de Rosette me rassure sur son compte : </w:t>
      </w:r>
      <w:proofErr w:type="spellStart"/>
      <w:r w:rsidR="00B14DB0">
        <w:rPr>
          <w:sz w:val="20"/>
        </w:rPr>
        <w:t>Akerblad</w:t>
      </w:r>
      <w:proofErr w:type="spellEnd"/>
      <w:r w:rsidR="00B14DB0">
        <w:rPr>
          <w:sz w:val="20"/>
        </w:rPr>
        <w:t xml:space="preserve"> m’écrivait aussi qu’il avait renoncé à son travail. » (Archives de l’Isère, 185 J 10, pièce 24, folios 482 et 484</w:t>
      </w:r>
      <w:r w:rsidR="00FB0544">
        <w:rPr>
          <w:sz w:val="20"/>
        </w:rPr>
        <w:t xml:space="preserve"> = </w:t>
      </w:r>
      <w:r w:rsidR="00272636" w:rsidRPr="00B66C4F">
        <w:rPr>
          <w:smallCaps/>
          <w:sz w:val="20"/>
          <w:lang w:val="fr-CH"/>
        </w:rPr>
        <w:t>Madrigal</w:t>
      </w:r>
      <w:r w:rsidR="00272636" w:rsidRPr="00B66C4F">
        <w:rPr>
          <w:sz w:val="20"/>
          <w:lang w:val="fr-CH"/>
        </w:rPr>
        <w:t xml:space="preserve"> Karine</w:t>
      </w:r>
      <w:r w:rsidR="00272636">
        <w:rPr>
          <w:sz w:val="20"/>
          <w:lang w:val="fr-CH"/>
        </w:rPr>
        <w:t xml:space="preserve">, </w:t>
      </w:r>
      <w:r w:rsidR="00272636" w:rsidRPr="00B66C4F">
        <w:rPr>
          <w:i/>
          <w:iCs/>
          <w:sz w:val="20"/>
          <w:lang w:val="fr-CH"/>
        </w:rPr>
        <w:t>Jean-François et Jacques-Joseph Champollion</w:t>
      </w:r>
      <w:r w:rsidR="00272636">
        <w:rPr>
          <w:w w:val="103"/>
          <w:sz w:val="20"/>
          <w:lang w:val="fr-CH"/>
        </w:rPr>
        <w:t xml:space="preserve">, </w:t>
      </w:r>
      <w:r w:rsidR="00272636">
        <w:rPr>
          <w:i/>
          <w:iCs/>
          <w:w w:val="103"/>
          <w:sz w:val="20"/>
          <w:lang w:val="fr-CH"/>
        </w:rPr>
        <w:t xml:space="preserve">op. </w:t>
      </w:r>
      <w:proofErr w:type="spellStart"/>
      <w:r w:rsidR="00272636">
        <w:rPr>
          <w:i/>
          <w:iCs/>
          <w:w w:val="103"/>
          <w:sz w:val="20"/>
          <w:lang w:val="fr-CH"/>
        </w:rPr>
        <w:t>cit</w:t>
      </w:r>
      <w:proofErr w:type="spellEnd"/>
      <w:r w:rsidR="00272636">
        <w:rPr>
          <w:i/>
          <w:iCs/>
          <w:w w:val="103"/>
          <w:sz w:val="20"/>
          <w:lang w:val="fr-CH"/>
        </w:rPr>
        <w:t>.</w:t>
      </w:r>
      <w:r w:rsidR="00272636">
        <w:rPr>
          <w:w w:val="103"/>
          <w:sz w:val="20"/>
          <w:lang w:val="fr-CH"/>
        </w:rPr>
        <w:t>, p. </w:t>
      </w:r>
      <w:r w:rsidR="00FB0544">
        <w:rPr>
          <w:sz w:val="20"/>
        </w:rPr>
        <w:t>148</w:t>
      </w:r>
      <w:r w:rsidR="00B14DB0">
        <w:rPr>
          <w:sz w:val="20"/>
        </w:rPr>
        <w:t>)</w:t>
      </w:r>
      <w:r w:rsidR="00FB0544">
        <w:rPr>
          <w:sz w:val="20"/>
        </w:rPr>
        <w:t>.</w:t>
      </w:r>
    </w:p>
  </w:footnote>
  <w:footnote w:id="32">
    <w:p w14:paraId="050FBEFC" w14:textId="2BAFC135" w:rsidR="004D558D" w:rsidRPr="00C21CD9" w:rsidRDefault="004D558D" w:rsidP="004D558D">
      <w:pPr>
        <w:pStyle w:val="Notedebasdepage"/>
        <w:tabs>
          <w:tab w:val="clear" w:pos="709"/>
          <w:tab w:val="clear" w:pos="851"/>
          <w:tab w:val="left" w:pos="284"/>
        </w:tabs>
        <w:ind w:firstLine="0"/>
        <w:rPr>
          <w:sz w:val="20"/>
        </w:rPr>
      </w:pPr>
      <w:r w:rsidRPr="0023326C">
        <w:rPr>
          <w:rStyle w:val="Appelnotedebasdep"/>
          <w:sz w:val="20"/>
        </w:rPr>
        <w:footnoteRef/>
      </w:r>
      <w:r w:rsidRPr="0023326C">
        <w:rPr>
          <w:sz w:val="20"/>
        </w:rPr>
        <w:t xml:space="preserve"> </w:t>
      </w:r>
      <w:r w:rsidRPr="0023326C">
        <w:rPr>
          <w:sz w:val="20"/>
        </w:rPr>
        <w:tab/>
      </w:r>
      <w:r>
        <w:rPr>
          <w:sz w:val="20"/>
        </w:rPr>
        <w:t xml:space="preserve">Si l’on en croit une remarque de </w:t>
      </w:r>
      <w:r w:rsidR="00102B53">
        <w:rPr>
          <w:sz w:val="20"/>
        </w:rPr>
        <w:t xml:space="preserve">Thomas </w:t>
      </w:r>
      <w:r>
        <w:rPr>
          <w:sz w:val="20"/>
        </w:rPr>
        <w:t>Young lui-même (</w:t>
      </w:r>
      <w:r w:rsidR="00102B53" w:rsidRPr="00B66C4F">
        <w:rPr>
          <w:i/>
          <w:iCs/>
          <w:sz w:val="20"/>
          <w:lang w:val="en-US"/>
        </w:rPr>
        <w:t>An account of some recent discoveries in hieroglyphical literature, and Egyptian antiquities; including the author’s original alphabet, as extended by M. Champollion, with a translation of five unpublished Greek and Egyptian manuscripts</w:t>
      </w:r>
      <w:r w:rsidR="00102B53" w:rsidRPr="00B66C4F">
        <w:rPr>
          <w:sz w:val="20"/>
          <w:lang w:val="en-US"/>
        </w:rPr>
        <w:t xml:space="preserve">, </w:t>
      </w:r>
      <w:proofErr w:type="spellStart"/>
      <w:r w:rsidR="00102B53" w:rsidRPr="00B66C4F">
        <w:rPr>
          <w:sz w:val="20"/>
          <w:lang w:val="en-US"/>
        </w:rPr>
        <w:t>Londres</w:t>
      </w:r>
      <w:proofErr w:type="spellEnd"/>
      <w:r w:rsidR="00102B53" w:rsidRPr="00B66C4F">
        <w:rPr>
          <w:sz w:val="20"/>
          <w:lang w:val="en-US"/>
        </w:rPr>
        <w:t>, John Murray</w:t>
      </w:r>
      <w:r w:rsidR="00102B53">
        <w:rPr>
          <w:sz w:val="20"/>
          <w:lang w:val="en-US"/>
        </w:rPr>
        <w:t xml:space="preserve">, </w:t>
      </w:r>
      <w:r>
        <w:rPr>
          <w:sz w:val="20"/>
        </w:rPr>
        <w:t>1823</w:t>
      </w:r>
      <w:r w:rsidR="00102B53">
        <w:rPr>
          <w:sz w:val="20"/>
        </w:rPr>
        <w:t>, p. </w:t>
      </w:r>
      <w:r w:rsidR="00EA5A42">
        <w:rPr>
          <w:sz w:val="20"/>
        </w:rPr>
        <w:t xml:space="preserve">41), </w:t>
      </w:r>
      <w:r w:rsidR="00C21CD9">
        <w:rPr>
          <w:sz w:val="20"/>
        </w:rPr>
        <w:t xml:space="preserve">Champollion, qui résidait </w:t>
      </w:r>
      <w:r w:rsidR="008C318D">
        <w:rPr>
          <w:sz w:val="20"/>
        </w:rPr>
        <w:t xml:space="preserve">alors </w:t>
      </w:r>
      <w:r w:rsidR="00C21CD9">
        <w:rPr>
          <w:sz w:val="20"/>
        </w:rPr>
        <w:t>à Grenoble, n’a</w:t>
      </w:r>
      <w:r w:rsidR="008C318D">
        <w:rPr>
          <w:sz w:val="20"/>
        </w:rPr>
        <w:t xml:space="preserve">urait </w:t>
      </w:r>
      <w:r w:rsidR="00C21CD9">
        <w:rPr>
          <w:sz w:val="20"/>
        </w:rPr>
        <w:t>eu connaissance de la publication de l’article « </w:t>
      </w:r>
      <w:proofErr w:type="spellStart"/>
      <w:r w:rsidR="00C21CD9">
        <w:rPr>
          <w:i/>
          <w:iCs/>
          <w:sz w:val="20"/>
        </w:rPr>
        <w:t>Egypt</w:t>
      </w:r>
      <w:proofErr w:type="spellEnd"/>
      <w:r w:rsidR="00C21CD9">
        <w:rPr>
          <w:sz w:val="20"/>
        </w:rPr>
        <w:t xml:space="preserve"> » qu’après </w:t>
      </w:r>
      <w:r w:rsidR="003D2937">
        <w:rPr>
          <w:sz w:val="20"/>
        </w:rPr>
        <w:t>son retour à Paris début 1821.</w:t>
      </w:r>
      <w:r w:rsidR="003F42C9">
        <w:rPr>
          <w:sz w:val="20"/>
        </w:rPr>
        <w:t xml:space="preserve"> On peut cependant légitimement penser qu’il avait eu connaissance</w:t>
      </w:r>
      <w:r w:rsidR="00E229BD">
        <w:rPr>
          <w:sz w:val="20"/>
        </w:rPr>
        <w:t xml:space="preserve"> </w:t>
      </w:r>
      <w:r w:rsidR="00E229BD">
        <w:rPr>
          <w:sz w:val="20"/>
        </w:rPr>
        <w:t>plus tôt</w:t>
      </w:r>
      <w:r w:rsidR="00343048">
        <w:rPr>
          <w:sz w:val="20"/>
        </w:rPr>
        <w:t>,</w:t>
      </w:r>
      <w:r w:rsidR="003F42C9">
        <w:rPr>
          <w:sz w:val="20"/>
        </w:rPr>
        <w:t xml:space="preserve"> sinon du texte</w:t>
      </w:r>
      <w:r w:rsidR="00343048">
        <w:rPr>
          <w:sz w:val="20"/>
        </w:rPr>
        <w:t>,</w:t>
      </w:r>
      <w:r w:rsidR="003F42C9">
        <w:rPr>
          <w:sz w:val="20"/>
        </w:rPr>
        <w:t xml:space="preserve"> au moins de son contenu.</w:t>
      </w:r>
    </w:p>
  </w:footnote>
  <w:footnote w:id="33">
    <w:p w14:paraId="1B95CB03" w14:textId="786F04EB" w:rsidR="00A367CF" w:rsidRPr="00276D34" w:rsidRDefault="00A367CF" w:rsidP="00A367CF">
      <w:pPr>
        <w:pStyle w:val="Notedebasdepage"/>
        <w:tabs>
          <w:tab w:val="clear" w:pos="709"/>
          <w:tab w:val="clear" w:pos="851"/>
          <w:tab w:val="left" w:pos="284"/>
        </w:tabs>
        <w:ind w:firstLine="0"/>
        <w:rPr>
          <w:sz w:val="20"/>
        </w:rPr>
      </w:pPr>
      <w:r w:rsidRPr="0023326C">
        <w:rPr>
          <w:rStyle w:val="Appelnotedebasdep"/>
          <w:sz w:val="20"/>
        </w:rPr>
        <w:footnoteRef/>
      </w:r>
      <w:r w:rsidRPr="0023326C">
        <w:rPr>
          <w:sz w:val="20"/>
        </w:rPr>
        <w:t xml:space="preserve"> </w:t>
      </w:r>
      <w:r w:rsidRPr="0023326C">
        <w:rPr>
          <w:sz w:val="20"/>
        </w:rPr>
        <w:tab/>
        <w:t>Dans une lettre à son frère du 2 avril 1809 (</w:t>
      </w:r>
      <w:r w:rsidR="0023326C" w:rsidRPr="0023326C">
        <w:rPr>
          <w:sz w:val="20"/>
          <w:lang w:val="fr-CH"/>
        </w:rPr>
        <w:t>Archives de l’Isère,</w:t>
      </w:r>
      <w:r w:rsidRPr="0023326C">
        <w:rPr>
          <w:sz w:val="20"/>
        </w:rPr>
        <w:t xml:space="preserve"> 1</w:t>
      </w:r>
      <w:r>
        <w:rPr>
          <w:sz w:val="20"/>
        </w:rPr>
        <w:t>85 J 10, pièce 51, folios 90 et 91), on lit : « Je parle copte tout</w:t>
      </w:r>
      <w:r w:rsidR="00457060">
        <w:rPr>
          <w:sz w:val="20"/>
        </w:rPr>
        <w:t xml:space="preserve"> seul (vu que personne ne m’entendrait), c’est le vrai moyen de me mettre mon égyptien dans la tête</w:t>
      </w:r>
      <w:r>
        <w:rPr>
          <w:sz w:val="20"/>
        </w:rPr>
        <w:t> »</w:t>
      </w:r>
      <w:r w:rsidR="00457060">
        <w:rPr>
          <w:sz w:val="20"/>
        </w:rPr>
        <w:t xml:space="preserve"> (cf. </w:t>
      </w:r>
      <w:r w:rsidR="00E030D6" w:rsidRPr="00B66C4F">
        <w:rPr>
          <w:smallCaps/>
          <w:sz w:val="20"/>
          <w:lang w:val="fr-CH"/>
        </w:rPr>
        <w:t>Madrigal</w:t>
      </w:r>
      <w:r w:rsidR="00E030D6" w:rsidRPr="00B66C4F">
        <w:rPr>
          <w:sz w:val="20"/>
          <w:lang w:val="fr-CH"/>
        </w:rPr>
        <w:t xml:space="preserve"> Karine</w:t>
      </w:r>
      <w:r w:rsidR="00E030D6">
        <w:rPr>
          <w:sz w:val="20"/>
          <w:lang w:val="fr-CH"/>
        </w:rPr>
        <w:t xml:space="preserve">, </w:t>
      </w:r>
      <w:r w:rsidR="00E030D6" w:rsidRPr="00B66C4F">
        <w:rPr>
          <w:i/>
          <w:iCs/>
          <w:sz w:val="20"/>
          <w:lang w:val="fr-CH"/>
        </w:rPr>
        <w:t>Jean-François et Jacques-Joseph Champollion</w:t>
      </w:r>
      <w:r w:rsidR="00E030D6">
        <w:rPr>
          <w:w w:val="103"/>
          <w:sz w:val="20"/>
          <w:lang w:val="fr-CH"/>
        </w:rPr>
        <w:t xml:space="preserve">, </w:t>
      </w:r>
      <w:r w:rsidR="00E030D6">
        <w:rPr>
          <w:i/>
          <w:iCs/>
          <w:w w:val="103"/>
          <w:sz w:val="20"/>
          <w:lang w:val="fr-CH"/>
        </w:rPr>
        <w:t xml:space="preserve">op. </w:t>
      </w:r>
      <w:proofErr w:type="spellStart"/>
      <w:r w:rsidR="00E030D6">
        <w:rPr>
          <w:i/>
          <w:iCs/>
          <w:w w:val="103"/>
          <w:sz w:val="20"/>
          <w:lang w:val="fr-CH"/>
        </w:rPr>
        <w:t>cit</w:t>
      </w:r>
      <w:proofErr w:type="spellEnd"/>
      <w:r w:rsidR="00E030D6">
        <w:rPr>
          <w:i/>
          <w:iCs/>
          <w:w w:val="103"/>
          <w:sz w:val="20"/>
          <w:lang w:val="fr-CH"/>
        </w:rPr>
        <w:t>.</w:t>
      </w:r>
      <w:r w:rsidR="00E030D6">
        <w:rPr>
          <w:w w:val="103"/>
          <w:sz w:val="20"/>
          <w:lang w:val="fr-CH"/>
        </w:rPr>
        <w:t>, p. </w:t>
      </w:r>
      <w:r w:rsidR="00457060">
        <w:rPr>
          <w:sz w:val="20"/>
        </w:rPr>
        <w:t>67).</w:t>
      </w:r>
    </w:p>
  </w:footnote>
  <w:footnote w:id="34">
    <w:p w14:paraId="661762EE" w14:textId="022E6F09" w:rsidR="006F211A" w:rsidRPr="006F211A" w:rsidRDefault="006F211A" w:rsidP="006F211A">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 xml:space="preserve"> </w:t>
      </w:r>
      <w:r w:rsidRPr="00276D34">
        <w:rPr>
          <w:sz w:val="20"/>
        </w:rPr>
        <w:tab/>
      </w:r>
      <w:r>
        <w:rPr>
          <w:sz w:val="20"/>
        </w:rPr>
        <w:t xml:space="preserve">Il faut cependant noter son intervention devant l’Académie </w:t>
      </w:r>
      <w:proofErr w:type="spellStart"/>
      <w:r>
        <w:rPr>
          <w:sz w:val="20"/>
        </w:rPr>
        <w:t>delphinale</w:t>
      </w:r>
      <w:proofErr w:type="spellEnd"/>
      <w:r>
        <w:rPr>
          <w:sz w:val="20"/>
        </w:rPr>
        <w:t xml:space="preserve"> le 24 juillet 1818 avec une </w:t>
      </w:r>
      <w:r>
        <w:rPr>
          <w:i/>
          <w:iCs/>
          <w:sz w:val="20"/>
        </w:rPr>
        <w:t>Explication d’un fragment de l’inscription de Rosette</w:t>
      </w:r>
      <w:r w:rsidR="003A37BB">
        <w:rPr>
          <w:i/>
          <w:iCs/>
          <w:sz w:val="20"/>
        </w:rPr>
        <w:t xml:space="preserve"> </w:t>
      </w:r>
      <w:r w:rsidR="003A37BB">
        <w:rPr>
          <w:sz w:val="20"/>
        </w:rPr>
        <w:t>(</w:t>
      </w:r>
      <w:r w:rsidR="007C7F1E" w:rsidRPr="00B66C4F">
        <w:rPr>
          <w:smallCaps/>
          <w:sz w:val="20"/>
          <w:lang w:val="fr-CH"/>
        </w:rPr>
        <w:t>Lacouture</w:t>
      </w:r>
      <w:r w:rsidR="007C7F1E" w:rsidRPr="00B66C4F">
        <w:rPr>
          <w:sz w:val="20"/>
          <w:lang w:val="fr-CH"/>
        </w:rPr>
        <w:t xml:space="preserve"> Jean</w:t>
      </w:r>
      <w:r w:rsidR="007C7F1E">
        <w:rPr>
          <w:sz w:val="20"/>
          <w:lang w:val="fr-CH"/>
        </w:rPr>
        <w:t>,</w:t>
      </w:r>
      <w:r w:rsidR="007C7F1E" w:rsidRPr="00B66C4F">
        <w:rPr>
          <w:sz w:val="20"/>
          <w:lang w:val="fr-CH"/>
        </w:rPr>
        <w:t xml:space="preserve"> </w:t>
      </w:r>
      <w:r w:rsidR="007C7F1E" w:rsidRPr="007C7F1E">
        <w:rPr>
          <w:i/>
          <w:iCs/>
          <w:sz w:val="20"/>
          <w:lang w:val="fr-CH"/>
        </w:rPr>
        <w:t>Champollion</w:t>
      </w:r>
      <w:r w:rsidR="007C7F1E">
        <w:rPr>
          <w:sz w:val="20"/>
          <w:lang w:val="fr-CH"/>
        </w:rPr>
        <w:t xml:space="preserve">, </w:t>
      </w:r>
      <w:r w:rsidR="007C7F1E">
        <w:rPr>
          <w:i/>
          <w:iCs/>
          <w:sz w:val="20"/>
          <w:lang w:val="fr-CH"/>
        </w:rPr>
        <w:t xml:space="preserve">op. </w:t>
      </w:r>
      <w:proofErr w:type="spellStart"/>
      <w:r w:rsidR="007C7F1E">
        <w:rPr>
          <w:i/>
          <w:iCs/>
          <w:sz w:val="20"/>
          <w:lang w:val="fr-CH"/>
        </w:rPr>
        <w:t>cit</w:t>
      </w:r>
      <w:proofErr w:type="spellEnd"/>
      <w:r w:rsidR="007C7F1E">
        <w:rPr>
          <w:i/>
          <w:iCs/>
          <w:sz w:val="20"/>
          <w:lang w:val="fr-CH"/>
        </w:rPr>
        <w:t>.</w:t>
      </w:r>
      <w:r w:rsidR="007C7F1E">
        <w:rPr>
          <w:sz w:val="20"/>
          <w:lang w:val="fr-CH"/>
        </w:rPr>
        <w:t xml:space="preserve">, </w:t>
      </w:r>
      <w:r w:rsidR="007C7F1E">
        <w:rPr>
          <w:sz w:val="20"/>
        </w:rPr>
        <w:t>pp. </w:t>
      </w:r>
      <w:r w:rsidR="003A37BB">
        <w:rPr>
          <w:sz w:val="20"/>
        </w:rPr>
        <w:t>231–232)</w:t>
      </w:r>
      <w:r>
        <w:rPr>
          <w:sz w:val="20"/>
        </w:rPr>
        <w:t>.</w:t>
      </w:r>
    </w:p>
  </w:footnote>
  <w:footnote w:id="35">
    <w:p w14:paraId="77873540" w14:textId="44EDFB93" w:rsidR="00E007BD" w:rsidRPr="00D11F81" w:rsidRDefault="00E007BD" w:rsidP="00E007BD">
      <w:pPr>
        <w:pStyle w:val="Notedebasdepage"/>
        <w:tabs>
          <w:tab w:val="clear" w:pos="709"/>
          <w:tab w:val="clear" w:pos="851"/>
          <w:tab w:val="left" w:pos="284"/>
        </w:tabs>
        <w:ind w:firstLine="0"/>
        <w:rPr>
          <w:sz w:val="20"/>
        </w:rPr>
      </w:pPr>
      <w:r w:rsidRPr="00D11F81">
        <w:rPr>
          <w:rStyle w:val="Appelnotedebasdep"/>
          <w:sz w:val="20"/>
        </w:rPr>
        <w:footnoteRef/>
      </w:r>
      <w:r w:rsidRPr="00D11F81">
        <w:rPr>
          <w:sz w:val="20"/>
        </w:rPr>
        <w:t xml:space="preserve"> </w:t>
      </w:r>
      <w:r w:rsidRPr="00D11F81">
        <w:rPr>
          <w:sz w:val="20"/>
        </w:rPr>
        <w:tab/>
      </w:r>
      <w:r w:rsidRPr="00D11F81">
        <w:rPr>
          <w:sz w:val="20"/>
          <w:lang w:val="fr-CH"/>
        </w:rPr>
        <w:t xml:space="preserve">En septembre 1820, Champollion adresse une lettre à François Arthaud </w:t>
      </w:r>
      <w:r w:rsidR="00D11F81" w:rsidRPr="00D11F81">
        <w:rPr>
          <w:sz w:val="20"/>
          <w:lang w:val="fr-CH"/>
        </w:rPr>
        <w:t>(</w:t>
      </w:r>
      <w:r w:rsidR="001350E2">
        <w:rPr>
          <w:sz w:val="20"/>
        </w:rPr>
        <w:t xml:space="preserve">Marc </w:t>
      </w:r>
      <w:proofErr w:type="spellStart"/>
      <w:r w:rsidR="001350E2" w:rsidRPr="0099274B">
        <w:rPr>
          <w:smallCaps/>
          <w:sz w:val="20"/>
        </w:rPr>
        <w:t>Gabolde</w:t>
      </w:r>
      <w:proofErr w:type="spellEnd"/>
      <w:r w:rsidR="001350E2">
        <w:rPr>
          <w:sz w:val="20"/>
        </w:rPr>
        <w:t xml:space="preserve">, </w:t>
      </w:r>
      <w:r w:rsidR="001350E2" w:rsidRPr="00B66C4F">
        <w:rPr>
          <w:sz w:val="20"/>
          <w:lang w:val="fr-CH"/>
        </w:rPr>
        <w:t>« Une lettre inédite</w:t>
      </w:r>
      <w:r w:rsidR="001350E2">
        <w:rPr>
          <w:sz w:val="20"/>
          <w:lang w:val="fr-CH"/>
        </w:rPr>
        <w:t xml:space="preserve"> », </w:t>
      </w:r>
      <w:r w:rsidR="001350E2">
        <w:rPr>
          <w:i/>
          <w:iCs/>
          <w:sz w:val="20"/>
          <w:lang w:val="fr-CH"/>
        </w:rPr>
        <w:t>op. </w:t>
      </w:r>
      <w:proofErr w:type="spellStart"/>
      <w:r w:rsidR="001350E2">
        <w:rPr>
          <w:i/>
          <w:iCs/>
          <w:sz w:val="20"/>
          <w:lang w:val="fr-CH"/>
        </w:rPr>
        <w:t>cit</w:t>
      </w:r>
      <w:proofErr w:type="spellEnd"/>
      <w:r w:rsidR="001350E2">
        <w:rPr>
          <w:i/>
          <w:iCs/>
          <w:sz w:val="20"/>
          <w:lang w:val="fr-CH"/>
        </w:rPr>
        <w:t>.</w:t>
      </w:r>
      <w:r w:rsidR="00D11F81" w:rsidRPr="00D11F81">
        <w:rPr>
          <w:sz w:val="20"/>
          <w:lang w:val="fr-CH"/>
        </w:rPr>
        <w:t xml:space="preserve">), </w:t>
      </w:r>
      <w:r w:rsidRPr="00D11F81">
        <w:rPr>
          <w:sz w:val="20"/>
          <w:lang w:val="fr-CH"/>
        </w:rPr>
        <w:t xml:space="preserve">dans laquelle on </w:t>
      </w:r>
      <w:r w:rsidR="00642173">
        <w:rPr>
          <w:sz w:val="20"/>
          <w:lang w:val="fr-CH"/>
        </w:rPr>
        <w:t>observe</w:t>
      </w:r>
      <w:r w:rsidRPr="00D11F81">
        <w:rPr>
          <w:sz w:val="20"/>
          <w:lang w:val="fr-CH"/>
        </w:rPr>
        <w:t xml:space="preserve"> qu’il a compris comment </w:t>
      </w:r>
      <w:r w:rsidR="00E714D6">
        <w:rPr>
          <w:sz w:val="20"/>
          <w:lang w:val="fr-CH"/>
        </w:rPr>
        <w:t xml:space="preserve">est </w:t>
      </w:r>
      <w:r w:rsidR="00082B88">
        <w:rPr>
          <w:sz w:val="20"/>
          <w:lang w:val="fr-CH"/>
        </w:rPr>
        <w:t>écrit</w:t>
      </w:r>
      <w:r w:rsidR="00E714D6">
        <w:rPr>
          <w:sz w:val="20"/>
          <w:lang w:val="fr-CH"/>
        </w:rPr>
        <w:t xml:space="preserve"> </w:t>
      </w:r>
      <w:r w:rsidRPr="00D11F81">
        <w:rPr>
          <w:sz w:val="20"/>
          <w:lang w:val="fr-CH"/>
        </w:rPr>
        <w:t>le pluriel</w:t>
      </w:r>
      <w:r w:rsidR="00E714D6">
        <w:rPr>
          <w:sz w:val="20"/>
          <w:lang w:val="fr-CH"/>
        </w:rPr>
        <w:t xml:space="preserve"> du substantif </w:t>
      </w:r>
      <w:proofErr w:type="spellStart"/>
      <w:r w:rsidR="00E714D6">
        <w:rPr>
          <w:i/>
          <w:iCs/>
          <w:sz w:val="20"/>
          <w:lang w:val="fr-CH"/>
        </w:rPr>
        <w:t>nṯr</w:t>
      </w:r>
      <w:proofErr w:type="spellEnd"/>
      <w:r w:rsidR="00E714D6">
        <w:rPr>
          <w:i/>
          <w:iCs/>
          <w:sz w:val="20"/>
          <w:lang w:val="fr-CH"/>
        </w:rPr>
        <w:t xml:space="preserve"> </w:t>
      </w:r>
      <w:r w:rsidR="00E714D6">
        <w:rPr>
          <w:sz w:val="20"/>
          <w:lang w:val="fr-CH"/>
        </w:rPr>
        <w:t>«</w:t>
      </w:r>
      <w:r w:rsidR="00E714D6" w:rsidRPr="00D635F8">
        <w:rPr>
          <w:sz w:val="20"/>
          <w:lang w:val="fr-BE"/>
        </w:rPr>
        <w:t> dieu</w:t>
      </w:r>
      <w:r w:rsidR="00E714D6">
        <w:rPr>
          <w:sz w:val="20"/>
          <w:lang w:val="fr-CH"/>
        </w:rPr>
        <w:t> »</w:t>
      </w:r>
      <w:r w:rsidRPr="00D11F81">
        <w:rPr>
          <w:sz w:val="20"/>
          <w:lang w:val="fr-CH"/>
        </w:rPr>
        <w:t xml:space="preserve"> et </w:t>
      </w:r>
      <w:r w:rsidR="00BF5265">
        <w:rPr>
          <w:sz w:val="20"/>
          <w:lang w:val="fr-CH"/>
        </w:rPr>
        <w:t xml:space="preserve">comment </w:t>
      </w:r>
      <w:r w:rsidRPr="00D11F81">
        <w:rPr>
          <w:sz w:val="20"/>
          <w:lang w:val="fr-CH"/>
        </w:rPr>
        <w:t>les logogrammes de divinités</w:t>
      </w:r>
      <w:r w:rsidR="00635071">
        <w:rPr>
          <w:sz w:val="20"/>
          <w:lang w:val="fr-CH"/>
        </w:rPr>
        <w:t xml:space="preserve"> spécifiques sont </w:t>
      </w:r>
      <w:r w:rsidR="001C3875">
        <w:rPr>
          <w:sz w:val="20"/>
          <w:lang w:val="fr-CH"/>
        </w:rPr>
        <w:t>employés</w:t>
      </w:r>
      <w:r w:rsidR="00635071">
        <w:rPr>
          <w:sz w:val="20"/>
          <w:lang w:val="fr-CH"/>
        </w:rPr>
        <w:t>.</w:t>
      </w:r>
    </w:p>
  </w:footnote>
  <w:footnote w:id="36">
    <w:p w14:paraId="01060EE3" w14:textId="143801AB" w:rsidR="003A6976" w:rsidRPr="00276D34" w:rsidRDefault="003A6976"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 xml:space="preserve"> </w:t>
      </w:r>
      <w:r w:rsidRPr="00276D34">
        <w:rPr>
          <w:sz w:val="20"/>
        </w:rPr>
        <w:tab/>
        <w:t xml:space="preserve">Les deux mémoires en question sont inédits, mais Jacques-Joseph Champollion-Figeac a fait figurer des extraits du mémoire sur l’écriture hiératique dans la </w:t>
      </w:r>
      <w:r w:rsidRPr="00276D34">
        <w:rPr>
          <w:i/>
          <w:iCs/>
          <w:sz w:val="20"/>
        </w:rPr>
        <w:t xml:space="preserve">Préface </w:t>
      </w:r>
      <w:r w:rsidRPr="00276D34">
        <w:rPr>
          <w:sz w:val="20"/>
        </w:rPr>
        <w:t xml:space="preserve">au </w:t>
      </w:r>
      <w:r w:rsidRPr="00276D34">
        <w:rPr>
          <w:i/>
          <w:iCs/>
          <w:sz w:val="20"/>
        </w:rPr>
        <w:t xml:space="preserve">Dictionnaire égyptien </w:t>
      </w:r>
      <w:r w:rsidRPr="00276D34">
        <w:rPr>
          <w:sz w:val="20"/>
        </w:rPr>
        <w:t>(</w:t>
      </w:r>
      <w:r w:rsidR="00AD17AE" w:rsidRPr="00B66C4F">
        <w:rPr>
          <w:smallCaps/>
          <w:sz w:val="20"/>
          <w:lang w:val="fr-CH"/>
        </w:rPr>
        <w:t>Champollion</w:t>
      </w:r>
      <w:r w:rsidR="00AD17AE" w:rsidRPr="00B66C4F">
        <w:rPr>
          <w:sz w:val="20"/>
          <w:lang w:val="fr-CH"/>
        </w:rPr>
        <w:t xml:space="preserve"> Jean-François</w:t>
      </w:r>
      <w:r w:rsidR="00AD17AE">
        <w:rPr>
          <w:sz w:val="20"/>
          <w:lang w:val="fr-CH"/>
        </w:rPr>
        <w:t xml:space="preserve">, </w:t>
      </w:r>
      <w:r w:rsidR="00AD17AE" w:rsidRPr="00B66C4F">
        <w:rPr>
          <w:i/>
          <w:iCs/>
          <w:sz w:val="20"/>
          <w:lang w:val="fr-CH"/>
        </w:rPr>
        <w:t>Dictionnaire égyptien en écriture hiéroglyphique</w:t>
      </w:r>
      <w:r w:rsidR="00AD17AE" w:rsidRPr="00B66C4F">
        <w:rPr>
          <w:sz w:val="20"/>
          <w:lang w:val="fr-CH"/>
        </w:rPr>
        <w:t>, Paris, Firmin Didot Frères</w:t>
      </w:r>
      <w:r w:rsidR="00AD17AE">
        <w:rPr>
          <w:sz w:val="20"/>
          <w:lang w:val="fr-CH"/>
        </w:rPr>
        <w:t>,</w:t>
      </w:r>
      <w:r w:rsidR="00AD17AE" w:rsidRPr="00B66C4F">
        <w:rPr>
          <w:sz w:val="20"/>
          <w:lang w:val="fr-CH"/>
        </w:rPr>
        <w:t xml:space="preserve"> 1841</w:t>
      </w:r>
      <w:r w:rsidRPr="00276D34">
        <w:rPr>
          <w:sz w:val="20"/>
        </w:rPr>
        <w:t>), dont il prendra en charge la publication à partir des manuscrits autographes après le décès de son frère.</w:t>
      </w:r>
    </w:p>
  </w:footnote>
  <w:footnote w:id="37">
    <w:p w14:paraId="006BAAE3" w14:textId="61577176" w:rsidR="004111BF" w:rsidRPr="00276D34" w:rsidRDefault="004111BF"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ab/>
      </w:r>
      <w:r w:rsidRPr="00276D34">
        <w:rPr>
          <w:rFonts w:asciiTheme="majorBidi" w:hAnsiTheme="majorBidi" w:cstheme="majorBidi"/>
          <w:sz w:val="20"/>
        </w:rPr>
        <w:t>Pour</w:t>
      </w:r>
      <w:r w:rsidRPr="00276D34">
        <w:rPr>
          <w:sz w:val="20"/>
        </w:rPr>
        <w:t xml:space="preserve"> établir les correspondances entre les (groupes de) signes des deux écritures, Champollion a dû identifier, sur bases purement formelles, puisqu’il ne pouvait pas encore lire les manuscrits en question, des textes qui pouvaient être écrits tantôt au moyen de l’écriture hiéroglyphique tantôt au moyen d’une variante plus cursive. Les </w:t>
      </w:r>
      <w:r w:rsidRPr="00276D34">
        <w:rPr>
          <w:i/>
          <w:iCs/>
          <w:sz w:val="20"/>
        </w:rPr>
        <w:t>Livres des Morts</w:t>
      </w:r>
      <w:r w:rsidRPr="00276D34">
        <w:rPr>
          <w:sz w:val="20"/>
        </w:rPr>
        <w:t>, qui peuvent être</w:t>
      </w:r>
      <w:r w:rsidRPr="00276D34">
        <w:rPr>
          <w:i/>
          <w:iCs/>
          <w:sz w:val="20"/>
        </w:rPr>
        <w:t xml:space="preserve"> </w:t>
      </w:r>
      <w:r w:rsidRPr="00276D34">
        <w:rPr>
          <w:sz w:val="20"/>
        </w:rPr>
        <w:t>rédigés dans les deux écritures, lui</w:t>
      </w:r>
      <w:r w:rsidRPr="00276D34">
        <w:rPr>
          <w:i/>
          <w:iCs/>
          <w:sz w:val="20"/>
        </w:rPr>
        <w:t xml:space="preserve"> </w:t>
      </w:r>
      <w:r w:rsidRPr="00276D34">
        <w:rPr>
          <w:sz w:val="20"/>
        </w:rPr>
        <w:t>ont fourni un intéressant laboratoire : les vignettes dessinées dans ces manuscrits funéraires lui donnai</w:t>
      </w:r>
      <w:r w:rsidR="002178E0">
        <w:rPr>
          <w:sz w:val="20"/>
        </w:rPr>
        <w:t>en</w:t>
      </w:r>
      <w:r w:rsidRPr="00276D34">
        <w:rPr>
          <w:sz w:val="20"/>
        </w:rPr>
        <w:t>t des points d’ancrage commodes permettant d’aligner les différentes versions.</w:t>
      </w:r>
    </w:p>
  </w:footnote>
  <w:footnote w:id="38">
    <w:p w14:paraId="2641F9AF" w14:textId="70ACB9F6" w:rsidR="00A85A4A" w:rsidRPr="00276D34" w:rsidRDefault="00A85A4A" w:rsidP="004B0026">
      <w:pPr>
        <w:pStyle w:val="Notedebasdepage"/>
        <w:tabs>
          <w:tab w:val="clear" w:pos="709"/>
          <w:tab w:val="clear" w:pos="851"/>
          <w:tab w:val="left" w:pos="284"/>
        </w:tabs>
        <w:ind w:firstLine="0"/>
        <w:rPr>
          <w:sz w:val="20"/>
        </w:rPr>
      </w:pPr>
      <w:r w:rsidRPr="00276D34">
        <w:rPr>
          <w:rStyle w:val="Appelnotedebasdep"/>
          <w:sz w:val="20"/>
        </w:rPr>
        <w:footnoteRef/>
      </w:r>
      <w:r w:rsidRPr="00276D34">
        <w:rPr>
          <w:sz w:val="20"/>
        </w:rPr>
        <w:t xml:space="preserve"> </w:t>
      </w:r>
      <w:r w:rsidRPr="00276D34">
        <w:rPr>
          <w:sz w:val="20"/>
        </w:rPr>
        <w:tab/>
        <w:t>Champollion</w:t>
      </w:r>
      <w:r w:rsidR="00D818F3" w:rsidRPr="00276D34">
        <w:rPr>
          <w:sz w:val="20"/>
        </w:rPr>
        <w:t xml:space="preserve"> en avait proposé une première étude en mars 1822 :</w:t>
      </w:r>
      <w:r w:rsidRPr="00276D34">
        <w:rPr>
          <w:sz w:val="20"/>
        </w:rPr>
        <w:t xml:space="preserve"> « Observations sur l’obélisque égyptien de l’île de Philae », </w:t>
      </w:r>
      <w:r w:rsidRPr="00276D34">
        <w:rPr>
          <w:i/>
          <w:iCs/>
          <w:sz w:val="20"/>
        </w:rPr>
        <w:t>Revue encyclopédique</w:t>
      </w:r>
      <w:r w:rsidRPr="00276D34">
        <w:rPr>
          <w:sz w:val="20"/>
        </w:rPr>
        <w:t>, mars 1822, p</w:t>
      </w:r>
      <w:r w:rsidR="002126F3">
        <w:rPr>
          <w:sz w:val="20"/>
        </w:rPr>
        <w:t>p</w:t>
      </w:r>
      <w:r w:rsidRPr="00276D34">
        <w:rPr>
          <w:sz w:val="20"/>
        </w:rPr>
        <w:t>.</w:t>
      </w:r>
      <w:r w:rsidRPr="00276D34">
        <w:rPr>
          <w:i/>
          <w:iCs/>
          <w:sz w:val="20"/>
        </w:rPr>
        <w:t> </w:t>
      </w:r>
      <w:r w:rsidRPr="00276D34">
        <w:rPr>
          <w:sz w:val="20"/>
        </w:rPr>
        <w:t>1–11.</w:t>
      </w:r>
    </w:p>
  </w:footnote>
  <w:footnote w:id="39">
    <w:p w14:paraId="27F4B626" w14:textId="373A0FAB" w:rsidR="003F64FD" w:rsidRPr="00CB17FB" w:rsidRDefault="003F64FD" w:rsidP="003F64FD">
      <w:pPr>
        <w:pStyle w:val="Notedebasdepage"/>
        <w:tabs>
          <w:tab w:val="clear" w:pos="709"/>
          <w:tab w:val="clear" w:pos="851"/>
          <w:tab w:val="left" w:pos="284"/>
        </w:tabs>
        <w:ind w:firstLine="0"/>
        <w:rPr>
          <w:sz w:val="20"/>
        </w:rPr>
      </w:pPr>
      <w:r w:rsidRPr="00CB17FB">
        <w:rPr>
          <w:rStyle w:val="Appelnotedebasdep"/>
          <w:sz w:val="20"/>
        </w:rPr>
        <w:footnoteRef/>
      </w:r>
      <w:r w:rsidRPr="00CB17FB">
        <w:rPr>
          <w:sz w:val="20"/>
        </w:rPr>
        <w:t xml:space="preserve"> </w:t>
      </w:r>
      <w:r w:rsidRPr="00CB17FB">
        <w:rPr>
          <w:sz w:val="20"/>
        </w:rPr>
        <w:tab/>
        <w:t xml:space="preserve">Voir </w:t>
      </w:r>
      <w:proofErr w:type="spellStart"/>
      <w:r w:rsidRPr="00CB17FB">
        <w:rPr>
          <w:sz w:val="20"/>
          <w:lang w:val="fr-CH"/>
        </w:rPr>
        <w:t>Farout</w:t>
      </w:r>
      <w:proofErr w:type="spellEnd"/>
      <w:r w:rsidRPr="00CB17FB">
        <w:rPr>
          <w:sz w:val="20"/>
          <w:lang w:val="fr-CH"/>
        </w:rPr>
        <w:t xml:space="preserve"> </w:t>
      </w:r>
      <w:r w:rsidR="00CB17FB">
        <w:rPr>
          <w:sz w:val="20"/>
          <w:lang w:val="fr-CH"/>
        </w:rPr>
        <w:t>(</w:t>
      </w:r>
      <w:r w:rsidR="00701593" w:rsidRPr="00B66C4F">
        <w:rPr>
          <w:sz w:val="20"/>
          <w:lang w:val="fr-CH"/>
        </w:rPr>
        <w:t>« De la Renaissance à la Restauration</w:t>
      </w:r>
      <w:r w:rsidR="00701593">
        <w:rPr>
          <w:sz w:val="20"/>
          <w:lang w:val="fr-CH"/>
        </w:rPr>
        <w:t xml:space="preserve"> », </w:t>
      </w:r>
      <w:r w:rsidR="00701593">
        <w:rPr>
          <w:i/>
          <w:iCs/>
          <w:sz w:val="20"/>
          <w:lang w:val="fr-CH"/>
        </w:rPr>
        <w:t xml:space="preserve">op. </w:t>
      </w:r>
      <w:proofErr w:type="spellStart"/>
      <w:r w:rsidR="00701593">
        <w:rPr>
          <w:i/>
          <w:iCs/>
          <w:sz w:val="20"/>
          <w:lang w:val="fr-CH"/>
        </w:rPr>
        <w:t>cit</w:t>
      </w:r>
      <w:proofErr w:type="spellEnd"/>
      <w:r w:rsidR="00701593">
        <w:rPr>
          <w:i/>
          <w:iCs/>
          <w:sz w:val="20"/>
          <w:lang w:val="fr-CH"/>
        </w:rPr>
        <w:t>.</w:t>
      </w:r>
      <w:r w:rsidR="00CB17FB">
        <w:rPr>
          <w:sz w:val="20"/>
          <w:lang w:val="fr-CH"/>
        </w:rPr>
        <w:t>)</w:t>
      </w:r>
      <w:r w:rsidRPr="00CB17FB">
        <w:rPr>
          <w:sz w:val="20"/>
          <w:lang w:val="fr-CH"/>
        </w:rPr>
        <w:t xml:space="preserve"> pour un excellent résumé.</w:t>
      </w:r>
    </w:p>
  </w:footnote>
  <w:footnote w:id="40">
    <w:p w14:paraId="52470B07" w14:textId="6F318F08" w:rsidR="00D30199" w:rsidRPr="00276D34" w:rsidRDefault="00D30199" w:rsidP="004B0026">
      <w:pPr>
        <w:pStyle w:val="Notedebasdepage"/>
        <w:tabs>
          <w:tab w:val="clear" w:pos="709"/>
          <w:tab w:val="clear" w:pos="851"/>
          <w:tab w:val="left" w:pos="284"/>
        </w:tabs>
        <w:ind w:firstLine="0"/>
        <w:rPr>
          <w:sz w:val="20"/>
          <w:lang w:val="fr-BE"/>
        </w:rPr>
      </w:pPr>
      <w:r w:rsidRPr="00276D34">
        <w:rPr>
          <w:rStyle w:val="Appelnotedebasdep"/>
          <w:sz w:val="20"/>
        </w:rPr>
        <w:footnoteRef/>
      </w:r>
      <w:r w:rsidRPr="00276D34">
        <w:rPr>
          <w:sz w:val="20"/>
        </w:rPr>
        <w:tab/>
      </w:r>
      <w:r w:rsidRPr="00276D34">
        <w:rPr>
          <w:rFonts w:asciiTheme="majorBidi" w:hAnsiTheme="majorBidi" w:cstheme="majorBidi"/>
          <w:sz w:val="20"/>
        </w:rPr>
        <w:t>À la différence des cartouches de souverains gréco-romains, les graphies de pharaons égyptiens font intervenir, en plus des phonogrammes, des signes-mots (appelés logogrammes) comme</w:t>
      </w:r>
      <w:r w:rsidRPr="00276D34">
        <w:rPr>
          <w:rFonts w:asciiTheme="majorBidi" w:hAnsiTheme="majorBidi" w:cstheme="majorBidi"/>
          <w:noProof/>
          <w:position w:val="-6"/>
          <w:sz w:val="20"/>
        </w:rPr>
        <w:t xml:space="preserve"> </w:t>
      </w:r>
      <w:r w:rsidRPr="00276D34">
        <w:rPr>
          <w:rFonts w:asciiTheme="majorBidi" w:hAnsiTheme="majorBidi" w:cstheme="majorBidi"/>
          <w:noProof/>
          <w:position w:val="-6"/>
          <w:sz w:val="20"/>
        </w:rPr>
        <w:drawing>
          <wp:inline distT="0" distB="0" distL="0" distR="0" wp14:anchorId="4E585497" wp14:editId="2DB201D8">
            <wp:extent cx="101600" cy="177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600" cy="177800"/>
                    </a:xfrm>
                    <a:prstGeom prst="rect">
                      <a:avLst/>
                    </a:prstGeom>
                  </pic:spPr>
                </pic:pic>
              </a:graphicData>
            </a:graphic>
          </wp:inline>
        </w:drawing>
      </w:r>
      <w:r w:rsidRPr="00276D34">
        <w:rPr>
          <w:rFonts w:asciiTheme="majorBidi" w:hAnsiTheme="majorBidi" w:cstheme="majorBidi"/>
          <w:sz w:val="20"/>
        </w:rPr>
        <w:t xml:space="preserve"> </w:t>
      </w:r>
      <w:r w:rsidRPr="00276D34">
        <w:rPr>
          <w:rFonts w:asciiTheme="majorBidi" w:hAnsiTheme="majorBidi" w:cstheme="majorBidi"/>
          <w:i/>
          <w:iCs/>
          <w:sz w:val="20"/>
        </w:rPr>
        <w:t>R</w:t>
      </w:r>
      <w:r w:rsidRPr="00276D34">
        <w:rPr>
          <w:rFonts w:ascii="Tahoma" w:hAnsi="Tahoma" w:cs="Tahoma"/>
          <w:i/>
          <w:iCs/>
          <w:sz w:val="20"/>
        </w:rPr>
        <w:t>ꜥ</w:t>
      </w:r>
      <w:r w:rsidRPr="00276D34">
        <w:rPr>
          <w:rFonts w:asciiTheme="majorBidi" w:hAnsiTheme="majorBidi" w:cstheme="majorBidi"/>
          <w:sz w:val="20"/>
        </w:rPr>
        <w:t xml:space="preserve"> « Rê (le dieu solaire) ».</w:t>
      </w:r>
    </w:p>
  </w:footnote>
  <w:footnote w:id="41">
    <w:p w14:paraId="022199FF" w14:textId="06B8BD4B" w:rsidR="007075AC" w:rsidRPr="00276D34" w:rsidRDefault="007075AC" w:rsidP="007075AC">
      <w:pPr>
        <w:pStyle w:val="Notedebasdepage"/>
        <w:tabs>
          <w:tab w:val="clear" w:pos="709"/>
          <w:tab w:val="clear" w:pos="851"/>
          <w:tab w:val="left" w:pos="284"/>
        </w:tabs>
        <w:ind w:firstLine="0"/>
        <w:rPr>
          <w:sz w:val="20"/>
          <w:lang w:val="fr-BE"/>
        </w:rPr>
      </w:pPr>
      <w:r w:rsidRPr="00276D34">
        <w:rPr>
          <w:rStyle w:val="Appelnotedebasdep"/>
          <w:sz w:val="20"/>
        </w:rPr>
        <w:footnoteRef/>
      </w:r>
      <w:r w:rsidRPr="00276D34">
        <w:rPr>
          <w:sz w:val="20"/>
        </w:rPr>
        <w:tab/>
      </w:r>
      <w:r w:rsidRPr="00276D34">
        <w:rPr>
          <w:rFonts w:asciiTheme="majorBidi" w:hAnsiTheme="majorBidi" w:cstheme="majorBidi"/>
          <w:spacing w:val="4"/>
          <w:w w:val="103"/>
          <w:sz w:val="20"/>
        </w:rPr>
        <w:t>On observera l’attention apportée à la dimension matérielle (formes, couleurs, etc.) de l’écriture hiéroglyphique. Pour la version publiée par Jacques-Joseph Champollion-Figeac (en trois fascicules entre 1836 et 1841 chez Didot), Salvatore Cherubini (un des cinq dessinateurs de la Mission franco-toscane en Égypte) se chargera de préparer les dessins des hiéroglyphes, qui seront lithographiés (</w:t>
      </w:r>
      <w:proofErr w:type="spellStart"/>
      <w:r w:rsidR="007F22EA" w:rsidRPr="00B66C4F">
        <w:rPr>
          <w:smallCaps/>
          <w:sz w:val="20"/>
          <w:lang w:val="fr-CH"/>
        </w:rPr>
        <w:t>Cherpion</w:t>
      </w:r>
      <w:proofErr w:type="spellEnd"/>
      <w:r w:rsidR="007F22EA" w:rsidRPr="00B66C4F">
        <w:rPr>
          <w:sz w:val="20"/>
          <w:lang w:val="fr-CH"/>
        </w:rPr>
        <w:t xml:space="preserve"> Nadine</w:t>
      </w:r>
      <w:r w:rsidR="007F22EA">
        <w:rPr>
          <w:sz w:val="20"/>
          <w:lang w:val="fr-CH"/>
        </w:rPr>
        <w:t xml:space="preserve">, </w:t>
      </w:r>
      <w:r w:rsidR="007F22EA" w:rsidRPr="00B66C4F">
        <w:rPr>
          <w:i/>
          <w:iCs/>
          <w:sz w:val="20"/>
          <w:lang w:val="fr-CH"/>
        </w:rPr>
        <w:t>Le dessinateur Cherubini et la Grammaire de Champollion</w:t>
      </w:r>
      <w:r w:rsidR="007F22EA" w:rsidRPr="00B66C4F">
        <w:rPr>
          <w:sz w:val="20"/>
          <w:lang w:val="fr-CH"/>
        </w:rPr>
        <w:t>,</w:t>
      </w:r>
      <w:r w:rsidR="007F22EA" w:rsidRPr="00B66C4F">
        <w:rPr>
          <w:i/>
          <w:iCs/>
          <w:sz w:val="20"/>
          <w:lang w:val="fr-CH"/>
        </w:rPr>
        <w:t xml:space="preserve"> </w:t>
      </w:r>
      <w:r w:rsidR="007F22EA" w:rsidRPr="00B66C4F">
        <w:rPr>
          <w:sz w:val="20"/>
          <w:lang w:val="fr-CH"/>
        </w:rPr>
        <w:t>Le Caire, IFAO (</w:t>
      </w:r>
      <w:r w:rsidR="007F22EA" w:rsidRPr="00B66C4F">
        <w:rPr>
          <w:i/>
          <w:iCs/>
          <w:sz w:val="20"/>
          <w:lang w:val="fr-CH"/>
        </w:rPr>
        <w:t>Bibliothèque générale</w:t>
      </w:r>
      <w:r w:rsidR="007F22EA" w:rsidRPr="00B66C4F">
        <w:rPr>
          <w:sz w:val="20"/>
          <w:lang w:val="fr-CH"/>
        </w:rPr>
        <w:t xml:space="preserve"> 43</w:t>
      </w:r>
      <w:r w:rsidR="007F22EA">
        <w:rPr>
          <w:sz w:val="20"/>
          <w:lang w:val="fr-CH"/>
        </w:rPr>
        <w:t>), 2012</w:t>
      </w:r>
      <w:r w:rsidR="007F22EA" w:rsidRPr="00B66C4F">
        <w:rPr>
          <w:sz w:val="20"/>
          <w:lang w:val="fr-CH"/>
        </w:rPr>
        <w:t>).</w:t>
      </w:r>
    </w:p>
  </w:footnote>
  <w:footnote w:id="42">
    <w:p w14:paraId="63DEA2F2" w14:textId="38CB3395" w:rsidR="00B44F7F" w:rsidRPr="00B44F7F" w:rsidRDefault="001224DD" w:rsidP="001224DD">
      <w:pPr>
        <w:pStyle w:val="Notedebasdepage"/>
        <w:tabs>
          <w:tab w:val="clear" w:pos="709"/>
          <w:tab w:val="clear" w:pos="851"/>
          <w:tab w:val="left" w:pos="284"/>
        </w:tabs>
        <w:ind w:firstLine="0"/>
        <w:rPr>
          <w:rFonts w:asciiTheme="majorBidi" w:hAnsiTheme="majorBidi" w:cstheme="majorBidi"/>
          <w:sz w:val="20"/>
        </w:rPr>
      </w:pPr>
      <w:r w:rsidRPr="00276D34">
        <w:rPr>
          <w:rStyle w:val="Appelnotedebasdep"/>
          <w:sz w:val="20"/>
        </w:rPr>
        <w:footnoteRef/>
      </w:r>
      <w:r w:rsidRPr="00276D34">
        <w:rPr>
          <w:sz w:val="20"/>
        </w:rPr>
        <w:tab/>
      </w:r>
      <w:r>
        <w:rPr>
          <w:rFonts w:asciiTheme="majorBidi" w:hAnsiTheme="majorBidi" w:cstheme="majorBidi"/>
          <w:sz w:val="20"/>
        </w:rPr>
        <w:t xml:space="preserve">Champollion y nouera une véritable amitié avec l’abbé </w:t>
      </w:r>
      <w:proofErr w:type="spellStart"/>
      <w:r>
        <w:rPr>
          <w:rFonts w:asciiTheme="majorBidi" w:hAnsiTheme="majorBidi" w:cstheme="majorBidi"/>
          <w:sz w:val="20"/>
        </w:rPr>
        <w:t>Costanzo</w:t>
      </w:r>
      <w:proofErr w:type="spellEnd"/>
      <w:r>
        <w:rPr>
          <w:rFonts w:asciiTheme="majorBidi" w:hAnsiTheme="majorBidi" w:cstheme="majorBidi"/>
          <w:sz w:val="20"/>
        </w:rPr>
        <w:t xml:space="preserve"> </w:t>
      </w:r>
      <w:proofErr w:type="spellStart"/>
      <w:r>
        <w:rPr>
          <w:rFonts w:asciiTheme="majorBidi" w:hAnsiTheme="majorBidi" w:cstheme="majorBidi"/>
          <w:sz w:val="20"/>
        </w:rPr>
        <w:t>Gazzera</w:t>
      </w:r>
      <w:proofErr w:type="spellEnd"/>
      <w:r>
        <w:rPr>
          <w:rFonts w:asciiTheme="majorBidi" w:hAnsiTheme="majorBidi" w:cstheme="majorBidi"/>
          <w:sz w:val="20"/>
        </w:rPr>
        <w:t>, membre de l’Académie royale de</w:t>
      </w:r>
      <w:r w:rsidR="00AF1284">
        <w:rPr>
          <w:rFonts w:asciiTheme="majorBidi" w:hAnsiTheme="majorBidi" w:cstheme="majorBidi"/>
          <w:sz w:val="20"/>
        </w:rPr>
        <w:t>s</w:t>
      </w:r>
      <w:r>
        <w:rPr>
          <w:rFonts w:asciiTheme="majorBidi" w:hAnsiTheme="majorBidi" w:cstheme="majorBidi"/>
          <w:sz w:val="20"/>
        </w:rPr>
        <w:t xml:space="preserve"> Sciences de Turin</w:t>
      </w:r>
      <w:r w:rsidR="00147A2F">
        <w:rPr>
          <w:rFonts w:asciiTheme="majorBidi" w:hAnsiTheme="majorBidi" w:cstheme="majorBidi"/>
          <w:sz w:val="20"/>
        </w:rPr>
        <w:t>,</w:t>
      </w:r>
      <w:r>
        <w:rPr>
          <w:rFonts w:asciiTheme="majorBidi" w:hAnsiTheme="majorBidi" w:cstheme="majorBidi"/>
          <w:sz w:val="20"/>
        </w:rPr>
        <w:t xml:space="preserve"> avec lequel il entretiendra </w:t>
      </w:r>
      <w:r w:rsidR="00147A2F">
        <w:rPr>
          <w:rFonts w:asciiTheme="majorBidi" w:hAnsiTheme="majorBidi" w:cstheme="majorBidi"/>
          <w:sz w:val="20"/>
        </w:rPr>
        <w:t>un</w:t>
      </w:r>
      <w:r w:rsidR="00162B8F">
        <w:rPr>
          <w:rFonts w:asciiTheme="majorBidi" w:hAnsiTheme="majorBidi" w:cstheme="majorBidi"/>
          <w:sz w:val="20"/>
        </w:rPr>
        <w:t>e</w:t>
      </w:r>
      <w:r w:rsidR="00147A2F">
        <w:rPr>
          <w:rFonts w:asciiTheme="majorBidi" w:hAnsiTheme="majorBidi" w:cstheme="majorBidi"/>
          <w:sz w:val="20"/>
        </w:rPr>
        <w:t xml:space="preserve"> </w:t>
      </w:r>
      <w:r w:rsidR="00162B8F">
        <w:rPr>
          <w:rFonts w:asciiTheme="majorBidi" w:hAnsiTheme="majorBidi" w:cstheme="majorBidi"/>
          <w:sz w:val="20"/>
        </w:rPr>
        <w:t>correspondance</w:t>
      </w:r>
      <w:r w:rsidR="00147A2F">
        <w:rPr>
          <w:rFonts w:asciiTheme="majorBidi" w:hAnsiTheme="majorBidi" w:cstheme="majorBidi"/>
          <w:sz w:val="20"/>
        </w:rPr>
        <w:t xml:space="preserve"> suivie (</w:t>
      </w:r>
      <w:r w:rsidR="00CD10D8" w:rsidRPr="00B66C4F">
        <w:rPr>
          <w:smallCaps/>
          <w:sz w:val="20"/>
          <w:lang w:val="fr-CH"/>
        </w:rPr>
        <w:t>Einaudi</w:t>
      </w:r>
      <w:r w:rsidR="00CD10D8" w:rsidRPr="00B66C4F">
        <w:rPr>
          <w:sz w:val="20"/>
          <w:lang w:val="fr-CH"/>
        </w:rPr>
        <w:t xml:space="preserve"> Silvia et </w:t>
      </w:r>
      <w:r w:rsidR="00CD10D8" w:rsidRPr="00B66C4F">
        <w:rPr>
          <w:smallCaps/>
          <w:sz w:val="20"/>
          <w:lang w:val="fr-CH"/>
        </w:rPr>
        <w:t>Madrigal</w:t>
      </w:r>
      <w:r w:rsidR="00CD10D8" w:rsidRPr="00B66C4F">
        <w:rPr>
          <w:sz w:val="20"/>
          <w:lang w:val="fr-CH"/>
        </w:rPr>
        <w:t xml:space="preserve"> Karine</w:t>
      </w:r>
      <w:r w:rsidR="00CD10D8">
        <w:rPr>
          <w:sz w:val="20"/>
          <w:lang w:val="fr-CH"/>
        </w:rPr>
        <w:t xml:space="preserve">, </w:t>
      </w:r>
      <w:r w:rsidR="00CD10D8" w:rsidRPr="00B66C4F">
        <w:rPr>
          <w:i/>
          <w:iCs/>
          <w:sz w:val="20"/>
          <w:lang w:val="fr-CH"/>
        </w:rPr>
        <w:t xml:space="preserve">Il </w:t>
      </w:r>
      <w:proofErr w:type="spellStart"/>
      <w:r w:rsidR="00CD10D8" w:rsidRPr="00B66C4F">
        <w:rPr>
          <w:i/>
          <w:iCs/>
          <w:sz w:val="20"/>
          <w:lang w:val="fr-CH"/>
        </w:rPr>
        <w:t>Decifratore</w:t>
      </w:r>
      <w:proofErr w:type="spellEnd"/>
      <w:r w:rsidR="00CD10D8" w:rsidRPr="00B66C4F">
        <w:rPr>
          <w:i/>
          <w:iCs/>
          <w:sz w:val="20"/>
          <w:lang w:val="fr-CH"/>
        </w:rPr>
        <w:t xml:space="preserve"> e l’Abate. Il </w:t>
      </w:r>
      <w:proofErr w:type="spellStart"/>
      <w:r w:rsidR="00CD10D8" w:rsidRPr="00B66C4F">
        <w:rPr>
          <w:i/>
          <w:iCs/>
          <w:sz w:val="20"/>
          <w:lang w:val="fr-CH"/>
        </w:rPr>
        <w:t>carteggio</w:t>
      </w:r>
      <w:proofErr w:type="spellEnd"/>
      <w:r w:rsidR="00CD10D8" w:rsidRPr="00B66C4F">
        <w:rPr>
          <w:i/>
          <w:iCs/>
          <w:sz w:val="20"/>
          <w:lang w:val="fr-CH"/>
        </w:rPr>
        <w:t xml:space="preserve"> </w:t>
      </w:r>
      <w:proofErr w:type="spellStart"/>
      <w:r w:rsidR="00CD10D8" w:rsidRPr="00B66C4F">
        <w:rPr>
          <w:i/>
          <w:iCs/>
          <w:sz w:val="20"/>
          <w:lang w:val="fr-CH"/>
        </w:rPr>
        <w:t>tra</w:t>
      </w:r>
      <w:proofErr w:type="spellEnd"/>
      <w:r w:rsidR="00CD10D8" w:rsidRPr="00B66C4F">
        <w:rPr>
          <w:i/>
          <w:iCs/>
          <w:sz w:val="20"/>
          <w:lang w:val="fr-CH"/>
        </w:rPr>
        <w:t xml:space="preserve"> </w:t>
      </w:r>
      <w:proofErr w:type="spellStart"/>
      <w:r w:rsidR="00CD10D8" w:rsidRPr="00B66C4F">
        <w:rPr>
          <w:i/>
          <w:iCs/>
          <w:sz w:val="20"/>
          <w:lang w:val="fr-CH"/>
        </w:rPr>
        <w:t>gli</w:t>
      </w:r>
      <w:proofErr w:type="spellEnd"/>
      <w:r w:rsidR="00CD10D8" w:rsidRPr="00B66C4F">
        <w:rPr>
          <w:i/>
          <w:iCs/>
          <w:sz w:val="20"/>
          <w:lang w:val="fr-CH"/>
        </w:rPr>
        <w:t xml:space="preserve"> Champollion et </w:t>
      </w:r>
      <w:proofErr w:type="spellStart"/>
      <w:r w:rsidR="00CD10D8" w:rsidRPr="00B66C4F">
        <w:rPr>
          <w:i/>
          <w:iCs/>
          <w:sz w:val="20"/>
          <w:lang w:val="fr-CH"/>
        </w:rPr>
        <w:t>Costanzo</w:t>
      </w:r>
      <w:proofErr w:type="spellEnd"/>
      <w:r w:rsidR="00CD10D8" w:rsidRPr="00B66C4F">
        <w:rPr>
          <w:i/>
          <w:iCs/>
          <w:sz w:val="20"/>
          <w:lang w:val="fr-CH"/>
        </w:rPr>
        <w:t xml:space="preserve"> </w:t>
      </w:r>
      <w:proofErr w:type="spellStart"/>
      <w:r w:rsidR="00CD10D8" w:rsidRPr="00B66C4F">
        <w:rPr>
          <w:i/>
          <w:iCs/>
          <w:sz w:val="20"/>
          <w:lang w:val="fr-CH"/>
        </w:rPr>
        <w:t>Gazzera</w:t>
      </w:r>
      <w:proofErr w:type="spellEnd"/>
      <w:r w:rsidR="00CD10D8" w:rsidRPr="00B66C4F">
        <w:rPr>
          <w:sz w:val="20"/>
          <w:lang w:val="fr-CH"/>
        </w:rPr>
        <w:t xml:space="preserve">, Turin, </w:t>
      </w:r>
      <w:r w:rsidR="00162B8F">
        <w:rPr>
          <w:rFonts w:asciiTheme="majorBidi" w:hAnsiTheme="majorBidi" w:cstheme="majorBidi"/>
          <w:sz w:val="20"/>
        </w:rPr>
        <w:t>2019).</w:t>
      </w:r>
      <w:r w:rsidR="00B44F7F">
        <w:rPr>
          <w:rFonts w:asciiTheme="majorBidi" w:hAnsiTheme="majorBidi" w:cstheme="majorBidi"/>
          <w:sz w:val="20"/>
        </w:rPr>
        <w:t xml:space="preserve"> Pour le</w:t>
      </w:r>
      <w:r w:rsidR="00BF5914">
        <w:rPr>
          <w:rFonts w:asciiTheme="majorBidi" w:hAnsiTheme="majorBidi" w:cstheme="majorBidi"/>
          <w:sz w:val="20"/>
        </w:rPr>
        <w:t>s</w:t>
      </w:r>
      <w:r w:rsidR="00B44F7F">
        <w:rPr>
          <w:rFonts w:asciiTheme="majorBidi" w:hAnsiTheme="majorBidi" w:cstheme="majorBidi"/>
          <w:sz w:val="20"/>
        </w:rPr>
        <w:t xml:space="preserve"> lettres de Champollion écrites d’Italie, voir </w:t>
      </w:r>
      <w:r w:rsidR="00D51D05" w:rsidRPr="00B66C4F">
        <w:rPr>
          <w:smallCaps/>
          <w:sz w:val="20"/>
          <w:lang w:val="fr-CH"/>
        </w:rPr>
        <w:t>Hartleben</w:t>
      </w:r>
      <w:r w:rsidR="00D51D05" w:rsidRPr="00B66C4F">
        <w:rPr>
          <w:sz w:val="20"/>
          <w:lang w:val="fr-CH"/>
        </w:rPr>
        <w:t xml:space="preserve"> Hermine</w:t>
      </w:r>
      <w:r w:rsidR="00D51D05">
        <w:rPr>
          <w:sz w:val="20"/>
          <w:lang w:val="fr-CH"/>
        </w:rPr>
        <w:t xml:space="preserve">, </w:t>
      </w:r>
      <w:r w:rsidR="00D51D05" w:rsidRPr="00B66C4F">
        <w:rPr>
          <w:i/>
          <w:iCs/>
          <w:sz w:val="20"/>
          <w:lang w:val="fr-CH"/>
        </w:rPr>
        <w:t>Lettres de Champollion le Jeune. Tome Premier. Lettres écrites d’Italie</w:t>
      </w:r>
      <w:r w:rsidR="00D51D05" w:rsidRPr="00B66C4F">
        <w:rPr>
          <w:sz w:val="20"/>
          <w:lang w:val="fr-CH"/>
        </w:rPr>
        <w:t>, Paris, Ernest Leroux</w:t>
      </w:r>
      <w:r w:rsidR="00D51D05">
        <w:rPr>
          <w:sz w:val="20"/>
          <w:lang w:val="fr-CH"/>
        </w:rPr>
        <w:t>, 1909</w:t>
      </w:r>
      <w:r w:rsidR="00D51D05" w:rsidRPr="00B66C4F">
        <w:rPr>
          <w:sz w:val="20"/>
          <w:lang w:val="fr-CH"/>
        </w:rPr>
        <w:t>.</w:t>
      </w:r>
    </w:p>
  </w:footnote>
  <w:footnote w:id="43">
    <w:p w14:paraId="237051B6" w14:textId="6D062A46" w:rsidR="0053254F" w:rsidRPr="00B44F7F" w:rsidRDefault="0053254F" w:rsidP="0053254F">
      <w:pPr>
        <w:pStyle w:val="Notedebasdepage"/>
        <w:tabs>
          <w:tab w:val="clear" w:pos="709"/>
          <w:tab w:val="clear" w:pos="851"/>
          <w:tab w:val="left" w:pos="284"/>
        </w:tabs>
        <w:ind w:firstLine="0"/>
        <w:rPr>
          <w:rFonts w:asciiTheme="majorBidi" w:hAnsiTheme="majorBidi" w:cstheme="majorBidi"/>
          <w:sz w:val="20"/>
        </w:rPr>
      </w:pPr>
      <w:r w:rsidRPr="00276D34">
        <w:rPr>
          <w:rStyle w:val="Appelnotedebasdep"/>
          <w:sz w:val="20"/>
        </w:rPr>
        <w:footnoteRef/>
      </w:r>
      <w:r w:rsidRPr="00276D34">
        <w:rPr>
          <w:sz w:val="20"/>
        </w:rPr>
        <w:tab/>
      </w:r>
      <w:r w:rsidR="005B2082">
        <w:rPr>
          <w:sz w:val="20"/>
        </w:rPr>
        <w:t>Dans sa quête d’antiquités égyptienne</w:t>
      </w:r>
      <w:r w:rsidR="00AF1284">
        <w:rPr>
          <w:sz w:val="20"/>
        </w:rPr>
        <w:t>s</w:t>
      </w:r>
      <w:r w:rsidR="005B2082">
        <w:rPr>
          <w:sz w:val="20"/>
        </w:rPr>
        <w:t xml:space="preserve">, </w:t>
      </w:r>
      <w:r>
        <w:rPr>
          <w:rFonts w:asciiTheme="majorBidi" w:hAnsiTheme="majorBidi" w:cstheme="majorBidi"/>
          <w:sz w:val="20"/>
        </w:rPr>
        <w:t xml:space="preserve">Champollion déclara </w:t>
      </w:r>
      <w:r w:rsidR="005B2082">
        <w:rPr>
          <w:rFonts w:asciiTheme="majorBidi" w:hAnsiTheme="majorBidi" w:cstheme="majorBidi"/>
          <w:sz w:val="20"/>
        </w:rPr>
        <w:t xml:space="preserve">d’ailleurs </w:t>
      </w:r>
      <w:r>
        <w:rPr>
          <w:rFonts w:asciiTheme="majorBidi" w:hAnsiTheme="majorBidi" w:cstheme="majorBidi"/>
          <w:sz w:val="20"/>
        </w:rPr>
        <w:t>fameusement que : « la route de Memphis et Thèbes passe par Turin. »</w:t>
      </w:r>
      <w:r w:rsidR="00FF617A">
        <w:rPr>
          <w:rFonts w:asciiTheme="majorBidi" w:hAnsiTheme="majorBidi" w:cstheme="majorBidi"/>
          <w:sz w:val="20"/>
        </w:rPr>
        <w:t xml:space="preserve"> Sur la collection </w:t>
      </w:r>
      <w:proofErr w:type="spellStart"/>
      <w:r w:rsidR="00FF617A">
        <w:rPr>
          <w:rFonts w:asciiTheme="majorBidi" w:hAnsiTheme="majorBidi" w:cstheme="majorBidi"/>
          <w:sz w:val="20"/>
        </w:rPr>
        <w:t>Drovetti</w:t>
      </w:r>
      <w:proofErr w:type="spellEnd"/>
      <w:r w:rsidR="00FF617A">
        <w:rPr>
          <w:rFonts w:asciiTheme="majorBidi" w:hAnsiTheme="majorBidi" w:cstheme="majorBidi"/>
          <w:sz w:val="20"/>
        </w:rPr>
        <w:t xml:space="preserve"> de </w:t>
      </w:r>
      <w:proofErr w:type="spellStart"/>
      <w:r w:rsidR="00FF617A">
        <w:rPr>
          <w:rFonts w:asciiTheme="majorBidi" w:hAnsiTheme="majorBidi" w:cstheme="majorBidi"/>
          <w:sz w:val="20"/>
        </w:rPr>
        <w:t>Turin,</w:t>
      </w:r>
      <w:proofErr w:type="spellEnd"/>
      <w:r w:rsidR="00FF617A">
        <w:rPr>
          <w:rFonts w:asciiTheme="majorBidi" w:hAnsiTheme="majorBidi" w:cstheme="majorBidi"/>
          <w:sz w:val="20"/>
        </w:rPr>
        <w:t xml:space="preserve"> voir </w:t>
      </w:r>
      <w:proofErr w:type="spellStart"/>
      <w:r w:rsidR="00FF617A" w:rsidRPr="00B66C4F">
        <w:rPr>
          <w:smallCaps/>
          <w:sz w:val="20"/>
          <w:lang w:val="fr-CH"/>
        </w:rPr>
        <w:t>Borgi</w:t>
      </w:r>
      <w:proofErr w:type="spellEnd"/>
      <w:r w:rsidR="00FF617A" w:rsidRPr="00B66C4F">
        <w:rPr>
          <w:sz w:val="20"/>
          <w:lang w:val="fr-CH"/>
        </w:rPr>
        <w:t xml:space="preserve"> Elena et </w:t>
      </w:r>
      <w:proofErr w:type="spellStart"/>
      <w:r w:rsidR="00FF617A" w:rsidRPr="00B66C4F">
        <w:rPr>
          <w:smallCaps/>
          <w:sz w:val="20"/>
          <w:lang w:val="fr-CH"/>
        </w:rPr>
        <w:t>Donatelli</w:t>
      </w:r>
      <w:proofErr w:type="spellEnd"/>
      <w:r w:rsidR="00FF617A" w:rsidRPr="00B66C4F">
        <w:rPr>
          <w:sz w:val="20"/>
          <w:lang w:val="fr-CH"/>
        </w:rPr>
        <w:t xml:space="preserve"> Laura (</w:t>
      </w:r>
      <w:proofErr w:type="spellStart"/>
      <w:r w:rsidR="00FF617A" w:rsidRPr="00B66C4F">
        <w:rPr>
          <w:sz w:val="20"/>
          <w:lang w:val="fr-CH"/>
        </w:rPr>
        <w:t>dir</w:t>
      </w:r>
      <w:proofErr w:type="spellEnd"/>
      <w:r w:rsidR="00FF617A" w:rsidRPr="00B66C4F">
        <w:rPr>
          <w:sz w:val="20"/>
          <w:lang w:val="fr-CH"/>
        </w:rPr>
        <w:t>.)</w:t>
      </w:r>
      <w:r w:rsidR="00FF617A">
        <w:rPr>
          <w:sz w:val="20"/>
          <w:lang w:val="fr-CH"/>
        </w:rPr>
        <w:t>,</w:t>
      </w:r>
      <w:r w:rsidR="00FF617A" w:rsidRPr="00B66C4F">
        <w:rPr>
          <w:sz w:val="20"/>
          <w:lang w:val="fr-CH"/>
        </w:rPr>
        <w:t xml:space="preserve"> </w:t>
      </w:r>
      <w:proofErr w:type="spellStart"/>
      <w:r w:rsidR="00FF617A" w:rsidRPr="00B66C4F">
        <w:rPr>
          <w:i/>
          <w:iCs/>
          <w:sz w:val="20"/>
          <w:lang w:val="fr-CH"/>
        </w:rPr>
        <w:t>Quando</w:t>
      </w:r>
      <w:proofErr w:type="spellEnd"/>
      <w:r w:rsidR="00FF617A" w:rsidRPr="00B66C4F">
        <w:rPr>
          <w:i/>
          <w:iCs/>
          <w:sz w:val="20"/>
          <w:lang w:val="fr-CH"/>
        </w:rPr>
        <w:t xml:space="preserve"> l’</w:t>
      </w:r>
      <w:proofErr w:type="spellStart"/>
      <w:r w:rsidR="00FF617A" w:rsidRPr="00B66C4F">
        <w:rPr>
          <w:i/>
          <w:iCs/>
          <w:sz w:val="20"/>
          <w:lang w:val="fr-CH"/>
        </w:rPr>
        <w:t>Egitto</w:t>
      </w:r>
      <w:proofErr w:type="spellEnd"/>
      <w:r w:rsidR="00FF617A" w:rsidRPr="00B66C4F">
        <w:rPr>
          <w:i/>
          <w:iCs/>
          <w:sz w:val="20"/>
          <w:lang w:val="fr-CH"/>
        </w:rPr>
        <w:t xml:space="preserve"> </w:t>
      </w:r>
      <w:proofErr w:type="spellStart"/>
      <w:r w:rsidR="00FF617A" w:rsidRPr="00B66C4F">
        <w:rPr>
          <w:i/>
          <w:iCs/>
          <w:sz w:val="20"/>
          <w:lang w:val="fr-CH"/>
        </w:rPr>
        <w:t>venne</w:t>
      </w:r>
      <w:proofErr w:type="spellEnd"/>
      <w:r w:rsidR="00FF617A" w:rsidRPr="00B66C4F">
        <w:rPr>
          <w:i/>
          <w:iCs/>
          <w:sz w:val="20"/>
          <w:lang w:val="fr-CH"/>
        </w:rPr>
        <w:t xml:space="preserve"> a Torino. La </w:t>
      </w:r>
      <w:proofErr w:type="spellStart"/>
      <w:r w:rsidR="00FF617A" w:rsidRPr="00B66C4F">
        <w:rPr>
          <w:i/>
          <w:iCs/>
          <w:sz w:val="20"/>
          <w:lang w:val="fr-CH"/>
        </w:rPr>
        <w:t>Collezione</w:t>
      </w:r>
      <w:proofErr w:type="spellEnd"/>
      <w:r w:rsidR="00FF617A" w:rsidRPr="00B66C4F">
        <w:rPr>
          <w:i/>
          <w:iCs/>
          <w:sz w:val="20"/>
          <w:lang w:val="fr-CH"/>
        </w:rPr>
        <w:t xml:space="preserve">, il </w:t>
      </w:r>
      <w:proofErr w:type="spellStart"/>
      <w:r w:rsidR="00FF617A" w:rsidRPr="00B66C4F">
        <w:rPr>
          <w:i/>
          <w:iCs/>
          <w:sz w:val="20"/>
          <w:lang w:val="fr-CH"/>
        </w:rPr>
        <w:t>Viaggio</w:t>
      </w:r>
      <w:proofErr w:type="spellEnd"/>
      <w:r w:rsidR="00FF617A" w:rsidRPr="00B66C4F">
        <w:rPr>
          <w:i/>
          <w:iCs/>
          <w:sz w:val="20"/>
          <w:lang w:val="fr-CH"/>
        </w:rPr>
        <w:t xml:space="preserve">, </w:t>
      </w:r>
      <w:proofErr w:type="spellStart"/>
      <w:r w:rsidR="00FF617A" w:rsidRPr="00B66C4F">
        <w:rPr>
          <w:i/>
          <w:iCs/>
          <w:sz w:val="20"/>
          <w:lang w:val="fr-CH"/>
        </w:rPr>
        <w:t>gli</w:t>
      </w:r>
      <w:proofErr w:type="spellEnd"/>
      <w:r w:rsidR="00FF617A" w:rsidRPr="00B66C4F">
        <w:rPr>
          <w:i/>
          <w:iCs/>
          <w:sz w:val="20"/>
          <w:lang w:val="fr-CH"/>
        </w:rPr>
        <w:t xml:space="preserve"> </w:t>
      </w:r>
      <w:proofErr w:type="spellStart"/>
      <w:r w:rsidR="00FF617A" w:rsidRPr="00B66C4F">
        <w:rPr>
          <w:i/>
          <w:iCs/>
          <w:sz w:val="20"/>
          <w:lang w:val="fr-CH"/>
        </w:rPr>
        <w:t>Uomini</w:t>
      </w:r>
      <w:proofErr w:type="spellEnd"/>
      <w:r w:rsidR="00FF617A" w:rsidRPr="00B66C4F">
        <w:rPr>
          <w:i/>
          <w:iCs/>
          <w:sz w:val="20"/>
          <w:lang w:val="fr-CH"/>
        </w:rPr>
        <w:t xml:space="preserve"> e l’</w:t>
      </w:r>
      <w:proofErr w:type="spellStart"/>
      <w:r w:rsidR="00FF617A" w:rsidRPr="00B66C4F">
        <w:rPr>
          <w:i/>
          <w:iCs/>
          <w:sz w:val="20"/>
          <w:lang w:val="fr-CH"/>
        </w:rPr>
        <w:t>Accademia</w:t>
      </w:r>
      <w:proofErr w:type="spellEnd"/>
      <w:r w:rsidR="00FF617A" w:rsidRPr="00B66C4F">
        <w:rPr>
          <w:i/>
          <w:iCs/>
          <w:sz w:val="20"/>
          <w:lang w:val="fr-CH"/>
        </w:rPr>
        <w:t xml:space="preserve"> delle </w:t>
      </w:r>
      <w:proofErr w:type="spellStart"/>
      <w:r w:rsidR="00FF617A" w:rsidRPr="00B66C4F">
        <w:rPr>
          <w:i/>
          <w:iCs/>
          <w:sz w:val="20"/>
          <w:lang w:val="fr-CH"/>
        </w:rPr>
        <w:t>Scienze</w:t>
      </w:r>
      <w:proofErr w:type="spellEnd"/>
      <w:r w:rsidR="00FF617A" w:rsidRPr="00B66C4F">
        <w:rPr>
          <w:sz w:val="20"/>
          <w:lang w:val="fr-CH"/>
        </w:rPr>
        <w:t xml:space="preserve">, Turin, Hapax </w:t>
      </w:r>
      <w:proofErr w:type="spellStart"/>
      <w:r w:rsidR="00FF617A" w:rsidRPr="00B66C4F">
        <w:rPr>
          <w:sz w:val="20"/>
          <w:lang w:val="fr-CH"/>
        </w:rPr>
        <w:t>editore</w:t>
      </w:r>
      <w:proofErr w:type="spellEnd"/>
      <w:r w:rsidR="00BF0CE2">
        <w:rPr>
          <w:sz w:val="20"/>
          <w:lang w:val="fr-CH"/>
        </w:rPr>
        <w:t xml:space="preserve">, </w:t>
      </w:r>
      <w:r w:rsidR="00BF0CE2" w:rsidRPr="00B66C4F">
        <w:rPr>
          <w:sz w:val="20"/>
          <w:lang w:val="fr-CH"/>
        </w:rPr>
        <w:t>2019</w:t>
      </w:r>
      <w:r w:rsidR="00FF617A" w:rsidRPr="00B66C4F">
        <w:rPr>
          <w:sz w:val="20"/>
          <w:lang w:val="fr-CH"/>
        </w:rPr>
        <w:t>.</w:t>
      </w:r>
    </w:p>
  </w:footnote>
  <w:footnote w:id="44">
    <w:p w14:paraId="6797419D" w14:textId="24287A5A" w:rsidR="00530BB5" w:rsidRPr="0077423B" w:rsidRDefault="00530BB5" w:rsidP="00530BB5">
      <w:pPr>
        <w:pStyle w:val="Notedebasdepage"/>
        <w:tabs>
          <w:tab w:val="clear" w:pos="709"/>
          <w:tab w:val="clear" w:pos="851"/>
          <w:tab w:val="left" w:pos="284"/>
        </w:tabs>
        <w:ind w:firstLine="0"/>
        <w:rPr>
          <w:rFonts w:asciiTheme="majorBidi" w:hAnsiTheme="majorBidi" w:cstheme="majorBidi"/>
          <w:sz w:val="20"/>
        </w:rPr>
      </w:pPr>
      <w:r w:rsidRPr="003743E1">
        <w:rPr>
          <w:rStyle w:val="Appelnotedebasdep"/>
          <w:sz w:val="20"/>
        </w:rPr>
        <w:footnoteRef/>
      </w:r>
      <w:r w:rsidRPr="003743E1">
        <w:rPr>
          <w:sz w:val="20"/>
        </w:rPr>
        <w:tab/>
      </w:r>
      <w:r w:rsidRPr="003743E1">
        <w:rPr>
          <w:spacing w:val="4"/>
          <w:w w:val="103"/>
          <w:sz w:val="20"/>
          <w:lang w:val="fr-CH"/>
        </w:rPr>
        <w:t>L</w:t>
      </w:r>
      <w:r w:rsidRPr="003743E1">
        <w:rPr>
          <w:rFonts w:asciiTheme="majorBidi" w:hAnsiTheme="majorBidi" w:cstheme="majorBidi"/>
          <w:sz w:val="20"/>
        </w:rPr>
        <w:t xml:space="preserve">es travaux en seront publiés en cinq volumes dans </w:t>
      </w:r>
      <w:r w:rsidRPr="003743E1">
        <w:rPr>
          <w:smallCaps/>
          <w:sz w:val="20"/>
          <w:lang w:val="fr-CH"/>
        </w:rPr>
        <w:t>Champollion</w:t>
      </w:r>
      <w:r w:rsidRPr="003743E1">
        <w:rPr>
          <w:sz w:val="20"/>
          <w:lang w:val="fr-CH"/>
        </w:rPr>
        <w:t xml:space="preserve"> Jean-François, </w:t>
      </w:r>
      <w:r w:rsidRPr="003743E1">
        <w:rPr>
          <w:i/>
          <w:iCs/>
          <w:sz w:val="20"/>
          <w:lang w:val="fr-CH"/>
        </w:rPr>
        <w:t>Monuments de l’Égypte et de la Nubie</w:t>
      </w:r>
      <w:r w:rsidRPr="003743E1">
        <w:rPr>
          <w:sz w:val="20"/>
          <w:lang w:val="fr-CH"/>
        </w:rPr>
        <w:t xml:space="preserve">, 5 vol., Paris, Firmin Didot et Cie, 1835–1845 et </w:t>
      </w:r>
      <w:proofErr w:type="spellStart"/>
      <w:r w:rsidRPr="003743E1">
        <w:rPr>
          <w:smallCaps/>
          <w:sz w:val="20"/>
          <w:lang w:val="fr-CH"/>
        </w:rPr>
        <w:t>Rosellini</w:t>
      </w:r>
      <w:proofErr w:type="spellEnd"/>
      <w:r w:rsidRPr="003743E1">
        <w:rPr>
          <w:sz w:val="20"/>
          <w:lang w:val="fr-CH"/>
        </w:rPr>
        <w:t xml:space="preserve"> </w:t>
      </w:r>
      <w:proofErr w:type="spellStart"/>
      <w:r w:rsidRPr="003743E1">
        <w:rPr>
          <w:sz w:val="20"/>
          <w:lang w:val="fr-CH"/>
        </w:rPr>
        <w:t>Ippolito</w:t>
      </w:r>
      <w:proofErr w:type="spellEnd"/>
      <w:r w:rsidRPr="003743E1">
        <w:rPr>
          <w:sz w:val="20"/>
          <w:lang w:val="fr-CH"/>
        </w:rPr>
        <w:t xml:space="preserve">, </w:t>
      </w:r>
      <w:r w:rsidR="0077423B" w:rsidRPr="003743E1">
        <w:rPr>
          <w:i/>
          <w:iCs/>
          <w:sz w:val="20"/>
          <w:lang w:val="fr-CH"/>
        </w:rPr>
        <w:t xml:space="preserve">I </w:t>
      </w:r>
      <w:proofErr w:type="spellStart"/>
      <w:r w:rsidR="0077423B" w:rsidRPr="003743E1">
        <w:rPr>
          <w:i/>
          <w:iCs/>
          <w:sz w:val="20"/>
          <w:lang w:val="fr-CH"/>
        </w:rPr>
        <w:t>monumenti</w:t>
      </w:r>
      <w:proofErr w:type="spellEnd"/>
      <w:r w:rsidR="0077423B" w:rsidRPr="003743E1">
        <w:rPr>
          <w:i/>
          <w:iCs/>
          <w:sz w:val="20"/>
          <w:lang w:val="fr-CH"/>
        </w:rPr>
        <w:t xml:space="preserve"> </w:t>
      </w:r>
      <w:proofErr w:type="spellStart"/>
      <w:r w:rsidR="0077423B" w:rsidRPr="003743E1">
        <w:rPr>
          <w:i/>
          <w:iCs/>
          <w:sz w:val="20"/>
          <w:lang w:val="fr-CH"/>
        </w:rPr>
        <w:t>dell</w:t>
      </w:r>
      <w:r w:rsidR="0077423B" w:rsidRPr="003743E1">
        <w:rPr>
          <w:i/>
          <w:iCs/>
          <w:sz w:val="20"/>
          <w:lang w:val="fr-CH"/>
        </w:rPr>
        <w:t>’</w:t>
      </w:r>
      <w:r w:rsidR="0077423B" w:rsidRPr="003743E1">
        <w:rPr>
          <w:i/>
          <w:iCs/>
          <w:sz w:val="20"/>
          <w:lang w:val="fr-CH"/>
        </w:rPr>
        <w:t>Egitto</w:t>
      </w:r>
      <w:proofErr w:type="spellEnd"/>
      <w:r w:rsidR="0077423B" w:rsidRPr="003743E1">
        <w:rPr>
          <w:i/>
          <w:iCs/>
          <w:sz w:val="20"/>
          <w:lang w:val="fr-CH"/>
        </w:rPr>
        <w:t xml:space="preserve"> e </w:t>
      </w:r>
      <w:proofErr w:type="spellStart"/>
      <w:r w:rsidR="0077423B" w:rsidRPr="003743E1">
        <w:rPr>
          <w:i/>
          <w:iCs/>
          <w:sz w:val="20"/>
          <w:lang w:val="fr-CH"/>
        </w:rPr>
        <w:t>della</w:t>
      </w:r>
      <w:proofErr w:type="spellEnd"/>
      <w:r w:rsidR="0077423B" w:rsidRPr="003743E1">
        <w:rPr>
          <w:i/>
          <w:iCs/>
          <w:sz w:val="20"/>
          <w:lang w:val="fr-CH"/>
        </w:rPr>
        <w:t xml:space="preserve"> </w:t>
      </w:r>
      <w:proofErr w:type="spellStart"/>
      <w:r w:rsidR="0077423B" w:rsidRPr="003743E1">
        <w:rPr>
          <w:i/>
          <w:iCs/>
          <w:sz w:val="20"/>
          <w:lang w:val="fr-CH"/>
        </w:rPr>
        <w:t>Nubia</w:t>
      </w:r>
      <w:proofErr w:type="spellEnd"/>
      <w:r w:rsidR="003743E1" w:rsidRPr="003743E1">
        <w:rPr>
          <w:i/>
          <w:iCs/>
          <w:sz w:val="20"/>
          <w:lang w:val="fr-CH"/>
        </w:rPr>
        <w:t xml:space="preserve"> </w:t>
      </w:r>
      <w:proofErr w:type="spellStart"/>
      <w:r w:rsidR="003743E1" w:rsidRPr="003743E1">
        <w:rPr>
          <w:i/>
          <w:iCs/>
          <w:sz w:val="20"/>
          <w:lang w:val="fr-CH"/>
        </w:rPr>
        <w:t>disegnati</w:t>
      </w:r>
      <w:proofErr w:type="spellEnd"/>
      <w:r w:rsidR="003743E1" w:rsidRPr="003743E1">
        <w:rPr>
          <w:i/>
          <w:iCs/>
          <w:sz w:val="20"/>
          <w:lang w:val="fr-CH"/>
        </w:rPr>
        <w:t xml:space="preserve"> dalla </w:t>
      </w:r>
      <w:proofErr w:type="spellStart"/>
      <w:r w:rsidR="003743E1" w:rsidRPr="003743E1">
        <w:rPr>
          <w:i/>
          <w:iCs/>
          <w:sz w:val="20"/>
          <w:lang w:val="fr-CH"/>
        </w:rPr>
        <w:t>spedizione</w:t>
      </w:r>
      <w:proofErr w:type="spellEnd"/>
      <w:r w:rsidR="003743E1" w:rsidRPr="003743E1">
        <w:rPr>
          <w:i/>
          <w:iCs/>
          <w:sz w:val="20"/>
          <w:lang w:val="fr-CH"/>
        </w:rPr>
        <w:t xml:space="preserve"> </w:t>
      </w:r>
      <w:proofErr w:type="spellStart"/>
      <w:r w:rsidR="003743E1" w:rsidRPr="003743E1">
        <w:rPr>
          <w:i/>
          <w:iCs/>
          <w:sz w:val="20"/>
          <w:lang w:val="fr-CH"/>
        </w:rPr>
        <w:t>scientifico-letteraria</w:t>
      </w:r>
      <w:proofErr w:type="spellEnd"/>
      <w:r w:rsidR="003743E1" w:rsidRPr="003743E1">
        <w:rPr>
          <w:i/>
          <w:iCs/>
          <w:sz w:val="20"/>
          <w:lang w:val="fr-CH"/>
        </w:rPr>
        <w:t xml:space="preserve"> </w:t>
      </w:r>
      <w:proofErr w:type="spellStart"/>
      <w:r w:rsidR="003743E1" w:rsidRPr="003743E1">
        <w:rPr>
          <w:i/>
          <w:iCs/>
          <w:sz w:val="20"/>
          <w:lang w:val="fr-CH"/>
        </w:rPr>
        <w:t>toscana</w:t>
      </w:r>
      <w:proofErr w:type="spellEnd"/>
      <w:r w:rsidR="003743E1" w:rsidRPr="003743E1">
        <w:rPr>
          <w:i/>
          <w:iCs/>
          <w:sz w:val="20"/>
          <w:lang w:val="fr-CH"/>
        </w:rPr>
        <w:t xml:space="preserve"> in </w:t>
      </w:r>
      <w:proofErr w:type="spellStart"/>
      <w:r w:rsidR="003743E1" w:rsidRPr="003743E1">
        <w:rPr>
          <w:i/>
          <w:iCs/>
          <w:sz w:val="20"/>
          <w:lang w:val="fr-CH"/>
        </w:rPr>
        <w:t>Egitto</w:t>
      </w:r>
      <w:proofErr w:type="spellEnd"/>
      <w:r w:rsidR="003743E1" w:rsidRPr="003743E1">
        <w:rPr>
          <w:i/>
          <w:iCs/>
          <w:sz w:val="20"/>
          <w:lang w:val="fr-CH"/>
        </w:rPr>
        <w:t xml:space="preserve">; </w:t>
      </w:r>
      <w:proofErr w:type="spellStart"/>
      <w:r w:rsidR="003743E1" w:rsidRPr="003743E1">
        <w:rPr>
          <w:i/>
          <w:iCs/>
          <w:sz w:val="20"/>
          <w:lang w:val="fr-CH"/>
        </w:rPr>
        <w:t>distribuiti</w:t>
      </w:r>
      <w:proofErr w:type="spellEnd"/>
      <w:r w:rsidR="003743E1" w:rsidRPr="003743E1">
        <w:rPr>
          <w:i/>
          <w:iCs/>
          <w:sz w:val="20"/>
          <w:lang w:val="fr-CH"/>
        </w:rPr>
        <w:t xml:space="preserve"> in </w:t>
      </w:r>
      <w:proofErr w:type="spellStart"/>
      <w:r w:rsidR="003743E1" w:rsidRPr="003743E1">
        <w:rPr>
          <w:i/>
          <w:iCs/>
          <w:sz w:val="20"/>
          <w:lang w:val="fr-CH"/>
        </w:rPr>
        <w:t>ordine</w:t>
      </w:r>
      <w:proofErr w:type="spellEnd"/>
      <w:r w:rsidR="003743E1" w:rsidRPr="003743E1">
        <w:rPr>
          <w:i/>
          <w:iCs/>
          <w:sz w:val="20"/>
          <w:lang w:val="fr-CH"/>
        </w:rPr>
        <w:t xml:space="preserve"> di </w:t>
      </w:r>
      <w:proofErr w:type="spellStart"/>
      <w:r w:rsidR="003743E1" w:rsidRPr="003743E1">
        <w:rPr>
          <w:i/>
          <w:iCs/>
          <w:sz w:val="20"/>
          <w:lang w:val="fr-CH"/>
        </w:rPr>
        <w:t>materie</w:t>
      </w:r>
      <w:proofErr w:type="spellEnd"/>
      <w:r w:rsidR="003743E1" w:rsidRPr="003743E1">
        <w:rPr>
          <w:i/>
          <w:iCs/>
          <w:sz w:val="20"/>
          <w:lang w:val="fr-CH"/>
        </w:rPr>
        <w:t xml:space="preserve"> </w:t>
      </w:r>
      <w:proofErr w:type="spellStart"/>
      <w:r w:rsidR="003743E1" w:rsidRPr="003743E1">
        <w:rPr>
          <w:i/>
          <w:iCs/>
          <w:sz w:val="20"/>
          <w:lang w:val="fr-CH"/>
        </w:rPr>
        <w:t>interpretati</w:t>
      </w:r>
      <w:proofErr w:type="spellEnd"/>
      <w:r w:rsidR="003743E1" w:rsidRPr="003743E1">
        <w:rPr>
          <w:i/>
          <w:iCs/>
          <w:sz w:val="20"/>
          <w:lang w:val="fr-CH"/>
        </w:rPr>
        <w:t xml:space="preserve"> </w:t>
      </w:r>
      <w:proofErr w:type="spellStart"/>
      <w:r w:rsidR="003743E1" w:rsidRPr="003743E1">
        <w:rPr>
          <w:i/>
          <w:iCs/>
          <w:sz w:val="20"/>
          <w:lang w:val="fr-CH"/>
        </w:rPr>
        <w:t>ed</w:t>
      </w:r>
      <w:proofErr w:type="spellEnd"/>
      <w:r w:rsidR="003743E1" w:rsidRPr="003743E1">
        <w:rPr>
          <w:i/>
          <w:iCs/>
          <w:sz w:val="20"/>
          <w:lang w:val="fr-CH"/>
        </w:rPr>
        <w:t xml:space="preserve"> </w:t>
      </w:r>
      <w:proofErr w:type="spellStart"/>
      <w:r w:rsidR="003743E1" w:rsidRPr="003743E1">
        <w:rPr>
          <w:i/>
          <w:iCs/>
          <w:sz w:val="20"/>
          <w:lang w:val="fr-CH"/>
        </w:rPr>
        <w:t>illustrati</w:t>
      </w:r>
      <w:proofErr w:type="spellEnd"/>
      <w:r w:rsidR="003743E1" w:rsidRPr="003743E1">
        <w:rPr>
          <w:i/>
          <w:iCs/>
          <w:sz w:val="20"/>
          <w:lang w:val="fr-CH"/>
        </w:rPr>
        <w:t xml:space="preserve"> dal </w:t>
      </w:r>
      <w:proofErr w:type="spellStart"/>
      <w:r w:rsidR="003743E1" w:rsidRPr="003743E1">
        <w:rPr>
          <w:i/>
          <w:iCs/>
          <w:sz w:val="20"/>
          <w:lang w:val="fr-CH"/>
        </w:rPr>
        <w:t>dottore</w:t>
      </w:r>
      <w:proofErr w:type="spellEnd"/>
      <w:r w:rsidR="003743E1" w:rsidRPr="003743E1">
        <w:rPr>
          <w:i/>
          <w:iCs/>
          <w:sz w:val="20"/>
          <w:lang w:val="fr-CH"/>
        </w:rPr>
        <w:t xml:space="preserve"> </w:t>
      </w:r>
      <w:proofErr w:type="spellStart"/>
      <w:r w:rsidR="003743E1" w:rsidRPr="003743E1">
        <w:rPr>
          <w:i/>
          <w:iCs/>
          <w:sz w:val="20"/>
          <w:lang w:val="fr-CH"/>
        </w:rPr>
        <w:t>Ippolito</w:t>
      </w:r>
      <w:proofErr w:type="spellEnd"/>
      <w:r w:rsidR="003743E1" w:rsidRPr="003743E1">
        <w:rPr>
          <w:i/>
          <w:iCs/>
          <w:sz w:val="20"/>
          <w:lang w:val="fr-CH"/>
        </w:rPr>
        <w:t xml:space="preserve"> </w:t>
      </w:r>
      <w:proofErr w:type="spellStart"/>
      <w:r w:rsidR="003743E1" w:rsidRPr="003743E1">
        <w:rPr>
          <w:i/>
          <w:iCs/>
          <w:sz w:val="20"/>
          <w:lang w:val="fr-CH"/>
        </w:rPr>
        <w:t>Rosellini</w:t>
      </w:r>
      <w:proofErr w:type="spellEnd"/>
      <w:r w:rsidR="004D63E6" w:rsidRPr="003743E1">
        <w:rPr>
          <w:sz w:val="20"/>
          <w:lang w:val="fr-CH"/>
        </w:rPr>
        <w:t>,</w:t>
      </w:r>
      <w:r w:rsidR="0077423B" w:rsidRPr="0077423B">
        <w:rPr>
          <w:sz w:val="20"/>
          <w:lang w:val="fr-CH"/>
        </w:rPr>
        <w:t xml:space="preserve"> </w:t>
      </w:r>
      <w:r w:rsidR="007C0B5A">
        <w:rPr>
          <w:sz w:val="20"/>
          <w:lang w:val="fr-CH"/>
        </w:rPr>
        <w:t xml:space="preserve">Pisa, </w:t>
      </w:r>
      <w:proofErr w:type="spellStart"/>
      <w:r w:rsidR="007C0B5A">
        <w:rPr>
          <w:sz w:val="20"/>
          <w:lang w:val="fr-CH"/>
        </w:rPr>
        <w:t>Niccolò</w:t>
      </w:r>
      <w:proofErr w:type="spellEnd"/>
      <w:r w:rsidR="007C0B5A">
        <w:rPr>
          <w:sz w:val="20"/>
          <w:lang w:val="fr-CH"/>
        </w:rPr>
        <w:t xml:space="preserve"> </w:t>
      </w:r>
      <w:proofErr w:type="spellStart"/>
      <w:r w:rsidR="007C0B5A">
        <w:rPr>
          <w:sz w:val="20"/>
          <w:lang w:val="fr-CH"/>
        </w:rPr>
        <w:t>Capurro</w:t>
      </w:r>
      <w:proofErr w:type="spellEnd"/>
      <w:r w:rsidR="007C0B5A">
        <w:rPr>
          <w:sz w:val="20"/>
          <w:lang w:val="fr-CH"/>
        </w:rPr>
        <w:t xml:space="preserve">, </w:t>
      </w:r>
      <w:r w:rsidR="0077423B" w:rsidRPr="0077423B">
        <w:rPr>
          <w:sz w:val="20"/>
          <w:lang w:val="fr-CH"/>
        </w:rPr>
        <w:t>1832-1844</w:t>
      </w:r>
      <w:r w:rsidRPr="0077423B">
        <w:rPr>
          <w:sz w:val="20"/>
          <w:lang w:val="fr-CH"/>
        </w:rPr>
        <w:t>.</w:t>
      </w:r>
    </w:p>
  </w:footnote>
  <w:footnote w:id="45">
    <w:p w14:paraId="35D6A992" w14:textId="06D00E80" w:rsidR="00104BCB" w:rsidRPr="00B44F7F" w:rsidRDefault="00104BCB" w:rsidP="00104BCB">
      <w:pPr>
        <w:pStyle w:val="Notedebasdepage"/>
        <w:tabs>
          <w:tab w:val="clear" w:pos="709"/>
          <w:tab w:val="clear" w:pos="851"/>
          <w:tab w:val="left" w:pos="284"/>
        </w:tabs>
        <w:ind w:firstLine="0"/>
        <w:rPr>
          <w:rFonts w:asciiTheme="majorBidi" w:hAnsiTheme="majorBidi" w:cstheme="majorBidi"/>
          <w:sz w:val="20"/>
        </w:rPr>
      </w:pPr>
      <w:r w:rsidRPr="00276D34">
        <w:rPr>
          <w:rStyle w:val="Appelnotedebasdep"/>
          <w:sz w:val="20"/>
        </w:rPr>
        <w:footnoteRef/>
      </w:r>
      <w:r w:rsidRPr="00276D34">
        <w:rPr>
          <w:sz w:val="20"/>
        </w:rPr>
        <w:tab/>
      </w:r>
      <w:r w:rsidR="006144FE">
        <w:rPr>
          <w:sz w:val="20"/>
        </w:rPr>
        <w:t>Qui communiquera immédiatement la nouvelle à son frère</w:t>
      </w:r>
      <w:r w:rsidR="00987732">
        <w:rPr>
          <w:sz w:val="20"/>
        </w:rPr>
        <w:t xml:space="preserve">, le </w:t>
      </w:r>
      <w:r>
        <w:rPr>
          <w:sz w:val="20"/>
        </w:rPr>
        <w:t>linguiste</w:t>
      </w:r>
      <w:r w:rsidR="00BA0CE2">
        <w:rPr>
          <w:sz w:val="20"/>
        </w:rPr>
        <w:t xml:space="preserve"> et philosophe</w:t>
      </w:r>
      <w:r>
        <w:rPr>
          <w:sz w:val="20"/>
        </w:rPr>
        <w:t xml:space="preserve"> Wilhelm </w:t>
      </w:r>
      <w:proofErr w:type="spellStart"/>
      <w:r>
        <w:rPr>
          <w:sz w:val="20"/>
        </w:rPr>
        <w:t>von</w:t>
      </w:r>
      <w:proofErr w:type="spellEnd"/>
      <w:r>
        <w:rPr>
          <w:sz w:val="20"/>
        </w:rPr>
        <w:t xml:space="preserve"> Humboldt</w:t>
      </w:r>
      <w:r w:rsidR="00990F1C">
        <w:rPr>
          <w:sz w:val="20"/>
        </w:rPr>
        <w:t xml:space="preserve">, </w:t>
      </w:r>
      <w:r w:rsidR="00E875EF">
        <w:rPr>
          <w:sz w:val="20"/>
        </w:rPr>
        <w:t xml:space="preserve">avec </w:t>
      </w:r>
      <w:r w:rsidR="00987732">
        <w:rPr>
          <w:sz w:val="20"/>
        </w:rPr>
        <w:t xml:space="preserve">qui </w:t>
      </w:r>
      <w:r w:rsidR="00E875EF">
        <w:rPr>
          <w:sz w:val="20"/>
        </w:rPr>
        <w:t>Champollion</w:t>
      </w:r>
      <w:r w:rsidR="00987732">
        <w:rPr>
          <w:sz w:val="20"/>
        </w:rPr>
        <w:t xml:space="preserve"> entretiendra une correspondance (</w:t>
      </w:r>
      <w:r w:rsidR="00E875EF">
        <w:rPr>
          <w:sz w:val="20"/>
        </w:rPr>
        <w:t xml:space="preserve">voir </w:t>
      </w:r>
      <w:proofErr w:type="spellStart"/>
      <w:r w:rsidR="00C924F1" w:rsidRPr="00B66C4F">
        <w:rPr>
          <w:smallCaps/>
          <w:sz w:val="20"/>
          <w:lang w:val="de-DE"/>
        </w:rPr>
        <w:t>Messling</w:t>
      </w:r>
      <w:proofErr w:type="spellEnd"/>
      <w:r w:rsidR="00C924F1" w:rsidRPr="00B66C4F">
        <w:rPr>
          <w:sz w:val="20"/>
          <w:lang w:val="de-DE"/>
        </w:rPr>
        <w:t xml:space="preserve"> Markus</w:t>
      </w:r>
      <w:r w:rsidR="00C924F1">
        <w:rPr>
          <w:sz w:val="20"/>
          <w:lang w:val="de-DE"/>
        </w:rPr>
        <w:t xml:space="preserve">, </w:t>
      </w:r>
      <w:r w:rsidR="00C924F1" w:rsidRPr="00B66C4F">
        <w:rPr>
          <w:i/>
          <w:iCs/>
          <w:sz w:val="20"/>
          <w:lang w:val="de-DE"/>
        </w:rPr>
        <w:t xml:space="preserve">Pariser Orientlektüren. Zu Wilhelm von Humboldts Theorie der Schrift. Nebst der Erstedition des Briefwechsels zwischen Wilhelm von Humboldt und Jean-Francois Champollion le </w:t>
      </w:r>
      <w:proofErr w:type="spellStart"/>
      <w:r w:rsidR="00C924F1" w:rsidRPr="00B66C4F">
        <w:rPr>
          <w:i/>
          <w:iCs/>
          <w:sz w:val="20"/>
          <w:lang w:val="de-DE"/>
        </w:rPr>
        <w:t>Jeune</w:t>
      </w:r>
      <w:proofErr w:type="spellEnd"/>
      <w:r w:rsidR="00C924F1" w:rsidRPr="00B66C4F">
        <w:rPr>
          <w:i/>
          <w:iCs/>
          <w:sz w:val="20"/>
          <w:lang w:val="de-DE"/>
        </w:rPr>
        <w:t xml:space="preserve"> (1824-1827)</w:t>
      </w:r>
      <w:r w:rsidR="00C924F1" w:rsidRPr="00B66C4F">
        <w:rPr>
          <w:sz w:val="20"/>
          <w:lang w:val="de-DE"/>
        </w:rPr>
        <w:t>, Paderborn, Schöningh (</w:t>
      </w:r>
      <w:r w:rsidR="00C924F1" w:rsidRPr="00B66C4F">
        <w:rPr>
          <w:i/>
          <w:iCs/>
          <w:sz w:val="20"/>
          <w:lang w:val="de-DE"/>
        </w:rPr>
        <w:t>Humboldt-Studien</w:t>
      </w:r>
      <w:r w:rsidR="00C924F1" w:rsidRPr="00B66C4F">
        <w:rPr>
          <w:sz w:val="20"/>
          <w:lang w:val="de-DE"/>
        </w:rPr>
        <w:t xml:space="preserve"> 11)</w:t>
      </w:r>
      <w:r w:rsidR="007C03E6">
        <w:rPr>
          <w:sz w:val="20"/>
          <w:lang w:val="de-DE"/>
        </w:rPr>
        <w:t xml:space="preserve">, </w:t>
      </w:r>
      <w:r w:rsidR="00E875EF">
        <w:rPr>
          <w:sz w:val="20"/>
        </w:rPr>
        <w:t>2008</w:t>
      </w:r>
      <w:r w:rsidR="00987732">
        <w:rPr>
          <w:sz w:val="20"/>
        </w:rPr>
        <w:t>)</w:t>
      </w:r>
      <w:r w:rsidR="00E875EF">
        <w:rPr>
          <w:sz w:val="20"/>
        </w:rPr>
        <w:t>.</w:t>
      </w:r>
    </w:p>
  </w:footnote>
  <w:footnote w:id="46">
    <w:p w14:paraId="67896B40" w14:textId="1852857A" w:rsidR="00FE6636" w:rsidRPr="00FE6636" w:rsidRDefault="00FE6636" w:rsidP="00FE6636">
      <w:pPr>
        <w:pStyle w:val="Notedebasdepage"/>
        <w:tabs>
          <w:tab w:val="clear" w:pos="709"/>
          <w:tab w:val="clear" w:pos="851"/>
          <w:tab w:val="left" w:pos="284"/>
        </w:tabs>
        <w:ind w:firstLine="0"/>
        <w:rPr>
          <w:rFonts w:asciiTheme="majorBidi" w:hAnsiTheme="majorBidi" w:cstheme="majorBidi"/>
          <w:sz w:val="20"/>
        </w:rPr>
      </w:pPr>
      <w:r w:rsidRPr="00563FE9">
        <w:rPr>
          <w:rStyle w:val="Appelnotedebasdep"/>
          <w:sz w:val="20"/>
        </w:rPr>
        <w:footnoteRef/>
      </w:r>
      <w:r w:rsidRPr="00563FE9">
        <w:rPr>
          <w:sz w:val="20"/>
        </w:rPr>
        <w:tab/>
      </w:r>
      <w:r w:rsidR="005D2DD2" w:rsidRPr="00563FE9">
        <w:rPr>
          <w:sz w:val="20"/>
          <w:lang w:val="fr-CH"/>
        </w:rPr>
        <w:t>Cf. </w:t>
      </w:r>
      <w:r w:rsidR="004003F9" w:rsidRPr="004003F9">
        <w:rPr>
          <w:smallCaps/>
          <w:sz w:val="20"/>
        </w:rPr>
        <w:t>Young</w:t>
      </w:r>
      <w:r w:rsidR="004003F9">
        <w:rPr>
          <w:sz w:val="20"/>
        </w:rPr>
        <w:t xml:space="preserve"> Thomas</w:t>
      </w:r>
      <w:r w:rsidR="004003F9">
        <w:rPr>
          <w:sz w:val="20"/>
        </w:rPr>
        <w:t xml:space="preserve">, </w:t>
      </w:r>
      <w:r w:rsidR="004003F9" w:rsidRPr="00B66C4F">
        <w:rPr>
          <w:i/>
          <w:iCs/>
          <w:sz w:val="20"/>
          <w:lang w:val="en-US"/>
        </w:rPr>
        <w:t>An account of some recent discoveries</w:t>
      </w:r>
      <w:r w:rsidR="004003F9">
        <w:rPr>
          <w:sz w:val="20"/>
          <w:lang w:val="en-US"/>
        </w:rPr>
        <w:t xml:space="preserve">, </w:t>
      </w:r>
      <w:r w:rsidR="004003F9">
        <w:rPr>
          <w:i/>
          <w:iCs/>
          <w:sz w:val="20"/>
          <w:lang w:val="en-US"/>
        </w:rPr>
        <w:t>op. cit.</w:t>
      </w:r>
      <w:r w:rsidR="00563FE9" w:rsidRPr="00563FE9">
        <w:rPr>
          <w:sz w:val="20"/>
          <w:lang w:val="fr-BE"/>
        </w:rPr>
        <w:t>,</w:t>
      </w:r>
      <w:r w:rsidR="00563FE9">
        <w:rPr>
          <w:lang w:val="fr-BE"/>
        </w:rPr>
        <w:t xml:space="preserve"> avec </w:t>
      </w:r>
      <w:proofErr w:type="spellStart"/>
      <w:r w:rsidR="004003F9" w:rsidRPr="00B66C4F">
        <w:rPr>
          <w:smallCaps/>
          <w:sz w:val="20"/>
          <w:lang w:val="fr-CH"/>
        </w:rPr>
        <w:t>Leclant</w:t>
      </w:r>
      <w:proofErr w:type="spellEnd"/>
      <w:r w:rsidR="004003F9" w:rsidRPr="00B66C4F">
        <w:rPr>
          <w:sz w:val="20"/>
          <w:lang w:val="fr-CH"/>
        </w:rPr>
        <w:t xml:space="preserve"> Jean</w:t>
      </w:r>
      <w:r w:rsidR="004003F9">
        <w:rPr>
          <w:sz w:val="20"/>
          <w:lang w:val="fr-CH"/>
        </w:rPr>
        <w:t xml:space="preserve">, </w:t>
      </w:r>
      <w:r w:rsidR="004003F9" w:rsidRPr="00B66C4F">
        <w:rPr>
          <w:sz w:val="20"/>
          <w:lang w:val="fr-CH"/>
        </w:rPr>
        <w:t xml:space="preserve">« Aux sources de l’égyptologie européenne : Champollion, Young, </w:t>
      </w:r>
      <w:proofErr w:type="spellStart"/>
      <w:r w:rsidR="004003F9" w:rsidRPr="00B66C4F">
        <w:rPr>
          <w:sz w:val="20"/>
          <w:lang w:val="fr-CH"/>
        </w:rPr>
        <w:t>Rosellini</w:t>
      </w:r>
      <w:proofErr w:type="spellEnd"/>
      <w:r w:rsidR="004003F9" w:rsidRPr="00B66C4F">
        <w:rPr>
          <w:sz w:val="20"/>
          <w:lang w:val="fr-CH"/>
        </w:rPr>
        <w:t xml:space="preserve">, Lepsius ». </w:t>
      </w:r>
      <w:r w:rsidR="004003F9" w:rsidRPr="00B66C4F">
        <w:rPr>
          <w:i/>
          <w:iCs/>
          <w:sz w:val="20"/>
          <w:lang w:val="fr-CH"/>
        </w:rPr>
        <w:t xml:space="preserve">Comptes rendus des </w:t>
      </w:r>
      <w:proofErr w:type="spellStart"/>
      <w:r w:rsidR="004003F9" w:rsidRPr="00B66C4F">
        <w:rPr>
          <w:i/>
          <w:iCs/>
          <w:sz w:val="20"/>
          <w:lang w:val="fr-CH"/>
        </w:rPr>
        <w:t>séances</w:t>
      </w:r>
      <w:proofErr w:type="spellEnd"/>
      <w:r w:rsidR="004003F9" w:rsidRPr="00B66C4F">
        <w:rPr>
          <w:i/>
          <w:iCs/>
          <w:sz w:val="20"/>
          <w:lang w:val="fr-CH"/>
        </w:rPr>
        <w:t xml:space="preserve"> de l’</w:t>
      </w:r>
      <w:proofErr w:type="spellStart"/>
      <w:r w:rsidR="004003F9" w:rsidRPr="00B66C4F">
        <w:rPr>
          <w:i/>
          <w:iCs/>
          <w:sz w:val="20"/>
          <w:lang w:val="fr-CH"/>
        </w:rPr>
        <w:t>Académie</w:t>
      </w:r>
      <w:proofErr w:type="spellEnd"/>
      <w:r w:rsidR="004003F9" w:rsidRPr="00B66C4F">
        <w:rPr>
          <w:i/>
          <w:iCs/>
          <w:sz w:val="20"/>
          <w:lang w:val="fr-CH"/>
        </w:rPr>
        <w:t xml:space="preserve"> des Inscriptions et Belles-Lettres</w:t>
      </w:r>
      <w:r w:rsidR="008A107B">
        <w:rPr>
          <w:sz w:val="20"/>
          <w:lang w:val="fr-CH"/>
        </w:rPr>
        <w:t>, 1991,</w:t>
      </w:r>
      <w:r w:rsidR="004003F9" w:rsidRPr="00B66C4F">
        <w:rPr>
          <w:sz w:val="20"/>
          <w:lang w:val="fr-CH"/>
        </w:rPr>
        <w:t xml:space="preserve"> </w:t>
      </w:r>
      <w:r w:rsidR="008A107B">
        <w:rPr>
          <w:sz w:val="20"/>
          <w:lang w:val="fr-CH"/>
        </w:rPr>
        <w:t>vol. </w:t>
      </w:r>
      <w:r w:rsidR="004003F9" w:rsidRPr="00B66C4F">
        <w:rPr>
          <w:sz w:val="20"/>
          <w:lang w:val="fr-CH"/>
        </w:rPr>
        <w:t>135</w:t>
      </w:r>
      <w:r w:rsidR="008A107B">
        <w:rPr>
          <w:sz w:val="20"/>
          <w:lang w:val="fr-CH"/>
        </w:rPr>
        <w:t>, n° </w:t>
      </w:r>
      <w:r w:rsidR="004003F9" w:rsidRPr="00B66C4F">
        <w:rPr>
          <w:sz w:val="20"/>
          <w:lang w:val="fr-CH"/>
        </w:rPr>
        <w:t>4, pp. 743-762.</w:t>
      </w:r>
    </w:p>
  </w:footnote>
  <w:footnote w:id="47">
    <w:p w14:paraId="1DD0D724" w14:textId="370D315F" w:rsidR="003B4F42" w:rsidRPr="00D34122" w:rsidRDefault="003B4F42" w:rsidP="003B4F42">
      <w:pPr>
        <w:pStyle w:val="Notedebasdepage"/>
        <w:tabs>
          <w:tab w:val="clear" w:pos="709"/>
          <w:tab w:val="clear" w:pos="851"/>
          <w:tab w:val="left" w:pos="284"/>
        </w:tabs>
        <w:ind w:firstLine="0"/>
        <w:rPr>
          <w:rFonts w:asciiTheme="majorBidi" w:hAnsiTheme="majorBidi" w:cstheme="majorBidi"/>
          <w:sz w:val="20"/>
        </w:rPr>
      </w:pPr>
      <w:r w:rsidRPr="00D34122">
        <w:rPr>
          <w:rStyle w:val="Appelnotedebasdep"/>
          <w:sz w:val="20"/>
        </w:rPr>
        <w:footnoteRef/>
      </w:r>
      <w:r w:rsidRPr="00D34122">
        <w:rPr>
          <w:sz w:val="20"/>
        </w:rPr>
        <w:tab/>
      </w:r>
      <w:r w:rsidRPr="00D34122">
        <w:rPr>
          <w:sz w:val="20"/>
          <w:lang w:val="fr-CH"/>
        </w:rPr>
        <w:t xml:space="preserve">Le 20 juillet 1815, Silvestre de </w:t>
      </w:r>
      <w:proofErr w:type="spellStart"/>
      <w:r w:rsidRPr="00D34122">
        <w:rPr>
          <w:sz w:val="20"/>
          <w:lang w:val="fr-CH"/>
        </w:rPr>
        <w:t>Sacy</w:t>
      </w:r>
      <w:proofErr w:type="spellEnd"/>
      <w:r w:rsidRPr="00D34122">
        <w:rPr>
          <w:sz w:val="20"/>
          <w:lang w:val="fr-CH"/>
        </w:rPr>
        <w:t xml:space="preserve"> écri</w:t>
      </w:r>
      <w:r w:rsidR="00823F3A">
        <w:rPr>
          <w:sz w:val="20"/>
          <w:lang w:val="fr-CH"/>
        </w:rPr>
        <w:t>vai</w:t>
      </w:r>
      <w:r w:rsidRPr="00D34122">
        <w:rPr>
          <w:sz w:val="20"/>
          <w:lang w:val="fr-CH"/>
        </w:rPr>
        <w:t xml:space="preserve">t à Young : « [s]i j’ai un conseil à vous donner, c’est de ne pas trop communiquer vos découvertes à M. Champollion ; il se pourrait qu’il prétendît ensuite à la priorité. Il cherche en plusieurs endroits de son ouvrage </w:t>
      </w:r>
      <w:r w:rsidR="0049787E">
        <w:rPr>
          <w:sz w:val="20"/>
          <w:lang w:val="fr-CH"/>
        </w:rPr>
        <w:t>[</w:t>
      </w:r>
      <w:r w:rsidR="0049787E" w:rsidRPr="0049787E">
        <w:rPr>
          <w:i/>
          <w:iCs/>
          <w:sz w:val="20"/>
          <w:lang w:val="fr-CH"/>
        </w:rPr>
        <w:t>i.e.</w:t>
      </w:r>
      <w:r w:rsidR="0049787E" w:rsidRPr="0049787E">
        <w:rPr>
          <w:sz w:val="20"/>
          <w:lang w:val="fr-CH"/>
        </w:rPr>
        <w:t xml:space="preserve"> </w:t>
      </w:r>
      <w:r w:rsidR="00A07BD3">
        <w:rPr>
          <w:i/>
          <w:iCs/>
          <w:sz w:val="20"/>
          <w:lang w:val="fr-CH"/>
        </w:rPr>
        <w:t>L’</w:t>
      </w:r>
      <w:r w:rsidR="0049787E" w:rsidRPr="0049787E">
        <w:rPr>
          <w:i/>
          <w:iCs/>
          <w:w w:val="103"/>
          <w:sz w:val="20"/>
          <w:lang w:val="fr-CH"/>
        </w:rPr>
        <w:t>Égypte sous les Pharaons</w:t>
      </w:r>
      <w:r w:rsidR="0049787E" w:rsidRPr="0049787E">
        <w:rPr>
          <w:sz w:val="20"/>
          <w:lang w:val="fr-CH"/>
        </w:rPr>
        <w:t>]</w:t>
      </w:r>
      <w:r w:rsidR="0049787E" w:rsidRPr="0049787E">
        <w:rPr>
          <w:i/>
          <w:iCs/>
          <w:sz w:val="20"/>
          <w:lang w:val="fr-CH"/>
        </w:rPr>
        <w:t xml:space="preserve"> </w:t>
      </w:r>
      <w:r w:rsidRPr="0049787E">
        <w:rPr>
          <w:sz w:val="20"/>
          <w:lang w:val="fr-CH"/>
        </w:rPr>
        <w:t>à faire croire qu’il</w:t>
      </w:r>
      <w:r w:rsidRPr="00D34122">
        <w:rPr>
          <w:sz w:val="20"/>
          <w:lang w:val="fr-CH"/>
        </w:rPr>
        <w:t xml:space="preserve"> a découvert bea</w:t>
      </w:r>
      <w:r w:rsidR="007E3A1A">
        <w:rPr>
          <w:sz w:val="20"/>
          <w:lang w:val="fr-CH"/>
        </w:rPr>
        <w:t>u</w:t>
      </w:r>
      <w:r w:rsidRPr="00D34122">
        <w:rPr>
          <w:sz w:val="20"/>
          <w:lang w:val="fr-CH"/>
        </w:rPr>
        <w:t>coup des mots de l’inscription de Rosette. J’ai bien peur que ce ne soit là que du charlatanisme</w:t>
      </w:r>
      <w:r w:rsidR="00A468A6">
        <w:rPr>
          <w:sz w:val="20"/>
          <w:lang w:val="fr-CH"/>
        </w:rPr>
        <w:t>.</w:t>
      </w:r>
      <w:r w:rsidRPr="00D34122">
        <w:rPr>
          <w:sz w:val="20"/>
          <w:lang w:val="fr-CH"/>
        </w:rPr>
        <w:t> » (</w:t>
      </w:r>
      <w:r w:rsidR="00EB771B">
        <w:rPr>
          <w:sz w:val="20"/>
          <w:lang w:val="fr-CH"/>
        </w:rPr>
        <w:t xml:space="preserve">cité par </w:t>
      </w:r>
      <w:proofErr w:type="spellStart"/>
      <w:r w:rsidR="00947B6E" w:rsidRPr="00B66C4F">
        <w:rPr>
          <w:smallCaps/>
          <w:sz w:val="20"/>
          <w:lang w:val="fr-CH"/>
        </w:rPr>
        <w:t>Leclant</w:t>
      </w:r>
      <w:proofErr w:type="spellEnd"/>
      <w:r w:rsidR="00947B6E" w:rsidRPr="00B66C4F">
        <w:rPr>
          <w:sz w:val="20"/>
          <w:lang w:val="fr-CH"/>
        </w:rPr>
        <w:t xml:space="preserve"> Jean</w:t>
      </w:r>
      <w:r w:rsidR="00947B6E">
        <w:rPr>
          <w:sz w:val="20"/>
          <w:lang w:val="fr-CH"/>
        </w:rPr>
        <w:t xml:space="preserve">, </w:t>
      </w:r>
      <w:r w:rsidR="00947B6E" w:rsidRPr="00B66C4F">
        <w:rPr>
          <w:sz w:val="20"/>
          <w:lang w:val="fr-CH"/>
        </w:rPr>
        <w:t>« Aux sources de l’égyptologie européenne</w:t>
      </w:r>
      <w:r w:rsidR="00947B6E">
        <w:rPr>
          <w:sz w:val="20"/>
          <w:lang w:val="fr-CH"/>
        </w:rPr>
        <w:t xml:space="preserve"> », </w:t>
      </w:r>
      <w:r w:rsidR="00947B6E">
        <w:rPr>
          <w:i/>
          <w:iCs/>
          <w:sz w:val="20"/>
          <w:lang w:val="fr-CH"/>
        </w:rPr>
        <w:t>op. </w:t>
      </w:r>
      <w:proofErr w:type="spellStart"/>
      <w:r w:rsidR="00947B6E">
        <w:rPr>
          <w:i/>
          <w:iCs/>
          <w:sz w:val="20"/>
          <w:lang w:val="fr-CH"/>
        </w:rPr>
        <w:t>cit</w:t>
      </w:r>
      <w:proofErr w:type="spellEnd"/>
      <w:r w:rsidR="00947B6E">
        <w:rPr>
          <w:i/>
          <w:iCs/>
          <w:sz w:val="20"/>
          <w:lang w:val="fr-CH"/>
        </w:rPr>
        <w:t>.</w:t>
      </w:r>
      <w:r w:rsidR="00947B6E">
        <w:rPr>
          <w:sz w:val="20"/>
          <w:lang w:val="fr-CH"/>
        </w:rPr>
        <w:t>, p. </w:t>
      </w:r>
      <w:r w:rsidRPr="00D34122">
        <w:rPr>
          <w:sz w:val="20"/>
          <w:lang w:val="fr-CH"/>
        </w:rPr>
        <w:t>747).</w:t>
      </w:r>
    </w:p>
  </w:footnote>
  <w:footnote w:id="48">
    <w:p w14:paraId="64C6ABB4" w14:textId="6AB8C370" w:rsidR="00336AD0" w:rsidRPr="000518E7" w:rsidRDefault="00336AD0" w:rsidP="00336AD0">
      <w:pPr>
        <w:pStyle w:val="Notedebasdepage"/>
        <w:tabs>
          <w:tab w:val="clear" w:pos="709"/>
          <w:tab w:val="clear" w:pos="851"/>
          <w:tab w:val="left" w:pos="284"/>
        </w:tabs>
        <w:ind w:firstLine="0"/>
        <w:rPr>
          <w:rFonts w:asciiTheme="majorBidi" w:hAnsiTheme="majorBidi" w:cstheme="majorBidi"/>
          <w:sz w:val="20"/>
        </w:rPr>
      </w:pPr>
      <w:r w:rsidRPr="000518E7">
        <w:rPr>
          <w:rStyle w:val="Appelnotedebasdep"/>
          <w:sz w:val="20"/>
        </w:rPr>
        <w:footnoteRef/>
      </w:r>
      <w:r w:rsidRPr="000518E7">
        <w:rPr>
          <w:sz w:val="20"/>
        </w:rPr>
        <w:tab/>
      </w:r>
      <w:r w:rsidRPr="00B66C4F">
        <w:rPr>
          <w:smallCaps/>
          <w:sz w:val="20"/>
          <w:lang w:val="fr-CH"/>
        </w:rPr>
        <w:t>Klaproth</w:t>
      </w:r>
      <w:r w:rsidRPr="00B66C4F">
        <w:rPr>
          <w:sz w:val="20"/>
          <w:lang w:val="fr-CH"/>
        </w:rPr>
        <w:t xml:space="preserve"> Jules</w:t>
      </w:r>
      <w:r w:rsidR="00BA3CED">
        <w:rPr>
          <w:sz w:val="20"/>
          <w:lang w:val="fr-CH"/>
        </w:rPr>
        <w:t xml:space="preserve">, </w:t>
      </w:r>
      <w:r w:rsidRPr="00B66C4F">
        <w:rPr>
          <w:i/>
          <w:iCs/>
          <w:sz w:val="20"/>
          <w:lang w:val="fr-CH"/>
        </w:rPr>
        <w:t>Examen critiques des travaux de feu M. Champollion sur les hiéroglyphes</w:t>
      </w:r>
      <w:r w:rsidRPr="00B66C4F">
        <w:rPr>
          <w:sz w:val="20"/>
          <w:lang w:val="fr-CH"/>
        </w:rPr>
        <w:t xml:space="preserve">, Paris, </w:t>
      </w:r>
      <w:proofErr w:type="spellStart"/>
      <w:r w:rsidRPr="00B66C4F">
        <w:rPr>
          <w:sz w:val="20"/>
          <w:lang w:val="fr-CH"/>
        </w:rPr>
        <w:t>Dondey</w:t>
      </w:r>
      <w:proofErr w:type="spellEnd"/>
      <w:r w:rsidRPr="00B66C4F">
        <w:rPr>
          <w:sz w:val="20"/>
          <w:lang w:val="fr-CH"/>
        </w:rPr>
        <w:t>-Dupré, Père et fils</w:t>
      </w:r>
      <w:r w:rsidR="00BA3CED">
        <w:rPr>
          <w:sz w:val="20"/>
          <w:lang w:val="fr-CH"/>
        </w:rPr>
        <w:t xml:space="preserve">, </w:t>
      </w:r>
      <w:r w:rsidR="00BA3CED" w:rsidRPr="00B66C4F">
        <w:rPr>
          <w:sz w:val="20"/>
          <w:lang w:val="fr-CH"/>
        </w:rPr>
        <w:t>1832</w:t>
      </w:r>
      <w:r w:rsidRPr="00B66C4F">
        <w:rPr>
          <w:sz w:val="20"/>
          <w:lang w:val="fr-CH"/>
        </w:rPr>
        <w:t>.</w:t>
      </w:r>
    </w:p>
  </w:footnote>
  <w:footnote w:id="49">
    <w:p w14:paraId="729F8920" w14:textId="2F0AC421" w:rsidR="000060AF" w:rsidRPr="000518E7" w:rsidRDefault="000060AF" w:rsidP="000060AF">
      <w:pPr>
        <w:pStyle w:val="Notedebasdepage"/>
        <w:tabs>
          <w:tab w:val="clear" w:pos="709"/>
          <w:tab w:val="clear" w:pos="851"/>
          <w:tab w:val="left" w:pos="284"/>
        </w:tabs>
        <w:ind w:firstLine="0"/>
        <w:rPr>
          <w:rFonts w:asciiTheme="majorBidi" w:hAnsiTheme="majorBidi" w:cstheme="majorBidi"/>
          <w:sz w:val="20"/>
        </w:rPr>
      </w:pPr>
      <w:r w:rsidRPr="000518E7">
        <w:rPr>
          <w:rStyle w:val="Appelnotedebasdep"/>
          <w:sz w:val="20"/>
        </w:rPr>
        <w:footnoteRef/>
      </w:r>
      <w:r w:rsidRPr="000518E7">
        <w:rPr>
          <w:sz w:val="20"/>
        </w:rPr>
        <w:tab/>
      </w:r>
      <w:proofErr w:type="spellStart"/>
      <w:r w:rsidRPr="00B66C4F">
        <w:rPr>
          <w:smallCaps/>
          <w:sz w:val="20"/>
          <w:lang w:val="en-US"/>
        </w:rPr>
        <w:t>Seyffarth</w:t>
      </w:r>
      <w:proofErr w:type="spellEnd"/>
      <w:r w:rsidRPr="00B66C4F">
        <w:rPr>
          <w:smallCaps/>
          <w:sz w:val="20"/>
          <w:lang w:val="en-US"/>
        </w:rPr>
        <w:t xml:space="preserve"> </w:t>
      </w:r>
      <w:r w:rsidRPr="00B66C4F">
        <w:rPr>
          <w:sz w:val="20"/>
          <w:lang w:val="en-US"/>
        </w:rPr>
        <w:t>Gustav</w:t>
      </w:r>
      <w:r>
        <w:rPr>
          <w:sz w:val="20"/>
          <w:lang w:val="en-US"/>
        </w:rPr>
        <w:t xml:space="preserve">, </w:t>
      </w:r>
      <w:proofErr w:type="spellStart"/>
      <w:r w:rsidRPr="00B66C4F">
        <w:rPr>
          <w:i/>
          <w:iCs/>
          <w:sz w:val="20"/>
          <w:lang w:val="en-US"/>
        </w:rPr>
        <w:t>Rudimenta</w:t>
      </w:r>
      <w:proofErr w:type="spellEnd"/>
      <w:r w:rsidRPr="00B66C4F">
        <w:rPr>
          <w:i/>
          <w:iCs/>
          <w:sz w:val="20"/>
          <w:lang w:val="en-US"/>
        </w:rPr>
        <w:t xml:space="preserve"> </w:t>
      </w:r>
      <w:proofErr w:type="spellStart"/>
      <w:r w:rsidRPr="00B66C4F">
        <w:rPr>
          <w:i/>
          <w:iCs/>
          <w:sz w:val="20"/>
          <w:lang w:val="en-US"/>
        </w:rPr>
        <w:t>hieroglyphices</w:t>
      </w:r>
      <w:proofErr w:type="spellEnd"/>
      <w:r w:rsidRPr="00B66C4F">
        <w:rPr>
          <w:sz w:val="20"/>
          <w:lang w:val="en-US"/>
        </w:rPr>
        <w:t>, Leipzig, Barth</w:t>
      </w:r>
      <w:r>
        <w:rPr>
          <w:sz w:val="20"/>
          <w:lang w:val="en-US"/>
        </w:rPr>
        <w:t xml:space="preserve">, </w:t>
      </w:r>
      <w:r w:rsidRPr="00B66C4F">
        <w:rPr>
          <w:sz w:val="20"/>
          <w:lang w:val="en-US"/>
        </w:rPr>
        <w:t>1826</w:t>
      </w:r>
      <w:r>
        <w:rPr>
          <w:sz w:val="20"/>
          <w:lang w:val="en-US"/>
        </w:rPr>
        <w:t>, preface, p. 2</w:t>
      </w:r>
      <w:r w:rsidRPr="00B66C4F">
        <w:rPr>
          <w:sz w:val="20"/>
          <w:lang w:val="en-US"/>
        </w:rPr>
        <w:t>.</w:t>
      </w:r>
    </w:p>
  </w:footnote>
  <w:footnote w:id="50">
    <w:p w14:paraId="3B31F16C" w14:textId="694C8CB9" w:rsidR="000E76CF" w:rsidRPr="000518E7" w:rsidRDefault="000E76CF" w:rsidP="000E76CF">
      <w:pPr>
        <w:pStyle w:val="Notedebasdepage"/>
        <w:tabs>
          <w:tab w:val="clear" w:pos="709"/>
          <w:tab w:val="clear" w:pos="851"/>
          <w:tab w:val="left" w:pos="284"/>
        </w:tabs>
        <w:ind w:firstLine="0"/>
        <w:rPr>
          <w:rFonts w:asciiTheme="majorBidi" w:hAnsiTheme="majorBidi" w:cstheme="majorBidi"/>
          <w:sz w:val="20"/>
        </w:rPr>
      </w:pPr>
      <w:r w:rsidRPr="000518E7">
        <w:rPr>
          <w:rStyle w:val="Appelnotedebasdep"/>
          <w:sz w:val="20"/>
        </w:rPr>
        <w:footnoteRef/>
      </w:r>
      <w:r w:rsidRPr="000518E7">
        <w:rPr>
          <w:sz w:val="20"/>
        </w:rPr>
        <w:tab/>
      </w:r>
      <w:r w:rsidRPr="00B66C4F">
        <w:rPr>
          <w:smallCaps/>
          <w:sz w:val="20"/>
          <w:lang w:val="fr-CH"/>
        </w:rPr>
        <w:t>Dujardin</w:t>
      </w:r>
      <w:r w:rsidRPr="00B66C4F">
        <w:rPr>
          <w:sz w:val="20"/>
          <w:lang w:val="fr-CH"/>
        </w:rPr>
        <w:t xml:space="preserve"> Dr.</w:t>
      </w:r>
      <w:r>
        <w:rPr>
          <w:sz w:val="20"/>
          <w:lang w:val="fr-CH"/>
        </w:rPr>
        <w:t xml:space="preserve">, </w:t>
      </w:r>
      <w:r w:rsidRPr="00B66C4F">
        <w:rPr>
          <w:sz w:val="20"/>
          <w:lang w:val="fr-CH"/>
        </w:rPr>
        <w:t xml:space="preserve">« Les hiéroglyphes et la langue égyptienne », </w:t>
      </w:r>
      <w:r w:rsidRPr="00B66C4F">
        <w:rPr>
          <w:i/>
          <w:iCs/>
          <w:sz w:val="20"/>
          <w:lang w:val="fr-CH"/>
        </w:rPr>
        <w:t>Revue des Deux Mondes</w:t>
      </w:r>
      <w:r>
        <w:rPr>
          <w:sz w:val="20"/>
          <w:lang w:val="fr-CH"/>
        </w:rPr>
        <w:t>, 1836, vol. </w:t>
      </w:r>
      <w:r w:rsidRPr="00B66C4F">
        <w:rPr>
          <w:sz w:val="20"/>
          <w:lang w:val="fr-CH"/>
        </w:rPr>
        <w:t>7, pp. </w:t>
      </w:r>
      <w:r>
        <w:rPr>
          <w:sz w:val="20"/>
          <w:lang w:val="fr-CH"/>
        </w:rPr>
        <w:t>208–209</w:t>
      </w:r>
      <w:r w:rsidRPr="00B66C4F">
        <w:rPr>
          <w:sz w:val="20"/>
          <w:lang w:val="fr-CH"/>
        </w:rPr>
        <w:t>.</w:t>
      </w:r>
    </w:p>
  </w:footnote>
  <w:footnote w:id="51">
    <w:p w14:paraId="7391A73B" w14:textId="070BE558" w:rsidR="005C53EC" w:rsidRPr="000518E7" w:rsidRDefault="005C53EC" w:rsidP="005C53EC">
      <w:pPr>
        <w:pStyle w:val="Notedebasdepage"/>
        <w:tabs>
          <w:tab w:val="clear" w:pos="709"/>
          <w:tab w:val="clear" w:pos="851"/>
          <w:tab w:val="left" w:pos="284"/>
        </w:tabs>
        <w:ind w:firstLine="0"/>
        <w:rPr>
          <w:rFonts w:asciiTheme="majorBidi" w:hAnsiTheme="majorBidi" w:cstheme="majorBidi"/>
          <w:sz w:val="20"/>
        </w:rPr>
      </w:pPr>
      <w:r w:rsidRPr="000518E7">
        <w:rPr>
          <w:rStyle w:val="Appelnotedebasdep"/>
          <w:sz w:val="20"/>
        </w:rPr>
        <w:footnoteRef/>
      </w:r>
      <w:r w:rsidRPr="000518E7">
        <w:rPr>
          <w:sz w:val="20"/>
        </w:rPr>
        <w:tab/>
      </w:r>
      <w:r w:rsidRPr="00B66C4F">
        <w:rPr>
          <w:smallCaps/>
          <w:sz w:val="20"/>
          <w:lang w:val="fr-CH"/>
        </w:rPr>
        <w:t xml:space="preserve">de </w:t>
      </w:r>
      <w:proofErr w:type="spellStart"/>
      <w:r w:rsidRPr="00B66C4F">
        <w:rPr>
          <w:smallCaps/>
          <w:sz w:val="20"/>
          <w:lang w:val="fr-CH"/>
        </w:rPr>
        <w:t>Saulcy</w:t>
      </w:r>
      <w:proofErr w:type="spellEnd"/>
      <w:r w:rsidRPr="00B66C4F">
        <w:rPr>
          <w:sz w:val="20"/>
          <w:lang w:val="fr-CH"/>
        </w:rPr>
        <w:t xml:space="preserve"> Félicien</w:t>
      </w:r>
      <w:r>
        <w:rPr>
          <w:sz w:val="20"/>
          <w:lang w:val="fr-CH"/>
        </w:rPr>
        <w:t xml:space="preserve">, </w:t>
      </w:r>
      <w:r w:rsidRPr="00B66C4F">
        <w:rPr>
          <w:sz w:val="20"/>
          <w:lang w:val="fr-CH"/>
        </w:rPr>
        <w:t xml:space="preserve">« De l’étude des hiéroglyphes », </w:t>
      </w:r>
      <w:r w:rsidRPr="00B66C4F">
        <w:rPr>
          <w:i/>
          <w:iCs/>
          <w:sz w:val="20"/>
          <w:lang w:val="fr-CH"/>
        </w:rPr>
        <w:t>Revue des Deux Mondes</w:t>
      </w:r>
      <w:r>
        <w:rPr>
          <w:sz w:val="20"/>
          <w:lang w:val="fr-CH"/>
        </w:rPr>
        <w:t xml:space="preserve">, </w:t>
      </w:r>
      <w:r w:rsidRPr="00B66C4F">
        <w:rPr>
          <w:sz w:val="20"/>
          <w:lang w:val="fr-CH"/>
        </w:rPr>
        <w:t>1</w:t>
      </w:r>
      <w:r>
        <w:rPr>
          <w:sz w:val="20"/>
          <w:lang w:val="fr-CH"/>
        </w:rPr>
        <w:t>8</w:t>
      </w:r>
      <w:r w:rsidRPr="00B66C4F">
        <w:rPr>
          <w:sz w:val="20"/>
          <w:lang w:val="fr-CH"/>
        </w:rPr>
        <w:t>46</w:t>
      </w:r>
      <w:r>
        <w:rPr>
          <w:sz w:val="20"/>
          <w:lang w:val="fr-CH"/>
        </w:rPr>
        <w:t>,</w:t>
      </w:r>
      <w:r w:rsidRPr="00B66C4F">
        <w:rPr>
          <w:i/>
          <w:iCs/>
          <w:sz w:val="20"/>
          <w:lang w:val="fr-CH"/>
        </w:rPr>
        <w:t xml:space="preserve"> </w:t>
      </w:r>
      <w:r>
        <w:rPr>
          <w:sz w:val="20"/>
          <w:lang w:val="fr-CH"/>
        </w:rPr>
        <w:t>vol. </w:t>
      </w:r>
      <w:r w:rsidRPr="00B66C4F">
        <w:rPr>
          <w:sz w:val="20"/>
          <w:lang w:val="fr-CH"/>
        </w:rPr>
        <w:t>14</w:t>
      </w:r>
      <w:r>
        <w:rPr>
          <w:sz w:val="20"/>
          <w:lang w:val="fr-CH"/>
        </w:rPr>
        <w:t>, n° </w:t>
      </w:r>
      <w:r w:rsidRPr="00B66C4F">
        <w:rPr>
          <w:sz w:val="20"/>
          <w:lang w:val="fr-CH"/>
        </w:rPr>
        <w:t>6,</w:t>
      </w:r>
      <w:r w:rsidR="00980C52">
        <w:rPr>
          <w:sz w:val="20"/>
          <w:lang w:val="fr-CH"/>
        </w:rPr>
        <w:t xml:space="preserve"> </w:t>
      </w:r>
      <w:r w:rsidRPr="00B66C4F">
        <w:rPr>
          <w:sz w:val="20"/>
          <w:lang w:val="fr-CH"/>
        </w:rPr>
        <w:t>p. 9</w:t>
      </w:r>
      <w:r>
        <w:rPr>
          <w:sz w:val="20"/>
          <w:lang w:val="fr-CH"/>
        </w:rPr>
        <w:t>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08AA83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FC"/>
    <w:rsid w:val="00000ED4"/>
    <w:rsid w:val="00000FB0"/>
    <w:rsid w:val="000019A6"/>
    <w:rsid w:val="000025AA"/>
    <w:rsid w:val="00004A7C"/>
    <w:rsid w:val="000059E2"/>
    <w:rsid w:val="000060AF"/>
    <w:rsid w:val="00006CE5"/>
    <w:rsid w:val="00006E81"/>
    <w:rsid w:val="000070C7"/>
    <w:rsid w:val="000070F8"/>
    <w:rsid w:val="00007196"/>
    <w:rsid w:val="00007946"/>
    <w:rsid w:val="00007B68"/>
    <w:rsid w:val="000106FB"/>
    <w:rsid w:val="00010D62"/>
    <w:rsid w:val="0001137E"/>
    <w:rsid w:val="000115FC"/>
    <w:rsid w:val="00011B46"/>
    <w:rsid w:val="000120F7"/>
    <w:rsid w:val="000123A3"/>
    <w:rsid w:val="000144D9"/>
    <w:rsid w:val="00014666"/>
    <w:rsid w:val="00015C84"/>
    <w:rsid w:val="000164E9"/>
    <w:rsid w:val="000230C4"/>
    <w:rsid w:val="0002321B"/>
    <w:rsid w:val="00023CD5"/>
    <w:rsid w:val="00023E10"/>
    <w:rsid w:val="000243D5"/>
    <w:rsid w:val="00024F95"/>
    <w:rsid w:val="000255BA"/>
    <w:rsid w:val="00025D05"/>
    <w:rsid w:val="00025D2F"/>
    <w:rsid w:val="00025F8A"/>
    <w:rsid w:val="000262AE"/>
    <w:rsid w:val="000263A2"/>
    <w:rsid w:val="000267D2"/>
    <w:rsid w:val="00026868"/>
    <w:rsid w:val="00026E84"/>
    <w:rsid w:val="00027BAF"/>
    <w:rsid w:val="00027C74"/>
    <w:rsid w:val="000301E3"/>
    <w:rsid w:val="00030942"/>
    <w:rsid w:val="00030B78"/>
    <w:rsid w:val="0003155B"/>
    <w:rsid w:val="00032230"/>
    <w:rsid w:val="00032249"/>
    <w:rsid w:val="00032DC2"/>
    <w:rsid w:val="000339E9"/>
    <w:rsid w:val="000349AA"/>
    <w:rsid w:val="000349C0"/>
    <w:rsid w:val="00034D2C"/>
    <w:rsid w:val="00035763"/>
    <w:rsid w:val="000360B8"/>
    <w:rsid w:val="00036B8E"/>
    <w:rsid w:val="00036C11"/>
    <w:rsid w:val="00036CD4"/>
    <w:rsid w:val="00040B00"/>
    <w:rsid w:val="00040DEE"/>
    <w:rsid w:val="0004128F"/>
    <w:rsid w:val="000415C5"/>
    <w:rsid w:val="00042802"/>
    <w:rsid w:val="00042995"/>
    <w:rsid w:val="000432CD"/>
    <w:rsid w:val="0004440C"/>
    <w:rsid w:val="00044473"/>
    <w:rsid w:val="00044CEA"/>
    <w:rsid w:val="00045822"/>
    <w:rsid w:val="000459A5"/>
    <w:rsid w:val="000460E4"/>
    <w:rsid w:val="00046C24"/>
    <w:rsid w:val="00046FB5"/>
    <w:rsid w:val="000471D8"/>
    <w:rsid w:val="00051115"/>
    <w:rsid w:val="000518E7"/>
    <w:rsid w:val="00051DDA"/>
    <w:rsid w:val="00052F2F"/>
    <w:rsid w:val="000537E7"/>
    <w:rsid w:val="000550EF"/>
    <w:rsid w:val="000552CE"/>
    <w:rsid w:val="000555F8"/>
    <w:rsid w:val="00055DE9"/>
    <w:rsid w:val="00055EB0"/>
    <w:rsid w:val="00056D52"/>
    <w:rsid w:val="00057667"/>
    <w:rsid w:val="000578D5"/>
    <w:rsid w:val="000605A5"/>
    <w:rsid w:val="00060AF6"/>
    <w:rsid w:val="00061A02"/>
    <w:rsid w:val="00061FBB"/>
    <w:rsid w:val="000635F3"/>
    <w:rsid w:val="0006399B"/>
    <w:rsid w:val="00063C11"/>
    <w:rsid w:val="0006517A"/>
    <w:rsid w:val="00065393"/>
    <w:rsid w:val="00065BF7"/>
    <w:rsid w:val="00065D63"/>
    <w:rsid w:val="00065EA4"/>
    <w:rsid w:val="00067B4D"/>
    <w:rsid w:val="00067E4D"/>
    <w:rsid w:val="0007043B"/>
    <w:rsid w:val="00070887"/>
    <w:rsid w:val="000708AE"/>
    <w:rsid w:val="000710BE"/>
    <w:rsid w:val="00072E62"/>
    <w:rsid w:val="000735FF"/>
    <w:rsid w:val="000750B9"/>
    <w:rsid w:val="00075C8A"/>
    <w:rsid w:val="000772C3"/>
    <w:rsid w:val="00081459"/>
    <w:rsid w:val="00082B88"/>
    <w:rsid w:val="00082CE4"/>
    <w:rsid w:val="00082DC6"/>
    <w:rsid w:val="00083606"/>
    <w:rsid w:val="00083DD6"/>
    <w:rsid w:val="00085881"/>
    <w:rsid w:val="00087490"/>
    <w:rsid w:val="00090923"/>
    <w:rsid w:val="00090A73"/>
    <w:rsid w:val="00090D97"/>
    <w:rsid w:val="00090E92"/>
    <w:rsid w:val="000911DA"/>
    <w:rsid w:val="0009191D"/>
    <w:rsid w:val="00093285"/>
    <w:rsid w:val="0009335F"/>
    <w:rsid w:val="0009349E"/>
    <w:rsid w:val="0009374A"/>
    <w:rsid w:val="0009518E"/>
    <w:rsid w:val="000960AB"/>
    <w:rsid w:val="00096B0C"/>
    <w:rsid w:val="0009758D"/>
    <w:rsid w:val="000975D4"/>
    <w:rsid w:val="000A0080"/>
    <w:rsid w:val="000A0164"/>
    <w:rsid w:val="000A1712"/>
    <w:rsid w:val="000A292D"/>
    <w:rsid w:val="000A2B43"/>
    <w:rsid w:val="000A2D9D"/>
    <w:rsid w:val="000A3BEF"/>
    <w:rsid w:val="000A4EF3"/>
    <w:rsid w:val="000A4F5A"/>
    <w:rsid w:val="000A5427"/>
    <w:rsid w:val="000A551D"/>
    <w:rsid w:val="000A62AE"/>
    <w:rsid w:val="000B00AE"/>
    <w:rsid w:val="000B03D6"/>
    <w:rsid w:val="000B0952"/>
    <w:rsid w:val="000B0B39"/>
    <w:rsid w:val="000B0B6D"/>
    <w:rsid w:val="000B1049"/>
    <w:rsid w:val="000B162F"/>
    <w:rsid w:val="000B1886"/>
    <w:rsid w:val="000B36E1"/>
    <w:rsid w:val="000B372F"/>
    <w:rsid w:val="000B389B"/>
    <w:rsid w:val="000B3EBC"/>
    <w:rsid w:val="000B4C97"/>
    <w:rsid w:val="000B4CF1"/>
    <w:rsid w:val="000B4F9C"/>
    <w:rsid w:val="000B615C"/>
    <w:rsid w:val="000B6D48"/>
    <w:rsid w:val="000C2896"/>
    <w:rsid w:val="000C3636"/>
    <w:rsid w:val="000C377B"/>
    <w:rsid w:val="000C4300"/>
    <w:rsid w:val="000C5F19"/>
    <w:rsid w:val="000C738F"/>
    <w:rsid w:val="000C75A1"/>
    <w:rsid w:val="000D0807"/>
    <w:rsid w:val="000D141D"/>
    <w:rsid w:val="000D17DD"/>
    <w:rsid w:val="000D1B4A"/>
    <w:rsid w:val="000D26C5"/>
    <w:rsid w:val="000D2769"/>
    <w:rsid w:val="000D298D"/>
    <w:rsid w:val="000D3AA9"/>
    <w:rsid w:val="000D4B43"/>
    <w:rsid w:val="000D513C"/>
    <w:rsid w:val="000D5575"/>
    <w:rsid w:val="000D5D66"/>
    <w:rsid w:val="000D6D51"/>
    <w:rsid w:val="000E0044"/>
    <w:rsid w:val="000E12C6"/>
    <w:rsid w:val="000E152F"/>
    <w:rsid w:val="000E1E29"/>
    <w:rsid w:val="000E34B0"/>
    <w:rsid w:val="000E40B8"/>
    <w:rsid w:val="000E4567"/>
    <w:rsid w:val="000E497B"/>
    <w:rsid w:val="000E6CBA"/>
    <w:rsid w:val="000E76CF"/>
    <w:rsid w:val="000E776A"/>
    <w:rsid w:val="000F0897"/>
    <w:rsid w:val="000F1878"/>
    <w:rsid w:val="000F2336"/>
    <w:rsid w:val="000F23AF"/>
    <w:rsid w:val="000F2BB4"/>
    <w:rsid w:val="000F36D3"/>
    <w:rsid w:val="000F3BD1"/>
    <w:rsid w:val="000F4F8D"/>
    <w:rsid w:val="000F65B5"/>
    <w:rsid w:val="000F69A8"/>
    <w:rsid w:val="000F6A0E"/>
    <w:rsid w:val="000F6CF2"/>
    <w:rsid w:val="000F7579"/>
    <w:rsid w:val="000F7920"/>
    <w:rsid w:val="00100006"/>
    <w:rsid w:val="00100816"/>
    <w:rsid w:val="00100E6A"/>
    <w:rsid w:val="00101AB9"/>
    <w:rsid w:val="00101C5C"/>
    <w:rsid w:val="00101DA6"/>
    <w:rsid w:val="00102B53"/>
    <w:rsid w:val="0010394D"/>
    <w:rsid w:val="00103C98"/>
    <w:rsid w:val="00104704"/>
    <w:rsid w:val="00104A4B"/>
    <w:rsid w:val="00104BCB"/>
    <w:rsid w:val="0010648A"/>
    <w:rsid w:val="001079E2"/>
    <w:rsid w:val="0011047F"/>
    <w:rsid w:val="00110649"/>
    <w:rsid w:val="00110C74"/>
    <w:rsid w:val="001123E5"/>
    <w:rsid w:val="00112E90"/>
    <w:rsid w:val="001132D9"/>
    <w:rsid w:val="00113544"/>
    <w:rsid w:val="00113758"/>
    <w:rsid w:val="00113D67"/>
    <w:rsid w:val="00113EA8"/>
    <w:rsid w:val="00113FB2"/>
    <w:rsid w:val="00115CB3"/>
    <w:rsid w:val="00116EAD"/>
    <w:rsid w:val="00116EBC"/>
    <w:rsid w:val="00120267"/>
    <w:rsid w:val="00120DB6"/>
    <w:rsid w:val="00120FC1"/>
    <w:rsid w:val="0012107F"/>
    <w:rsid w:val="00121B0B"/>
    <w:rsid w:val="001224DD"/>
    <w:rsid w:val="0012266E"/>
    <w:rsid w:val="00122835"/>
    <w:rsid w:val="00122BB8"/>
    <w:rsid w:val="00123DB1"/>
    <w:rsid w:val="0012428A"/>
    <w:rsid w:val="00124297"/>
    <w:rsid w:val="00124D98"/>
    <w:rsid w:val="0012500E"/>
    <w:rsid w:val="00125343"/>
    <w:rsid w:val="0012637B"/>
    <w:rsid w:val="00126BC7"/>
    <w:rsid w:val="00126CE1"/>
    <w:rsid w:val="00127A66"/>
    <w:rsid w:val="0013135E"/>
    <w:rsid w:val="001320CB"/>
    <w:rsid w:val="001323F5"/>
    <w:rsid w:val="00132544"/>
    <w:rsid w:val="00132D61"/>
    <w:rsid w:val="0013396B"/>
    <w:rsid w:val="001341CC"/>
    <w:rsid w:val="001350E2"/>
    <w:rsid w:val="00135A42"/>
    <w:rsid w:val="00136859"/>
    <w:rsid w:val="001369F1"/>
    <w:rsid w:val="001378AE"/>
    <w:rsid w:val="00137A00"/>
    <w:rsid w:val="00140912"/>
    <w:rsid w:val="001409AB"/>
    <w:rsid w:val="00141E10"/>
    <w:rsid w:val="0014254A"/>
    <w:rsid w:val="00142568"/>
    <w:rsid w:val="0014318A"/>
    <w:rsid w:val="00143D2F"/>
    <w:rsid w:val="0014538D"/>
    <w:rsid w:val="00147A2F"/>
    <w:rsid w:val="00150601"/>
    <w:rsid w:val="001507B9"/>
    <w:rsid w:val="00150CD6"/>
    <w:rsid w:val="0015159D"/>
    <w:rsid w:val="0015204A"/>
    <w:rsid w:val="00152635"/>
    <w:rsid w:val="001526F6"/>
    <w:rsid w:val="00153472"/>
    <w:rsid w:val="001541F6"/>
    <w:rsid w:val="00154469"/>
    <w:rsid w:val="00154969"/>
    <w:rsid w:val="001565BB"/>
    <w:rsid w:val="001572D2"/>
    <w:rsid w:val="00157663"/>
    <w:rsid w:val="0016005D"/>
    <w:rsid w:val="00160087"/>
    <w:rsid w:val="00161293"/>
    <w:rsid w:val="00161D2D"/>
    <w:rsid w:val="00162726"/>
    <w:rsid w:val="00162731"/>
    <w:rsid w:val="00162860"/>
    <w:rsid w:val="00162B8F"/>
    <w:rsid w:val="001631CB"/>
    <w:rsid w:val="00163BAA"/>
    <w:rsid w:val="00164AE8"/>
    <w:rsid w:val="00164F39"/>
    <w:rsid w:val="00165019"/>
    <w:rsid w:val="00165582"/>
    <w:rsid w:val="001656C6"/>
    <w:rsid w:val="00165B17"/>
    <w:rsid w:val="00170459"/>
    <w:rsid w:val="001705AC"/>
    <w:rsid w:val="0017137C"/>
    <w:rsid w:val="00171E06"/>
    <w:rsid w:val="001721BB"/>
    <w:rsid w:val="001731EC"/>
    <w:rsid w:val="00173B4B"/>
    <w:rsid w:val="00173B61"/>
    <w:rsid w:val="00173C78"/>
    <w:rsid w:val="00173DF0"/>
    <w:rsid w:val="00173F8A"/>
    <w:rsid w:val="00175A6E"/>
    <w:rsid w:val="00175F1E"/>
    <w:rsid w:val="00175FCB"/>
    <w:rsid w:val="0017661A"/>
    <w:rsid w:val="001770BC"/>
    <w:rsid w:val="001772DA"/>
    <w:rsid w:val="001810B6"/>
    <w:rsid w:val="00181326"/>
    <w:rsid w:val="00181F10"/>
    <w:rsid w:val="00183915"/>
    <w:rsid w:val="00183FFB"/>
    <w:rsid w:val="001843D4"/>
    <w:rsid w:val="00184CCC"/>
    <w:rsid w:val="00184DF4"/>
    <w:rsid w:val="001856B6"/>
    <w:rsid w:val="00185CD8"/>
    <w:rsid w:val="00185E44"/>
    <w:rsid w:val="00185E78"/>
    <w:rsid w:val="00185FA9"/>
    <w:rsid w:val="0018674C"/>
    <w:rsid w:val="00187BF5"/>
    <w:rsid w:val="00187E2C"/>
    <w:rsid w:val="001905AD"/>
    <w:rsid w:val="001905F5"/>
    <w:rsid w:val="00190E85"/>
    <w:rsid w:val="00191173"/>
    <w:rsid w:val="00191695"/>
    <w:rsid w:val="001917C2"/>
    <w:rsid w:val="0019210D"/>
    <w:rsid w:val="00192745"/>
    <w:rsid w:val="00192AE4"/>
    <w:rsid w:val="001937EC"/>
    <w:rsid w:val="00193DB6"/>
    <w:rsid w:val="001953E6"/>
    <w:rsid w:val="0019674E"/>
    <w:rsid w:val="001A276F"/>
    <w:rsid w:val="001A2998"/>
    <w:rsid w:val="001A4003"/>
    <w:rsid w:val="001B050C"/>
    <w:rsid w:val="001B1B95"/>
    <w:rsid w:val="001B2B06"/>
    <w:rsid w:val="001B36FD"/>
    <w:rsid w:val="001B4387"/>
    <w:rsid w:val="001B5319"/>
    <w:rsid w:val="001B6205"/>
    <w:rsid w:val="001B6C32"/>
    <w:rsid w:val="001B70BB"/>
    <w:rsid w:val="001B787E"/>
    <w:rsid w:val="001B7DE2"/>
    <w:rsid w:val="001C0FFD"/>
    <w:rsid w:val="001C115F"/>
    <w:rsid w:val="001C15F2"/>
    <w:rsid w:val="001C2826"/>
    <w:rsid w:val="001C2951"/>
    <w:rsid w:val="001C2AE0"/>
    <w:rsid w:val="001C3228"/>
    <w:rsid w:val="001C3875"/>
    <w:rsid w:val="001C4C17"/>
    <w:rsid w:val="001C4DCB"/>
    <w:rsid w:val="001C7E80"/>
    <w:rsid w:val="001D0313"/>
    <w:rsid w:val="001D1301"/>
    <w:rsid w:val="001D1330"/>
    <w:rsid w:val="001D2D5B"/>
    <w:rsid w:val="001D3076"/>
    <w:rsid w:val="001D3325"/>
    <w:rsid w:val="001D43D5"/>
    <w:rsid w:val="001D4746"/>
    <w:rsid w:val="001D4D89"/>
    <w:rsid w:val="001D4DB7"/>
    <w:rsid w:val="001D4E72"/>
    <w:rsid w:val="001D4FEE"/>
    <w:rsid w:val="001D548E"/>
    <w:rsid w:val="001D583F"/>
    <w:rsid w:val="001D5EE2"/>
    <w:rsid w:val="001D7346"/>
    <w:rsid w:val="001D781A"/>
    <w:rsid w:val="001D795E"/>
    <w:rsid w:val="001E0EC0"/>
    <w:rsid w:val="001E27CD"/>
    <w:rsid w:val="001E32DF"/>
    <w:rsid w:val="001E3E9C"/>
    <w:rsid w:val="001E4B14"/>
    <w:rsid w:val="001E5288"/>
    <w:rsid w:val="001E57C3"/>
    <w:rsid w:val="001E5F26"/>
    <w:rsid w:val="001E62C4"/>
    <w:rsid w:val="001E68E7"/>
    <w:rsid w:val="001E695C"/>
    <w:rsid w:val="001E7E19"/>
    <w:rsid w:val="001F0927"/>
    <w:rsid w:val="001F3910"/>
    <w:rsid w:val="001F56C7"/>
    <w:rsid w:val="001F5866"/>
    <w:rsid w:val="001F5C58"/>
    <w:rsid w:val="001F604F"/>
    <w:rsid w:val="001F75DB"/>
    <w:rsid w:val="002029BF"/>
    <w:rsid w:val="0020304D"/>
    <w:rsid w:val="002038A8"/>
    <w:rsid w:val="0020425C"/>
    <w:rsid w:val="002042E0"/>
    <w:rsid w:val="002050FE"/>
    <w:rsid w:val="00205E3C"/>
    <w:rsid w:val="00206BA7"/>
    <w:rsid w:val="00207A0D"/>
    <w:rsid w:val="00207E68"/>
    <w:rsid w:val="002108B3"/>
    <w:rsid w:val="00210CB9"/>
    <w:rsid w:val="00210FD0"/>
    <w:rsid w:val="0021146A"/>
    <w:rsid w:val="002115D1"/>
    <w:rsid w:val="0021169F"/>
    <w:rsid w:val="002126F3"/>
    <w:rsid w:val="0021294B"/>
    <w:rsid w:val="00212AF8"/>
    <w:rsid w:val="0021333D"/>
    <w:rsid w:val="00214074"/>
    <w:rsid w:val="00214CBD"/>
    <w:rsid w:val="002158D1"/>
    <w:rsid w:val="00215E17"/>
    <w:rsid w:val="00215F92"/>
    <w:rsid w:val="002160F8"/>
    <w:rsid w:val="00216416"/>
    <w:rsid w:val="002164E0"/>
    <w:rsid w:val="00216D4A"/>
    <w:rsid w:val="00217289"/>
    <w:rsid w:val="002178E0"/>
    <w:rsid w:val="00217A6C"/>
    <w:rsid w:val="00217BF7"/>
    <w:rsid w:val="00217DE3"/>
    <w:rsid w:val="00221B25"/>
    <w:rsid w:val="00222CCF"/>
    <w:rsid w:val="00223D01"/>
    <w:rsid w:val="00224CC9"/>
    <w:rsid w:val="00225010"/>
    <w:rsid w:val="002251CE"/>
    <w:rsid w:val="0022562A"/>
    <w:rsid w:val="00225955"/>
    <w:rsid w:val="00225F85"/>
    <w:rsid w:val="002261AB"/>
    <w:rsid w:val="002308E5"/>
    <w:rsid w:val="002314B8"/>
    <w:rsid w:val="00231728"/>
    <w:rsid w:val="0023326C"/>
    <w:rsid w:val="002336BB"/>
    <w:rsid w:val="002338C7"/>
    <w:rsid w:val="0023391C"/>
    <w:rsid w:val="00233A96"/>
    <w:rsid w:val="002342D4"/>
    <w:rsid w:val="00234F68"/>
    <w:rsid w:val="00235337"/>
    <w:rsid w:val="002355D0"/>
    <w:rsid w:val="00235912"/>
    <w:rsid w:val="00235C97"/>
    <w:rsid w:val="00235FCF"/>
    <w:rsid w:val="0023616B"/>
    <w:rsid w:val="0023665F"/>
    <w:rsid w:val="002366CC"/>
    <w:rsid w:val="002374F4"/>
    <w:rsid w:val="002375DA"/>
    <w:rsid w:val="002403F0"/>
    <w:rsid w:val="00240603"/>
    <w:rsid w:val="00240DF6"/>
    <w:rsid w:val="00241C3B"/>
    <w:rsid w:val="00241E13"/>
    <w:rsid w:val="00242A1A"/>
    <w:rsid w:val="0024390D"/>
    <w:rsid w:val="002440BA"/>
    <w:rsid w:val="002441F8"/>
    <w:rsid w:val="00244539"/>
    <w:rsid w:val="00245600"/>
    <w:rsid w:val="00245816"/>
    <w:rsid w:val="00246801"/>
    <w:rsid w:val="00246F93"/>
    <w:rsid w:val="002476F9"/>
    <w:rsid w:val="00247A56"/>
    <w:rsid w:val="00247E95"/>
    <w:rsid w:val="002503C4"/>
    <w:rsid w:val="002518AA"/>
    <w:rsid w:val="00252346"/>
    <w:rsid w:val="002533B2"/>
    <w:rsid w:val="00253F69"/>
    <w:rsid w:val="00254687"/>
    <w:rsid w:val="00254EFD"/>
    <w:rsid w:val="00255244"/>
    <w:rsid w:val="002552A3"/>
    <w:rsid w:val="0025618E"/>
    <w:rsid w:val="00256335"/>
    <w:rsid w:val="00256664"/>
    <w:rsid w:val="00256AFC"/>
    <w:rsid w:val="00257B0D"/>
    <w:rsid w:val="0026009E"/>
    <w:rsid w:val="002607BD"/>
    <w:rsid w:val="002617A3"/>
    <w:rsid w:val="0026241E"/>
    <w:rsid w:val="00262658"/>
    <w:rsid w:val="00262D88"/>
    <w:rsid w:val="00263291"/>
    <w:rsid w:val="002635D4"/>
    <w:rsid w:val="00263B64"/>
    <w:rsid w:val="00264851"/>
    <w:rsid w:val="00265DB7"/>
    <w:rsid w:val="002714B6"/>
    <w:rsid w:val="00272636"/>
    <w:rsid w:val="00272DC6"/>
    <w:rsid w:val="00274AEE"/>
    <w:rsid w:val="00274E38"/>
    <w:rsid w:val="00275649"/>
    <w:rsid w:val="002758ED"/>
    <w:rsid w:val="0027656E"/>
    <w:rsid w:val="00276D34"/>
    <w:rsid w:val="00277788"/>
    <w:rsid w:val="0028001E"/>
    <w:rsid w:val="00281149"/>
    <w:rsid w:val="00281686"/>
    <w:rsid w:val="00281D8B"/>
    <w:rsid w:val="00281DDC"/>
    <w:rsid w:val="00282E36"/>
    <w:rsid w:val="00283131"/>
    <w:rsid w:val="00283175"/>
    <w:rsid w:val="0028370A"/>
    <w:rsid w:val="00283746"/>
    <w:rsid w:val="002846B5"/>
    <w:rsid w:val="002847C3"/>
    <w:rsid w:val="00284C91"/>
    <w:rsid w:val="00286102"/>
    <w:rsid w:val="00286519"/>
    <w:rsid w:val="00286831"/>
    <w:rsid w:val="00286A1E"/>
    <w:rsid w:val="00286BF8"/>
    <w:rsid w:val="002871FC"/>
    <w:rsid w:val="002872E7"/>
    <w:rsid w:val="00287A31"/>
    <w:rsid w:val="00287AFC"/>
    <w:rsid w:val="00290D1A"/>
    <w:rsid w:val="00290E68"/>
    <w:rsid w:val="00291BF6"/>
    <w:rsid w:val="00291C20"/>
    <w:rsid w:val="00292349"/>
    <w:rsid w:val="002928BF"/>
    <w:rsid w:val="00292A4D"/>
    <w:rsid w:val="00292C5D"/>
    <w:rsid w:val="00292CF5"/>
    <w:rsid w:val="00292E4D"/>
    <w:rsid w:val="00293EA5"/>
    <w:rsid w:val="002949A5"/>
    <w:rsid w:val="00294A08"/>
    <w:rsid w:val="0029583C"/>
    <w:rsid w:val="00295C26"/>
    <w:rsid w:val="002966B3"/>
    <w:rsid w:val="002975F0"/>
    <w:rsid w:val="002A037D"/>
    <w:rsid w:val="002A0A12"/>
    <w:rsid w:val="002A0F5A"/>
    <w:rsid w:val="002A19A1"/>
    <w:rsid w:val="002A1B85"/>
    <w:rsid w:val="002A1D6E"/>
    <w:rsid w:val="002A33EF"/>
    <w:rsid w:val="002A36E9"/>
    <w:rsid w:val="002A3D98"/>
    <w:rsid w:val="002A4E01"/>
    <w:rsid w:val="002A504E"/>
    <w:rsid w:val="002A54BF"/>
    <w:rsid w:val="002A5C3E"/>
    <w:rsid w:val="002B0447"/>
    <w:rsid w:val="002B16F7"/>
    <w:rsid w:val="002B1CD5"/>
    <w:rsid w:val="002B320E"/>
    <w:rsid w:val="002B426D"/>
    <w:rsid w:val="002B488B"/>
    <w:rsid w:val="002B5941"/>
    <w:rsid w:val="002B5E94"/>
    <w:rsid w:val="002B7176"/>
    <w:rsid w:val="002B7F77"/>
    <w:rsid w:val="002C3C43"/>
    <w:rsid w:val="002C44D4"/>
    <w:rsid w:val="002C4FD2"/>
    <w:rsid w:val="002C529E"/>
    <w:rsid w:val="002C5B73"/>
    <w:rsid w:val="002D25A6"/>
    <w:rsid w:val="002D36C6"/>
    <w:rsid w:val="002D3A29"/>
    <w:rsid w:val="002D4B62"/>
    <w:rsid w:val="002D5196"/>
    <w:rsid w:val="002D6170"/>
    <w:rsid w:val="002D6659"/>
    <w:rsid w:val="002D6875"/>
    <w:rsid w:val="002D7501"/>
    <w:rsid w:val="002D787C"/>
    <w:rsid w:val="002D7A12"/>
    <w:rsid w:val="002D7C03"/>
    <w:rsid w:val="002E106E"/>
    <w:rsid w:val="002E2968"/>
    <w:rsid w:val="002E4B94"/>
    <w:rsid w:val="002E6699"/>
    <w:rsid w:val="002E68A9"/>
    <w:rsid w:val="002E719C"/>
    <w:rsid w:val="002E7D11"/>
    <w:rsid w:val="002E7E04"/>
    <w:rsid w:val="002F074B"/>
    <w:rsid w:val="002F0832"/>
    <w:rsid w:val="002F098A"/>
    <w:rsid w:val="002F0B16"/>
    <w:rsid w:val="002F0C78"/>
    <w:rsid w:val="002F15B9"/>
    <w:rsid w:val="002F1B7A"/>
    <w:rsid w:val="002F2F17"/>
    <w:rsid w:val="002F2FD0"/>
    <w:rsid w:val="002F35E5"/>
    <w:rsid w:val="002F48BC"/>
    <w:rsid w:val="002F4C0D"/>
    <w:rsid w:val="002F4D28"/>
    <w:rsid w:val="002F6A46"/>
    <w:rsid w:val="002F6E63"/>
    <w:rsid w:val="002F79E9"/>
    <w:rsid w:val="002F7A48"/>
    <w:rsid w:val="003000E0"/>
    <w:rsid w:val="00300D65"/>
    <w:rsid w:val="003019EC"/>
    <w:rsid w:val="00301F06"/>
    <w:rsid w:val="003031F1"/>
    <w:rsid w:val="0030371F"/>
    <w:rsid w:val="00303BC1"/>
    <w:rsid w:val="00304328"/>
    <w:rsid w:val="00304D8D"/>
    <w:rsid w:val="00305672"/>
    <w:rsid w:val="00305B52"/>
    <w:rsid w:val="00306116"/>
    <w:rsid w:val="00306753"/>
    <w:rsid w:val="00307C2B"/>
    <w:rsid w:val="003113C7"/>
    <w:rsid w:val="00312630"/>
    <w:rsid w:val="003135A2"/>
    <w:rsid w:val="0031369C"/>
    <w:rsid w:val="00313DD9"/>
    <w:rsid w:val="003152E6"/>
    <w:rsid w:val="00315B80"/>
    <w:rsid w:val="00316C4B"/>
    <w:rsid w:val="00317C00"/>
    <w:rsid w:val="0032097F"/>
    <w:rsid w:val="00320C94"/>
    <w:rsid w:val="00321581"/>
    <w:rsid w:val="00321BB5"/>
    <w:rsid w:val="00321FF7"/>
    <w:rsid w:val="003226B6"/>
    <w:rsid w:val="00322F40"/>
    <w:rsid w:val="0032332A"/>
    <w:rsid w:val="003235BB"/>
    <w:rsid w:val="00323A44"/>
    <w:rsid w:val="003242A1"/>
    <w:rsid w:val="00325561"/>
    <w:rsid w:val="00325941"/>
    <w:rsid w:val="00327F7B"/>
    <w:rsid w:val="00327FEB"/>
    <w:rsid w:val="0033295E"/>
    <w:rsid w:val="00332BE2"/>
    <w:rsid w:val="00332DEA"/>
    <w:rsid w:val="00334DC2"/>
    <w:rsid w:val="00335457"/>
    <w:rsid w:val="00335F37"/>
    <w:rsid w:val="00336AD0"/>
    <w:rsid w:val="00336CE7"/>
    <w:rsid w:val="00336DA2"/>
    <w:rsid w:val="00337B3C"/>
    <w:rsid w:val="00337F4C"/>
    <w:rsid w:val="00340F71"/>
    <w:rsid w:val="00343048"/>
    <w:rsid w:val="003431B5"/>
    <w:rsid w:val="00343B64"/>
    <w:rsid w:val="00343DED"/>
    <w:rsid w:val="00344C1B"/>
    <w:rsid w:val="00345245"/>
    <w:rsid w:val="003452A0"/>
    <w:rsid w:val="003474AC"/>
    <w:rsid w:val="00347ABB"/>
    <w:rsid w:val="00350DB4"/>
    <w:rsid w:val="00351490"/>
    <w:rsid w:val="003531AD"/>
    <w:rsid w:val="00353626"/>
    <w:rsid w:val="00353C5D"/>
    <w:rsid w:val="003551E4"/>
    <w:rsid w:val="00355556"/>
    <w:rsid w:val="00355F5E"/>
    <w:rsid w:val="00356AD8"/>
    <w:rsid w:val="00356C7B"/>
    <w:rsid w:val="0035762B"/>
    <w:rsid w:val="00361C7D"/>
    <w:rsid w:val="00362555"/>
    <w:rsid w:val="00363274"/>
    <w:rsid w:val="00365CBD"/>
    <w:rsid w:val="00366A17"/>
    <w:rsid w:val="00366F1B"/>
    <w:rsid w:val="003673B1"/>
    <w:rsid w:val="00367F17"/>
    <w:rsid w:val="00370473"/>
    <w:rsid w:val="003708BA"/>
    <w:rsid w:val="00370E59"/>
    <w:rsid w:val="00371563"/>
    <w:rsid w:val="0037241A"/>
    <w:rsid w:val="00372671"/>
    <w:rsid w:val="00373825"/>
    <w:rsid w:val="003743E1"/>
    <w:rsid w:val="00375158"/>
    <w:rsid w:val="00375B93"/>
    <w:rsid w:val="003769A8"/>
    <w:rsid w:val="00377EDE"/>
    <w:rsid w:val="00380217"/>
    <w:rsid w:val="00381611"/>
    <w:rsid w:val="003822EF"/>
    <w:rsid w:val="003825D5"/>
    <w:rsid w:val="00382C52"/>
    <w:rsid w:val="0038366D"/>
    <w:rsid w:val="00383687"/>
    <w:rsid w:val="00384995"/>
    <w:rsid w:val="003850DB"/>
    <w:rsid w:val="00385794"/>
    <w:rsid w:val="00387387"/>
    <w:rsid w:val="00387951"/>
    <w:rsid w:val="00387E8E"/>
    <w:rsid w:val="00390003"/>
    <w:rsid w:val="00390163"/>
    <w:rsid w:val="003908BA"/>
    <w:rsid w:val="00390A6B"/>
    <w:rsid w:val="003911A0"/>
    <w:rsid w:val="0039171D"/>
    <w:rsid w:val="0039367D"/>
    <w:rsid w:val="00393720"/>
    <w:rsid w:val="00393E10"/>
    <w:rsid w:val="00396961"/>
    <w:rsid w:val="0039751D"/>
    <w:rsid w:val="00397ED7"/>
    <w:rsid w:val="003A04B0"/>
    <w:rsid w:val="003A09EC"/>
    <w:rsid w:val="003A0A2A"/>
    <w:rsid w:val="003A0CE2"/>
    <w:rsid w:val="003A153D"/>
    <w:rsid w:val="003A1F7E"/>
    <w:rsid w:val="003A1FE2"/>
    <w:rsid w:val="003A37BB"/>
    <w:rsid w:val="003A4887"/>
    <w:rsid w:val="003A5551"/>
    <w:rsid w:val="003A62D0"/>
    <w:rsid w:val="003A6398"/>
    <w:rsid w:val="003A674F"/>
    <w:rsid w:val="003A683F"/>
    <w:rsid w:val="003A6976"/>
    <w:rsid w:val="003A6EFD"/>
    <w:rsid w:val="003A76A8"/>
    <w:rsid w:val="003A7A76"/>
    <w:rsid w:val="003B1A7B"/>
    <w:rsid w:val="003B415C"/>
    <w:rsid w:val="003B44D7"/>
    <w:rsid w:val="003B47F5"/>
    <w:rsid w:val="003B4F42"/>
    <w:rsid w:val="003B51AA"/>
    <w:rsid w:val="003B6AEF"/>
    <w:rsid w:val="003B704A"/>
    <w:rsid w:val="003C05D1"/>
    <w:rsid w:val="003C06FD"/>
    <w:rsid w:val="003C1446"/>
    <w:rsid w:val="003C1CC8"/>
    <w:rsid w:val="003C2906"/>
    <w:rsid w:val="003C3BD6"/>
    <w:rsid w:val="003C5A52"/>
    <w:rsid w:val="003C5B15"/>
    <w:rsid w:val="003C5BEE"/>
    <w:rsid w:val="003C5F74"/>
    <w:rsid w:val="003C624B"/>
    <w:rsid w:val="003C6F46"/>
    <w:rsid w:val="003C7014"/>
    <w:rsid w:val="003C70CB"/>
    <w:rsid w:val="003D112F"/>
    <w:rsid w:val="003D1318"/>
    <w:rsid w:val="003D2937"/>
    <w:rsid w:val="003D2AB4"/>
    <w:rsid w:val="003D2C63"/>
    <w:rsid w:val="003D4107"/>
    <w:rsid w:val="003D4117"/>
    <w:rsid w:val="003D482F"/>
    <w:rsid w:val="003D4E50"/>
    <w:rsid w:val="003D613B"/>
    <w:rsid w:val="003D64DA"/>
    <w:rsid w:val="003D6D93"/>
    <w:rsid w:val="003D7F60"/>
    <w:rsid w:val="003E0B00"/>
    <w:rsid w:val="003E1096"/>
    <w:rsid w:val="003E133E"/>
    <w:rsid w:val="003E1992"/>
    <w:rsid w:val="003E2352"/>
    <w:rsid w:val="003E2402"/>
    <w:rsid w:val="003E25B3"/>
    <w:rsid w:val="003E2C0A"/>
    <w:rsid w:val="003E380F"/>
    <w:rsid w:val="003E3C2E"/>
    <w:rsid w:val="003E4318"/>
    <w:rsid w:val="003E5661"/>
    <w:rsid w:val="003E71BA"/>
    <w:rsid w:val="003E7D31"/>
    <w:rsid w:val="003F017E"/>
    <w:rsid w:val="003F309A"/>
    <w:rsid w:val="003F3287"/>
    <w:rsid w:val="003F3436"/>
    <w:rsid w:val="003F3618"/>
    <w:rsid w:val="003F3741"/>
    <w:rsid w:val="003F42C9"/>
    <w:rsid w:val="003F4D74"/>
    <w:rsid w:val="003F52B7"/>
    <w:rsid w:val="003F5851"/>
    <w:rsid w:val="003F58A6"/>
    <w:rsid w:val="003F64FD"/>
    <w:rsid w:val="003F68F1"/>
    <w:rsid w:val="003F6949"/>
    <w:rsid w:val="003F6C3F"/>
    <w:rsid w:val="003F737A"/>
    <w:rsid w:val="003F7CE1"/>
    <w:rsid w:val="004003F9"/>
    <w:rsid w:val="00401E37"/>
    <w:rsid w:val="0040230D"/>
    <w:rsid w:val="004035DC"/>
    <w:rsid w:val="0040493C"/>
    <w:rsid w:val="0040510C"/>
    <w:rsid w:val="0040520C"/>
    <w:rsid w:val="0040578F"/>
    <w:rsid w:val="00405D59"/>
    <w:rsid w:val="00407144"/>
    <w:rsid w:val="0041017C"/>
    <w:rsid w:val="004111BF"/>
    <w:rsid w:val="00413B5A"/>
    <w:rsid w:val="00414F8B"/>
    <w:rsid w:val="004165FC"/>
    <w:rsid w:val="00417BA3"/>
    <w:rsid w:val="00420177"/>
    <w:rsid w:val="00420ED0"/>
    <w:rsid w:val="004210ED"/>
    <w:rsid w:val="0042124F"/>
    <w:rsid w:val="00422387"/>
    <w:rsid w:val="004230C1"/>
    <w:rsid w:val="00424DD5"/>
    <w:rsid w:val="00425A0E"/>
    <w:rsid w:val="00426271"/>
    <w:rsid w:val="00426BB9"/>
    <w:rsid w:val="00427BE5"/>
    <w:rsid w:val="00427CE4"/>
    <w:rsid w:val="00427F2F"/>
    <w:rsid w:val="00430564"/>
    <w:rsid w:val="00430992"/>
    <w:rsid w:val="0043147D"/>
    <w:rsid w:val="004317D8"/>
    <w:rsid w:val="004318CD"/>
    <w:rsid w:val="004324E7"/>
    <w:rsid w:val="00432A2D"/>
    <w:rsid w:val="004334CE"/>
    <w:rsid w:val="00435F44"/>
    <w:rsid w:val="0043613B"/>
    <w:rsid w:val="00436A12"/>
    <w:rsid w:val="00436BB1"/>
    <w:rsid w:val="0044035E"/>
    <w:rsid w:val="00440923"/>
    <w:rsid w:val="00441310"/>
    <w:rsid w:val="00442E46"/>
    <w:rsid w:val="00442FD7"/>
    <w:rsid w:val="0044363E"/>
    <w:rsid w:val="004443B2"/>
    <w:rsid w:val="00444559"/>
    <w:rsid w:val="004447D0"/>
    <w:rsid w:val="00444DEC"/>
    <w:rsid w:val="00445138"/>
    <w:rsid w:val="00446196"/>
    <w:rsid w:val="00447ADD"/>
    <w:rsid w:val="00447F8B"/>
    <w:rsid w:val="0045027A"/>
    <w:rsid w:val="004503F6"/>
    <w:rsid w:val="00451066"/>
    <w:rsid w:val="00451371"/>
    <w:rsid w:val="004513F8"/>
    <w:rsid w:val="0045174C"/>
    <w:rsid w:val="00451B87"/>
    <w:rsid w:val="00451CDC"/>
    <w:rsid w:val="00452AF2"/>
    <w:rsid w:val="00453355"/>
    <w:rsid w:val="004544D4"/>
    <w:rsid w:val="004545FC"/>
    <w:rsid w:val="00455990"/>
    <w:rsid w:val="00455BF5"/>
    <w:rsid w:val="00456876"/>
    <w:rsid w:val="00457060"/>
    <w:rsid w:val="004578D9"/>
    <w:rsid w:val="00457950"/>
    <w:rsid w:val="0046094C"/>
    <w:rsid w:val="00460E1D"/>
    <w:rsid w:val="00461291"/>
    <w:rsid w:val="00461715"/>
    <w:rsid w:val="00461AD9"/>
    <w:rsid w:val="00463240"/>
    <w:rsid w:val="004637CC"/>
    <w:rsid w:val="0046402F"/>
    <w:rsid w:val="00464883"/>
    <w:rsid w:val="00464B5B"/>
    <w:rsid w:val="004657A9"/>
    <w:rsid w:val="004658E8"/>
    <w:rsid w:val="00465EBC"/>
    <w:rsid w:val="004669EC"/>
    <w:rsid w:val="00470BB5"/>
    <w:rsid w:val="00473817"/>
    <w:rsid w:val="00473B4B"/>
    <w:rsid w:val="00473E6B"/>
    <w:rsid w:val="0047444E"/>
    <w:rsid w:val="0047458B"/>
    <w:rsid w:val="00474756"/>
    <w:rsid w:val="00475121"/>
    <w:rsid w:val="00476468"/>
    <w:rsid w:val="00477435"/>
    <w:rsid w:val="00477B2E"/>
    <w:rsid w:val="004803AC"/>
    <w:rsid w:val="004805B0"/>
    <w:rsid w:val="00480844"/>
    <w:rsid w:val="00481595"/>
    <w:rsid w:val="00481ED8"/>
    <w:rsid w:val="0048216B"/>
    <w:rsid w:val="0048436C"/>
    <w:rsid w:val="00484A74"/>
    <w:rsid w:val="00485278"/>
    <w:rsid w:val="004863AF"/>
    <w:rsid w:val="00490488"/>
    <w:rsid w:val="004907F6"/>
    <w:rsid w:val="004908D9"/>
    <w:rsid w:val="004956A8"/>
    <w:rsid w:val="00495915"/>
    <w:rsid w:val="0049736D"/>
    <w:rsid w:val="0049787E"/>
    <w:rsid w:val="00497A8F"/>
    <w:rsid w:val="004A1F06"/>
    <w:rsid w:val="004A2878"/>
    <w:rsid w:val="004A292B"/>
    <w:rsid w:val="004A2C09"/>
    <w:rsid w:val="004A3564"/>
    <w:rsid w:val="004A3B10"/>
    <w:rsid w:val="004A6094"/>
    <w:rsid w:val="004A6D1B"/>
    <w:rsid w:val="004A7285"/>
    <w:rsid w:val="004A780D"/>
    <w:rsid w:val="004B0026"/>
    <w:rsid w:val="004B051C"/>
    <w:rsid w:val="004B0FC6"/>
    <w:rsid w:val="004B1360"/>
    <w:rsid w:val="004B2D53"/>
    <w:rsid w:val="004B3AA3"/>
    <w:rsid w:val="004B426E"/>
    <w:rsid w:val="004B5AF0"/>
    <w:rsid w:val="004B6CA8"/>
    <w:rsid w:val="004B7002"/>
    <w:rsid w:val="004B7B1D"/>
    <w:rsid w:val="004B7CB9"/>
    <w:rsid w:val="004C00E6"/>
    <w:rsid w:val="004C0C46"/>
    <w:rsid w:val="004C0E8B"/>
    <w:rsid w:val="004C0FD2"/>
    <w:rsid w:val="004C14F3"/>
    <w:rsid w:val="004C28C0"/>
    <w:rsid w:val="004C2D9A"/>
    <w:rsid w:val="004C2FCF"/>
    <w:rsid w:val="004C3884"/>
    <w:rsid w:val="004C5395"/>
    <w:rsid w:val="004C57E8"/>
    <w:rsid w:val="004C61B7"/>
    <w:rsid w:val="004C6AAB"/>
    <w:rsid w:val="004C6C9C"/>
    <w:rsid w:val="004D07D7"/>
    <w:rsid w:val="004D1FF8"/>
    <w:rsid w:val="004D2182"/>
    <w:rsid w:val="004D33A7"/>
    <w:rsid w:val="004D3E7F"/>
    <w:rsid w:val="004D3FAA"/>
    <w:rsid w:val="004D44A7"/>
    <w:rsid w:val="004D46F7"/>
    <w:rsid w:val="004D558D"/>
    <w:rsid w:val="004D63E6"/>
    <w:rsid w:val="004D6503"/>
    <w:rsid w:val="004D67E8"/>
    <w:rsid w:val="004D6AC1"/>
    <w:rsid w:val="004D7103"/>
    <w:rsid w:val="004E0247"/>
    <w:rsid w:val="004E12BC"/>
    <w:rsid w:val="004E2254"/>
    <w:rsid w:val="004E234F"/>
    <w:rsid w:val="004E2A31"/>
    <w:rsid w:val="004E2D08"/>
    <w:rsid w:val="004E2E76"/>
    <w:rsid w:val="004E5698"/>
    <w:rsid w:val="004E61AD"/>
    <w:rsid w:val="004E62C2"/>
    <w:rsid w:val="004E6E97"/>
    <w:rsid w:val="004E7DD6"/>
    <w:rsid w:val="004F08E3"/>
    <w:rsid w:val="004F0B2E"/>
    <w:rsid w:val="004F0D5B"/>
    <w:rsid w:val="004F1481"/>
    <w:rsid w:val="004F1CFA"/>
    <w:rsid w:val="004F23BC"/>
    <w:rsid w:val="004F2852"/>
    <w:rsid w:val="004F2F6B"/>
    <w:rsid w:val="004F3B22"/>
    <w:rsid w:val="004F57CE"/>
    <w:rsid w:val="004F6BC8"/>
    <w:rsid w:val="004F6C2A"/>
    <w:rsid w:val="004F7FF8"/>
    <w:rsid w:val="0050092C"/>
    <w:rsid w:val="005011F1"/>
    <w:rsid w:val="0050171E"/>
    <w:rsid w:val="0050213B"/>
    <w:rsid w:val="00502959"/>
    <w:rsid w:val="00503574"/>
    <w:rsid w:val="00503961"/>
    <w:rsid w:val="005043C5"/>
    <w:rsid w:val="00504BF2"/>
    <w:rsid w:val="00505FBD"/>
    <w:rsid w:val="0050726F"/>
    <w:rsid w:val="00507DDB"/>
    <w:rsid w:val="0051158E"/>
    <w:rsid w:val="00511930"/>
    <w:rsid w:val="00513A6A"/>
    <w:rsid w:val="00513DC7"/>
    <w:rsid w:val="00515A46"/>
    <w:rsid w:val="0051621B"/>
    <w:rsid w:val="005165F9"/>
    <w:rsid w:val="0052048A"/>
    <w:rsid w:val="005204A5"/>
    <w:rsid w:val="00521C10"/>
    <w:rsid w:val="00521DC2"/>
    <w:rsid w:val="0052218C"/>
    <w:rsid w:val="00522D42"/>
    <w:rsid w:val="00522F5A"/>
    <w:rsid w:val="00523042"/>
    <w:rsid w:val="00523526"/>
    <w:rsid w:val="00524442"/>
    <w:rsid w:val="005255DD"/>
    <w:rsid w:val="00525855"/>
    <w:rsid w:val="005259A3"/>
    <w:rsid w:val="00525AA9"/>
    <w:rsid w:val="00526AA0"/>
    <w:rsid w:val="00526BDC"/>
    <w:rsid w:val="00526DCB"/>
    <w:rsid w:val="005270B0"/>
    <w:rsid w:val="005272D0"/>
    <w:rsid w:val="005274EE"/>
    <w:rsid w:val="005275B1"/>
    <w:rsid w:val="00530BB5"/>
    <w:rsid w:val="00531A7B"/>
    <w:rsid w:val="005323BE"/>
    <w:rsid w:val="0053254F"/>
    <w:rsid w:val="00532B6A"/>
    <w:rsid w:val="00532CE1"/>
    <w:rsid w:val="00533E48"/>
    <w:rsid w:val="005340BB"/>
    <w:rsid w:val="00534411"/>
    <w:rsid w:val="005362D6"/>
    <w:rsid w:val="0053673D"/>
    <w:rsid w:val="00536A86"/>
    <w:rsid w:val="00537545"/>
    <w:rsid w:val="00537924"/>
    <w:rsid w:val="00537D25"/>
    <w:rsid w:val="0054069E"/>
    <w:rsid w:val="005406AA"/>
    <w:rsid w:val="005409C5"/>
    <w:rsid w:val="0054115C"/>
    <w:rsid w:val="00541263"/>
    <w:rsid w:val="0054201B"/>
    <w:rsid w:val="00542403"/>
    <w:rsid w:val="005439A8"/>
    <w:rsid w:val="00544913"/>
    <w:rsid w:val="005453FF"/>
    <w:rsid w:val="00545637"/>
    <w:rsid w:val="00547F17"/>
    <w:rsid w:val="00550B9A"/>
    <w:rsid w:val="00550F95"/>
    <w:rsid w:val="00552982"/>
    <w:rsid w:val="005550A3"/>
    <w:rsid w:val="00555553"/>
    <w:rsid w:val="00555767"/>
    <w:rsid w:val="005560A1"/>
    <w:rsid w:val="00557B30"/>
    <w:rsid w:val="005618B8"/>
    <w:rsid w:val="00562AD5"/>
    <w:rsid w:val="005634DC"/>
    <w:rsid w:val="00563A94"/>
    <w:rsid w:val="00563FE9"/>
    <w:rsid w:val="00564043"/>
    <w:rsid w:val="00564CFB"/>
    <w:rsid w:val="00566780"/>
    <w:rsid w:val="00566925"/>
    <w:rsid w:val="005669B9"/>
    <w:rsid w:val="00566B8D"/>
    <w:rsid w:val="005670D5"/>
    <w:rsid w:val="00567335"/>
    <w:rsid w:val="00567C4F"/>
    <w:rsid w:val="00570646"/>
    <w:rsid w:val="0057066F"/>
    <w:rsid w:val="00571A0F"/>
    <w:rsid w:val="005724C7"/>
    <w:rsid w:val="0057263C"/>
    <w:rsid w:val="00572CEC"/>
    <w:rsid w:val="00573092"/>
    <w:rsid w:val="00574E91"/>
    <w:rsid w:val="00576024"/>
    <w:rsid w:val="00576B83"/>
    <w:rsid w:val="00576DFD"/>
    <w:rsid w:val="0057721C"/>
    <w:rsid w:val="0058005C"/>
    <w:rsid w:val="00580914"/>
    <w:rsid w:val="00581138"/>
    <w:rsid w:val="00581A59"/>
    <w:rsid w:val="00581D1A"/>
    <w:rsid w:val="005834FB"/>
    <w:rsid w:val="00583DBD"/>
    <w:rsid w:val="005853E3"/>
    <w:rsid w:val="00586EE4"/>
    <w:rsid w:val="0058773F"/>
    <w:rsid w:val="00587AAD"/>
    <w:rsid w:val="00590615"/>
    <w:rsid w:val="00590CF5"/>
    <w:rsid w:val="0059192D"/>
    <w:rsid w:val="00591AFB"/>
    <w:rsid w:val="00591C8A"/>
    <w:rsid w:val="00593384"/>
    <w:rsid w:val="00593882"/>
    <w:rsid w:val="00594C0C"/>
    <w:rsid w:val="00594C41"/>
    <w:rsid w:val="00594E24"/>
    <w:rsid w:val="005952D1"/>
    <w:rsid w:val="00596E48"/>
    <w:rsid w:val="005975D5"/>
    <w:rsid w:val="005A13A5"/>
    <w:rsid w:val="005A14D4"/>
    <w:rsid w:val="005A1A4B"/>
    <w:rsid w:val="005A3FB6"/>
    <w:rsid w:val="005A4572"/>
    <w:rsid w:val="005A4B0A"/>
    <w:rsid w:val="005A5D02"/>
    <w:rsid w:val="005A61BF"/>
    <w:rsid w:val="005A62EB"/>
    <w:rsid w:val="005A6A3A"/>
    <w:rsid w:val="005A70D0"/>
    <w:rsid w:val="005A7A99"/>
    <w:rsid w:val="005B0650"/>
    <w:rsid w:val="005B0AED"/>
    <w:rsid w:val="005B0C96"/>
    <w:rsid w:val="005B15BF"/>
    <w:rsid w:val="005B1C59"/>
    <w:rsid w:val="005B1CF6"/>
    <w:rsid w:val="005B2082"/>
    <w:rsid w:val="005B23DC"/>
    <w:rsid w:val="005B2DBF"/>
    <w:rsid w:val="005B2F9A"/>
    <w:rsid w:val="005B3A96"/>
    <w:rsid w:val="005B3B0E"/>
    <w:rsid w:val="005B45A5"/>
    <w:rsid w:val="005B4AC2"/>
    <w:rsid w:val="005B54E4"/>
    <w:rsid w:val="005B6824"/>
    <w:rsid w:val="005C03D4"/>
    <w:rsid w:val="005C3400"/>
    <w:rsid w:val="005C53EC"/>
    <w:rsid w:val="005C7145"/>
    <w:rsid w:val="005D12EE"/>
    <w:rsid w:val="005D13BA"/>
    <w:rsid w:val="005D26B5"/>
    <w:rsid w:val="005D2DD2"/>
    <w:rsid w:val="005D2FDC"/>
    <w:rsid w:val="005D33CE"/>
    <w:rsid w:val="005D38C8"/>
    <w:rsid w:val="005D3D79"/>
    <w:rsid w:val="005D3E24"/>
    <w:rsid w:val="005D44B9"/>
    <w:rsid w:val="005D45C8"/>
    <w:rsid w:val="005D474B"/>
    <w:rsid w:val="005D5900"/>
    <w:rsid w:val="005D749E"/>
    <w:rsid w:val="005D7F28"/>
    <w:rsid w:val="005E02C2"/>
    <w:rsid w:val="005E08E0"/>
    <w:rsid w:val="005E211E"/>
    <w:rsid w:val="005E2297"/>
    <w:rsid w:val="005E28A1"/>
    <w:rsid w:val="005E333C"/>
    <w:rsid w:val="005E3575"/>
    <w:rsid w:val="005E381F"/>
    <w:rsid w:val="005E39C0"/>
    <w:rsid w:val="005E48C4"/>
    <w:rsid w:val="005E4922"/>
    <w:rsid w:val="005E53FA"/>
    <w:rsid w:val="005E5900"/>
    <w:rsid w:val="005E66EC"/>
    <w:rsid w:val="005E6E06"/>
    <w:rsid w:val="005E7C84"/>
    <w:rsid w:val="005E7E1D"/>
    <w:rsid w:val="005E7E40"/>
    <w:rsid w:val="005F00AB"/>
    <w:rsid w:val="005F1FB0"/>
    <w:rsid w:val="005F4304"/>
    <w:rsid w:val="005F4A2A"/>
    <w:rsid w:val="005F6A93"/>
    <w:rsid w:val="005F7238"/>
    <w:rsid w:val="005F7B95"/>
    <w:rsid w:val="006006EF"/>
    <w:rsid w:val="00600D11"/>
    <w:rsid w:val="00600D43"/>
    <w:rsid w:val="00601726"/>
    <w:rsid w:val="00601851"/>
    <w:rsid w:val="00601890"/>
    <w:rsid w:val="006027A0"/>
    <w:rsid w:val="00602C37"/>
    <w:rsid w:val="00604B5E"/>
    <w:rsid w:val="006061AA"/>
    <w:rsid w:val="00606DC8"/>
    <w:rsid w:val="00607AF4"/>
    <w:rsid w:val="00610EC7"/>
    <w:rsid w:val="0061104A"/>
    <w:rsid w:val="006120D9"/>
    <w:rsid w:val="00612FC3"/>
    <w:rsid w:val="006143EC"/>
    <w:rsid w:val="006144FE"/>
    <w:rsid w:val="006148E8"/>
    <w:rsid w:val="00615F2D"/>
    <w:rsid w:val="006163AE"/>
    <w:rsid w:val="006171CF"/>
    <w:rsid w:val="00617740"/>
    <w:rsid w:val="00617E87"/>
    <w:rsid w:val="00621764"/>
    <w:rsid w:val="00622844"/>
    <w:rsid w:val="00623566"/>
    <w:rsid w:val="00624A8A"/>
    <w:rsid w:val="0062559E"/>
    <w:rsid w:val="00625FE0"/>
    <w:rsid w:val="00625FF7"/>
    <w:rsid w:val="00626073"/>
    <w:rsid w:val="0062625B"/>
    <w:rsid w:val="00630B4C"/>
    <w:rsid w:val="00631E25"/>
    <w:rsid w:val="0063225F"/>
    <w:rsid w:val="00632741"/>
    <w:rsid w:val="00632B4D"/>
    <w:rsid w:val="006331E4"/>
    <w:rsid w:val="00633A03"/>
    <w:rsid w:val="00633A40"/>
    <w:rsid w:val="00633F3E"/>
    <w:rsid w:val="00634EB4"/>
    <w:rsid w:val="00635071"/>
    <w:rsid w:val="006352D1"/>
    <w:rsid w:val="006353B0"/>
    <w:rsid w:val="00635847"/>
    <w:rsid w:val="00635D39"/>
    <w:rsid w:val="00635EEB"/>
    <w:rsid w:val="006362E3"/>
    <w:rsid w:val="00636C02"/>
    <w:rsid w:val="00636FE2"/>
    <w:rsid w:val="006375FD"/>
    <w:rsid w:val="00640726"/>
    <w:rsid w:val="0064079D"/>
    <w:rsid w:val="00640D7A"/>
    <w:rsid w:val="00642173"/>
    <w:rsid w:val="00643D9F"/>
    <w:rsid w:val="006440A1"/>
    <w:rsid w:val="00644635"/>
    <w:rsid w:val="00645986"/>
    <w:rsid w:val="0064631F"/>
    <w:rsid w:val="006505CB"/>
    <w:rsid w:val="006520B1"/>
    <w:rsid w:val="006525EA"/>
    <w:rsid w:val="00652D4A"/>
    <w:rsid w:val="006537D6"/>
    <w:rsid w:val="00654E87"/>
    <w:rsid w:val="00655A9D"/>
    <w:rsid w:val="00656AA6"/>
    <w:rsid w:val="00656E76"/>
    <w:rsid w:val="006571B7"/>
    <w:rsid w:val="00657687"/>
    <w:rsid w:val="00657F9C"/>
    <w:rsid w:val="006604E9"/>
    <w:rsid w:val="00660545"/>
    <w:rsid w:val="00660C0C"/>
    <w:rsid w:val="00661165"/>
    <w:rsid w:val="00661606"/>
    <w:rsid w:val="00662124"/>
    <w:rsid w:val="00662A36"/>
    <w:rsid w:val="00664AE3"/>
    <w:rsid w:val="00665D28"/>
    <w:rsid w:val="00665D4C"/>
    <w:rsid w:val="006666F9"/>
    <w:rsid w:val="00666E5F"/>
    <w:rsid w:val="00667E65"/>
    <w:rsid w:val="00670255"/>
    <w:rsid w:val="006712A4"/>
    <w:rsid w:val="006722A5"/>
    <w:rsid w:val="006724BD"/>
    <w:rsid w:val="00672CE3"/>
    <w:rsid w:val="00673A43"/>
    <w:rsid w:val="00674F63"/>
    <w:rsid w:val="00675536"/>
    <w:rsid w:val="00675765"/>
    <w:rsid w:val="00675E45"/>
    <w:rsid w:val="006764A4"/>
    <w:rsid w:val="00676E89"/>
    <w:rsid w:val="006774C2"/>
    <w:rsid w:val="00677C5C"/>
    <w:rsid w:val="00680392"/>
    <w:rsid w:val="00680CE6"/>
    <w:rsid w:val="00680EF1"/>
    <w:rsid w:val="006816D8"/>
    <w:rsid w:val="0068194F"/>
    <w:rsid w:val="006820A5"/>
    <w:rsid w:val="00682F62"/>
    <w:rsid w:val="00683450"/>
    <w:rsid w:val="006834BB"/>
    <w:rsid w:val="00684AEB"/>
    <w:rsid w:val="006854A3"/>
    <w:rsid w:val="00686F73"/>
    <w:rsid w:val="00690010"/>
    <w:rsid w:val="006902F5"/>
    <w:rsid w:val="006906D8"/>
    <w:rsid w:val="006909B8"/>
    <w:rsid w:val="00691D8E"/>
    <w:rsid w:val="0069388F"/>
    <w:rsid w:val="00693A3F"/>
    <w:rsid w:val="00694519"/>
    <w:rsid w:val="00695071"/>
    <w:rsid w:val="006973E7"/>
    <w:rsid w:val="006A052E"/>
    <w:rsid w:val="006A17A4"/>
    <w:rsid w:val="006A20C7"/>
    <w:rsid w:val="006A2A1D"/>
    <w:rsid w:val="006A3845"/>
    <w:rsid w:val="006A3C17"/>
    <w:rsid w:val="006A3C23"/>
    <w:rsid w:val="006A511B"/>
    <w:rsid w:val="006A55B4"/>
    <w:rsid w:val="006A6A50"/>
    <w:rsid w:val="006A72CF"/>
    <w:rsid w:val="006A74A4"/>
    <w:rsid w:val="006A7D9A"/>
    <w:rsid w:val="006B0273"/>
    <w:rsid w:val="006B0D63"/>
    <w:rsid w:val="006B180C"/>
    <w:rsid w:val="006B1812"/>
    <w:rsid w:val="006B3CF5"/>
    <w:rsid w:val="006B4F83"/>
    <w:rsid w:val="006B5947"/>
    <w:rsid w:val="006B7EDD"/>
    <w:rsid w:val="006C0211"/>
    <w:rsid w:val="006C0D8A"/>
    <w:rsid w:val="006C0EA4"/>
    <w:rsid w:val="006C1003"/>
    <w:rsid w:val="006C108A"/>
    <w:rsid w:val="006C1B5F"/>
    <w:rsid w:val="006C2404"/>
    <w:rsid w:val="006C43F6"/>
    <w:rsid w:val="006C4B08"/>
    <w:rsid w:val="006C5AF2"/>
    <w:rsid w:val="006C618C"/>
    <w:rsid w:val="006C63EE"/>
    <w:rsid w:val="006C78BA"/>
    <w:rsid w:val="006D08B2"/>
    <w:rsid w:val="006D0C49"/>
    <w:rsid w:val="006D0EF6"/>
    <w:rsid w:val="006D0F43"/>
    <w:rsid w:val="006D237E"/>
    <w:rsid w:val="006D258D"/>
    <w:rsid w:val="006D2B9A"/>
    <w:rsid w:val="006D31A2"/>
    <w:rsid w:val="006D3E4F"/>
    <w:rsid w:val="006D4451"/>
    <w:rsid w:val="006D57A0"/>
    <w:rsid w:val="006D6158"/>
    <w:rsid w:val="006D65CA"/>
    <w:rsid w:val="006D6BBB"/>
    <w:rsid w:val="006E0B07"/>
    <w:rsid w:val="006E17FC"/>
    <w:rsid w:val="006E1BF8"/>
    <w:rsid w:val="006E2A94"/>
    <w:rsid w:val="006E2E08"/>
    <w:rsid w:val="006E3CD9"/>
    <w:rsid w:val="006E4E6D"/>
    <w:rsid w:val="006E5E22"/>
    <w:rsid w:val="006E6060"/>
    <w:rsid w:val="006E6895"/>
    <w:rsid w:val="006E7664"/>
    <w:rsid w:val="006E777C"/>
    <w:rsid w:val="006E78CD"/>
    <w:rsid w:val="006E7A96"/>
    <w:rsid w:val="006F0303"/>
    <w:rsid w:val="006F0768"/>
    <w:rsid w:val="006F148B"/>
    <w:rsid w:val="006F1601"/>
    <w:rsid w:val="006F1726"/>
    <w:rsid w:val="006F2002"/>
    <w:rsid w:val="006F211A"/>
    <w:rsid w:val="006F2ABC"/>
    <w:rsid w:val="006F2CBC"/>
    <w:rsid w:val="006F2FF4"/>
    <w:rsid w:val="006F41C9"/>
    <w:rsid w:val="006F45A0"/>
    <w:rsid w:val="006F6425"/>
    <w:rsid w:val="006F64D5"/>
    <w:rsid w:val="00700E0B"/>
    <w:rsid w:val="00701422"/>
    <w:rsid w:val="00701593"/>
    <w:rsid w:val="00704F34"/>
    <w:rsid w:val="00705F41"/>
    <w:rsid w:val="0070610F"/>
    <w:rsid w:val="00706182"/>
    <w:rsid w:val="007075AC"/>
    <w:rsid w:val="00707B60"/>
    <w:rsid w:val="00707B6B"/>
    <w:rsid w:val="00710BD5"/>
    <w:rsid w:val="0071179A"/>
    <w:rsid w:val="00711949"/>
    <w:rsid w:val="00711EF8"/>
    <w:rsid w:val="00712073"/>
    <w:rsid w:val="00712D6D"/>
    <w:rsid w:val="0071304B"/>
    <w:rsid w:val="00713851"/>
    <w:rsid w:val="00714B22"/>
    <w:rsid w:val="0071504F"/>
    <w:rsid w:val="00715A0D"/>
    <w:rsid w:val="00715A2F"/>
    <w:rsid w:val="00716725"/>
    <w:rsid w:val="007212B0"/>
    <w:rsid w:val="00723E23"/>
    <w:rsid w:val="0072409A"/>
    <w:rsid w:val="00725A54"/>
    <w:rsid w:val="00725C6E"/>
    <w:rsid w:val="0072614E"/>
    <w:rsid w:val="00727F19"/>
    <w:rsid w:val="007301A6"/>
    <w:rsid w:val="00730B67"/>
    <w:rsid w:val="00731737"/>
    <w:rsid w:val="00731C63"/>
    <w:rsid w:val="00731F65"/>
    <w:rsid w:val="00732554"/>
    <w:rsid w:val="00732CFA"/>
    <w:rsid w:val="00732E86"/>
    <w:rsid w:val="00733B28"/>
    <w:rsid w:val="00734986"/>
    <w:rsid w:val="00734B40"/>
    <w:rsid w:val="00736B10"/>
    <w:rsid w:val="00737C19"/>
    <w:rsid w:val="00740886"/>
    <w:rsid w:val="00740D40"/>
    <w:rsid w:val="00742756"/>
    <w:rsid w:val="00743AD5"/>
    <w:rsid w:val="00744702"/>
    <w:rsid w:val="007452A7"/>
    <w:rsid w:val="00745AE2"/>
    <w:rsid w:val="00747ADA"/>
    <w:rsid w:val="00750870"/>
    <w:rsid w:val="00752007"/>
    <w:rsid w:val="007520F2"/>
    <w:rsid w:val="0075410F"/>
    <w:rsid w:val="00755600"/>
    <w:rsid w:val="0075576E"/>
    <w:rsid w:val="00755851"/>
    <w:rsid w:val="0075617E"/>
    <w:rsid w:val="00756DDE"/>
    <w:rsid w:val="007579A4"/>
    <w:rsid w:val="00760088"/>
    <w:rsid w:val="00762259"/>
    <w:rsid w:val="007624F8"/>
    <w:rsid w:val="00763956"/>
    <w:rsid w:val="00763D45"/>
    <w:rsid w:val="00763F0B"/>
    <w:rsid w:val="0076403F"/>
    <w:rsid w:val="00766B07"/>
    <w:rsid w:val="00770449"/>
    <w:rsid w:val="007718E9"/>
    <w:rsid w:val="00772C61"/>
    <w:rsid w:val="00772EAF"/>
    <w:rsid w:val="00773F7A"/>
    <w:rsid w:val="0077423B"/>
    <w:rsid w:val="007752C8"/>
    <w:rsid w:val="007768A0"/>
    <w:rsid w:val="00776F9A"/>
    <w:rsid w:val="007771CC"/>
    <w:rsid w:val="0077728A"/>
    <w:rsid w:val="00777FB5"/>
    <w:rsid w:val="007808E4"/>
    <w:rsid w:val="00780F1E"/>
    <w:rsid w:val="007839CD"/>
    <w:rsid w:val="00784584"/>
    <w:rsid w:val="00785378"/>
    <w:rsid w:val="0078594F"/>
    <w:rsid w:val="00785C20"/>
    <w:rsid w:val="007860AF"/>
    <w:rsid w:val="00786452"/>
    <w:rsid w:val="00786CE8"/>
    <w:rsid w:val="00787975"/>
    <w:rsid w:val="00787D56"/>
    <w:rsid w:val="00791296"/>
    <w:rsid w:val="0079153E"/>
    <w:rsid w:val="00791BB9"/>
    <w:rsid w:val="007921DF"/>
    <w:rsid w:val="007924E5"/>
    <w:rsid w:val="00792503"/>
    <w:rsid w:val="0079260B"/>
    <w:rsid w:val="00793B20"/>
    <w:rsid w:val="007945B0"/>
    <w:rsid w:val="00794DBC"/>
    <w:rsid w:val="00794E18"/>
    <w:rsid w:val="0079595C"/>
    <w:rsid w:val="00797129"/>
    <w:rsid w:val="00797683"/>
    <w:rsid w:val="00797956"/>
    <w:rsid w:val="00797AC6"/>
    <w:rsid w:val="007A08F2"/>
    <w:rsid w:val="007A20C0"/>
    <w:rsid w:val="007A254B"/>
    <w:rsid w:val="007A261B"/>
    <w:rsid w:val="007A37FA"/>
    <w:rsid w:val="007A4A94"/>
    <w:rsid w:val="007A4B30"/>
    <w:rsid w:val="007A6FD1"/>
    <w:rsid w:val="007A77E3"/>
    <w:rsid w:val="007A7BC5"/>
    <w:rsid w:val="007B090E"/>
    <w:rsid w:val="007B1099"/>
    <w:rsid w:val="007B1D46"/>
    <w:rsid w:val="007B3FC4"/>
    <w:rsid w:val="007B5132"/>
    <w:rsid w:val="007B573B"/>
    <w:rsid w:val="007B5A29"/>
    <w:rsid w:val="007B5FF0"/>
    <w:rsid w:val="007B6C21"/>
    <w:rsid w:val="007B7782"/>
    <w:rsid w:val="007C0133"/>
    <w:rsid w:val="007C03E6"/>
    <w:rsid w:val="007C0B2B"/>
    <w:rsid w:val="007C0B5A"/>
    <w:rsid w:val="007C1D3D"/>
    <w:rsid w:val="007C3879"/>
    <w:rsid w:val="007C50C2"/>
    <w:rsid w:val="007C53A2"/>
    <w:rsid w:val="007C59CE"/>
    <w:rsid w:val="007C685D"/>
    <w:rsid w:val="007C6889"/>
    <w:rsid w:val="007C6D4A"/>
    <w:rsid w:val="007C6FF0"/>
    <w:rsid w:val="007C778F"/>
    <w:rsid w:val="007C7F1E"/>
    <w:rsid w:val="007D08D5"/>
    <w:rsid w:val="007D1249"/>
    <w:rsid w:val="007D2394"/>
    <w:rsid w:val="007D35E8"/>
    <w:rsid w:val="007D417A"/>
    <w:rsid w:val="007D4EBD"/>
    <w:rsid w:val="007D6E1F"/>
    <w:rsid w:val="007D7511"/>
    <w:rsid w:val="007D7F43"/>
    <w:rsid w:val="007E127A"/>
    <w:rsid w:val="007E142F"/>
    <w:rsid w:val="007E2369"/>
    <w:rsid w:val="007E2986"/>
    <w:rsid w:val="007E3A1A"/>
    <w:rsid w:val="007E41EE"/>
    <w:rsid w:val="007E438D"/>
    <w:rsid w:val="007E4B30"/>
    <w:rsid w:val="007E5FA0"/>
    <w:rsid w:val="007E677D"/>
    <w:rsid w:val="007E70F7"/>
    <w:rsid w:val="007F03C4"/>
    <w:rsid w:val="007F0589"/>
    <w:rsid w:val="007F1431"/>
    <w:rsid w:val="007F22EA"/>
    <w:rsid w:val="007F5E33"/>
    <w:rsid w:val="007F6590"/>
    <w:rsid w:val="007F689B"/>
    <w:rsid w:val="007F7A53"/>
    <w:rsid w:val="00801482"/>
    <w:rsid w:val="008016C8"/>
    <w:rsid w:val="00803D04"/>
    <w:rsid w:val="008059A4"/>
    <w:rsid w:val="00806FB0"/>
    <w:rsid w:val="0080765D"/>
    <w:rsid w:val="00807E12"/>
    <w:rsid w:val="008110BF"/>
    <w:rsid w:val="008114E8"/>
    <w:rsid w:val="00812C1B"/>
    <w:rsid w:val="008130BF"/>
    <w:rsid w:val="008133E1"/>
    <w:rsid w:val="008145A7"/>
    <w:rsid w:val="008165C5"/>
    <w:rsid w:val="00816637"/>
    <w:rsid w:val="00816D2A"/>
    <w:rsid w:val="00821747"/>
    <w:rsid w:val="008219D3"/>
    <w:rsid w:val="0082279C"/>
    <w:rsid w:val="00823928"/>
    <w:rsid w:val="00823A05"/>
    <w:rsid w:val="00823F3A"/>
    <w:rsid w:val="00824A2C"/>
    <w:rsid w:val="00825D7E"/>
    <w:rsid w:val="00825E47"/>
    <w:rsid w:val="008265CA"/>
    <w:rsid w:val="00826B7C"/>
    <w:rsid w:val="00826EC6"/>
    <w:rsid w:val="008270B4"/>
    <w:rsid w:val="00830831"/>
    <w:rsid w:val="00831B49"/>
    <w:rsid w:val="00832732"/>
    <w:rsid w:val="008353C7"/>
    <w:rsid w:val="0083706F"/>
    <w:rsid w:val="008417DC"/>
    <w:rsid w:val="008443A7"/>
    <w:rsid w:val="008446E3"/>
    <w:rsid w:val="0084489C"/>
    <w:rsid w:val="0084496A"/>
    <w:rsid w:val="00844F9F"/>
    <w:rsid w:val="0084685E"/>
    <w:rsid w:val="00846EE5"/>
    <w:rsid w:val="008502FA"/>
    <w:rsid w:val="00850C8A"/>
    <w:rsid w:val="00850FE1"/>
    <w:rsid w:val="00851188"/>
    <w:rsid w:val="0085192D"/>
    <w:rsid w:val="00852E65"/>
    <w:rsid w:val="00853129"/>
    <w:rsid w:val="00854BEE"/>
    <w:rsid w:val="00855756"/>
    <w:rsid w:val="00856490"/>
    <w:rsid w:val="008569E1"/>
    <w:rsid w:val="008574A9"/>
    <w:rsid w:val="00857A83"/>
    <w:rsid w:val="00857C9D"/>
    <w:rsid w:val="00861228"/>
    <w:rsid w:val="00861246"/>
    <w:rsid w:val="00861526"/>
    <w:rsid w:val="0086178C"/>
    <w:rsid w:val="00862481"/>
    <w:rsid w:val="00862EF5"/>
    <w:rsid w:val="00863ED5"/>
    <w:rsid w:val="00864714"/>
    <w:rsid w:val="008649BB"/>
    <w:rsid w:val="00864A78"/>
    <w:rsid w:val="008654E0"/>
    <w:rsid w:val="00866154"/>
    <w:rsid w:val="00866C85"/>
    <w:rsid w:val="00867525"/>
    <w:rsid w:val="00867975"/>
    <w:rsid w:val="00867A9F"/>
    <w:rsid w:val="00867ECA"/>
    <w:rsid w:val="008701BB"/>
    <w:rsid w:val="00870FBA"/>
    <w:rsid w:val="00871096"/>
    <w:rsid w:val="008711BE"/>
    <w:rsid w:val="00871C84"/>
    <w:rsid w:val="00872B3A"/>
    <w:rsid w:val="008731E8"/>
    <w:rsid w:val="0087350C"/>
    <w:rsid w:val="0087391B"/>
    <w:rsid w:val="008739A3"/>
    <w:rsid w:val="008744A0"/>
    <w:rsid w:val="00875F51"/>
    <w:rsid w:val="008762AA"/>
    <w:rsid w:val="00876E2B"/>
    <w:rsid w:val="00877053"/>
    <w:rsid w:val="008807BC"/>
    <w:rsid w:val="0088132B"/>
    <w:rsid w:val="00881EC3"/>
    <w:rsid w:val="0088223A"/>
    <w:rsid w:val="00883437"/>
    <w:rsid w:val="00883C1C"/>
    <w:rsid w:val="00883C45"/>
    <w:rsid w:val="00883DC1"/>
    <w:rsid w:val="00883F8F"/>
    <w:rsid w:val="00884C9D"/>
    <w:rsid w:val="0088516A"/>
    <w:rsid w:val="00885688"/>
    <w:rsid w:val="00885B11"/>
    <w:rsid w:val="00890290"/>
    <w:rsid w:val="00890FF7"/>
    <w:rsid w:val="00891D4C"/>
    <w:rsid w:val="008923BD"/>
    <w:rsid w:val="008936CD"/>
    <w:rsid w:val="00893814"/>
    <w:rsid w:val="008939B6"/>
    <w:rsid w:val="008940A4"/>
    <w:rsid w:val="0089454A"/>
    <w:rsid w:val="0089762F"/>
    <w:rsid w:val="008A008B"/>
    <w:rsid w:val="008A0E2A"/>
    <w:rsid w:val="008A0FEC"/>
    <w:rsid w:val="008A107B"/>
    <w:rsid w:val="008A2D4F"/>
    <w:rsid w:val="008A2DAD"/>
    <w:rsid w:val="008A5238"/>
    <w:rsid w:val="008A699F"/>
    <w:rsid w:val="008A738E"/>
    <w:rsid w:val="008B08A4"/>
    <w:rsid w:val="008B0A1A"/>
    <w:rsid w:val="008B0FA7"/>
    <w:rsid w:val="008B15E4"/>
    <w:rsid w:val="008B1E92"/>
    <w:rsid w:val="008B38BC"/>
    <w:rsid w:val="008B3C8D"/>
    <w:rsid w:val="008B4D93"/>
    <w:rsid w:val="008B579B"/>
    <w:rsid w:val="008B6A26"/>
    <w:rsid w:val="008B7C6A"/>
    <w:rsid w:val="008C0111"/>
    <w:rsid w:val="008C03D7"/>
    <w:rsid w:val="008C1884"/>
    <w:rsid w:val="008C22AE"/>
    <w:rsid w:val="008C318D"/>
    <w:rsid w:val="008C3C5A"/>
    <w:rsid w:val="008C3F9F"/>
    <w:rsid w:val="008C4BE7"/>
    <w:rsid w:val="008C6A73"/>
    <w:rsid w:val="008C7551"/>
    <w:rsid w:val="008C7FCF"/>
    <w:rsid w:val="008D144C"/>
    <w:rsid w:val="008D19DF"/>
    <w:rsid w:val="008D1EEE"/>
    <w:rsid w:val="008D223D"/>
    <w:rsid w:val="008D2A2F"/>
    <w:rsid w:val="008D2B81"/>
    <w:rsid w:val="008D2BCF"/>
    <w:rsid w:val="008D39CD"/>
    <w:rsid w:val="008D3E0E"/>
    <w:rsid w:val="008D3F87"/>
    <w:rsid w:val="008D58A1"/>
    <w:rsid w:val="008D5A38"/>
    <w:rsid w:val="008D6012"/>
    <w:rsid w:val="008D61B6"/>
    <w:rsid w:val="008D7067"/>
    <w:rsid w:val="008D7945"/>
    <w:rsid w:val="008D7A53"/>
    <w:rsid w:val="008D7D00"/>
    <w:rsid w:val="008E05E9"/>
    <w:rsid w:val="008E0F7A"/>
    <w:rsid w:val="008E1DB7"/>
    <w:rsid w:val="008E35D8"/>
    <w:rsid w:val="008E5519"/>
    <w:rsid w:val="008E6596"/>
    <w:rsid w:val="008F0364"/>
    <w:rsid w:val="008F09B4"/>
    <w:rsid w:val="008F0AE2"/>
    <w:rsid w:val="008F1DFA"/>
    <w:rsid w:val="008F1E19"/>
    <w:rsid w:val="008F2B18"/>
    <w:rsid w:val="008F3BEB"/>
    <w:rsid w:val="008F4243"/>
    <w:rsid w:val="008F4D32"/>
    <w:rsid w:val="008F4F56"/>
    <w:rsid w:val="008F54B8"/>
    <w:rsid w:val="008F64A2"/>
    <w:rsid w:val="008F7F74"/>
    <w:rsid w:val="008F7F92"/>
    <w:rsid w:val="00900328"/>
    <w:rsid w:val="0090057C"/>
    <w:rsid w:val="009008D3"/>
    <w:rsid w:val="00901289"/>
    <w:rsid w:val="00902672"/>
    <w:rsid w:val="0090300F"/>
    <w:rsid w:val="00903069"/>
    <w:rsid w:val="009039FA"/>
    <w:rsid w:val="00903A57"/>
    <w:rsid w:val="00904029"/>
    <w:rsid w:val="00904102"/>
    <w:rsid w:val="00905E4C"/>
    <w:rsid w:val="009064AD"/>
    <w:rsid w:val="00907DC6"/>
    <w:rsid w:val="00911879"/>
    <w:rsid w:val="00911ACE"/>
    <w:rsid w:val="009123EB"/>
    <w:rsid w:val="00912773"/>
    <w:rsid w:val="0091508B"/>
    <w:rsid w:val="009167D8"/>
    <w:rsid w:val="00916C86"/>
    <w:rsid w:val="009206DE"/>
    <w:rsid w:val="00920753"/>
    <w:rsid w:val="0092113C"/>
    <w:rsid w:val="00921567"/>
    <w:rsid w:val="009234E0"/>
    <w:rsid w:val="00923BF7"/>
    <w:rsid w:val="00923CF6"/>
    <w:rsid w:val="00926B8F"/>
    <w:rsid w:val="009279CC"/>
    <w:rsid w:val="00931099"/>
    <w:rsid w:val="009336C0"/>
    <w:rsid w:val="00934670"/>
    <w:rsid w:val="009347B8"/>
    <w:rsid w:val="0093652C"/>
    <w:rsid w:val="00936A8F"/>
    <w:rsid w:val="0093732A"/>
    <w:rsid w:val="00937359"/>
    <w:rsid w:val="00940B1C"/>
    <w:rsid w:val="00940B81"/>
    <w:rsid w:val="009414FF"/>
    <w:rsid w:val="009419E5"/>
    <w:rsid w:val="009421C2"/>
    <w:rsid w:val="00942F6B"/>
    <w:rsid w:val="00945234"/>
    <w:rsid w:val="00945757"/>
    <w:rsid w:val="00947B6E"/>
    <w:rsid w:val="00947CE5"/>
    <w:rsid w:val="00947D75"/>
    <w:rsid w:val="00947F48"/>
    <w:rsid w:val="00951009"/>
    <w:rsid w:val="009513E0"/>
    <w:rsid w:val="0095154F"/>
    <w:rsid w:val="009518B1"/>
    <w:rsid w:val="009522C9"/>
    <w:rsid w:val="00952CFB"/>
    <w:rsid w:val="009542A3"/>
    <w:rsid w:val="00955B23"/>
    <w:rsid w:val="009561E5"/>
    <w:rsid w:val="00956997"/>
    <w:rsid w:val="00956D3D"/>
    <w:rsid w:val="00957086"/>
    <w:rsid w:val="009575B9"/>
    <w:rsid w:val="00957BE9"/>
    <w:rsid w:val="0096042E"/>
    <w:rsid w:val="0096136C"/>
    <w:rsid w:val="0096185F"/>
    <w:rsid w:val="0096263C"/>
    <w:rsid w:val="00962BDE"/>
    <w:rsid w:val="0096329B"/>
    <w:rsid w:val="009642D3"/>
    <w:rsid w:val="0096459C"/>
    <w:rsid w:val="009649CD"/>
    <w:rsid w:val="00965A49"/>
    <w:rsid w:val="00970120"/>
    <w:rsid w:val="00970952"/>
    <w:rsid w:val="00970B69"/>
    <w:rsid w:val="0097118A"/>
    <w:rsid w:val="00972374"/>
    <w:rsid w:val="00972A2A"/>
    <w:rsid w:val="00973042"/>
    <w:rsid w:val="00973879"/>
    <w:rsid w:val="009741E9"/>
    <w:rsid w:val="009758DC"/>
    <w:rsid w:val="00976C41"/>
    <w:rsid w:val="009779D9"/>
    <w:rsid w:val="00980B13"/>
    <w:rsid w:val="00980C52"/>
    <w:rsid w:val="00981780"/>
    <w:rsid w:val="009825B8"/>
    <w:rsid w:val="00983C85"/>
    <w:rsid w:val="00986214"/>
    <w:rsid w:val="0098639C"/>
    <w:rsid w:val="00986CD2"/>
    <w:rsid w:val="00986D1B"/>
    <w:rsid w:val="0098721B"/>
    <w:rsid w:val="00987732"/>
    <w:rsid w:val="0098786F"/>
    <w:rsid w:val="00987F76"/>
    <w:rsid w:val="0099081F"/>
    <w:rsid w:val="00990842"/>
    <w:rsid w:val="00990F1C"/>
    <w:rsid w:val="00991BA5"/>
    <w:rsid w:val="00991C0C"/>
    <w:rsid w:val="009921B8"/>
    <w:rsid w:val="009923B3"/>
    <w:rsid w:val="009923E9"/>
    <w:rsid w:val="0099274B"/>
    <w:rsid w:val="009930C7"/>
    <w:rsid w:val="00994559"/>
    <w:rsid w:val="009945A4"/>
    <w:rsid w:val="00994C68"/>
    <w:rsid w:val="00995211"/>
    <w:rsid w:val="009953E3"/>
    <w:rsid w:val="0099563A"/>
    <w:rsid w:val="00995A98"/>
    <w:rsid w:val="009969A4"/>
    <w:rsid w:val="00996D60"/>
    <w:rsid w:val="00996DA4"/>
    <w:rsid w:val="009978E7"/>
    <w:rsid w:val="009A0288"/>
    <w:rsid w:val="009A1A66"/>
    <w:rsid w:val="009A2AF2"/>
    <w:rsid w:val="009A522D"/>
    <w:rsid w:val="009A526B"/>
    <w:rsid w:val="009A5CB3"/>
    <w:rsid w:val="009A694A"/>
    <w:rsid w:val="009B003E"/>
    <w:rsid w:val="009B0BE8"/>
    <w:rsid w:val="009B0E2E"/>
    <w:rsid w:val="009B18BA"/>
    <w:rsid w:val="009B209E"/>
    <w:rsid w:val="009B21EE"/>
    <w:rsid w:val="009B2A16"/>
    <w:rsid w:val="009B3491"/>
    <w:rsid w:val="009B3600"/>
    <w:rsid w:val="009B3B3E"/>
    <w:rsid w:val="009B4104"/>
    <w:rsid w:val="009B584C"/>
    <w:rsid w:val="009B6A73"/>
    <w:rsid w:val="009B6FA9"/>
    <w:rsid w:val="009B7320"/>
    <w:rsid w:val="009B746B"/>
    <w:rsid w:val="009C1329"/>
    <w:rsid w:val="009C1F3E"/>
    <w:rsid w:val="009C20D9"/>
    <w:rsid w:val="009C4196"/>
    <w:rsid w:val="009C4BB1"/>
    <w:rsid w:val="009C4BBB"/>
    <w:rsid w:val="009C4C4E"/>
    <w:rsid w:val="009C513F"/>
    <w:rsid w:val="009C68C8"/>
    <w:rsid w:val="009C6E98"/>
    <w:rsid w:val="009C7773"/>
    <w:rsid w:val="009D04F8"/>
    <w:rsid w:val="009D2375"/>
    <w:rsid w:val="009D3455"/>
    <w:rsid w:val="009D4C2D"/>
    <w:rsid w:val="009D5E32"/>
    <w:rsid w:val="009D610D"/>
    <w:rsid w:val="009E0C1B"/>
    <w:rsid w:val="009E124C"/>
    <w:rsid w:val="009E1427"/>
    <w:rsid w:val="009E1FE2"/>
    <w:rsid w:val="009E2BB1"/>
    <w:rsid w:val="009E5D80"/>
    <w:rsid w:val="009E5F84"/>
    <w:rsid w:val="009E60D0"/>
    <w:rsid w:val="009E6FF5"/>
    <w:rsid w:val="009E7748"/>
    <w:rsid w:val="009E7EA2"/>
    <w:rsid w:val="009F0C07"/>
    <w:rsid w:val="009F15B3"/>
    <w:rsid w:val="009F1A14"/>
    <w:rsid w:val="009F1C5E"/>
    <w:rsid w:val="009F1D5C"/>
    <w:rsid w:val="009F1F8B"/>
    <w:rsid w:val="009F21E8"/>
    <w:rsid w:val="009F3691"/>
    <w:rsid w:val="009F37B4"/>
    <w:rsid w:val="009F4049"/>
    <w:rsid w:val="009F44F2"/>
    <w:rsid w:val="009F55C6"/>
    <w:rsid w:val="009F580E"/>
    <w:rsid w:val="009F678B"/>
    <w:rsid w:val="009F7996"/>
    <w:rsid w:val="00A0099A"/>
    <w:rsid w:val="00A00E6D"/>
    <w:rsid w:val="00A010F7"/>
    <w:rsid w:val="00A01DF6"/>
    <w:rsid w:val="00A033A4"/>
    <w:rsid w:val="00A04FE5"/>
    <w:rsid w:val="00A055F7"/>
    <w:rsid w:val="00A05ED5"/>
    <w:rsid w:val="00A0602F"/>
    <w:rsid w:val="00A06759"/>
    <w:rsid w:val="00A07BD3"/>
    <w:rsid w:val="00A10CFA"/>
    <w:rsid w:val="00A11087"/>
    <w:rsid w:val="00A11171"/>
    <w:rsid w:val="00A11DD9"/>
    <w:rsid w:val="00A1267A"/>
    <w:rsid w:val="00A13479"/>
    <w:rsid w:val="00A13C8D"/>
    <w:rsid w:val="00A13E5C"/>
    <w:rsid w:val="00A1467E"/>
    <w:rsid w:val="00A14B7D"/>
    <w:rsid w:val="00A1513C"/>
    <w:rsid w:val="00A15FE1"/>
    <w:rsid w:val="00A16BE8"/>
    <w:rsid w:val="00A16DF1"/>
    <w:rsid w:val="00A16F77"/>
    <w:rsid w:val="00A1714B"/>
    <w:rsid w:val="00A17524"/>
    <w:rsid w:val="00A20235"/>
    <w:rsid w:val="00A212AB"/>
    <w:rsid w:val="00A2251E"/>
    <w:rsid w:val="00A22AAD"/>
    <w:rsid w:val="00A259E3"/>
    <w:rsid w:val="00A25ADC"/>
    <w:rsid w:val="00A273CE"/>
    <w:rsid w:val="00A27EF8"/>
    <w:rsid w:val="00A300E1"/>
    <w:rsid w:val="00A30307"/>
    <w:rsid w:val="00A332EE"/>
    <w:rsid w:val="00A33CBE"/>
    <w:rsid w:val="00A35502"/>
    <w:rsid w:val="00A364DA"/>
    <w:rsid w:val="00A367CF"/>
    <w:rsid w:val="00A36AC9"/>
    <w:rsid w:val="00A36DD5"/>
    <w:rsid w:val="00A37DC0"/>
    <w:rsid w:val="00A40062"/>
    <w:rsid w:val="00A404DC"/>
    <w:rsid w:val="00A408C1"/>
    <w:rsid w:val="00A4104C"/>
    <w:rsid w:val="00A41CFB"/>
    <w:rsid w:val="00A42B15"/>
    <w:rsid w:val="00A4321B"/>
    <w:rsid w:val="00A4389D"/>
    <w:rsid w:val="00A44F08"/>
    <w:rsid w:val="00A45149"/>
    <w:rsid w:val="00A45237"/>
    <w:rsid w:val="00A4599A"/>
    <w:rsid w:val="00A459FE"/>
    <w:rsid w:val="00A45FB4"/>
    <w:rsid w:val="00A467F7"/>
    <w:rsid w:val="00A468A6"/>
    <w:rsid w:val="00A46F35"/>
    <w:rsid w:val="00A47BB8"/>
    <w:rsid w:val="00A47E41"/>
    <w:rsid w:val="00A5054F"/>
    <w:rsid w:val="00A50A20"/>
    <w:rsid w:val="00A51303"/>
    <w:rsid w:val="00A52B3A"/>
    <w:rsid w:val="00A5339F"/>
    <w:rsid w:val="00A534E8"/>
    <w:rsid w:val="00A53A6B"/>
    <w:rsid w:val="00A5536D"/>
    <w:rsid w:val="00A56771"/>
    <w:rsid w:val="00A5737A"/>
    <w:rsid w:val="00A60859"/>
    <w:rsid w:val="00A618FB"/>
    <w:rsid w:val="00A61B2B"/>
    <w:rsid w:val="00A62634"/>
    <w:rsid w:val="00A62765"/>
    <w:rsid w:val="00A632E0"/>
    <w:rsid w:val="00A637E0"/>
    <w:rsid w:val="00A63989"/>
    <w:rsid w:val="00A6416E"/>
    <w:rsid w:val="00A647C4"/>
    <w:rsid w:val="00A65A03"/>
    <w:rsid w:val="00A660B0"/>
    <w:rsid w:val="00A70822"/>
    <w:rsid w:val="00A70B6A"/>
    <w:rsid w:val="00A714BB"/>
    <w:rsid w:val="00A72088"/>
    <w:rsid w:val="00A72CFC"/>
    <w:rsid w:val="00A73AB9"/>
    <w:rsid w:val="00A73CB4"/>
    <w:rsid w:val="00A74AD4"/>
    <w:rsid w:val="00A75AD3"/>
    <w:rsid w:val="00A76198"/>
    <w:rsid w:val="00A76BCB"/>
    <w:rsid w:val="00A77216"/>
    <w:rsid w:val="00A773DB"/>
    <w:rsid w:val="00A803B6"/>
    <w:rsid w:val="00A81C2C"/>
    <w:rsid w:val="00A81F2A"/>
    <w:rsid w:val="00A828A9"/>
    <w:rsid w:val="00A82EA5"/>
    <w:rsid w:val="00A839D2"/>
    <w:rsid w:val="00A83A69"/>
    <w:rsid w:val="00A83B80"/>
    <w:rsid w:val="00A84288"/>
    <w:rsid w:val="00A845D3"/>
    <w:rsid w:val="00A854BA"/>
    <w:rsid w:val="00A85903"/>
    <w:rsid w:val="00A85A4A"/>
    <w:rsid w:val="00A85F03"/>
    <w:rsid w:val="00A8697A"/>
    <w:rsid w:val="00A86A92"/>
    <w:rsid w:val="00A873FD"/>
    <w:rsid w:val="00A8778B"/>
    <w:rsid w:val="00A90349"/>
    <w:rsid w:val="00A90938"/>
    <w:rsid w:val="00A9097D"/>
    <w:rsid w:val="00A90E63"/>
    <w:rsid w:val="00A913B4"/>
    <w:rsid w:val="00A91A22"/>
    <w:rsid w:val="00A92607"/>
    <w:rsid w:val="00A9260A"/>
    <w:rsid w:val="00A928B2"/>
    <w:rsid w:val="00A928DA"/>
    <w:rsid w:val="00A9365A"/>
    <w:rsid w:val="00A938E0"/>
    <w:rsid w:val="00A9480B"/>
    <w:rsid w:val="00A96950"/>
    <w:rsid w:val="00A96E0B"/>
    <w:rsid w:val="00AA045C"/>
    <w:rsid w:val="00AA0890"/>
    <w:rsid w:val="00AA107C"/>
    <w:rsid w:val="00AA1221"/>
    <w:rsid w:val="00AA2670"/>
    <w:rsid w:val="00AA283B"/>
    <w:rsid w:val="00AA2E94"/>
    <w:rsid w:val="00AA3EFD"/>
    <w:rsid w:val="00AA4021"/>
    <w:rsid w:val="00AA53A9"/>
    <w:rsid w:val="00AA5949"/>
    <w:rsid w:val="00AA6AF0"/>
    <w:rsid w:val="00AA71B9"/>
    <w:rsid w:val="00AA72CA"/>
    <w:rsid w:val="00AB06FA"/>
    <w:rsid w:val="00AB09E6"/>
    <w:rsid w:val="00AB0A98"/>
    <w:rsid w:val="00AB0F81"/>
    <w:rsid w:val="00AB1A0A"/>
    <w:rsid w:val="00AB2596"/>
    <w:rsid w:val="00AB6AFC"/>
    <w:rsid w:val="00AB789E"/>
    <w:rsid w:val="00AB7CA4"/>
    <w:rsid w:val="00AC198B"/>
    <w:rsid w:val="00AC1E29"/>
    <w:rsid w:val="00AC2175"/>
    <w:rsid w:val="00AC31A9"/>
    <w:rsid w:val="00AC348B"/>
    <w:rsid w:val="00AC3C44"/>
    <w:rsid w:val="00AC49E0"/>
    <w:rsid w:val="00AC4E7B"/>
    <w:rsid w:val="00AC517C"/>
    <w:rsid w:val="00AC51D4"/>
    <w:rsid w:val="00AC5A04"/>
    <w:rsid w:val="00AC5D39"/>
    <w:rsid w:val="00AC6778"/>
    <w:rsid w:val="00AC6A5D"/>
    <w:rsid w:val="00AC739C"/>
    <w:rsid w:val="00AC7998"/>
    <w:rsid w:val="00AC7FD0"/>
    <w:rsid w:val="00AD17AE"/>
    <w:rsid w:val="00AD2686"/>
    <w:rsid w:val="00AD4976"/>
    <w:rsid w:val="00AD5DE1"/>
    <w:rsid w:val="00AD6856"/>
    <w:rsid w:val="00AD6CB0"/>
    <w:rsid w:val="00AD6CB1"/>
    <w:rsid w:val="00AD6F3F"/>
    <w:rsid w:val="00AD74EB"/>
    <w:rsid w:val="00AE095C"/>
    <w:rsid w:val="00AE1745"/>
    <w:rsid w:val="00AE22A6"/>
    <w:rsid w:val="00AE321C"/>
    <w:rsid w:val="00AE48FB"/>
    <w:rsid w:val="00AE613E"/>
    <w:rsid w:val="00AE6390"/>
    <w:rsid w:val="00AE71CB"/>
    <w:rsid w:val="00AF1284"/>
    <w:rsid w:val="00AF17B6"/>
    <w:rsid w:val="00AF19DA"/>
    <w:rsid w:val="00AF3E58"/>
    <w:rsid w:val="00AF5B5E"/>
    <w:rsid w:val="00AF5C80"/>
    <w:rsid w:val="00AF5ECD"/>
    <w:rsid w:val="00AF5F01"/>
    <w:rsid w:val="00AF7415"/>
    <w:rsid w:val="00AF7452"/>
    <w:rsid w:val="00B00288"/>
    <w:rsid w:val="00B003FB"/>
    <w:rsid w:val="00B005A2"/>
    <w:rsid w:val="00B01E47"/>
    <w:rsid w:val="00B02C04"/>
    <w:rsid w:val="00B0358F"/>
    <w:rsid w:val="00B065D7"/>
    <w:rsid w:val="00B07BE3"/>
    <w:rsid w:val="00B1180B"/>
    <w:rsid w:val="00B13656"/>
    <w:rsid w:val="00B13FB9"/>
    <w:rsid w:val="00B1485E"/>
    <w:rsid w:val="00B14C58"/>
    <w:rsid w:val="00B14DB0"/>
    <w:rsid w:val="00B15001"/>
    <w:rsid w:val="00B179B6"/>
    <w:rsid w:val="00B2011B"/>
    <w:rsid w:val="00B207DF"/>
    <w:rsid w:val="00B213B8"/>
    <w:rsid w:val="00B22973"/>
    <w:rsid w:val="00B22F12"/>
    <w:rsid w:val="00B23601"/>
    <w:rsid w:val="00B240F5"/>
    <w:rsid w:val="00B24BEE"/>
    <w:rsid w:val="00B27332"/>
    <w:rsid w:val="00B2760F"/>
    <w:rsid w:val="00B30026"/>
    <w:rsid w:val="00B35053"/>
    <w:rsid w:val="00B35B37"/>
    <w:rsid w:val="00B360A9"/>
    <w:rsid w:val="00B365DB"/>
    <w:rsid w:val="00B36DA1"/>
    <w:rsid w:val="00B40113"/>
    <w:rsid w:val="00B40576"/>
    <w:rsid w:val="00B40D1F"/>
    <w:rsid w:val="00B413F5"/>
    <w:rsid w:val="00B4145A"/>
    <w:rsid w:val="00B41A5A"/>
    <w:rsid w:val="00B4216F"/>
    <w:rsid w:val="00B4221A"/>
    <w:rsid w:val="00B4256F"/>
    <w:rsid w:val="00B42612"/>
    <w:rsid w:val="00B42B24"/>
    <w:rsid w:val="00B43B98"/>
    <w:rsid w:val="00B43D68"/>
    <w:rsid w:val="00B440DF"/>
    <w:rsid w:val="00B44F7F"/>
    <w:rsid w:val="00B4509C"/>
    <w:rsid w:val="00B458F8"/>
    <w:rsid w:val="00B46282"/>
    <w:rsid w:val="00B50C19"/>
    <w:rsid w:val="00B50E0C"/>
    <w:rsid w:val="00B51593"/>
    <w:rsid w:val="00B517A7"/>
    <w:rsid w:val="00B51C82"/>
    <w:rsid w:val="00B52133"/>
    <w:rsid w:val="00B535EA"/>
    <w:rsid w:val="00B53F9A"/>
    <w:rsid w:val="00B5410F"/>
    <w:rsid w:val="00B555DF"/>
    <w:rsid w:val="00B55766"/>
    <w:rsid w:val="00B56054"/>
    <w:rsid w:val="00B56781"/>
    <w:rsid w:val="00B56C68"/>
    <w:rsid w:val="00B5750B"/>
    <w:rsid w:val="00B6014C"/>
    <w:rsid w:val="00B61243"/>
    <w:rsid w:val="00B6163B"/>
    <w:rsid w:val="00B624CB"/>
    <w:rsid w:val="00B62F3B"/>
    <w:rsid w:val="00B639E1"/>
    <w:rsid w:val="00B63F23"/>
    <w:rsid w:val="00B642C4"/>
    <w:rsid w:val="00B645C7"/>
    <w:rsid w:val="00B65DA4"/>
    <w:rsid w:val="00B66378"/>
    <w:rsid w:val="00B66C4F"/>
    <w:rsid w:val="00B70EA7"/>
    <w:rsid w:val="00B7122A"/>
    <w:rsid w:val="00B7137D"/>
    <w:rsid w:val="00B71D02"/>
    <w:rsid w:val="00B7348A"/>
    <w:rsid w:val="00B73A01"/>
    <w:rsid w:val="00B74B61"/>
    <w:rsid w:val="00B74C6B"/>
    <w:rsid w:val="00B76AE3"/>
    <w:rsid w:val="00B772C4"/>
    <w:rsid w:val="00B77676"/>
    <w:rsid w:val="00B776A6"/>
    <w:rsid w:val="00B776FC"/>
    <w:rsid w:val="00B77AD6"/>
    <w:rsid w:val="00B77CF2"/>
    <w:rsid w:val="00B80650"/>
    <w:rsid w:val="00B807AD"/>
    <w:rsid w:val="00B807AE"/>
    <w:rsid w:val="00B8137C"/>
    <w:rsid w:val="00B816E5"/>
    <w:rsid w:val="00B81C10"/>
    <w:rsid w:val="00B82E7D"/>
    <w:rsid w:val="00B8414A"/>
    <w:rsid w:val="00B84FCF"/>
    <w:rsid w:val="00B85CC1"/>
    <w:rsid w:val="00B85EA4"/>
    <w:rsid w:val="00B85FE0"/>
    <w:rsid w:val="00B86262"/>
    <w:rsid w:val="00B87CB8"/>
    <w:rsid w:val="00B90B86"/>
    <w:rsid w:val="00B91D47"/>
    <w:rsid w:val="00B92DAE"/>
    <w:rsid w:val="00B9365D"/>
    <w:rsid w:val="00B94CED"/>
    <w:rsid w:val="00B9645A"/>
    <w:rsid w:val="00B97501"/>
    <w:rsid w:val="00B976C4"/>
    <w:rsid w:val="00B97714"/>
    <w:rsid w:val="00B97EB9"/>
    <w:rsid w:val="00BA0CE2"/>
    <w:rsid w:val="00BA1E79"/>
    <w:rsid w:val="00BA3CED"/>
    <w:rsid w:val="00BA452B"/>
    <w:rsid w:val="00BA4D4A"/>
    <w:rsid w:val="00BA699B"/>
    <w:rsid w:val="00BA7025"/>
    <w:rsid w:val="00BA719E"/>
    <w:rsid w:val="00BA722C"/>
    <w:rsid w:val="00BA74BB"/>
    <w:rsid w:val="00BA7774"/>
    <w:rsid w:val="00BA7C34"/>
    <w:rsid w:val="00BB03F0"/>
    <w:rsid w:val="00BB0683"/>
    <w:rsid w:val="00BB0DFC"/>
    <w:rsid w:val="00BB1FC7"/>
    <w:rsid w:val="00BB2668"/>
    <w:rsid w:val="00BB2CA6"/>
    <w:rsid w:val="00BB2E92"/>
    <w:rsid w:val="00BB3CD4"/>
    <w:rsid w:val="00BB3D39"/>
    <w:rsid w:val="00BB3FA4"/>
    <w:rsid w:val="00BB46C5"/>
    <w:rsid w:val="00BB4A3D"/>
    <w:rsid w:val="00BB6146"/>
    <w:rsid w:val="00BB63EC"/>
    <w:rsid w:val="00BB64F7"/>
    <w:rsid w:val="00BB7C64"/>
    <w:rsid w:val="00BC31FE"/>
    <w:rsid w:val="00BC400A"/>
    <w:rsid w:val="00BC4EB7"/>
    <w:rsid w:val="00BC54F5"/>
    <w:rsid w:val="00BC7925"/>
    <w:rsid w:val="00BC7B6D"/>
    <w:rsid w:val="00BD164D"/>
    <w:rsid w:val="00BD1F4A"/>
    <w:rsid w:val="00BD348F"/>
    <w:rsid w:val="00BD5814"/>
    <w:rsid w:val="00BD5DA0"/>
    <w:rsid w:val="00BD710C"/>
    <w:rsid w:val="00BD7C7C"/>
    <w:rsid w:val="00BD7DC8"/>
    <w:rsid w:val="00BE20A7"/>
    <w:rsid w:val="00BE2A4F"/>
    <w:rsid w:val="00BE2C4C"/>
    <w:rsid w:val="00BE3064"/>
    <w:rsid w:val="00BE3ED3"/>
    <w:rsid w:val="00BE4C0B"/>
    <w:rsid w:val="00BE4D53"/>
    <w:rsid w:val="00BE50CC"/>
    <w:rsid w:val="00BE5449"/>
    <w:rsid w:val="00BE572E"/>
    <w:rsid w:val="00BE7657"/>
    <w:rsid w:val="00BF03C1"/>
    <w:rsid w:val="00BF0C45"/>
    <w:rsid w:val="00BF0CE2"/>
    <w:rsid w:val="00BF1405"/>
    <w:rsid w:val="00BF16A4"/>
    <w:rsid w:val="00BF234D"/>
    <w:rsid w:val="00BF2AD6"/>
    <w:rsid w:val="00BF425C"/>
    <w:rsid w:val="00BF43B3"/>
    <w:rsid w:val="00BF5265"/>
    <w:rsid w:val="00BF53F0"/>
    <w:rsid w:val="00BF5914"/>
    <w:rsid w:val="00BF631A"/>
    <w:rsid w:val="00BF64FB"/>
    <w:rsid w:val="00BF6D82"/>
    <w:rsid w:val="00BF74F6"/>
    <w:rsid w:val="00BF7917"/>
    <w:rsid w:val="00C000C6"/>
    <w:rsid w:val="00C000D1"/>
    <w:rsid w:val="00C003C0"/>
    <w:rsid w:val="00C0178C"/>
    <w:rsid w:val="00C01CA3"/>
    <w:rsid w:val="00C02ED0"/>
    <w:rsid w:val="00C03EE9"/>
    <w:rsid w:val="00C05DF0"/>
    <w:rsid w:val="00C072EB"/>
    <w:rsid w:val="00C112FD"/>
    <w:rsid w:val="00C11718"/>
    <w:rsid w:val="00C135B6"/>
    <w:rsid w:val="00C141BC"/>
    <w:rsid w:val="00C167BB"/>
    <w:rsid w:val="00C20BEE"/>
    <w:rsid w:val="00C20C6B"/>
    <w:rsid w:val="00C21234"/>
    <w:rsid w:val="00C21CD9"/>
    <w:rsid w:val="00C22D5A"/>
    <w:rsid w:val="00C2317B"/>
    <w:rsid w:val="00C231A3"/>
    <w:rsid w:val="00C24068"/>
    <w:rsid w:val="00C242F2"/>
    <w:rsid w:val="00C25139"/>
    <w:rsid w:val="00C27766"/>
    <w:rsid w:val="00C27C45"/>
    <w:rsid w:val="00C3025A"/>
    <w:rsid w:val="00C302E7"/>
    <w:rsid w:val="00C30656"/>
    <w:rsid w:val="00C30F34"/>
    <w:rsid w:val="00C31AE4"/>
    <w:rsid w:val="00C320A5"/>
    <w:rsid w:val="00C327EE"/>
    <w:rsid w:val="00C33010"/>
    <w:rsid w:val="00C33A73"/>
    <w:rsid w:val="00C3418A"/>
    <w:rsid w:val="00C343FE"/>
    <w:rsid w:val="00C34C9C"/>
    <w:rsid w:val="00C36896"/>
    <w:rsid w:val="00C36BA0"/>
    <w:rsid w:val="00C36BBA"/>
    <w:rsid w:val="00C36EA0"/>
    <w:rsid w:val="00C36F71"/>
    <w:rsid w:val="00C375E8"/>
    <w:rsid w:val="00C40749"/>
    <w:rsid w:val="00C407BF"/>
    <w:rsid w:val="00C4098F"/>
    <w:rsid w:val="00C4105D"/>
    <w:rsid w:val="00C43115"/>
    <w:rsid w:val="00C43ACE"/>
    <w:rsid w:val="00C44818"/>
    <w:rsid w:val="00C44CAC"/>
    <w:rsid w:val="00C4520A"/>
    <w:rsid w:val="00C457AE"/>
    <w:rsid w:val="00C47908"/>
    <w:rsid w:val="00C47A73"/>
    <w:rsid w:val="00C50431"/>
    <w:rsid w:val="00C505CF"/>
    <w:rsid w:val="00C5070A"/>
    <w:rsid w:val="00C50982"/>
    <w:rsid w:val="00C53AFD"/>
    <w:rsid w:val="00C54995"/>
    <w:rsid w:val="00C558F5"/>
    <w:rsid w:val="00C57052"/>
    <w:rsid w:val="00C572A0"/>
    <w:rsid w:val="00C57720"/>
    <w:rsid w:val="00C609BA"/>
    <w:rsid w:val="00C609D7"/>
    <w:rsid w:val="00C616BE"/>
    <w:rsid w:val="00C61A00"/>
    <w:rsid w:val="00C61DFC"/>
    <w:rsid w:val="00C632C3"/>
    <w:rsid w:val="00C6376B"/>
    <w:rsid w:val="00C643DD"/>
    <w:rsid w:val="00C647F5"/>
    <w:rsid w:val="00C64A10"/>
    <w:rsid w:val="00C660F5"/>
    <w:rsid w:val="00C70243"/>
    <w:rsid w:val="00C7037C"/>
    <w:rsid w:val="00C716A5"/>
    <w:rsid w:val="00C7277D"/>
    <w:rsid w:val="00C73323"/>
    <w:rsid w:val="00C73923"/>
    <w:rsid w:val="00C75A73"/>
    <w:rsid w:val="00C76A54"/>
    <w:rsid w:val="00C771DA"/>
    <w:rsid w:val="00C775FE"/>
    <w:rsid w:val="00C77672"/>
    <w:rsid w:val="00C77D6C"/>
    <w:rsid w:val="00C80BB5"/>
    <w:rsid w:val="00C80D6F"/>
    <w:rsid w:val="00C810A5"/>
    <w:rsid w:val="00C81D2A"/>
    <w:rsid w:val="00C83F42"/>
    <w:rsid w:val="00C857CC"/>
    <w:rsid w:val="00C86643"/>
    <w:rsid w:val="00C87105"/>
    <w:rsid w:val="00C87C0C"/>
    <w:rsid w:val="00C91C5D"/>
    <w:rsid w:val="00C9231C"/>
    <w:rsid w:val="00C924F1"/>
    <w:rsid w:val="00C93A70"/>
    <w:rsid w:val="00C94524"/>
    <w:rsid w:val="00C94815"/>
    <w:rsid w:val="00C95E8D"/>
    <w:rsid w:val="00C97192"/>
    <w:rsid w:val="00C97F8B"/>
    <w:rsid w:val="00CA0299"/>
    <w:rsid w:val="00CA0B0C"/>
    <w:rsid w:val="00CA1005"/>
    <w:rsid w:val="00CA3214"/>
    <w:rsid w:val="00CA4BDD"/>
    <w:rsid w:val="00CA53EC"/>
    <w:rsid w:val="00CA5860"/>
    <w:rsid w:val="00CA6285"/>
    <w:rsid w:val="00CA67C3"/>
    <w:rsid w:val="00CA6A4F"/>
    <w:rsid w:val="00CA7261"/>
    <w:rsid w:val="00CB0128"/>
    <w:rsid w:val="00CB09FB"/>
    <w:rsid w:val="00CB0D7E"/>
    <w:rsid w:val="00CB17FB"/>
    <w:rsid w:val="00CB216A"/>
    <w:rsid w:val="00CB3A2D"/>
    <w:rsid w:val="00CB417A"/>
    <w:rsid w:val="00CB43D0"/>
    <w:rsid w:val="00CB5129"/>
    <w:rsid w:val="00CB668E"/>
    <w:rsid w:val="00CB7329"/>
    <w:rsid w:val="00CB77DF"/>
    <w:rsid w:val="00CB7D77"/>
    <w:rsid w:val="00CB7D85"/>
    <w:rsid w:val="00CC0247"/>
    <w:rsid w:val="00CC0A95"/>
    <w:rsid w:val="00CC12EC"/>
    <w:rsid w:val="00CC158D"/>
    <w:rsid w:val="00CC1A52"/>
    <w:rsid w:val="00CC33A6"/>
    <w:rsid w:val="00CC3DB3"/>
    <w:rsid w:val="00CC4BDF"/>
    <w:rsid w:val="00CC60A3"/>
    <w:rsid w:val="00CC6214"/>
    <w:rsid w:val="00CC7169"/>
    <w:rsid w:val="00CC7771"/>
    <w:rsid w:val="00CC7CB7"/>
    <w:rsid w:val="00CD0CB8"/>
    <w:rsid w:val="00CD10D8"/>
    <w:rsid w:val="00CD11FF"/>
    <w:rsid w:val="00CD1931"/>
    <w:rsid w:val="00CD1B5B"/>
    <w:rsid w:val="00CD2727"/>
    <w:rsid w:val="00CD33EF"/>
    <w:rsid w:val="00CD38F0"/>
    <w:rsid w:val="00CD3945"/>
    <w:rsid w:val="00CD39DC"/>
    <w:rsid w:val="00CD3E6A"/>
    <w:rsid w:val="00CD43D4"/>
    <w:rsid w:val="00CD4474"/>
    <w:rsid w:val="00CD6119"/>
    <w:rsid w:val="00CD6392"/>
    <w:rsid w:val="00CD6D83"/>
    <w:rsid w:val="00CD6E6A"/>
    <w:rsid w:val="00CD7EA4"/>
    <w:rsid w:val="00CE09DC"/>
    <w:rsid w:val="00CE1329"/>
    <w:rsid w:val="00CE2615"/>
    <w:rsid w:val="00CE327F"/>
    <w:rsid w:val="00CE3C1B"/>
    <w:rsid w:val="00CE408E"/>
    <w:rsid w:val="00CE4E55"/>
    <w:rsid w:val="00CE6CAF"/>
    <w:rsid w:val="00CE6EB5"/>
    <w:rsid w:val="00CE728F"/>
    <w:rsid w:val="00CF0097"/>
    <w:rsid w:val="00CF0A2F"/>
    <w:rsid w:val="00CF12B0"/>
    <w:rsid w:val="00CF1A99"/>
    <w:rsid w:val="00CF2191"/>
    <w:rsid w:val="00CF4477"/>
    <w:rsid w:val="00CF4E93"/>
    <w:rsid w:val="00CF5A94"/>
    <w:rsid w:val="00CF66A5"/>
    <w:rsid w:val="00CF708E"/>
    <w:rsid w:val="00CF7251"/>
    <w:rsid w:val="00CF73AB"/>
    <w:rsid w:val="00CF75FA"/>
    <w:rsid w:val="00CF7F49"/>
    <w:rsid w:val="00D0025D"/>
    <w:rsid w:val="00D009F5"/>
    <w:rsid w:val="00D01DA6"/>
    <w:rsid w:val="00D02074"/>
    <w:rsid w:val="00D026A6"/>
    <w:rsid w:val="00D02BA7"/>
    <w:rsid w:val="00D03097"/>
    <w:rsid w:val="00D031F7"/>
    <w:rsid w:val="00D03E01"/>
    <w:rsid w:val="00D0457B"/>
    <w:rsid w:val="00D0502E"/>
    <w:rsid w:val="00D06B40"/>
    <w:rsid w:val="00D07E4E"/>
    <w:rsid w:val="00D100E0"/>
    <w:rsid w:val="00D11A23"/>
    <w:rsid w:val="00D11B7E"/>
    <w:rsid w:val="00D11F81"/>
    <w:rsid w:val="00D12845"/>
    <w:rsid w:val="00D12F3C"/>
    <w:rsid w:val="00D1465E"/>
    <w:rsid w:val="00D14D92"/>
    <w:rsid w:val="00D16148"/>
    <w:rsid w:val="00D16691"/>
    <w:rsid w:val="00D17EC6"/>
    <w:rsid w:val="00D17F89"/>
    <w:rsid w:val="00D17FE4"/>
    <w:rsid w:val="00D20655"/>
    <w:rsid w:val="00D20BC8"/>
    <w:rsid w:val="00D22A1F"/>
    <w:rsid w:val="00D233D9"/>
    <w:rsid w:val="00D2382E"/>
    <w:rsid w:val="00D239FD"/>
    <w:rsid w:val="00D23E67"/>
    <w:rsid w:val="00D23EA0"/>
    <w:rsid w:val="00D23F41"/>
    <w:rsid w:val="00D23F76"/>
    <w:rsid w:val="00D24894"/>
    <w:rsid w:val="00D24B35"/>
    <w:rsid w:val="00D24B8D"/>
    <w:rsid w:val="00D24E4F"/>
    <w:rsid w:val="00D25877"/>
    <w:rsid w:val="00D25971"/>
    <w:rsid w:val="00D2775B"/>
    <w:rsid w:val="00D2792B"/>
    <w:rsid w:val="00D30199"/>
    <w:rsid w:val="00D328D1"/>
    <w:rsid w:val="00D32BC9"/>
    <w:rsid w:val="00D34122"/>
    <w:rsid w:val="00D34699"/>
    <w:rsid w:val="00D36E24"/>
    <w:rsid w:val="00D3762C"/>
    <w:rsid w:val="00D377AD"/>
    <w:rsid w:val="00D402CA"/>
    <w:rsid w:val="00D40737"/>
    <w:rsid w:val="00D416E5"/>
    <w:rsid w:val="00D42316"/>
    <w:rsid w:val="00D42921"/>
    <w:rsid w:val="00D4376A"/>
    <w:rsid w:val="00D438CD"/>
    <w:rsid w:val="00D43B7E"/>
    <w:rsid w:val="00D44338"/>
    <w:rsid w:val="00D44772"/>
    <w:rsid w:val="00D44D4B"/>
    <w:rsid w:val="00D453C6"/>
    <w:rsid w:val="00D458F2"/>
    <w:rsid w:val="00D46263"/>
    <w:rsid w:val="00D467EC"/>
    <w:rsid w:val="00D47CC2"/>
    <w:rsid w:val="00D51D05"/>
    <w:rsid w:val="00D52473"/>
    <w:rsid w:val="00D5406A"/>
    <w:rsid w:val="00D5520A"/>
    <w:rsid w:val="00D55EBB"/>
    <w:rsid w:val="00D55ECD"/>
    <w:rsid w:val="00D55F9B"/>
    <w:rsid w:val="00D6080C"/>
    <w:rsid w:val="00D61489"/>
    <w:rsid w:val="00D61DAB"/>
    <w:rsid w:val="00D635F8"/>
    <w:rsid w:val="00D63BD3"/>
    <w:rsid w:val="00D6564E"/>
    <w:rsid w:val="00D65ECD"/>
    <w:rsid w:val="00D66493"/>
    <w:rsid w:val="00D67D7F"/>
    <w:rsid w:val="00D67ED8"/>
    <w:rsid w:val="00D701B7"/>
    <w:rsid w:val="00D70239"/>
    <w:rsid w:val="00D70C75"/>
    <w:rsid w:val="00D72101"/>
    <w:rsid w:val="00D72D37"/>
    <w:rsid w:val="00D734A6"/>
    <w:rsid w:val="00D74DA9"/>
    <w:rsid w:val="00D75B4E"/>
    <w:rsid w:val="00D76921"/>
    <w:rsid w:val="00D772B2"/>
    <w:rsid w:val="00D818F3"/>
    <w:rsid w:val="00D83072"/>
    <w:rsid w:val="00D8589D"/>
    <w:rsid w:val="00D85A35"/>
    <w:rsid w:val="00D86370"/>
    <w:rsid w:val="00D8667D"/>
    <w:rsid w:val="00D87422"/>
    <w:rsid w:val="00D90E2F"/>
    <w:rsid w:val="00D91C62"/>
    <w:rsid w:val="00D91ED6"/>
    <w:rsid w:val="00D9233D"/>
    <w:rsid w:val="00D95BE3"/>
    <w:rsid w:val="00D95CE8"/>
    <w:rsid w:val="00D95D09"/>
    <w:rsid w:val="00D972E1"/>
    <w:rsid w:val="00D9742D"/>
    <w:rsid w:val="00D975E9"/>
    <w:rsid w:val="00DA001C"/>
    <w:rsid w:val="00DA2653"/>
    <w:rsid w:val="00DA2B19"/>
    <w:rsid w:val="00DA38D2"/>
    <w:rsid w:val="00DA4236"/>
    <w:rsid w:val="00DA4362"/>
    <w:rsid w:val="00DA59FC"/>
    <w:rsid w:val="00DA5A4A"/>
    <w:rsid w:val="00DA5DCC"/>
    <w:rsid w:val="00DA6ADD"/>
    <w:rsid w:val="00DA7D56"/>
    <w:rsid w:val="00DA7FF2"/>
    <w:rsid w:val="00DB018C"/>
    <w:rsid w:val="00DB0B61"/>
    <w:rsid w:val="00DB23AB"/>
    <w:rsid w:val="00DB2D0B"/>
    <w:rsid w:val="00DB4CD1"/>
    <w:rsid w:val="00DB4F9E"/>
    <w:rsid w:val="00DB704C"/>
    <w:rsid w:val="00DB7157"/>
    <w:rsid w:val="00DB74BD"/>
    <w:rsid w:val="00DB7F2F"/>
    <w:rsid w:val="00DC0234"/>
    <w:rsid w:val="00DC03AA"/>
    <w:rsid w:val="00DC0D5B"/>
    <w:rsid w:val="00DC1222"/>
    <w:rsid w:val="00DC12A6"/>
    <w:rsid w:val="00DC1EF5"/>
    <w:rsid w:val="00DC2837"/>
    <w:rsid w:val="00DC2CE6"/>
    <w:rsid w:val="00DC3783"/>
    <w:rsid w:val="00DC3D14"/>
    <w:rsid w:val="00DC54BF"/>
    <w:rsid w:val="00DC5CB0"/>
    <w:rsid w:val="00DC6F42"/>
    <w:rsid w:val="00DC721B"/>
    <w:rsid w:val="00DC7966"/>
    <w:rsid w:val="00DC7DC1"/>
    <w:rsid w:val="00DD0FBA"/>
    <w:rsid w:val="00DD10DA"/>
    <w:rsid w:val="00DD1964"/>
    <w:rsid w:val="00DD1D3B"/>
    <w:rsid w:val="00DD41E1"/>
    <w:rsid w:val="00DD44F4"/>
    <w:rsid w:val="00DD6618"/>
    <w:rsid w:val="00DD7A49"/>
    <w:rsid w:val="00DD7DC1"/>
    <w:rsid w:val="00DD7FD8"/>
    <w:rsid w:val="00DE00E2"/>
    <w:rsid w:val="00DE0431"/>
    <w:rsid w:val="00DE05B7"/>
    <w:rsid w:val="00DE0949"/>
    <w:rsid w:val="00DE1155"/>
    <w:rsid w:val="00DE3AB2"/>
    <w:rsid w:val="00DE4DC0"/>
    <w:rsid w:val="00DE5594"/>
    <w:rsid w:val="00DE59A4"/>
    <w:rsid w:val="00DE6A5A"/>
    <w:rsid w:val="00DE6D7F"/>
    <w:rsid w:val="00DE7F8B"/>
    <w:rsid w:val="00DF0108"/>
    <w:rsid w:val="00DF1967"/>
    <w:rsid w:val="00DF2BF6"/>
    <w:rsid w:val="00DF3963"/>
    <w:rsid w:val="00DF3C80"/>
    <w:rsid w:val="00DF3C8F"/>
    <w:rsid w:val="00DF4865"/>
    <w:rsid w:val="00DF4E0B"/>
    <w:rsid w:val="00DF59DA"/>
    <w:rsid w:val="00DF6020"/>
    <w:rsid w:val="00DF6159"/>
    <w:rsid w:val="00DF647A"/>
    <w:rsid w:val="00DF6689"/>
    <w:rsid w:val="00DF6B1D"/>
    <w:rsid w:val="00E007BD"/>
    <w:rsid w:val="00E0135E"/>
    <w:rsid w:val="00E01452"/>
    <w:rsid w:val="00E01852"/>
    <w:rsid w:val="00E021DC"/>
    <w:rsid w:val="00E030D6"/>
    <w:rsid w:val="00E033DC"/>
    <w:rsid w:val="00E03910"/>
    <w:rsid w:val="00E03E02"/>
    <w:rsid w:val="00E04601"/>
    <w:rsid w:val="00E04CE9"/>
    <w:rsid w:val="00E05525"/>
    <w:rsid w:val="00E05D04"/>
    <w:rsid w:val="00E07494"/>
    <w:rsid w:val="00E10562"/>
    <w:rsid w:val="00E139DD"/>
    <w:rsid w:val="00E13AF5"/>
    <w:rsid w:val="00E144D0"/>
    <w:rsid w:val="00E15825"/>
    <w:rsid w:val="00E1590B"/>
    <w:rsid w:val="00E15E54"/>
    <w:rsid w:val="00E16312"/>
    <w:rsid w:val="00E167B6"/>
    <w:rsid w:val="00E1722E"/>
    <w:rsid w:val="00E175B5"/>
    <w:rsid w:val="00E2051D"/>
    <w:rsid w:val="00E20A70"/>
    <w:rsid w:val="00E229BD"/>
    <w:rsid w:val="00E23F37"/>
    <w:rsid w:val="00E263BF"/>
    <w:rsid w:val="00E2675C"/>
    <w:rsid w:val="00E26999"/>
    <w:rsid w:val="00E30AE9"/>
    <w:rsid w:val="00E30D84"/>
    <w:rsid w:val="00E31A78"/>
    <w:rsid w:val="00E31B65"/>
    <w:rsid w:val="00E32D30"/>
    <w:rsid w:val="00E336C9"/>
    <w:rsid w:val="00E33C2B"/>
    <w:rsid w:val="00E35956"/>
    <w:rsid w:val="00E41735"/>
    <w:rsid w:val="00E420BF"/>
    <w:rsid w:val="00E422B5"/>
    <w:rsid w:val="00E43CA9"/>
    <w:rsid w:val="00E43E15"/>
    <w:rsid w:val="00E4492D"/>
    <w:rsid w:val="00E458D1"/>
    <w:rsid w:val="00E45B27"/>
    <w:rsid w:val="00E46826"/>
    <w:rsid w:val="00E50161"/>
    <w:rsid w:val="00E50721"/>
    <w:rsid w:val="00E521AC"/>
    <w:rsid w:val="00E52966"/>
    <w:rsid w:val="00E53375"/>
    <w:rsid w:val="00E53D90"/>
    <w:rsid w:val="00E53DD4"/>
    <w:rsid w:val="00E54F86"/>
    <w:rsid w:val="00E60702"/>
    <w:rsid w:val="00E6179A"/>
    <w:rsid w:val="00E61FB5"/>
    <w:rsid w:val="00E63706"/>
    <w:rsid w:val="00E63B4F"/>
    <w:rsid w:val="00E64D38"/>
    <w:rsid w:val="00E65056"/>
    <w:rsid w:val="00E65B3B"/>
    <w:rsid w:val="00E65D31"/>
    <w:rsid w:val="00E661DC"/>
    <w:rsid w:val="00E66234"/>
    <w:rsid w:val="00E6640C"/>
    <w:rsid w:val="00E66ED8"/>
    <w:rsid w:val="00E673C1"/>
    <w:rsid w:val="00E67B6D"/>
    <w:rsid w:val="00E67B83"/>
    <w:rsid w:val="00E70469"/>
    <w:rsid w:val="00E70A52"/>
    <w:rsid w:val="00E70DDE"/>
    <w:rsid w:val="00E714D6"/>
    <w:rsid w:val="00E7150A"/>
    <w:rsid w:val="00E7195E"/>
    <w:rsid w:val="00E71DF4"/>
    <w:rsid w:val="00E73F8E"/>
    <w:rsid w:val="00E73FC3"/>
    <w:rsid w:val="00E748F1"/>
    <w:rsid w:val="00E74D17"/>
    <w:rsid w:val="00E75832"/>
    <w:rsid w:val="00E7606D"/>
    <w:rsid w:val="00E765F5"/>
    <w:rsid w:val="00E8034A"/>
    <w:rsid w:val="00E80C54"/>
    <w:rsid w:val="00E80C66"/>
    <w:rsid w:val="00E8242E"/>
    <w:rsid w:val="00E826FE"/>
    <w:rsid w:val="00E82E30"/>
    <w:rsid w:val="00E82F0F"/>
    <w:rsid w:val="00E838EA"/>
    <w:rsid w:val="00E838FF"/>
    <w:rsid w:val="00E83B1B"/>
    <w:rsid w:val="00E83E78"/>
    <w:rsid w:val="00E84726"/>
    <w:rsid w:val="00E84B65"/>
    <w:rsid w:val="00E8627A"/>
    <w:rsid w:val="00E8746D"/>
    <w:rsid w:val="00E875EF"/>
    <w:rsid w:val="00E90117"/>
    <w:rsid w:val="00E91500"/>
    <w:rsid w:val="00E9249A"/>
    <w:rsid w:val="00E92BD7"/>
    <w:rsid w:val="00E92E96"/>
    <w:rsid w:val="00E92FC0"/>
    <w:rsid w:val="00E93FAB"/>
    <w:rsid w:val="00E9452D"/>
    <w:rsid w:val="00E954CA"/>
    <w:rsid w:val="00E9580B"/>
    <w:rsid w:val="00E9741C"/>
    <w:rsid w:val="00E97EC4"/>
    <w:rsid w:val="00EA02B5"/>
    <w:rsid w:val="00EA162A"/>
    <w:rsid w:val="00EA2802"/>
    <w:rsid w:val="00EA3CBD"/>
    <w:rsid w:val="00EA3D73"/>
    <w:rsid w:val="00EA5A42"/>
    <w:rsid w:val="00EA5E16"/>
    <w:rsid w:val="00EA76ED"/>
    <w:rsid w:val="00EA7D4C"/>
    <w:rsid w:val="00EB007E"/>
    <w:rsid w:val="00EB00CB"/>
    <w:rsid w:val="00EB018D"/>
    <w:rsid w:val="00EB0595"/>
    <w:rsid w:val="00EB1A66"/>
    <w:rsid w:val="00EB1B31"/>
    <w:rsid w:val="00EB26C6"/>
    <w:rsid w:val="00EB39CD"/>
    <w:rsid w:val="00EB3B34"/>
    <w:rsid w:val="00EB4758"/>
    <w:rsid w:val="00EB4B29"/>
    <w:rsid w:val="00EB4C6C"/>
    <w:rsid w:val="00EB5A56"/>
    <w:rsid w:val="00EB6579"/>
    <w:rsid w:val="00EB771B"/>
    <w:rsid w:val="00EB7CEB"/>
    <w:rsid w:val="00EC0216"/>
    <w:rsid w:val="00EC0A70"/>
    <w:rsid w:val="00EC0F82"/>
    <w:rsid w:val="00EC1908"/>
    <w:rsid w:val="00EC1CB7"/>
    <w:rsid w:val="00EC1FBB"/>
    <w:rsid w:val="00EC228A"/>
    <w:rsid w:val="00EC250E"/>
    <w:rsid w:val="00EC5681"/>
    <w:rsid w:val="00EC602A"/>
    <w:rsid w:val="00EC6905"/>
    <w:rsid w:val="00EC72B6"/>
    <w:rsid w:val="00EC76EB"/>
    <w:rsid w:val="00EC7ACE"/>
    <w:rsid w:val="00ED00AB"/>
    <w:rsid w:val="00ED1631"/>
    <w:rsid w:val="00ED354B"/>
    <w:rsid w:val="00ED37D9"/>
    <w:rsid w:val="00ED4241"/>
    <w:rsid w:val="00ED518A"/>
    <w:rsid w:val="00ED56D7"/>
    <w:rsid w:val="00ED5AD4"/>
    <w:rsid w:val="00ED61D6"/>
    <w:rsid w:val="00ED63E9"/>
    <w:rsid w:val="00ED66EF"/>
    <w:rsid w:val="00EE0359"/>
    <w:rsid w:val="00EE0B2F"/>
    <w:rsid w:val="00EE185C"/>
    <w:rsid w:val="00EE1D49"/>
    <w:rsid w:val="00EE2C50"/>
    <w:rsid w:val="00EE3184"/>
    <w:rsid w:val="00EE3CA1"/>
    <w:rsid w:val="00EE440E"/>
    <w:rsid w:val="00EE4F5B"/>
    <w:rsid w:val="00EE504C"/>
    <w:rsid w:val="00EF1078"/>
    <w:rsid w:val="00EF1194"/>
    <w:rsid w:val="00EF1C51"/>
    <w:rsid w:val="00EF1E90"/>
    <w:rsid w:val="00EF2832"/>
    <w:rsid w:val="00EF5305"/>
    <w:rsid w:val="00EF5667"/>
    <w:rsid w:val="00EF61EB"/>
    <w:rsid w:val="00EF74C6"/>
    <w:rsid w:val="00F00EB9"/>
    <w:rsid w:val="00F010BE"/>
    <w:rsid w:val="00F010FB"/>
    <w:rsid w:val="00F02763"/>
    <w:rsid w:val="00F02996"/>
    <w:rsid w:val="00F02C99"/>
    <w:rsid w:val="00F05578"/>
    <w:rsid w:val="00F0577C"/>
    <w:rsid w:val="00F10D83"/>
    <w:rsid w:val="00F13DE3"/>
    <w:rsid w:val="00F147A5"/>
    <w:rsid w:val="00F14B80"/>
    <w:rsid w:val="00F17619"/>
    <w:rsid w:val="00F20690"/>
    <w:rsid w:val="00F23991"/>
    <w:rsid w:val="00F24C2D"/>
    <w:rsid w:val="00F24DDB"/>
    <w:rsid w:val="00F2561E"/>
    <w:rsid w:val="00F26EDF"/>
    <w:rsid w:val="00F27257"/>
    <w:rsid w:val="00F2783F"/>
    <w:rsid w:val="00F27BF6"/>
    <w:rsid w:val="00F3085A"/>
    <w:rsid w:val="00F30955"/>
    <w:rsid w:val="00F3151E"/>
    <w:rsid w:val="00F32CAD"/>
    <w:rsid w:val="00F35B84"/>
    <w:rsid w:val="00F35B90"/>
    <w:rsid w:val="00F36AAA"/>
    <w:rsid w:val="00F379B8"/>
    <w:rsid w:val="00F37D64"/>
    <w:rsid w:val="00F407B1"/>
    <w:rsid w:val="00F40FE2"/>
    <w:rsid w:val="00F4180D"/>
    <w:rsid w:val="00F43C2B"/>
    <w:rsid w:val="00F4404E"/>
    <w:rsid w:val="00F443D5"/>
    <w:rsid w:val="00F4452D"/>
    <w:rsid w:val="00F45539"/>
    <w:rsid w:val="00F457D9"/>
    <w:rsid w:val="00F4760D"/>
    <w:rsid w:val="00F47B25"/>
    <w:rsid w:val="00F501D7"/>
    <w:rsid w:val="00F5031A"/>
    <w:rsid w:val="00F517E8"/>
    <w:rsid w:val="00F51995"/>
    <w:rsid w:val="00F51D8B"/>
    <w:rsid w:val="00F525AA"/>
    <w:rsid w:val="00F54845"/>
    <w:rsid w:val="00F55CDD"/>
    <w:rsid w:val="00F563E3"/>
    <w:rsid w:val="00F579F3"/>
    <w:rsid w:val="00F57C30"/>
    <w:rsid w:val="00F60083"/>
    <w:rsid w:val="00F6070A"/>
    <w:rsid w:val="00F610E3"/>
    <w:rsid w:val="00F620E2"/>
    <w:rsid w:val="00F63A47"/>
    <w:rsid w:val="00F64207"/>
    <w:rsid w:val="00F6539F"/>
    <w:rsid w:val="00F710DD"/>
    <w:rsid w:val="00F716C3"/>
    <w:rsid w:val="00F71794"/>
    <w:rsid w:val="00F7209F"/>
    <w:rsid w:val="00F721AE"/>
    <w:rsid w:val="00F732BD"/>
    <w:rsid w:val="00F73D04"/>
    <w:rsid w:val="00F7476E"/>
    <w:rsid w:val="00F74A9A"/>
    <w:rsid w:val="00F75C0D"/>
    <w:rsid w:val="00F75CF7"/>
    <w:rsid w:val="00F75D19"/>
    <w:rsid w:val="00F77024"/>
    <w:rsid w:val="00F77480"/>
    <w:rsid w:val="00F77D5C"/>
    <w:rsid w:val="00F80249"/>
    <w:rsid w:val="00F8092E"/>
    <w:rsid w:val="00F8099A"/>
    <w:rsid w:val="00F80E14"/>
    <w:rsid w:val="00F81BC4"/>
    <w:rsid w:val="00F81D8F"/>
    <w:rsid w:val="00F82342"/>
    <w:rsid w:val="00F823BC"/>
    <w:rsid w:val="00F835F8"/>
    <w:rsid w:val="00F839C8"/>
    <w:rsid w:val="00F84A64"/>
    <w:rsid w:val="00F85D3B"/>
    <w:rsid w:val="00F90893"/>
    <w:rsid w:val="00F925B2"/>
    <w:rsid w:val="00F93256"/>
    <w:rsid w:val="00F949C1"/>
    <w:rsid w:val="00F9553A"/>
    <w:rsid w:val="00F958AD"/>
    <w:rsid w:val="00F95984"/>
    <w:rsid w:val="00F95EF4"/>
    <w:rsid w:val="00F95F9B"/>
    <w:rsid w:val="00F968D2"/>
    <w:rsid w:val="00F96B43"/>
    <w:rsid w:val="00F973C3"/>
    <w:rsid w:val="00FA0132"/>
    <w:rsid w:val="00FA1A82"/>
    <w:rsid w:val="00FA23F4"/>
    <w:rsid w:val="00FA2F55"/>
    <w:rsid w:val="00FA3BE0"/>
    <w:rsid w:val="00FA3C8D"/>
    <w:rsid w:val="00FA5024"/>
    <w:rsid w:val="00FA5E12"/>
    <w:rsid w:val="00FA613D"/>
    <w:rsid w:val="00FA6317"/>
    <w:rsid w:val="00FA6520"/>
    <w:rsid w:val="00FB0544"/>
    <w:rsid w:val="00FB0772"/>
    <w:rsid w:val="00FB0F6C"/>
    <w:rsid w:val="00FB2245"/>
    <w:rsid w:val="00FB3E6F"/>
    <w:rsid w:val="00FB51EB"/>
    <w:rsid w:val="00FB5917"/>
    <w:rsid w:val="00FB5E66"/>
    <w:rsid w:val="00FB5F08"/>
    <w:rsid w:val="00FB6302"/>
    <w:rsid w:val="00FB724B"/>
    <w:rsid w:val="00FB7F06"/>
    <w:rsid w:val="00FC04EE"/>
    <w:rsid w:val="00FC0C86"/>
    <w:rsid w:val="00FC16B6"/>
    <w:rsid w:val="00FC2991"/>
    <w:rsid w:val="00FC694E"/>
    <w:rsid w:val="00FC6A2E"/>
    <w:rsid w:val="00FC77D9"/>
    <w:rsid w:val="00FD3A31"/>
    <w:rsid w:val="00FD3AA6"/>
    <w:rsid w:val="00FD3AA7"/>
    <w:rsid w:val="00FD43D5"/>
    <w:rsid w:val="00FD44D0"/>
    <w:rsid w:val="00FD4529"/>
    <w:rsid w:val="00FD4776"/>
    <w:rsid w:val="00FD79FD"/>
    <w:rsid w:val="00FE1485"/>
    <w:rsid w:val="00FE15DD"/>
    <w:rsid w:val="00FE2AF9"/>
    <w:rsid w:val="00FE2BED"/>
    <w:rsid w:val="00FE33C7"/>
    <w:rsid w:val="00FE39CA"/>
    <w:rsid w:val="00FE4535"/>
    <w:rsid w:val="00FE4A7E"/>
    <w:rsid w:val="00FE4AAC"/>
    <w:rsid w:val="00FE59D8"/>
    <w:rsid w:val="00FE5BD9"/>
    <w:rsid w:val="00FE61D4"/>
    <w:rsid w:val="00FE6636"/>
    <w:rsid w:val="00FE6D85"/>
    <w:rsid w:val="00FE6F93"/>
    <w:rsid w:val="00FF31A2"/>
    <w:rsid w:val="00FF3B61"/>
    <w:rsid w:val="00FF428D"/>
    <w:rsid w:val="00FF5242"/>
    <w:rsid w:val="00FF617A"/>
    <w:rsid w:val="00FF676A"/>
    <w:rsid w:val="00FF77FB"/>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CE09"/>
  <w15:chartTrackingRefBased/>
  <w15:docId w15:val="{76E28C92-142D-AC4C-94AD-45FAE052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A1"/>
    <w:pPr>
      <w:tabs>
        <w:tab w:val="left" w:pos="851"/>
      </w:tabs>
      <w:spacing w:before="120" w:line="280" w:lineRule="atLeast"/>
      <w:ind w:firstLine="284"/>
      <w:jc w:val="both"/>
    </w:pPr>
    <w:rPr>
      <w:rFonts w:ascii="Times New Roman" w:eastAsiaTheme="minorEastAsia" w:hAnsi="Times New Roman" w:cs="Times New Roman"/>
      <w:szCs w:val="20"/>
      <w:lang w:val="fr-FR" w:eastAsia="zh-TW"/>
    </w:rPr>
  </w:style>
  <w:style w:type="paragraph" w:styleId="Titre1">
    <w:name w:val="heading 1"/>
    <w:basedOn w:val="Normal"/>
    <w:next w:val="Normal"/>
    <w:link w:val="Titre1Car"/>
    <w:qFormat/>
    <w:rsid w:val="005E28A1"/>
    <w:pPr>
      <w:keepNext/>
      <w:spacing w:before="480" w:after="2268" w:line="400" w:lineRule="exact"/>
      <w:ind w:firstLine="0"/>
      <w:jc w:val="center"/>
      <w:outlineLvl w:val="0"/>
    </w:pPr>
    <w:rPr>
      <w:b/>
      <w:caps/>
      <w:kern w:val="28"/>
      <w:sz w:val="36"/>
    </w:rPr>
  </w:style>
  <w:style w:type="paragraph" w:styleId="Titre2">
    <w:name w:val="heading 2"/>
    <w:basedOn w:val="Normal"/>
    <w:next w:val="Normal"/>
    <w:link w:val="Titre2Car"/>
    <w:qFormat/>
    <w:rsid w:val="005E28A1"/>
    <w:pPr>
      <w:keepNext/>
      <w:spacing w:before="240" w:after="60"/>
      <w:outlineLvl w:val="1"/>
    </w:pPr>
    <w:rPr>
      <w:b/>
      <w:smallCaps/>
    </w:rPr>
  </w:style>
  <w:style w:type="paragraph" w:styleId="Titre3">
    <w:name w:val="heading 3"/>
    <w:basedOn w:val="Normal"/>
    <w:next w:val="Normal"/>
    <w:link w:val="Titre3Car"/>
    <w:qFormat/>
    <w:rsid w:val="005E28A1"/>
    <w:pPr>
      <w:keepNext/>
      <w:tabs>
        <w:tab w:val="left" w:pos="964"/>
      </w:tabs>
      <w:spacing w:before="240" w:after="60"/>
      <w:outlineLvl w:val="2"/>
    </w:pPr>
    <w:rPr>
      <w:b/>
      <w:i/>
    </w:rPr>
  </w:style>
  <w:style w:type="paragraph" w:styleId="Titre4">
    <w:name w:val="heading 4"/>
    <w:basedOn w:val="Normal"/>
    <w:next w:val="Normal"/>
    <w:link w:val="Titre4Car"/>
    <w:qFormat/>
    <w:rsid w:val="005E28A1"/>
    <w:pPr>
      <w:keepNext/>
      <w:spacing w:before="360" w:after="60"/>
      <w:outlineLvl w:val="3"/>
    </w:pPr>
    <w:rPr>
      <w:i/>
      <w:spacing w:val="24"/>
    </w:rPr>
  </w:style>
  <w:style w:type="paragraph" w:styleId="Titre5">
    <w:name w:val="heading 5"/>
    <w:basedOn w:val="Normal"/>
    <w:next w:val="Normal"/>
    <w:link w:val="Titre5Car"/>
    <w:qFormat/>
    <w:rsid w:val="005E28A1"/>
    <w:pPr>
      <w:keepNext/>
      <w:spacing w:before="240"/>
      <w:outlineLvl w:val="4"/>
    </w:pPr>
    <w:rPr>
      <w:spacing w:val="26"/>
      <w:u w:val="single"/>
    </w:rPr>
  </w:style>
  <w:style w:type="paragraph" w:styleId="Titre6">
    <w:name w:val="heading 6"/>
    <w:basedOn w:val="Normal"/>
    <w:next w:val="Normal"/>
    <w:link w:val="Titre6Car"/>
    <w:qFormat/>
    <w:rsid w:val="005E28A1"/>
    <w:pPr>
      <w:keepNext/>
      <w:spacing w:before="240" w:after="60"/>
      <w:outlineLvl w:val="5"/>
    </w:pPr>
    <w:rPr>
      <w:spacing w:val="32"/>
    </w:rPr>
  </w:style>
  <w:style w:type="paragraph" w:styleId="Titre7">
    <w:name w:val="heading 7"/>
    <w:basedOn w:val="Normal"/>
    <w:next w:val="Normal"/>
    <w:link w:val="Titre7Car"/>
    <w:qFormat/>
    <w:rsid w:val="005E28A1"/>
    <w:pPr>
      <w:spacing w:before="240" w:after="60"/>
      <w:outlineLvl w:val="6"/>
    </w:pPr>
  </w:style>
  <w:style w:type="paragraph" w:styleId="Titre8">
    <w:name w:val="heading 8"/>
    <w:basedOn w:val="Normal"/>
    <w:next w:val="Normal"/>
    <w:link w:val="Titre8Car"/>
    <w:qFormat/>
    <w:rsid w:val="005E28A1"/>
    <w:pPr>
      <w:keepNext/>
      <w:spacing w:before="240" w:after="120" w:line="260" w:lineRule="exact"/>
      <w:ind w:left="425" w:firstLine="0"/>
      <w:jc w:val="left"/>
      <w:outlineLvl w:val="7"/>
    </w:pPr>
  </w:style>
  <w:style w:type="paragraph" w:styleId="Titre9">
    <w:name w:val="heading 9"/>
    <w:basedOn w:val="Normal"/>
    <w:next w:val="Normal"/>
    <w:link w:val="Titre9Car"/>
    <w:qFormat/>
    <w:rsid w:val="005E28A1"/>
    <w:pPr>
      <w:keepNext/>
      <w:ind w:firstLine="0"/>
      <w:jc w:val="cente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5E28A1"/>
    <w:pPr>
      <w:tabs>
        <w:tab w:val="left" w:pos="709"/>
      </w:tabs>
      <w:spacing w:line="260" w:lineRule="exact"/>
    </w:pPr>
    <w:rPr>
      <w:sz w:val="22"/>
    </w:rPr>
  </w:style>
  <w:style w:type="character" w:customStyle="1" w:styleId="NotedebasdepageCar">
    <w:name w:val="Note de bas de page Car"/>
    <w:basedOn w:val="Policepardfaut"/>
    <w:link w:val="Notedebasdepage"/>
    <w:semiHidden/>
    <w:rsid w:val="005E28A1"/>
    <w:rPr>
      <w:rFonts w:ascii="Times New Roman" w:eastAsiaTheme="minorEastAsia" w:hAnsi="Times New Roman" w:cs="Times New Roman"/>
      <w:sz w:val="22"/>
      <w:szCs w:val="20"/>
      <w:lang w:val="fr-FR" w:eastAsia="zh-TW"/>
    </w:rPr>
  </w:style>
  <w:style w:type="character" w:styleId="Appelnotedebasdep">
    <w:name w:val="footnote reference"/>
    <w:basedOn w:val="Policepardfaut"/>
    <w:semiHidden/>
    <w:rsid w:val="005E28A1"/>
    <w:rPr>
      <w:vertAlign w:val="superscript"/>
    </w:rPr>
  </w:style>
  <w:style w:type="character" w:customStyle="1" w:styleId="Aucun">
    <w:name w:val="Aucun"/>
    <w:rsid w:val="00AF5ECD"/>
    <w:rPr>
      <w:lang w:val="en-US"/>
    </w:rPr>
  </w:style>
  <w:style w:type="table" w:styleId="Grilledutableau">
    <w:name w:val="Table Grid"/>
    <w:basedOn w:val="TableauNormal"/>
    <w:uiPriority w:val="39"/>
    <w:rsid w:val="00E9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xplicationdexem">
    <w:name w:val="1_explication d'exem"/>
    <w:rsid w:val="005E28A1"/>
    <w:pPr>
      <w:spacing w:before="48"/>
      <w:ind w:left="1134"/>
      <w:jc w:val="both"/>
    </w:pPr>
    <w:rPr>
      <w:rFonts w:ascii="CG Times (WN)" w:eastAsiaTheme="minorEastAsia" w:hAnsi="CG Times (WN)" w:cs="Times New Roman"/>
      <w:sz w:val="20"/>
      <w:szCs w:val="20"/>
      <w:lang w:val="en-GB" w:eastAsia="zh-TW"/>
    </w:rPr>
  </w:style>
  <w:style w:type="paragraph" w:styleId="Retraitcorpsdetexte">
    <w:name w:val="Body Text Indent"/>
    <w:basedOn w:val="Normal"/>
    <w:link w:val="RetraitcorpsdetexteCar"/>
    <w:rsid w:val="005E28A1"/>
    <w:pPr>
      <w:tabs>
        <w:tab w:val="left" w:pos="2127"/>
      </w:tabs>
      <w:spacing w:after="120" w:line="320" w:lineRule="exact"/>
      <w:ind w:left="283" w:firstLine="397"/>
    </w:pPr>
    <w:rPr>
      <w:rFonts w:ascii="Garamond" w:hAnsi="Garamond"/>
      <w:sz w:val="22"/>
    </w:rPr>
  </w:style>
  <w:style w:type="character" w:customStyle="1" w:styleId="RetraitcorpsdetexteCar">
    <w:name w:val="Retrait corps de texte Car"/>
    <w:basedOn w:val="Policepardfaut"/>
    <w:link w:val="Retraitcorpsdetexte"/>
    <w:rsid w:val="005E28A1"/>
    <w:rPr>
      <w:rFonts w:ascii="Garamond" w:eastAsiaTheme="minorEastAsia" w:hAnsi="Garamond" w:cs="Times New Roman"/>
      <w:sz w:val="22"/>
      <w:szCs w:val="20"/>
      <w:lang w:val="fr-FR" w:eastAsia="zh-TW"/>
    </w:rPr>
  </w:style>
  <w:style w:type="paragraph" w:customStyle="1" w:styleId="citation">
    <w:name w:val="citation"/>
    <w:basedOn w:val="Retraitcorpsdetexte"/>
    <w:rsid w:val="005E28A1"/>
    <w:pPr>
      <w:tabs>
        <w:tab w:val="clear" w:pos="2127"/>
      </w:tabs>
      <w:spacing w:after="0" w:line="280" w:lineRule="exact"/>
      <w:ind w:left="567" w:right="425" w:firstLine="0"/>
    </w:pPr>
  </w:style>
  <w:style w:type="paragraph" w:styleId="Commentaire">
    <w:name w:val="annotation text"/>
    <w:basedOn w:val="Normal"/>
    <w:link w:val="CommentaireCar"/>
    <w:semiHidden/>
    <w:rsid w:val="005E28A1"/>
    <w:pPr>
      <w:spacing w:before="60"/>
      <w:ind w:left="1276" w:right="567"/>
    </w:pPr>
    <w:rPr>
      <w:rFonts w:ascii="Garamond" w:hAnsi="Garamond"/>
      <w:sz w:val="22"/>
    </w:rPr>
  </w:style>
  <w:style w:type="character" w:customStyle="1" w:styleId="CommentaireCar">
    <w:name w:val="Commentaire Car"/>
    <w:basedOn w:val="Policepardfaut"/>
    <w:link w:val="Commentaire"/>
    <w:semiHidden/>
    <w:rsid w:val="005E28A1"/>
    <w:rPr>
      <w:rFonts w:ascii="Garamond" w:eastAsiaTheme="minorEastAsia" w:hAnsi="Garamond" w:cs="Times New Roman"/>
      <w:sz w:val="22"/>
      <w:szCs w:val="20"/>
      <w:lang w:val="fr-FR" w:eastAsia="zh-TW"/>
    </w:rPr>
  </w:style>
  <w:style w:type="paragraph" w:customStyle="1" w:styleId="Commentaires">
    <w:name w:val="Commentaires"/>
    <w:basedOn w:val="Normal"/>
    <w:rsid w:val="005E28A1"/>
    <w:pPr>
      <w:spacing w:before="0" w:line="240" w:lineRule="auto"/>
      <w:ind w:firstLine="0"/>
      <w:jc w:val="left"/>
    </w:pPr>
    <w:rPr>
      <w:sz w:val="22"/>
      <w:szCs w:val="22"/>
    </w:rPr>
  </w:style>
  <w:style w:type="paragraph" w:customStyle="1" w:styleId="Confrence">
    <w:name w:val="Conférence"/>
    <w:basedOn w:val="Normal"/>
    <w:rsid w:val="005E28A1"/>
    <w:pPr>
      <w:spacing w:line="320" w:lineRule="exact"/>
      <w:ind w:firstLine="397"/>
    </w:pPr>
    <w:rPr>
      <w:sz w:val="26"/>
    </w:rPr>
  </w:style>
  <w:style w:type="paragraph" w:styleId="Corpsdetexte">
    <w:name w:val="Body Text"/>
    <w:basedOn w:val="Normal"/>
    <w:link w:val="CorpsdetexteCar"/>
    <w:rsid w:val="005E28A1"/>
    <w:pPr>
      <w:tabs>
        <w:tab w:val="left" w:pos="2127"/>
      </w:tabs>
      <w:spacing w:before="60" w:line="320" w:lineRule="exact"/>
      <w:ind w:firstLine="397"/>
    </w:pPr>
    <w:rPr>
      <w:rFonts w:ascii="Garamond" w:hAnsi="Garamond"/>
      <w:sz w:val="22"/>
    </w:rPr>
  </w:style>
  <w:style w:type="character" w:customStyle="1" w:styleId="CorpsdetexteCar">
    <w:name w:val="Corps de texte Car"/>
    <w:basedOn w:val="Policepardfaut"/>
    <w:link w:val="Corpsdetexte"/>
    <w:rsid w:val="005E28A1"/>
    <w:rPr>
      <w:rFonts w:ascii="Garamond" w:eastAsiaTheme="minorEastAsia" w:hAnsi="Garamond" w:cs="Times New Roman"/>
      <w:sz w:val="22"/>
      <w:szCs w:val="20"/>
      <w:lang w:val="fr-FR" w:eastAsia="zh-TW"/>
    </w:rPr>
  </w:style>
  <w:style w:type="paragraph" w:styleId="Corpsdetexte2">
    <w:name w:val="Body Text 2"/>
    <w:basedOn w:val="Normal"/>
    <w:link w:val="Corpsdetexte2Car"/>
    <w:rsid w:val="005E28A1"/>
    <w:pPr>
      <w:tabs>
        <w:tab w:val="left" w:pos="2127"/>
      </w:tabs>
      <w:spacing w:line="320" w:lineRule="exact"/>
    </w:pPr>
    <w:rPr>
      <w:rFonts w:ascii="Garamond" w:hAnsi="Garamond"/>
      <w:sz w:val="26"/>
    </w:rPr>
  </w:style>
  <w:style w:type="character" w:customStyle="1" w:styleId="Corpsdetexte2Car">
    <w:name w:val="Corps de texte 2 Car"/>
    <w:basedOn w:val="Policepardfaut"/>
    <w:link w:val="Corpsdetexte2"/>
    <w:rsid w:val="005E28A1"/>
    <w:rPr>
      <w:rFonts w:ascii="Garamond" w:eastAsiaTheme="minorEastAsia" w:hAnsi="Garamond" w:cs="Times New Roman"/>
      <w:sz w:val="26"/>
      <w:szCs w:val="20"/>
      <w:lang w:val="fr-FR" w:eastAsia="zh-TW"/>
    </w:rPr>
  </w:style>
  <w:style w:type="paragraph" w:styleId="Corpsdetexte3">
    <w:name w:val="Body Text 3"/>
    <w:basedOn w:val="Normal"/>
    <w:link w:val="Corpsdetexte3Car"/>
    <w:rsid w:val="005E28A1"/>
    <w:pPr>
      <w:tabs>
        <w:tab w:val="left" w:pos="2127"/>
      </w:tabs>
      <w:spacing w:line="320" w:lineRule="exact"/>
      <w:jc w:val="center"/>
    </w:pPr>
    <w:rPr>
      <w:rFonts w:ascii="Garamond" w:hAnsi="Garamond"/>
      <w:sz w:val="26"/>
    </w:rPr>
  </w:style>
  <w:style w:type="character" w:customStyle="1" w:styleId="Corpsdetexte3Car">
    <w:name w:val="Corps de texte 3 Car"/>
    <w:basedOn w:val="Policepardfaut"/>
    <w:link w:val="Corpsdetexte3"/>
    <w:rsid w:val="005E28A1"/>
    <w:rPr>
      <w:rFonts w:ascii="Garamond" w:eastAsiaTheme="minorEastAsia" w:hAnsi="Garamond" w:cs="Times New Roman"/>
      <w:sz w:val="26"/>
      <w:szCs w:val="20"/>
      <w:lang w:val="fr-FR" w:eastAsia="zh-TW"/>
    </w:rPr>
  </w:style>
  <w:style w:type="character" w:customStyle="1" w:styleId="Dcalagebas">
    <w:name w:val="Décalage bas"/>
    <w:basedOn w:val="Policepardfaut"/>
    <w:uiPriority w:val="1"/>
    <w:qFormat/>
    <w:rsid w:val="005E28A1"/>
    <w:rPr>
      <w:position w:val="-4"/>
    </w:rPr>
  </w:style>
  <w:style w:type="character" w:styleId="lev">
    <w:name w:val="Strong"/>
    <w:basedOn w:val="Policepardfaut"/>
    <w:qFormat/>
    <w:rsid w:val="005E28A1"/>
    <w:rPr>
      <w:b/>
    </w:rPr>
  </w:style>
  <w:style w:type="paragraph" w:styleId="En-tte">
    <w:name w:val="header"/>
    <w:basedOn w:val="Normal"/>
    <w:link w:val="En-tteCar"/>
    <w:rsid w:val="005E28A1"/>
    <w:pPr>
      <w:tabs>
        <w:tab w:val="center" w:pos="4536"/>
        <w:tab w:val="right" w:pos="9072"/>
      </w:tabs>
      <w:spacing w:line="320" w:lineRule="exact"/>
      <w:ind w:firstLine="397"/>
    </w:pPr>
    <w:rPr>
      <w:rFonts w:ascii="Garamond" w:hAnsi="Garamond"/>
      <w:sz w:val="26"/>
    </w:rPr>
  </w:style>
  <w:style w:type="character" w:customStyle="1" w:styleId="En-tteCar">
    <w:name w:val="En-tête Car"/>
    <w:basedOn w:val="Policepardfaut"/>
    <w:link w:val="En-tte"/>
    <w:rsid w:val="005E28A1"/>
    <w:rPr>
      <w:rFonts w:ascii="Garamond" w:eastAsiaTheme="minorEastAsia" w:hAnsi="Garamond" w:cs="Times New Roman"/>
      <w:sz w:val="26"/>
      <w:szCs w:val="20"/>
      <w:lang w:val="fr-FR" w:eastAsia="zh-TW"/>
    </w:rPr>
  </w:style>
  <w:style w:type="paragraph" w:customStyle="1" w:styleId="Exemple">
    <w:name w:val="Exemple"/>
    <w:basedOn w:val="Normal"/>
    <w:qFormat/>
    <w:rsid w:val="005E28A1"/>
    <w:pPr>
      <w:tabs>
        <w:tab w:val="left" w:pos="1560"/>
        <w:tab w:val="left" w:pos="2410"/>
        <w:tab w:val="left" w:pos="2552"/>
      </w:tabs>
      <w:spacing w:line="320" w:lineRule="exact"/>
      <w:ind w:left="1984" w:right="425" w:hanging="737"/>
    </w:pPr>
    <w:rPr>
      <w:rFonts w:asciiTheme="majorBidi" w:hAnsiTheme="majorBidi"/>
      <w:sz w:val="22"/>
    </w:rPr>
  </w:style>
  <w:style w:type="paragraph" w:customStyle="1" w:styleId="Exergue">
    <w:name w:val="Exergue"/>
    <w:basedOn w:val="Normal"/>
    <w:rsid w:val="005E28A1"/>
    <w:pPr>
      <w:spacing w:after="360" w:line="240" w:lineRule="exact"/>
      <w:ind w:left="4253"/>
      <w:jc w:val="right"/>
    </w:pPr>
    <w:rPr>
      <w:rFonts w:ascii="Garamond" w:hAnsi="Garamond"/>
      <w:sz w:val="20"/>
    </w:rPr>
  </w:style>
  <w:style w:type="paragraph" w:styleId="Explorateurdedocuments">
    <w:name w:val="Document Map"/>
    <w:basedOn w:val="Normal"/>
    <w:link w:val="ExplorateurdedocumentsCar"/>
    <w:semiHidden/>
    <w:rsid w:val="005E28A1"/>
    <w:pPr>
      <w:shd w:val="clear" w:color="auto" w:fill="000080"/>
      <w:tabs>
        <w:tab w:val="left" w:pos="2127"/>
      </w:tabs>
      <w:spacing w:line="320" w:lineRule="exact"/>
      <w:ind w:firstLine="397"/>
    </w:pPr>
    <w:rPr>
      <w:rFonts w:ascii="Tahoma" w:hAnsi="Tahoma"/>
      <w:sz w:val="22"/>
    </w:rPr>
  </w:style>
  <w:style w:type="character" w:customStyle="1" w:styleId="ExplorateurdedocumentsCar">
    <w:name w:val="Explorateur de documents Car"/>
    <w:basedOn w:val="Policepardfaut"/>
    <w:link w:val="Explorateurdedocuments"/>
    <w:semiHidden/>
    <w:rsid w:val="005E28A1"/>
    <w:rPr>
      <w:rFonts w:ascii="Tahoma" w:eastAsiaTheme="minorEastAsia" w:hAnsi="Tahoma" w:cs="Times New Roman"/>
      <w:sz w:val="22"/>
      <w:szCs w:val="20"/>
      <w:shd w:val="clear" w:color="auto" w:fill="000080"/>
      <w:lang w:val="fr-FR" w:eastAsia="zh-TW"/>
    </w:rPr>
  </w:style>
  <w:style w:type="paragraph" w:customStyle="1" w:styleId="Figure">
    <w:name w:val="Figure"/>
    <w:basedOn w:val="Normal"/>
    <w:rsid w:val="005E28A1"/>
    <w:pPr>
      <w:tabs>
        <w:tab w:val="left" w:pos="2127"/>
      </w:tabs>
      <w:spacing w:before="300" w:after="120"/>
      <w:jc w:val="center"/>
    </w:pPr>
    <w:rPr>
      <w:rFonts w:ascii="Garamond" w:hAnsi="Garamond"/>
      <w:sz w:val="22"/>
    </w:rPr>
  </w:style>
  <w:style w:type="paragraph" w:customStyle="1" w:styleId="Graphe">
    <w:name w:val="Graphe"/>
    <w:basedOn w:val="Exemple"/>
    <w:rsid w:val="005E28A1"/>
    <w:pPr>
      <w:tabs>
        <w:tab w:val="clear" w:pos="1560"/>
        <w:tab w:val="left" w:pos="2835"/>
      </w:tabs>
      <w:spacing w:line="240" w:lineRule="auto"/>
      <w:ind w:left="1276" w:firstLine="0"/>
    </w:pPr>
  </w:style>
  <w:style w:type="character" w:customStyle="1" w:styleId="gruen">
    <w:name w:val="gruen"/>
    <w:basedOn w:val="Policepardfaut"/>
    <w:rsid w:val="005E28A1"/>
  </w:style>
  <w:style w:type="paragraph" w:customStyle="1" w:styleId="Intermdiaire">
    <w:name w:val="Intermédiaire"/>
    <w:basedOn w:val="Normal"/>
    <w:rsid w:val="005E28A1"/>
    <w:pPr>
      <w:tabs>
        <w:tab w:val="left" w:pos="1152"/>
      </w:tabs>
      <w:spacing w:before="60" w:line="320" w:lineRule="exact"/>
      <w:ind w:firstLine="397"/>
    </w:pPr>
    <w:rPr>
      <w:rFonts w:ascii="Garamond" w:hAnsi="Garamond"/>
      <w:sz w:val="26"/>
    </w:rPr>
  </w:style>
  <w:style w:type="character" w:styleId="Lienhypertexte">
    <w:name w:val="Hyperlink"/>
    <w:basedOn w:val="Policepardfaut"/>
    <w:rsid w:val="005E28A1"/>
    <w:rPr>
      <w:color w:val="0000FF"/>
      <w:u w:val="single"/>
    </w:rPr>
  </w:style>
  <w:style w:type="character" w:styleId="Lienhypertextesuivivisit">
    <w:name w:val="FollowedHyperlink"/>
    <w:basedOn w:val="Policepardfaut"/>
    <w:rsid w:val="005E28A1"/>
    <w:rPr>
      <w:color w:val="800080"/>
      <w:u w:val="single"/>
    </w:rPr>
  </w:style>
  <w:style w:type="paragraph" w:styleId="Listepuces">
    <w:name w:val="List Bullet"/>
    <w:basedOn w:val="Normal"/>
    <w:autoRedefine/>
    <w:rsid w:val="005E28A1"/>
    <w:pPr>
      <w:tabs>
        <w:tab w:val="left" w:pos="2127"/>
      </w:tabs>
      <w:spacing w:line="320" w:lineRule="exact"/>
    </w:pPr>
    <w:rPr>
      <w:rFonts w:ascii="Garamond" w:hAnsi="Garamond"/>
      <w:color w:val="FF0000"/>
      <w:sz w:val="26"/>
    </w:rPr>
  </w:style>
  <w:style w:type="paragraph" w:styleId="NormalWeb">
    <w:name w:val="Normal (Web)"/>
    <w:basedOn w:val="Normal"/>
    <w:link w:val="NormalWebCar"/>
    <w:rsid w:val="005E28A1"/>
    <w:pPr>
      <w:spacing w:before="100" w:beforeAutospacing="1" w:after="100" w:afterAutospacing="1" w:line="240" w:lineRule="auto"/>
      <w:ind w:firstLine="0"/>
      <w:jc w:val="left"/>
    </w:pPr>
    <w:rPr>
      <w:rFonts w:ascii="Arial Unicode MS" w:eastAsia="Arial Unicode MS" w:hAnsi="Arial Unicode MS" w:cs="Arial Unicode MS"/>
      <w:szCs w:val="24"/>
      <w:lang w:eastAsia="fr-FR"/>
    </w:rPr>
  </w:style>
  <w:style w:type="character" w:customStyle="1" w:styleId="NormalWebCar">
    <w:name w:val="Normal (Web) Car"/>
    <w:basedOn w:val="Policepardfaut"/>
    <w:link w:val="NormalWeb"/>
    <w:rsid w:val="005E28A1"/>
    <w:rPr>
      <w:rFonts w:ascii="Arial Unicode MS" w:eastAsia="Arial Unicode MS" w:hAnsi="Arial Unicode MS" w:cs="Arial Unicode MS"/>
      <w:lang w:val="fr-FR" w:eastAsia="fr-FR"/>
    </w:rPr>
  </w:style>
  <w:style w:type="paragraph" w:styleId="Normalcentr">
    <w:name w:val="Block Text"/>
    <w:basedOn w:val="Normal"/>
    <w:rsid w:val="005E28A1"/>
    <w:pPr>
      <w:ind w:left="851" w:right="565" w:firstLine="0"/>
    </w:pPr>
    <w:rPr>
      <w:sz w:val="22"/>
    </w:rPr>
  </w:style>
  <w:style w:type="character" w:styleId="Numrodepage">
    <w:name w:val="page number"/>
    <w:basedOn w:val="Policepardfaut"/>
    <w:rsid w:val="005E28A1"/>
  </w:style>
  <w:style w:type="paragraph" w:styleId="Pieddepage">
    <w:name w:val="footer"/>
    <w:basedOn w:val="Normal"/>
    <w:link w:val="PieddepageCar"/>
    <w:rsid w:val="005E28A1"/>
    <w:pPr>
      <w:tabs>
        <w:tab w:val="center" w:pos="4536"/>
        <w:tab w:val="right" w:pos="9072"/>
      </w:tabs>
    </w:pPr>
  </w:style>
  <w:style w:type="character" w:customStyle="1" w:styleId="PieddepageCar">
    <w:name w:val="Pied de page Car"/>
    <w:basedOn w:val="Policepardfaut"/>
    <w:link w:val="Pieddepage"/>
    <w:rsid w:val="005E28A1"/>
    <w:rPr>
      <w:rFonts w:ascii="Times New Roman" w:eastAsiaTheme="minorEastAsia" w:hAnsi="Times New Roman" w:cs="Times New Roman"/>
      <w:szCs w:val="20"/>
      <w:lang w:val="fr-FR" w:eastAsia="zh-TW"/>
    </w:rPr>
  </w:style>
  <w:style w:type="character" w:customStyle="1" w:styleId="red">
    <w:name w:val="red"/>
    <w:basedOn w:val="Policepardfaut"/>
    <w:rsid w:val="005E28A1"/>
  </w:style>
  <w:style w:type="paragraph" w:styleId="Retraitcorpsdetexte2">
    <w:name w:val="Body Text Indent 2"/>
    <w:basedOn w:val="Normal"/>
    <w:link w:val="Retraitcorpsdetexte2Car"/>
    <w:rsid w:val="005E28A1"/>
    <w:pPr>
      <w:spacing w:after="240"/>
    </w:pPr>
  </w:style>
  <w:style w:type="character" w:customStyle="1" w:styleId="Retraitcorpsdetexte2Car">
    <w:name w:val="Retrait corps de texte 2 Car"/>
    <w:basedOn w:val="Policepardfaut"/>
    <w:link w:val="Retraitcorpsdetexte2"/>
    <w:rsid w:val="005E28A1"/>
    <w:rPr>
      <w:rFonts w:ascii="Times New Roman" w:eastAsiaTheme="minorEastAsia" w:hAnsi="Times New Roman" w:cs="Times New Roman"/>
      <w:szCs w:val="20"/>
      <w:lang w:val="fr-FR" w:eastAsia="zh-TW"/>
    </w:rPr>
  </w:style>
  <w:style w:type="paragraph" w:styleId="Retraitcorpsdetexte3">
    <w:name w:val="Body Text Indent 3"/>
    <w:basedOn w:val="Normal"/>
    <w:link w:val="Retraitcorpsdetexte3Car"/>
    <w:rsid w:val="005E28A1"/>
    <w:rPr>
      <w:b/>
    </w:rPr>
  </w:style>
  <w:style w:type="character" w:customStyle="1" w:styleId="Retraitcorpsdetexte3Car">
    <w:name w:val="Retrait corps de texte 3 Car"/>
    <w:basedOn w:val="Policepardfaut"/>
    <w:link w:val="Retraitcorpsdetexte3"/>
    <w:rsid w:val="005E28A1"/>
    <w:rPr>
      <w:rFonts w:ascii="Times New Roman" w:eastAsiaTheme="minorEastAsia" w:hAnsi="Times New Roman" w:cs="Times New Roman"/>
      <w:b/>
      <w:szCs w:val="20"/>
      <w:lang w:val="fr-FR" w:eastAsia="zh-TW"/>
    </w:rPr>
  </w:style>
  <w:style w:type="paragraph" w:styleId="Tabledesillustrations">
    <w:name w:val="table of figures"/>
    <w:basedOn w:val="Normal"/>
    <w:next w:val="Normal"/>
    <w:semiHidden/>
    <w:rsid w:val="005E28A1"/>
    <w:pPr>
      <w:tabs>
        <w:tab w:val="right" w:leader="dot" w:pos="8494"/>
      </w:tabs>
      <w:ind w:left="520" w:right="707" w:hanging="520"/>
      <w:jc w:val="left"/>
    </w:pPr>
    <w:rPr>
      <w:noProof/>
    </w:rPr>
  </w:style>
  <w:style w:type="paragraph" w:customStyle="1" w:styleId="Tableau">
    <w:name w:val="Tableau"/>
    <w:basedOn w:val="Normal"/>
    <w:rsid w:val="005E28A1"/>
    <w:pPr>
      <w:tabs>
        <w:tab w:val="left" w:pos="1985"/>
        <w:tab w:val="left" w:pos="3119"/>
        <w:tab w:val="left" w:pos="5387"/>
        <w:tab w:val="left" w:pos="6237"/>
        <w:tab w:val="left" w:pos="7088"/>
        <w:tab w:val="left" w:pos="8789"/>
        <w:tab w:val="left" w:pos="9781"/>
        <w:tab w:val="left" w:pos="10915"/>
        <w:tab w:val="left" w:pos="11340"/>
        <w:tab w:val="left" w:pos="12474"/>
        <w:tab w:val="left" w:pos="13041"/>
        <w:tab w:val="left" w:pos="13750"/>
        <w:tab w:val="left" w:pos="14175"/>
      </w:tabs>
      <w:spacing w:line="240" w:lineRule="auto"/>
      <w:ind w:firstLine="0"/>
      <w:jc w:val="left"/>
    </w:pPr>
    <w:rPr>
      <w:sz w:val="22"/>
    </w:rPr>
  </w:style>
  <w:style w:type="paragraph" w:customStyle="1" w:styleId="Tableautype">
    <w:name w:val="Tableau type"/>
    <w:basedOn w:val="Normal"/>
    <w:rsid w:val="005E28A1"/>
    <w:pPr>
      <w:ind w:firstLine="0"/>
    </w:pPr>
    <w:rPr>
      <w:b/>
      <w:sz w:val="22"/>
    </w:rPr>
  </w:style>
  <w:style w:type="character" w:customStyle="1" w:styleId="titledesc">
    <w:name w:val="titledesc"/>
    <w:basedOn w:val="Policepardfaut"/>
    <w:rsid w:val="005E28A1"/>
  </w:style>
  <w:style w:type="paragraph" w:styleId="Titre">
    <w:name w:val="Title"/>
    <w:basedOn w:val="Normal"/>
    <w:link w:val="TitreCar"/>
    <w:qFormat/>
    <w:rsid w:val="005E28A1"/>
    <w:pPr>
      <w:ind w:firstLine="0"/>
      <w:jc w:val="center"/>
    </w:pPr>
    <w:rPr>
      <w:b/>
      <w:sz w:val="28"/>
    </w:rPr>
  </w:style>
  <w:style w:type="character" w:customStyle="1" w:styleId="TitreCar">
    <w:name w:val="Titre Car"/>
    <w:basedOn w:val="Policepardfaut"/>
    <w:link w:val="Titre"/>
    <w:rsid w:val="005E28A1"/>
    <w:rPr>
      <w:rFonts w:ascii="Times New Roman" w:eastAsiaTheme="minorEastAsia" w:hAnsi="Times New Roman" w:cs="Times New Roman"/>
      <w:b/>
      <w:sz w:val="28"/>
      <w:szCs w:val="20"/>
      <w:lang w:val="fr-FR" w:eastAsia="zh-TW"/>
    </w:rPr>
  </w:style>
  <w:style w:type="character" w:customStyle="1" w:styleId="Titre1Car">
    <w:name w:val="Titre 1 Car"/>
    <w:basedOn w:val="Policepardfaut"/>
    <w:link w:val="Titre1"/>
    <w:rsid w:val="005E28A1"/>
    <w:rPr>
      <w:rFonts w:ascii="Times New Roman" w:eastAsiaTheme="minorEastAsia" w:hAnsi="Times New Roman" w:cs="Times New Roman"/>
      <w:b/>
      <w:caps/>
      <w:kern w:val="28"/>
      <w:sz w:val="36"/>
      <w:szCs w:val="20"/>
      <w:lang w:val="fr-FR" w:eastAsia="zh-TW"/>
    </w:rPr>
  </w:style>
  <w:style w:type="character" w:customStyle="1" w:styleId="Titre2Car">
    <w:name w:val="Titre 2 Car"/>
    <w:basedOn w:val="Policepardfaut"/>
    <w:link w:val="Titre2"/>
    <w:rsid w:val="005E28A1"/>
    <w:rPr>
      <w:rFonts w:ascii="Times New Roman" w:eastAsiaTheme="minorEastAsia" w:hAnsi="Times New Roman" w:cs="Times New Roman"/>
      <w:b/>
      <w:smallCaps/>
      <w:szCs w:val="20"/>
      <w:lang w:val="fr-FR" w:eastAsia="zh-TW"/>
    </w:rPr>
  </w:style>
  <w:style w:type="character" w:customStyle="1" w:styleId="Titre3Car">
    <w:name w:val="Titre 3 Car"/>
    <w:basedOn w:val="Policepardfaut"/>
    <w:link w:val="Titre3"/>
    <w:rsid w:val="005E28A1"/>
    <w:rPr>
      <w:rFonts w:ascii="Times New Roman" w:eastAsiaTheme="minorEastAsia" w:hAnsi="Times New Roman" w:cs="Times New Roman"/>
      <w:b/>
      <w:i/>
      <w:szCs w:val="20"/>
      <w:lang w:val="fr-FR" w:eastAsia="zh-TW"/>
    </w:rPr>
  </w:style>
  <w:style w:type="character" w:customStyle="1" w:styleId="Titre4Car">
    <w:name w:val="Titre 4 Car"/>
    <w:basedOn w:val="Policepardfaut"/>
    <w:link w:val="Titre4"/>
    <w:rsid w:val="005E28A1"/>
    <w:rPr>
      <w:rFonts w:ascii="Times New Roman" w:eastAsiaTheme="minorEastAsia" w:hAnsi="Times New Roman" w:cs="Times New Roman"/>
      <w:i/>
      <w:spacing w:val="24"/>
      <w:szCs w:val="20"/>
      <w:lang w:val="fr-FR" w:eastAsia="zh-TW"/>
    </w:rPr>
  </w:style>
  <w:style w:type="character" w:customStyle="1" w:styleId="Titre5Car">
    <w:name w:val="Titre 5 Car"/>
    <w:basedOn w:val="Policepardfaut"/>
    <w:link w:val="Titre5"/>
    <w:rsid w:val="005E28A1"/>
    <w:rPr>
      <w:rFonts w:ascii="Times New Roman" w:eastAsiaTheme="minorEastAsia" w:hAnsi="Times New Roman" w:cs="Times New Roman"/>
      <w:spacing w:val="26"/>
      <w:szCs w:val="20"/>
      <w:u w:val="single"/>
      <w:lang w:val="fr-FR" w:eastAsia="zh-TW"/>
    </w:rPr>
  </w:style>
  <w:style w:type="character" w:customStyle="1" w:styleId="Titre6Car">
    <w:name w:val="Titre 6 Car"/>
    <w:basedOn w:val="Policepardfaut"/>
    <w:link w:val="Titre6"/>
    <w:rsid w:val="005E28A1"/>
    <w:rPr>
      <w:rFonts w:ascii="Times New Roman" w:eastAsiaTheme="minorEastAsia" w:hAnsi="Times New Roman" w:cs="Times New Roman"/>
      <w:spacing w:val="32"/>
      <w:szCs w:val="20"/>
      <w:lang w:val="fr-FR" w:eastAsia="zh-TW"/>
    </w:rPr>
  </w:style>
  <w:style w:type="character" w:customStyle="1" w:styleId="Titre7Car">
    <w:name w:val="Titre 7 Car"/>
    <w:basedOn w:val="Policepardfaut"/>
    <w:link w:val="Titre7"/>
    <w:rsid w:val="005E28A1"/>
    <w:rPr>
      <w:rFonts w:ascii="Times New Roman" w:eastAsiaTheme="minorEastAsia" w:hAnsi="Times New Roman" w:cs="Times New Roman"/>
      <w:szCs w:val="20"/>
      <w:lang w:val="fr-FR" w:eastAsia="zh-TW"/>
    </w:rPr>
  </w:style>
  <w:style w:type="character" w:customStyle="1" w:styleId="Titre8Car">
    <w:name w:val="Titre 8 Car"/>
    <w:basedOn w:val="Policepardfaut"/>
    <w:link w:val="Titre8"/>
    <w:rsid w:val="005E28A1"/>
    <w:rPr>
      <w:rFonts w:ascii="Times New Roman" w:eastAsiaTheme="minorEastAsia" w:hAnsi="Times New Roman" w:cs="Times New Roman"/>
      <w:szCs w:val="20"/>
      <w:lang w:val="fr-FR" w:eastAsia="zh-TW"/>
    </w:rPr>
  </w:style>
  <w:style w:type="character" w:customStyle="1" w:styleId="Titre9Car">
    <w:name w:val="Titre 9 Car"/>
    <w:basedOn w:val="Policepardfaut"/>
    <w:link w:val="Titre9"/>
    <w:rsid w:val="005E28A1"/>
    <w:rPr>
      <w:rFonts w:ascii="Times New Roman" w:eastAsiaTheme="minorEastAsia" w:hAnsi="Times New Roman" w:cs="Times New Roman"/>
      <w:b/>
      <w:szCs w:val="20"/>
      <w:lang w:val="fr-FR" w:eastAsia="zh-TW"/>
    </w:rPr>
  </w:style>
  <w:style w:type="paragraph" w:styleId="TM1">
    <w:name w:val="toc 1"/>
    <w:basedOn w:val="Normal"/>
    <w:next w:val="Normal"/>
    <w:autoRedefine/>
    <w:semiHidden/>
    <w:rsid w:val="005E28A1"/>
    <w:pPr>
      <w:tabs>
        <w:tab w:val="right" w:leader="dot" w:pos="8494"/>
      </w:tabs>
      <w:spacing w:after="120"/>
      <w:ind w:left="851" w:hanging="454"/>
      <w:jc w:val="left"/>
    </w:pPr>
    <w:rPr>
      <w:b/>
      <w:caps/>
      <w:sz w:val="20"/>
    </w:rPr>
  </w:style>
  <w:style w:type="paragraph" w:styleId="TM2">
    <w:name w:val="toc 2"/>
    <w:basedOn w:val="Normal"/>
    <w:next w:val="Normal"/>
    <w:autoRedefine/>
    <w:semiHidden/>
    <w:rsid w:val="005E28A1"/>
    <w:pPr>
      <w:spacing w:before="0"/>
      <w:ind w:left="260"/>
      <w:jc w:val="left"/>
    </w:pPr>
    <w:rPr>
      <w:smallCaps/>
      <w:sz w:val="20"/>
    </w:rPr>
  </w:style>
  <w:style w:type="paragraph" w:styleId="TM3">
    <w:name w:val="toc 3"/>
    <w:basedOn w:val="Normal"/>
    <w:next w:val="Normal"/>
    <w:autoRedefine/>
    <w:semiHidden/>
    <w:rsid w:val="005E28A1"/>
    <w:pPr>
      <w:spacing w:before="0"/>
      <w:ind w:left="520"/>
      <w:jc w:val="left"/>
    </w:pPr>
    <w:rPr>
      <w:i/>
      <w:sz w:val="20"/>
    </w:rPr>
  </w:style>
  <w:style w:type="paragraph" w:styleId="TM4">
    <w:name w:val="toc 4"/>
    <w:basedOn w:val="Normal"/>
    <w:next w:val="Normal"/>
    <w:autoRedefine/>
    <w:semiHidden/>
    <w:rsid w:val="005E28A1"/>
    <w:pPr>
      <w:spacing w:before="0"/>
      <w:ind w:left="780"/>
      <w:jc w:val="left"/>
    </w:pPr>
    <w:rPr>
      <w:sz w:val="18"/>
    </w:rPr>
  </w:style>
  <w:style w:type="paragraph" w:styleId="TM5">
    <w:name w:val="toc 5"/>
    <w:basedOn w:val="Normal"/>
    <w:next w:val="Normal"/>
    <w:autoRedefine/>
    <w:semiHidden/>
    <w:rsid w:val="005E28A1"/>
    <w:pPr>
      <w:spacing w:before="0"/>
      <w:ind w:left="1040"/>
      <w:jc w:val="left"/>
    </w:pPr>
    <w:rPr>
      <w:sz w:val="18"/>
    </w:rPr>
  </w:style>
  <w:style w:type="paragraph" w:styleId="TM6">
    <w:name w:val="toc 6"/>
    <w:basedOn w:val="Normal"/>
    <w:next w:val="Normal"/>
    <w:autoRedefine/>
    <w:semiHidden/>
    <w:rsid w:val="005E28A1"/>
    <w:pPr>
      <w:spacing w:before="0"/>
      <w:ind w:left="1300"/>
      <w:jc w:val="left"/>
    </w:pPr>
    <w:rPr>
      <w:sz w:val="18"/>
    </w:rPr>
  </w:style>
  <w:style w:type="paragraph" w:styleId="TM7">
    <w:name w:val="toc 7"/>
    <w:basedOn w:val="Normal"/>
    <w:next w:val="Normal"/>
    <w:autoRedefine/>
    <w:semiHidden/>
    <w:rsid w:val="005E28A1"/>
    <w:pPr>
      <w:tabs>
        <w:tab w:val="left" w:pos="2268"/>
        <w:tab w:val="right" w:leader="dot" w:pos="8494"/>
      </w:tabs>
      <w:spacing w:before="0"/>
      <w:ind w:left="1560"/>
      <w:jc w:val="left"/>
    </w:pPr>
    <w:rPr>
      <w:noProof/>
      <w:sz w:val="18"/>
    </w:rPr>
  </w:style>
  <w:style w:type="paragraph" w:styleId="TM8">
    <w:name w:val="toc 8"/>
    <w:basedOn w:val="Normal"/>
    <w:next w:val="Normal"/>
    <w:autoRedefine/>
    <w:semiHidden/>
    <w:rsid w:val="005E28A1"/>
    <w:pPr>
      <w:spacing w:before="0"/>
      <w:ind w:left="1820"/>
      <w:jc w:val="left"/>
    </w:pPr>
    <w:rPr>
      <w:sz w:val="18"/>
    </w:rPr>
  </w:style>
  <w:style w:type="paragraph" w:styleId="TM9">
    <w:name w:val="toc 9"/>
    <w:basedOn w:val="Normal"/>
    <w:next w:val="Normal"/>
    <w:autoRedefine/>
    <w:semiHidden/>
    <w:rsid w:val="005E28A1"/>
    <w:pPr>
      <w:spacing w:before="0"/>
      <w:ind w:left="2080"/>
      <w:jc w:val="left"/>
    </w:pPr>
    <w:rPr>
      <w:sz w:val="18"/>
    </w:rPr>
  </w:style>
  <w:style w:type="paragraph" w:customStyle="1" w:styleId="Traduction">
    <w:name w:val="Traduction"/>
    <w:basedOn w:val="Exemple"/>
    <w:rsid w:val="005E28A1"/>
    <w:pPr>
      <w:tabs>
        <w:tab w:val="clear" w:pos="1560"/>
        <w:tab w:val="clear" w:pos="2410"/>
        <w:tab w:val="clear" w:pos="2552"/>
      </w:tabs>
      <w:spacing w:before="0"/>
      <w:ind w:firstLine="0"/>
    </w:pPr>
  </w:style>
  <w:style w:type="paragraph" w:customStyle="1" w:styleId="Translitration">
    <w:name w:val="Translitération"/>
    <w:basedOn w:val="NormalWeb"/>
    <w:link w:val="TranslitrationCar"/>
    <w:rsid w:val="005E28A1"/>
    <w:rPr>
      <w:rFonts w:ascii="Transliteration" w:hAnsi="Transliteration" w:cs="Times New Roman"/>
    </w:rPr>
  </w:style>
  <w:style w:type="character" w:customStyle="1" w:styleId="TranslitrationCar">
    <w:name w:val="Translitération Car"/>
    <w:basedOn w:val="NormalWebCar"/>
    <w:link w:val="Translitration"/>
    <w:rsid w:val="005E28A1"/>
    <w:rPr>
      <w:rFonts w:ascii="Transliteration" w:eastAsia="Arial Unicode MS" w:hAnsi="Transliteration" w:cs="Times New Roman"/>
      <w:lang w:val="fr-FR" w:eastAsia="fr-FR"/>
    </w:rPr>
  </w:style>
  <w:style w:type="paragraph" w:styleId="Textedebulles">
    <w:name w:val="Balloon Text"/>
    <w:basedOn w:val="Normal"/>
    <w:link w:val="TextedebullesCar"/>
    <w:uiPriority w:val="99"/>
    <w:semiHidden/>
    <w:unhideWhenUsed/>
    <w:rsid w:val="005E28A1"/>
    <w:pPr>
      <w:spacing w:before="0" w:line="240" w:lineRule="auto"/>
    </w:pPr>
    <w:rPr>
      <w:sz w:val="18"/>
      <w:szCs w:val="18"/>
    </w:rPr>
  </w:style>
  <w:style w:type="character" w:customStyle="1" w:styleId="TextedebullesCar">
    <w:name w:val="Texte de bulles Car"/>
    <w:basedOn w:val="Policepardfaut"/>
    <w:link w:val="Textedebulles"/>
    <w:uiPriority w:val="99"/>
    <w:semiHidden/>
    <w:rsid w:val="005E28A1"/>
    <w:rPr>
      <w:rFonts w:ascii="Times New Roman" w:eastAsiaTheme="minorEastAsia" w:hAnsi="Times New Roman" w:cs="Times New Roman"/>
      <w:sz w:val="18"/>
      <w:szCs w:val="18"/>
      <w:lang w:val="fr-FR" w:eastAsia="zh-TW"/>
    </w:rPr>
  </w:style>
  <w:style w:type="character" w:styleId="Marquedecommentaire">
    <w:name w:val="annotation reference"/>
    <w:basedOn w:val="Policepardfaut"/>
    <w:uiPriority w:val="99"/>
    <w:semiHidden/>
    <w:unhideWhenUsed/>
    <w:rsid w:val="00DF59DA"/>
    <w:rPr>
      <w:sz w:val="16"/>
      <w:szCs w:val="16"/>
    </w:rPr>
  </w:style>
  <w:style w:type="paragraph" w:styleId="Objetducommentaire">
    <w:name w:val="annotation subject"/>
    <w:basedOn w:val="Commentaire"/>
    <w:next w:val="Commentaire"/>
    <w:link w:val="ObjetducommentaireCar"/>
    <w:uiPriority w:val="99"/>
    <w:semiHidden/>
    <w:unhideWhenUsed/>
    <w:rsid w:val="00DF59DA"/>
    <w:pPr>
      <w:spacing w:before="120" w:line="240" w:lineRule="auto"/>
      <w:ind w:left="0" w:right="0"/>
    </w:pPr>
    <w:rPr>
      <w:rFonts w:ascii="Times New Roman" w:hAnsi="Times New Roman"/>
      <w:b/>
      <w:bCs/>
      <w:sz w:val="20"/>
    </w:rPr>
  </w:style>
  <w:style w:type="character" w:customStyle="1" w:styleId="ObjetducommentaireCar">
    <w:name w:val="Objet du commentaire Car"/>
    <w:basedOn w:val="CommentaireCar"/>
    <w:link w:val="Objetducommentaire"/>
    <w:uiPriority w:val="99"/>
    <w:semiHidden/>
    <w:rsid w:val="00DF59DA"/>
    <w:rPr>
      <w:rFonts w:ascii="Times New Roman" w:eastAsiaTheme="minorEastAsia" w:hAnsi="Times New Roman" w:cs="Times New Roman"/>
      <w:b/>
      <w:bCs/>
      <w:sz w:val="20"/>
      <w:szCs w:val="20"/>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895397">
      <w:bodyDiv w:val="1"/>
      <w:marLeft w:val="0"/>
      <w:marRight w:val="0"/>
      <w:marTop w:val="0"/>
      <w:marBottom w:val="0"/>
      <w:divBdr>
        <w:top w:val="none" w:sz="0" w:space="0" w:color="auto"/>
        <w:left w:val="none" w:sz="0" w:space="0" w:color="auto"/>
        <w:bottom w:val="none" w:sz="0" w:space="0" w:color="auto"/>
        <w:right w:val="none" w:sz="0" w:space="0" w:color="auto"/>
      </w:divBdr>
    </w:div>
    <w:div w:id="15221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20</Pages>
  <Words>9138</Words>
  <Characters>50260</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cp:lastModifiedBy>
  <cp:revision>211</cp:revision>
  <dcterms:created xsi:type="dcterms:W3CDTF">2021-10-29T16:12:00Z</dcterms:created>
  <dcterms:modified xsi:type="dcterms:W3CDTF">2021-10-31T08:09:00Z</dcterms:modified>
</cp:coreProperties>
</file>