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41473" w14:textId="1A585F2A" w:rsidR="00D33E51" w:rsidRDefault="00D33E51" w:rsidP="00D33E51">
      <w:pPr>
        <w:jc w:val="center"/>
        <w:rPr>
          <w:rFonts w:ascii="Times New Roman" w:eastAsia="Times New Roman" w:hAnsi="Times New Roman" w:cs="Times New Roman"/>
          <w:iCs/>
          <w:kern w:val="0"/>
          <w:sz w:val="44"/>
          <w:szCs w:val="44"/>
          <w:lang w:val="en-GB" w:eastAsia="en-US"/>
        </w:rPr>
      </w:pPr>
      <w:r w:rsidRPr="00D33E51">
        <w:rPr>
          <w:rFonts w:ascii="Times New Roman" w:eastAsia="Times New Roman" w:hAnsi="Times New Roman" w:cs="Times New Roman"/>
          <w:iCs/>
          <w:kern w:val="0"/>
          <w:sz w:val="44"/>
          <w:szCs w:val="44"/>
          <w:lang w:val="en-GB" w:eastAsia="en-US"/>
        </w:rPr>
        <w:t>Supplementary Information</w:t>
      </w:r>
    </w:p>
    <w:p w14:paraId="53515EEC" w14:textId="77777777" w:rsidR="009A11E4" w:rsidRDefault="009A11E4" w:rsidP="00D33E51">
      <w:pPr>
        <w:spacing w:line="360" w:lineRule="auto"/>
        <w:ind w:firstLine="420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en-US"/>
        </w:rPr>
      </w:pPr>
    </w:p>
    <w:p w14:paraId="42451DFD" w14:textId="13EF02F6" w:rsidR="00225260" w:rsidRDefault="00D33E51" w:rsidP="00D33E51">
      <w:pPr>
        <w:spacing w:line="360" w:lineRule="auto"/>
        <w:ind w:firstLine="420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en-US"/>
        </w:rPr>
        <w:t xml:space="preserve">To detect the concentration of the VOCs </w:t>
      </w:r>
      <w:proofErr w:type="spellStart"/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en-US"/>
        </w:rPr>
        <w:t>genenrated</w:t>
      </w:r>
      <w:proofErr w:type="spellEnd"/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en-US"/>
        </w:rPr>
        <w:t xml:space="preserve"> by the </w:t>
      </w:r>
      <w:r w:rsidR="00225260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en-US"/>
        </w:rPr>
        <w:t>bubbler according to Henry’s law, we measured the different concentrations of isopropanol, ethanol, and acetone with different concentrations from 5 ppm to 500 ppb by a total VOC analyzer from Greywolf.</w:t>
      </w:r>
      <w:r w:rsidR="0066194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en-US"/>
        </w:rPr>
        <w:t xml:space="preserve"> For methanol, the analyzer is not able to do the </w:t>
      </w:r>
      <w:proofErr w:type="gramStart"/>
      <w:r w:rsidR="0066194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en-US"/>
        </w:rPr>
        <w:t>calibration</w:t>
      </w:r>
      <w:proofErr w:type="gramEnd"/>
      <w:r w:rsidR="0066194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en-US"/>
        </w:rPr>
        <w:t xml:space="preserve"> so we did not make the measurement.</w:t>
      </w:r>
      <w:r w:rsidR="00225260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en-US"/>
        </w:rPr>
        <w:t xml:space="preserve"> When the concentration is 250 ppb, the analyzer cannot make the measurement. The results measured by the analyzer are listed in Table 1. </w:t>
      </w:r>
      <w:r w:rsidR="00700D8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en-US"/>
        </w:rPr>
        <w:t>The concentrations measured by the gas analyzer is close to the concentrations we calculated by Henry’s law.</w:t>
      </w:r>
    </w:p>
    <w:p w14:paraId="4B1D4B87" w14:textId="77777777" w:rsidR="00700D8C" w:rsidRDefault="00700D8C" w:rsidP="00D33E51">
      <w:pPr>
        <w:spacing w:line="360" w:lineRule="auto"/>
        <w:ind w:firstLine="420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en-US"/>
        </w:rPr>
      </w:pPr>
    </w:p>
    <w:p w14:paraId="7B1523A4" w14:textId="5CBDAA76" w:rsidR="00225260" w:rsidRDefault="00225260" w:rsidP="00700D8C">
      <w:pPr>
        <w:spacing w:line="360" w:lineRule="auto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en-US"/>
        </w:rPr>
        <w:t xml:space="preserve">Table 1. </w:t>
      </w:r>
      <w:r w:rsidR="00DA1709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en-US"/>
        </w:rPr>
        <w:t>Concentrations of different VOCs calculated from Henry’s law and measured by VOCs analyzer</w:t>
      </w:r>
    </w:p>
    <w:tbl>
      <w:tblPr>
        <w:tblStyle w:val="6-6"/>
        <w:tblW w:w="8462" w:type="dxa"/>
        <w:tblBorders>
          <w:top w:val="single" w:sz="12" w:space="0" w:color="000000" w:themeColor="text1"/>
          <w:bottom w:val="single" w:sz="12" w:space="0" w:color="000000" w:themeColor="text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51"/>
        <w:gridCol w:w="1577"/>
        <w:gridCol w:w="1578"/>
        <w:gridCol w:w="1578"/>
        <w:gridCol w:w="1578"/>
      </w:tblGrid>
      <w:tr w:rsidR="0066194C" w:rsidRPr="00DA1709" w14:paraId="47A65A5A" w14:textId="40C6A915" w:rsidTr="006619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FFFFF" w:themeFill="background1"/>
          </w:tcPr>
          <w:p w14:paraId="389BECE6" w14:textId="59A84D8B" w:rsidR="0066194C" w:rsidRPr="00DA1709" w:rsidRDefault="0066194C" w:rsidP="00DA1709">
            <w:pPr>
              <w:spacing w:line="360" w:lineRule="auto"/>
              <w:rPr>
                <w:rFonts w:ascii="Times New Roman" w:eastAsia="Times New Roman" w:hAnsi="Times New Roman" w:cs="Times New Roman"/>
                <w:iCs/>
                <w:color w:val="auto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57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FFFFF" w:themeFill="background1"/>
          </w:tcPr>
          <w:p w14:paraId="50DBF724" w14:textId="4AEC6A07" w:rsidR="0066194C" w:rsidRPr="00DA1709" w:rsidRDefault="0066194C" w:rsidP="00DA170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kern w:val="0"/>
                <w:sz w:val="24"/>
                <w:szCs w:val="24"/>
                <w:lang w:eastAsia="en-US"/>
              </w:rPr>
              <w:t>5 ppm</w:t>
            </w:r>
          </w:p>
        </w:tc>
        <w:tc>
          <w:tcPr>
            <w:tcW w:w="157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FFFFF" w:themeFill="background1"/>
          </w:tcPr>
          <w:p w14:paraId="21A4F3C6" w14:textId="5DCD4E36" w:rsidR="0066194C" w:rsidRPr="00DA1709" w:rsidRDefault="0066194C" w:rsidP="00DA170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kern w:val="0"/>
                <w:sz w:val="24"/>
                <w:szCs w:val="24"/>
                <w:lang w:eastAsia="en-US"/>
              </w:rPr>
              <w:t>2.5 ppm</w:t>
            </w:r>
          </w:p>
        </w:tc>
        <w:tc>
          <w:tcPr>
            <w:tcW w:w="157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FFFFF" w:themeFill="background1"/>
          </w:tcPr>
          <w:p w14:paraId="5028C8A6" w14:textId="2E6F1E6A" w:rsidR="0066194C" w:rsidRPr="00DA1709" w:rsidRDefault="0066194C" w:rsidP="00DA170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kern w:val="0"/>
                <w:sz w:val="24"/>
                <w:szCs w:val="24"/>
                <w:lang w:eastAsia="en-US"/>
              </w:rPr>
              <w:t>1 ppm</w:t>
            </w:r>
          </w:p>
        </w:tc>
        <w:tc>
          <w:tcPr>
            <w:tcW w:w="157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FFFFF" w:themeFill="background1"/>
          </w:tcPr>
          <w:p w14:paraId="33FD7120" w14:textId="12D28271" w:rsidR="0066194C" w:rsidRPr="00DA1709" w:rsidRDefault="0066194C" w:rsidP="00DA170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kern w:val="0"/>
                <w:sz w:val="24"/>
                <w:szCs w:val="24"/>
                <w:lang w:eastAsia="en-US"/>
              </w:rPr>
              <w:t>500 ppb</w:t>
            </w:r>
          </w:p>
        </w:tc>
      </w:tr>
      <w:tr w:rsidR="0066194C" w:rsidRPr="00DA1709" w14:paraId="1312CEFE" w14:textId="6C4ECF5C" w:rsidTr="00661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14:paraId="53E50490" w14:textId="194E5C71" w:rsidR="0066194C" w:rsidRPr="00DA1709" w:rsidRDefault="0066194C" w:rsidP="00DA1709">
            <w:pPr>
              <w:spacing w:line="360" w:lineRule="auto"/>
              <w:rPr>
                <w:rFonts w:ascii="Times New Roman" w:eastAsia="Times New Roman" w:hAnsi="Times New Roman" w:cs="Times New Roman"/>
                <w:iCs/>
                <w:color w:val="auto"/>
                <w:kern w:val="0"/>
                <w:sz w:val="24"/>
                <w:szCs w:val="24"/>
                <w:lang w:eastAsia="en-US"/>
              </w:rPr>
            </w:pPr>
            <w:r w:rsidRPr="00DA1709">
              <w:rPr>
                <w:rFonts w:ascii="Times New Roman" w:eastAsia="Times New Roman" w:hAnsi="Times New Roman" w:cs="Times New Roman"/>
                <w:iCs/>
                <w:color w:val="auto"/>
                <w:kern w:val="0"/>
                <w:sz w:val="24"/>
                <w:szCs w:val="24"/>
                <w:lang w:eastAsia="en-US"/>
              </w:rPr>
              <w:t>Isopropanol</w:t>
            </w:r>
          </w:p>
        </w:tc>
        <w:tc>
          <w:tcPr>
            <w:tcW w:w="1577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14:paraId="13ECE84C" w14:textId="4095E65B" w:rsidR="0066194C" w:rsidRPr="00DA1709" w:rsidRDefault="0066194C" w:rsidP="00DA170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kern w:val="0"/>
                <w:sz w:val="24"/>
                <w:szCs w:val="24"/>
                <w:lang w:eastAsia="en-US"/>
              </w:rPr>
              <w:t>5.07 ppm</w:t>
            </w:r>
          </w:p>
        </w:tc>
        <w:tc>
          <w:tcPr>
            <w:tcW w:w="1578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14:paraId="0298793D" w14:textId="49AE2D7F" w:rsidR="0066194C" w:rsidRPr="00DA1709" w:rsidRDefault="0066194C" w:rsidP="00DA170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kern w:val="0"/>
                <w:sz w:val="24"/>
                <w:szCs w:val="24"/>
                <w:lang w:eastAsia="en-US"/>
              </w:rPr>
              <w:t>2.58 ppm</w:t>
            </w:r>
          </w:p>
        </w:tc>
        <w:tc>
          <w:tcPr>
            <w:tcW w:w="1578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14:paraId="2E6FD388" w14:textId="45AC343F" w:rsidR="0066194C" w:rsidRPr="00DA1709" w:rsidRDefault="0066194C" w:rsidP="00DA170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kern w:val="0"/>
                <w:sz w:val="24"/>
                <w:szCs w:val="24"/>
                <w:lang w:eastAsia="en-US"/>
              </w:rPr>
              <w:t>0.94 ppm</w:t>
            </w:r>
          </w:p>
        </w:tc>
        <w:tc>
          <w:tcPr>
            <w:tcW w:w="1578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14:paraId="4B200008" w14:textId="6BFBE2E8" w:rsidR="0066194C" w:rsidRPr="00DA1709" w:rsidRDefault="0066194C" w:rsidP="00DA170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kern w:val="0"/>
                <w:sz w:val="24"/>
                <w:szCs w:val="24"/>
                <w:lang w:eastAsia="en-US"/>
              </w:rPr>
              <w:t>468 ppb</w:t>
            </w:r>
          </w:p>
        </w:tc>
      </w:tr>
      <w:tr w:rsidR="0066194C" w:rsidRPr="00DA1709" w14:paraId="6E08C8A7" w14:textId="15ABCBD8" w:rsidTr="0066194C">
        <w:trPr>
          <w:trHeight w:val="7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shd w:val="clear" w:color="auto" w:fill="FFFFFF" w:themeFill="background1"/>
          </w:tcPr>
          <w:p w14:paraId="539BB4CC" w14:textId="57ADFD6A" w:rsidR="0066194C" w:rsidRPr="00DA1709" w:rsidRDefault="0066194C" w:rsidP="00DA1709">
            <w:pPr>
              <w:spacing w:line="360" w:lineRule="auto"/>
              <w:rPr>
                <w:rFonts w:ascii="Times New Roman" w:eastAsia="Times New Roman" w:hAnsi="Times New Roman" w:cs="Times New Roman"/>
                <w:iCs/>
                <w:color w:val="auto"/>
                <w:kern w:val="0"/>
                <w:sz w:val="24"/>
                <w:szCs w:val="24"/>
                <w:lang w:eastAsia="en-US"/>
              </w:rPr>
            </w:pPr>
            <w:r w:rsidRPr="00DA1709">
              <w:rPr>
                <w:rFonts w:ascii="Times New Roman" w:eastAsia="Times New Roman" w:hAnsi="Times New Roman" w:cs="Times New Roman"/>
                <w:iCs/>
                <w:color w:val="auto"/>
                <w:kern w:val="0"/>
                <w:sz w:val="24"/>
                <w:szCs w:val="24"/>
                <w:lang w:eastAsia="en-US"/>
              </w:rPr>
              <w:t>Ethanol</w:t>
            </w:r>
          </w:p>
        </w:tc>
        <w:tc>
          <w:tcPr>
            <w:tcW w:w="1577" w:type="dxa"/>
            <w:shd w:val="clear" w:color="auto" w:fill="FFFFFF" w:themeFill="background1"/>
          </w:tcPr>
          <w:p w14:paraId="1773DDBD" w14:textId="7BF2FE51" w:rsidR="0066194C" w:rsidRPr="00DA1709" w:rsidRDefault="0066194C" w:rsidP="00DA170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kern w:val="0"/>
                <w:sz w:val="24"/>
                <w:szCs w:val="24"/>
                <w:lang w:eastAsia="en-US"/>
              </w:rPr>
              <w:t>5.32 ppm</w:t>
            </w:r>
          </w:p>
        </w:tc>
        <w:tc>
          <w:tcPr>
            <w:tcW w:w="1578" w:type="dxa"/>
            <w:shd w:val="clear" w:color="auto" w:fill="FFFFFF" w:themeFill="background1"/>
          </w:tcPr>
          <w:p w14:paraId="530E5727" w14:textId="00BA7801" w:rsidR="0066194C" w:rsidRPr="00DA1709" w:rsidRDefault="0066194C" w:rsidP="00DA170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kern w:val="0"/>
                <w:sz w:val="24"/>
                <w:szCs w:val="24"/>
                <w:lang w:eastAsia="en-US"/>
              </w:rPr>
              <w:t>2.34 ppm</w:t>
            </w:r>
          </w:p>
        </w:tc>
        <w:tc>
          <w:tcPr>
            <w:tcW w:w="1578" w:type="dxa"/>
            <w:shd w:val="clear" w:color="auto" w:fill="FFFFFF" w:themeFill="background1"/>
          </w:tcPr>
          <w:p w14:paraId="6832558C" w14:textId="282164F6" w:rsidR="0066194C" w:rsidRPr="00DA1709" w:rsidRDefault="0066194C" w:rsidP="00DA170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kern w:val="0"/>
                <w:sz w:val="24"/>
                <w:szCs w:val="24"/>
                <w:lang w:eastAsia="en-US"/>
              </w:rPr>
              <w:t>1.03 ppm</w:t>
            </w:r>
          </w:p>
        </w:tc>
        <w:tc>
          <w:tcPr>
            <w:tcW w:w="1578" w:type="dxa"/>
            <w:shd w:val="clear" w:color="auto" w:fill="FFFFFF" w:themeFill="background1"/>
          </w:tcPr>
          <w:p w14:paraId="245F0834" w14:textId="63F9F66B" w:rsidR="0066194C" w:rsidRPr="00DA1709" w:rsidRDefault="0066194C" w:rsidP="00DA170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kern w:val="0"/>
                <w:sz w:val="24"/>
                <w:szCs w:val="24"/>
                <w:lang w:eastAsia="en-US"/>
              </w:rPr>
              <w:t>430 ppb</w:t>
            </w:r>
          </w:p>
        </w:tc>
      </w:tr>
      <w:tr w:rsidR="0066194C" w:rsidRPr="00DA1709" w14:paraId="7012969B" w14:textId="1CF4B294" w:rsidTr="00661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shd w:val="clear" w:color="auto" w:fill="FFFFFF" w:themeFill="background1"/>
          </w:tcPr>
          <w:p w14:paraId="326FF52C" w14:textId="7B09EA0F" w:rsidR="0066194C" w:rsidRPr="00DA1709" w:rsidRDefault="0066194C" w:rsidP="0066194C">
            <w:pPr>
              <w:spacing w:line="360" w:lineRule="auto"/>
              <w:rPr>
                <w:rFonts w:ascii="Times New Roman" w:eastAsia="Times New Roman" w:hAnsi="Times New Roman" w:cs="Times New Roman"/>
                <w:iCs/>
                <w:color w:val="auto"/>
                <w:kern w:val="0"/>
                <w:sz w:val="24"/>
                <w:szCs w:val="24"/>
                <w:lang w:eastAsia="en-US"/>
              </w:rPr>
            </w:pPr>
            <w:r w:rsidRPr="00DA1709">
              <w:rPr>
                <w:rFonts w:ascii="Times New Roman" w:eastAsia="Times New Roman" w:hAnsi="Times New Roman" w:cs="Times New Roman"/>
                <w:iCs/>
                <w:color w:val="auto"/>
                <w:kern w:val="0"/>
                <w:sz w:val="24"/>
                <w:szCs w:val="24"/>
                <w:lang w:eastAsia="en-US"/>
              </w:rPr>
              <w:t>Acetone</w:t>
            </w:r>
          </w:p>
        </w:tc>
        <w:tc>
          <w:tcPr>
            <w:tcW w:w="1577" w:type="dxa"/>
            <w:shd w:val="clear" w:color="auto" w:fill="FFFFFF" w:themeFill="background1"/>
          </w:tcPr>
          <w:p w14:paraId="0C1D7A8B" w14:textId="10919EA5" w:rsidR="0066194C" w:rsidRPr="00DA1709" w:rsidRDefault="0066194C" w:rsidP="0066194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kern w:val="0"/>
                <w:sz w:val="24"/>
                <w:szCs w:val="24"/>
                <w:lang w:eastAsia="en-US"/>
              </w:rPr>
              <w:t>5.41 ppm</w:t>
            </w:r>
          </w:p>
        </w:tc>
        <w:tc>
          <w:tcPr>
            <w:tcW w:w="1578" w:type="dxa"/>
            <w:shd w:val="clear" w:color="auto" w:fill="FFFFFF" w:themeFill="background1"/>
          </w:tcPr>
          <w:p w14:paraId="61F2ED00" w14:textId="3D7FE28E" w:rsidR="0066194C" w:rsidRPr="00DA1709" w:rsidRDefault="0066194C" w:rsidP="0066194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kern w:val="0"/>
                <w:sz w:val="24"/>
                <w:szCs w:val="24"/>
                <w:lang w:eastAsia="en-US"/>
              </w:rPr>
              <w:t>2.73 ppm</w:t>
            </w:r>
          </w:p>
        </w:tc>
        <w:tc>
          <w:tcPr>
            <w:tcW w:w="1578" w:type="dxa"/>
            <w:shd w:val="clear" w:color="auto" w:fill="FFFFFF" w:themeFill="background1"/>
          </w:tcPr>
          <w:p w14:paraId="3F7B1648" w14:textId="6E23276B" w:rsidR="0066194C" w:rsidRPr="00DA1709" w:rsidRDefault="0066194C" w:rsidP="0066194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kern w:val="0"/>
                <w:sz w:val="24"/>
                <w:szCs w:val="24"/>
                <w:lang w:eastAsia="en-US"/>
              </w:rPr>
              <w:t>0.966 ppm</w:t>
            </w:r>
          </w:p>
        </w:tc>
        <w:tc>
          <w:tcPr>
            <w:tcW w:w="1578" w:type="dxa"/>
            <w:shd w:val="clear" w:color="auto" w:fill="FFFFFF" w:themeFill="background1"/>
          </w:tcPr>
          <w:p w14:paraId="53876209" w14:textId="55AC18CC" w:rsidR="0066194C" w:rsidRPr="00DA1709" w:rsidRDefault="0066194C" w:rsidP="0066194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kern w:val="0"/>
                <w:sz w:val="24"/>
                <w:szCs w:val="24"/>
                <w:lang w:eastAsia="en-US"/>
              </w:rPr>
              <w:t>413.2 ppb</w:t>
            </w:r>
          </w:p>
        </w:tc>
      </w:tr>
    </w:tbl>
    <w:p w14:paraId="6768E885" w14:textId="77777777" w:rsidR="00225260" w:rsidRDefault="00225260" w:rsidP="0066194C">
      <w:pPr>
        <w:spacing w:line="360" w:lineRule="auto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en-US"/>
        </w:rPr>
      </w:pPr>
    </w:p>
    <w:p w14:paraId="462FF710" w14:textId="4A2B5B98" w:rsidR="00D33E51" w:rsidRDefault="00225260" w:rsidP="00D33E51">
      <w:pPr>
        <w:spacing w:line="360" w:lineRule="auto"/>
        <w:ind w:firstLine="420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en-US"/>
        </w:rPr>
        <w:t xml:space="preserve">At the same time, we also changed the gas flow from 1000 </w:t>
      </w:r>
      <w:proofErr w:type="spellStart"/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en-US"/>
        </w:rPr>
        <w:t>sccm</w:t>
      </w:r>
      <w:proofErr w:type="spellEnd"/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en-US"/>
        </w:rPr>
        <w:t xml:space="preserve"> to 200 </w:t>
      </w:r>
      <w:proofErr w:type="spellStart"/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en-US"/>
        </w:rPr>
        <w:t>sccm</w:t>
      </w:r>
      <w:proofErr w:type="spellEnd"/>
      <w:r w:rsidR="00700D8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en-US"/>
        </w:rPr>
        <w:t xml:space="preserve"> and measured the concentration of isopropanol generated by different flow rates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en-US"/>
        </w:rPr>
        <w:t>. The results are listed in Table 2.</w:t>
      </w:r>
      <w:r w:rsidR="00700D8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en-US"/>
        </w:rPr>
        <w:t xml:space="preserve"> When the flow rate is higher than 400 </w:t>
      </w:r>
      <w:proofErr w:type="spellStart"/>
      <w:r w:rsidR="00700D8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en-US"/>
        </w:rPr>
        <w:t>sccm</w:t>
      </w:r>
      <w:proofErr w:type="spellEnd"/>
      <w:r w:rsidR="00700D8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en-US"/>
        </w:rPr>
        <w:t xml:space="preserve">, the gas concentration is relatively stable and close to the calculated value, but when it is low to 20 </w:t>
      </w:r>
      <w:proofErr w:type="spellStart"/>
      <w:r w:rsidR="00700D8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en-US"/>
        </w:rPr>
        <w:t>sccm</w:t>
      </w:r>
      <w:proofErr w:type="spellEnd"/>
      <w:r w:rsidR="00700D8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en-US"/>
        </w:rPr>
        <w:t xml:space="preserve">, the gas concentration is significantly decreased. </w:t>
      </w:r>
    </w:p>
    <w:p w14:paraId="7C65BDFE" w14:textId="77777777" w:rsidR="00700D8C" w:rsidRDefault="00700D8C" w:rsidP="00D33E51">
      <w:pPr>
        <w:spacing w:line="360" w:lineRule="auto"/>
        <w:ind w:firstLine="420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en-US"/>
        </w:rPr>
      </w:pPr>
    </w:p>
    <w:p w14:paraId="6593D46E" w14:textId="06E4C377" w:rsidR="00700D8C" w:rsidRDefault="00700D8C" w:rsidP="00700D8C">
      <w:pPr>
        <w:spacing w:line="360" w:lineRule="auto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en-US"/>
        </w:rPr>
        <w:t>Table 2. Concentration of isopropanol generated with different flow rates compared with the calculated value</w:t>
      </w:r>
    </w:p>
    <w:p w14:paraId="112B6E18" w14:textId="6636A910" w:rsidR="00700D8C" w:rsidRDefault="00700D8C" w:rsidP="00700D8C">
      <w:pPr>
        <w:spacing w:line="360" w:lineRule="auto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en-US"/>
        </w:rPr>
      </w:pPr>
    </w:p>
    <w:tbl>
      <w:tblPr>
        <w:tblStyle w:val="a3"/>
        <w:tblW w:w="0" w:type="auto"/>
        <w:tblBorders>
          <w:top w:val="single" w:sz="12" w:space="0" w:color="000000" w:themeColor="text1"/>
          <w:left w:val="none" w:sz="0" w:space="0" w:color="auto"/>
          <w:bottom w:val="single" w:sz="12" w:space="0" w:color="000000" w:themeColor="text1"/>
          <w:right w:val="none" w:sz="0" w:space="0" w:color="auto"/>
          <w:insideH w:val="single" w:sz="12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992"/>
        <w:gridCol w:w="993"/>
        <w:gridCol w:w="850"/>
        <w:gridCol w:w="992"/>
        <w:gridCol w:w="946"/>
        <w:gridCol w:w="1123"/>
      </w:tblGrid>
      <w:tr w:rsidR="009A11E4" w14:paraId="74271DC7" w14:textId="77777777" w:rsidTr="009A11E4">
        <w:tc>
          <w:tcPr>
            <w:tcW w:w="2410" w:type="dxa"/>
          </w:tcPr>
          <w:p w14:paraId="620C9BB8" w14:textId="7217C9F3" w:rsidR="009A11E4" w:rsidRDefault="009A11E4" w:rsidP="00700D8C">
            <w:pPr>
              <w:spacing w:line="36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en-US"/>
              </w:rPr>
              <w:t>Flow rate (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en-US"/>
              </w:rPr>
              <w:t>sccm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992" w:type="dxa"/>
          </w:tcPr>
          <w:p w14:paraId="18BED370" w14:textId="1956E88E" w:rsidR="009A11E4" w:rsidRDefault="009A11E4" w:rsidP="00700D8C">
            <w:pPr>
              <w:spacing w:line="36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en-US"/>
              </w:rPr>
              <w:t xml:space="preserve">1000 </w:t>
            </w:r>
          </w:p>
        </w:tc>
        <w:tc>
          <w:tcPr>
            <w:tcW w:w="993" w:type="dxa"/>
          </w:tcPr>
          <w:p w14:paraId="6BC2313F" w14:textId="49B7FDA1" w:rsidR="009A11E4" w:rsidRDefault="009A11E4" w:rsidP="00700D8C">
            <w:pPr>
              <w:spacing w:line="36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850" w:type="dxa"/>
          </w:tcPr>
          <w:p w14:paraId="13E83B9F" w14:textId="73761F55" w:rsidR="009A11E4" w:rsidRDefault="009A11E4" w:rsidP="00700D8C">
            <w:pPr>
              <w:spacing w:line="36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992" w:type="dxa"/>
          </w:tcPr>
          <w:p w14:paraId="4F43EE72" w14:textId="712F17CB" w:rsidR="009A11E4" w:rsidRDefault="009A11E4" w:rsidP="00700D8C">
            <w:pPr>
              <w:spacing w:line="36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en-US"/>
              </w:rPr>
              <w:t>400</w:t>
            </w:r>
          </w:p>
        </w:tc>
        <w:tc>
          <w:tcPr>
            <w:tcW w:w="946" w:type="dxa"/>
          </w:tcPr>
          <w:p w14:paraId="7C1F6147" w14:textId="096C818B" w:rsidR="009A11E4" w:rsidRDefault="009A11E4" w:rsidP="00700D8C">
            <w:pPr>
              <w:spacing w:line="36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23" w:type="dxa"/>
          </w:tcPr>
          <w:p w14:paraId="5AE3E723" w14:textId="3D57D119" w:rsidR="009A11E4" w:rsidRDefault="009A11E4" w:rsidP="00700D8C">
            <w:pPr>
              <w:spacing w:line="36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en-US"/>
              </w:rPr>
              <w:t>Calculate</w:t>
            </w:r>
          </w:p>
        </w:tc>
      </w:tr>
      <w:tr w:rsidR="009A11E4" w14:paraId="22F40C5B" w14:textId="77777777" w:rsidTr="009A11E4">
        <w:tc>
          <w:tcPr>
            <w:tcW w:w="2410" w:type="dxa"/>
          </w:tcPr>
          <w:p w14:paraId="1BAE42FF" w14:textId="57946532" w:rsidR="009A11E4" w:rsidRDefault="009A11E4" w:rsidP="00700D8C">
            <w:pPr>
              <w:spacing w:line="36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en-US"/>
              </w:rPr>
              <w:t>Concentration (ppm)</w:t>
            </w:r>
          </w:p>
        </w:tc>
        <w:tc>
          <w:tcPr>
            <w:tcW w:w="992" w:type="dxa"/>
          </w:tcPr>
          <w:p w14:paraId="074CF31A" w14:textId="721FCD16" w:rsidR="009A11E4" w:rsidRDefault="009A11E4" w:rsidP="00700D8C">
            <w:pPr>
              <w:spacing w:line="36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en-US"/>
              </w:rPr>
              <w:t>5.38</w:t>
            </w:r>
          </w:p>
        </w:tc>
        <w:tc>
          <w:tcPr>
            <w:tcW w:w="993" w:type="dxa"/>
          </w:tcPr>
          <w:p w14:paraId="2E16E458" w14:textId="1F32B346" w:rsidR="009A11E4" w:rsidRDefault="009A11E4" w:rsidP="00700D8C">
            <w:pPr>
              <w:spacing w:line="36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en-US"/>
              </w:rPr>
              <w:t>5.25</w:t>
            </w:r>
          </w:p>
        </w:tc>
        <w:tc>
          <w:tcPr>
            <w:tcW w:w="850" w:type="dxa"/>
          </w:tcPr>
          <w:p w14:paraId="3F42CAC7" w14:textId="33BEC686" w:rsidR="009A11E4" w:rsidRDefault="009A11E4" w:rsidP="00700D8C">
            <w:pPr>
              <w:spacing w:line="36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en-US"/>
              </w:rPr>
              <w:t>5.03</w:t>
            </w:r>
          </w:p>
        </w:tc>
        <w:tc>
          <w:tcPr>
            <w:tcW w:w="992" w:type="dxa"/>
          </w:tcPr>
          <w:p w14:paraId="006A00B9" w14:textId="7A01F06F" w:rsidR="009A11E4" w:rsidRDefault="009A11E4" w:rsidP="00700D8C">
            <w:pPr>
              <w:spacing w:line="36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en-US"/>
              </w:rPr>
              <w:t>4.60</w:t>
            </w:r>
          </w:p>
        </w:tc>
        <w:tc>
          <w:tcPr>
            <w:tcW w:w="946" w:type="dxa"/>
          </w:tcPr>
          <w:p w14:paraId="7DAA772B" w14:textId="425443BA" w:rsidR="009A11E4" w:rsidRDefault="009A11E4" w:rsidP="00700D8C">
            <w:pPr>
              <w:spacing w:line="36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en-US"/>
              </w:rPr>
              <w:t>3.59</w:t>
            </w:r>
          </w:p>
        </w:tc>
        <w:tc>
          <w:tcPr>
            <w:tcW w:w="1123" w:type="dxa"/>
          </w:tcPr>
          <w:p w14:paraId="0FAAB525" w14:textId="5A9F6083" w:rsidR="009A11E4" w:rsidRDefault="009A11E4" w:rsidP="00700D8C">
            <w:pPr>
              <w:spacing w:line="36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en-US"/>
              </w:rPr>
              <w:t>5</w:t>
            </w:r>
          </w:p>
        </w:tc>
      </w:tr>
    </w:tbl>
    <w:p w14:paraId="5A00CB50" w14:textId="77777777" w:rsidR="00700D8C" w:rsidRPr="00D33E51" w:rsidRDefault="00700D8C" w:rsidP="00700D8C">
      <w:pPr>
        <w:spacing w:line="360" w:lineRule="auto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en-US"/>
        </w:rPr>
      </w:pPr>
    </w:p>
    <w:sectPr w:rsidR="00700D8C" w:rsidRPr="00D33E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E51"/>
    <w:rsid w:val="00142DD9"/>
    <w:rsid w:val="001C16BC"/>
    <w:rsid w:val="00225260"/>
    <w:rsid w:val="0066194C"/>
    <w:rsid w:val="006D2735"/>
    <w:rsid w:val="00700D8C"/>
    <w:rsid w:val="009A11E4"/>
    <w:rsid w:val="00D33E51"/>
    <w:rsid w:val="00DA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AA5B9"/>
  <w15:chartTrackingRefBased/>
  <w15:docId w15:val="{798313D6-613E-4398-8D0F-E97D8FB3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Plain Table 5"/>
    <w:basedOn w:val="a1"/>
    <w:uiPriority w:val="45"/>
    <w:rsid w:val="00DA170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2">
    <w:name w:val="Plain Table 2"/>
    <w:basedOn w:val="a1"/>
    <w:uiPriority w:val="42"/>
    <w:rsid w:val="00DA170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6-6">
    <w:name w:val="List Table 6 Colorful Accent 6"/>
    <w:basedOn w:val="a1"/>
    <w:uiPriority w:val="51"/>
    <w:rsid w:val="00DA170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Yifan LUO</dc:creator>
  <cp:keywords/>
  <dc:description/>
  <cp:lastModifiedBy>Yifan LUO</cp:lastModifiedBy>
  <cp:revision>1</cp:revision>
  <dcterms:created xsi:type="dcterms:W3CDTF">2022-01-21T20:19:00Z</dcterms:created>
  <dcterms:modified xsi:type="dcterms:W3CDTF">2022-01-21T21:06:00Z</dcterms:modified>
</cp:coreProperties>
</file>